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756BC7" w14:paraId="6454CE0B" w14:textId="77777777" w:rsidTr="51EFF39A">
        <w:trPr>
          <w:cantSplit/>
          <w:trHeight w:hRule="exact" w:val="1134"/>
        </w:trPr>
        <w:tc>
          <w:tcPr>
            <w:tcW w:w="1242" w:type="dxa"/>
            <w:vAlign w:val="bottom"/>
          </w:tcPr>
          <w:p w14:paraId="043EA011" w14:textId="77777777" w:rsidR="00756BC7" w:rsidRPr="003F5FEE" w:rsidRDefault="00F03B0A" w:rsidP="00492678">
            <w:r>
              <w:rPr>
                <w:noProof/>
                <w:lang w:val="en-US" w:eastAsia="en-US"/>
              </w:rPr>
              <w:drawing>
                <wp:inline distT="0" distB="0" distL="0" distR="0" wp14:anchorId="44E75D43" wp14:editId="7AF1B74A">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14:paraId="718F5097" w14:textId="77777777" w:rsidR="00756BC7" w:rsidRPr="00A86746" w:rsidRDefault="00756BC7" w:rsidP="00492678">
            <w:pPr>
              <w:ind w:left="113"/>
              <w:rPr>
                <w:sz w:val="28"/>
                <w:szCs w:val="28"/>
              </w:rPr>
            </w:pPr>
            <w:r w:rsidRPr="00A86746">
              <w:rPr>
                <w:sz w:val="28"/>
                <w:szCs w:val="28"/>
              </w:rPr>
              <w:t>United Nations</w:t>
            </w:r>
          </w:p>
        </w:tc>
        <w:tc>
          <w:tcPr>
            <w:tcW w:w="5845" w:type="dxa"/>
            <w:gridSpan w:val="3"/>
            <w:vAlign w:val="bottom"/>
          </w:tcPr>
          <w:p w14:paraId="22139556" w14:textId="6D240AE3" w:rsidR="00756BC7" w:rsidRPr="00B95781" w:rsidRDefault="00C92FFD" w:rsidP="00C92FFD">
            <w:pPr>
              <w:jc w:val="right"/>
            </w:pPr>
            <w:r w:rsidRPr="00C92FFD">
              <w:rPr>
                <w:sz w:val="40"/>
              </w:rPr>
              <w:t>FCCC</w:t>
            </w:r>
            <w:r w:rsidRPr="00C92FFD">
              <w:t>/CP/2019/13/Add.2</w:t>
            </w:r>
          </w:p>
        </w:tc>
      </w:tr>
      <w:tr w:rsidR="00756BC7" w14:paraId="5D554F44" w14:textId="77777777" w:rsidTr="51EFF39A">
        <w:trPr>
          <w:cantSplit/>
          <w:trHeight w:hRule="exact" w:val="2552"/>
        </w:trPr>
        <w:tc>
          <w:tcPr>
            <w:tcW w:w="4511" w:type="dxa"/>
            <w:gridSpan w:val="3"/>
          </w:tcPr>
          <w:p w14:paraId="5ED9EE9E" w14:textId="5E00C585" w:rsidR="00756BC7" w:rsidRPr="003F5FEE" w:rsidRDefault="00F03B0A" w:rsidP="00BB6C8A">
            <w:r>
              <w:rPr>
                <w:noProof/>
                <w:lang w:val="en-US" w:eastAsia="en-US"/>
              </w:rPr>
              <w:drawing>
                <wp:anchor distT="0" distB="0" distL="114300" distR="114300" simplePos="0" relativeHeight="251658240" behindDoc="1" locked="0" layoutInCell="1" allowOverlap="1" wp14:anchorId="26119DED" wp14:editId="5A0D7F2E">
                  <wp:simplePos x="0" y="0"/>
                  <wp:positionH relativeFrom="column">
                    <wp:posOffset>-2540</wp:posOffset>
                  </wp:positionH>
                  <wp:positionV relativeFrom="paragraph">
                    <wp:posOffset>1270</wp:posOffset>
                  </wp:positionV>
                  <wp:extent cx="2400300" cy="561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anchor>
              </w:drawing>
            </w:r>
          </w:p>
        </w:tc>
        <w:tc>
          <w:tcPr>
            <w:tcW w:w="2293" w:type="dxa"/>
          </w:tcPr>
          <w:p w14:paraId="69A407E0" w14:textId="77777777" w:rsidR="00756BC7" w:rsidRPr="003F5FEE" w:rsidRDefault="00756BC7" w:rsidP="00492678"/>
        </w:tc>
        <w:tc>
          <w:tcPr>
            <w:tcW w:w="2835" w:type="dxa"/>
          </w:tcPr>
          <w:p w14:paraId="51E9D713" w14:textId="6A04F6BE" w:rsidR="00B95781" w:rsidRDefault="00C92FFD" w:rsidP="00C92FFD">
            <w:pPr>
              <w:spacing w:before="240" w:line="240" w:lineRule="exact"/>
              <w:ind w:left="143"/>
            </w:pPr>
            <w:r>
              <w:t>Distr.: General</w:t>
            </w:r>
          </w:p>
          <w:p w14:paraId="6D0DA89C" w14:textId="5A1747EC" w:rsidR="00C92FFD" w:rsidRDefault="00EA1B1F" w:rsidP="00C92FFD">
            <w:pPr>
              <w:spacing w:line="240" w:lineRule="exact"/>
              <w:ind w:left="143"/>
            </w:pPr>
            <w:r>
              <w:t>1</w:t>
            </w:r>
            <w:r w:rsidR="00000C04">
              <w:t>6</w:t>
            </w:r>
            <w:r w:rsidR="00C92FFD">
              <w:t xml:space="preserve"> March 2020</w:t>
            </w:r>
          </w:p>
          <w:p w14:paraId="6918BA1F" w14:textId="77777777" w:rsidR="00C92FFD" w:rsidRDefault="00C92FFD" w:rsidP="00C92FFD">
            <w:pPr>
              <w:spacing w:line="240" w:lineRule="exact"/>
              <w:ind w:left="143"/>
            </w:pPr>
          </w:p>
          <w:p w14:paraId="05710EE6" w14:textId="74A9294D" w:rsidR="00C92FFD" w:rsidRPr="00E0470D" w:rsidRDefault="00C92FFD" w:rsidP="00C92FFD">
            <w:pPr>
              <w:spacing w:line="240" w:lineRule="exact"/>
              <w:ind w:left="143"/>
            </w:pPr>
            <w:r>
              <w:t>Original: English</w:t>
            </w:r>
          </w:p>
        </w:tc>
      </w:tr>
    </w:tbl>
    <w:p w14:paraId="23892952" w14:textId="77777777" w:rsidR="00492678" w:rsidRDefault="00492678" w:rsidP="00492678">
      <w:pPr>
        <w:spacing w:before="120"/>
        <w:rPr>
          <w:b/>
          <w:sz w:val="24"/>
          <w:szCs w:val="24"/>
        </w:rPr>
      </w:pPr>
      <w:r>
        <w:rPr>
          <w:b/>
          <w:sz w:val="24"/>
          <w:szCs w:val="24"/>
        </w:rPr>
        <w:t>Conference of the Parties</w:t>
      </w:r>
    </w:p>
    <w:p w14:paraId="6002F093" w14:textId="0FFABBFB" w:rsidR="00492678" w:rsidRDefault="00492678" w:rsidP="00492678">
      <w:pPr>
        <w:pStyle w:val="HChG"/>
      </w:pPr>
      <w:r>
        <w:t xml:space="preserve">Report of the Conference of the Parties on its twenty-fifth session, held in </w:t>
      </w:r>
      <w:r w:rsidR="00B64B6E">
        <w:t>Madrid</w:t>
      </w:r>
      <w:r>
        <w:t xml:space="preserve"> from 2 to 1</w:t>
      </w:r>
      <w:r w:rsidR="00B64B6E">
        <w:t>5</w:t>
      </w:r>
      <w:r>
        <w:t xml:space="preserve"> December 2019</w:t>
      </w:r>
    </w:p>
    <w:p w14:paraId="6BD423AC" w14:textId="77777777" w:rsidR="00492678" w:rsidRDefault="00492678" w:rsidP="00492678">
      <w:pPr>
        <w:pStyle w:val="H1G"/>
      </w:pPr>
      <w:r>
        <w:tab/>
        <w:t>Addendum</w:t>
      </w:r>
    </w:p>
    <w:p w14:paraId="44696962" w14:textId="77777777" w:rsidR="00492678" w:rsidRDefault="00492678" w:rsidP="00B421AE">
      <w:pPr>
        <w:pStyle w:val="H1G"/>
        <w:spacing w:after="120"/>
      </w:pPr>
      <w:r>
        <w:tab/>
        <w:t>Part two: Action taken by the Conference of the Parties at its twenty-fifth session</w:t>
      </w:r>
    </w:p>
    <w:p w14:paraId="1AFC9DA9" w14:textId="77777777" w:rsidR="00492678" w:rsidRDefault="00492678" w:rsidP="00B421AE">
      <w:pPr>
        <w:spacing w:after="120"/>
        <w:rPr>
          <w:sz w:val="28"/>
        </w:rPr>
      </w:pPr>
      <w:r>
        <w:rPr>
          <w:sz w:val="28"/>
        </w:rPr>
        <w:t>Contents</w:t>
      </w:r>
    </w:p>
    <w:p w14:paraId="683913B1" w14:textId="77777777" w:rsidR="00492678" w:rsidRPr="00FF64E3" w:rsidRDefault="00492678" w:rsidP="000E6AA3">
      <w:pPr>
        <w:pStyle w:val="HChG"/>
      </w:pPr>
      <w:r w:rsidRPr="00FF64E3">
        <w:tab/>
      </w:r>
      <w:r w:rsidRPr="00FF64E3">
        <w:tab/>
        <w:t>Decisions adopted by the Conference of the Parties</w:t>
      </w:r>
    </w:p>
    <w:p w14:paraId="70B54916" w14:textId="77777777" w:rsidR="00492678" w:rsidRDefault="00492678" w:rsidP="00492678">
      <w:pPr>
        <w:tabs>
          <w:tab w:val="left" w:pos="1134"/>
          <w:tab w:val="right" w:pos="8929"/>
          <w:tab w:val="right" w:pos="9638"/>
        </w:tabs>
        <w:spacing w:after="120"/>
        <w:ind w:left="284"/>
        <w:rPr>
          <w:i/>
          <w:sz w:val="18"/>
        </w:rPr>
      </w:pPr>
      <w:r>
        <w:rPr>
          <w:i/>
          <w:sz w:val="18"/>
        </w:rPr>
        <w:tab/>
        <w:t>Decision</w:t>
      </w:r>
      <w:r>
        <w:rPr>
          <w:i/>
          <w:sz w:val="18"/>
        </w:rPr>
        <w:tab/>
        <w:t>Page</w:t>
      </w:r>
    </w:p>
    <w:p w14:paraId="75C1BE62" w14:textId="63DA6045" w:rsidR="00492678" w:rsidRDefault="00492678" w:rsidP="00C9679E">
      <w:pPr>
        <w:pStyle w:val="TOC1"/>
        <w:tabs>
          <w:tab w:val="clear" w:pos="1985"/>
          <w:tab w:val="left" w:pos="2268"/>
        </w:tabs>
        <w:ind w:left="2265" w:hanging="2265"/>
      </w:pPr>
      <w:r>
        <w:tab/>
      </w:r>
      <w:r>
        <w:tab/>
      </w:r>
      <w:hyperlink w:anchor="D7" w:history="1">
        <w:r w:rsidR="00D92A81" w:rsidRPr="007F4FC6">
          <w:rPr>
            <w:rStyle w:val="Hyperlink"/>
          </w:rPr>
          <w:t>7</w:t>
        </w:r>
        <w:r w:rsidRPr="007F4FC6">
          <w:rPr>
            <w:rStyle w:val="Hyperlink"/>
          </w:rPr>
          <w:t>/CP.25</w:t>
        </w:r>
      </w:hyperlink>
      <w:r>
        <w:tab/>
      </w:r>
      <w:r w:rsidR="00D92A81">
        <w:t>National adaptation plans</w:t>
      </w:r>
      <w:r>
        <w:tab/>
      </w:r>
      <w:r>
        <w:tab/>
      </w:r>
      <w:r w:rsidR="00A8007B">
        <w:t>2</w:t>
      </w:r>
    </w:p>
    <w:p w14:paraId="24B1BD4C" w14:textId="1A39CEDB" w:rsidR="00492678" w:rsidRDefault="00492678" w:rsidP="00C9679E">
      <w:pPr>
        <w:pStyle w:val="TOC1"/>
        <w:tabs>
          <w:tab w:val="clear" w:pos="1985"/>
          <w:tab w:val="left" w:pos="2268"/>
        </w:tabs>
        <w:ind w:left="2265" w:hanging="2265"/>
      </w:pPr>
      <w:r>
        <w:tab/>
      </w:r>
      <w:r>
        <w:tab/>
      </w:r>
      <w:hyperlink w:anchor="D8" w:history="1">
        <w:r w:rsidR="00D92A81" w:rsidRPr="007F4FC6">
          <w:rPr>
            <w:rStyle w:val="Hyperlink"/>
          </w:rPr>
          <w:t>8</w:t>
        </w:r>
        <w:r w:rsidRPr="007F4FC6">
          <w:rPr>
            <w:rStyle w:val="Hyperlink"/>
          </w:rPr>
          <w:t>/CP.25</w:t>
        </w:r>
      </w:hyperlink>
      <w:r>
        <w:tab/>
      </w:r>
      <w:r w:rsidR="00887556">
        <w:t>A</w:t>
      </w:r>
      <w:r w:rsidR="00887556" w:rsidRPr="003D7509">
        <w:t xml:space="preserve">nnual technical progress report of the Paris Committee on </w:t>
      </w:r>
      <w:r w:rsidR="00887556">
        <w:br/>
      </w:r>
      <w:r w:rsidR="00887556" w:rsidRPr="003D7509">
        <w:t>Capacity-building</w:t>
      </w:r>
      <w:r w:rsidR="00887556">
        <w:t xml:space="preserve"> for 2019</w:t>
      </w:r>
      <w:r w:rsidR="00887556">
        <w:tab/>
      </w:r>
      <w:r w:rsidR="00887556">
        <w:tab/>
      </w:r>
      <w:r w:rsidR="00A8007B">
        <w:t>4</w:t>
      </w:r>
    </w:p>
    <w:p w14:paraId="215AD1EA" w14:textId="06E7FF99" w:rsidR="00B421AE" w:rsidRDefault="00B421AE" w:rsidP="00B421AE">
      <w:pPr>
        <w:pStyle w:val="TOC1"/>
        <w:tabs>
          <w:tab w:val="clear" w:pos="1985"/>
          <w:tab w:val="left" w:pos="2268"/>
        </w:tabs>
        <w:ind w:left="2265" w:hanging="2265"/>
      </w:pPr>
      <w:r>
        <w:tab/>
      </w:r>
      <w:r>
        <w:tab/>
      </w:r>
      <w:hyperlink w:anchor="D9" w:history="1">
        <w:r w:rsidRPr="007F4FC6">
          <w:rPr>
            <w:rStyle w:val="Hyperlink"/>
          </w:rPr>
          <w:t>9/CP.25</w:t>
        </w:r>
      </w:hyperlink>
      <w:r>
        <w:tab/>
      </w:r>
      <w:r w:rsidRPr="00332875">
        <w:t xml:space="preserve">Review of the Paris Committee </w:t>
      </w:r>
      <w:r>
        <w:t>on</w:t>
      </w:r>
      <w:r w:rsidRPr="00332875">
        <w:t xml:space="preserve"> Capacity-building</w:t>
      </w:r>
      <w:r>
        <w:tab/>
      </w:r>
      <w:r>
        <w:tab/>
      </w:r>
      <w:r w:rsidR="00A8007B">
        <w:t>5</w:t>
      </w:r>
    </w:p>
    <w:p w14:paraId="24087D84" w14:textId="61AFFA4B" w:rsidR="00B421AE" w:rsidRDefault="00B421AE" w:rsidP="00B421AE">
      <w:pPr>
        <w:pStyle w:val="TOC1"/>
        <w:tabs>
          <w:tab w:val="clear" w:pos="1985"/>
          <w:tab w:val="left" w:pos="2268"/>
        </w:tabs>
        <w:ind w:left="2265" w:hanging="2265"/>
      </w:pPr>
      <w:r>
        <w:tab/>
      </w:r>
      <w:r>
        <w:tab/>
      </w:r>
      <w:hyperlink w:anchor="D10" w:history="1">
        <w:r w:rsidRPr="007F4FC6">
          <w:rPr>
            <w:rStyle w:val="Hyperlink"/>
          </w:rPr>
          <w:t>10/CP.25</w:t>
        </w:r>
      </w:hyperlink>
      <w:r>
        <w:tab/>
        <w:t>F</w:t>
      </w:r>
      <w:r w:rsidRPr="001A15EB">
        <w:t xml:space="preserve">ourth comprehensive review of the implementation of the </w:t>
      </w:r>
      <w:r>
        <w:br/>
      </w:r>
      <w:r w:rsidRPr="001A15EB">
        <w:t xml:space="preserve">framework for capacity-building in developing countries under </w:t>
      </w:r>
      <w:r>
        <w:br/>
      </w:r>
      <w:r w:rsidRPr="001A15EB">
        <w:t>the</w:t>
      </w:r>
      <w:r>
        <w:t xml:space="preserve"> </w:t>
      </w:r>
      <w:r w:rsidRPr="001A15EB">
        <w:t>Convention</w:t>
      </w:r>
      <w:r>
        <w:tab/>
      </w:r>
      <w:r>
        <w:tab/>
      </w:r>
      <w:r w:rsidR="00A8007B">
        <w:t>8</w:t>
      </w:r>
    </w:p>
    <w:p w14:paraId="632BA381" w14:textId="3DC530A3" w:rsidR="00B421AE" w:rsidRDefault="00B421AE" w:rsidP="00B421AE">
      <w:pPr>
        <w:pStyle w:val="TOC1"/>
        <w:tabs>
          <w:tab w:val="clear" w:pos="1985"/>
          <w:tab w:val="left" w:pos="2268"/>
        </w:tabs>
        <w:ind w:left="2265" w:hanging="2265"/>
      </w:pPr>
      <w:r>
        <w:tab/>
      </w:r>
      <w:r>
        <w:tab/>
      </w:r>
      <w:hyperlink w:anchor="D11" w:history="1">
        <w:r w:rsidRPr="007F4FC6">
          <w:rPr>
            <w:rStyle w:val="Hyperlink"/>
          </w:rPr>
          <w:t>11/CP.25</w:t>
        </w:r>
      </w:hyperlink>
      <w:r>
        <w:tab/>
        <w:t>Matters relating to the Standing Committee on Finance</w:t>
      </w:r>
      <w:r>
        <w:tab/>
      </w:r>
      <w:r>
        <w:tab/>
      </w:r>
      <w:r w:rsidR="00A8007B">
        <w:t>10</w:t>
      </w:r>
    </w:p>
    <w:p w14:paraId="404D365C" w14:textId="201B5AF4" w:rsidR="00B421AE" w:rsidRDefault="00B421AE" w:rsidP="00B421AE">
      <w:pPr>
        <w:pStyle w:val="TOC1"/>
        <w:tabs>
          <w:tab w:val="clear" w:pos="1985"/>
          <w:tab w:val="left" w:pos="2268"/>
        </w:tabs>
        <w:ind w:left="2265" w:hanging="2265"/>
      </w:pPr>
      <w:r>
        <w:tab/>
      </w:r>
      <w:r>
        <w:tab/>
      </w:r>
      <w:hyperlink w:anchor="D12" w:history="1">
        <w:r w:rsidRPr="007F4FC6">
          <w:rPr>
            <w:rStyle w:val="Hyperlink"/>
          </w:rPr>
          <w:t>12/CP.25</w:t>
        </w:r>
      </w:hyperlink>
      <w:r>
        <w:tab/>
        <w:t xml:space="preserve">Report of the Green Climate Fund to the Conference of the Parties </w:t>
      </w:r>
      <w:r>
        <w:br/>
        <w:t>and guidance to the Green Climate Fund</w:t>
      </w:r>
      <w:r>
        <w:tab/>
      </w:r>
      <w:r>
        <w:tab/>
      </w:r>
      <w:r w:rsidR="00A8007B">
        <w:t>12</w:t>
      </w:r>
    </w:p>
    <w:p w14:paraId="0D26810E" w14:textId="3A765BFD" w:rsidR="00B421AE" w:rsidRDefault="00B421AE" w:rsidP="00B421AE">
      <w:pPr>
        <w:pStyle w:val="TOC1"/>
        <w:tabs>
          <w:tab w:val="clear" w:pos="1985"/>
          <w:tab w:val="left" w:pos="2268"/>
        </w:tabs>
        <w:ind w:left="2265" w:hanging="2265"/>
      </w:pPr>
      <w:r>
        <w:tab/>
      </w:r>
      <w:r>
        <w:tab/>
      </w:r>
      <w:hyperlink w:anchor="D13" w:history="1">
        <w:r w:rsidRPr="007F4FC6">
          <w:rPr>
            <w:rStyle w:val="Hyperlink"/>
          </w:rPr>
          <w:t>13/CP.25</w:t>
        </w:r>
      </w:hyperlink>
      <w:r>
        <w:tab/>
      </w:r>
      <w:r w:rsidRPr="00B421AE">
        <w:t>Report of the Global Environment Facility to the Conference of the</w:t>
      </w:r>
      <w:r>
        <w:br/>
      </w:r>
      <w:r w:rsidRPr="00B421AE">
        <w:t>Parties and guidance to the Global Environment Facility</w:t>
      </w:r>
      <w:r>
        <w:tab/>
      </w:r>
      <w:r>
        <w:tab/>
      </w:r>
      <w:r w:rsidR="00A8007B">
        <w:t>15</w:t>
      </w:r>
    </w:p>
    <w:p w14:paraId="57B58988" w14:textId="67B9AB0E" w:rsidR="00B421AE" w:rsidRDefault="00B421AE" w:rsidP="00B421AE">
      <w:pPr>
        <w:pStyle w:val="TOC1"/>
        <w:tabs>
          <w:tab w:val="clear" w:pos="1985"/>
          <w:tab w:val="left" w:pos="2268"/>
        </w:tabs>
        <w:ind w:left="2265" w:hanging="2265"/>
      </w:pPr>
      <w:r>
        <w:tab/>
      </w:r>
      <w:r>
        <w:tab/>
      </w:r>
      <w:hyperlink w:anchor="D14" w:history="1">
        <w:r w:rsidRPr="007F4FC6">
          <w:rPr>
            <w:rStyle w:val="Hyperlink"/>
          </w:rPr>
          <w:t>14/CP.25</w:t>
        </w:r>
      </w:hyperlink>
      <w:r>
        <w:tab/>
      </w:r>
      <w:r w:rsidRPr="001A4816">
        <w:t xml:space="preserve">Enhancing climate technology development and transfer through </w:t>
      </w:r>
      <w:r>
        <w:br/>
      </w:r>
      <w:r w:rsidRPr="001A4816">
        <w:t>the Technology Mechanism</w:t>
      </w:r>
      <w:r>
        <w:tab/>
      </w:r>
      <w:r>
        <w:tab/>
      </w:r>
      <w:r w:rsidR="00A8007B">
        <w:t>17</w:t>
      </w:r>
    </w:p>
    <w:p w14:paraId="005FBF5E" w14:textId="0590CEB3" w:rsidR="00B421AE" w:rsidRDefault="00B421AE" w:rsidP="00B421AE">
      <w:pPr>
        <w:pStyle w:val="TOC1"/>
        <w:tabs>
          <w:tab w:val="clear" w:pos="1985"/>
          <w:tab w:val="left" w:pos="2268"/>
        </w:tabs>
        <w:ind w:left="2265" w:hanging="2265"/>
      </w:pPr>
      <w:r>
        <w:tab/>
      </w:r>
      <w:r>
        <w:tab/>
      </w:r>
      <w:hyperlink w:anchor="D15" w:history="1">
        <w:r w:rsidRPr="007F4FC6">
          <w:rPr>
            <w:rStyle w:val="Hyperlink"/>
          </w:rPr>
          <w:t>15/CP.25</w:t>
        </w:r>
      </w:hyperlink>
      <w:r>
        <w:tab/>
        <w:t xml:space="preserve">Terms of reference for the review </w:t>
      </w:r>
      <w:r w:rsidRPr="004E77DD">
        <w:t>of the Doha work programme on</w:t>
      </w:r>
      <w:r>
        <w:br/>
      </w:r>
      <w:r w:rsidRPr="004E77DD">
        <w:t>Article 6 of the Convention</w:t>
      </w:r>
      <w:r>
        <w:tab/>
      </w:r>
      <w:r>
        <w:tab/>
      </w:r>
      <w:r w:rsidR="00A8007B">
        <w:t>20</w:t>
      </w:r>
    </w:p>
    <w:p w14:paraId="62C0B3DE" w14:textId="6C91BDE9" w:rsidR="00B421AE" w:rsidRDefault="00B421AE" w:rsidP="00B421AE">
      <w:pPr>
        <w:pStyle w:val="TOC1"/>
        <w:tabs>
          <w:tab w:val="clear" w:pos="1985"/>
          <w:tab w:val="left" w:pos="2268"/>
        </w:tabs>
        <w:ind w:left="2265" w:hanging="2265"/>
      </w:pPr>
      <w:r>
        <w:tab/>
      </w:r>
      <w:r>
        <w:tab/>
      </w:r>
      <w:hyperlink w:anchor="D16" w:history="1">
        <w:r w:rsidRPr="007F4FC6">
          <w:rPr>
            <w:rStyle w:val="Hyperlink"/>
          </w:rPr>
          <w:t>16/CP.25</w:t>
        </w:r>
      </w:hyperlink>
      <w:r>
        <w:tab/>
        <w:t>Dates and venues of future sessions</w:t>
      </w:r>
      <w:r>
        <w:tab/>
      </w:r>
      <w:r>
        <w:tab/>
      </w:r>
      <w:r w:rsidR="00A8007B">
        <w:t>24</w:t>
      </w:r>
    </w:p>
    <w:p w14:paraId="53DAB3AB" w14:textId="645FD3E4" w:rsidR="008E4DBB" w:rsidRDefault="00492678" w:rsidP="00B421AE">
      <w:pPr>
        <w:pStyle w:val="TOC1"/>
        <w:tabs>
          <w:tab w:val="clear" w:pos="1985"/>
          <w:tab w:val="left" w:pos="2268"/>
        </w:tabs>
        <w:ind w:left="2265" w:hanging="2265"/>
      </w:pPr>
      <w:r>
        <w:tab/>
      </w:r>
      <w:r>
        <w:tab/>
      </w:r>
      <w:hyperlink w:anchor="D17" w:history="1">
        <w:r w:rsidR="00B421AE" w:rsidRPr="007F4FC6">
          <w:rPr>
            <w:rStyle w:val="Hyperlink"/>
          </w:rPr>
          <w:t>17</w:t>
        </w:r>
        <w:r w:rsidRPr="007F4FC6">
          <w:rPr>
            <w:rStyle w:val="Hyperlink"/>
          </w:rPr>
          <w:t>/CP.25</w:t>
        </w:r>
      </w:hyperlink>
      <w:r>
        <w:tab/>
      </w:r>
      <w:r w:rsidR="008E4DBB">
        <w:t>Programme budget for the biennium 2020–2021</w:t>
      </w:r>
      <w:r>
        <w:tab/>
      </w:r>
      <w:r w:rsidR="008E4DBB">
        <w:tab/>
      </w:r>
      <w:r w:rsidR="00A8007B">
        <w:t>26</w:t>
      </w:r>
    </w:p>
    <w:p w14:paraId="51B7E4A6" w14:textId="519E387D" w:rsidR="00492678" w:rsidRDefault="00492678" w:rsidP="00B421AE">
      <w:pPr>
        <w:pStyle w:val="TOC1"/>
        <w:tabs>
          <w:tab w:val="clear" w:pos="1985"/>
          <w:tab w:val="left" w:pos="2268"/>
        </w:tabs>
        <w:ind w:left="2265" w:hanging="2265"/>
      </w:pPr>
      <w:r>
        <w:tab/>
      </w:r>
      <w:r w:rsidR="008E4DBB">
        <w:tab/>
      </w:r>
      <w:hyperlink w:anchor="D18" w:history="1">
        <w:r w:rsidR="00B421AE" w:rsidRPr="007F4FC6">
          <w:rPr>
            <w:rStyle w:val="Hyperlink"/>
          </w:rPr>
          <w:t>18</w:t>
        </w:r>
        <w:r w:rsidR="008E4DBB" w:rsidRPr="007F4FC6">
          <w:rPr>
            <w:rStyle w:val="Hyperlink"/>
          </w:rPr>
          <w:t>/CP.25</w:t>
        </w:r>
      </w:hyperlink>
      <w:r w:rsidR="008E4DBB">
        <w:tab/>
      </w:r>
      <w:r w:rsidR="00B421AE">
        <w:t>Administrative, financial and institutional matter</w:t>
      </w:r>
      <w:r w:rsidR="008E4DBB">
        <w:t>s</w:t>
      </w:r>
      <w:r w:rsidR="008E4DBB">
        <w:tab/>
      </w:r>
      <w:r w:rsidR="008E4DBB">
        <w:tab/>
      </w:r>
      <w:r w:rsidR="00A8007B">
        <w:t>36</w:t>
      </w:r>
    </w:p>
    <w:p w14:paraId="48021F88" w14:textId="77777777" w:rsidR="00492678" w:rsidRDefault="00492678" w:rsidP="00492678">
      <w:pPr>
        <w:pStyle w:val="TOC1"/>
        <w:tabs>
          <w:tab w:val="clear" w:pos="1985"/>
          <w:tab w:val="left" w:pos="2268"/>
        </w:tabs>
        <w:spacing w:before="120"/>
        <w:rPr>
          <w:i/>
          <w:sz w:val="18"/>
        </w:rPr>
      </w:pPr>
      <w:r>
        <w:tab/>
      </w:r>
      <w:r>
        <w:tab/>
      </w:r>
      <w:r w:rsidRPr="00492678">
        <w:rPr>
          <w:i/>
          <w:sz w:val="18"/>
        </w:rPr>
        <w:t>Resolution</w:t>
      </w:r>
    </w:p>
    <w:p w14:paraId="0B5C0182" w14:textId="711A8A3E" w:rsidR="005E6DF9" w:rsidRDefault="00492678" w:rsidP="00B421AE">
      <w:pPr>
        <w:pStyle w:val="TOC1"/>
        <w:tabs>
          <w:tab w:val="clear" w:pos="1985"/>
          <w:tab w:val="left" w:pos="2268"/>
        </w:tabs>
        <w:ind w:left="2265" w:hanging="2265"/>
        <w:rPr>
          <w:b/>
          <w:sz w:val="28"/>
        </w:rPr>
      </w:pPr>
      <w:r>
        <w:tab/>
      </w:r>
      <w:r>
        <w:tab/>
      </w:r>
      <w:hyperlink w:anchor="R1" w:history="1">
        <w:r w:rsidRPr="007F4FC6">
          <w:rPr>
            <w:rStyle w:val="Hyperlink"/>
          </w:rPr>
          <w:t>1/CP.25</w:t>
        </w:r>
      </w:hyperlink>
      <w:r>
        <w:tab/>
      </w:r>
      <w:r w:rsidR="00B421AE">
        <w:t xml:space="preserve">Expression of gratitude to </w:t>
      </w:r>
      <w:r w:rsidR="009F581F">
        <w:t xml:space="preserve">the </w:t>
      </w:r>
      <w:r w:rsidR="00B421AE" w:rsidRPr="00BE18F0">
        <w:t xml:space="preserve">Government of the Republic of Chile, </w:t>
      </w:r>
      <w:r w:rsidR="00B421AE">
        <w:br/>
      </w:r>
      <w:r w:rsidR="00B421AE" w:rsidRPr="00BE18F0">
        <w:t xml:space="preserve">the Government of the Kingdom of Spain and the people of the </w:t>
      </w:r>
      <w:r w:rsidR="00B421AE">
        <w:br/>
      </w:r>
      <w:r w:rsidR="00B421AE" w:rsidRPr="00BE18F0">
        <w:t>city of Madrid</w:t>
      </w:r>
      <w:r>
        <w:tab/>
      </w:r>
      <w:r>
        <w:tab/>
      </w:r>
      <w:r w:rsidR="00A8007B">
        <w:t>38</w:t>
      </w:r>
      <w:r w:rsidR="005E6DF9">
        <w:br w:type="page"/>
      </w:r>
    </w:p>
    <w:p w14:paraId="77784D68" w14:textId="4F80681B" w:rsidR="00492678" w:rsidRDefault="0034729C" w:rsidP="0034729C">
      <w:pPr>
        <w:pStyle w:val="HChG"/>
      </w:pPr>
      <w:r>
        <w:lastRenderedPageBreak/>
        <w:tab/>
      </w:r>
      <w:r>
        <w:tab/>
      </w:r>
      <w:bookmarkStart w:id="0" w:name="D7"/>
      <w:r w:rsidR="00492678">
        <w:t xml:space="preserve">Decision </w:t>
      </w:r>
      <w:r w:rsidR="000F5B5D">
        <w:t>7</w:t>
      </w:r>
      <w:r w:rsidR="00492678">
        <w:t>/CP.25</w:t>
      </w:r>
      <w:bookmarkEnd w:id="0"/>
    </w:p>
    <w:p w14:paraId="0C972BD5" w14:textId="6913AC5D" w:rsidR="0034729C" w:rsidRPr="009B600A" w:rsidRDefault="0034729C" w:rsidP="0034729C">
      <w:pPr>
        <w:pStyle w:val="HChG"/>
      </w:pPr>
      <w:r>
        <w:tab/>
      </w:r>
      <w:r>
        <w:tab/>
      </w:r>
      <w:r w:rsidRPr="002B5197">
        <w:t>National adaptation plans</w:t>
      </w:r>
    </w:p>
    <w:p w14:paraId="1E7936F7" w14:textId="77777777" w:rsidR="0034729C" w:rsidRPr="008926FB" w:rsidRDefault="0034729C" w:rsidP="0034729C">
      <w:pPr>
        <w:pStyle w:val="SingleTxtG"/>
        <w:ind w:firstLine="567"/>
        <w:rPr>
          <w:i/>
          <w:lang w:val="en-US"/>
        </w:rPr>
      </w:pPr>
      <w:r w:rsidRPr="008926FB">
        <w:rPr>
          <w:i/>
          <w:lang w:val="en-US"/>
        </w:rPr>
        <w:t>The Conference of the</w:t>
      </w:r>
      <w:r>
        <w:rPr>
          <w:i/>
          <w:lang w:val="en-US"/>
        </w:rPr>
        <w:t xml:space="preserve"> Parties</w:t>
      </w:r>
      <w:r w:rsidRPr="00EF0494">
        <w:rPr>
          <w:lang w:val="en-US"/>
        </w:rPr>
        <w:t>,</w:t>
      </w:r>
      <w:r w:rsidRPr="008926FB">
        <w:rPr>
          <w:i/>
          <w:lang w:val="en-US"/>
        </w:rPr>
        <w:t xml:space="preserve"> </w:t>
      </w:r>
    </w:p>
    <w:p w14:paraId="2B3E5821" w14:textId="38C5E94C" w:rsidR="0034729C" w:rsidRDefault="007F23B0" w:rsidP="007F23B0">
      <w:pPr>
        <w:pStyle w:val="RegSingleTxtG"/>
        <w:numPr>
          <w:ilvl w:val="0"/>
          <w:numId w:val="0"/>
        </w:numPr>
        <w:tabs>
          <w:tab w:val="left" w:pos="1134"/>
        </w:tabs>
        <w:spacing w:before="120"/>
        <w:ind w:left="1134"/>
      </w:pPr>
      <w:r>
        <w:rPr>
          <w:i/>
        </w:rPr>
        <w:tab/>
      </w:r>
      <w:r w:rsidR="0034729C" w:rsidRPr="00166F29">
        <w:rPr>
          <w:i/>
        </w:rPr>
        <w:t>Recalling</w:t>
      </w:r>
      <w:r w:rsidR="0034729C" w:rsidRPr="00166F29">
        <w:t xml:space="preserve"> decisions 1/CP.16, 3/CP.17, 5/CP.17, 12/CP.18, 18/CP.19</w:t>
      </w:r>
      <w:r w:rsidR="0034729C">
        <w:t xml:space="preserve">, </w:t>
      </w:r>
      <w:r w:rsidR="0034729C" w:rsidRPr="00166F29">
        <w:t>3/CP.20</w:t>
      </w:r>
      <w:r w:rsidR="0034729C">
        <w:t>, 1/CP.21, 4/CP.21, 6/CP.22 and 8/CP.24,</w:t>
      </w:r>
    </w:p>
    <w:p w14:paraId="11C7BEE3" w14:textId="2345C919" w:rsidR="0034729C" w:rsidRPr="002C3E20" w:rsidRDefault="002424D3" w:rsidP="002424D3">
      <w:pPr>
        <w:pStyle w:val="RegSingleTxtG"/>
        <w:numPr>
          <w:ilvl w:val="0"/>
          <w:numId w:val="0"/>
        </w:numPr>
        <w:ind w:left="1134"/>
      </w:pPr>
      <w:r w:rsidRPr="002C3E20">
        <w:t>1.</w:t>
      </w:r>
      <w:r w:rsidRPr="002C3E20">
        <w:tab/>
      </w:r>
      <w:r w:rsidR="0034729C" w:rsidRPr="002C3E20">
        <w:rPr>
          <w:i/>
        </w:rPr>
        <w:t xml:space="preserve">Welcomes </w:t>
      </w:r>
      <w:r w:rsidR="0034729C" w:rsidRPr="002C3E20">
        <w:t xml:space="preserve">the submissions from </w:t>
      </w:r>
      <w:r w:rsidR="0034729C" w:rsidRPr="00661406">
        <w:t>Ethiopia, Grenada, Guatemala, Saint Vincent and the Grenadines</w:t>
      </w:r>
      <w:r w:rsidR="0034729C">
        <w:t>,</w:t>
      </w:r>
      <w:r w:rsidR="0034729C" w:rsidRPr="002C3E20">
        <w:t xml:space="preserve"> </w:t>
      </w:r>
      <w:r w:rsidR="0034729C">
        <w:t xml:space="preserve">and Uruguay </w:t>
      </w:r>
      <w:r w:rsidR="0034729C" w:rsidRPr="002C3E20">
        <w:t xml:space="preserve">of their national adaptation plans </w:t>
      </w:r>
      <w:r w:rsidR="0034729C">
        <w:t>o</w:t>
      </w:r>
      <w:r w:rsidR="0034729C" w:rsidRPr="002C3E20">
        <w:t xml:space="preserve">n NAP Central, bringing the total number of submitted national adaptation plans to </w:t>
      </w:r>
      <w:r w:rsidR="0034729C" w:rsidRPr="0089626D">
        <w:t>17</w:t>
      </w:r>
      <w:r w:rsidR="0034729C" w:rsidRPr="002C3E20">
        <w:t>;</w:t>
      </w:r>
      <w:r w:rsidR="0034729C" w:rsidRPr="002C3E20">
        <w:rPr>
          <w:rStyle w:val="FootnoteReference"/>
          <w:iCs/>
        </w:rPr>
        <w:footnoteReference w:id="2"/>
      </w:r>
    </w:p>
    <w:p w14:paraId="36F2B639" w14:textId="32DEAAA8" w:rsidR="0034729C" w:rsidRDefault="002424D3" w:rsidP="002424D3">
      <w:pPr>
        <w:pStyle w:val="RegSingleTxtG"/>
        <w:numPr>
          <w:ilvl w:val="0"/>
          <w:numId w:val="0"/>
        </w:numPr>
        <w:ind w:left="1134"/>
      </w:pPr>
      <w:r>
        <w:t>2.</w:t>
      </w:r>
      <w:r>
        <w:tab/>
      </w:r>
      <w:r w:rsidR="0034729C" w:rsidRPr="00472926">
        <w:rPr>
          <w:i/>
        </w:rPr>
        <w:t>Takes note</w:t>
      </w:r>
      <w:r w:rsidR="0034729C" w:rsidRPr="00624E84">
        <w:t xml:space="preserve"> </w:t>
      </w:r>
      <w:r w:rsidR="0034729C">
        <w:t xml:space="preserve">of </w:t>
      </w:r>
      <w:r w:rsidR="0034729C" w:rsidRPr="00624E84">
        <w:t>the work of the A</w:t>
      </w:r>
      <w:r w:rsidR="0034729C">
        <w:t xml:space="preserve">daptation </w:t>
      </w:r>
      <w:r w:rsidR="0034729C" w:rsidRPr="00624E84">
        <w:t>C</w:t>
      </w:r>
      <w:r w:rsidR="0034729C">
        <w:t>ommittee</w:t>
      </w:r>
      <w:r w:rsidR="0034729C" w:rsidRPr="00624E84">
        <w:t xml:space="preserve"> and the </w:t>
      </w:r>
      <w:r w:rsidR="0034729C">
        <w:t>Least Developed Countries Expert Group</w:t>
      </w:r>
      <w:r w:rsidR="0034729C" w:rsidRPr="00624E84">
        <w:t xml:space="preserve"> on gaps and needs related to the process to formulate and implement </w:t>
      </w:r>
      <w:r w:rsidR="0034729C">
        <w:t>national adaptation plans</w:t>
      </w:r>
      <w:r w:rsidR="0034729C" w:rsidRPr="00624E84">
        <w:t xml:space="preserve">, including the gaps and needs contained in </w:t>
      </w:r>
      <w:r w:rsidR="0034729C">
        <w:t xml:space="preserve">annex I to </w:t>
      </w:r>
      <w:r w:rsidR="0034729C" w:rsidRPr="00624E84">
        <w:t>document FCCC/SBI/2019/16,</w:t>
      </w:r>
      <w:r w:rsidR="0034729C" w:rsidRPr="002C3E20">
        <w:rPr>
          <w:rStyle w:val="FootnoteReference"/>
          <w:iCs/>
        </w:rPr>
        <w:footnoteReference w:id="3"/>
      </w:r>
      <w:r w:rsidR="0034729C" w:rsidRPr="00624E84">
        <w:t xml:space="preserve"> and on ways to assist with the implementation of </w:t>
      </w:r>
      <w:r w:rsidR="0034729C">
        <w:t>national adaptation plans,</w:t>
      </w:r>
      <w:r w:rsidR="0034729C" w:rsidRPr="00624E84">
        <w:t xml:space="preserve"> as requested by </w:t>
      </w:r>
      <w:r w:rsidR="0034729C">
        <w:t>the Subsidiary Body for Implementation at its forty-seventh session;</w:t>
      </w:r>
      <w:r w:rsidR="0034729C" w:rsidRPr="002C3E20">
        <w:rPr>
          <w:rStyle w:val="FootnoteReference"/>
          <w:iCs/>
        </w:rPr>
        <w:footnoteReference w:id="4"/>
      </w:r>
    </w:p>
    <w:p w14:paraId="1845858C" w14:textId="1A1BAD93" w:rsidR="0034729C" w:rsidRDefault="002424D3" w:rsidP="002424D3">
      <w:pPr>
        <w:pStyle w:val="RegSingleTxtG"/>
        <w:numPr>
          <w:ilvl w:val="0"/>
          <w:numId w:val="0"/>
        </w:numPr>
        <w:ind w:left="1134"/>
      </w:pPr>
      <w:r>
        <w:t>3.</w:t>
      </w:r>
      <w:r>
        <w:tab/>
      </w:r>
      <w:r w:rsidR="0034729C" w:rsidRPr="00472926">
        <w:rPr>
          <w:i/>
        </w:rPr>
        <w:t>Requests</w:t>
      </w:r>
      <w:r w:rsidR="0034729C">
        <w:t xml:space="preserve"> </w:t>
      </w:r>
      <w:r w:rsidR="0034729C" w:rsidRPr="00624E84">
        <w:t>the A</w:t>
      </w:r>
      <w:r w:rsidR="0034729C">
        <w:t xml:space="preserve">daptation </w:t>
      </w:r>
      <w:r w:rsidR="0034729C" w:rsidRPr="00624E84">
        <w:t>C</w:t>
      </w:r>
      <w:r w:rsidR="0034729C">
        <w:t>ommittee</w:t>
      </w:r>
      <w:r w:rsidR="0034729C" w:rsidRPr="00624E84">
        <w:t xml:space="preserve">, through its task force on </w:t>
      </w:r>
      <w:r w:rsidR="0034729C">
        <w:t>national adaptation plans</w:t>
      </w:r>
      <w:r w:rsidR="0034729C" w:rsidRPr="00624E84">
        <w:t xml:space="preserve">, and the </w:t>
      </w:r>
      <w:r w:rsidR="0034729C">
        <w:t>Least Developed Countries Expert Group</w:t>
      </w:r>
      <w:r w:rsidR="0034729C" w:rsidRPr="00624E84">
        <w:t xml:space="preserve"> to continue to include in their reports</w:t>
      </w:r>
      <w:r w:rsidR="0034729C" w:rsidRPr="00D60BE6">
        <w:t xml:space="preserve"> </w:t>
      </w:r>
      <w:r w:rsidR="0034729C" w:rsidRPr="00624E84">
        <w:t xml:space="preserve">information on </w:t>
      </w:r>
      <w:r w:rsidR="0034729C">
        <w:t xml:space="preserve">the </w:t>
      </w:r>
      <w:r w:rsidR="0034729C" w:rsidRPr="00624E84">
        <w:t xml:space="preserve">gaps and needs related to the process to formulate and implement </w:t>
      </w:r>
      <w:r w:rsidR="0034729C">
        <w:t>national adaptation plans</w:t>
      </w:r>
      <w:r w:rsidR="0034729C" w:rsidRPr="00624E84">
        <w:t xml:space="preserve"> identified </w:t>
      </w:r>
      <w:r w:rsidR="0034729C">
        <w:t>in undertaking their</w:t>
      </w:r>
      <w:r w:rsidR="0034729C" w:rsidRPr="00624E84">
        <w:t xml:space="preserve"> mandated work and </w:t>
      </w:r>
      <w:r w:rsidR="0034729C">
        <w:t xml:space="preserve">on </w:t>
      </w:r>
      <w:r w:rsidR="0034729C" w:rsidRPr="00624E84">
        <w:t>how to address them</w:t>
      </w:r>
      <w:r w:rsidR="0034729C">
        <w:t>;</w:t>
      </w:r>
    </w:p>
    <w:p w14:paraId="3E21015C" w14:textId="58FDC281" w:rsidR="0034729C" w:rsidRDefault="002424D3" w:rsidP="002424D3">
      <w:pPr>
        <w:pStyle w:val="RegSingleTxtG"/>
        <w:numPr>
          <w:ilvl w:val="0"/>
          <w:numId w:val="0"/>
        </w:numPr>
        <w:ind w:left="1134"/>
      </w:pPr>
      <w:r>
        <w:t>4.</w:t>
      </w:r>
      <w:r>
        <w:tab/>
      </w:r>
      <w:r w:rsidR="0034729C" w:rsidRPr="00472926">
        <w:rPr>
          <w:i/>
        </w:rPr>
        <w:t>In</w:t>
      </w:r>
      <w:r w:rsidR="0034729C">
        <w:rPr>
          <w:i/>
        </w:rPr>
        <w:t>v</w:t>
      </w:r>
      <w:r w:rsidR="0034729C" w:rsidRPr="00472926">
        <w:rPr>
          <w:i/>
        </w:rPr>
        <w:t>ites</w:t>
      </w:r>
      <w:r w:rsidR="0034729C" w:rsidRPr="00624E84">
        <w:t xml:space="preserve"> constituted bodies and other organizations to provide information to the A</w:t>
      </w:r>
      <w:r w:rsidR="0034729C">
        <w:t xml:space="preserve">daptation </w:t>
      </w:r>
      <w:r w:rsidR="0034729C" w:rsidRPr="00624E84">
        <w:t>C</w:t>
      </w:r>
      <w:r w:rsidR="0034729C">
        <w:t>ommittee</w:t>
      </w:r>
      <w:r w:rsidR="0034729C" w:rsidRPr="00624E84">
        <w:t xml:space="preserve"> and the </w:t>
      </w:r>
      <w:r w:rsidR="0034729C">
        <w:t>Least Developed Countries Expert Group</w:t>
      </w:r>
      <w:r w:rsidR="0034729C" w:rsidRPr="00624E84">
        <w:t xml:space="preserve"> on activities </w:t>
      </w:r>
      <w:r w:rsidR="0034729C">
        <w:t>undertaken</w:t>
      </w:r>
      <w:r w:rsidR="0034729C" w:rsidRPr="00624E84">
        <w:t xml:space="preserve"> to address gaps and needs related to the process to formulate and implement </w:t>
      </w:r>
      <w:r w:rsidR="0034729C">
        <w:t>national adaptation plans;</w:t>
      </w:r>
    </w:p>
    <w:p w14:paraId="133DF46D" w14:textId="42552F20" w:rsidR="0034729C" w:rsidRDefault="002424D3" w:rsidP="002424D3">
      <w:pPr>
        <w:pStyle w:val="RegSingleTxtG"/>
        <w:numPr>
          <w:ilvl w:val="0"/>
          <w:numId w:val="0"/>
        </w:numPr>
        <w:ind w:left="1134"/>
      </w:pPr>
      <w:r>
        <w:t>5.</w:t>
      </w:r>
      <w:r>
        <w:tab/>
      </w:r>
      <w:r w:rsidR="0034729C">
        <w:rPr>
          <w:i/>
        </w:rPr>
        <w:t>Emphasizes</w:t>
      </w:r>
      <w:r w:rsidR="0034729C">
        <w:t xml:space="preserve"> </w:t>
      </w:r>
      <w:r w:rsidR="0034729C" w:rsidRPr="00624E84">
        <w:t>the importance of</w:t>
      </w:r>
      <w:r w:rsidR="0034729C">
        <w:t xml:space="preserve"> providing</w:t>
      </w:r>
      <w:r w:rsidR="0034729C" w:rsidRPr="00624E84">
        <w:t xml:space="preserve"> support to developing countr</w:t>
      </w:r>
      <w:r w:rsidR="0034729C">
        <w:t>y Parties</w:t>
      </w:r>
      <w:r w:rsidR="0034729C" w:rsidRPr="00624E84">
        <w:t xml:space="preserve"> </w:t>
      </w:r>
      <w:r w:rsidR="0034729C">
        <w:t>for</w:t>
      </w:r>
      <w:r w:rsidR="0034729C" w:rsidRPr="00624E84">
        <w:t xml:space="preserve"> formulat</w:t>
      </w:r>
      <w:r w:rsidR="0034729C">
        <w:t xml:space="preserve">ing </w:t>
      </w:r>
      <w:r w:rsidR="0034729C" w:rsidRPr="00624E84">
        <w:t>and implement</w:t>
      </w:r>
      <w:r w:rsidR="0034729C">
        <w:t>ing</w:t>
      </w:r>
      <w:r w:rsidR="0034729C" w:rsidRPr="00624E84">
        <w:t xml:space="preserve"> </w:t>
      </w:r>
      <w:r w:rsidR="0034729C">
        <w:t>national adaptation plans;</w:t>
      </w:r>
    </w:p>
    <w:p w14:paraId="4AD6B072" w14:textId="0AD256B6" w:rsidR="0034729C" w:rsidRDefault="002424D3" w:rsidP="002424D3">
      <w:pPr>
        <w:pStyle w:val="RegSingleTxtG"/>
        <w:numPr>
          <w:ilvl w:val="0"/>
          <w:numId w:val="0"/>
        </w:numPr>
        <w:ind w:left="1134"/>
      </w:pPr>
      <w:r>
        <w:t>6.</w:t>
      </w:r>
      <w:r>
        <w:tab/>
      </w:r>
      <w:r w:rsidR="0034729C" w:rsidRPr="00472926">
        <w:rPr>
          <w:i/>
        </w:rPr>
        <w:t>Notes</w:t>
      </w:r>
      <w:r w:rsidR="0034729C" w:rsidRPr="00624E84">
        <w:t xml:space="preserve"> that funding has been made available for developing country Parties under the </w:t>
      </w:r>
      <w:r w:rsidR="0034729C">
        <w:t>Green Climate Fund</w:t>
      </w:r>
      <w:r w:rsidR="0034729C" w:rsidRPr="00624E84">
        <w:t>, the L</w:t>
      </w:r>
      <w:r w:rsidR="0034729C">
        <w:t xml:space="preserve">east </w:t>
      </w:r>
      <w:r w:rsidR="0034729C" w:rsidRPr="00624E84">
        <w:t>D</w:t>
      </w:r>
      <w:r w:rsidR="0034729C">
        <w:t xml:space="preserve">eveloped </w:t>
      </w:r>
      <w:r w:rsidR="0034729C" w:rsidRPr="00624E84">
        <w:t>C</w:t>
      </w:r>
      <w:r w:rsidR="0034729C">
        <w:t xml:space="preserve">ountries </w:t>
      </w:r>
      <w:r w:rsidR="0034729C" w:rsidRPr="00624E84">
        <w:t>F</w:t>
      </w:r>
      <w:r w:rsidR="0034729C">
        <w:t xml:space="preserve">und </w:t>
      </w:r>
      <w:r w:rsidR="0034729C" w:rsidRPr="00624E84">
        <w:t>and the S</w:t>
      </w:r>
      <w:r w:rsidR="0034729C">
        <w:t xml:space="preserve">pecial </w:t>
      </w:r>
      <w:r w:rsidR="0034729C" w:rsidRPr="00624E84">
        <w:t>C</w:t>
      </w:r>
      <w:r w:rsidR="0034729C">
        <w:t xml:space="preserve">limate </w:t>
      </w:r>
      <w:r w:rsidR="0034729C" w:rsidRPr="00624E84">
        <w:t>C</w:t>
      </w:r>
      <w:r w:rsidR="0034729C">
        <w:t xml:space="preserve">hange </w:t>
      </w:r>
      <w:r w:rsidR="0034729C" w:rsidRPr="00624E84">
        <w:t>F</w:t>
      </w:r>
      <w:r w:rsidR="0034729C">
        <w:t>und</w:t>
      </w:r>
      <w:r w:rsidR="0034729C" w:rsidRPr="00624E84">
        <w:t xml:space="preserve"> for the process to formulate and implement </w:t>
      </w:r>
      <w:r w:rsidR="0034729C">
        <w:t>national adaptation plans</w:t>
      </w:r>
      <w:r w:rsidR="0034729C" w:rsidRPr="00624E84">
        <w:t xml:space="preserve">, and that other channels of bilateral, multilateral and domestic support have also contributed to enabling developing countries to advance their work in the process to formulate and implement </w:t>
      </w:r>
      <w:r w:rsidR="0034729C">
        <w:t>national adaptation plans;</w:t>
      </w:r>
    </w:p>
    <w:p w14:paraId="293BDDC2" w14:textId="214262BB" w:rsidR="0034729C" w:rsidRDefault="002424D3" w:rsidP="002424D3">
      <w:pPr>
        <w:pStyle w:val="RegSingleTxtG"/>
        <w:numPr>
          <w:ilvl w:val="0"/>
          <w:numId w:val="0"/>
        </w:numPr>
        <w:ind w:left="1134"/>
      </w:pPr>
      <w:r>
        <w:t>7.</w:t>
      </w:r>
      <w:r>
        <w:tab/>
      </w:r>
      <w:r w:rsidR="0034729C" w:rsidRPr="00472926">
        <w:rPr>
          <w:i/>
        </w:rPr>
        <w:t>Urges</w:t>
      </w:r>
      <w:r w:rsidR="0034729C" w:rsidRPr="007E4016">
        <w:t xml:space="preserve"> developed country Parties and </w:t>
      </w:r>
      <w:r w:rsidR="0034729C" w:rsidRPr="007B4BD4">
        <w:rPr>
          <w:i/>
        </w:rPr>
        <w:t>invites</w:t>
      </w:r>
      <w:r w:rsidR="0034729C" w:rsidRPr="007E4016">
        <w:t xml:space="preserve"> other Parties that provide resources on a voluntary basis, United Nations organizations, specialized agencies and other relevant organizations as well as bilateral and multilateral agencies to continue to mobilize support for adaptation activities in developing country Parties</w:t>
      </w:r>
      <w:r w:rsidR="0034729C">
        <w:t>;</w:t>
      </w:r>
    </w:p>
    <w:p w14:paraId="7C214E63" w14:textId="71D20623" w:rsidR="0034729C" w:rsidRDefault="002424D3" w:rsidP="002424D3">
      <w:pPr>
        <w:pStyle w:val="RegSingleTxtG"/>
        <w:numPr>
          <w:ilvl w:val="0"/>
          <w:numId w:val="0"/>
        </w:numPr>
        <w:ind w:left="1134"/>
      </w:pPr>
      <w:r>
        <w:t>8.</w:t>
      </w:r>
      <w:r>
        <w:tab/>
      </w:r>
      <w:r w:rsidR="0034729C" w:rsidRPr="00472926">
        <w:rPr>
          <w:i/>
        </w:rPr>
        <w:t>Takes note</w:t>
      </w:r>
      <w:r w:rsidR="0034729C" w:rsidRPr="007E4016">
        <w:t xml:space="preserve"> of the progress </w:t>
      </w:r>
      <w:r w:rsidR="0034729C">
        <w:t>of</w:t>
      </w:r>
      <w:r w:rsidR="0034729C" w:rsidRPr="007E4016">
        <w:t xml:space="preserve"> the </w:t>
      </w:r>
      <w:r w:rsidR="0034729C" w:rsidRPr="002C3E20">
        <w:t xml:space="preserve">Green Climate Fund </w:t>
      </w:r>
      <w:r w:rsidR="0034729C">
        <w:t>in</w:t>
      </w:r>
      <w:r w:rsidR="0034729C" w:rsidRPr="007E4016">
        <w:t xml:space="preserve"> enhanc</w:t>
      </w:r>
      <w:r w:rsidR="0034729C">
        <w:t>ing</w:t>
      </w:r>
      <w:r w:rsidR="0034729C" w:rsidRPr="007E4016">
        <w:t xml:space="preserve"> the process of accessing support for the formulation and implementation of </w:t>
      </w:r>
      <w:r w:rsidR="0034729C">
        <w:t>national adaptation plans</w:t>
      </w:r>
      <w:r w:rsidR="0034729C" w:rsidRPr="007E4016">
        <w:t xml:space="preserve"> and </w:t>
      </w:r>
      <w:r w:rsidR="0034729C" w:rsidRPr="009F293A">
        <w:rPr>
          <w:i/>
        </w:rPr>
        <w:t>expresse</w:t>
      </w:r>
      <w:r w:rsidR="0034729C">
        <w:rPr>
          <w:i/>
        </w:rPr>
        <w:t>s</w:t>
      </w:r>
      <w:r w:rsidR="0034729C" w:rsidRPr="009F293A">
        <w:rPr>
          <w:i/>
        </w:rPr>
        <w:t xml:space="preserve"> </w:t>
      </w:r>
      <w:r w:rsidR="0034729C" w:rsidRPr="000758CC">
        <w:rPr>
          <w:i/>
        </w:rPr>
        <w:t>its appreciation</w:t>
      </w:r>
      <w:r w:rsidR="0034729C">
        <w:t xml:space="preserve"> to</w:t>
      </w:r>
      <w:r w:rsidR="0034729C" w:rsidRPr="007E4016">
        <w:t xml:space="preserve"> the </w:t>
      </w:r>
      <w:r w:rsidR="0034729C" w:rsidRPr="00624E84">
        <w:t>A</w:t>
      </w:r>
      <w:r w:rsidR="0034729C">
        <w:t xml:space="preserve">daptation </w:t>
      </w:r>
      <w:r w:rsidR="0034729C" w:rsidRPr="00624E84">
        <w:t>C</w:t>
      </w:r>
      <w:r w:rsidR="0034729C">
        <w:t>ommittee</w:t>
      </w:r>
      <w:r w:rsidR="0034729C" w:rsidRPr="007E4016">
        <w:t xml:space="preserve"> and the </w:t>
      </w:r>
      <w:r w:rsidR="0034729C">
        <w:t>Least Developed Countries Expert Group</w:t>
      </w:r>
      <w:r w:rsidR="0034729C" w:rsidRPr="007E4016">
        <w:t xml:space="preserve"> for their engagement with the </w:t>
      </w:r>
      <w:r w:rsidR="0034729C" w:rsidRPr="002C3E20">
        <w:t xml:space="preserve">Green Climate Fund </w:t>
      </w:r>
      <w:r w:rsidR="0034729C" w:rsidRPr="007E4016">
        <w:t>in this regard</w:t>
      </w:r>
      <w:r w:rsidR="0034729C">
        <w:t>;</w:t>
      </w:r>
    </w:p>
    <w:p w14:paraId="30EC0BCA" w14:textId="7332757C" w:rsidR="0034729C" w:rsidRDefault="002424D3" w:rsidP="002424D3">
      <w:pPr>
        <w:pStyle w:val="RegSingleTxtG"/>
        <w:numPr>
          <w:ilvl w:val="0"/>
          <w:numId w:val="0"/>
        </w:numPr>
        <w:ind w:left="1134"/>
        <w:rPr>
          <w:rFonts w:eastAsia="Times New Roman"/>
        </w:rPr>
      </w:pPr>
      <w:r>
        <w:rPr>
          <w:rFonts w:eastAsia="Times New Roman"/>
        </w:rPr>
        <w:t>9.</w:t>
      </w:r>
      <w:r>
        <w:rPr>
          <w:rFonts w:eastAsia="Times New Roman"/>
        </w:rPr>
        <w:tab/>
      </w:r>
      <w:r w:rsidR="0034729C" w:rsidRPr="2197FE05">
        <w:rPr>
          <w:i/>
          <w:iCs/>
        </w:rPr>
        <w:t>Notes</w:t>
      </w:r>
      <w:r w:rsidR="0034729C" w:rsidRPr="2197FE05">
        <w:t xml:space="preserve"> the challenges and complexities experienced by developing country Parties in accessing funding from the Green Climate Fund Readiness and Preparatory Support Programme for the formulation of national adaptation plans, particularly relating to the application and review of proposals for funding;</w:t>
      </w:r>
    </w:p>
    <w:p w14:paraId="37601BE4" w14:textId="62E480EA" w:rsidR="0034729C" w:rsidRDefault="002424D3" w:rsidP="002424D3">
      <w:pPr>
        <w:pStyle w:val="RegSingleTxtG"/>
        <w:numPr>
          <w:ilvl w:val="0"/>
          <w:numId w:val="0"/>
        </w:numPr>
        <w:ind w:left="1134"/>
      </w:pPr>
      <w:r>
        <w:t>10.</w:t>
      </w:r>
      <w:r>
        <w:tab/>
      </w:r>
      <w:r w:rsidR="0034729C" w:rsidRPr="00472926">
        <w:rPr>
          <w:i/>
        </w:rPr>
        <w:t>Invites</w:t>
      </w:r>
      <w:r w:rsidR="0034729C" w:rsidRPr="002E0F64">
        <w:t xml:space="preserve"> delivery partners </w:t>
      </w:r>
      <w:r w:rsidR="0034729C">
        <w:t>of</w:t>
      </w:r>
      <w:r w:rsidR="0034729C" w:rsidRPr="002E0F64">
        <w:t xml:space="preserve"> the </w:t>
      </w:r>
      <w:r w:rsidR="0034729C" w:rsidRPr="002C3E20">
        <w:t xml:space="preserve">Green Climate Fund </w:t>
      </w:r>
      <w:r w:rsidR="0034729C" w:rsidRPr="002E0F64">
        <w:t xml:space="preserve">Readiness and Preparatory Support Programme for the formulation of </w:t>
      </w:r>
      <w:r w:rsidR="0034729C">
        <w:t>national adaptation plans</w:t>
      </w:r>
      <w:r w:rsidR="0034729C" w:rsidRPr="002E0F64">
        <w:t xml:space="preserve"> to strengthen efforts to support developing countr</w:t>
      </w:r>
      <w:r w:rsidR="0034729C">
        <w:t>y Parties</w:t>
      </w:r>
      <w:r w:rsidR="0034729C" w:rsidRPr="002E0F64">
        <w:t xml:space="preserve"> with the goal of expediting the submission of readiness proposals to the </w:t>
      </w:r>
      <w:r w:rsidR="0034729C" w:rsidRPr="002C3E20">
        <w:t>Green Climate Fund</w:t>
      </w:r>
      <w:r w:rsidR="0034729C">
        <w:t>;</w:t>
      </w:r>
    </w:p>
    <w:p w14:paraId="7D1AC640" w14:textId="6770867E" w:rsidR="0034729C" w:rsidRDefault="002424D3" w:rsidP="002424D3">
      <w:pPr>
        <w:pStyle w:val="RegSingleTxtG"/>
        <w:numPr>
          <w:ilvl w:val="0"/>
          <w:numId w:val="0"/>
        </w:numPr>
        <w:ind w:left="1134"/>
      </w:pPr>
      <w:r>
        <w:lastRenderedPageBreak/>
        <w:t>11.</w:t>
      </w:r>
      <w:r>
        <w:tab/>
      </w:r>
      <w:r w:rsidR="0034729C" w:rsidRPr="00472926">
        <w:rPr>
          <w:i/>
        </w:rPr>
        <w:t>Requests</w:t>
      </w:r>
      <w:r w:rsidR="0034729C">
        <w:t xml:space="preserve"> the Subsidiary Body for Implementation, at its fifty-third session (November 2020),</w:t>
      </w:r>
      <w:r w:rsidR="0034729C" w:rsidRPr="0057336C">
        <w:t xml:space="preserve"> </w:t>
      </w:r>
      <w:r w:rsidR="0034729C">
        <w:t xml:space="preserve">to consider </w:t>
      </w:r>
      <w:r w:rsidR="0034729C" w:rsidRPr="0057336C">
        <w:t>information from the reports of the A</w:t>
      </w:r>
      <w:r w:rsidR="0034729C">
        <w:t xml:space="preserve">daptation </w:t>
      </w:r>
      <w:r w:rsidR="0034729C" w:rsidRPr="0057336C">
        <w:t>C</w:t>
      </w:r>
      <w:r w:rsidR="0034729C">
        <w:t>ommittee</w:t>
      </w:r>
      <w:r w:rsidR="0034729C" w:rsidRPr="0057336C">
        <w:t xml:space="preserve"> and the </w:t>
      </w:r>
      <w:r w:rsidR="0034729C">
        <w:t>Least Developed Countries Expert Group,</w:t>
      </w:r>
      <w:r w:rsidR="0034729C" w:rsidRPr="0057336C">
        <w:t xml:space="preserve"> including on gaps and needs</w:t>
      </w:r>
      <w:r w:rsidR="0034729C">
        <w:t xml:space="preserve"> and</w:t>
      </w:r>
      <w:r w:rsidR="0034729C" w:rsidRPr="0057336C">
        <w:t xml:space="preserve"> the implementation of </w:t>
      </w:r>
      <w:r w:rsidR="0034729C">
        <w:t>national adaptation plans,</w:t>
      </w:r>
      <w:r w:rsidR="0034729C" w:rsidRPr="0057336C">
        <w:t xml:space="preserve"> and </w:t>
      </w:r>
      <w:r w:rsidR="0034729C">
        <w:t xml:space="preserve">to </w:t>
      </w:r>
      <w:r w:rsidR="0034729C" w:rsidRPr="0057336C">
        <w:t>take further action as appropriate</w:t>
      </w:r>
      <w:r w:rsidR="0034729C">
        <w:t>.</w:t>
      </w:r>
    </w:p>
    <w:p w14:paraId="55FD3C81" w14:textId="22D8BA1A" w:rsidR="007F23B0" w:rsidRDefault="00ED5EE2" w:rsidP="000F5B5D">
      <w:pPr>
        <w:pStyle w:val="RegSingleTxtG"/>
        <w:numPr>
          <w:ilvl w:val="0"/>
          <w:numId w:val="0"/>
        </w:numPr>
        <w:tabs>
          <w:tab w:val="left" w:pos="1134"/>
        </w:tabs>
        <w:ind w:left="1134"/>
        <w:jc w:val="right"/>
      </w:pPr>
      <w:r>
        <w:rPr>
          <w:i/>
        </w:rPr>
        <w:t>7</w:t>
      </w:r>
      <w:r w:rsidRPr="00ED5EE2">
        <w:rPr>
          <w:i/>
          <w:vertAlign w:val="superscript"/>
        </w:rPr>
        <w:t>th</w:t>
      </w:r>
      <w:r>
        <w:rPr>
          <w:i/>
        </w:rPr>
        <w:t xml:space="preserve"> plenary meeting</w:t>
      </w:r>
      <w:r>
        <w:rPr>
          <w:i/>
        </w:rPr>
        <w:br/>
      </w:r>
      <w:r w:rsidR="000F5B5D">
        <w:rPr>
          <w:i/>
        </w:rPr>
        <w:t>12 December 2019</w:t>
      </w:r>
    </w:p>
    <w:p w14:paraId="3EC81B58" w14:textId="77777777" w:rsidR="00492678" w:rsidRDefault="00492678" w:rsidP="00BC2A36">
      <w:pPr>
        <w:pStyle w:val="HChG"/>
      </w:pPr>
      <w:r>
        <w:tab/>
      </w:r>
      <w:r>
        <w:tab/>
      </w:r>
    </w:p>
    <w:p w14:paraId="185FD992" w14:textId="03D5DE91" w:rsidR="0034729C" w:rsidRPr="0034729C" w:rsidRDefault="0034729C" w:rsidP="0034729C">
      <w:pPr>
        <w:sectPr w:rsidR="0034729C" w:rsidRPr="0034729C" w:rsidSect="00C92FFD">
          <w:headerReference w:type="even" r:id="rId13"/>
          <w:headerReference w:type="default" r:id="rId14"/>
          <w:footerReference w:type="even" r:id="rId15"/>
          <w:footerReference w:type="default" r:id="rId16"/>
          <w:footnotePr>
            <w:numRestart w:val="eachSect"/>
          </w:footnotePr>
          <w:pgSz w:w="11906" w:h="16838" w:code="9"/>
          <w:pgMar w:top="1417" w:right="1134" w:bottom="1134" w:left="1134" w:header="850" w:footer="567" w:gutter="0"/>
          <w:cols w:space="708"/>
          <w:titlePg/>
          <w:docGrid w:linePitch="360"/>
        </w:sectPr>
      </w:pPr>
    </w:p>
    <w:p w14:paraId="10B40844" w14:textId="18BE699A" w:rsidR="00C9679E" w:rsidRPr="00B3193B" w:rsidRDefault="00674169" w:rsidP="00674169">
      <w:pPr>
        <w:pStyle w:val="HChG"/>
      </w:pPr>
      <w:r>
        <w:lastRenderedPageBreak/>
        <w:tab/>
      </w:r>
      <w:r>
        <w:tab/>
      </w:r>
      <w:bookmarkStart w:id="1" w:name="D8"/>
      <w:r w:rsidR="00C9679E">
        <w:t>D</w:t>
      </w:r>
      <w:r w:rsidR="00C9679E" w:rsidRPr="00B3193B">
        <w:t xml:space="preserve">ecision </w:t>
      </w:r>
      <w:r>
        <w:t>8</w:t>
      </w:r>
      <w:r w:rsidR="00C9679E" w:rsidRPr="00B3193B">
        <w:t>/C</w:t>
      </w:r>
      <w:r w:rsidR="00C9679E">
        <w:t>P</w:t>
      </w:r>
      <w:r w:rsidR="00C9679E" w:rsidRPr="00B3193B">
        <w:t>.</w:t>
      </w:r>
      <w:r w:rsidR="00C9679E">
        <w:t>25</w:t>
      </w:r>
      <w:bookmarkEnd w:id="1"/>
    </w:p>
    <w:p w14:paraId="5B034FA7" w14:textId="5BBA12C4" w:rsidR="007B13FC" w:rsidRPr="006B20FB" w:rsidRDefault="00C9679E" w:rsidP="007B13FC">
      <w:pPr>
        <w:pStyle w:val="HChG"/>
      </w:pPr>
      <w:r w:rsidRPr="00B3193B">
        <w:tab/>
      </w:r>
      <w:r w:rsidRPr="00B3193B">
        <w:tab/>
      </w:r>
      <w:r w:rsidR="007B13FC">
        <w:tab/>
        <w:t>A</w:t>
      </w:r>
      <w:r w:rsidR="007B13FC" w:rsidRPr="003D7509">
        <w:t>nnual technical progress report of the Paris Committee on Capacity-building</w:t>
      </w:r>
      <w:r w:rsidR="007B13FC">
        <w:t xml:space="preserve"> for 2019</w:t>
      </w:r>
    </w:p>
    <w:p w14:paraId="2913A4D1" w14:textId="77777777" w:rsidR="007B13FC" w:rsidRDefault="007B13FC" w:rsidP="007B13FC">
      <w:pPr>
        <w:spacing w:after="120"/>
        <w:ind w:left="981" w:firstLine="720"/>
        <w:jc w:val="both"/>
      </w:pPr>
      <w:r>
        <w:rPr>
          <w:i/>
        </w:rPr>
        <w:t>The Conference of the Parties</w:t>
      </w:r>
      <w:r>
        <w:t>,</w:t>
      </w:r>
    </w:p>
    <w:p w14:paraId="71A6B605" w14:textId="77777777" w:rsidR="007B13FC" w:rsidRDefault="007B13FC" w:rsidP="007B13FC">
      <w:pPr>
        <w:spacing w:after="120"/>
        <w:ind w:left="1134" w:right="1229" w:firstLine="567"/>
        <w:jc w:val="both"/>
      </w:pPr>
      <w:r>
        <w:rPr>
          <w:i/>
        </w:rPr>
        <w:t xml:space="preserve">Recalling </w:t>
      </w:r>
      <w:r>
        <w:t>decisions 2/CP.17, 1/CP.21, 2/CP.22, 16/CP.22, 16/CP.23 and 15/CP.24,</w:t>
      </w:r>
    </w:p>
    <w:p w14:paraId="23A1E4B0" w14:textId="3C06AEE6" w:rsidR="007B13FC" w:rsidRDefault="002424D3" w:rsidP="002424D3">
      <w:pPr>
        <w:tabs>
          <w:tab w:val="left" w:pos="568"/>
          <w:tab w:val="left" w:pos="1701"/>
        </w:tabs>
        <w:spacing w:after="120"/>
        <w:ind w:left="1135" w:right="1134"/>
        <w:jc w:val="both"/>
      </w:pPr>
      <w:r>
        <w:t>1.</w:t>
      </w:r>
      <w:r>
        <w:tab/>
      </w:r>
      <w:r w:rsidR="007B13FC">
        <w:rPr>
          <w:i/>
        </w:rPr>
        <w:t xml:space="preserve">Welcomes </w:t>
      </w:r>
      <w:r w:rsidR="007B13FC">
        <w:t>the annual technical progress report of the Paris Committee on Capacity-building for 2019</w:t>
      </w:r>
      <w:r w:rsidR="007B13FC">
        <w:rPr>
          <w:rStyle w:val="FootnoteReference"/>
        </w:rPr>
        <w:footnoteReference w:id="5"/>
      </w:r>
      <w:r w:rsidR="007B13FC">
        <w:t xml:space="preserve"> and </w:t>
      </w:r>
      <w:r w:rsidR="007B13FC">
        <w:rPr>
          <w:i/>
        </w:rPr>
        <w:t>takes note</w:t>
      </w:r>
      <w:r w:rsidR="007B13FC">
        <w:t xml:space="preserve"> of the recommendations contained therein;</w:t>
      </w:r>
    </w:p>
    <w:p w14:paraId="14CF0BFB" w14:textId="2E1A24E8" w:rsidR="007B13FC" w:rsidRDefault="002424D3" w:rsidP="002424D3">
      <w:pPr>
        <w:pStyle w:val="RegSingleTxtG"/>
        <w:numPr>
          <w:ilvl w:val="0"/>
          <w:numId w:val="0"/>
        </w:numPr>
        <w:tabs>
          <w:tab w:val="left" w:pos="568"/>
        </w:tabs>
        <w:spacing w:before="120"/>
        <w:ind w:left="1135"/>
      </w:pPr>
      <w:r>
        <w:t>2.</w:t>
      </w:r>
      <w:r>
        <w:tab/>
      </w:r>
      <w:r w:rsidR="007B13FC">
        <w:rPr>
          <w:i/>
        </w:rPr>
        <w:t xml:space="preserve">Invites </w:t>
      </w:r>
      <w:r w:rsidR="007B13FC">
        <w:rPr>
          <w:spacing w:val="-2"/>
        </w:rPr>
        <w:t>Parties, as appropriate, the operating entities of the Financial Mechanism, the constituted bodies under the Convention, United Nations organizations, observers and other stakeholders</w:t>
      </w:r>
      <w:r w:rsidR="007B13FC">
        <w:t xml:space="preserve"> to consider the recommendations referred to in paragraph 1 above and to take any necessary action, as appropriate and in accordance with their mandates;</w:t>
      </w:r>
    </w:p>
    <w:p w14:paraId="660B6011" w14:textId="4347A1E2" w:rsidR="007B13FC" w:rsidRDefault="002424D3" w:rsidP="002424D3">
      <w:pPr>
        <w:pStyle w:val="RegSingleTxtG"/>
        <w:numPr>
          <w:ilvl w:val="0"/>
          <w:numId w:val="0"/>
        </w:numPr>
        <w:tabs>
          <w:tab w:val="left" w:pos="568"/>
        </w:tabs>
        <w:ind w:left="1135"/>
      </w:pPr>
      <w:r>
        <w:t>3.</w:t>
      </w:r>
      <w:r>
        <w:tab/>
      </w:r>
      <w:r w:rsidR="007B13FC">
        <w:rPr>
          <w:i/>
        </w:rPr>
        <w:t xml:space="preserve">Welcomes </w:t>
      </w:r>
      <w:r w:rsidR="007B13FC">
        <w:t>the work of the Paris Committee on Capacity-building in relation to enhancing the coherence and coordination of capacity-building activities under the Convention, including its collaboration with constituted bodies and other actors under the Convention;</w:t>
      </w:r>
    </w:p>
    <w:p w14:paraId="5D715BBE" w14:textId="356A1F83" w:rsidR="007B13FC" w:rsidRDefault="002424D3" w:rsidP="002424D3">
      <w:pPr>
        <w:pStyle w:val="RegSingleTxtG"/>
        <w:numPr>
          <w:ilvl w:val="0"/>
          <w:numId w:val="0"/>
        </w:numPr>
        <w:tabs>
          <w:tab w:val="left" w:pos="568"/>
        </w:tabs>
        <w:ind w:left="1135"/>
      </w:pPr>
      <w:r>
        <w:t>4.</w:t>
      </w:r>
      <w:r>
        <w:tab/>
      </w:r>
      <w:r w:rsidR="007B13FC">
        <w:rPr>
          <w:i/>
        </w:rPr>
        <w:t>Also welcomes</w:t>
      </w:r>
      <w:r w:rsidR="007B13FC">
        <w:t xml:space="preserve"> the collaboration of the Paris Committee on Capacity-building with Parties and non-Party stakeholders, including through the Capacity-building Hub and social media;</w:t>
      </w:r>
    </w:p>
    <w:p w14:paraId="60D9739E" w14:textId="64052BB1" w:rsidR="007B13FC" w:rsidRDefault="002424D3" w:rsidP="002424D3">
      <w:pPr>
        <w:pStyle w:val="RegSingleTxtG"/>
        <w:numPr>
          <w:ilvl w:val="0"/>
          <w:numId w:val="0"/>
        </w:numPr>
        <w:tabs>
          <w:tab w:val="left" w:pos="568"/>
        </w:tabs>
        <w:ind w:left="1135"/>
      </w:pPr>
      <w:r>
        <w:t>5.</w:t>
      </w:r>
      <w:r>
        <w:tab/>
      </w:r>
      <w:r w:rsidR="007B13FC">
        <w:rPr>
          <w:i/>
        </w:rPr>
        <w:t xml:space="preserve">Takes note </w:t>
      </w:r>
      <w:r w:rsidR="007B13FC">
        <w:t>of</w:t>
      </w:r>
      <w:r w:rsidR="007B13FC">
        <w:rPr>
          <w:i/>
        </w:rPr>
        <w:t xml:space="preserve"> </w:t>
      </w:r>
      <w:r w:rsidR="007B13FC">
        <w:t>the 2020 focus area of the</w:t>
      </w:r>
      <w:r w:rsidR="007B13FC">
        <w:rPr>
          <w:i/>
        </w:rPr>
        <w:t xml:space="preserve"> </w:t>
      </w:r>
      <w:r w:rsidR="007B13FC">
        <w:t>Paris Committee on Capacity-building of strengthening the coherence and coordination of capacity-building activities for implementing nationally determined contributions.</w:t>
      </w:r>
      <w:r w:rsidR="007B13FC">
        <w:rPr>
          <w:rStyle w:val="FootnoteReference"/>
        </w:rPr>
        <w:footnoteReference w:id="6"/>
      </w:r>
    </w:p>
    <w:p w14:paraId="32B966D8" w14:textId="77777777" w:rsidR="00AB17B9" w:rsidRDefault="00AB17B9" w:rsidP="00AB17B9">
      <w:pPr>
        <w:pStyle w:val="RegSingleTxtG"/>
        <w:numPr>
          <w:ilvl w:val="0"/>
          <w:numId w:val="0"/>
        </w:numPr>
        <w:ind w:left="851"/>
        <w:jc w:val="right"/>
        <w:rPr>
          <w:i/>
        </w:rPr>
        <w:sectPr w:rsidR="00AB17B9" w:rsidSect="00C92FFD">
          <w:headerReference w:type="even" r:id="rId17"/>
          <w:headerReference w:type="default" r:id="rId18"/>
          <w:footerReference w:type="even" r:id="rId19"/>
          <w:footerReference w:type="default" r:id="rId20"/>
          <w:headerReference w:type="first" r:id="rId21"/>
          <w:footerReference w:type="first" r:id="rId22"/>
          <w:footnotePr>
            <w:numRestart w:val="eachSect"/>
          </w:footnotePr>
          <w:pgSz w:w="11906" w:h="16838" w:code="9"/>
          <w:pgMar w:top="1417" w:right="1134" w:bottom="1134" w:left="1134" w:header="850" w:footer="567" w:gutter="0"/>
          <w:cols w:space="708"/>
          <w:docGrid w:linePitch="360"/>
        </w:sectPr>
      </w:pPr>
      <w:bookmarkStart w:id="2" w:name="_Hlk27664323"/>
      <w:r>
        <w:rPr>
          <w:i/>
        </w:rPr>
        <w:t>7</w:t>
      </w:r>
      <w:r w:rsidRPr="00ED5EE2">
        <w:rPr>
          <w:i/>
          <w:vertAlign w:val="superscript"/>
        </w:rPr>
        <w:t>th</w:t>
      </w:r>
      <w:r>
        <w:rPr>
          <w:i/>
        </w:rPr>
        <w:t xml:space="preserve"> plenary meeting</w:t>
      </w:r>
      <w:r>
        <w:rPr>
          <w:i/>
        </w:rPr>
        <w:br/>
        <w:t>12 December 2019</w:t>
      </w:r>
    </w:p>
    <w:bookmarkEnd w:id="2"/>
    <w:p w14:paraId="21DD0AC4" w14:textId="660DD5DC" w:rsidR="00FE2498" w:rsidRDefault="00FE2498" w:rsidP="00CA35AF">
      <w:pPr>
        <w:pStyle w:val="HChG"/>
      </w:pPr>
      <w:r>
        <w:lastRenderedPageBreak/>
        <w:tab/>
      </w:r>
      <w:r>
        <w:tab/>
      </w:r>
      <w:r>
        <w:tab/>
      </w:r>
      <w:bookmarkStart w:id="3" w:name="D9"/>
      <w:r>
        <w:t>Decision 9/CP.25</w:t>
      </w:r>
      <w:bookmarkEnd w:id="3"/>
    </w:p>
    <w:p w14:paraId="030B4429" w14:textId="577D6543" w:rsidR="00CA35AF" w:rsidRPr="00332875" w:rsidRDefault="00FE2498" w:rsidP="00CA35AF">
      <w:pPr>
        <w:pStyle w:val="HChG"/>
      </w:pPr>
      <w:r>
        <w:tab/>
      </w:r>
      <w:r>
        <w:tab/>
      </w:r>
      <w:r w:rsidR="00CA35AF" w:rsidRPr="00332875">
        <w:t xml:space="preserve">Review of the Paris Committee </w:t>
      </w:r>
      <w:r w:rsidR="00CA35AF">
        <w:t>on</w:t>
      </w:r>
      <w:r w:rsidR="00CA35AF" w:rsidRPr="00332875">
        <w:t xml:space="preserve"> Capacity-building</w:t>
      </w:r>
    </w:p>
    <w:p w14:paraId="62428B8B" w14:textId="77777777" w:rsidR="00CA35AF" w:rsidRPr="00332875" w:rsidRDefault="00CA35AF" w:rsidP="00CA35AF">
      <w:pPr>
        <w:spacing w:after="120"/>
        <w:ind w:left="1134" w:right="1229" w:firstLine="567"/>
        <w:jc w:val="both"/>
      </w:pPr>
      <w:r w:rsidRPr="00332875">
        <w:rPr>
          <w:i/>
        </w:rPr>
        <w:t>The Conference of the Parties</w:t>
      </w:r>
      <w:r w:rsidRPr="00332875">
        <w:t>,</w:t>
      </w:r>
    </w:p>
    <w:p w14:paraId="2DF04B9C" w14:textId="77777777" w:rsidR="00CA35AF" w:rsidRPr="00332875" w:rsidRDefault="00CA35AF" w:rsidP="00CA35AF">
      <w:pPr>
        <w:spacing w:after="120"/>
        <w:ind w:left="981" w:right="1229" w:firstLine="720"/>
        <w:jc w:val="both"/>
      </w:pPr>
      <w:r w:rsidRPr="00332875">
        <w:rPr>
          <w:i/>
        </w:rPr>
        <w:t xml:space="preserve">Recalling </w:t>
      </w:r>
      <w:r w:rsidRPr="00332875">
        <w:t>decisions 1/CP.21, 2/CP.22, 16/CP.22, 16/CP.23 and 15/CP.24,</w:t>
      </w:r>
    </w:p>
    <w:p w14:paraId="769170AB" w14:textId="7F61BFB9" w:rsidR="00CA35AF" w:rsidRPr="00332875" w:rsidRDefault="002424D3" w:rsidP="002424D3">
      <w:pPr>
        <w:pStyle w:val="RegSingleTxtG"/>
        <w:numPr>
          <w:ilvl w:val="0"/>
          <w:numId w:val="0"/>
        </w:numPr>
        <w:spacing w:before="120"/>
        <w:ind w:left="1135"/>
      </w:pPr>
      <w:r w:rsidRPr="00332875">
        <w:t>1.</w:t>
      </w:r>
      <w:r w:rsidRPr="00332875">
        <w:tab/>
      </w:r>
      <w:r w:rsidR="00CA35AF" w:rsidRPr="00332875">
        <w:rPr>
          <w:i/>
        </w:rPr>
        <w:t xml:space="preserve">Recalls </w:t>
      </w:r>
      <w:r w:rsidR="00CA35AF" w:rsidRPr="00332875">
        <w:t>that the Paris Committee on Capacity-building was established in decision 1/CP.21 with the aim of addressing gaps and needs, both current and emerging, in implementing capacity-building in developing country Parties and further enhancing capacity-building efforts, including with regard to coherence and coordination of capacity-building activities under the Convention;</w:t>
      </w:r>
    </w:p>
    <w:p w14:paraId="449C3786" w14:textId="737F8D6F" w:rsidR="00CA35AF" w:rsidRPr="00332875" w:rsidRDefault="002424D3" w:rsidP="002424D3">
      <w:pPr>
        <w:pStyle w:val="RegSingleTxtG"/>
        <w:numPr>
          <w:ilvl w:val="0"/>
          <w:numId w:val="0"/>
        </w:numPr>
        <w:spacing w:before="120"/>
        <w:ind w:left="1135"/>
      </w:pPr>
      <w:r w:rsidRPr="00332875">
        <w:t>2.</w:t>
      </w:r>
      <w:r w:rsidRPr="00332875">
        <w:tab/>
      </w:r>
      <w:r w:rsidR="00CA35AF" w:rsidRPr="00332875">
        <w:rPr>
          <w:i/>
        </w:rPr>
        <w:t>Welcomes</w:t>
      </w:r>
      <w:r w:rsidR="00CA35AF" w:rsidRPr="00332875">
        <w:t xml:space="preserve"> the annual technical progress reports of the Paris Committee on Capacity-building for 2017, 2018 and 2019, and </w:t>
      </w:r>
      <w:r w:rsidR="00CA35AF" w:rsidRPr="00332875">
        <w:rPr>
          <w:i/>
        </w:rPr>
        <w:t>takes note</w:t>
      </w:r>
      <w:r w:rsidR="00CA35AF" w:rsidRPr="00332875">
        <w:t xml:space="preserve"> of the recommendations contained therein;</w:t>
      </w:r>
      <w:r w:rsidR="00CA35AF" w:rsidRPr="0026176F">
        <w:rPr>
          <w:sz w:val="18"/>
          <w:szCs w:val="18"/>
          <w:vertAlign w:val="superscript"/>
        </w:rPr>
        <w:footnoteReference w:id="7"/>
      </w:r>
    </w:p>
    <w:p w14:paraId="380ADCA2" w14:textId="225D61D9" w:rsidR="00CA35AF" w:rsidRPr="00332875" w:rsidRDefault="002424D3" w:rsidP="002424D3">
      <w:pPr>
        <w:pStyle w:val="RegSingleTxtG"/>
        <w:numPr>
          <w:ilvl w:val="0"/>
          <w:numId w:val="0"/>
        </w:numPr>
        <w:spacing w:before="120"/>
        <w:ind w:left="1135"/>
      </w:pPr>
      <w:r w:rsidRPr="00332875">
        <w:t>3.</w:t>
      </w:r>
      <w:r w:rsidRPr="00332875">
        <w:tab/>
      </w:r>
      <w:r w:rsidR="00CA35AF" w:rsidRPr="00332875">
        <w:rPr>
          <w:i/>
        </w:rPr>
        <w:t>Reaffirms</w:t>
      </w:r>
      <w:r w:rsidR="00CA35AF" w:rsidRPr="00332875">
        <w:t xml:space="preserve"> the need to further promote efficiencies and to avoid duplication of efforts in the implementation of capacity-building activities under and outside the Convention;</w:t>
      </w:r>
    </w:p>
    <w:p w14:paraId="13BEFB3C" w14:textId="71CEB75D" w:rsidR="00CA35AF" w:rsidRPr="00332875" w:rsidRDefault="002424D3" w:rsidP="002424D3">
      <w:pPr>
        <w:pStyle w:val="RegSingleTxtG"/>
        <w:numPr>
          <w:ilvl w:val="0"/>
          <w:numId w:val="0"/>
        </w:numPr>
        <w:spacing w:before="120"/>
        <w:ind w:left="1135"/>
      </w:pPr>
      <w:r w:rsidRPr="00332875">
        <w:t>4.</w:t>
      </w:r>
      <w:r w:rsidRPr="00332875">
        <w:tab/>
      </w:r>
      <w:r w:rsidR="00CA35AF" w:rsidRPr="00332875">
        <w:rPr>
          <w:i/>
        </w:rPr>
        <w:t xml:space="preserve">Notes </w:t>
      </w:r>
      <w:r w:rsidR="00CA35AF" w:rsidRPr="00332875">
        <w:t>that the Paris Committee on Capacity-building has made some progress in the implementation of the 2016–2020 workplan, and has implemented actions with regard to, inter alia:</w:t>
      </w:r>
    </w:p>
    <w:p w14:paraId="20B8F21C" w14:textId="70226021" w:rsidR="00CA35AF" w:rsidRPr="00332875" w:rsidRDefault="002424D3" w:rsidP="002424D3">
      <w:pPr>
        <w:pStyle w:val="RegSingleTxtG2"/>
        <w:numPr>
          <w:ilvl w:val="0"/>
          <w:numId w:val="0"/>
        </w:numPr>
        <w:tabs>
          <w:tab w:val="left" w:pos="1702"/>
        </w:tabs>
        <w:ind w:left="1134" w:firstLine="567"/>
      </w:pPr>
      <w:r w:rsidRPr="00332875">
        <w:rPr>
          <w:szCs w:val="28"/>
        </w:rPr>
        <w:t>(a)</w:t>
      </w:r>
      <w:r w:rsidRPr="00332875">
        <w:rPr>
          <w:szCs w:val="28"/>
        </w:rPr>
        <w:tab/>
      </w:r>
      <w:r w:rsidR="00CA35AF" w:rsidRPr="00332875">
        <w:t>Enhancing coherence and coordination of capacity-building activities under the Convention;</w:t>
      </w:r>
    </w:p>
    <w:p w14:paraId="722CD052" w14:textId="27A7EC56" w:rsidR="00CA35AF" w:rsidRPr="00332875" w:rsidRDefault="002424D3" w:rsidP="002424D3">
      <w:pPr>
        <w:pStyle w:val="RegSingleTxtG2"/>
        <w:numPr>
          <w:ilvl w:val="0"/>
          <w:numId w:val="0"/>
        </w:numPr>
        <w:tabs>
          <w:tab w:val="left" w:pos="1702"/>
        </w:tabs>
        <w:ind w:left="1134" w:firstLine="567"/>
      </w:pPr>
      <w:r w:rsidRPr="00332875">
        <w:rPr>
          <w:szCs w:val="28"/>
        </w:rPr>
        <w:t>(b)</w:t>
      </w:r>
      <w:r w:rsidRPr="00332875">
        <w:rPr>
          <w:szCs w:val="28"/>
        </w:rPr>
        <w:tab/>
      </w:r>
      <w:r w:rsidR="00CA35AF" w:rsidRPr="00332875">
        <w:t>Promoting the development and dissemination of tools and methodologies for implementing capacity-building;</w:t>
      </w:r>
    </w:p>
    <w:p w14:paraId="3C40C3D0" w14:textId="194C8571" w:rsidR="00CA35AF" w:rsidRPr="00332875" w:rsidRDefault="002424D3" w:rsidP="002424D3">
      <w:pPr>
        <w:pStyle w:val="RegSingleTxtG2"/>
        <w:numPr>
          <w:ilvl w:val="0"/>
          <w:numId w:val="0"/>
        </w:numPr>
        <w:tabs>
          <w:tab w:val="left" w:pos="1702"/>
        </w:tabs>
        <w:ind w:left="1134" w:firstLine="567"/>
      </w:pPr>
      <w:r w:rsidRPr="00332875">
        <w:rPr>
          <w:szCs w:val="28"/>
        </w:rPr>
        <w:t>(c)</w:t>
      </w:r>
      <w:r w:rsidRPr="00332875">
        <w:rPr>
          <w:szCs w:val="28"/>
        </w:rPr>
        <w:tab/>
      </w:r>
      <w:r w:rsidR="00CA35AF" w:rsidRPr="00332875">
        <w:t>Gathering information and sharing best practices in relation to capacity-building;</w:t>
      </w:r>
    </w:p>
    <w:p w14:paraId="1BA4DD4E" w14:textId="7FAC8A8F" w:rsidR="00CA35AF" w:rsidRPr="00332875" w:rsidRDefault="002424D3" w:rsidP="002424D3">
      <w:pPr>
        <w:pStyle w:val="RegSingleTxtG2"/>
        <w:numPr>
          <w:ilvl w:val="0"/>
          <w:numId w:val="0"/>
        </w:numPr>
        <w:tabs>
          <w:tab w:val="left" w:pos="1702"/>
        </w:tabs>
        <w:ind w:left="1134" w:firstLine="567"/>
      </w:pPr>
      <w:r w:rsidRPr="00332875">
        <w:rPr>
          <w:szCs w:val="28"/>
        </w:rPr>
        <w:t>(d)</w:t>
      </w:r>
      <w:r w:rsidRPr="00332875">
        <w:rPr>
          <w:szCs w:val="28"/>
        </w:rPr>
        <w:tab/>
      </w:r>
      <w:r w:rsidR="00CA35AF" w:rsidRPr="00332875">
        <w:t>Identifying methods of bringing together stakeholders, such as through meetings of the Paris Committee on Capacity-building and the Capacity-building Hub;</w:t>
      </w:r>
    </w:p>
    <w:p w14:paraId="1ECAAB8A" w14:textId="4A6AD650" w:rsidR="00CA35AF" w:rsidRPr="00332875" w:rsidRDefault="002424D3" w:rsidP="002424D3">
      <w:pPr>
        <w:pStyle w:val="RegSingleTxtG"/>
        <w:numPr>
          <w:ilvl w:val="0"/>
          <w:numId w:val="0"/>
        </w:numPr>
        <w:spacing w:before="120"/>
        <w:ind w:left="1135"/>
      </w:pPr>
      <w:r w:rsidRPr="00332875">
        <w:t>5.</w:t>
      </w:r>
      <w:r w:rsidRPr="00332875">
        <w:tab/>
      </w:r>
      <w:r w:rsidR="00CA35AF" w:rsidRPr="00332875">
        <w:rPr>
          <w:i/>
        </w:rPr>
        <w:t xml:space="preserve">Also notes </w:t>
      </w:r>
      <w:r w:rsidR="00CA35AF" w:rsidRPr="00332875">
        <w:t>that progress has varied across the areas of work referred to in paragraph 4 above;</w:t>
      </w:r>
    </w:p>
    <w:p w14:paraId="60239B6E" w14:textId="1D7FC9BB" w:rsidR="00CA35AF" w:rsidRPr="00332875" w:rsidRDefault="002424D3" w:rsidP="002424D3">
      <w:pPr>
        <w:pStyle w:val="RegSingleTxtG"/>
        <w:numPr>
          <w:ilvl w:val="0"/>
          <w:numId w:val="0"/>
        </w:numPr>
        <w:spacing w:before="120"/>
        <w:ind w:left="1135"/>
      </w:pPr>
      <w:r w:rsidRPr="00332875">
        <w:t>6.</w:t>
      </w:r>
      <w:r w:rsidRPr="00332875">
        <w:tab/>
      </w:r>
      <w:r w:rsidR="00CA35AF" w:rsidRPr="00332875">
        <w:rPr>
          <w:i/>
        </w:rPr>
        <w:t>Further notes</w:t>
      </w:r>
      <w:r w:rsidR="00CA35AF" w:rsidRPr="00332875">
        <w:t xml:space="preserve"> that the Paris Committee on Capacity-building has made limited progress in some areas of its work;</w:t>
      </w:r>
    </w:p>
    <w:p w14:paraId="510EC40B" w14:textId="4AB85ACA" w:rsidR="00CA35AF" w:rsidRPr="00332875" w:rsidRDefault="002424D3" w:rsidP="002424D3">
      <w:pPr>
        <w:pStyle w:val="RegSingleTxtG"/>
        <w:numPr>
          <w:ilvl w:val="0"/>
          <w:numId w:val="0"/>
        </w:numPr>
        <w:spacing w:before="120"/>
        <w:ind w:left="1135"/>
      </w:pPr>
      <w:r w:rsidRPr="00332875">
        <w:t>7.</w:t>
      </w:r>
      <w:r w:rsidRPr="00332875">
        <w:tab/>
      </w:r>
      <w:r w:rsidR="00CA35AF" w:rsidRPr="00332875">
        <w:rPr>
          <w:i/>
        </w:rPr>
        <w:t xml:space="preserve">Recognizes </w:t>
      </w:r>
      <w:r w:rsidR="00CA35AF" w:rsidRPr="00332875">
        <w:t>that the Paris Committee on Capacity-building has received a very broad workplan for 2016–2020, with limited specific guidance provided by the Conference of the Parties on the areas that the Committee should prioritize in implementing its work;</w:t>
      </w:r>
    </w:p>
    <w:p w14:paraId="3E83C837" w14:textId="0880A7F7" w:rsidR="00CA35AF" w:rsidRPr="00332875" w:rsidRDefault="002424D3" w:rsidP="002424D3">
      <w:pPr>
        <w:pStyle w:val="RegSingleTxtG"/>
        <w:numPr>
          <w:ilvl w:val="0"/>
          <w:numId w:val="0"/>
        </w:numPr>
        <w:spacing w:before="120"/>
        <w:ind w:left="1135"/>
      </w:pPr>
      <w:r w:rsidRPr="00332875">
        <w:t>8.</w:t>
      </w:r>
      <w:r w:rsidRPr="00332875">
        <w:tab/>
      </w:r>
      <w:r w:rsidR="00CA35AF" w:rsidRPr="00332875">
        <w:rPr>
          <w:i/>
        </w:rPr>
        <w:t xml:space="preserve">Decides </w:t>
      </w:r>
      <w:r w:rsidR="00CA35AF" w:rsidRPr="00332875">
        <w:t>that, in order to ensure that the Paris Committee on Capacity-building can operate effectively and efficiently, there is a need for Parties to determine priority areas related to its mandate to focus and guide its work, avoid duplication of efforts in the implementation of capacity-building activities and provide guidance on the operations, planning and implementation of work, and reporting of the Paris Committee on Capacity-building;</w:t>
      </w:r>
    </w:p>
    <w:p w14:paraId="60A4C73C" w14:textId="4EA77001" w:rsidR="00CA35AF" w:rsidRPr="00332875" w:rsidRDefault="002424D3" w:rsidP="002424D3">
      <w:pPr>
        <w:pStyle w:val="RegSingleTxtG"/>
        <w:numPr>
          <w:ilvl w:val="0"/>
          <w:numId w:val="0"/>
        </w:numPr>
        <w:spacing w:before="120"/>
        <w:ind w:left="1135"/>
        <w:rPr>
          <w:i/>
        </w:rPr>
      </w:pPr>
      <w:r w:rsidRPr="00332875">
        <w:t>9.</w:t>
      </w:r>
      <w:r w:rsidRPr="00332875">
        <w:tab/>
      </w:r>
      <w:r w:rsidR="00CA35AF" w:rsidRPr="00332875">
        <w:rPr>
          <w:i/>
        </w:rPr>
        <w:t>Also decides</w:t>
      </w:r>
      <w:r w:rsidR="00CA35AF" w:rsidRPr="00332875">
        <w:t xml:space="preserve"> that </w:t>
      </w:r>
      <w:r w:rsidR="00CA35AF" w:rsidRPr="00B7645B">
        <w:t>the</w:t>
      </w:r>
      <w:r w:rsidR="00CA35AF" w:rsidRPr="00332875">
        <w:t xml:space="preserve"> priority areas of the </w:t>
      </w:r>
      <w:bookmarkStart w:id="4" w:name="_Hlk11418313"/>
      <w:r w:rsidR="00CA35AF" w:rsidRPr="00332875">
        <w:t>Paris Committee on Capacity-building</w:t>
      </w:r>
      <w:bookmarkEnd w:id="4"/>
      <w:r w:rsidR="00CA35AF" w:rsidRPr="00332875">
        <w:t xml:space="preserve"> are: </w:t>
      </w:r>
    </w:p>
    <w:p w14:paraId="2C7C4029" w14:textId="4C540743" w:rsidR="00CA35AF" w:rsidRPr="00332875" w:rsidRDefault="002424D3" w:rsidP="002424D3">
      <w:pPr>
        <w:pStyle w:val="RegSingleTxtG2"/>
        <w:numPr>
          <w:ilvl w:val="0"/>
          <w:numId w:val="0"/>
        </w:numPr>
        <w:tabs>
          <w:tab w:val="left" w:pos="1702"/>
        </w:tabs>
        <w:ind w:left="1134" w:firstLine="567"/>
      </w:pPr>
      <w:r w:rsidRPr="00332875">
        <w:rPr>
          <w:szCs w:val="28"/>
        </w:rPr>
        <w:t>(a)</w:t>
      </w:r>
      <w:r w:rsidRPr="00332875">
        <w:rPr>
          <w:szCs w:val="28"/>
        </w:rPr>
        <w:tab/>
      </w:r>
      <w:r w:rsidR="00CA35AF" w:rsidRPr="00332875">
        <w:t>Enhancing coherence and coordination of capacity-building under the Convention with a focus on avoiding duplication of efforts, including through collaboration with bodies under and outside the Convention that engage in activities related to capacity-building</w:t>
      </w:r>
      <w:r w:rsidR="00CA35AF">
        <w:t>, as appropriate and in accordance with their respective mandates</w:t>
      </w:r>
      <w:r w:rsidR="00CA35AF" w:rsidRPr="00332875">
        <w:t>;</w:t>
      </w:r>
    </w:p>
    <w:p w14:paraId="35B625EF" w14:textId="06E9A462" w:rsidR="00CA35AF" w:rsidRPr="00332875" w:rsidRDefault="002424D3" w:rsidP="002424D3">
      <w:pPr>
        <w:pStyle w:val="RegSingleTxtG2"/>
        <w:numPr>
          <w:ilvl w:val="0"/>
          <w:numId w:val="0"/>
        </w:numPr>
        <w:tabs>
          <w:tab w:val="left" w:pos="1702"/>
        </w:tabs>
        <w:ind w:left="1134" w:firstLine="567"/>
      </w:pPr>
      <w:r w:rsidRPr="00332875">
        <w:rPr>
          <w:szCs w:val="28"/>
        </w:rPr>
        <w:t>(b)</w:t>
      </w:r>
      <w:r w:rsidRPr="00332875">
        <w:rPr>
          <w:szCs w:val="28"/>
        </w:rPr>
        <w:tab/>
      </w:r>
      <w:r w:rsidR="00CA35AF" w:rsidRPr="00332875">
        <w:t xml:space="preserve">Identifying capacity gaps and needs, both current and emerging, and recommending ways to address them; </w:t>
      </w:r>
    </w:p>
    <w:p w14:paraId="27DA0EC7" w14:textId="3AAFD776" w:rsidR="00CA35AF" w:rsidRPr="00332875" w:rsidRDefault="002424D3" w:rsidP="002424D3">
      <w:pPr>
        <w:pStyle w:val="RegSingleTxtG2"/>
        <w:numPr>
          <w:ilvl w:val="0"/>
          <w:numId w:val="0"/>
        </w:numPr>
        <w:tabs>
          <w:tab w:val="left" w:pos="1702"/>
        </w:tabs>
        <w:ind w:left="1134" w:firstLine="567"/>
      </w:pPr>
      <w:r w:rsidRPr="00332875">
        <w:rPr>
          <w:szCs w:val="28"/>
        </w:rPr>
        <w:lastRenderedPageBreak/>
        <w:t>(c)</w:t>
      </w:r>
      <w:r w:rsidRPr="00332875">
        <w:rPr>
          <w:szCs w:val="28"/>
        </w:rPr>
        <w:tab/>
      </w:r>
      <w:r w:rsidR="00CA35AF" w:rsidRPr="00332875">
        <w:t>Promoting awareness-raising, knowledge- and information-sharing and stakeholder engagement with bodies and relevant actors under and outside the Convention</w:t>
      </w:r>
      <w:r w:rsidR="00CA35AF">
        <w:t>, as appropriate and in accordance with their respective mandates</w:t>
      </w:r>
      <w:r w:rsidR="00CA35AF" w:rsidRPr="00332875">
        <w:t>;</w:t>
      </w:r>
    </w:p>
    <w:p w14:paraId="7375B0AC" w14:textId="27030A53" w:rsidR="00CA35AF" w:rsidRPr="00332875" w:rsidRDefault="002424D3" w:rsidP="002424D3">
      <w:pPr>
        <w:pStyle w:val="RegSingleTxtG"/>
        <w:numPr>
          <w:ilvl w:val="0"/>
          <w:numId w:val="0"/>
        </w:numPr>
        <w:spacing w:before="120"/>
        <w:ind w:left="1135"/>
      </w:pPr>
      <w:r w:rsidRPr="00332875">
        <w:t>10.</w:t>
      </w:r>
      <w:r w:rsidRPr="00332875">
        <w:tab/>
      </w:r>
      <w:r w:rsidR="00CA35AF" w:rsidRPr="00332875">
        <w:rPr>
          <w:i/>
          <w:color w:val="1D1B11"/>
        </w:rPr>
        <w:t xml:space="preserve">Further </w:t>
      </w:r>
      <w:r w:rsidR="00CA35AF" w:rsidRPr="00332875">
        <w:rPr>
          <w:i/>
        </w:rPr>
        <w:t>decides</w:t>
      </w:r>
      <w:r w:rsidR="00CA35AF" w:rsidRPr="00332875">
        <w:t xml:space="preserve"> that, going forward and subject to the availability of resources, the Paris Committee on Capacity-building shall conduct the activities set out in the annex, in accordance with the </w:t>
      </w:r>
      <w:bookmarkStart w:id="5" w:name="_Hlk26455571"/>
      <w:r w:rsidR="00CA35AF" w:rsidRPr="00332875">
        <w:t>priority areas</w:t>
      </w:r>
      <w:bookmarkEnd w:id="5"/>
      <w:r w:rsidR="00CA35AF" w:rsidRPr="00332875">
        <w:t xml:space="preserve"> referred to in paragraph 9 above;</w:t>
      </w:r>
    </w:p>
    <w:p w14:paraId="0507A229" w14:textId="216B28A5" w:rsidR="00CA35AF" w:rsidRPr="00332875" w:rsidRDefault="002424D3" w:rsidP="002424D3">
      <w:pPr>
        <w:pStyle w:val="RegSingleTxtG"/>
        <w:numPr>
          <w:ilvl w:val="0"/>
          <w:numId w:val="0"/>
        </w:numPr>
        <w:spacing w:before="120"/>
        <w:ind w:left="1135"/>
      </w:pPr>
      <w:r w:rsidRPr="00332875">
        <w:t>11.</w:t>
      </w:r>
      <w:r w:rsidRPr="00332875">
        <w:tab/>
      </w:r>
      <w:r w:rsidR="00CA35AF" w:rsidRPr="00332875">
        <w:rPr>
          <w:i/>
        </w:rPr>
        <w:t>Decides</w:t>
      </w:r>
      <w:r w:rsidR="00CA35AF" w:rsidRPr="00332875">
        <w:t xml:space="preserve"> that the Paris Committee on Capacity-building shall work on any additional activities that may be assigned to it by the Conference of the Parties within its mandate, subject to the availability of resources;</w:t>
      </w:r>
    </w:p>
    <w:p w14:paraId="10E4B31F" w14:textId="07068D66" w:rsidR="00CA35AF" w:rsidRPr="00332875" w:rsidRDefault="002424D3" w:rsidP="002424D3">
      <w:pPr>
        <w:pStyle w:val="RegSingleTxtG"/>
        <w:numPr>
          <w:ilvl w:val="0"/>
          <w:numId w:val="0"/>
        </w:numPr>
        <w:spacing w:before="120"/>
        <w:ind w:left="1135"/>
      </w:pPr>
      <w:r w:rsidRPr="00332875">
        <w:t>12.</w:t>
      </w:r>
      <w:r w:rsidRPr="00332875">
        <w:tab/>
      </w:r>
      <w:r w:rsidR="00CA35AF" w:rsidRPr="00332875">
        <w:rPr>
          <w:i/>
        </w:rPr>
        <w:t>Also decides</w:t>
      </w:r>
      <w:r w:rsidR="00CA35AF" w:rsidRPr="00332875">
        <w:t xml:space="preserve"> to extend the Paris Committee on Capacity-building for five years and to review its progress and need for extension at the thirtieth session of the Conference of the Parties (November 2024);</w:t>
      </w:r>
    </w:p>
    <w:p w14:paraId="30B876E4" w14:textId="754C3127" w:rsidR="00CA35AF" w:rsidRPr="00332875" w:rsidRDefault="002424D3" w:rsidP="002424D3">
      <w:pPr>
        <w:pStyle w:val="RegSingleTxtG"/>
        <w:numPr>
          <w:ilvl w:val="0"/>
          <w:numId w:val="0"/>
        </w:numPr>
        <w:spacing w:before="120"/>
        <w:ind w:left="1135"/>
      </w:pPr>
      <w:r w:rsidRPr="00332875">
        <w:t>13.</w:t>
      </w:r>
      <w:r w:rsidRPr="00332875">
        <w:tab/>
      </w:r>
      <w:r w:rsidR="00CA35AF" w:rsidRPr="00332875">
        <w:rPr>
          <w:i/>
        </w:rPr>
        <w:t>Requests</w:t>
      </w:r>
      <w:r w:rsidR="00CA35AF" w:rsidRPr="00332875">
        <w:t xml:space="preserve"> the Subsidiary Body for Implementation to initiate at its fifty-eighth session (June 2023) the preparation of the terms of reference for the second review of the Paris Committee on Capacity-building with a view to the Conference of the Parties agreeing on the final terms of reference at its twenty-ninth session (November 2023);</w:t>
      </w:r>
    </w:p>
    <w:p w14:paraId="2FB5DF5F" w14:textId="129EE88D" w:rsidR="00CA35AF" w:rsidRPr="00332875" w:rsidRDefault="002424D3" w:rsidP="002424D3">
      <w:pPr>
        <w:pStyle w:val="RegSingleTxtG"/>
        <w:numPr>
          <w:ilvl w:val="0"/>
          <w:numId w:val="0"/>
        </w:numPr>
        <w:spacing w:before="120"/>
        <w:ind w:left="1135"/>
      </w:pPr>
      <w:r w:rsidRPr="00332875">
        <w:t>14.</w:t>
      </w:r>
      <w:r w:rsidRPr="00332875">
        <w:tab/>
      </w:r>
      <w:r w:rsidR="00CA35AF" w:rsidRPr="00332875">
        <w:rPr>
          <w:i/>
        </w:rPr>
        <w:t xml:space="preserve">Also requests </w:t>
      </w:r>
      <w:r w:rsidR="00CA35AF" w:rsidRPr="00332875">
        <w:t>the Paris Committee on Capacity-building to extend its current rolling workplan to the end of 2020;</w:t>
      </w:r>
    </w:p>
    <w:p w14:paraId="6F47117B" w14:textId="1A24D8D3" w:rsidR="00CA35AF" w:rsidRPr="00332875" w:rsidRDefault="002424D3" w:rsidP="002424D3">
      <w:pPr>
        <w:pStyle w:val="RegSingleTxtG"/>
        <w:numPr>
          <w:ilvl w:val="0"/>
          <w:numId w:val="0"/>
        </w:numPr>
        <w:spacing w:before="120"/>
        <w:ind w:left="1135"/>
        <w:rPr>
          <w:color w:val="1D1B11"/>
        </w:rPr>
      </w:pPr>
      <w:r w:rsidRPr="00332875">
        <w:rPr>
          <w:color w:val="1D1B11"/>
        </w:rPr>
        <w:t>15.</w:t>
      </w:r>
      <w:r w:rsidRPr="00332875">
        <w:rPr>
          <w:color w:val="1D1B11"/>
        </w:rPr>
        <w:tab/>
      </w:r>
      <w:r w:rsidR="00CA35AF" w:rsidRPr="00332875">
        <w:rPr>
          <w:i/>
        </w:rPr>
        <w:t xml:space="preserve">Further requests </w:t>
      </w:r>
      <w:r w:rsidR="00CA35AF" w:rsidRPr="00B7645B">
        <w:t>the</w:t>
      </w:r>
      <w:r w:rsidR="00CA35AF" w:rsidRPr="00821108">
        <w:t xml:space="preserve"> </w:t>
      </w:r>
      <w:r w:rsidR="00CA35AF" w:rsidRPr="00332875">
        <w:t>Paris Committee on Capacity-building to develop a workplan for the period of its extension on the basis of the priority areas and activities contained in the annex for consideration by the Conference of the Parties at its twenty-sixth session (November 2020);</w:t>
      </w:r>
      <w:r w:rsidR="00CA35AF" w:rsidRPr="00332875">
        <w:rPr>
          <w:color w:val="1D1B11"/>
        </w:rPr>
        <w:t xml:space="preserve"> </w:t>
      </w:r>
    </w:p>
    <w:p w14:paraId="147690F3" w14:textId="6EE67509" w:rsidR="00CA35AF" w:rsidRPr="00332875" w:rsidRDefault="002424D3" w:rsidP="002424D3">
      <w:pPr>
        <w:pStyle w:val="RegSingleTxtG"/>
        <w:numPr>
          <w:ilvl w:val="0"/>
          <w:numId w:val="0"/>
        </w:numPr>
        <w:spacing w:before="120"/>
        <w:ind w:left="1135"/>
        <w:rPr>
          <w:color w:val="1D1B11"/>
        </w:rPr>
      </w:pPr>
      <w:r w:rsidRPr="00332875">
        <w:rPr>
          <w:color w:val="1D1B11"/>
        </w:rPr>
        <w:t>16.</w:t>
      </w:r>
      <w:r w:rsidRPr="00332875">
        <w:rPr>
          <w:color w:val="1D1B11"/>
        </w:rPr>
        <w:tab/>
      </w:r>
      <w:r w:rsidR="00CA35AF" w:rsidRPr="00332875">
        <w:rPr>
          <w:i/>
        </w:rPr>
        <w:t xml:space="preserve">Requests </w:t>
      </w:r>
      <w:r w:rsidR="00CA35AF" w:rsidRPr="00332875">
        <w:t xml:space="preserve">that the workplan referred to in paragraph 15 above include core elements such as priority areas, activities, deliverables, timelines and expected results, in accordance with the priority areas referred to in paragraph 9 above; </w:t>
      </w:r>
    </w:p>
    <w:p w14:paraId="23A37818" w14:textId="53048170" w:rsidR="00CA35AF" w:rsidRPr="00332875" w:rsidRDefault="002424D3" w:rsidP="002424D3">
      <w:pPr>
        <w:pStyle w:val="RegSingleTxtG"/>
        <w:numPr>
          <w:ilvl w:val="0"/>
          <w:numId w:val="0"/>
        </w:numPr>
        <w:spacing w:before="120"/>
        <w:ind w:left="1135"/>
      </w:pPr>
      <w:r w:rsidRPr="00332875">
        <w:t>17.</w:t>
      </w:r>
      <w:r w:rsidRPr="00332875">
        <w:tab/>
      </w:r>
      <w:r w:rsidR="00CA35AF" w:rsidRPr="00332875">
        <w:rPr>
          <w:i/>
        </w:rPr>
        <w:t xml:space="preserve">Also requests </w:t>
      </w:r>
      <w:r w:rsidR="00CA35AF" w:rsidRPr="00332875">
        <w:t xml:space="preserve">the Paris Committee on Capacity-building to </w:t>
      </w:r>
      <w:bookmarkStart w:id="6" w:name="_Hlk26481199"/>
      <w:r w:rsidR="00CA35AF" w:rsidRPr="00332875">
        <w:t>report</w:t>
      </w:r>
      <w:bookmarkEnd w:id="6"/>
      <w:r w:rsidR="00CA35AF" w:rsidRPr="00332875">
        <w:t xml:space="preserve"> on the expected work under its workplan and on the progress, outcomes, impacts and effectiveness of the activities in its workplan in its annual technical progress report;</w:t>
      </w:r>
    </w:p>
    <w:p w14:paraId="514304F0" w14:textId="02174D7E" w:rsidR="00CA35AF" w:rsidRPr="00332875" w:rsidRDefault="002424D3" w:rsidP="002424D3">
      <w:pPr>
        <w:pStyle w:val="RegSingleTxtG"/>
        <w:numPr>
          <w:ilvl w:val="0"/>
          <w:numId w:val="0"/>
        </w:numPr>
        <w:spacing w:before="120"/>
        <w:ind w:left="1135"/>
        <w:rPr>
          <w:i/>
        </w:rPr>
      </w:pPr>
      <w:r w:rsidRPr="00332875">
        <w:t>18.</w:t>
      </w:r>
      <w:r w:rsidRPr="00332875">
        <w:tab/>
      </w:r>
      <w:r w:rsidR="00CA35AF" w:rsidRPr="00332875">
        <w:rPr>
          <w:i/>
        </w:rPr>
        <w:t xml:space="preserve">Invites </w:t>
      </w:r>
      <w:r w:rsidR="00CA35AF" w:rsidRPr="00332875">
        <w:t>Parties and relevant institutions, as appropriate, to provide support and resources to the Paris Committee on Capacity-building for implementing its workplan in the light of the aim of the Committee established in decision 1/CP.21, paragraph 71;</w:t>
      </w:r>
    </w:p>
    <w:p w14:paraId="13214B53" w14:textId="1594A1FE" w:rsidR="00CA35AF" w:rsidRPr="00332875" w:rsidRDefault="002424D3" w:rsidP="002424D3">
      <w:pPr>
        <w:pStyle w:val="RegSingleTxtG"/>
        <w:numPr>
          <w:ilvl w:val="0"/>
          <w:numId w:val="0"/>
        </w:numPr>
        <w:spacing w:before="120"/>
        <w:ind w:left="1135"/>
        <w:sectPr w:rsidR="00CA35AF" w:rsidRPr="00332875" w:rsidSect="00C92FFD">
          <w:headerReference w:type="even" r:id="rId23"/>
          <w:headerReference w:type="default" r:id="rId24"/>
          <w:footerReference w:type="even" r:id="rId25"/>
          <w:footerReference w:type="default" r:id="rId26"/>
          <w:headerReference w:type="first" r:id="rId27"/>
          <w:footerReference w:type="first" r:id="rId28"/>
          <w:footnotePr>
            <w:numRestart w:val="eachSect"/>
          </w:footnotePr>
          <w:pgSz w:w="11906" w:h="16838" w:code="9"/>
          <w:pgMar w:top="1417" w:right="1134" w:bottom="1134" w:left="1134" w:header="850" w:footer="567" w:gutter="0"/>
          <w:cols w:space="708"/>
          <w:docGrid w:linePitch="360"/>
        </w:sectPr>
      </w:pPr>
      <w:r w:rsidRPr="00332875">
        <w:t>19.</w:t>
      </w:r>
      <w:r w:rsidRPr="00332875">
        <w:tab/>
      </w:r>
      <w:r w:rsidR="00CA35AF" w:rsidRPr="00332875">
        <w:rPr>
          <w:i/>
        </w:rPr>
        <w:t xml:space="preserve">Reaffirms </w:t>
      </w:r>
      <w:r w:rsidR="00CA35AF" w:rsidRPr="00332875">
        <w:t>that, in the light of its mandated functions and activities, the Paris Committee on Capacity-building will continue to meet during annual in-session meetings to be organized by the Subsidiary Body for Implementation.</w:t>
      </w:r>
    </w:p>
    <w:p w14:paraId="7F536459" w14:textId="77777777" w:rsidR="00CA35AF" w:rsidRPr="00332875" w:rsidRDefault="00CA35AF" w:rsidP="00CA35AF">
      <w:pPr>
        <w:pStyle w:val="HChG"/>
        <w:spacing w:before="0"/>
      </w:pPr>
      <w:r w:rsidRPr="00332875">
        <w:t>Annex</w:t>
      </w:r>
    </w:p>
    <w:p w14:paraId="3D3DA930" w14:textId="77777777" w:rsidR="00CA35AF" w:rsidRPr="00332875" w:rsidRDefault="00CA35AF" w:rsidP="0026176F">
      <w:pPr>
        <w:pStyle w:val="HChG"/>
        <w:tabs>
          <w:tab w:val="clear" w:pos="851"/>
        </w:tabs>
        <w:spacing w:before="240"/>
        <w:ind w:firstLine="0"/>
      </w:pPr>
      <w:r w:rsidRPr="00332875">
        <w:t>Activities of the Paris Committee on Capacity-building</w:t>
      </w:r>
    </w:p>
    <w:p w14:paraId="63705E84" w14:textId="09D6EED2" w:rsidR="00CA35AF" w:rsidRPr="00332875" w:rsidRDefault="002424D3" w:rsidP="002424D3">
      <w:pPr>
        <w:pStyle w:val="RegSingleTxtG"/>
        <w:numPr>
          <w:ilvl w:val="0"/>
          <w:numId w:val="0"/>
        </w:numPr>
        <w:spacing w:before="120" w:line="259" w:lineRule="auto"/>
        <w:ind w:left="1134" w:right="1133"/>
      </w:pPr>
      <w:r w:rsidRPr="00332875">
        <w:t>1.</w:t>
      </w:r>
      <w:r w:rsidRPr="00332875">
        <w:tab/>
      </w:r>
      <w:r w:rsidR="00CA35AF" w:rsidRPr="00332875">
        <w:t>Priority area (a): enhancing coherence and coordination of capacity-building under the Convention with a focus on avoiding duplication of efforts, including through collaboration with bodies under and outside the Convention that engage in activities related to capacity-building</w:t>
      </w:r>
      <w:r w:rsidR="00CA35AF">
        <w:t>, as appropriate and in accordance with their respective mandates</w:t>
      </w:r>
      <w:r w:rsidR="00CA35AF" w:rsidRPr="00332875">
        <w:t>:</w:t>
      </w:r>
    </w:p>
    <w:p w14:paraId="68E6DE9B" w14:textId="5B954DCF" w:rsidR="00CA35AF" w:rsidRPr="00332875" w:rsidRDefault="002424D3" w:rsidP="002424D3">
      <w:pPr>
        <w:pStyle w:val="RegSingleTxtG2"/>
        <w:numPr>
          <w:ilvl w:val="0"/>
          <w:numId w:val="0"/>
        </w:numPr>
        <w:tabs>
          <w:tab w:val="left" w:pos="1702"/>
        </w:tabs>
        <w:ind w:left="1134" w:firstLine="567"/>
      </w:pPr>
      <w:r w:rsidRPr="00332875">
        <w:rPr>
          <w:szCs w:val="28"/>
        </w:rPr>
        <w:t>(a)</w:t>
      </w:r>
      <w:r w:rsidRPr="00332875">
        <w:rPr>
          <w:szCs w:val="28"/>
        </w:rPr>
        <w:tab/>
      </w:r>
      <w:r w:rsidR="00CA35AF" w:rsidRPr="00332875">
        <w:t>Collating and reviewing current and planned capacity-building work of constituted bodies established under the Convention that implement capacity-building activities in order to provide an overview of capacity-building activities under the Convention, and regularly sharing this information with the constituted bodies;</w:t>
      </w:r>
    </w:p>
    <w:p w14:paraId="7BF6D0FF" w14:textId="7B2BD4F2" w:rsidR="00CA35AF" w:rsidRPr="00332875" w:rsidRDefault="002424D3" w:rsidP="002424D3">
      <w:pPr>
        <w:pStyle w:val="RegSingleTxtG2"/>
        <w:numPr>
          <w:ilvl w:val="0"/>
          <w:numId w:val="0"/>
        </w:numPr>
        <w:tabs>
          <w:tab w:val="left" w:pos="1702"/>
        </w:tabs>
        <w:ind w:left="1134" w:firstLine="567"/>
      </w:pPr>
      <w:r w:rsidRPr="00332875">
        <w:rPr>
          <w:szCs w:val="28"/>
        </w:rPr>
        <w:t>(b)</w:t>
      </w:r>
      <w:r w:rsidRPr="00332875">
        <w:rPr>
          <w:szCs w:val="28"/>
        </w:rPr>
        <w:tab/>
      </w:r>
      <w:r w:rsidR="00CA35AF" w:rsidRPr="00332875">
        <w:t>Providing recommendations</w:t>
      </w:r>
      <w:r w:rsidR="00CA35AF">
        <w:t xml:space="preserve"> to</w:t>
      </w:r>
      <w:r w:rsidR="00CA35AF" w:rsidDel="00F74991">
        <w:t xml:space="preserve"> </w:t>
      </w:r>
      <w:r w:rsidR="00CA35AF">
        <w:t>Parties</w:t>
      </w:r>
      <w:r w:rsidR="00CA35AF" w:rsidRPr="00332875">
        <w:t xml:space="preserve"> on how to improve coherence and coordination of capacity-building and avoid duplication of efforts;</w:t>
      </w:r>
    </w:p>
    <w:p w14:paraId="46BCCE08" w14:textId="6D589A7E" w:rsidR="00CA35AF" w:rsidRPr="00332875" w:rsidRDefault="002424D3" w:rsidP="002424D3">
      <w:pPr>
        <w:pStyle w:val="RegSingleTxtG2"/>
        <w:numPr>
          <w:ilvl w:val="0"/>
          <w:numId w:val="0"/>
        </w:numPr>
        <w:tabs>
          <w:tab w:val="left" w:pos="1702"/>
        </w:tabs>
        <w:ind w:left="1134" w:firstLine="567"/>
      </w:pPr>
      <w:r w:rsidRPr="00332875">
        <w:rPr>
          <w:szCs w:val="28"/>
        </w:rPr>
        <w:t>(c)</w:t>
      </w:r>
      <w:r w:rsidRPr="00332875">
        <w:rPr>
          <w:szCs w:val="28"/>
        </w:rPr>
        <w:tab/>
      </w:r>
      <w:r w:rsidR="00CA35AF" w:rsidRPr="00332875">
        <w:t>Liaising and engaging with bodies under and outside the Convention that are engaged in implementing capacity-building activities, as consistent with their mandates;</w:t>
      </w:r>
    </w:p>
    <w:p w14:paraId="5438EB70" w14:textId="35753AAC" w:rsidR="00CA35AF" w:rsidRPr="00332875" w:rsidRDefault="002424D3" w:rsidP="002424D3">
      <w:pPr>
        <w:pStyle w:val="RegSingleTxtG"/>
        <w:numPr>
          <w:ilvl w:val="0"/>
          <w:numId w:val="0"/>
        </w:numPr>
        <w:spacing w:before="120" w:line="259" w:lineRule="auto"/>
        <w:ind w:left="1134" w:right="1133"/>
        <w:rPr>
          <w:color w:val="1D1B11"/>
        </w:rPr>
      </w:pPr>
      <w:r w:rsidRPr="00332875">
        <w:rPr>
          <w:color w:val="1D1B11"/>
        </w:rPr>
        <w:t>2.</w:t>
      </w:r>
      <w:r w:rsidRPr="00332875">
        <w:rPr>
          <w:color w:val="1D1B11"/>
        </w:rPr>
        <w:tab/>
      </w:r>
      <w:r w:rsidR="00CA35AF" w:rsidRPr="00332875">
        <w:rPr>
          <w:color w:val="1D1B11"/>
        </w:rPr>
        <w:t>P</w:t>
      </w:r>
      <w:r w:rsidR="00CA35AF" w:rsidRPr="00332875">
        <w:t>riority area (b): i</w:t>
      </w:r>
      <w:r w:rsidR="00CA35AF" w:rsidRPr="00332875">
        <w:rPr>
          <w:color w:val="1D1B11"/>
        </w:rPr>
        <w:t>dentifying capacity gaps and needs, both current and emerging, and recommending ways to address them:</w:t>
      </w:r>
    </w:p>
    <w:p w14:paraId="26ACFC0F" w14:textId="5673D9BE" w:rsidR="00CA35AF" w:rsidRPr="00332875" w:rsidRDefault="002424D3" w:rsidP="002424D3">
      <w:pPr>
        <w:pStyle w:val="RegSingleTxtG2"/>
        <w:numPr>
          <w:ilvl w:val="0"/>
          <w:numId w:val="0"/>
        </w:numPr>
        <w:tabs>
          <w:tab w:val="left" w:pos="1702"/>
        </w:tabs>
        <w:ind w:left="1134" w:firstLine="567"/>
      </w:pPr>
      <w:r w:rsidRPr="00332875">
        <w:rPr>
          <w:szCs w:val="28"/>
        </w:rPr>
        <w:t>(a)</w:t>
      </w:r>
      <w:r w:rsidRPr="00332875">
        <w:rPr>
          <w:szCs w:val="28"/>
        </w:rPr>
        <w:tab/>
      </w:r>
      <w:r w:rsidR="00CA35AF" w:rsidRPr="00332875">
        <w:t>Interacting with other constituted bodies to allow the Paris Committee on Capacity-building to gather information on what they are doing to address capacity gaps and needs in areas relevant to their mandates to provide input to their work, as appropriate;</w:t>
      </w:r>
    </w:p>
    <w:p w14:paraId="554E9328" w14:textId="067F2324" w:rsidR="00CA35AF" w:rsidRPr="00332875" w:rsidRDefault="002424D3" w:rsidP="002424D3">
      <w:pPr>
        <w:pStyle w:val="RegSingleTxtG2"/>
        <w:numPr>
          <w:ilvl w:val="0"/>
          <w:numId w:val="0"/>
        </w:numPr>
        <w:tabs>
          <w:tab w:val="left" w:pos="1702"/>
        </w:tabs>
        <w:ind w:left="1134" w:firstLine="567"/>
      </w:pPr>
      <w:r w:rsidRPr="00332875">
        <w:rPr>
          <w:szCs w:val="28"/>
        </w:rPr>
        <w:t>(b)</w:t>
      </w:r>
      <w:r w:rsidRPr="00332875">
        <w:rPr>
          <w:szCs w:val="28"/>
        </w:rPr>
        <w:tab/>
      </w:r>
      <w:r w:rsidR="00CA35AF" w:rsidRPr="00332875">
        <w:t>Continuing</w:t>
      </w:r>
      <w:r w:rsidR="00CA35AF" w:rsidRPr="00332875" w:rsidDel="00FA503D">
        <w:t xml:space="preserve"> </w:t>
      </w:r>
      <w:r w:rsidR="00CA35AF" w:rsidRPr="00332875">
        <w:t>efforts to gather and promote the development and dissemination of tools and methodologies for implementing capacity-building activities;</w:t>
      </w:r>
    </w:p>
    <w:p w14:paraId="427038DA" w14:textId="6E427493" w:rsidR="00CA35AF" w:rsidRPr="00332875" w:rsidRDefault="002424D3" w:rsidP="002424D3">
      <w:pPr>
        <w:pStyle w:val="RegSingleTxtG2"/>
        <w:numPr>
          <w:ilvl w:val="0"/>
          <w:numId w:val="0"/>
        </w:numPr>
        <w:tabs>
          <w:tab w:val="left" w:pos="1702"/>
        </w:tabs>
        <w:ind w:left="1134" w:firstLine="567"/>
      </w:pPr>
      <w:r w:rsidRPr="00332875">
        <w:rPr>
          <w:szCs w:val="28"/>
        </w:rPr>
        <w:t>(c)</w:t>
      </w:r>
      <w:r w:rsidRPr="00332875">
        <w:rPr>
          <w:szCs w:val="28"/>
        </w:rPr>
        <w:tab/>
      </w:r>
      <w:r w:rsidR="00CA35AF" w:rsidRPr="00332875">
        <w:t>Collating, reviewing and sharing information on experience, good practices and lessons learned related to enhancing the ownership of developing countries of building and maintaining capacity, and providing recommendations in this regard;</w:t>
      </w:r>
    </w:p>
    <w:p w14:paraId="6641DC6F" w14:textId="23577C26" w:rsidR="00CA35AF" w:rsidRPr="00332875" w:rsidRDefault="002424D3" w:rsidP="002424D3">
      <w:pPr>
        <w:pStyle w:val="RegSingleTxtG"/>
        <w:numPr>
          <w:ilvl w:val="0"/>
          <w:numId w:val="0"/>
        </w:numPr>
        <w:spacing w:before="120" w:line="259" w:lineRule="auto"/>
        <w:ind w:left="1134" w:right="1133"/>
        <w:rPr>
          <w:color w:val="1D1B11"/>
          <w:spacing w:val="-2"/>
        </w:rPr>
      </w:pPr>
      <w:r w:rsidRPr="00332875">
        <w:rPr>
          <w:color w:val="1D1B11"/>
          <w:spacing w:val="-2"/>
        </w:rPr>
        <w:t>3.</w:t>
      </w:r>
      <w:r w:rsidRPr="00332875">
        <w:rPr>
          <w:color w:val="1D1B11"/>
          <w:spacing w:val="-2"/>
        </w:rPr>
        <w:tab/>
      </w:r>
      <w:r w:rsidR="00CA35AF" w:rsidRPr="00332875">
        <w:rPr>
          <w:color w:val="1D1B11"/>
          <w:spacing w:val="-2"/>
        </w:rPr>
        <w:t>P</w:t>
      </w:r>
      <w:r w:rsidR="00CA35AF" w:rsidRPr="00332875">
        <w:rPr>
          <w:spacing w:val="-2"/>
        </w:rPr>
        <w:t>riority area</w:t>
      </w:r>
      <w:r w:rsidR="00CA35AF" w:rsidRPr="00332875">
        <w:rPr>
          <w:color w:val="1D1B11"/>
          <w:spacing w:val="-2"/>
        </w:rPr>
        <w:t xml:space="preserve"> (c): promoting awareness-raising, knowledge- and information-sharing and stakeholder engagement with bodies and relevant actors under and outside the Convention</w:t>
      </w:r>
      <w:r w:rsidR="00CA35AF">
        <w:t>, as appropriate and in accordance with their respective mandates</w:t>
      </w:r>
      <w:r w:rsidR="00CA35AF" w:rsidRPr="00332875">
        <w:rPr>
          <w:color w:val="1D1B11"/>
          <w:spacing w:val="-2"/>
        </w:rPr>
        <w:t>:</w:t>
      </w:r>
    </w:p>
    <w:p w14:paraId="07B274FB" w14:textId="5229A97A" w:rsidR="00CA35AF" w:rsidRPr="00332875" w:rsidRDefault="002424D3" w:rsidP="002424D3">
      <w:pPr>
        <w:pStyle w:val="RegSingleTxtG2"/>
        <w:numPr>
          <w:ilvl w:val="0"/>
          <w:numId w:val="0"/>
        </w:numPr>
        <w:tabs>
          <w:tab w:val="left" w:pos="1702"/>
        </w:tabs>
        <w:ind w:left="1134" w:firstLine="567"/>
      </w:pPr>
      <w:r w:rsidRPr="00332875">
        <w:rPr>
          <w:szCs w:val="28"/>
        </w:rPr>
        <w:t>(a)</w:t>
      </w:r>
      <w:r w:rsidRPr="00332875">
        <w:rPr>
          <w:szCs w:val="28"/>
        </w:rPr>
        <w:tab/>
      </w:r>
      <w:r w:rsidR="00CA35AF" w:rsidRPr="00332875">
        <w:t>Collecting information from relevant sources, including the Durban Forum, on good practices, experience and lessons learned related to capacity-building, and disseminating this information, including via the capacity-building portal, with the aim of addressing gaps and needs related to implementing capacity-building;</w:t>
      </w:r>
    </w:p>
    <w:p w14:paraId="643E6ED0" w14:textId="3CDBAA86" w:rsidR="00CA35AF" w:rsidRPr="00332875" w:rsidRDefault="002424D3" w:rsidP="002424D3">
      <w:pPr>
        <w:pStyle w:val="RegSingleTxtG2"/>
        <w:numPr>
          <w:ilvl w:val="0"/>
          <w:numId w:val="0"/>
        </w:numPr>
        <w:tabs>
          <w:tab w:val="left" w:pos="1702"/>
        </w:tabs>
        <w:ind w:left="1134" w:firstLine="567"/>
      </w:pPr>
      <w:r w:rsidRPr="00332875">
        <w:rPr>
          <w:szCs w:val="28"/>
        </w:rPr>
        <w:t>(b)</w:t>
      </w:r>
      <w:r w:rsidRPr="00332875">
        <w:rPr>
          <w:szCs w:val="28"/>
        </w:rPr>
        <w:tab/>
      </w:r>
      <w:r w:rsidR="00CA35AF" w:rsidRPr="00332875">
        <w:t>Providing recommendations to Parties on:</w:t>
      </w:r>
    </w:p>
    <w:p w14:paraId="4A2E1327" w14:textId="1B58E87C" w:rsidR="00CA35AF" w:rsidRPr="00332875" w:rsidRDefault="002424D3" w:rsidP="002424D3">
      <w:pPr>
        <w:pStyle w:val="RegSingleTxtG3"/>
        <w:numPr>
          <w:ilvl w:val="0"/>
          <w:numId w:val="0"/>
        </w:numPr>
        <w:ind w:left="1701"/>
      </w:pPr>
      <w:r w:rsidRPr="00332875">
        <w:t>(i)</w:t>
      </w:r>
      <w:r w:rsidRPr="00332875">
        <w:tab/>
      </w:r>
      <w:r w:rsidR="00CA35AF" w:rsidRPr="00332875">
        <w:t>Enhancing the sharing of good practices, experience and lessons learned related to capacity-building among relevant bodies under and outside the Convention;</w:t>
      </w:r>
    </w:p>
    <w:p w14:paraId="64A1A717" w14:textId="1E46C0A3" w:rsidR="00CA35AF" w:rsidRPr="00332875" w:rsidRDefault="002424D3" w:rsidP="002424D3">
      <w:pPr>
        <w:pStyle w:val="RegSingleTxtG3"/>
        <w:numPr>
          <w:ilvl w:val="0"/>
          <w:numId w:val="0"/>
        </w:numPr>
        <w:ind w:left="1701"/>
      </w:pPr>
      <w:r w:rsidRPr="00332875">
        <w:t>(ii)</w:t>
      </w:r>
      <w:r w:rsidRPr="00332875">
        <w:tab/>
      </w:r>
      <w:r w:rsidR="00CA35AF" w:rsidRPr="00332875">
        <w:t xml:space="preserve">Potential areas of collaborative work with those bodies whose work is relevant to the Paris Committee on Capacity-building and its workplan, within their mandates; </w:t>
      </w:r>
    </w:p>
    <w:p w14:paraId="28941B16" w14:textId="7DF7961D" w:rsidR="00CA35AF" w:rsidRPr="00332875" w:rsidRDefault="002424D3" w:rsidP="002424D3">
      <w:pPr>
        <w:pStyle w:val="RegSingleTxtG3"/>
        <w:numPr>
          <w:ilvl w:val="0"/>
          <w:numId w:val="0"/>
        </w:numPr>
        <w:ind w:left="1701"/>
      </w:pPr>
      <w:r w:rsidRPr="00332875">
        <w:t>(iii)</w:t>
      </w:r>
      <w:r w:rsidRPr="00332875">
        <w:tab/>
      </w:r>
      <w:r w:rsidR="00CA35AF" w:rsidRPr="00332875">
        <w:t>How information from the Durban Forum can be utilized by bodies under and outside the Convention;</w:t>
      </w:r>
    </w:p>
    <w:p w14:paraId="54DFECE3" w14:textId="421D6D51" w:rsidR="00CA35AF" w:rsidRPr="00332875" w:rsidRDefault="002424D3" w:rsidP="002424D3">
      <w:pPr>
        <w:pStyle w:val="RegSingleTxtG2"/>
        <w:numPr>
          <w:ilvl w:val="0"/>
          <w:numId w:val="0"/>
        </w:numPr>
        <w:tabs>
          <w:tab w:val="left" w:pos="1702"/>
        </w:tabs>
        <w:ind w:left="1134" w:firstLine="567"/>
      </w:pPr>
      <w:r w:rsidRPr="00332875">
        <w:rPr>
          <w:szCs w:val="28"/>
        </w:rPr>
        <w:t>(c)</w:t>
      </w:r>
      <w:r w:rsidRPr="00332875">
        <w:rPr>
          <w:szCs w:val="28"/>
        </w:rPr>
        <w:tab/>
      </w:r>
      <w:r w:rsidR="00CA35AF" w:rsidRPr="00332875">
        <w:t>Organizing the annual Capacity-building Hub at the sessions of the Conference of the Parties;</w:t>
      </w:r>
    </w:p>
    <w:p w14:paraId="2D8FAEC3" w14:textId="10EF29A6" w:rsidR="00CA35AF" w:rsidRPr="00332875" w:rsidRDefault="002424D3" w:rsidP="002424D3">
      <w:pPr>
        <w:pStyle w:val="RegSingleTxtG2"/>
        <w:numPr>
          <w:ilvl w:val="0"/>
          <w:numId w:val="0"/>
        </w:numPr>
        <w:tabs>
          <w:tab w:val="left" w:pos="1702"/>
        </w:tabs>
        <w:ind w:left="1134" w:firstLine="567"/>
      </w:pPr>
      <w:r w:rsidRPr="00332875">
        <w:rPr>
          <w:szCs w:val="28"/>
        </w:rPr>
        <w:t>(d)</w:t>
      </w:r>
      <w:r w:rsidRPr="00332875">
        <w:rPr>
          <w:szCs w:val="28"/>
        </w:rPr>
        <w:tab/>
      </w:r>
      <w:r w:rsidR="00CA35AF" w:rsidRPr="00332875">
        <w:t>Promoting strategic stakeholder engagement through, inter alia, targeted outreach activities as set out in the workplan to foster exchange on capacity-building at the national and regional level, including through regional climate weeks, as appropriate, and subject to the availability of resources.</w:t>
      </w:r>
    </w:p>
    <w:p w14:paraId="7FB96983" w14:textId="77777777" w:rsidR="00FE2498" w:rsidRDefault="00FE2498" w:rsidP="00FE2498">
      <w:pPr>
        <w:pStyle w:val="RegSingleTxtG"/>
        <w:numPr>
          <w:ilvl w:val="0"/>
          <w:numId w:val="0"/>
        </w:numPr>
        <w:ind w:left="851"/>
        <w:jc w:val="right"/>
        <w:rPr>
          <w:i/>
        </w:rPr>
      </w:pPr>
      <w:r>
        <w:rPr>
          <w:i/>
        </w:rPr>
        <w:t>7</w:t>
      </w:r>
      <w:r w:rsidRPr="00ED5EE2">
        <w:rPr>
          <w:i/>
          <w:vertAlign w:val="superscript"/>
        </w:rPr>
        <w:t>th</w:t>
      </w:r>
      <w:r>
        <w:rPr>
          <w:i/>
        </w:rPr>
        <w:t xml:space="preserve"> plenary meeting</w:t>
      </w:r>
      <w:r>
        <w:rPr>
          <w:i/>
        </w:rPr>
        <w:br/>
        <w:t>12 December 2019</w:t>
      </w:r>
    </w:p>
    <w:p w14:paraId="0A49087E" w14:textId="799FBA42" w:rsidR="00FE2498" w:rsidRDefault="00FE2498" w:rsidP="00FE2498">
      <w:pPr>
        <w:pStyle w:val="RegSingleTxtG"/>
        <w:numPr>
          <w:ilvl w:val="0"/>
          <w:numId w:val="0"/>
        </w:numPr>
        <w:ind w:left="851"/>
        <w:jc w:val="right"/>
        <w:rPr>
          <w:i/>
        </w:rPr>
        <w:sectPr w:rsidR="00FE2498" w:rsidSect="00C92FFD">
          <w:headerReference w:type="even" r:id="rId29"/>
          <w:headerReference w:type="default" r:id="rId30"/>
          <w:footerReference w:type="even" r:id="rId31"/>
          <w:footerReference w:type="default" r:id="rId32"/>
          <w:headerReference w:type="first" r:id="rId33"/>
          <w:footerReference w:type="first" r:id="rId34"/>
          <w:footnotePr>
            <w:numRestart w:val="eachSect"/>
          </w:footnotePr>
          <w:pgSz w:w="11906" w:h="16838" w:code="9"/>
          <w:pgMar w:top="1417" w:right="1134" w:bottom="1134" w:left="1134" w:header="850" w:footer="567" w:gutter="0"/>
          <w:cols w:space="708"/>
          <w:docGrid w:linePitch="360"/>
        </w:sectPr>
      </w:pPr>
    </w:p>
    <w:p w14:paraId="77741E4F" w14:textId="3AE7E8FD" w:rsidR="00AB17B9" w:rsidRPr="00874CFC" w:rsidRDefault="0063045C" w:rsidP="0063045C">
      <w:pPr>
        <w:pStyle w:val="HChG"/>
      </w:pPr>
      <w:r>
        <w:tab/>
      </w:r>
      <w:r>
        <w:tab/>
      </w:r>
      <w:bookmarkStart w:id="7" w:name="D10"/>
      <w:r>
        <w:t xml:space="preserve">Decision </w:t>
      </w:r>
      <w:r w:rsidR="005F3B0A">
        <w:t>10/CP.25</w:t>
      </w:r>
      <w:bookmarkEnd w:id="7"/>
    </w:p>
    <w:p w14:paraId="4CA300E9" w14:textId="13FAD5A6" w:rsidR="0063045C" w:rsidRDefault="005F3B0A" w:rsidP="0063045C">
      <w:pPr>
        <w:pStyle w:val="HChG"/>
      </w:pPr>
      <w:r>
        <w:tab/>
      </w:r>
      <w:r>
        <w:tab/>
      </w:r>
      <w:r w:rsidR="0063045C">
        <w:t>F</w:t>
      </w:r>
      <w:r w:rsidR="0063045C" w:rsidRPr="001A15EB">
        <w:t>ourth comprehensive review of the implementation of the framework for capacity-building in developing countries under the Convention</w:t>
      </w:r>
      <w:r w:rsidR="0063045C" w:rsidRPr="00AF3A40">
        <w:t xml:space="preserve"> </w:t>
      </w:r>
    </w:p>
    <w:p w14:paraId="2466D51F" w14:textId="08A2B1A0" w:rsidR="0063045C" w:rsidRPr="009D3879" w:rsidRDefault="0063045C" w:rsidP="0063045C">
      <w:pPr>
        <w:pStyle w:val="RegSingleTxtG"/>
        <w:numPr>
          <w:ilvl w:val="0"/>
          <w:numId w:val="0"/>
        </w:numPr>
        <w:ind w:left="1135"/>
        <w:rPr>
          <w:i/>
        </w:rPr>
      </w:pPr>
      <w:r>
        <w:rPr>
          <w:rFonts w:eastAsia="Times New Roman"/>
          <w:i/>
        </w:rPr>
        <w:tab/>
      </w:r>
      <w:r w:rsidRPr="003C3D1F">
        <w:rPr>
          <w:rFonts w:eastAsia="Times New Roman"/>
          <w:i/>
        </w:rPr>
        <w:t xml:space="preserve">The </w:t>
      </w:r>
      <w:r w:rsidRPr="009D3879">
        <w:rPr>
          <w:i/>
        </w:rPr>
        <w:t>Conference of the Parties</w:t>
      </w:r>
      <w:r w:rsidDel="00116153">
        <w:t>,</w:t>
      </w:r>
      <w:r w:rsidRPr="009D3879">
        <w:rPr>
          <w:i/>
        </w:rPr>
        <w:t xml:space="preserve"> </w:t>
      </w:r>
    </w:p>
    <w:p w14:paraId="180ABE03" w14:textId="77777777" w:rsidR="0063045C" w:rsidRPr="00A15822" w:rsidRDefault="0063045C" w:rsidP="0063045C">
      <w:pPr>
        <w:pStyle w:val="RegSingleTxtG"/>
        <w:numPr>
          <w:ilvl w:val="0"/>
          <w:numId w:val="0"/>
        </w:numPr>
        <w:ind w:left="1135"/>
        <w:rPr>
          <w:rFonts w:eastAsia="Times New Roman"/>
        </w:rPr>
      </w:pPr>
      <w:r>
        <w:rPr>
          <w:i/>
        </w:rPr>
        <w:tab/>
      </w:r>
      <w:r w:rsidRPr="009D3879">
        <w:rPr>
          <w:i/>
        </w:rPr>
        <w:t xml:space="preserve">Recalling </w:t>
      </w:r>
      <w:r w:rsidRPr="0026176F">
        <w:t>deci</w:t>
      </w:r>
      <w:r w:rsidRPr="0026176F">
        <w:rPr>
          <w:rFonts w:eastAsia="Times New Roman"/>
        </w:rPr>
        <w:t>sions 2/CP.7 and 1/CP.21</w:t>
      </w:r>
      <w:r w:rsidRPr="00116153">
        <w:rPr>
          <w:rFonts w:eastAsia="Times New Roman"/>
        </w:rPr>
        <w:t>,</w:t>
      </w:r>
      <w:r w:rsidRPr="00A15822">
        <w:rPr>
          <w:rFonts w:eastAsia="Times New Roman"/>
        </w:rPr>
        <w:t xml:space="preserve"> </w:t>
      </w:r>
    </w:p>
    <w:p w14:paraId="6F2831F5" w14:textId="1353CD14" w:rsidR="0063045C" w:rsidRDefault="002424D3" w:rsidP="002424D3">
      <w:pPr>
        <w:pStyle w:val="RegSingleTxtG"/>
        <w:numPr>
          <w:ilvl w:val="0"/>
          <w:numId w:val="0"/>
        </w:numPr>
        <w:ind w:left="1135"/>
      </w:pPr>
      <w:r>
        <w:t>1.</w:t>
      </w:r>
      <w:r>
        <w:tab/>
      </w:r>
      <w:r w:rsidR="0063045C" w:rsidRPr="003C3D1F">
        <w:rPr>
          <w:rFonts w:eastAsia="Times New Roman"/>
          <w:i/>
        </w:rPr>
        <w:t>Notes</w:t>
      </w:r>
      <w:r w:rsidR="0063045C" w:rsidRPr="00A15822">
        <w:rPr>
          <w:rFonts w:eastAsia="Times New Roman"/>
        </w:rPr>
        <w:t xml:space="preserve"> </w:t>
      </w:r>
      <w:r w:rsidR="0063045C" w:rsidRPr="0026176F">
        <w:rPr>
          <w:i/>
        </w:rPr>
        <w:t>with appreciation</w:t>
      </w:r>
      <w:r w:rsidR="0063045C" w:rsidRPr="009D3879">
        <w:t xml:space="preserve"> the continued progress in the implementation of the framework for capacity-building in developing countries established under decision 2/CP.7 (hereinafter referred to as the capacity-building framework) under the Convention, demonstrated by the increase in capacity-building activities undertaken by a growing range of bodies and practitioners under and outside the Convention during the period covered by the fourth comprehensive review of the implementation of the capacity-building framework under the Convention (2017–2019); </w:t>
      </w:r>
    </w:p>
    <w:p w14:paraId="74117F09" w14:textId="37E2D009" w:rsidR="0063045C" w:rsidRDefault="002424D3" w:rsidP="002424D3">
      <w:pPr>
        <w:pStyle w:val="RegSingleTxtG"/>
        <w:numPr>
          <w:ilvl w:val="0"/>
          <w:numId w:val="0"/>
        </w:numPr>
        <w:ind w:left="1135"/>
      </w:pPr>
      <w:r>
        <w:t>2.</w:t>
      </w:r>
      <w:r>
        <w:tab/>
      </w:r>
      <w:r w:rsidR="0063045C" w:rsidRPr="009D3879">
        <w:rPr>
          <w:i/>
        </w:rPr>
        <w:t>Recognizes</w:t>
      </w:r>
      <w:r w:rsidR="0063045C" w:rsidRPr="009D3879">
        <w:t xml:space="preserve"> that, while the objective and scope of capacity-building in developing countries as set out in decision 2/CP.7 are still relevant, current and emerging areas in the context of the Convention and the Paris Agreement should also be taken into account in the further implementation of the capacity-building framework under the Convention; </w:t>
      </w:r>
    </w:p>
    <w:p w14:paraId="5E435FFF" w14:textId="23E589C3" w:rsidR="0063045C" w:rsidRDefault="002424D3" w:rsidP="002424D3">
      <w:pPr>
        <w:pStyle w:val="RegSingleTxtG"/>
        <w:numPr>
          <w:ilvl w:val="0"/>
          <w:numId w:val="0"/>
        </w:numPr>
        <w:ind w:left="1135"/>
      </w:pPr>
      <w:r>
        <w:t>3.</w:t>
      </w:r>
      <w:r>
        <w:tab/>
      </w:r>
      <w:r w:rsidR="0063045C" w:rsidRPr="009D3879">
        <w:rPr>
          <w:i/>
        </w:rPr>
        <w:t>Welcomes</w:t>
      </w:r>
      <w:r w:rsidR="0063045C" w:rsidRPr="009D3879">
        <w:t xml:space="preserve"> the Durban Forum on capacity-building as one of the key modalities that have enhanced progress in implementing the capacity-building framework under the Convention, including by taking forward recommendations from the third comprehensive review of the implementation of the capacity-building framework under the Convention; </w:t>
      </w:r>
    </w:p>
    <w:p w14:paraId="59C6B0D9" w14:textId="1FD0AF65" w:rsidR="0063045C" w:rsidRDefault="002424D3" w:rsidP="002424D3">
      <w:pPr>
        <w:pStyle w:val="RegSingleTxtG"/>
        <w:numPr>
          <w:ilvl w:val="0"/>
          <w:numId w:val="0"/>
        </w:numPr>
        <w:ind w:left="1135"/>
      </w:pPr>
      <w:r>
        <w:t>4.</w:t>
      </w:r>
      <w:r>
        <w:tab/>
      </w:r>
      <w:r w:rsidR="0063045C" w:rsidRPr="009D3879">
        <w:rPr>
          <w:i/>
        </w:rPr>
        <w:t>Also welcomes</w:t>
      </w:r>
      <w:r w:rsidR="0063045C" w:rsidRPr="009D3879">
        <w:t xml:space="preserve"> the wide range of capacity-building activities undertaken by constituted bodies under the Convention, the increased coherence and collaboration between bodies, the practice of building and improving on previous work where useful, and the collaboration with relevant stakeholders; </w:t>
      </w:r>
    </w:p>
    <w:p w14:paraId="367B4E4C" w14:textId="3FD314C5" w:rsidR="0063045C" w:rsidRDefault="002424D3" w:rsidP="002424D3">
      <w:pPr>
        <w:pStyle w:val="RegSingleTxtG"/>
        <w:numPr>
          <w:ilvl w:val="0"/>
          <w:numId w:val="0"/>
        </w:numPr>
        <w:ind w:left="1135"/>
      </w:pPr>
      <w:r>
        <w:t>5.</w:t>
      </w:r>
      <w:r>
        <w:tab/>
      </w:r>
      <w:r w:rsidR="0063045C" w:rsidRPr="009D3879">
        <w:rPr>
          <w:i/>
        </w:rPr>
        <w:t>Emphasizes</w:t>
      </w:r>
      <w:r w:rsidR="0063045C" w:rsidRPr="009D3879">
        <w:t xml:space="preserve"> the value of strengthening the participation of relevant stakeholders, including non-State actors, in undertaking capacity-building activities;</w:t>
      </w:r>
    </w:p>
    <w:p w14:paraId="33778ECE" w14:textId="74822505" w:rsidR="0063045C" w:rsidRDefault="002424D3" w:rsidP="002424D3">
      <w:pPr>
        <w:pStyle w:val="RegSingleTxtG"/>
        <w:numPr>
          <w:ilvl w:val="0"/>
          <w:numId w:val="0"/>
        </w:numPr>
        <w:ind w:left="1135"/>
      </w:pPr>
      <w:r>
        <w:t>6.</w:t>
      </w:r>
      <w:r>
        <w:tab/>
      </w:r>
      <w:r w:rsidR="0063045C" w:rsidRPr="009D3879">
        <w:rPr>
          <w:i/>
        </w:rPr>
        <w:t>Notes</w:t>
      </w:r>
      <w:r w:rsidR="0063045C" w:rsidRPr="009D3879">
        <w:t xml:space="preserve"> that, while progress has been made, gaps and needs remain in addressing the priority issues identified in the capacity-building framework under the Convention;</w:t>
      </w:r>
    </w:p>
    <w:p w14:paraId="0CAE3C79" w14:textId="608F4CCC" w:rsidR="0063045C" w:rsidRDefault="002424D3" w:rsidP="002424D3">
      <w:pPr>
        <w:pStyle w:val="RegSingleTxtG"/>
        <w:numPr>
          <w:ilvl w:val="0"/>
          <w:numId w:val="0"/>
        </w:numPr>
        <w:ind w:left="1135"/>
      </w:pPr>
      <w:r>
        <w:t>7.</w:t>
      </w:r>
      <w:r>
        <w:tab/>
      </w:r>
      <w:r w:rsidR="0063045C" w:rsidRPr="009D3879">
        <w:rPr>
          <w:i/>
        </w:rPr>
        <w:t>Invites</w:t>
      </w:r>
      <w:r w:rsidR="0063045C" w:rsidRPr="009D3879">
        <w:t xml:space="preserve"> Parties to foster networking and enhance their collaboration with academia and research centres with a view to promoting individual, institutional and systemic capacity-building through education, training and public awareness;</w:t>
      </w:r>
    </w:p>
    <w:p w14:paraId="135293F3" w14:textId="5FD7456D" w:rsidR="0063045C" w:rsidRDefault="002424D3" w:rsidP="002424D3">
      <w:pPr>
        <w:pStyle w:val="RegSingleTxtG"/>
        <w:numPr>
          <w:ilvl w:val="0"/>
          <w:numId w:val="0"/>
        </w:numPr>
        <w:ind w:left="1135"/>
      </w:pPr>
      <w:r>
        <w:t>8.</w:t>
      </w:r>
      <w:r>
        <w:tab/>
      </w:r>
      <w:r w:rsidR="0063045C" w:rsidRPr="009D3879">
        <w:rPr>
          <w:i/>
        </w:rPr>
        <w:t>Notes</w:t>
      </w:r>
      <w:r w:rsidR="0063045C" w:rsidRPr="009D3879">
        <w:t xml:space="preserve"> the importance of sharing examples of best practice and lessons learned among Parties and capacity-building practitioners; </w:t>
      </w:r>
    </w:p>
    <w:p w14:paraId="62028846" w14:textId="68535456" w:rsidR="0063045C" w:rsidRDefault="002424D3" w:rsidP="002424D3">
      <w:pPr>
        <w:pStyle w:val="RegSingleTxtG"/>
        <w:numPr>
          <w:ilvl w:val="0"/>
          <w:numId w:val="0"/>
        </w:numPr>
        <w:ind w:left="1135"/>
      </w:pPr>
      <w:r>
        <w:t>9.</w:t>
      </w:r>
      <w:r>
        <w:tab/>
      </w:r>
      <w:r w:rsidR="0063045C" w:rsidRPr="009D3879">
        <w:rPr>
          <w:i/>
        </w:rPr>
        <w:t>Emphasizes</w:t>
      </w:r>
      <w:r w:rsidR="0063045C" w:rsidRPr="009D3879">
        <w:t xml:space="preserve"> the importance of building long-term capacity in developing countries, including by promoting strong domestic enabling environments; </w:t>
      </w:r>
    </w:p>
    <w:p w14:paraId="1632CBB6" w14:textId="132E0A71" w:rsidR="0063045C" w:rsidRDefault="002424D3" w:rsidP="002424D3">
      <w:pPr>
        <w:pStyle w:val="RegSingleTxtG"/>
        <w:numPr>
          <w:ilvl w:val="0"/>
          <w:numId w:val="0"/>
        </w:numPr>
        <w:ind w:left="1135"/>
      </w:pPr>
      <w:r>
        <w:t>10.</w:t>
      </w:r>
      <w:r>
        <w:tab/>
      </w:r>
      <w:r w:rsidR="0063045C" w:rsidRPr="009D3879">
        <w:rPr>
          <w:i/>
        </w:rPr>
        <w:t>Notes</w:t>
      </w:r>
      <w:r w:rsidR="0063045C" w:rsidRPr="009D3879">
        <w:t xml:space="preserve"> that monitoring and reviewing the impacts of capacity-building remains challenging and needs to be conducted in specific contexts to better assess progress and evaluate the effectiveness of capacity-building activities; </w:t>
      </w:r>
    </w:p>
    <w:p w14:paraId="35BDB645" w14:textId="649DC226" w:rsidR="0063045C" w:rsidRDefault="002424D3" w:rsidP="002424D3">
      <w:pPr>
        <w:pStyle w:val="RegSingleTxtG"/>
        <w:numPr>
          <w:ilvl w:val="0"/>
          <w:numId w:val="0"/>
        </w:numPr>
        <w:ind w:left="1135"/>
      </w:pPr>
      <w:r>
        <w:t>11.</w:t>
      </w:r>
      <w:r>
        <w:tab/>
      </w:r>
      <w:r w:rsidR="0063045C" w:rsidRPr="009D3879">
        <w:rPr>
          <w:i/>
        </w:rPr>
        <w:t>Emphasizes</w:t>
      </w:r>
      <w:r w:rsidR="0063045C" w:rsidRPr="009D3879">
        <w:t xml:space="preserve"> the importance of continuing to identify and disseminate lessons learned to enhance the implementation of capacity-building activities, including through the Durban Forum and the Paris Committee on Capacity-building; </w:t>
      </w:r>
    </w:p>
    <w:p w14:paraId="4A0654E6" w14:textId="6AD7672B" w:rsidR="0063045C" w:rsidRDefault="002424D3" w:rsidP="002424D3">
      <w:pPr>
        <w:pStyle w:val="RegSingleTxtG"/>
        <w:numPr>
          <w:ilvl w:val="0"/>
          <w:numId w:val="0"/>
        </w:numPr>
        <w:ind w:left="1135"/>
      </w:pPr>
      <w:r>
        <w:t>12.</w:t>
      </w:r>
      <w:r>
        <w:tab/>
      </w:r>
      <w:r w:rsidR="0063045C" w:rsidRPr="009D3879">
        <w:rPr>
          <w:i/>
        </w:rPr>
        <w:t>Invites</w:t>
      </w:r>
      <w:r w:rsidR="0063045C" w:rsidRPr="009D3879">
        <w:t xml:space="preserve"> Parties to cooperate in order to enhance the capacity of developing countries to implement the Convention and the Paris Agreement, and </w:t>
      </w:r>
      <w:r w:rsidR="0063045C" w:rsidRPr="0026176F">
        <w:rPr>
          <w:i/>
        </w:rPr>
        <w:t>also invites</w:t>
      </w:r>
      <w:r w:rsidR="0063045C" w:rsidRPr="009D3879">
        <w:t xml:space="preserve"> Parties, as appropriate, and other stakeholders to continue to provide support for capacity-building actions in developing countries; </w:t>
      </w:r>
    </w:p>
    <w:p w14:paraId="6FF3E19B" w14:textId="6EEF3BD6" w:rsidR="0063045C" w:rsidRDefault="002424D3" w:rsidP="002424D3">
      <w:pPr>
        <w:pStyle w:val="RegSingleTxtG"/>
        <w:numPr>
          <w:ilvl w:val="0"/>
          <w:numId w:val="0"/>
        </w:numPr>
        <w:ind w:left="1135"/>
      </w:pPr>
      <w:r>
        <w:t>13.</w:t>
      </w:r>
      <w:r>
        <w:tab/>
      </w:r>
      <w:r w:rsidR="0063045C" w:rsidRPr="009D3879">
        <w:rPr>
          <w:i/>
        </w:rPr>
        <w:t>Concludes</w:t>
      </w:r>
      <w:r w:rsidR="0063045C" w:rsidRPr="009D3879">
        <w:t xml:space="preserve"> the fourth comprehensive review of the implementation of the capacity-building framework under the Convention;</w:t>
      </w:r>
    </w:p>
    <w:p w14:paraId="7A22E048" w14:textId="10C19EA1" w:rsidR="0063045C" w:rsidRDefault="002424D3" w:rsidP="002424D3">
      <w:pPr>
        <w:pStyle w:val="RegSingleTxtG"/>
        <w:numPr>
          <w:ilvl w:val="0"/>
          <w:numId w:val="0"/>
        </w:numPr>
        <w:ind w:left="1135"/>
      </w:pPr>
      <w:r>
        <w:t>14.</w:t>
      </w:r>
      <w:r>
        <w:tab/>
      </w:r>
      <w:r w:rsidR="0063045C" w:rsidRPr="009D3879">
        <w:rPr>
          <w:i/>
        </w:rPr>
        <w:t>Requests</w:t>
      </w:r>
      <w:r w:rsidR="0063045C" w:rsidRPr="009D3879">
        <w:t xml:space="preserve"> the Subsidiary Body for Implementation to develop terms of reference for the fifth comprehensive review of the implementation of the capacity-building framework under the Convention at its sixtieth session (June 2024) for consideration and adoption by the Conference of the Parties at its thirtieth session (November 2024);</w:t>
      </w:r>
    </w:p>
    <w:p w14:paraId="2703166E" w14:textId="3B7EF674" w:rsidR="0063045C" w:rsidRDefault="002424D3" w:rsidP="002424D3">
      <w:pPr>
        <w:pStyle w:val="RegSingleTxtG"/>
        <w:numPr>
          <w:ilvl w:val="0"/>
          <w:numId w:val="0"/>
        </w:numPr>
        <w:ind w:left="1135"/>
      </w:pPr>
      <w:r>
        <w:t>15.</w:t>
      </w:r>
      <w:r>
        <w:tab/>
      </w:r>
      <w:r w:rsidR="0063045C" w:rsidRPr="009D3879">
        <w:rPr>
          <w:i/>
        </w:rPr>
        <w:t>Also requests</w:t>
      </w:r>
      <w:r w:rsidR="0063045C" w:rsidRPr="009D3879">
        <w:t xml:space="preserve"> the Subsidiary Body for Implementation to initiate the fifth comprehensive review of the implementation of the capacity-building framework under the Convention at its sixty-second session (2025) with a view to the Conference</w:t>
      </w:r>
      <w:r w:rsidR="0063045C" w:rsidRPr="009D3879">
        <w:rPr>
          <w:rFonts w:eastAsia="Times New Roman"/>
        </w:rPr>
        <w:t xml:space="preserve"> of the Parties concluding it at its thirty-first session (2025).</w:t>
      </w:r>
      <w:r w:rsidR="0063045C" w:rsidRPr="009D3879">
        <w:t xml:space="preserve"> </w:t>
      </w:r>
    </w:p>
    <w:p w14:paraId="3680C34A" w14:textId="6DD83ED6" w:rsidR="00C9679E" w:rsidRDefault="005F3B0A" w:rsidP="005F3B0A">
      <w:pPr>
        <w:pStyle w:val="RegSingleTxtG"/>
        <w:numPr>
          <w:ilvl w:val="0"/>
          <w:numId w:val="0"/>
        </w:numPr>
        <w:ind w:left="360"/>
        <w:jc w:val="right"/>
      </w:pPr>
      <w:bookmarkStart w:id="8" w:name="_Hlk27664709"/>
      <w:r>
        <w:rPr>
          <w:i/>
        </w:rPr>
        <w:t>7</w:t>
      </w:r>
      <w:r w:rsidRPr="00ED5EE2">
        <w:rPr>
          <w:i/>
          <w:vertAlign w:val="superscript"/>
        </w:rPr>
        <w:t>th</w:t>
      </w:r>
      <w:r>
        <w:rPr>
          <w:i/>
        </w:rPr>
        <w:t xml:space="preserve"> plenary meeting</w:t>
      </w:r>
      <w:r>
        <w:rPr>
          <w:i/>
        </w:rPr>
        <w:br/>
        <w:t>12 December 2019</w:t>
      </w:r>
    </w:p>
    <w:bookmarkEnd w:id="8"/>
    <w:p w14:paraId="24FB0001" w14:textId="77777777" w:rsidR="00C9679E" w:rsidRDefault="00C9679E" w:rsidP="00492678">
      <w:pPr>
        <w:sectPr w:rsidR="00C9679E" w:rsidSect="00C92FFD">
          <w:headerReference w:type="even" r:id="rId35"/>
          <w:headerReference w:type="default" r:id="rId36"/>
          <w:footerReference w:type="even" r:id="rId37"/>
          <w:footerReference w:type="default" r:id="rId38"/>
          <w:headerReference w:type="first" r:id="rId39"/>
          <w:footerReference w:type="first" r:id="rId40"/>
          <w:footnotePr>
            <w:numRestart w:val="eachSect"/>
          </w:footnotePr>
          <w:pgSz w:w="11906" w:h="16838" w:code="9"/>
          <w:pgMar w:top="1417" w:right="1134" w:bottom="1134" w:left="1134" w:header="850" w:footer="567" w:gutter="0"/>
          <w:cols w:space="708"/>
          <w:docGrid w:linePitch="360"/>
        </w:sectPr>
      </w:pPr>
    </w:p>
    <w:p w14:paraId="46DE0FB5" w14:textId="7594FCB6" w:rsidR="00495190" w:rsidRDefault="00B36296" w:rsidP="00495190">
      <w:pPr>
        <w:pStyle w:val="HChG"/>
      </w:pPr>
      <w:r>
        <w:tab/>
      </w:r>
      <w:r>
        <w:tab/>
      </w:r>
      <w:bookmarkStart w:id="9" w:name="D11"/>
      <w:r w:rsidR="00495190" w:rsidRPr="002E1316">
        <w:t xml:space="preserve">Decision </w:t>
      </w:r>
      <w:r w:rsidR="00A877CA">
        <w:t>11</w:t>
      </w:r>
      <w:r w:rsidR="00495190" w:rsidRPr="002E1316">
        <w:t>/CP.25</w:t>
      </w:r>
      <w:bookmarkEnd w:id="9"/>
    </w:p>
    <w:p w14:paraId="500D70F0" w14:textId="77777777" w:rsidR="00495190" w:rsidRPr="00B50484" w:rsidRDefault="00495190" w:rsidP="00495190">
      <w:pPr>
        <w:pStyle w:val="HChG"/>
      </w:pPr>
      <w:r>
        <w:tab/>
      </w:r>
      <w:r>
        <w:tab/>
      </w:r>
      <w:r>
        <w:tab/>
        <w:t>Matters relating to the Standing Committee on Finance</w:t>
      </w:r>
    </w:p>
    <w:p w14:paraId="2EB28D64" w14:textId="77777777" w:rsidR="00495190" w:rsidRPr="000754FC" w:rsidRDefault="00495190" w:rsidP="00495190">
      <w:pPr>
        <w:spacing w:before="120"/>
        <w:ind w:left="1134" w:right="1174" w:firstLine="567"/>
        <w:rPr>
          <w:i/>
        </w:rPr>
      </w:pPr>
      <w:r w:rsidRPr="000754FC">
        <w:rPr>
          <w:i/>
        </w:rPr>
        <w:t>The Conference of the Parties</w:t>
      </w:r>
      <w:r w:rsidRPr="00AF0F3C">
        <w:t>,</w:t>
      </w:r>
    </w:p>
    <w:p w14:paraId="12E705E1" w14:textId="77777777" w:rsidR="00495190" w:rsidRPr="00521487" w:rsidRDefault="00495190" w:rsidP="00495190">
      <w:pPr>
        <w:spacing w:before="120"/>
        <w:ind w:left="1134" w:right="1174" w:firstLine="567"/>
      </w:pPr>
      <w:r w:rsidRPr="000C31CE">
        <w:rPr>
          <w:i/>
        </w:rPr>
        <w:t>Recalling</w:t>
      </w:r>
      <w:r w:rsidRPr="000C31CE">
        <w:t xml:space="preserve"> </w:t>
      </w:r>
      <w:r w:rsidRPr="00F86CBF">
        <w:t xml:space="preserve">Articles </w:t>
      </w:r>
      <w:r w:rsidRPr="00521487">
        <w:t>4 and 11 of the Convention,</w:t>
      </w:r>
    </w:p>
    <w:p w14:paraId="43D94654" w14:textId="5E12E46C" w:rsidR="00495190" w:rsidRPr="003930AC" w:rsidRDefault="00495190" w:rsidP="00C92138">
      <w:pPr>
        <w:spacing w:before="120" w:after="120"/>
        <w:ind w:left="1134" w:right="1133" w:firstLine="567"/>
        <w:jc w:val="both"/>
        <w:rPr>
          <w:rStyle w:val="fontstyle21"/>
          <w:i w:val="0"/>
          <w:iCs w:val="0"/>
        </w:rPr>
      </w:pPr>
      <w:r w:rsidRPr="00521487">
        <w:rPr>
          <w:i/>
        </w:rPr>
        <w:t>Also recalling</w:t>
      </w:r>
      <w:r w:rsidRPr="00521487">
        <w:t xml:space="preserve"> decisions 12/CP.2, 1/CP.16, paragraph 112, and 2/CP.17, paragraphs 120–121, as well as decisions 5/CP.18, 5/CP.19, 7/CP.19, 6/CP.20, 6/CP.21, 8/CP.22, 7/CP.23, 8/CP.23, 4/CP.24 and </w:t>
      </w:r>
      <w:r w:rsidR="00C33B3E">
        <w:t>5</w:t>
      </w:r>
      <w:r w:rsidRPr="00521487">
        <w:t>/CMA.2,</w:t>
      </w:r>
    </w:p>
    <w:p w14:paraId="016BEA33" w14:textId="19E9DAE3" w:rsidR="00495190" w:rsidRPr="00521487" w:rsidRDefault="002424D3" w:rsidP="002424D3">
      <w:pPr>
        <w:pStyle w:val="RegSingleTxtG"/>
        <w:numPr>
          <w:ilvl w:val="0"/>
          <w:numId w:val="0"/>
        </w:numPr>
        <w:ind w:left="1134"/>
      </w:pPr>
      <w:r w:rsidRPr="00521487">
        <w:t>1.</w:t>
      </w:r>
      <w:r w:rsidRPr="00521487">
        <w:tab/>
      </w:r>
      <w:r w:rsidR="00495190" w:rsidRPr="00C92138">
        <w:rPr>
          <w:rStyle w:val="fontstyle31"/>
          <w:bCs/>
          <w:i/>
          <w:lang w:val="en-US"/>
        </w:rPr>
        <w:t xml:space="preserve">Takes note </w:t>
      </w:r>
      <w:r w:rsidR="00495190" w:rsidRPr="00C92138">
        <w:rPr>
          <w:rStyle w:val="fontstyle31"/>
          <w:bCs/>
          <w:lang w:val="en-US"/>
        </w:rPr>
        <w:t>of</w:t>
      </w:r>
      <w:r w:rsidR="00495190" w:rsidRPr="00C92138">
        <w:rPr>
          <w:rStyle w:val="fontstyle31"/>
          <w:bCs/>
          <w:iCs/>
          <w:lang w:val="en-US"/>
        </w:rPr>
        <w:t xml:space="preserve"> </w:t>
      </w:r>
      <w:r w:rsidR="00495190" w:rsidRPr="00C92138">
        <w:rPr>
          <w:rStyle w:val="fontstyle31"/>
          <w:lang w:val="en-US"/>
        </w:rPr>
        <w:t>the report of the Standing Committee on Finance to the</w:t>
      </w:r>
      <w:r w:rsidR="00495190" w:rsidRPr="00521487">
        <w:t xml:space="preserve"> </w:t>
      </w:r>
      <w:r w:rsidR="00495190" w:rsidRPr="00C92138">
        <w:rPr>
          <w:rStyle w:val="fontstyle31"/>
          <w:lang w:val="en-US"/>
        </w:rPr>
        <w:t xml:space="preserve">Conference of the Parties at its twenty-fifth session and </w:t>
      </w:r>
      <w:r w:rsidR="00495190" w:rsidRPr="00C92138">
        <w:rPr>
          <w:rStyle w:val="fontstyle31"/>
          <w:bCs/>
        </w:rPr>
        <w:t>the recommendations</w:t>
      </w:r>
      <w:r w:rsidR="00495190" w:rsidRPr="00C92138">
        <w:rPr>
          <w:rStyle w:val="fontstyle31"/>
          <w:lang w:val="en-US"/>
        </w:rPr>
        <w:t xml:space="preserve"> </w:t>
      </w:r>
      <w:r w:rsidR="00495190" w:rsidRPr="00C92138">
        <w:rPr>
          <w:rStyle w:val="fontstyle31"/>
          <w:bCs/>
        </w:rPr>
        <w:t>contained therein;</w:t>
      </w:r>
      <w:r w:rsidR="00495190" w:rsidRPr="00521487">
        <w:rPr>
          <w:rStyle w:val="FootnoteReference"/>
          <w:bCs/>
          <w:color w:val="000000"/>
          <w:lang w:val="en-US"/>
        </w:rPr>
        <w:footnoteReference w:id="8"/>
      </w:r>
      <w:r w:rsidR="00495190" w:rsidRPr="00C92138">
        <w:rPr>
          <w:rStyle w:val="fontstyle31"/>
          <w:bCs/>
        </w:rPr>
        <w:t xml:space="preserve"> </w:t>
      </w:r>
    </w:p>
    <w:p w14:paraId="2404464D" w14:textId="184B402E" w:rsidR="00495190" w:rsidRPr="00735D4D" w:rsidRDefault="002424D3" w:rsidP="002424D3">
      <w:pPr>
        <w:pStyle w:val="RegSingleTxtG"/>
        <w:numPr>
          <w:ilvl w:val="0"/>
          <w:numId w:val="0"/>
        </w:numPr>
        <w:ind w:left="1134"/>
        <w:rPr>
          <w:rStyle w:val="fontstyle31"/>
          <w:spacing w:val="-2"/>
          <w:lang w:val="en-US"/>
        </w:rPr>
      </w:pPr>
      <w:r w:rsidRPr="00735D4D">
        <w:rPr>
          <w:rStyle w:val="fontstyle31"/>
          <w:spacing w:val="-2"/>
          <w:lang w:val="en-US"/>
        </w:rPr>
        <w:t>2.</w:t>
      </w:r>
      <w:r w:rsidRPr="00735D4D">
        <w:rPr>
          <w:rStyle w:val="fontstyle31"/>
          <w:spacing w:val="-2"/>
          <w:lang w:val="en-US"/>
        </w:rPr>
        <w:tab/>
      </w:r>
      <w:r w:rsidR="00495190" w:rsidRPr="00735D4D">
        <w:rPr>
          <w:rStyle w:val="fontstyle31"/>
          <w:bCs/>
          <w:i/>
          <w:spacing w:val="-2"/>
          <w:lang w:val="en-US"/>
        </w:rPr>
        <w:t>Endorses</w:t>
      </w:r>
      <w:r w:rsidR="00495190" w:rsidRPr="00735D4D">
        <w:rPr>
          <w:rStyle w:val="fontstyle31"/>
          <w:spacing w:val="-2"/>
          <w:lang w:val="en-US"/>
        </w:rPr>
        <w:t xml:space="preserve"> </w:t>
      </w:r>
      <w:r w:rsidR="00495190" w:rsidRPr="00735D4D">
        <w:rPr>
          <w:rStyle w:val="fontstyle31"/>
          <w:bCs/>
          <w:spacing w:val="-2"/>
          <w:lang w:val="en-US"/>
        </w:rPr>
        <w:t>the workplan</w:t>
      </w:r>
      <w:r w:rsidR="00495190" w:rsidRPr="00E86711">
        <w:rPr>
          <w:rStyle w:val="FootnoteReference"/>
          <w:bCs/>
          <w:color w:val="000000"/>
          <w:spacing w:val="-2"/>
          <w:lang w:val="en-US"/>
        </w:rPr>
        <w:footnoteReference w:id="9"/>
      </w:r>
      <w:r w:rsidR="00495190" w:rsidRPr="00735D4D">
        <w:rPr>
          <w:rStyle w:val="fontstyle31"/>
          <w:bCs/>
          <w:spacing w:val="-2"/>
          <w:lang w:val="en-US"/>
        </w:rPr>
        <w:t xml:space="preserve"> of the Standing </w:t>
      </w:r>
      <w:r w:rsidR="00495190" w:rsidRPr="00C92138">
        <w:rPr>
          <w:rStyle w:val="fontstyle31"/>
          <w:lang w:val="en-US"/>
        </w:rPr>
        <w:t>Committee</w:t>
      </w:r>
      <w:r w:rsidR="00495190" w:rsidRPr="00735D4D">
        <w:rPr>
          <w:rStyle w:val="fontstyle31"/>
          <w:bCs/>
          <w:spacing w:val="-2"/>
          <w:lang w:val="en-US"/>
        </w:rPr>
        <w:t xml:space="preserve"> on Finance for 2020</w:t>
      </w:r>
      <w:r w:rsidR="00495190" w:rsidRPr="00735D4D">
        <w:rPr>
          <w:rStyle w:val="fontstyle31"/>
          <w:spacing w:val="-2"/>
          <w:lang w:val="en-US"/>
        </w:rPr>
        <w:t xml:space="preserve"> and </w:t>
      </w:r>
      <w:r w:rsidR="00495190" w:rsidRPr="00735D4D">
        <w:rPr>
          <w:rStyle w:val="fontstyle31"/>
          <w:i/>
          <w:spacing w:val="-2"/>
          <w:lang w:val="en-US"/>
        </w:rPr>
        <w:t>underlines</w:t>
      </w:r>
      <w:r w:rsidR="00495190" w:rsidRPr="00735D4D">
        <w:rPr>
          <w:rStyle w:val="fontstyle31"/>
          <w:spacing w:val="-2"/>
          <w:lang w:val="en-US"/>
        </w:rPr>
        <w:t xml:space="preserve"> the importance of the Standing Committee on Finance focusing its work in 2020 in accordance with its current mandates;</w:t>
      </w:r>
    </w:p>
    <w:p w14:paraId="5309AC0C" w14:textId="7967A5A9" w:rsidR="00495190" w:rsidRPr="00521487" w:rsidRDefault="002424D3" w:rsidP="002424D3">
      <w:pPr>
        <w:pStyle w:val="RegSingleTxtG"/>
        <w:numPr>
          <w:ilvl w:val="0"/>
          <w:numId w:val="0"/>
        </w:numPr>
        <w:ind w:left="1134"/>
        <w:rPr>
          <w:iCs/>
          <w:lang w:val="en-US"/>
        </w:rPr>
      </w:pPr>
      <w:r w:rsidRPr="00521487">
        <w:rPr>
          <w:iCs/>
          <w:lang w:val="en-US"/>
        </w:rPr>
        <w:t>3.</w:t>
      </w:r>
      <w:r w:rsidRPr="00521487">
        <w:rPr>
          <w:iCs/>
          <w:lang w:val="en-US"/>
        </w:rPr>
        <w:tab/>
      </w:r>
      <w:r w:rsidR="00495190" w:rsidRPr="00521487">
        <w:rPr>
          <w:i/>
        </w:rPr>
        <w:t>Notes</w:t>
      </w:r>
      <w:r w:rsidR="00495190" w:rsidRPr="00521487">
        <w:t xml:space="preserve"> the outcomes of the discussions of the Standing Committee on Finance on the 2020 Biennial Assessment and Overview of Climate Finance Flows and the report on the determination of the needs of developing country Parties related to implementing the Convention and the Paris Agreement as well as the respective workplans, outreach activities and indicative timelines for preparation;</w:t>
      </w:r>
      <w:r w:rsidR="00495190" w:rsidRPr="00521487">
        <w:rPr>
          <w:rStyle w:val="FootnoteReference"/>
        </w:rPr>
        <w:footnoteReference w:id="10"/>
      </w:r>
    </w:p>
    <w:p w14:paraId="351A36EB" w14:textId="1A7E469D" w:rsidR="00495190" w:rsidRPr="00735D4D" w:rsidRDefault="002424D3" w:rsidP="002424D3">
      <w:pPr>
        <w:pStyle w:val="RegSingleTxtG"/>
        <w:numPr>
          <w:ilvl w:val="0"/>
          <w:numId w:val="0"/>
        </w:numPr>
        <w:ind w:left="1134"/>
      </w:pPr>
      <w:r w:rsidRPr="00735D4D">
        <w:t>4.</w:t>
      </w:r>
      <w:r w:rsidRPr="00735D4D">
        <w:tab/>
      </w:r>
      <w:r w:rsidR="00495190" w:rsidRPr="00735D4D">
        <w:rPr>
          <w:i/>
        </w:rPr>
        <w:t>Expresses</w:t>
      </w:r>
      <w:r w:rsidR="00495190" w:rsidRPr="00735D4D">
        <w:t xml:space="preserve"> </w:t>
      </w:r>
      <w:r w:rsidR="00495190" w:rsidRPr="00B736FC">
        <w:rPr>
          <w:i/>
        </w:rPr>
        <w:t>its appreciation</w:t>
      </w:r>
      <w:r w:rsidR="00495190" w:rsidRPr="00735D4D">
        <w:t xml:space="preserve"> to the Governments of Australia, Belgium, Germany, Norway, the Philippines and Switzerland for </w:t>
      </w:r>
      <w:r w:rsidR="00495190" w:rsidRPr="00C92138">
        <w:rPr>
          <w:rStyle w:val="fontstyle31"/>
          <w:lang w:val="en-US"/>
        </w:rPr>
        <w:t>their</w:t>
      </w:r>
      <w:r w:rsidR="00495190" w:rsidRPr="00735D4D">
        <w:t xml:space="preserve"> financial contributions to support the work of the Standing Committee on Finance; </w:t>
      </w:r>
    </w:p>
    <w:p w14:paraId="49B99C67" w14:textId="1B39FBD1" w:rsidR="00495190" w:rsidRPr="00521487" w:rsidRDefault="002424D3" w:rsidP="002424D3">
      <w:pPr>
        <w:pStyle w:val="RegSingleTxtG"/>
        <w:numPr>
          <w:ilvl w:val="0"/>
          <w:numId w:val="0"/>
        </w:numPr>
        <w:ind w:left="1134"/>
      </w:pPr>
      <w:r w:rsidRPr="00521487">
        <w:t>5.</w:t>
      </w:r>
      <w:r w:rsidRPr="00521487">
        <w:tab/>
      </w:r>
      <w:r w:rsidR="00495190" w:rsidRPr="00521487">
        <w:rPr>
          <w:i/>
        </w:rPr>
        <w:t xml:space="preserve">Welcomes </w:t>
      </w:r>
      <w:r w:rsidR="00495190" w:rsidRPr="00521487">
        <w:t xml:space="preserve">the 2019 Forum of the Standing Committee on Finance, on the topic of climate finance and sustainable cities, with a </w:t>
      </w:r>
      <w:r w:rsidR="00495190" w:rsidRPr="00C92138">
        <w:rPr>
          <w:rStyle w:val="fontstyle31"/>
          <w:lang w:val="en-US"/>
        </w:rPr>
        <w:t>focus</w:t>
      </w:r>
      <w:r w:rsidR="00495190" w:rsidRPr="00521487">
        <w:t xml:space="preserve"> on enhancing understanding of how to accelerate the mobilization and delivery of climate finance for the development of sustainable cities, and </w:t>
      </w:r>
      <w:r w:rsidR="00495190" w:rsidRPr="00521487">
        <w:rPr>
          <w:i/>
        </w:rPr>
        <w:t>takes note</w:t>
      </w:r>
      <w:r w:rsidR="00495190" w:rsidRPr="00521487">
        <w:t xml:space="preserve"> of the summary report</w:t>
      </w:r>
      <w:r w:rsidR="00495190" w:rsidRPr="00521487">
        <w:rPr>
          <w:rStyle w:val="FootnoteReference"/>
        </w:rPr>
        <w:footnoteReference w:id="11"/>
      </w:r>
      <w:r w:rsidR="00495190" w:rsidRPr="00521487">
        <w:t xml:space="preserve"> on the Forum; </w:t>
      </w:r>
    </w:p>
    <w:p w14:paraId="70B1FCBF" w14:textId="1209C0E6" w:rsidR="00495190" w:rsidRPr="00521487" w:rsidRDefault="002424D3" w:rsidP="002424D3">
      <w:pPr>
        <w:pStyle w:val="RegSingleTxtG"/>
        <w:numPr>
          <w:ilvl w:val="0"/>
          <w:numId w:val="0"/>
        </w:numPr>
        <w:ind w:left="1134"/>
      </w:pPr>
      <w:r w:rsidRPr="00521487">
        <w:t>6.</w:t>
      </w:r>
      <w:r w:rsidRPr="00521487">
        <w:tab/>
      </w:r>
      <w:r w:rsidR="00495190" w:rsidRPr="00521487">
        <w:rPr>
          <w:i/>
        </w:rPr>
        <w:t xml:space="preserve">Expresses </w:t>
      </w:r>
      <w:r w:rsidR="00495190" w:rsidRPr="000758CC">
        <w:rPr>
          <w:i/>
        </w:rPr>
        <w:t>its gratitude</w:t>
      </w:r>
      <w:r w:rsidR="00495190" w:rsidRPr="00FA027B">
        <w:t xml:space="preserve"> </w:t>
      </w:r>
      <w:r w:rsidR="00495190" w:rsidRPr="00521487">
        <w:t xml:space="preserve">to the Governments of Australia, Lebanon and Norway, as well as to the United Nations Economic and Social Commission for Western Asia, the Union for the Mediterranean, and the Islamic </w:t>
      </w:r>
      <w:r w:rsidR="00495190" w:rsidRPr="00C92138">
        <w:rPr>
          <w:rStyle w:val="fontstyle31"/>
          <w:lang w:val="en-US"/>
        </w:rPr>
        <w:t>Development</w:t>
      </w:r>
      <w:r w:rsidR="00495190" w:rsidRPr="00521487">
        <w:t xml:space="preserve"> Bank, for their financial, administrative and substantive support, which contributed to the success of the 2019 Forum of the Standing Committee on Finance</w:t>
      </w:r>
      <w:r w:rsidR="00495190" w:rsidRPr="00521487">
        <w:rPr>
          <w:lang w:val="en-US"/>
        </w:rPr>
        <w:t xml:space="preserve">; </w:t>
      </w:r>
    </w:p>
    <w:p w14:paraId="773A29B6" w14:textId="6B32AC52" w:rsidR="00495190" w:rsidRPr="00521487" w:rsidRDefault="002424D3" w:rsidP="002424D3">
      <w:pPr>
        <w:pStyle w:val="RegSingleTxtG"/>
        <w:numPr>
          <w:ilvl w:val="0"/>
          <w:numId w:val="0"/>
        </w:numPr>
        <w:ind w:left="1134"/>
      </w:pPr>
      <w:r w:rsidRPr="00521487">
        <w:t>7.</w:t>
      </w:r>
      <w:r w:rsidRPr="00521487">
        <w:tab/>
      </w:r>
      <w:r w:rsidR="00495190" w:rsidRPr="00521487">
        <w:rPr>
          <w:rStyle w:val="fontstyle31"/>
          <w:i/>
          <w:lang w:val="en-US"/>
        </w:rPr>
        <w:t>Welcomes</w:t>
      </w:r>
      <w:r w:rsidR="00495190" w:rsidRPr="00521487">
        <w:rPr>
          <w:rStyle w:val="fontstyle31"/>
          <w:lang w:val="en-US"/>
        </w:rPr>
        <w:t xml:space="preserve"> the decision of the Standing Committee on Finance on the topic of its 2020 Forum, which will be financing nature-based solutions</w:t>
      </w:r>
      <w:r w:rsidR="00495190" w:rsidRPr="00521487">
        <w:rPr>
          <w:lang w:val="en-US"/>
        </w:rPr>
        <w:t>;</w:t>
      </w:r>
    </w:p>
    <w:p w14:paraId="0D5F34EA" w14:textId="2F9B12F2" w:rsidR="00495190" w:rsidRPr="00521487" w:rsidRDefault="002424D3" w:rsidP="002424D3">
      <w:pPr>
        <w:pStyle w:val="RegSingleTxtG"/>
        <w:numPr>
          <w:ilvl w:val="0"/>
          <w:numId w:val="0"/>
        </w:numPr>
        <w:ind w:left="1134"/>
      </w:pPr>
      <w:r w:rsidRPr="00521487">
        <w:t>8.</w:t>
      </w:r>
      <w:r w:rsidRPr="00521487">
        <w:tab/>
      </w:r>
      <w:r w:rsidR="00495190" w:rsidRPr="00521487">
        <w:rPr>
          <w:i/>
        </w:rPr>
        <w:t>Notes</w:t>
      </w:r>
      <w:r w:rsidR="00495190" w:rsidRPr="00521487">
        <w:t xml:space="preserve"> the inputs of the Standing </w:t>
      </w:r>
      <w:r w:rsidR="00495190" w:rsidRPr="00C92138">
        <w:rPr>
          <w:rStyle w:val="fontstyle31"/>
          <w:lang w:val="en-US"/>
        </w:rPr>
        <w:t>Committee</w:t>
      </w:r>
      <w:r w:rsidR="00495190" w:rsidRPr="00521487">
        <w:t xml:space="preserve"> on Finance to the technical paper on the elaboration of the sources of and modalities for accessing financial support for addressing loss and damage;</w:t>
      </w:r>
      <w:r w:rsidR="00495190" w:rsidRPr="00521487">
        <w:rPr>
          <w:rStyle w:val="FootnoteReference"/>
        </w:rPr>
        <w:footnoteReference w:id="12"/>
      </w:r>
    </w:p>
    <w:p w14:paraId="187DA9FC" w14:textId="4B9E6766" w:rsidR="00495190" w:rsidRPr="00521487" w:rsidRDefault="002424D3" w:rsidP="002424D3">
      <w:pPr>
        <w:pStyle w:val="RegSingleTxtG"/>
        <w:numPr>
          <w:ilvl w:val="0"/>
          <w:numId w:val="0"/>
        </w:numPr>
        <w:ind w:left="1134"/>
      </w:pPr>
      <w:bookmarkStart w:id="10" w:name="_Hlk27167332"/>
      <w:r w:rsidRPr="00521487">
        <w:t>9.</w:t>
      </w:r>
      <w:r w:rsidRPr="00521487">
        <w:tab/>
      </w:r>
      <w:r w:rsidR="00495190" w:rsidRPr="00521487">
        <w:rPr>
          <w:i/>
        </w:rPr>
        <w:t>Encourages</w:t>
      </w:r>
      <w:r w:rsidR="00495190" w:rsidRPr="00521487">
        <w:t xml:space="preserve"> the Standing Committee on Finance to present, to the extent possible, disaggregated information in relation to, inter </w:t>
      </w:r>
      <w:r w:rsidR="00495190" w:rsidRPr="00C92138">
        <w:rPr>
          <w:rStyle w:val="fontstyle31"/>
          <w:lang w:val="en-US"/>
        </w:rPr>
        <w:t>alia</w:t>
      </w:r>
      <w:r w:rsidR="00495190" w:rsidRPr="00521487">
        <w:t xml:space="preserve">, mapping data availability and gaps by sector, assessing climate finance flows and presenting information on the determination of </w:t>
      </w:r>
      <w:r w:rsidR="00495190">
        <w:t xml:space="preserve">the </w:t>
      </w:r>
      <w:r w:rsidR="00495190" w:rsidRPr="00521487">
        <w:t>needs</w:t>
      </w:r>
      <w:r w:rsidR="00495190">
        <w:t xml:space="preserve"> of developing country Parties </w:t>
      </w:r>
      <w:r w:rsidR="00495190" w:rsidRPr="00521487">
        <w:t xml:space="preserve">related to implementing the Convention and the Paris Agreement; </w:t>
      </w:r>
    </w:p>
    <w:p w14:paraId="27EEEC22" w14:textId="6990CAF9" w:rsidR="00495190" w:rsidRPr="00C272ED" w:rsidRDefault="002424D3" w:rsidP="002424D3">
      <w:pPr>
        <w:pStyle w:val="RegSingleTxtG"/>
        <w:numPr>
          <w:ilvl w:val="0"/>
          <w:numId w:val="0"/>
        </w:numPr>
        <w:ind w:left="1134"/>
        <w:rPr>
          <w:i/>
        </w:rPr>
      </w:pPr>
      <w:bookmarkStart w:id="11" w:name="_Hlk27169092"/>
      <w:bookmarkEnd w:id="10"/>
      <w:r w:rsidRPr="00C272ED">
        <w:t>10.</w:t>
      </w:r>
      <w:r w:rsidRPr="00C272ED">
        <w:tab/>
      </w:r>
      <w:r w:rsidR="00495190" w:rsidRPr="00C272ED">
        <w:rPr>
          <w:i/>
        </w:rPr>
        <w:t xml:space="preserve">Underscores </w:t>
      </w:r>
      <w:r w:rsidR="00495190" w:rsidRPr="00C272ED">
        <w:t xml:space="preserve">the important contribution </w:t>
      </w:r>
      <w:r w:rsidR="00495190" w:rsidRPr="00C92138">
        <w:rPr>
          <w:rStyle w:val="fontstyle31"/>
          <w:lang w:val="en-US"/>
        </w:rPr>
        <w:t>of</w:t>
      </w:r>
      <w:r w:rsidR="00495190" w:rsidRPr="00C272ED">
        <w:t xml:space="preserve"> the </w:t>
      </w:r>
      <w:r w:rsidR="00495190" w:rsidRPr="00045DA1">
        <w:t>Standing Committee on Finance in relation to the operational definitions of climate finance</w:t>
      </w:r>
      <w:r w:rsidR="00495190">
        <w:t>,</w:t>
      </w:r>
      <w:r w:rsidR="00495190" w:rsidRPr="00045DA1">
        <w:t xml:space="preserve"> and </w:t>
      </w:r>
      <w:r w:rsidR="00495190" w:rsidRPr="00045DA1">
        <w:rPr>
          <w:i/>
        </w:rPr>
        <w:t>invites</w:t>
      </w:r>
      <w:r w:rsidR="00495190" w:rsidRPr="00045DA1">
        <w:t xml:space="preserve"> Parties to submit via the submission portal,</w:t>
      </w:r>
      <w:r w:rsidR="00495190" w:rsidRPr="00045DA1">
        <w:rPr>
          <w:rStyle w:val="FootnoteReference"/>
        </w:rPr>
        <w:footnoteReference w:id="13"/>
      </w:r>
      <w:r w:rsidR="00495190" w:rsidRPr="00045DA1">
        <w:t xml:space="preserve"> by 30 April 2020, their views on the operational definitions of climate finance for consideration by the Standing Committee on Finance in order to enhance its technical work on this matter in the context of preparing its 2020 Biennial Assessment and Overview of Climate Finance Flows;</w:t>
      </w:r>
    </w:p>
    <w:bookmarkEnd w:id="11"/>
    <w:p w14:paraId="13E5A80D" w14:textId="574768EA" w:rsidR="00495190" w:rsidRPr="00521487" w:rsidRDefault="002424D3" w:rsidP="002424D3">
      <w:pPr>
        <w:pStyle w:val="RegSingleTxtG"/>
        <w:numPr>
          <w:ilvl w:val="0"/>
          <w:numId w:val="0"/>
        </w:numPr>
        <w:tabs>
          <w:tab w:val="left" w:pos="568"/>
        </w:tabs>
        <w:ind w:left="1134"/>
        <w:rPr>
          <w:iCs/>
          <w:color w:val="000000"/>
        </w:rPr>
      </w:pPr>
      <w:r w:rsidRPr="00521487">
        <w:rPr>
          <w:iCs/>
          <w:color w:val="000000"/>
        </w:rPr>
        <w:t>11.</w:t>
      </w:r>
      <w:r w:rsidRPr="00521487">
        <w:rPr>
          <w:iCs/>
          <w:color w:val="000000"/>
        </w:rPr>
        <w:tab/>
      </w:r>
      <w:r w:rsidR="00495190" w:rsidRPr="00521487">
        <w:rPr>
          <w:i/>
          <w:iCs/>
          <w:color w:val="000000"/>
        </w:rPr>
        <w:t>Takes note</w:t>
      </w:r>
      <w:r w:rsidR="00495190" w:rsidRPr="00521487">
        <w:rPr>
          <w:iCs/>
          <w:color w:val="000000"/>
        </w:rPr>
        <w:t xml:space="preserve"> of the strategic outreach plan</w:t>
      </w:r>
      <w:r w:rsidR="00495190" w:rsidRPr="00521487">
        <w:rPr>
          <w:rStyle w:val="FootnoteReference"/>
          <w:iCs/>
          <w:color w:val="000000"/>
        </w:rPr>
        <w:footnoteReference w:id="14"/>
      </w:r>
      <w:r w:rsidR="00495190" w:rsidRPr="00521487">
        <w:rPr>
          <w:iCs/>
          <w:color w:val="000000"/>
        </w:rPr>
        <w:t xml:space="preserve"> of the Standing Committee on Finance on enhancing stakeholder engagement; </w:t>
      </w:r>
    </w:p>
    <w:p w14:paraId="6C6CAA13" w14:textId="4DDDF687" w:rsidR="00495190" w:rsidRPr="00521487" w:rsidRDefault="002424D3" w:rsidP="002424D3">
      <w:pPr>
        <w:pStyle w:val="RegSingleTxtG"/>
        <w:numPr>
          <w:ilvl w:val="0"/>
          <w:numId w:val="0"/>
        </w:numPr>
        <w:tabs>
          <w:tab w:val="left" w:pos="568"/>
        </w:tabs>
        <w:ind w:left="1134"/>
      </w:pPr>
      <w:r w:rsidRPr="00521487">
        <w:t>12.</w:t>
      </w:r>
      <w:r w:rsidRPr="00521487">
        <w:tab/>
      </w:r>
      <w:r w:rsidR="00495190" w:rsidRPr="00521487">
        <w:rPr>
          <w:i/>
        </w:rPr>
        <w:t>Encourages</w:t>
      </w:r>
      <w:r w:rsidR="00495190" w:rsidRPr="00521487">
        <w:t xml:space="preserve"> the Standing Committee on Finance, in implementing its strategic outreach plan, to build on existing efforts to reach out to developing country Parties and relevant developing country stakeholders when generating data and information for the determination of the needs of developing country Parties related to implementing the Convention and the Paris Agreement;</w:t>
      </w:r>
    </w:p>
    <w:p w14:paraId="1FC59350" w14:textId="22A5CE09" w:rsidR="00495190" w:rsidRPr="00521487" w:rsidRDefault="002424D3" w:rsidP="002424D3">
      <w:pPr>
        <w:pStyle w:val="RegSingleTxtG"/>
        <w:numPr>
          <w:ilvl w:val="0"/>
          <w:numId w:val="0"/>
        </w:numPr>
        <w:tabs>
          <w:tab w:val="left" w:pos="568"/>
        </w:tabs>
        <w:ind w:left="1134"/>
      </w:pPr>
      <w:r w:rsidRPr="00521487">
        <w:t>13.</w:t>
      </w:r>
      <w:r w:rsidRPr="00521487">
        <w:tab/>
      </w:r>
      <w:r w:rsidR="00495190" w:rsidRPr="00521487">
        <w:rPr>
          <w:i/>
          <w:iCs/>
        </w:rPr>
        <w:t>Looks forward</w:t>
      </w:r>
      <w:r w:rsidR="00495190" w:rsidRPr="00521487">
        <w:rPr>
          <w:iCs/>
        </w:rPr>
        <w:t xml:space="preserve"> to the inputs that may be provided by the Executive Committee of </w:t>
      </w:r>
      <w:r w:rsidR="00495190">
        <w:rPr>
          <w:iCs/>
        </w:rPr>
        <w:t xml:space="preserve">the </w:t>
      </w:r>
      <w:r w:rsidR="00495190" w:rsidRPr="00521487">
        <w:rPr>
          <w:iCs/>
        </w:rPr>
        <w:t xml:space="preserve">Warsaw International Mechanism for Loss and Damage associated with Climate Change Impacts to the work of the Standing Committee on </w:t>
      </w:r>
      <w:r w:rsidR="00495190" w:rsidRPr="00C92138">
        <w:rPr>
          <w:rStyle w:val="fontstyle31"/>
          <w:lang w:val="en-US"/>
        </w:rPr>
        <w:t>Finance</w:t>
      </w:r>
      <w:r w:rsidR="00495190" w:rsidRPr="00521487">
        <w:rPr>
          <w:iCs/>
        </w:rPr>
        <w:t xml:space="preserve"> for its consideration in preparing elements of draft guidance for the operating entities;</w:t>
      </w:r>
    </w:p>
    <w:p w14:paraId="79B13A01" w14:textId="0E5D0C19" w:rsidR="00495190" w:rsidRPr="00521487" w:rsidRDefault="002424D3" w:rsidP="002424D3">
      <w:pPr>
        <w:pStyle w:val="RegSingleTxtG"/>
        <w:numPr>
          <w:ilvl w:val="0"/>
          <w:numId w:val="0"/>
        </w:numPr>
        <w:tabs>
          <w:tab w:val="left" w:pos="568"/>
        </w:tabs>
        <w:ind w:left="1134"/>
      </w:pPr>
      <w:r w:rsidRPr="00521487">
        <w:t>14.</w:t>
      </w:r>
      <w:r w:rsidRPr="00521487">
        <w:tab/>
      </w:r>
      <w:r w:rsidR="00495190" w:rsidRPr="00521487">
        <w:rPr>
          <w:i/>
          <w:iCs/>
          <w:color w:val="000000"/>
        </w:rPr>
        <w:t xml:space="preserve">Encourages </w:t>
      </w:r>
      <w:r w:rsidR="00495190" w:rsidRPr="00521487">
        <w:rPr>
          <w:iCs/>
          <w:color w:val="000000"/>
        </w:rPr>
        <w:t xml:space="preserve">the Standing Committee on Finance to continue to enhance its efforts towards ensuring gender-responsiveness in </w:t>
      </w:r>
      <w:r w:rsidR="00495190" w:rsidRPr="00C92138">
        <w:rPr>
          <w:rStyle w:val="fontstyle31"/>
          <w:lang w:val="en-US"/>
        </w:rPr>
        <w:t>implementing</w:t>
      </w:r>
      <w:r w:rsidR="00495190" w:rsidRPr="00521487">
        <w:rPr>
          <w:iCs/>
          <w:color w:val="000000"/>
        </w:rPr>
        <w:t xml:space="preserve"> its workplan; </w:t>
      </w:r>
    </w:p>
    <w:p w14:paraId="1F0B1F51" w14:textId="57F9346D" w:rsidR="00495190" w:rsidRPr="00521487" w:rsidRDefault="002424D3" w:rsidP="002424D3">
      <w:pPr>
        <w:pStyle w:val="RegSingleTxtG"/>
        <w:numPr>
          <w:ilvl w:val="0"/>
          <w:numId w:val="0"/>
        </w:numPr>
        <w:tabs>
          <w:tab w:val="left" w:pos="568"/>
        </w:tabs>
        <w:ind w:left="1134"/>
      </w:pPr>
      <w:r w:rsidRPr="00521487">
        <w:t>15.</w:t>
      </w:r>
      <w:r w:rsidRPr="00521487">
        <w:tab/>
      </w:r>
      <w:r w:rsidR="00495190" w:rsidRPr="00521487">
        <w:rPr>
          <w:i/>
          <w:iCs/>
          <w:color w:val="000000"/>
        </w:rPr>
        <w:t xml:space="preserve">Emphasizes </w:t>
      </w:r>
      <w:r w:rsidR="00495190" w:rsidRPr="00521487">
        <w:rPr>
          <w:color w:val="000000"/>
        </w:rPr>
        <w:t xml:space="preserve">the importance of the transparency of the proceedings and decision-making processes of the Standing Committee on </w:t>
      </w:r>
      <w:r w:rsidR="00495190" w:rsidRPr="00C92138">
        <w:rPr>
          <w:rStyle w:val="fontstyle31"/>
          <w:lang w:val="en-US"/>
        </w:rPr>
        <w:t>Finance</w:t>
      </w:r>
      <w:r w:rsidR="00495190" w:rsidRPr="00521487">
        <w:rPr>
          <w:color w:val="000000"/>
        </w:rPr>
        <w:t>;</w:t>
      </w:r>
    </w:p>
    <w:p w14:paraId="08BD3016" w14:textId="1B0989D3" w:rsidR="00495190" w:rsidRPr="00521487" w:rsidRDefault="002424D3" w:rsidP="002424D3">
      <w:pPr>
        <w:pStyle w:val="RegSingleTxtG"/>
        <w:numPr>
          <w:ilvl w:val="0"/>
          <w:numId w:val="0"/>
        </w:numPr>
        <w:tabs>
          <w:tab w:val="left" w:pos="568"/>
        </w:tabs>
        <w:ind w:left="1134"/>
      </w:pPr>
      <w:r w:rsidRPr="00521487">
        <w:t>16.</w:t>
      </w:r>
      <w:r w:rsidRPr="00521487">
        <w:tab/>
      </w:r>
      <w:r w:rsidR="00495190" w:rsidRPr="00521487">
        <w:rPr>
          <w:i/>
          <w:iCs/>
          <w:color w:val="000000"/>
        </w:rPr>
        <w:t xml:space="preserve">Takes note </w:t>
      </w:r>
      <w:r w:rsidR="00495190" w:rsidRPr="00521487">
        <w:rPr>
          <w:iCs/>
          <w:color w:val="000000"/>
        </w:rPr>
        <w:t>of</w:t>
      </w:r>
      <w:r w:rsidR="00495190" w:rsidRPr="00521487">
        <w:rPr>
          <w:i/>
          <w:iCs/>
          <w:color w:val="000000"/>
        </w:rPr>
        <w:t xml:space="preserve"> </w:t>
      </w:r>
      <w:r w:rsidR="00495190" w:rsidRPr="00521487">
        <w:rPr>
          <w:iCs/>
          <w:color w:val="000000"/>
        </w:rPr>
        <w:t xml:space="preserve">the appointment of Standing Committee on Finance focal points to liaise with the other constituted bodies under the </w:t>
      </w:r>
      <w:r w:rsidR="00495190" w:rsidRPr="00C92138">
        <w:rPr>
          <w:rStyle w:val="fontstyle31"/>
          <w:lang w:val="en-US"/>
        </w:rPr>
        <w:t>Convention</w:t>
      </w:r>
      <w:r w:rsidR="00495190" w:rsidRPr="00521487">
        <w:rPr>
          <w:iCs/>
          <w:color w:val="000000"/>
        </w:rPr>
        <w:t xml:space="preserve"> and the Paris Agreement;</w:t>
      </w:r>
    </w:p>
    <w:p w14:paraId="5CEA5E4F" w14:textId="5B45ACF8" w:rsidR="00495190" w:rsidRPr="00521487" w:rsidRDefault="002424D3" w:rsidP="002424D3">
      <w:pPr>
        <w:pStyle w:val="RegSingleTxtG"/>
        <w:numPr>
          <w:ilvl w:val="0"/>
          <w:numId w:val="0"/>
        </w:numPr>
        <w:tabs>
          <w:tab w:val="left" w:pos="568"/>
        </w:tabs>
        <w:ind w:left="1134"/>
        <w:rPr>
          <w:rFonts w:eastAsiaTheme="minorHAnsi"/>
        </w:rPr>
      </w:pPr>
      <w:r w:rsidRPr="00521487">
        <w:rPr>
          <w:rFonts w:eastAsiaTheme="minorHAnsi"/>
        </w:rPr>
        <w:t>17.</w:t>
      </w:r>
      <w:r w:rsidRPr="00521487">
        <w:rPr>
          <w:rFonts w:eastAsiaTheme="minorHAnsi"/>
        </w:rPr>
        <w:tab/>
      </w:r>
      <w:r w:rsidR="00495190" w:rsidRPr="00521487">
        <w:rPr>
          <w:rFonts w:eastAsiaTheme="minorHAnsi"/>
          <w:i/>
        </w:rPr>
        <w:t>Decides</w:t>
      </w:r>
      <w:r w:rsidR="00495190" w:rsidRPr="00521487">
        <w:rPr>
          <w:rFonts w:eastAsiaTheme="minorHAnsi"/>
        </w:rPr>
        <w:t xml:space="preserve"> to initiate the review of the functions</w:t>
      </w:r>
      <w:r w:rsidR="00495190" w:rsidRPr="00521487">
        <w:rPr>
          <w:rStyle w:val="FootnoteReference"/>
          <w:rFonts w:eastAsiaTheme="minorHAnsi"/>
        </w:rPr>
        <w:footnoteReference w:id="15"/>
      </w:r>
      <w:r w:rsidR="00495190" w:rsidRPr="00521487">
        <w:rPr>
          <w:rFonts w:eastAsiaTheme="minorHAnsi"/>
        </w:rPr>
        <w:t xml:space="preserve"> of the Standing Committee on Finance </w:t>
      </w:r>
      <w:r w:rsidR="00495190" w:rsidRPr="00521487">
        <w:rPr>
          <w:rFonts w:eastAsia="Times New Roman"/>
          <w:lang w:val="en-US" w:eastAsia="en-US"/>
        </w:rPr>
        <w:t xml:space="preserve">at the twenty-seventh session of the Conference of the Parties (November 2021), noting </w:t>
      </w:r>
      <w:r w:rsidR="00495190">
        <w:rPr>
          <w:rFonts w:eastAsia="Times New Roman"/>
          <w:lang w:val="en-US" w:eastAsia="en-US"/>
        </w:rPr>
        <w:t xml:space="preserve">decision </w:t>
      </w:r>
      <w:r w:rsidR="00653B2D">
        <w:rPr>
          <w:rFonts w:eastAsia="Times New Roman"/>
          <w:lang w:val="en-US" w:eastAsia="en-US"/>
        </w:rPr>
        <w:t>5</w:t>
      </w:r>
      <w:r w:rsidR="00495190" w:rsidRPr="00521487">
        <w:rPr>
          <w:rFonts w:eastAsia="Times New Roman"/>
          <w:lang w:val="en-US" w:eastAsia="en-US"/>
        </w:rPr>
        <w:t>/CMA.2, with a view to concluding it at its twenty-eighth session (November 2022);</w:t>
      </w:r>
    </w:p>
    <w:p w14:paraId="2630DDE2" w14:textId="62225C8E" w:rsidR="00495190" w:rsidRPr="00521487" w:rsidRDefault="002424D3" w:rsidP="002424D3">
      <w:pPr>
        <w:pStyle w:val="RegSingleTxtG"/>
        <w:numPr>
          <w:ilvl w:val="0"/>
          <w:numId w:val="0"/>
        </w:numPr>
        <w:tabs>
          <w:tab w:val="left" w:pos="568"/>
        </w:tabs>
        <w:ind w:left="1134"/>
        <w:rPr>
          <w:iCs/>
          <w:lang w:val="en-US"/>
        </w:rPr>
      </w:pPr>
      <w:r w:rsidRPr="00521487">
        <w:rPr>
          <w:iCs/>
          <w:lang w:val="en-US"/>
        </w:rPr>
        <w:t>18.</w:t>
      </w:r>
      <w:r w:rsidRPr="00521487">
        <w:rPr>
          <w:iCs/>
          <w:lang w:val="en-US"/>
        </w:rPr>
        <w:tab/>
      </w:r>
      <w:r w:rsidR="00495190">
        <w:rPr>
          <w:i/>
          <w:iCs/>
          <w:lang w:val="en-US"/>
        </w:rPr>
        <w:t>R</w:t>
      </w:r>
      <w:r w:rsidR="00495190" w:rsidRPr="00521487">
        <w:rPr>
          <w:i/>
          <w:iCs/>
          <w:lang w:val="en-US"/>
        </w:rPr>
        <w:t xml:space="preserve">equests </w:t>
      </w:r>
      <w:r w:rsidR="00495190" w:rsidRPr="00521487">
        <w:rPr>
          <w:lang w:val="en-US"/>
        </w:rPr>
        <w:t xml:space="preserve">the Standing Committee on Finance to report to the Conference of the Parties at its twenty-sixth session (November 2020) on </w:t>
      </w:r>
      <w:r w:rsidR="00495190" w:rsidRPr="00C92138">
        <w:rPr>
          <w:rStyle w:val="fontstyle31"/>
        </w:rPr>
        <w:t>progress</w:t>
      </w:r>
      <w:r w:rsidR="00495190" w:rsidRPr="00521487">
        <w:rPr>
          <w:lang w:val="en-US"/>
        </w:rPr>
        <w:t xml:space="preserve"> in implementing its workplan;</w:t>
      </w:r>
    </w:p>
    <w:p w14:paraId="3BBCF122" w14:textId="1E19E2E6" w:rsidR="00495190" w:rsidRDefault="002424D3" w:rsidP="002424D3">
      <w:pPr>
        <w:pStyle w:val="RegSingleTxtG"/>
        <w:numPr>
          <w:ilvl w:val="0"/>
          <w:numId w:val="0"/>
        </w:numPr>
        <w:tabs>
          <w:tab w:val="left" w:pos="568"/>
        </w:tabs>
        <w:ind w:left="1134"/>
      </w:pPr>
      <w:r>
        <w:t>19.</w:t>
      </w:r>
      <w:r>
        <w:tab/>
      </w:r>
      <w:r w:rsidR="00495190">
        <w:rPr>
          <w:i/>
        </w:rPr>
        <w:t>Also</w:t>
      </w:r>
      <w:r w:rsidR="00495190" w:rsidRPr="00521487">
        <w:rPr>
          <w:i/>
        </w:rPr>
        <w:t xml:space="preserve"> requests</w:t>
      </w:r>
      <w:r w:rsidR="00495190" w:rsidRPr="00521487">
        <w:t xml:space="preserve"> that the actions of </w:t>
      </w:r>
      <w:r w:rsidR="00495190" w:rsidRPr="00BD43FA">
        <w:rPr>
          <w:szCs w:val="24"/>
        </w:rPr>
        <w:t>the</w:t>
      </w:r>
      <w:r w:rsidR="00495190" w:rsidRPr="00521487">
        <w:t xml:space="preserve"> Standing Committee on Finance called for in this decision be undertaken subject to the availability of </w:t>
      </w:r>
      <w:r w:rsidR="00495190" w:rsidRPr="00C92138">
        <w:rPr>
          <w:rStyle w:val="fontstyle31"/>
          <w:lang w:val="en-US"/>
        </w:rPr>
        <w:t>financial</w:t>
      </w:r>
      <w:r w:rsidR="00495190" w:rsidRPr="00521487">
        <w:t xml:space="preserve"> resources.</w:t>
      </w:r>
    </w:p>
    <w:p w14:paraId="4A15D347" w14:textId="7705EB1C" w:rsidR="00943D9B" w:rsidRPr="00943D9B" w:rsidRDefault="00943D9B" w:rsidP="00943D9B">
      <w:pPr>
        <w:pStyle w:val="RegSingleTxtG"/>
        <w:numPr>
          <w:ilvl w:val="0"/>
          <w:numId w:val="0"/>
        </w:numPr>
        <w:ind w:left="1134"/>
        <w:jc w:val="right"/>
        <w:rPr>
          <w:i/>
        </w:rPr>
      </w:pPr>
      <w:r w:rsidRPr="00943D9B">
        <w:rPr>
          <w:i/>
        </w:rPr>
        <w:t>8</w:t>
      </w:r>
      <w:r w:rsidRPr="00943D9B">
        <w:rPr>
          <w:i/>
          <w:vertAlign w:val="superscript"/>
        </w:rPr>
        <w:t>th</w:t>
      </w:r>
      <w:r w:rsidRPr="00943D9B">
        <w:rPr>
          <w:i/>
        </w:rPr>
        <w:t xml:space="preserve"> plenary meeting</w:t>
      </w:r>
      <w:r w:rsidRPr="00943D9B">
        <w:rPr>
          <w:i/>
        </w:rPr>
        <w:br/>
        <w:t>15 December 2019</w:t>
      </w:r>
    </w:p>
    <w:p w14:paraId="15838BE7" w14:textId="77777777" w:rsidR="00943D9B" w:rsidRDefault="00943D9B" w:rsidP="00C9679E">
      <w:pPr>
        <w:pStyle w:val="H1G"/>
        <w:ind w:firstLine="0"/>
      </w:pPr>
    </w:p>
    <w:p w14:paraId="76799470" w14:textId="3140943C" w:rsidR="00943D9B" w:rsidRPr="00943D9B" w:rsidRDefault="00943D9B" w:rsidP="00943D9B">
      <w:pPr>
        <w:sectPr w:rsidR="00943D9B" w:rsidRPr="00943D9B" w:rsidSect="00C92FFD">
          <w:headerReference w:type="even" r:id="rId41"/>
          <w:headerReference w:type="default" r:id="rId42"/>
          <w:footerReference w:type="even" r:id="rId43"/>
          <w:footerReference w:type="default" r:id="rId44"/>
          <w:headerReference w:type="first" r:id="rId45"/>
          <w:footerReference w:type="first" r:id="rId46"/>
          <w:footnotePr>
            <w:numRestart w:val="eachSect"/>
          </w:footnotePr>
          <w:pgSz w:w="11906" w:h="16838" w:code="9"/>
          <w:pgMar w:top="1417" w:right="1134" w:bottom="1134" w:left="1134" w:header="850" w:footer="567" w:gutter="0"/>
          <w:cols w:space="708"/>
          <w:docGrid w:linePitch="360"/>
        </w:sectPr>
      </w:pPr>
    </w:p>
    <w:p w14:paraId="46D61DF5" w14:textId="18231108" w:rsidR="0024219D" w:rsidRDefault="0024219D" w:rsidP="0024219D">
      <w:pPr>
        <w:pStyle w:val="HChG"/>
      </w:pPr>
      <w:r>
        <w:tab/>
      </w:r>
      <w:r>
        <w:tab/>
      </w:r>
      <w:bookmarkStart w:id="12" w:name="D12"/>
      <w:r w:rsidRPr="00A523C5">
        <w:t xml:space="preserve">Decision </w:t>
      </w:r>
      <w:r w:rsidR="00B421AE">
        <w:t>12</w:t>
      </w:r>
      <w:r w:rsidRPr="00A523C5">
        <w:t>/CP.25</w:t>
      </w:r>
      <w:bookmarkEnd w:id="12"/>
    </w:p>
    <w:p w14:paraId="1F482D8D" w14:textId="77777777" w:rsidR="0024219D" w:rsidRPr="009B600A" w:rsidRDefault="0024219D" w:rsidP="0024219D">
      <w:pPr>
        <w:pStyle w:val="HChG"/>
      </w:pPr>
      <w:r>
        <w:tab/>
      </w:r>
      <w:r>
        <w:tab/>
        <w:t>Report of the Green Climate Fund to the Conference of the Parties and guidance to the Green Climate Fund</w:t>
      </w:r>
    </w:p>
    <w:p w14:paraId="2F084321" w14:textId="77777777" w:rsidR="0024219D" w:rsidRPr="00AE7375" w:rsidRDefault="0024219D" w:rsidP="0024219D">
      <w:pPr>
        <w:spacing w:after="120"/>
        <w:ind w:left="960" w:firstLine="741"/>
        <w:rPr>
          <w:rFonts w:eastAsia="MS Mincho"/>
          <w:i/>
          <w:lang w:eastAsia="en-US"/>
        </w:rPr>
      </w:pPr>
      <w:r w:rsidRPr="00AE7375">
        <w:rPr>
          <w:rFonts w:eastAsia="MS Mincho"/>
          <w:i/>
          <w:lang w:eastAsia="en-US"/>
        </w:rPr>
        <w:t>The Conference of the Parties</w:t>
      </w:r>
      <w:r w:rsidRPr="00E951A6">
        <w:rPr>
          <w:rFonts w:eastAsia="MS Mincho"/>
          <w:lang w:eastAsia="en-US"/>
        </w:rPr>
        <w:t>,</w:t>
      </w:r>
    </w:p>
    <w:p w14:paraId="6B0418B6" w14:textId="77777777" w:rsidR="0024219D" w:rsidRDefault="0024219D" w:rsidP="0024219D">
      <w:pPr>
        <w:spacing w:after="120"/>
        <w:ind w:left="960" w:firstLine="741"/>
        <w:rPr>
          <w:rFonts w:eastAsia="MS Mincho"/>
          <w:lang w:eastAsia="en-US"/>
        </w:rPr>
      </w:pPr>
      <w:r w:rsidRPr="00AE7375">
        <w:rPr>
          <w:rFonts w:eastAsia="MS Mincho"/>
          <w:i/>
          <w:lang w:eastAsia="en-US"/>
        </w:rPr>
        <w:t xml:space="preserve">Recalling </w:t>
      </w:r>
      <w:r w:rsidRPr="00E951A6">
        <w:rPr>
          <w:rFonts w:eastAsia="MS Mincho"/>
          <w:lang w:eastAsia="en-US"/>
        </w:rPr>
        <w:t>decision 3/CP</w:t>
      </w:r>
      <w:r>
        <w:rPr>
          <w:rFonts w:eastAsia="MS Mincho"/>
          <w:lang w:eastAsia="en-US"/>
        </w:rPr>
        <w:t>.</w:t>
      </w:r>
      <w:r w:rsidRPr="00E951A6">
        <w:rPr>
          <w:rFonts w:eastAsia="MS Mincho"/>
          <w:lang w:eastAsia="en-US"/>
        </w:rPr>
        <w:t xml:space="preserve">17, </w:t>
      </w:r>
      <w:r>
        <w:rPr>
          <w:rFonts w:eastAsia="MS Mincho"/>
          <w:lang w:eastAsia="en-US"/>
        </w:rPr>
        <w:t>a</w:t>
      </w:r>
      <w:r w:rsidRPr="00E951A6">
        <w:rPr>
          <w:rFonts w:eastAsia="MS Mincho"/>
          <w:lang w:eastAsia="en-US"/>
        </w:rPr>
        <w:t>nnex,</w:t>
      </w:r>
    </w:p>
    <w:p w14:paraId="1734E226" w14:textId="77777777" w:rsidR="0024219D" w:rsidRDefault="0024219D" w:rsidP="0024219D">
      <w:pPr>
        <w:tabs>
          <w:tab w:val="left" w:pos="1701"/>
        </w:tabs>
        <w:spacing w:after="120"/>
        <w:ind w:left="1134" w:right="1134"/>
        <w:jc w:val="both"/>
        <w:rPr>
          <w:i/>
        </w:rPr>
      </w:pPr>
      <w:r>
        <w:rPr>
          <w:rFonts w:eastAsia="MS Mincho"/>
          <w:i/>
          <w:lang w:eastAsia="en-US"/>
        </w:rPr>
        <w:tab/>
        <w:t>Also r</w:t>
      </w:r>
      <w:r w:rsidRPr="00AE7375">
        <w:rPr>
          <w:rFonts w:eastAsia="MS Mincho"/>
          <w:i/>
          <w:lang w:eastAsia="en-US"/>
        </w:rPr>
        <w:t xml:space="preserve">ecalling </w:t>
      </w:r>
      <w:r w:rsidRPr="00E951A6">
        <w:rPr>
          <w:rFonts w:eastAsia="MS Mincho"/>
          <w:lang w:eastAsia="en-US"/>
        </w:rPr>
        <w:t xml:space="preserve">decision </w:t>
      </w:r>
      <w:r>
        <w:rPr>
          <w:rFonts w:eastAsia="MS Mincho"/>
          <w:lang w:eastAsia="en-US"/>
        </w:rPr>
        <w:t>10</w:t>
      </w:r>
      <w:r w:rsidRPr="00E951A6">
        <w:rPr>
          <w:rFonts w:eastAsia="MS Mincho"/>
          <w:lang w:eastAsia="en-US"/>
        </w:rPr>
        <w:t>/CP</w:t>
      </w:r>
      <w:r>
        <w:rPr>
          <w:rFonts w:eastAsia="MS Mincho"/>
          <w:lang w:eastAsia="en-US"/>
        </w:rPr>
        <w:t>.22</w:t>
      </w:r>
      <w:r w:rsidRPr="00E951A6">
        <w:rPr>
          <w:rFonts w:eastAsia="MS Mincho"/>
          <w:lang w:eastAsia="en-US"/>
        </w:rPr>
        <w:t xml:space="preserve">, </w:t>
      </w:r>
      <w:r>
        <w:rPr>
          <w:rFonts w:eastAsia="MS Mincho"/>
          <w:lang w:eastAsia="en-US"/>
        </w:rPr>
        <w:t>paragraph 5,</w:t>
      </w:r>
    </w:p>
    <w:p w14:paraId="62D49229" w14:textId="492AE47D" w:rsidR="0024219D" w:rsidRPr="003B58DF" w:rsidRDefault="002424D3" w:rsidP="002424D3">
      <w:pPr>
        <w:tabs>
          <w:tab w:val="left" w:pos="568"/>
          <w:tab w:val="left" w:pos="1701"/>
        </w:tabs>
        <w:spacing w:after="120"/>
        <w:ind w:left="1135" w:right="1134"/>
        <w:jc w:val="both"/>
      </w:pPr>
      <w:r w:rsidRPr="003B58DF">
        <w:t>1.</w:t>
      </w:r>
      <w:r w:rsidRPr="003B58DF">
        <w:tab/>
      </w:r>
      <w:r w:rsidR="0024219D" w:rsidRPr="003B58DF">
        <w:rPr>
          <w:i/>
        </w:rPr>
        <w:t>Welcomes</w:t>
      </w:r>
      <w:r w:rsidR="0024219D" w:rsidRPr="003B58DF">
        <w:t xml:space="preserve"> the report of the Green Climate Fund to </w:t>
      </w:r>
      <w:r w:rsidR="0024219D">
        <w:t xml:space="preserve">the </w:t>
      </w:r>
      <w:r w:rsidR="0024219D" w:rsidRPr="003B58DF">
        <w:t xml:space="preserve">Conference of </w:t>
      </w:r>
      <w:r w:rsidR="0024219D">
        <w:t xml:space="preserve">the </w:t>
      </w:r>
      <w:r w:rsidR="0024219D" w:rsidRPr="003B58DF">
        <w:t>Parties at its twenty-fifth session and its addendum,</w:t>
      </w:r>
      <w:r w:rsidR="0024219D" w:rsidRPr="008357CF">
        <w:rPr>
          <w:rStyle w:val="FootnoteReference"/>
          <w:szCs w:val="18"/>
        </w:rPr>
        <w:footnoteReference w:id="16"/>
      </w:r>
      <w:r w:rsidR="0024219D" w:rsidRPr="008A690C">
        <w:rPr>
          <w:sz w:val="18"/>
          <w:szCs w:val="18"/>
        </w:rPr>
        <w:t xml:space="preserve"> </w:t>
      </w:r>
      <w:r w:rsidR="0024219D" w:rsidRPr="003B58DF">
        <w:t xml:space="preserve">including the list of actions taken by </w:t>
      </w:r>
      <w:r w:rsidR="0024219D">
        <w:t xml:space="preserve">the Board of </w:t>
      </w:r>
      <w:r w:rsidR="0024219D" w:rsidRPr="003B58DF">
        <w:t xml:space="preserve">the </w:t>
      </w:r>
      <w:r w:rsidR="0024219D">
        <w:t xml:space="preserve">Green Climate Fund (hereinafter referred to as </w:t>
      </w:r>
      <w:r w:rsidR="0024219D" w:rsidRPr="003B58DF">
        <w:t>the Board</w:t>
      </w:r>
      <w:r w:rsidR="0024219D">
        <w:t>)</w:t>
      </w:r>
      <w:r w:rsidR="0024219D" w:rsidRPr="003B58DF">
        <w:t xml:space="preserve"> in response to guidance received from the Conference of </w:t>
      </w:r>
      <w:r w:rsidR="0024219D">
        <w:t xml:space="preserve">the </w:t>
      </w:r>
      <w:r w:rsidR="0024219D" w:rsidRPr="003B58DF">
        <w:t>Parties;</w:t>
      </w:r>
    </w:p>
    <w:p w14:paraId="0FF81E3E" w14:textId="13FF6DFB" w:rsidR="0024219D" w:rsidRPr="003B58DF" w:rsidRDefault="002424D3" w:rsidP="002424D3">
      <w:pPr>
        <w:tabs>
          <w:tab w:val="left" w:pos="568"/>
          <w:tab w:val="left" w:pos="1701"/>
        </w:tabs>
        <w:spacing w:after="120"/>
        <w:ind w:left="1134" w:right="1134"/>
        <w:jc w:val="both"/>
      </w:pPr>
      <w:r w:rsidRPr="003B58DF">
        <w:t>2.</w:t>
      </w:r>
      <w:r w:rsidRPr="003B58DF">
        <w:tab/>
      </w:r>
      <w:r w:rsidR="0024219D" w:rsidRPr="003B58DF">
        <w:rPr>
          <w:i/>
        </w:rPr>
        <w:t>Also welcomes</w:t>
      </w:r>
      <w:r w:rsidR="0024219D" w:rsidRPr="003B58DF">
        <w:t xml:space="preserve"> the progress of the Green Climate Fund</w:t>
      </w:r>
      <w:r w:rsidR="0024219D">
        <w:t xml:space="preserve"> in 2019 on the following, including in relation to guidance provided by the Conference of the Parties</w:t>
      </w:r>
      <w:r w:rsidR="0024219D" w:rsidRPr="003B58DF">
        <w:t>:</w:t>
      </w:r>
    </w:p>
    <w:p w14:paraId="3CACE0DA" w14:textId="345AA1D6" w:rsidR="0024219D" w:rsidRPr="00C32D61" w:rsidRDefault="002424D3" w:rsidP="002424D3">
      <w:pPr>
        <w:tabs>
          <w:tab w:val="left" w:pos="1701"/>
          <w:tab w:val="left" w:pos="2269"/>
        </w:tabs>
        <w:spacing w:after="120"/>
        <w:ind w:left="1135" w:right="1134" w:firstLine="567"/>
        <w:jc w:val="both"/>
      </w:pPr>
      <w:r w:rsidRPr="00C32D61">
        <w:t>(a)</w:t>
      </w:r>
      <w:r w:rsidRPr="00C32D61">
        <w:tab/>
      </w:r>
      <w:r w:rsidR="0024219D">
        <w:t>The increase in the number of project proposals approved, which brings t</w:t>
      </w:r>
      <w:r w:rsidR="0024219D" w:rsidRPr="003B58DF">
        <w:t>h</w:t>
      </w:r>
      <w:r w:rsidR="0024219D">
        <w:t>e</w:t>
      </w:r>
      <w:r w:rsidR="0024219D" w:rsidRPr="003B58DF">
        <w:t xml:space="preserve"> </w:t>
      </w:r>
      <w:r w:rsidR="0024219D">
        <w:t xml:space="preserve">total amount </w:t>
      </w:r>
      <w:r w:rsidR="0024219D" w:rsidRPr="00C32D61">
        <w:t>approv</w:t>
      </w:r>
      <w:r w:rsidR="0024219D">
        <w:t>ed</w:t>
      </w:r>
      <w:r w:rsidR="0024219D" w:rsidRPr="00C32D61">
        <w:t xml:space="preserve"> by the Board</w:t>
      </w:r>
      <w:r w:rsidR="0024219D">
        <w:t xml:space="preserve"> to</w:t>
      </w:r>
      <w:r w:rsidR="0024219D" w:rsidRPr="00C32D61">
        <w:t xml:space="preserve"> USD 5.6 billion to support the implementation of 124 adaptation and mitigation projects and programmes in 105 developing countries;</w:t>
      </w:r>
    </w:p>
    <w:p w14:paraId="4F3AEB1A" w14:textId="2DDDE302" w:rsidR="0024219D" w:rsidRPr="00C32D61" w:rsidRDefault="002424D3" w:rsidP="002424D3">
      <w:pPr>
        <w:tabs>
          <w:tab w:val="left" w:pos="1701"/>
          <w:tab w:val="left" w:pos="2269"/>
        </w:tabs>
        <w:spacing w:after="120"/>
        <w:ind w:left="1135" w:right="1134" w:firstLine="567"/>
        <w:jc w:val="both"/>
      </w:pPr>
      <w:r w:rsidRPr="00C32D61">
        <w:t>(b)</w:t>
      </w:r>
      <w:r w:rsidRPr="00C32D61">
        <w:tab/>
      </w:r>
      <w:r w:rsidR="0024219D" w:rsidRPr="00C32D61">
        <w:t xml:space="preserve">The increase in the number of entities accredited by the Board, </w:t>
      </w:r>
      <w:r w:rsidR="0024219D">
        <w:t xml:space="preserve">which </w:t>
      </w:r>
      <w:r w:rsidR="0024219D" w:rsidRPr="00C32D61">
        <w:t>bring</w:t>
      </w:r>
      <w:r w:rsidR="0024219D">
        <w:t>s</w:t>
      </w:r>
      <w:r w:rsidR="0024219D" w:rsidRPr="00C32D61">
        <w:t xml:space="preserve"> the total number of accredited entities to 95, of which 56 are direct access entities;</w:t>
      </w:r>
    </w:p>
    <w:p w14:paraId="225A3178" w14:textId="43F5201D" w:rsidR="0024219D" w:rsidRPr="003B58DF" w:rsidRDefault="002424D3" w:rsidP="002424D3">
      <w:pPr>
        <w:tabs>
          <w:tab w:val="left" w:pos="1701"/>
          <w:tab w:val="left" w:pos="2269"/>
        </w:tabs>
        <w:spacing w:after="120"/>
        <w:ind w:left="1135" w:right="1134" w:firstLine="567"/>
        <w:jc w:val="both"/>
      </w:pPr>
      <w:r w:rsidRPr="003B58DF">
        <w:t>(c)</w:t>
      </w:r>
      <w:r w:rsidRPr="003B58DF">
        <w:tab/>
      </w:r>
      <w:r w:rsidR="0024219D" w:rsidRPr="00C32D61">
        <w:t>The adoption</w:t>
      </w:r>
      <w:r w:rsidR="0024219D">
        <w:t xml:space="preserve"> </w:t>
      </w:r>
      <w:r w:rsidR="0024219D" w:rsidRPr="00C32D61">
        <w:t>of procedures for adopting decisions in the event that all efforts at reaching consensus have been exhausted</w:t>
      </w:r>
      <w:r w:rsidR="0024219D" w:rsidRPr="003B58DF">
        <w:t xml:space="preserve">, as </w:t>
      </w:r>
      <w:r w:rsidR="0024219D">
        <w:t>specified in</w:t>
      </w:r>
      <w:r w:rsidR="0024219D" w:rsidRPr="003B58DF">
        <w:t xml:space="preserve"> the Governing Instrument</w:t>
      </w:r>
      <w:r w:rsidR="0024219D">
        <w:t xml:space="preserve"> for the Green Climate Fund</w:t>
      </w:r>
      <w:r w:rsidR="0024219D" w:rsidRPr="003B58DF">
        <w:t>;</w:t>
      </w:r>
    </w:p>
    <w:p w14:paraId="79288715" w14:textId="17B633FD" w:rsidR="0024219D" w:rsidRPr="003B58DF" w:rsidRDefault="002424D3" w:rsidP="002424D3">
      <w:pPr>
        <w:tabs>
          <w:tab w:val="left" w:pos="1701"/>
          <w:tab w:val="left" w:pos="2269"/>
        </w:tabs>
        <w:spacing w:after="120"/>
        <w:ind w:left="1135" w:right="1134" w:firstLine="567"/>
        <w:jc w:val="both"/>
      </w:pPr>
      <w:r w:rsidRPr="003B58DF">
        <w:t>(d)</w:t>
      </w:r>
      <w:r w:rsidRPr="003B58DF">
        <w:tab/>
      </w:r>
      <w:r w:rsidR="0024219D" w:rsidRPr="003B58DF">
        <w:t>The adoption</w:t>
      </w:r>
      <w:r w:rsidR="0024219D" w:rsidRPr="004D39EA">
        <w:t xml:space="preserve"> </w:t>
      </w:r>
      <w:r w:rsidR="0024219D" w:rsidRPr="003B58DF">
        <w:t xml:space="preserve">of </w:t>
      </w:r>
      <w:r w:rsidR="0024219D">
        <w:t>a</w:t>
      </w:r>
      <w:r w:rsidR="0024219D" w:rsidRPr="003B58DF">
        <w:t xml:space="preserve"> revised strategy for the Readiness and Preparatory Support Programme;</w:t>
      </w:r>
    </w:p>
    <w:p w14:paraId="22D31D34" w14:textId="5EEF26F3" w:rsidR="0024219D" w:rsidRDefault="002424D3" w:rsidP="002424D3">
      <w:pPr>
        <w:tabs>
          <w:tab w:val="left" w:pos="1701"/>
          <w:tab w:val="left" w:pos="2269"/>
        </w:tabs>
        <w:spacing w:after="120"/>
        <w:ind w:left="1135" w:right="1134" w:firstLine="567"/>
        <w:jc w:val="both"/>
      </w:pPr>
      <w:r>
        <w:t>(e)</w:t>
      </w:r>
      <w:r>
        <w:tab/>
      </w:r>
      <w:r w:rsidR="0024219D">
        <w:t>T</w:t>
      </w:r>
      <w:r w:rsidR="0024219D" w:rsidRPr="003B58DF">
        <w:t xml:space="preserve">he </w:t>
      </w:r>
      <w:r w:rsidR="0024219D">
        <w:t>adoption of the policy on the restructuring and cancellation of projects and programmes</w:t>
      </w:r>
      <w:r w:rsidR="0024219D" w:rsidRPr="003B58DF">
        <w:t>;</w:t>
      </w:r>
    </w:p>
    <w:p w14:paraId="18140F03" w14:textId="765611A0" w:rsidR="0024219D" w:rsidRDefault="002424D3" w:rsidP="002424D3">
      <w:pPr>
        <w:tabs>
          <w:tab w:val="left" w:pos="1701"/>
          <w:tab w:val="left" w:pos="2269"/>
        </w:tabs>
        <w:spacing w:after="120"/>
        <w:ind w:left="1135" w:right="1134" w:firstLine="567"/>
        <w:jc w:val="both"/>
      </w:pPr>
      <w:r>
        <w:t>(f)</w:t>
      </w:r>
      <w:r>
        <w:tab/>
      </w:r>
      <w:r w:rsidR="0024219D" w:rsidRPr="003B58DF">
        <w:t>The adoption of the</w:t>
      </w:r>
      <w:r w:rsidR="0024219D">
        <w:t xml:space="preserve"> updated</w:t>
      </w:r>
      <w:r w:rsidR="0024219D" w:rsidRPr="003B58DF">
        <w:t xml:space="preserve"> Gender Policy and Action Plan 2020</w:t>
      </w:r>
      <w:r w:rsidR="0024219D">
        <w:t>–</w:t>
      </w:r>
      <w:r w:rsidR="0024219D" w:rsidRPr="003B58DF">
        <w:t>2023</w:t>
      </w:r>
      <w:r w:rsidR="0024219D" w:rsidRPr="00C77D8A">
        <w:t xml:space="preserve">, in particular the support modality for national designated authorities and focal points to implement the policy and action plan, as well as </w:t>
      </w:r>
      <w:r w:rsidR="0024219D">
        <w:t xml:space="preserve">support </w:t>
      </w:r>
      <w:r w:rsidR="0024219D" w:rsidRPr="00C77D8A">
        <w:t xml:space="preserve">for direct access entities </w:t>
      </w:r>
      <w:r w:rsidR="0024219D">
        <w:t>from</w:t>
      </w:r>
      <w:r w:rsidR="0024219D" w:rsidRPr="00C77D8A">
        <w:t xml:space="preserve"> the project preparation facility</w:t>
      </w:r>
      <w:r w:rsidR="0024219D">
        <w:t>;</w:t>
      </w:r>
      <w:r w:rsidR="0024219D">
        <w:rPr>
          <w:rStyle w:val="FootnoteReference"/>
        </w:rPr>
        <w:footnoteReference w:id="17"/>
      </w:r>
    </w:p>
    <w:p w14:paraId="5490A5A1" w14:textId="61CFA767" w:rsidR="0024219D" w:rsidRPr="003B58DF" w:rsidRDefault="002424D3" w:rsidP="002424D3">
      <w:pPr>
        <w:tabs>
          <w:tab w:val="left" w:pos="1701"/>
          <w:tab w:val="left" w:pos="2269"/>
        </w:tabs>
        <w:spacing w:after="120"/>
        <w:ind w:left="1135" w:right="1134" w:firstLine="567"/>
        <w:jc w:val="both"/>
      </w:pPr>
      <w:r w:rsidRPr="003B58DF">
        <w:t>(g)</w:t>
      </w:r>
      <w:r w:rsidRPr="003B58DF">
        <w:tab/>
      </w:r>
      <w:r w:rsidR="0024219D" w:rsidRPr="003B58DF">
        <w:t xml:space="preserve">The adoption of the </w:t>
      </w:r>
      <w:r w:rsidR="0024219D">
        <w:t>w</w:t>
      </w:r>
      <w:r w:rsidR="0024219D" w:rsidRPr="003B58DF">
        <w:t>orkplan of the Board for 2020</w:t>
      </w:r>
      <w:r w:rsidR="0024219D">
        <w:t>–</w:t>
      </w:r>
      <w:r w:rsidR="0024219D" w:rsidRPr="003B58DF">
        <w:t>2023</w:t>
      </w:r>
      <w:r w:rsidR="0024219D">
        <w:t>, which</w:t>
      </w:r>
      <w:r w:rsidR="0024219D" w:rsidRPr="003B58DF">
        <w:t xml:space="preserve"> establishes a regular policy implementation, learning and review cycle;</w:t>
      </w:r>
    </w:p>
    <w:p w14:paraId="4C2EEC87" w14:textId="10888E81" w:rsidR="0024219D" w:rsidRDefault="002424D3" w:rsidP="002424D3">
      <w:pPr>
        <w:tabs>
          <w:tab w:val="left" w:pos="1701"/>
          <w:tab w:val="left" w:pos="2269"/>
        </w:tabs>
        <w:spacing w:after="120"/>
        <w:ind w:left="1135" w:right="1134" w:firstLine="567"/>
        <w:jc w:val="both"/>
      </w:pPr>
      <w:r>
        <w:t>(h)</w:t>
      </w:r>
      <w:r>
        <w:tab/>
      </w:r>
      <w:r w:rsidR="0024219D" w:rsidRPr="003B58DF">
        <w:t>The adoption of the</w:t>
      </w:r>
      <w:r w:rsidR="0024219D">
        <w:t xml:space="preserve"> Green Climate</w:t>
      </w:r>
      <w:r w:rsidR="0024219D" w:rsidRPr="003B58DF">
        <w:t xml:space="preserve"> Fund’s </w:t>
      </w:r>
      <w:r w:rsidR="0024219D">
        <w:t xml:space="preserve">policy on </w:t>
      </w:r>
      <w:r w:rsidR="0024219D" w:rsidRPr="003B58DF">
        <w:t>co-financing</w:t>
      </w:r>
      <w:r w:rsidR="0024219D">
        <w:t>;</w:t>
      </w:r>
    </w:p>
    <w:p w14:paraId="3F34C51E" w14:textId="65914172" w:rsidR="0024219D" w:rsidRDefault="002424D3" w:rsidP="002424D3">
      <w:pPr>
        <w:tabs>
          <w:tab w:val="left" w:pos="1701"/>
          <w:tab w:val="left" w:pos="2269"/>
        </w:tabs>
        <w:spacing w:after="120"/>
        <w:ind w:left="1135" w:right="1134" w:firstLine="567"/>
        <w:jc w:val="both"/>
      </w:pPr>
      <w:r>
        <w:t>(i)</w:t>
      </w:r>
      <w:r>
        <w:tab/>
      </w:r>
      <w:r w:rsidR="0024219D">
        <w:t>The f</w:t>
      </w:r>
      <w:r w:rsidR="0024219D" w:rsidRPr="003B58DF">
        <w:t>orward-</w:t>
      </w:r>
      <w:r w:rsidR="0024219D">
        <w:t>l</w:t>
      </w:r>
      <w:r w:rsidR="0024219D" w:rsidRPr="003B58DF">
        <w:t xml:space="preserve">ooking </w:t>
      </w:r>
      <w:r w:rsidR="0024219D">
        <w:t>p</w:t>
      </w:r>
      <w:r w:rsidR="0024219D" w:rsidRPr="003B58DF">
        <w:t xml:space="preserve">erformance </w:t>
      </w:r>
      <w:r w:rsidR="0024219D">
        <w:t>r</w:t>
      </w:r>
      <w:r w:rsidR="0024219D" w:rsidRPr="003B58DF">
        <w:t>eview of the Green Climate Fund</w:t>
      </w:r>
      <w:r w:rsidR="0024219D">
        <w:t>;</w:t>
      </w:r>
    </w:p>
    <w:p w14:paraId="667AF413" w14:textId="0628C81A" w:rsidR="0024219D" w:rsidRDefault="002424D3" w:rsidP="002424D3">
      <w:pPr>
        <w:tabs>
          <w:tab w:val="left" w:pos="1701"/>
          <w:tab w:val="left" w:pos="2269"/>
        </w:tabs>
        <w:spacing w:after="120"/>
        <w:ind w:left="1135" w:right="1134" w:firstLine="567"/>
        <w:jc w:val="both"/>
      </w:pPr>
      <w:r>
        <w:t>(j)</w:t>
      </w:r>
      <w:r>
        <w:tab/>
      </w:r>
      <w:r w:rsidR="0024219D">
        <w:t>T</w:t>
      </w:r>
      <w:r w:rsidR="0024219D" w:rsidRPr="003B58DF">
        <w:t>he continued collaboration between the Green Climate Fund</w:t>
      </w:r>
      <w:r w:rsidR="0024219D">
        <w:t>,</w:t>
      </w:r>
      <w:r w:rsidR="0024219D" w:rsidRPr="003B58DF">
        <w:t xml:space="preserve"> the Climate Technology Centre and Network and </w:t>
      </w:r>
      <w:r w:rsidR="0024219D">
        <w:t xml:space="preserve">the </w:t>
      </w:r>
      <w:r w:rsidR="0024219D" w:rsidRPr="003B58DF">
        <w:t>Technology Executive Committee</w:t>
      </w:r>
      <w:r w:rsidR="0024219D">
        <w:t>;</w:t>
      </w:r>
    </w:p>
    <w:p w14:paraId="15F2777D" w14:textId="5B6D2B73" w:rsidR="0024219D" w:rsidRDefault="002424D3" w:rsidP="002424D3">
      <w:pPr>
        <w:tabs>
          <w:tab w:val="left" w:pos="1701"/>
          <w:tab w:val="left" w:pos="2269"/>
        </w:tabs>
        <w:spacing w:after="120"/>
        <w:ind w:left="1135" w:right="1134" w:firstLine="567"/>
        <w:jc w:val="both"/>
      </w:pPr>
      <w:r>
        <w:t>(k)</w:t>
      </w:r>
      <w:r>
        <w:tab/>
      </w:r>
      <w:r w:rsidR="0024219D">
        <w:t>The collaboration between the Green Climate Fund, the Adaptation Committee and the Least Developed Countries Expert Group;</w:t>
      </w:r>
    </w:p>
    <w:p w14:paraId="11DEB02F" w14:textId="40320EC3" w:rsidR="0024219D" w:rsidRPr="003B58DF" w:rsidRDefault="002424D3" w:rsidP="002424D3">
      <w:pPr>
        <w:tabs>
          <w:tab w:val="left" w:pos="1701"/>
          <w:tab w:val="left" w:pos="2269"/>
        </w:tabs>
        <w:spacing w:after="120"/>
        <w:ind w:left="1135" w:right="1134" w:firstLine="567"/>
        <w:jc w:val="both"/>
      </w:pPr>
      <w:r w:rsidRPr="003B58DF">
        <w:t>(l)</w:t>
      </w:r>
      <w:r w:rsidRPr="003B58DF">
        <w:tab/>
      </w:r>
      <w:r w:rsidR="0024219D" w:rsidRPr="003B58DF">
        <w:t>The steps agreed at the 24</w:t>
      </w:r>
      <w:r w:rsidR="0024219D" w:rsidRPr="00604CB2">
        <w:rPr>
          <w:vertAlign w:val="superscript"/>
        </w:rPr>
        <w:t>th</w:t>
      </w:r>
      <w:r w:rsidR="0024219D">
        <w:t xml:space="preserve"> m</w:t>
      </w:r>
      <w:r w:rsidR="0024219D" w:rsidRPr="003B58DF">
        <w:t xml:space="preserve">eeting of the </w:t>
      </w:r>
      <w:r w:rsidR="0024219D">
        <w:t xml:space="preserve">Board </w:t>
      </w:r>
      <w:r w:rsidR="0024219D" w:rsidRPr="003B58DF">
        <w:t>to finalize, at the 25</w:t>
      </w:r>
      <w:r w:rsidR="0024219D" w:rsidRPr="00604CB2">
        <w:rPr>
          <w:vertAlign w:val="superscript"/>
        </w:rPr>
        <w:t>th</w:t>
      </w:r>
      <w:r w:rsidR="0024219D">
        <w:t xml:space="preserve"> m</w:t>
      </w:r>
      <w:r w:rsidR="0024219D" w:rsidRPr="003B58DF">
        <w:t>eeting</w:t>
      </w:r>
      <w:r w:rsidR="0024219D">
        <w:t xml:space="preserve"> of the Board</w:t>
      </w:r>
      <w:r w:rsidR="0024219D" w:rsidRPr="003B58DF">
        <w:t xml:space="preserve">, the </w:t>
      </w:r>
      <w:r w:rsidR="0024219D">
        <w:t>draft</w:t>
      </w:r>
      <w:r w:rsidR="0024219D" w:rsidRPr="003B58DF">
        <w:t xml:space="preserve"> Strategic Plan 2020</w:t>
      </w:r>
      <w:r w:rsidR="0024219D" w:rsidRPr="004D39EA">
        <w:t>–</w:t>
      </w:r>
      <w:r w:rsidR="0024219D" w:rsidRPr="003B58DF">
        <w:t>2023;</w:t>
      </w:r>
    </w:p>
    <w:p w14:paraId="2719B046" w14:textId="40A2CA27" w:rsidR="0024219D" w:rsidRPr="003B58DF" w:rsidRDefault="002424D3" w:rsidP="002424D3">
      <w:pPr>
        <w:tabs>
          <w:tab w:val="left" w:pos="1701"/>
          <w:tab w:val="left" w:pos="2269"/>
        </w:tabs>
        <w:spacing w:after="120"/>
        <w:ind w:left="1135" w:right="1134" w:firstLine="567"/>
        <w:jc w:val="both"/>
      </w:pPr>
      <w:r w:rsidRPr="003B58DF">
        <w:t>(m)</w:t>
      </w:r>
      <w:r w:rsidRPr="003B58DF">
        <w:tab/>
      </w:r>
      <w:r w:rsidR="0024219D" w:rsidRPr="003B58DF">
        <w:t xml:space="preserve">Policies </w:t>
      </w:r>
      <w:r w:rsidR="0024219D">
        <w:t>related to i</w:t>
      </w:r>
      <w:r w:rsidR="0024219D" w:rsidRPr="003B58DF">
        <w:t xml:space="preserve">ntegrity, notably </w:t>
      </w:r>
      <w:r w:rsidR="0024219D">
        <w:t xml:space="preserve">the </w:t>
      </w:r>
      <w:r w:rsidR="0024219D" w:rsidRPr="003B58DF">
        <w:t>polic</w:t>
      </w:r>
      <w:r w:rsidR="0024219D">
        <w:t>y</w:t>
      </w:r>
      <w:r w:rsidR="0024219D" w:rsidRPr="003B58DF">
        <w:t xml:space="preserve"> on</w:t>
      </w:r>
      <w:r w:rsidR="0024219D">
        <w:t xml:space="preserve"> the protection from </w:t>
      </w:r>
      <w:r w:rsidR="0024219D" w:rsidRPr="003B58DF">
        <w:t>sexual exploitation, sexual abuse</w:t>
      </w:r>
      <w:r w:rsidR="0024219D">
        <w:t xml:space="preserve"> and </w:t>
      </w:r>
      <w:r w:rsidR="0024219D" w:rsidRPr="003B58DF">
        <w:t xml:space="preserve">sexual harassment and </w:t>
      </w:r>
      <w:r w:rsidR="0024219D">
        <w:t>the standard on anti-money-laundering and countering the financing of terrorism</w:t>
      </w:r>
      <w:r w:rsidR="0024219D" w:rsidRPr="003B58DF">
        <w:t>;</w:t>
      </w:r>
    </w:p>
    <w:p w14:paraId="1F8C45EC" w14:textId="6AA7C0F8" w:rsidR="0024219D" w:rsidRPr="003B58DF" w:rsidRDefault="002424D3" w:rsidP="002424D3">
      <w:pPr>
        <w:tabs>
          <w:tab w:val="left" w:pos="568"/>
          <w:tab w:val="left" w:pos="1701"/>
        </w:tabs>
        <w:spacing w:after="120"/>
        <w:ind w:left="1134" w:right="1134"/>
        <w:jc w:val="both"/>
      </w:pPr>
      <w:r w:rsidRPr="003B58DF">
        <w:t>3.</w:t>
      </w:r>
      <w:r w:rsidRPr="003B58DF">
        <w:tab/>
      </w:r>
      <w:r w:rsidR="0024219D">
        <w:rPr>
          <w:i/>
        </w:rPr>
        <w:t>Further w</w:t>
      </w:r>
      <w:r w:rsidR="0024219D" w:rsidRPr="00736BEE">
        <w:rPr>
          <w:i/>
        </w:rPr>
        <w:t>elcomes</w:t>
      </w:r>
      <w:r w:rsidR="0024219D" w:rsidRPr="00736BEE">
        <w:t xml:space="preserve"> the pledges made by 28 contributors and the successful conclusion of the first formal replenishment process of the Green Climate Fund, resulting in a nominal pledge of US</w:t>
      </w:r>
      <w:r w:rsidR="0024219D">
        <w:t>D</w:t>
      </w:r>
      <w:r w:rsidR="0024219D" w:rsidRPr="00736BEE">
        <w:t xml:space="preserve"> 9.66 billion and a notional credit of US</w:t>
      </w:r>
      <w:r w:rsidR="0024219D">
        <w:t>D</w:t>
      </w:r>
      <w:r w:rsidR="0024219D" w:rsidRPr="00736BEE">
        <w:t xml:space="preserve"> 118.47 million that may be earned in the event all contributors make early encashment</w:t>
      </w:r>
      <w:r w:rsidR="0024219D">
        <w:t>;</w:t>
      </w:r>
    </w:p>
    <w:p w14:paraId="63633610" w14:textId="1F3C62D1" w:rsidR="0024219D" w:rsidRPr="003B58DF" w:rsidRDefault="002424D3" w:rsidP="002424D3">
      <w:pPr>
        <w:tabs>
          <w:tab w:val="left" w:pos="568"/>
          <w:tab w:val="left" w:pos="1701"/>
        </w:tabs>
        <w:spacing w:after="120"/>
        <w:ind w:left="1134" w:right="1134"/>
        <w:jc w:val="both"/>
      </w:pPr>
      <w:r w:rsidRPr="003B58DF">
        <w:t>4.</w:t>
      </w:r>
      <w:r w:rsidRPr="003B58DF">
        <w:tab/>
      </w:r>
      <w:r w:rsidR="0024219D">
        <w:rPr>
          <w:i/>
        </w:rPr>
        <w:t>E</w:t>
      </w:r>
      <w:r w:rsidR="0024219D" w:rsidRPr="003B58DF">
        <w:rPr>
          <w:i/>
        </w:rPr>
        <w:t>ncourages</w:t>
      </w:r>
      <w:r w:rsidR="0024219D" w:rsidRPr="003B58DF">
        <w:t xml:space="preserve"> further pledges and contributions </w:t>
      </w:r>
      <w:r w:rsidR="0024219D">
        <w:t>towards</w:t>
      </w:r>
      <w:r w:rsidR="0024219D" w:rsidRPr="003B58DF">
        <w:t xml:space="preserve"> the first formal replenishment</w:t>
      </w:r>
      <w:r w:rsidR="0024219D">
        <w:t xml:space="preserve"> period</w:t>
      </w:r>
      <w:r w:rsidR="0024219D" w:rsidRPr="003B58DF">
        <w:t>;</w:t>
      </w:r>
      <w:r w:rsidR="0024219D">
        <w:rPr>
          <w:rStyle w:val="FootnoteReference"/>
        </w:rPr>
        <w:footnoteReference w:id="18"/>
      </w:r>
    </w:p>
    <w:p w14:paraId="701E0104" w14:textId="2AD74344" w:rsidR="0024219D" w:rsidRDefault="002424D3" w:rsidP="002424D3">
      <w:pPr>
        <w:tabs>
          <w:tab w:val="left" w:pos="568"/>
          <w:tab w:val="left" w:pos="1701"/>
        </w:tabs>
        <w:spacing w:after="120"/>
        <w:ind w:left="1134" w:right="1134"/>
        <w:jc w:val="both"/>
      </w:pPr>
      <w:r>
        <w:t>5.</w:t>
      </w:r>
      <w:r>
        <w:tab/>
      </w:r>
      <w:r w:rsidR="0024219D">
        <w:rPr>
          <w:i/>
        </w:rPr>
        <w:t>Also e</w:t>
      </w:r>
      <w:r w:rsidR="0024219D" w:rsidRPr="003B58DF">
        <w:rPr>
          <w:i/>
        </w:rPr>
        <w:t>ncourages</w:t>
      </w:r>
      <w:r w:rsidR="0024219D" w:rsidRPr="003B58DF">
        <w:t xml:space="preserve"> contributing countries</w:t>
      </w:r>
      <w:r w:rsidR="0024219D">
        <w:t xml:space="preserve"> </w:t>
      </w:r>
      <w:r w:rsidR="0024219D" w:rsidRPr="003B58DF">
        <w:t>to confirm their pledges to the Green Climate Fund in the form of fully executed contribution agreements</w:t>
      </w:r>
      <w:r w:rsidR="0024219D">
        <w:t xml:space="preserve"> or </w:t>
      </w:r>
      <w:r w:rsidR="0024219D" w:rsidRPr="003B58DF">
        <w:t>arrangements as soon as possible;</w:t>
      </w:r>
    </w:p>
    <w:p w14:paraId="4A19E44C" w14:textId="282B93F1" w:rsidR="0024219D" w:rsidRPr="00CB2F18" w:rsidRDefault="002424D3" w:rsidP="002424D3">
      <w:pPr>
        <w:tabs>
          <w:tab w:val="left" w:pos="568"/>
          <w:tab w:val="left" w:pos="1701"/>
        </w:tabs>
        <w:spacing w:after="120"/>
        <w:ind w:left="1134" w:right="1134"/>
        <w:jc w:val="both"/>
        <w:rPr>
          <w:i/>
        </w:rPr>
      </w:pPr>
      <w:r w:rsidRPr="00CB2F18">
        <w:t>6.</w:t>
      </w:r>
      <w:r w:rsidRPr="00CB2F18">
        <w:tab/>
      </w:r>
      <w:r w:rsidR="0024219D" w:rsidRPr="0066540D">
        <w:rPr>
          <w:i/>
        </w:rPr>
        <w:t>Reiterate</w:t>
      </w:r>
      <w:r w:rsidR="0024219D">
        <w:rPr>
          <w:i/>
        </w:rPr>
        <w:t xml:space="preserve">s </w:t>
      </w:r>
      <w:r w:rsidR="0024219D" w:rsidRPr="0066540D">
        <w:t>the request</w:t>
      </w:r>
      <w:r w:rsidR="0024219D">
        <w:t xml:space="preserve"> to</w:t>
      </w:r>
      <w:r w:rsidR="0024219D" w:rsidRPr="0066540D">
        <w:t xml:space="preserve"> t</w:t>
      </w:r>
      <w:r w:rsidR="0024219D" w:rsidRPr="00BC75AF">
        <w:t xml:space="preserve">he Green Climate Fund </w:t>
      </w:r>
      <w:r w:rsidR="0024219D">
        <w:t xml:space="preserve">to accelerate the </w:t>
      </w:r>
      <w:r w:rsidR="0024219D" w:rsidRPr="00BC75AF">
        <w:t xml:space="preserve">disbursement of funds </w:t>
      </w:r>
      <w:r w:rsidR="0024219D">
        <w:t>for</w:t>
      </w:r>
      <w:r w:rsidR="0024219D" w:rsidRPr="00BC75AF">
        <w:t xml:space="preserve"> already approved projects</w:t>
      </w:r>
      <w:r w:rsidR="0024219D">
        <w:t>,</w:t>
      </w:r>
      <w:r w:rsidR="0024219D" w:rsidRPr="00BC75AF">
        <w:t xml:space="preserve"> </w:t>
      </w:r>
      <w:r w:rsidR="0024219D">
        <w:t xml:space="preserve">including for readiness support, and provide detailed information on </w:t>
      </w:r>
      <w:r w:rsidR="0024219D" w:rsidRPr="00BC75AF">
        <w:t>disbursement</w:t>
      </w:r>
      <w:r w:rsidR="0024219D">
        <w:t xml:space="preserve"> levels and measures taken in this regard in its report to the </w:t>
      </w:r>
      <w:r w:rsidR="0024219D" w:rsidRPr="003B58DF">
        <w:t xml:space="preserve">Conference of </w:t>
      </w:r>
      <w:r w:rsidR="0024219D">
        <w:t xml:space="preserve">the </w:t>
      </w:r>
      <w:r w:rsidR="0024219D" w:rsidRPr="003B58DF">
        <w:t>Parties</w:t>
      </w:r>
      <w:r w:rsidR="0024219D">
        <w:t>;</w:t>
      </w:r>
    </w:p>
    <w:p w14:paraId="5E581C89" w14:textId="537770B4" w:rsidR="0024219D" w:rsidRDefault="002424D3" w:rsidP="002424D3">
      <w:pPr>
        <w:tabs>
          <w:tab w:val="left" w:pos="568"/>
          <w:tab w:val="left" w:pos="1701"/>
        </w:tabs>
        <w:spacing w:after="120"/>
        <w:ind w:left="1134" w:right="1134"/>
        <w:jc w:val="both"/>
      </w:pPr>
      <w:r>
        <w:t>7.</w:t>
      </w:r>
      <w:r>
        <w:tab/>
      </w:r>
      <w:r w:rsidR="0024219D">
        <w:rPr>
          <w:i/>
        </w:rPr>
        <w:t>W</w:t>
      </w:r>
      <w:r w:rsidR="0024219D" w:rsidRPr="003B58DF">
        <w:rPr>
          <w:i/>
        </w:rPr>
        <w:t>elcomes</w:t>
      </w:r>
      <w:r w:rsidR="0024219D" w:rsidRPr="003B58DF">
        <w:t xml:space="preserve"> the approval of the Board’s four-year work</w:t>
      </w:r>
      <w:r w:rsidR="0024219D">
        <w:t>plan</w:t>
      </w:r>
      <w:r w:rsidR="0024219D" w:rsidRPr="003B58DF">
        <w:t xml:space="preserve"> and </w:t>
      </w:r>
      <w:r w:rsidR="0024219D" w:rsidRPr="00F4429D">
        <w:rPr>
          <w:i/>
        </w:rPr>
        <w:t>requests</w:t>
      </w:r>
      <w:r w:rsidR="0024219D" w:rsidRPr="003B58DF">
        <w:t xml:space="preserve"> the Board to complete its work on </w:t>
      </w:r>
      <w:r w:rsidR="0024219D">
        <w:t xml:space="preserve">closing </w:t>
      </w:r>
      <w:r w:rsidR="0024219D" w:rsidRPr="003B58DF">
        <w:t>policy gaps</w:t>
      </w:r>
      <w:r w:rsidR="0024219D">
        <w:t xml:space="preserve">, </w:t>
      </w:r>
      <w:r w:rsidR="0024219D" w:rsidRPr="003B58DF">
        <w:t>streamlining</w:t>
      </w:r>
      <w:r w:rsidR="0024219D">
        <w:t xml:space="preserve"> and simplifying </w:t>
      </w:r>
      <w:r w:rsidR="0024219D" w:rsidRPr="003B58DF">
        <w:t xml:space="preserve">approval processes, including for readiness </w:t>
      </w:r>
      <w:r w:rsidR="0024219D">
        <w:t xml:space="preserve">support </w:t>
      </w:r>
      <w:r w:rsidR="0024219D" w:rsidRPr="003B58DF">
        <w:t>and national adaptation plans,</w:t>
      </w:r>
      <w:r w:rsidR="0024219D">
        <w:t xml:space="preserve"> and addressing the review of the accreditation framework </w:t>
      </w:r>
      <w:r w:rsidR="0024219D" w:rsidRPr="003B58DF">
        <w:t xml:space="preserve">as </w:t>
      </w:r>
      <w:r w:rsidR="0024219D">
        <w:t>soon</w:t>
      </w:r>
      <w:r w:rsidR="0024219D" w:rsidRPr="003B58DF">
        <w:t xml:space="preserve"> as possible</w:t>
      </w:r>
      <w:r w:rsidR="0024219D">
        <w:t xml:space="preserve"> so as</w:t>
      </w:r>
      <w:r w:rsidR="0024219D" w:rsidRPr="003B58DF">
        <w:t xml:space="preserve"> not </w:t>
      </w:r>
      <w:r w:rsidR="0024219D">
        <w:t xml:space="preserve">to </w:t>
      </w:r>
      <w:r w:rsidR="0024219D" w:rsidRPr="003B58DF">
        <w:t>disrupt the project and programme approval cycle during the first formal replenishment;</w:t>
      </w:r>
    </w:p>
    <w:p w14:paraId="754BA74E" w14:textId="5BE0A06E" w:rsidR="0024219D" w:rsidRPr="00B55174" w:rsidRDefault="002424D3" w:rsidP="002424D3">
      <w:pPr>
        <w:tabs>
          <w:tab w:val="left" w:pos="568"/>
          <w:tab w:val="left" w:pos="1701"/>
        </w:tabs>
        <w:spacing w:after="120"/>
        <w:ind w:left="1134" w:right="1134"/>
        <w:jc w:val="both"/>
        <w:rPr>
          <w:rFonts w:eastAsia="MS Mincho"/>
          <w:i/>
          <w:lang w:eastAsia="en-US"/>
        </w:rPr>
      </w:pPr>
      <w:r w:rsidRPr="00B55174">
        <w:rPr>
          <w:rFonts w:eastAsia="MS Mincho"/>
          <w:lang w:eastAsia="en-US"/>
        </w:rPr>
        <w:t>8.</w:t>
      </w:r>
      <w:r w:rsidRPr="00B55174">
        <w:rPr>
          <w:rFonts w:eastAsia="MS Mincho"/>
          <w:lang w:eastAsia="en-US"/>
        </w:rPr>
        <w:tab/>
      </w:r>
      <w:r w:rsidR="0024219D" w:rsidRPr="00B55174">
        <w:rPr>
          <w:rFonts w:eastAsia="MS Mincho"/>
          <w:i/>
          <w:lang w:eastAsia="en-US"/>
        </w:rPr>
        <w:t xml:space="preserve">Encourages </w:t>
      </w:r>
      <w:r w:rsidR="0024219D" w:rsidRPr="00B55174">
        <w:rPr>
          <w:rFonts w:eastAsia="MS Mincho"/>
          <w:lang w:eastAsia="en-US"/>
        </w:rPr>
        <w:t>the Board of the Green Climate Fund to continue its efforts to ensure that the Green Climate Fund enjoys privileges and immunities</w:t>
      </w:r>
      <w:r w:rsidR="0024219D" w:rsidDel="00277215">
        <w:rPr>
          <w:rFonts w:eastAsia="MS Mincho"/>
          <w:lang w:eastAsia="en-US"/>
        </w:rPr>
        <w:t>;</w:t>
      </w:r>
    </w:p>
    <w:p w14:paraId="725E5EFB" w14:textId="7E8BFFC8" w:rsidR="0024219D" w:rsidRPr="00B55174" w:rsidRDefault="002424D3" w:rsidP="002424D3">
      <w:pPr>
        <w:tabs>
          <w:tab w:val="left" w:pos="568"/>
          <w:tab w:val="left" w:pos="1701"/>
        </w:tabs>
        <w:spacing w:after="120"/>
        <w:ind w:left="1134" w:right="1134"/>
        <w:jc w:val="both"/>
        <w:rPr>
          <w:rFonts w:eastAsia="MS Mincho"/>
          <w:i/>
          <w:lang w:eastAsia="en-US"/>
        </w:rPr>
      </w:pPr>
      <w:r w:rsidRPr="00B55174">
        <w:rPr>
          <w:rFonts w:eastAsia="MS Mincho"/>
          <w:lang w:eastAsia="en-US"/>
        </w:rPr>
        <w:t>9.</w:t>
      </w:r>
      <w:r w:rsidRPr="00B55174">
        <w:rPr>
          <w:rFonts w:eastAsia="MS Mincho"/>
          <w:lang w:eastAsia="en-US"/>
        </w:rPr>
        <w:tab/>
      </w:r>
      <w:r w:rsidR="0024219D" w:rsidRPr="00B55174">
        <w:rPr>
          <w:rFonts w:eastAsia="MS Mincho"/>
          <w:i/>
          <w:lang w:eastAsia="en-US"/>
        </w:rPr>
        <w:t xml:space="preserve">Takes note </w:t>
      </w:r>
      <w:r w:rsidR="0024219D" w:rsidRPr="00893AE8">
        <w:rPr>
          <w:rFonts w:eastAsia="MS Mincho"/>
          <w:lang w:eastAsia="en-US"/>
        </w:rPr>
        <w:t xml:space="preserve">of the engagement of the President of the Conference of the Parties at its twenty-fifth session with the Secretary-General of the United Nations on the matter of granting privileges and immunities for the Green Climate Fund and its officials through a possible institutional linkage between the United Nations and the Green Climate Fund, and </w:t>
      </w:r>
      <w:r w:rsidR="0024219D" w:rsidRPr="0026176F">
        <w:rPr>
          <w:rFonts w:eastAsia="MS Mincho"/>
          <w:i/>
          <w:lang w:eastAsia="en-US"/>
        </w:rPr>
        <w:t>requests</w:t>
      </w:r>
      <w:r w:rsidR="0024219D" w:rsidRPr="00893AE8">
        <w:rPr>
          <w:rFonts w:eastAsia="MS Mincho"/>
          <w:lang w:eastAsia="en-US"/>
        </w:rPr>
        <w:t xml:space="preserve"> the President to report on this engagement at its twenty-sixth session (November 2020);</w:t>
      </w:r>
    </w:p>
    <w:p w14:paraId="296EC8EF" w14:textId="25FD394D" w:rsidR="0024219D" w:rsidRDefault="002424D3" w:rsidP="002424D3">
      <w:pPr>
        <w:tabs>
          <w:tab w:val="left" w:pos="568"/>
          <w:tab w:val="left" w:pos="1701"/>
        </w:tabs>
        <w:spacing w:after="120"/>
        <w:ind w:left="1134" w:right="1134"/>
        <w:jc w:val="both"/>
      </w:pPr>
      <w:r>
        <w:t>10.</w:t>
      </w:r>
      <w:r>
        <w:tab/>
      </w:r>
      <w:r w:rsidR="0024219D" w:rsidRPr="00B55174">
        <w:rPr>
          <w:rFonts w:eastAsia="MS Mincho"/>
          <w:i/>
          <w:lang w:eastAsia="en-US"/>
        </w:rPr>
        <w:t xml:space="preserve">Decides </w:t>
      </w:r>
      <w:r w:rsidR="0024219D" w:rsidRPr="00893AE8">
        <w:rPr>
          <w:rFonts w:eastAsia="MS Mincho"/>
          <w:lang w:eastAsia="en-US"/>
        </w:rPr>
        <w:t>to continue its consideration of th</w:t>
      </w:r>
      <w:r w:rsidR="0024219D">
        <w:rPr>
          <w:rFonts w:eastAsia="MS Mincho"/>
          <w:lang w:eastAsia="en-US"/>
        </w:rPr>
        <w:t>e</w:t>
      </w:r>
      <w:r w:rsidR="0024219D" w:rsidRPr="00893AE8">
        <w:rPr>
          <w:rFonts w:eastAsia="MS Mincho"/>
          <w:lang w:eastAsia="en-US"/>
        </w:rPr>
        <w:t xml:space="preserve"> matter </w:t>
      </w:r>
      <w:r w:rsidR="0024219D">
        <w:rPr>
          <w:rFonts w:eastAsia="MS Mincho"/>
          <w:lang w:eastAsia="en-US"/>
        </w:rPr>
        <w:t xml:space="preserve">in paragraph 9 above </w:t>
      </w:r>
      <w:r w:rsidR="0024219D" w:rsidRPr="00893AE8">
        <w:rPr>
          <w:rFonts w:eastAsia="MS Mincho"/>
          <w:lang w:eastAsia="en-US"/>
        </w:rPr>
        <w:t>at its twenty-sixth session</w:t>
      </w:r>
      <w:r w:rsidR="0024219D">
        <w:rPr>
          <w:rFonts w:eastAsia="MS Mincho"/>
          <w:lang w:eastAsia="en-US"/>
        </w:rPr>
        <w:t>;</w:t>
      </w:r>
    </w:p>
    <w:p w14:paraId="1A1F3525" w14:textId="3B4D77E4" w:rsidR="0024219D" w:rsidRPr="003B58DF" w:rsidRDefault="002424D3" w:rsidP="002424D3">
      <w:pPr>
        <w:tabs>
          <w:tab w:val="left" w:pos="568"/>
          <w:tab w:val="left" w:pos="1701"/>
        </w:tabs>
        <w:spacing w:after="120"/>
        <w:ind w:left="1134" w:right="1134"/>
        <w:jc w:val="both"/>
      </w:pPr>
      <w:r w:rsidRPr="003B58DF">
        <w:t>11.</w:t>
      </w:r>
      <w:r w:rsidRPr="003B58DF">
        <w:tab/>
      </w:r>
      <w:r w:rsidR="0024219D" w:rsidRPr="003C2402">
        <w:rPr>
          <w:i/>
        </w:rPr>
        <w:t>Invites</w:t>
      </w:r>
      <w:r w:rsidR="0024219D" w:rsidRPr="003B58DF">
        <w:t xml:space="preserve"> Parties</w:t>
      </w:r>
      <w:r w:rsidR="0024219D">
        <w:t xml:space="preserve"> </w:t>
      </w:r>
      <w:r w:rsidR="0024219D" w:rsidRPr="003B58DF">
        <w:t xml:space="preserve">to submit to the secretariat </w:t>
      </w:r>
      <w:r w:rsidR="0024219D">
        <w:t xml:space="preserve">their views and recommendations </w:t>
      </w:r>
      <w:r w:rsidR="0024219D" w:rsidRPr="003B58DF">
        <w:t>on elements to be taken into account in developing guidance for the Board via the submission portal</w:t>
      </w:r>
      <w:r w:rsidR="0024219D" w:rsidRPr="0080795E">
        <w:rPr>
          <w:rStyle w:val="FootnoteReference"/>
          <w:szCs w:val="18"/>
        </w:rPr>
        <w:footnoteReference w:id="19"/>
      </w:r>
      <w:r w:rsidR="0024219D" w:rsidRPr="003B58DF">
        <w:t xml:space="preserve"> no later than 10 weeks prior to the twenty-</w:t>
      </w:r>
      <w:r w:rsidR="0024219D">
        <w:t>sixth</w:t>
      </w:r>
      <w:r w:rsidR="0024219D" w:rsidRPr="003B58DF">
        <w:t xml:space="preserve"> session of the Conference of the Parties;</w:t>
      </w:r>
    </w:p>
    <w:p w14:paraId="3A468862" w14:textId="12A411D9" w:rsidR="0024219D" w:rsidRPr="003B58DF" w:rsidRDefault="002424D3" w:rsidP="002424D3">
      <w:pPr>
        <w:tabs>
          <w:tab w:val="left" w:pos="568"/>
          <w:tab w:val="left" w:pos="1701"/>
        </w:tabs>
        <w:spacing w:after="120"/>
        <w:ind w:left="1134" w:right="1134"/>
        <w:jc w:val="both"/>
      </w:pPr>
      <w:r w:rsidRPr="003B58DF">
        <w:t>12.</w:t>
      </w:r>
      <w:r w:rsidRPr="003B58DF">
        <w:tab/>
      </w:r>
      <w:r w:rsidR="0024219D" w:rsidRPr="003B58DF">
        <w:rPr>
          <w:i/>
        </w:rPr>
        <w:t>Requests</w:t>
      </w:r>
      <w:r w:rsidR="0024219D" w:rsidRPr="003B58DF">
        <w:t xml:space="preserve"> the </w:t>
      </w:r>
      <w:r w:rsidR="0024219D">
        <w:t xml:space="preserve">Standing Committee on Finance </w:t>
      </w:r>
      <w:r w:rsidR="0024219D" w:rsidRPr="003B58DF">
        <w:t xml:space="preserve">to take into consideration the submissions referred to in paragraph </w:t>
      </w:r>
      <w:r w:rsidR="0024219D">
        <w:t>11</w:t>
      </w:r>
      <w:r w:rsidR="0024219D" w:rsidRPr="003B58DF">
        <w:t xml:space="preserve"> above when preparing its draft guidance to the Board for consideration by the </w:t>
      </w:r>
      <w:r w:rsidR="0024219D">
        <w:t>Conference of the Parties and the Conference of the Parties serving as the meeting of the Parties to the Paris Agreement</w:t>
      </w:r>
      <w:r w:rsidR="0024219D" w:rsidRPr="003B58DF">
        <w:t>;</w:t>
      </w:r>
    </w:p>
    <w:p w14:paraId="3EEAFD6E" w14:textId="71458249" w:rsidR="0024219D" w:rsidRPr="003B58DF" w:rsidRDefault="002424D3" w:rsidP="002424D3">
      <w:pPr>
        <w:tabs>
          <w:tab w:val="left" w:pos="568"/>
          <w:tab w:val="left" w:pos="1701"/>
        </w:tabs>
        <w:spacing w:after="120"/>
        <w:ind w:left="1134" w:right="1134"/>
        <w:jc w:val="both"/>
      </w:pPr>
      <w:r w:rsidRPr="003B58DF">
        <w:t>13.</w:t>
      </w:r>
      <w:r w:rsidRPr="003B58DF">
        <w:tab/>
      </w:r>
      <w:r w:rsidR="0024219D" w:rsidRPr="003B58DF">
        <w:rPr>
          <w:i/>
        </w:rPr>
        <w:t>Also requests</w:t>
      </w:r>
      <w:r w:rsidR="0024219D" w:rsidRPr="003B58DF">
        <w:t xml:space="preserve"> the </w:t>
      </w:r>
      <w:r w:rsidR="0024219D">
        <w:rPr>
          <w:rFonts w:eastAsia="MS Mincho"/>
          <w:lang w:eastAsia="en-US"/>
        </w:rPr>
        <w:t>Board</w:t>
      </w:r>
      <w:r w:rsidR="0024219D" w:rsidRPr="003B58DF">
        <w:rPr>
          <w:rFonts w:eastAsia="MS Mincho"/>
          <w:lang w:eastAsia="en-US"/>
        </w:rPr>
        <w:t xml:space="preserve"> </w:t>
      </w:r>
      <w:r w:rsidR="0024219D" w:rsidRPr="003B58DF">
        <w:t xml:space="preserve">to include in its annual report to the </w:t>
      </w:r>
      <w:r w:rsidR="0024219D" w:rsidRPr="004D39EA">
        <w:t>Conference of the Parties</w:t>
      </w:r>
      <w:r w:rsidR="0024219D">
        <w:t xml:space="preserve"> </w:t>
      </w:r>
      <w:r w:rsidR="0024219D" w:rsidRPr="003B58DF">
        <w:t>information on the steps it has taken to implement the guidance provided in this decision;</w:t>
      </w:r>
    </w:p>
    <w:p w14:paraId="58093908" w14:textId="7F04ABF3" w:rsidR="0024219D" w:rsidRDefault="002424D3" w:rsidP="002424D3">
      <w:pPr>
        <w:tabs>
          <w:tab w:val="left" w:pos="568"/>
          <w:tab w:val="left" w:pos="1701"/>
        </w:tabs>
        <w:spacing w:after="120"/>
        <w:ind w:left="1134" w:right="1134"/>
        <w:jc w:val="both"/>
      </w:pPr>
      <w:r>
        <w:t>14.</w:t>
      </w:r>
      <w:r>
        <w:tab/>
      </w:r>
      <w:r w:rsidR="0024219D" w:rsidRPr="009D1F0B">
        <w:rPr>
          <w:i/>
        </w:rPr>
        <w:t>Takes note</w:t>
      </w:r>
      <w:r w:rsidR="0024219D" w:rsidRPr="009D1F0B">
        <w:t xml:space="preserve"> of decision</w:t>
      </w:r>
      <w:r w:rsidR="0024219D">
        <w:t xml:space="preserve"> </w:t>
      </w:r>
      <w:r w:rsidR="002868C6">
        <w:t>6</w:t>
      </w:r>
      <w:r w:rsidR="0024219D" w:rsidRPr="009D1F0B">
        <w:t xml:space="preserve">/CMA.2 and </w:t>
      </w:r>
      <w:r w:rsidR="0024219D" w:rsidRPr="00FA71B1">
        <w:rPr>
          <w:i/>
        </w:rPr>
        <w:t>decides</w:t>
      </w:r>
      <w:r w:rsidR="0024219D" w:rsidRPr="009D1F0B">
        <w:t xml:space="preserve"> to transmit to the </w:t>
      </w:r>
      <w:r w:rsidR="0024219D">
        <w:t xml:space="preserve">Green Climate Fund </w:t>
      </w:r>
      <w:r w:rsidR="0024219D" w:rsidRPr="009D1F0B">
        <w:t xml:space="preserve">the guidance from the </w:t>
      </w:r>
      <w:r w:rsidR="0024219D" w:rsidRPr="003B58DF">
        <w:t>Conference of the Parties serving as the meeting of the Parties to the Paris Agreement</w:t>
      </w:r>
      <w:r w:rsidR="0024219D" w:rsidRPr="009D1F0B">
        <w:t xml:space="preserve"> </w:t>
      </w:r>
      <w:r w:rsidR="0024219D">
        <w:t>contained</w:t>
      </w:r>
      <w:r w:rsidR="0024219D" w:rsidRPr="009D1F0B">
        <w:t xml:space="preserve"> in paragraphs </w:t>
      </w:r>
      <w:r w:rsidR="0024219D">
        <w:t>15–21</w:t>
      </w:r>
      <w:r w:rsidR="0024219D" w:rsidRPr="009D1F0B">
        <w:t xml:space="preserve"> below</w:t>
      </w:r>
      <w:r w:rsidR="0024219D">
        <w:t xml:space="preserve">, in accordance with </w:t>
      </w:r>
      <w:r w:rsidR="0024219D" w:rsidRPr="00DC6696">
        <w:t>decision 1/CP.21, para</w:t>
      </w:r>
      <w:r w:rsidR="0024219D">
        <w:t>graph</w:t>
      </w:r>
      <w:r w:rsidR="0024219D" w:rsidRPr="00DC6696">
        <w:t xml:space="preserve"> 61</w:t>
      </w:r>
      <w:r w:rsidR="0024219D">
        <w:t>;</w:t>
      </w:r>
    </w:p>
    <w:p w14:paraId="74DDBA1A" w14:textId="782D5AE3" w:rsidR="0024219D" w:rsidRDefault="002424D3" w:rsidP="002424D3">
      <w:pPr>
        <w:tabs>
          <w:tab w:val="left" w:pos="568"/>
          <w:tab w:val="left" w:pos="1701"/>
        </w:tabs>
        <w:spacing w:after="120"/>
        <w:ind w:left="1134" w:right="1134"/>
        <w:jc w:val="both"/>
      </w:pPr>
      <w:r>
        <w:t>15.</w:t>
      </w:r>
      <w:r>
        <w:tab/>
      </w:r>
      <w:r w:rsidR="0024219D" w:rsidRPr="005D245B">
        <w:rPr>
          <w:i/>
        </w:rPr>
        <w:t>Welcomes</w:t>
      </w:r>
      <w:r w:rsidR="0024219D">
        <w:t xml:space="preserve"> the report of the Green Climate Fund to the Conference of the Parties at its twenty-fifth session and its addendum, including the list of actions taken by the Board in response to guidance received from the Conference of the Parties serving as the meeting of the Parties to the Paris Agreement;</w:t>
      </w:r>
    </w:p>
    <w:p w14:paraId="79395B3F" w14:textId="48EE472D" w:rsidR="0024219D" w:rsidRDefault="002424D3" w:rsidP="002424D3">
      <w:pPr>
        <w:tabs>
          <w:tab w:val="left" w:pos="568"/>
          <w:tab w:val="left" w:pos="1701"/>
        </w:tabs>
        <w:spacing w:after="120"/>
        <w:ind w:left="1134" w:right="1134"/>
        <w:jc w:val="both"/>
      </w:pPr>
      <w:r>
        <w:t>16.</w:t>
      </w:r>
      <w:r>
        <w:tab/>
      </w:r>
      <w:r w:rsidR="0024219D" w:rsidRPr="005D245B">
        <w:rPr>
          <w:i/>
        </w:rPr>
        <w:t>Also welcomes</w:t>
      </w:r>
      <w:r w:rsidR="0024219D">
        <w:t xml:space="preserve"> the Board’s decision</w:t>
      </w:r>
      <w:r w:rsidR="0024219D">
        <w:rPr>
          <w:rStyle w:val="FootnoteReference"/>
        </w:rPr>
        <w:footnoteReference w:id="20"/>
      </w:r>
      <w:r w:rsidR="0024219D">
        <w:t xml:space="preserve"> confirming that the current Green Climate Fund modalities enable support for the preparation and implementation of nationally determined contributions and adaptation-related elements of the Paris Agreement;</w:t>
      </w:r>
    </w:p>
    <w:p w14:paraId="286E7DFE" w14:textId="012D7BAD" w:rsidR="0024219D" w:rsidRDefault="002424D3" w:rsidP="002424D3">
      <w:pPr>
        <w:tabs>
          <w:tab w:val="left" w:pos="568"/>
          <w:tab w:val="left" w:pos="1701"/>
        </w:tabs>
        <w:spacing w:after="120"/>
        <w:ind w:left="1134" w:right="1134"/>
        <w:jc w:val="both"/>
      </w:pPr>
      <w:r>
        <w:t>17.</w:t>
      </w:r>
      <w:r>
        <w:tab/>
      </w:r>
      <w:r w:rsidR="0024219D" w:rsidRPr="005D245B">
        <w:rPr>
          <w:i/>
        </w:rPr>
        <w:t>Recalls</w:t>
      </w:r>
      <w:r w:rsidR="0024219D">
        <w:t xml:space="preserve"> Article 7, paragraph 1, of the Paris Agreement, in which Parties established a global goal on adaptation for enhancing adaptive capacity, strengthening resilience and reducing vulnerability to climate change;</w:t>
      </w:r>
    </w:p>
    <w:p w14:paraId="31E447B9" w14:textId="0ABC9F07" w:rsidR="0024219D" w:rsidRDefault="002424D3" w:rsidP="002424D3">
      <w:pPr>
        <w:tabs>
          <w:tab w:val="left" w:pos="568"/>
          <w:tab w:val="left" w:pos="1701"/>
        </w:tabs>
        <w:spacing w:after="120"/>
        <w:ind w:left="1134" w:right="1134"/>
        <w:jc w:val="both"/>
      </w:pPr>
      <w:r>
        <w:t>18.</w:t>
      </w:r>
      <w:r>
        <w:tab/>
      </w:r>
      <w:r w:rsidR="0024219D" w:rsidRPr="005D245B">
        <w:rPr>
          <w:i/>
        </w:rPr>
        <w:t>Takes note</w:t>
      </w:r>
      <w:r w:rsidR="0024219D">
        <w:t xml:space="preserve"> of the encouragement of the Conference of the Parties serving as the meeting of the Parties to the Paris Agreement</w:t>
      </w:r>
      <w:bookmarkStart w:id="14" w:name="_Hlk27260783"/>
      <w:r w:rsidR="0024219D">
        <w:rPr>
          <w:rStyle w:val="FootnoteReference"/>
        </w:rPr>
        <w:footnoteReference w:id="21"/>
      </w:r>
      <w:bookmarkEnd w:id="14"/>
      <w:r w:rsidR="0024219D">
        <w:t xml:space="preserve"> for the Green Climate Fund, among others, to continue channelling support to developing country Parties for the implementation of their adaptation plans and actions in accordance with the priorities and needs outlined in their adaptation communication and/or nationally determined contributions;</w:t>
      </w:r>
    </w:p>
    <w:p w14:paraId="1DA064DE" w14:textId="0341B4AA" w:rsidR="0024219D" w:rsidRDefault="002424D3" w:rsidP="002424D3">
      <w:pPr>
        <w:tabs>
          <w:tab w:val="left" w:pos="568"/>
          <w:tab w:val="left" w:pos="1701"/>
        </w:tabs>
        <w:spacing w:after="120"/>
        <w:ind w:left="1134" w:right="1134"/>
        <w:jc w:val="both"/>
      </w:pPr>
      <w:r>
        <w:t>19.</w:t>
      </w:r>
      <w:r>
        <w:tab/>
      </w:r>
      <w:r w:rsidR="0024219D" w:rsidRPr="005D245B">
        <w:rPr>
          <w:i/>
        </w:rPr>
        <w:t>Encourages</w:t>
      </w:r>
      <w:r w:rsidR="0024219D">
        <w:t xml:space="preserve"> the Green Climate Fund to continue to enhance its support for adaptation and requests the Green Climate Fund to:</w:t>
      </w:r>
    </w:p>
    <w:p w14:paraId="2D4A5844" w14:textId="030F7680" w:rsidR="0024219D" w:rsidRDefault="002424D3" w:rsidP="002424D3">
      <w:pPr>
        <w:tabs>
          <w:tab w:val="left" w:pos="1701"/>
          <w:tab w:val="left" w:pos="2269"/>
        </w:tabs>
        <w:spacing w:after="120"/>
        <w:ind w:left="1135" w:right="1134" w:firstLine="567"/>
        <w:jc w:val="both"/>
      </w:pPr>
      <w:r>
        <w:t>(a)</w:t>
      </w:r>
      <w:r>
        <w:tab/>
      </w:r>
      <w:r w:rsidR="0024219D">
        <w:t>Swiftly conclude its work on guidance on the approach and scope for providing support to adaptation activities;</w:t>
      </w:r>
      <w:r w:rsidR="0024219D">
        <w:rPr>
          <w:rStyle w:val="FootnoteReference"/>
        </w:rPr>
        <w:footnoteReference w:id="22"/>
      </w:r>
      <w:r w:rsidR="0024219D">
        <w:t xml:space="preserve"> </w:t>
      </w:r>
    </w:p>
    <w:p w14:paraId="1828E459" w14:textId="2E836D93" w:rsidR="0024219D" w:rsidRDefault="002424D3" w:rsidP="002424D3">
      <w:pPr>
        <w:tabs>
          <w:tab w:val="left" w:pos="1701"/>
          <w:tab w:val="left" w:pos="2269"/>
        </w:tabs>
        <w:spacing w:after="120"/>
        <w:ind w:left="1135" w:right="1134" w:firstLine="567"/>
        <w:jc w:val="both"/>
      </w:pPr>
      <w:r>
        <w:t>(b)</w:t>
      </w:r>
      <w:r>
        <w:tab/>
      </w:r>
      <w:r w:rsidR="0024219D">
        <w:t>Continue to enhance its support for the implementation of national adaptation plans, in line with Board decisions on enhancing readiness programming;</w:t>
      </w:r>
      <w:r w:rsidR="0024219D">
        <w:rPr>
          <w:rStyle w:val="FootnoteReference"/>
        </w:rPr>
        <w:footnoteReference w:id="23"/>
      </w:r>
      <w:r w:rsidR="0024219D">
        <w:t xml:space="preserve"> </w:t>
      </w:r>
    </w:p>
    <w:p w14:paraId="73CCF449" w14:textId="64EB35FF" w:rsidR="0024219D" w:rsidRDefault="002424D3" w:rsidP="002424D3">
      <w:pPr>
        <w:tabs>
          <w:tab w:val="left" w:pos="568"/>
          <w:tab w:val="left" w:pos="1701"/>
        </w:tabs>
        <w:spacing w:after="120"/>
        <w:ind w:left="1134" w:right="1134"/>
        <w:jc w:val="both"/>
      </w:pPr>
      <w:r>
        <w:t>20.</w:t>
      </w:r>
      <w:r>
        <w:tab/>
      </w:r>
      <w:r w:rsidR="0024219D">
        <w:rPr>
          <w:i/>
        </w:rPr>
        <w:t>Also e</w:t>
      </w:r>
      <w:r w:rsidR="0024219D" w:rsidRPr="005D245B">
        <w:rPr>
          <w:i/>
        </w:rPr>
        <w:t>ncourages</w:t>
      </w:r>
      <w:r w:rsidR="0024219D">
        <w:t xml:space="preserve"> the Green Climate Fund to continue to collaborate with the Climate Technology Centre and Network and the Technology Executive Committee with a view to both strengthening cooperative action on technology development and transfer at different stages of the technology cycle and achieving a balance between support for mitigation and support for adaptation;</w:t>
      </w:r>
    </w:p>
    <w:p w14:paraId="18C47913" w14:textId="19D03E1A" w:rsidR="0024219D" w:rsidRPr="00155EAD" w:rsidRDefault="002424D3" w:rsidP="002424D3">
      <w:pPr>
        <w:tabs>
          <w:tab w:val="left" w:pos="568"/>
          <w:tab w:val="left" w:pos="1701"/>
        </w:tabs>
        <w:spacing w:after="120"/>
        <w:ind w:left="1134" w:right="1134"/>
        <w:jc w:val="both"/>
        <w:rPr>
          <w:i/>
        </w:rPr>
      </w:pPr>
      <w:r w:rsidRPr="00155EAD">
        <w:t>21.</w:t>
      </w:r>
      <w:r w:rsidRPr="00155EAD">
        <w:tab/>
      </w:r>
      <w:r w:rsidR="0024219D" w:rsidRPr="00CD1A44">
        <w:rPr>
          <w:i/>
        </w:rPr>
        <w:t>Invites </w:t>
      </w:r>
      <w:r w:rsidR="0024219D" w:rsidRPr="006E7858">
        <w:t>the Board of the Green Climate Fund to continue providing financial resources for activities relevant to averting, minimizing and addressing loss and damage in developing country Parties, to the extent consistent with the existing investment</w:t>
      </w:r>
      <w:r w:rsidR="0024219D">
        <w:t xml:space="preserve">, </w:t>
      </w:r>
      <w:r w:rsidR="0024219D" w:rsidRPr="006E7858">
        <w:t>results framework and funding windows and structures</w:t>
      </w:r>
      <w:r w:rsidR="0024219D">
        <w:t xml:space="preserve"> of the Green Climate Fund</w:t>
      </w:r>
      <w:r w:rsidR="0024219D" w:rsidRPr="006E7858">
        <w:t>, and to facilitate efficient access in this regard, and in this context to take into account the strategic workstreams of the five-year rolling workplan of the Executive Committee</w:t>
      </w:r>
      <w:r w:rsidR="0024219D">
        <w:t xml:space="preserve"> of the Warsaw International Mechanism for Loss and Damage associated with Climate Change Impacts.</w:t>
      </w:r>
      <w:r w:rsidR="0024219D" w:rsidRPr="006E7858">
        <w:rPr>
          <w:rStyle w:val="FootnoteReference"/>
        </w:rPr>
        <w:footnoteReference w:id="24"/>
      </w:r>
    </w:p>
    <w:p w14:paraId="2F13D240" w14:textId="77777777" w:rsidR="00155EAD" w:rsidRDefault="00155EAD" w:rsidP="00155EAD">
      <w:pPr>
        <w:tabs>
          <w:tab w:val="left" w:pos="1701"/>
        </w:tabs>
        <w:spacing w:after="120"/>
        <w:ind w:left="1135" w:right="1134"/>
        <w:jc w:val="right"/>
        <w:rPr>
          <w:i/>
        </w:rPr>
        <w:sectPr w:rsidR="00155EAD" w:rsidSect="00C92FFD">
          <w:headerReference w:type="even" r:id="rId47"/>
          <w:headerReference w:type="default" r:id="rId48"/>
          <w:footerReference w:type="even" r:id="rId49"/>
          <w:footerReference w:type="default" r:id="rId50"/>
          <w:headerReference w:type="first" r:id="rId51"/>
          <w:footerReference w:type="first" r:id="rId52"/>
          <w:footnotePr>
            <w:numRestart w:val="eachSect"/>
          </w:footnotePr>
          <w:pgSz w:w="11906" w:h="16838" w:code="9"/>
          <w:pgMar w:top="1417" w:right="1134" w:bottom="1134" w:left="1134" w:header="850" w:footer="567" w:gutter="0"/>
          <w:cols w:space="708"/>
          <w:docGrid w:linePitch="360"/>
        </w:sectPr>
      </w:pPr>
      <w:r>
        <w:rPr>
          <w:i/>
        </w:rPr>
        <w:t>8</w:t>
      </w:r>
      <w:r w:rsidRPr="00155EAD">
        <w:rPr>
          <w:i/>
          <w:vertAlign w:val="superscript"/>
        </w:rPr>
        <w:t>th</w:t>
      </w:r>
      <w:r>
        <w:rPr>
          <w:i/>
        </w:rPr>
        <w:t xml:space="preserve"> plenary meeting</w:t>
      </w:r>
      <w:r>
        <w:rPr>
          <w:i/>
        </w:rPr>
        <w:br/>
        <w:t>15 December 2019</w:t>
      </w:r>
    </w:p>
    <w:p w14:paraId="3AB0FCAE" w14:textId="5576EAE3" w:rsidR="00C07533" w:rsidRDefault="00C07533" w:rsidP="00C07533">
      <w:pPr>
        <w:pStyle w:val="HChG"/>
      </w:pPr>
      <w:r>
        <w:tab/>
      </w:r>
      <w:r>
        <w:tab/>
      </w:r>
      <w:bookmarkStart w:id="15" w:name="D13"/>
      <w:r w:rsidRPr="00B30C63">
        <w:t xml:space="preserve">Decision </w:t>
      </w:r>
      <w:r w:rsidR="00B421AE">
        <w:t>13</w:t>
      </w:r>
      <w:r w:rsidRPr="00B30C63">
        <w:t>/CP.25</w:t>
      </w:r>
      <w:bookmarkEnd w:id="15"/>
    </w:p>
    <w:p w14:paraId="32DA83D7" w14:textId="77777777" w:rsidR="00C07533" w:rsidRPr="009B600A" w:rsidRDefault="00C07533" w:rsidP="00C07533">
      <w:pPr>
        <w:pStyle w:val="HChG"/>
      </w:pPr>
      <w:r>
        <w:tab/>
      </w:r>
      <w:r>
        <w:tab/>
        <w:t>Report of the Global Environment Facility to the Conference of the Parties and guidance to the Global Environment Facility</w:t>
      </w:r>
    </w:p>
    <w:p w14:paraId="0400A6C7" w14:textId="77777777" w:rsidR="00C07533" w:rsidRPr="00EB451A" w:rsidRDefault="00C07533" w:rsidP="00C07533">
      <w:pPr>
        <w:spacing w:before="120" w:after="120"/>
        <w:ind w:left="1134" w:right="1174" w:firstLine="567"/>
        <w:jc w:val="both"/>
        <w:rPr>
          <w:rFonts w:eastAsia="Times New Roman"/>
          <w:lang w:eastAsia="en-US"/>
        </w:rPr>
      </w:pPr>
      <w:r w:rsidRPr="00EB451A">
        <w:rPr>
          <w:rFonts w:eastAsia="Times New Roman"/>
          <w:i/>
          <w:lang w:eastAsia="en-US"/>
        </w:rPr>
        <w:t>The</w:t>
      </w:r>
      <w:r w:rsidRPr="00092B2E">
        <w:rPr>
          <w:rFonts w:eastAsia="Times New Roman"/>
          <w:i/>
          <w:lang w:eastAsia="en-US"/>
        </w:rPr>
        <w:t xml:space="preserve"> </w:t>
      </w:r>
      <w:r w:rsidRPr="00C567D6">
        <w:rPr>
          <w:i/>
        </w:rPr>
        <w:t>Conference</w:t>
      </w:r>
      <w:r w:rsidRPr="00EB451A">
        <w:rPr>
          <w:rFonts w:eastAsia="Times New Roman"/>
          <w:i/>
          <w:lang w:eastAsia="en-US"/>
        </w:rPr>
        <w:t xml:space="preserve"> of the Parties</w:t>
      </w:r>
      <w:r w:rsidRPr="00EB451A">
        <w:rPr>
          <w:rFonts w:eastAsia="Times New Roman"/>
          <w:lang w:eastAsia="en-US"/>
        </w:rPr>
        <w:t>,</w:t>
      </w:r>
    </w:p>
    <w:p w14:paraId="280AC157" w14:textId="49DF6270" w:rsidR="00C07533" w:rsidRPr="00EB451A" w:rsidRDefault="002424D3" w:rsidP="002424D3">
      <w:pPr>
        <w:pStyle w:val="RegSingleTxtG"/>
        <w:numPr>
          <w:ilvl w:val="0"/>
          <w:numId w:val="0"/>
        </w:numPr>
        <w:ind w:left="1134"/>
        <w:rPr>
          <w:lang w:eastAsia="en-US"/>
        </w:rPr>
      </w:pPr>
      <w:r w:rsidRPr="00EB451A">
        <w:rPr>
          <w:lang w:eastAsia="en-US"/>
        </w:rPr>
        <w:t>1.</w:t>
      </w:r>
      <w:r w:rsidRPr="00EB451A">
        <w:rPr>
          <w:lang w:eastAsia="en-US"/>
        </w:rPr>
        <w:tab/>
      </w:r>
      <w:r w:rsidR="00C07533" w:rsidRPr="00C07533">
        <w:rPr>
          <w:i/>
          <w:lang w:eastAsia="en-US"/>
        </w:rPr>
        <w:t xml:space="preserve">Welcomes </w:t>
      </w:r>
      <w:r w:rsidR="00C07533" w:rsidRPr="00EB451A">
        <w:t>the</w:t>
      </w:r>
      <w:r w:rsidR="00C07533" w:rsidRPr="00EB451A">
        <w:rPr>
          <w:lang w:eastAsia="en-US"/>
        </w:rPr>
        <w:t xml:space="preserve"> report of the </w:t>
      </w:r>
      <w:r w:rsidR="00C07533" w:rsidRPr="00EB451A">
        <w:t>Global</w:t>
      </w:r>
      <w:r w:rsidR="00C07533" w:rsidRPr="00EB451A">
        <w:rPr>
          <w:lang w:eastAsia="en-US"/>
        </w:rPr>
        <w:t xml:space="preserve"> Environment Facility to the Conference of the Parties at its twenty-fifth session,</w:t>
      </w:r>
      <w:r w:rsidR="00C07533" w:rsidRPr="00EB451A">
        <w:rPr>
          <w:rFonts w:eastAsia="MS Mincho"/>
          <w:sz w:val="18"/>
          <w:szCs w:val="18"/>
          <w:vertAlign w:val="superscript"/>
          <w:lang w:eastAsia="en-US"/>
        </w:rPr>
        <w:footnoteReference w:id="25"/>
      </w:r>
      <w:r w:rsidR="00C07533" w:rsidRPr="00EB451A">
        <w:rPr>
          <w:lang w:eastAsia="en-US"/>
        </w:rPr>
        <w:t xml:space="preserve"> including the responses of the Global Environment Facility to previous guidance from the Conference of the Parties; </w:t>
      </w:r>
    </w:p>
    <w:p w14:paraId="3FA7DE0E" w14:textId="142E28C9" w:rsidR="00C07533" w:rsidRDefault="002424D3" w:rsidP="002424D3">
      <w:pPr>
        <w:pStyle w:val="RegSingleTxtG"/>
        <w:numPr>
          <w:ilvl w:val="0"/>
          <w:numId w:val="0"/>
        </w:numPr>
        <w:ind w:left="1134"/>
        <w:rPr>
          <w:lang w:eastAsia="en-US"/>
        </w:rPr>
      </w:pPr>
      <w:r>
        <w:rPr>
          <w:lang w:eastAsia="en-US"/>
        </w:rPr>
        <w:t>2.</w:t>
      </w:r>
      <w:r>
        <w:rPr>
          <w:lang w:eastAsia="en-US"/>
        </w:rPr>
        <w:tab/>
      </w:r>
      <w:r w:rsidR="00C07533" w:rsidRPr="00EB451A">
        <w:rPr>
          <w:i/>
          <w:lang w:eastAsia="en-US"/>
        </w:rPr>
        <w:t xml:space="preserve">Also welcomes </w:t>
      </w:r>
      <w:r w:rsidR="00C07533" w:rsidRPr="00EB451A">
        <w:rPr>
          <w:lang w:eastAsia="en-US"/>
        </w:rPr>
        <w:t>the</w:t>
      </w:r>
      <w:r w:rsidR="00C07533" w:rsidRPr="00EB451A">
        <w:rPr>
          <w:i/>
          <w:lang w:eastAsia="en-US"/>
        </w:rPr>
        <w:t xml:space="preserve"> </w:t>
      </w:r>
      <w:r w:rsidR="00C07533" w:rsidRPr="00EB451A">
        <w:rPr>
          <w:lang w:eastAsia="en-US"/>
        </w:rPr>
        <w:t xml:space="preserve">work undertaken by the Global Environment Facility during its reporting period (1 July 2018 to 30 June 2019), including: </w:t>
      </w:r>
    </w:p>
    <w:p w14:paraId="25FE8273" w14:textId="3B10F25A" w:rsidR="00C07533" w:rsidRDefault="002424D3" w:rsidP="002424D3">
      <w:pPr>
        <w:pStyle w:val="RegSingleTxtG2"/>
        <w:numPr>
          <w:ilvl w:val="0"/>
          <w:numId w:val="0"/>
        </w:numPr>
        <w:ind w:left="1134" w:firstLine="567"/>
        <w:rPr>
          <w:lang w:eastAsia="en-US"/>
        </w:rPr>
      </w:pPr>
      <w:r>
        <w:rPr>
          <w:szCs w:val="28"/>
          <w:lang w:eastAsia="en-US"/>
        </w:rPr>
        <w:t>(a)</w:t>
      </w:r>
      <w:r>
        <w:rPr>
          <w:szCs w:val="28"/>
          <w:lang w:eastAsia="en-US"/>
        </w:rPr>
        <w:tab/>
      </w:r>
      <w:r w:rsidR="00C07533" w:rsidRPr="00EB451A">
        <w:rPr>
          <w:lang w:eastAsia="en-US"/>
        </w:rPr>
        <w:t xml:space="preserve">The approval of climate change projects and programmes approved during the reporting period under the Global Environment Facility Trust Fund, the Least Developed Countries Fund and the Special Climate Change Fund; </w:t>
      </w:r>
    </w:p>
    <w:p w14:paraId="2FDF3492" w14:textId="1F23CA34" w:rsidR="00C07533" w:rsidRPr="0009457C" w:rsidRDefault="002424D3" w:rsidP="002424D3">
      <w:pPr>
        <w:pStyle w:val="RegSingleTxtG2"/>
        <w:numPr>
          <w:ilvl w:val="0"/>
          <w:numId w:val="0"/>
        </w:numPr>
        <w:ind w:left="1134" w:firstLine="567"/>
        <w:rPr>
          <w:lang w:eastAsia="en-US"/>
        </w:rPr>
      </w:pPr>
      <w:r w:rsidRPr="0009457C">
        <w:rPr>
          <w:szCs w:val="28"/>
          <w:lang w:eastAsia="en-US"/>
        </w:rPr>
        <w:t>(b)</w:t>
      </w:r>
      <w:r w:rsidRPr="0009457C">
        <w:rPr>
          <w:szCs w:val="28"/>
          <w:lang w:eastAsia="en-US"/>
        </w:rPr>
        <w:tab/>
      </w:r>
      <w:r w:rsidR="00C07533" w:rsidRPr="0009457C">
        <w:rPr>
          <w:lang w:eastAsia="en-US"/>
        </w:rPr>
        <w:t>The approval of minimum requirements for Global Environment Facility Trust Fund agencies on anti-money-laundering and countering the financing of terrorism;</w:t>
      </w:r>
      <w:r w:rsidR="00C07533" w:rsidRPr="00EB451A">
        <w:rPr>
          <w:sz w:val="18"/>
          <w:vertAlign w:val="superscript"/>
          <w:lang w:eastAsia="en-US"/>
        </w:rPr>
        <w:footnoteReference w:id="26"/>
      </w:r>
      <w:r w:rsidR="00C07533" w:rsidRPr="0009457C">
        <w:rPr>
          <w:lang w:eastAsia="en-US"/>
        </w:rPr>
        <w:t xml:space="preserve"> </w:t>
      </w:r>
    </w:p>
    <w:p w14:paraId="20F080C2" w14:textId="762907F9" w:rsidR="00C07533" w:rsidRDefault="002424D3" w:rsidP="002424D3">
      <w:pPr>
        <w:pStyle w:val="RegSingleTxtG2"/>
        <w:numPr>
          <w:ilvl w:val="0"/>
          <w:numId w:val="0"/>
        </w:numPr>
        <w:ind w:left="1134" w:firstLine="567"/>
        <w:rPr>
          <w:lang w:eastAsia="en-US"/>
        </w:rPr>
      </w:pPr>
      <w:r>
        <w:rPr>
          <w:szCs w:val="28"/>
          <w:lang w:eastAsia="en-US"/>
        </w:rPr>
        <w:t>(c)</w:t>
      </w:r>
      <w:r>
        <w:rPr>
          <w:szCs w:val="28"/>
          <w:lang w:eastAsia="en-US"/>
        </w:rPr>
        <w:tab/>
      </w:r>
      <w:r w:rsidR="00C07533" w:rsidRPr="00EB451A">
        <w:rPr>
          <w:lang w:eastAsia="en-US"/>
        </w:rPr>
        <w:t>The composition of the Private Sector Advisory Group;</w:t>
      </w:r>
      <w:r w:rsidR="00C07533" w:rsidRPr="00EB451A">
        <w:rPr>
          <w:sz w:val="18"/>
          <w:vertAlign w:val="superscript"/>
          <w:lang w:eastAsia="en-US"/>
        </w:rPr>
        <w:footnoteReference w:id="27"/>
      </w:r>
      <w:r w:rsidR="00C07533" w:rsidRPr="00EB451A">
        <w:rPr>
          <w:lang w:eastAsia="en-US"/>
        </w:rPr>
        <w:t xml:space="preserve"> </w:t>
      </w:r>
    </w:p>
    <w:p w14:paraId="45886366" w14:textId="633EAABD" w:rsidR="00C07533" w:rsidRDefault="002424D3" w:rsidP="002424D3">
      <w:pPr>
        <w:pStyle w:val="RegSingleTxtG2"/>
        <w:numPr>
          <w:ilvl w:val="0"/>
          <w:numId w:val="0"/>
        </w:numPr>
        <w:ind w:left="1134" w:firstLine="567"/>
        <w:rPr>
          <w:lang w:eastAsia="en-US"/>
        </w:rPr>
      </w:pPr>
      <w:r>
        <w:rPr>
          <w:szCs w:val="28"/>
          <w:lang w:eastAsia="en-US"/>
        </w:rPr>
        <w:t>(d)</w:t>
      </w:r>
      <w:r>
        <w:rPr>
          <w:szCs w:val="28"/>
          <w:lang w:eastAsia="en-US"/>
        </w:rPr>
        <w:tab/>
      </w:r>
      <w:r w:rsidR="00C07533" w:rsidRPr="00EB451A">
        <w:t>The implementation of the gender equality policy</w:t>
      </w:r>
      <w:r w:rsidR="00C07533" w:rsidRPr="00EB451A">
        <w:rPr>
          <w:sz w:val="18"/>
          <w:vertAlign w:val="superscript"/>
        </w:rPr>
        <w:footnoteReference w:id="28"/>
      </w:r>
      <w:r w:rsidR="00C07533" w:rsidRPr="00EB451A">
        <w:t xml:space="preserve"> and the approval of the gender implementation strategy;</w:t>
      </w:r>
      <w:r w:rsidR="00C07533" w:rsidRPr="00EB451A">
        <w:rPr>
          <w:sz w:val="18"/>
          <w:vertAlign w:val="superscript"/>
        </w:rPr>
        <w:footnoteReference w:id="29"/>
      </w:r>
    </w:p>
    <w:p w14:paraId="1C5A207D" w14:textId="71B90D43" w:rsidR="00C07533" w:rsidRPr="00EB451A" w:rsidRDefault="002424D3" w:rsidP="002424D3">
      <w:pPr>
        <w:pStyle w:val="RegSingleTxtG2"/>
        <w:numPr>
          <w:ilvl w:val="0"/>
          <w:numId w:val="0"/>
        </w:numPr>
        <w:ind w:left="1134" w:firstLine="567"/>
        <w:rPr>
          <w:lang w:eastAsia="en-US"/>
        </w:rPr>
      </w:pPr>
      <w:r w:rsidRPr="00EB451A">
        <w:rPr>
          <w:szCs w:val="28"/>
          <w:lang w:eastAsia="en-US"/>
        </w:rPr>
        <w:t>(e)</w:t>
      </w:r>
      <w:r w:rsidRPr="00EB451A">
        <w:rPr>
          <w:szCs w:val="28"/>
          <w:lang w:eastAsia="en-US"/>
        </w:rPr>
        <w:tab/>
      </w:r>
      <w:r w:rsidR="00C07533" w:rsidRPr="0009457C">
        <w:rPr>
          <w:lang w:val="en-US"/>
        </w:rPr>
        <w:t>The approval of the policy on monitoring</w:t>
      </w:r>
      <w:r w:rsidR="00C07533" w:rsidRPr="00EB451A">
        <w:rPr>
          <w:sz w:val="18"/>
          <w:vertAlign w:val="superscript"/>
          <w:lang w:val="en-US"/>
        </w:rPr>
        <w:footnoteReference w:id="30"/>
      </w:r>
      <w:r w:rsidR="00C07533" w:rsidRPr="0009457C">
        <w:rPr>
          <w:lang w:val="en-US"/>
        </w:rPr>
        <w:t xml:space="preserve"> and the evaluation policy;</w:t>
      </w:r>
      <w:r w:rsidR="00C07533" w:rsidRPr="00EB451A">
        <w:rPr>
          <w:sz w:val="18"/>
          <w:vertAlign w:val="superscript"/>
          <w:lang w:val="en-US"/>
        </w:rPr>
        <w:footnoteReference w:id="31"/>
      </w:r>
      <w:r w:rsidR="00C07533" w:rsidRPr="0009457C">
        <w:rPr>
          <w:lang w:val="en-US"/>
        </w:rPr>
        <w:t xml:space="preserve"> </w:t>
      </w:r>
    </w:p>
    <w:p w14:paraId="489D2C7B" w14:textId="26A06114" w:rsidR="00C07533" w:rsidRPr="00EB451A" w:rsidRDefault="002424D3" w:rsidP="002424D3">
      <w:pPr>
        <w:pStyle w:val="RegSingleTxtG"/>
        <w:numPr>
          <w:ilvl w:val="0"/>
          <w:numId w:val="0"/>
        </w:numPr>
        <w:ind w:left="1134"/>
        <w:rPr>
          <w:lang w:eastAsia="en-US"/>
        </w:rPr>
      </w:pPr>
      <w:r w:rsidRPr="00EB451A">
        <w:rPr>
          <w:lang w:eastAsia="en-US"/>
        </w:rPr>
        <w:t>3.</w:t>
      </w:r>
      <w:r w:rsidRPr="00EB451A">
        <w:rPr>
          <w:lang w:eastAsia="en-US"/>
        </w:rPr>
        <w:tab/>
      </w:r>
      <w:r w:rsidR="00C07533" w:rsidRPr="00EB451A">
        <w:rPr>
          <w:i/>
          <w:lang w:eastAsia="en-US"/>
        </w:rPr>
        <w:t xml:space="preserve">Welcomes with appreciation </w:t>
      </w:r>
      <w:r w:rsidR="00C07533" w:rsidRPr="00EB451A">
        <w:rPr>
          <w:lang w:eastAsia="en-US"/>
        </w:rPr>
        <w:t>the contributions made by developed country Parties to the Least Developed Countries Fund during the reporting period, amounting to USD 184 million,</w:t>
      </w:r>
      <w:r w:rsidR="00C07533" w:rsidRPr="00EB451A">
        <w:rPr>
          <w:sz w:val="18"/>
          <w:vertAlign w:val="superscript"/>
          <w:lang w:eastAsia="en-US"/>
        </w:rPr>
        <w:footnoteReference w:id="32"/>
      </w:r>
      <w:r w:rsidR="00C07533" w:rsidRPr="00EB451A">
        <w:rPr>
          <w:lang w:eastAsia="en-US"/>
        </w:rPr>
        <w:t xml:space="preserve"> and the contribution</w:t>
      </w:r>
      <w:r w:rsidR="00C07533" w:rsidRPr="00EB451A">
        <w:rPr>
          <w:i/>
          <w:lang w:eastAsia="en-US"/>
        </w:rPr>
        <w:t xml:space="preserve"> </w:t>
      </w:r>
      <w:r w:rsidR="00C07533" w:rsidRPr="00EB451A">
        <w:rPr>
          <w:lang w:eastAsia="en-US"/>
        </w:rPr>
        <w:t>made by Switzerland to the Special Climate Change Fund during the reporting period amounting to USD 3.3 million</w:t>
      </w:r>
      <w:r w:rsidR="00943D40">
        <w:rPr>
          <w:lang w:eastAsia="en-US"/>
        </w:rPr>
        <w:t>,</w:t>
      </w:r>
      <w:r w:rsidR="00C07533" w:rsidRPr="00EB451A">
        <w:rPr>
          <w:lang w:eastAsia="en-US"/>
        </w:rPr>
        <w:t xml:space="preserve"> and </w:t>
      </w:r>
      <w:r w:rsidR="00C07533" w:rsidRPr="00EB451A">
        <w:rPr>
          <w:i/>
          <w:szCs w:val="18"/>
          <w:lang w:val="en-US"/>
        </w:rPr>
        <w:t>encourages</w:t>
      </w:r>
      <w:r w:rsidR="00C07533" w:rsidRPr="00EB451A">
        <w:rPr>
          <w:szCs w:val="18"/>
          <w:lang w:val="en-US"/>
        </w:rPr>
        <w:t xml:space="preserve"> additional voluntary financial contributions to these funds to provide support for adaptation;</w:t>
      </w:r>
      <w:r w:rsidR="00C07533" w:rsidRPr="00EB451A">
        <w:rPr>
          <w:lang w:eastAsia="en-US"/>
        </w:rPr>
        <w:t xml:space="preserve"> </w:t>
      </w:r>
    </w:p>
    <w:p w14:paraId="50C0590D" w14:textId="57139DFA" w:rsidR="00C07533" w:rsidRPr="00EB451A" w:rsidRDefault="002424D3" w:rsidP="002424D3">
      <w:pPr>
        <w:pStyle w:val="RegSingleTxtG"/>
        <w:numPr>
          <w:ilvl w:val="0"/>
          <w:numId w:val="0"/>
        </w:numPr>
        <w:ind w:left="1134"/>
        <w:rPr>
          <w:lang w:eastAsia="en-US"/>
        </w:rPr>
      </w:pPr>
      <w:r w:rsidRPr="00EB451A">
        <w:rPr>
          <w:lang w:eastAsia="en-US"/>
        </w:rPr>
        <w:t>4.</w:t>
      </w:r>
      <w:r w:rsidRPr="00EB451A">
        <w:rPr>
          <w:lang w:eastAsia="en-US"/>
        </w:rPr>
        <w:tab/>
      </w:r>
      <w:r w:rsidR="00C07533" w:rsidRPr="00EB451A">
        <w:rPr>
          <w:i/>
          <w:lang w:eastAsia="en-US"/>
        </w:rPr>
        <w:t>Invites</w:t>
      </w:r>
      <w:r w:rsidR="00C07533" w:rsidRPr="00EB451A">
        <w:rPr>
          <w:lang w:eastAsia="en-US"/>
        </w:rPr>
        <w:t xml:space="preserve"> the Global Environment Facility to continue its efforts to minimize the time between the approval of project concepts, the development and approval of the related projects, and the disbursement of funds by its implementing/executing agencies to the recipient countries of those projects;</w:t>
      </w:r>
    </w:p>
    <w:p w14:paraId="7E2536EA" w14:textId="17A2AEAB" w:rsidR="00C07533" w:rsidRPr="00EB451A" w:rsidRDefault="002424D3" w:rsidP="002424D3">
      <w:pPr>
        <w:pStyle w:val="RegSingleTxtG"/>
        <w:numPr>
          <w:ilvl w:val="0"/>
          <w:numId w:val="0"/>
        </w:numPr>
        <w:ind w:left="1134"/>
        <w:rPr>
          <w:lang w:eastAsia="en-US"/>
        </w:rPr>
      </w:pPr>
      <w:r w:rsidRPr="00EB451A">
        <w:rPr>
          <w:lang w:eastAsia="en-US"/>
        </w:rPr>
        <w:t>5.</w:t>
      </w:r>
      <w:r w:rsidRPr="00EB451A">
        <w:rPr>
          <w:lang w:eastAsia="en-US"/>
        </w:rPr>
        <w:tab/>
      </w:r>
      <w:r w:rsidR="00C07533" w:rsidRPr="00EB451A">
        <w:rPr>
          <w:i/>
          <w:lang w:eastAsia="en-US"/>
        </w:rPr>
        <w:t>Urges</w:t>
      </w:r>
      <w:r w:rsidR="00C07533" w:rsidRPr="00EB451A">
        <w:rPr>
          <w:lang w:eastAsia="en-US"/>
        </w:rPr>
        <w:t xml:space="preserve"> the Global Environment Facility to continue to report to the Conference of the Parties any change or update to the eligibility criteria for accessing the Global Environment Facility resources, including the System for Transparent Allocation of Resources country allocation, in its future reports to the Conference of the Parties;</w:t>
      </w:r>
    </w:p>
    <w:p w14:paraId="74B89E20" w14:textId="5FFD6899" w:rsidR="00C07533" w:rsidRPr="00EB451A" w:rsidRDefault="002424D3" w:rsidP="002424D3">
      <w:pPr>
        <w:pStyle w:val="RegSingleTxtG"/>
        <w:numPr>
          <w:ilvl w:val="0"/>
          <w:numId w:val="0"/>
        </w:numPr>
        <w:ind w:left="1134"/>
        <w:rPr>
          <w:lang w:eastAsia="en-US"/>
        </w:rPr>
      </w:pPr>
      <w:r w:rsidRPr="00EB451A">
        <w:rPr>
          <w:lang w:eastAsia="en-US"/>
        </w:rPr>
        <w:t>6.</w:t>
      </w:r>
      <w:r w:rsidRPr="00EB451A">
        <w:rPr>
          <w:lang w:eastAsia="en-US"/>
        </w:rPr>
        <w:tab/>
      </w:r>
      <w:r w:rsidR="00C07533" w:rsidRPr="00EB451A">
        <w:rPr>
          <w:i/>
        </w:rPr>
        <w:t>Encourages</w:t>
      </w:r>
      <w:r w:rsidR="00C07533" w:rsidRPr="00EB451A">
        <w:t xml:space="preserve"> the Global Environment Facility, as part of the overall performance study of its seventh replenishment, to analyse any challenges faced and lessons learned by the Global Environment Facility and its implementing agencies in applying the updated policy on co-financing of the Global Environment Facility and </w:t>
      </w:r>
      <w:r w:rsidR="00EB6EAA">
        <w:t xml:space="preserve">to </w:t>
      </w:r>
      <w:r w:rsidR="00C07533" w:rsidRPr="00EB451A">
        <w:t>report back to the Conference of the Parties on the outcomes of the study;</w:t>
      </w:r>
    </w:p>
    <w:p w14:paraId="699719D9" w14:textId="442524B1" w:rsidR="00C07533" w:rsidRPr="00EB451A" w:rsidRDefault="002424D3" w:rsidP="002424D3">
      <w:pPr>
        <w:pStyle w:val="RegSingleTxtG"/>
        <w:numPr>
          <w:ilvl w:val="0"/>
          <w:numId w:val="0"/>
        </w:numPr>
        <w:ind w:left="1134"/>
      </w:pPr>
      <w:r w:rsidRPr="00EB451A">
        <w:t>7.</w:t>
      </w:r>
      <w:r w:rsidRPr="00EB451A">
        <w:tab/>
      </w:r>
      <w:r w:rsidR="00C07533" w:rsidRPr="00EB451A">
        <w:rPr>
          <w:i/>
          <w:lang w:val="en-US" w:eastAsia="en-GB"/>
        </w:rPr>
        <w:t>Also encourages</w:t>
      </w:r>
      <w:r w:rsidR="00C07533" w:rsidRPr="00EB451A">
        <w:rPr>
          <w:lang w:val="en-US" w:eastAsia="en-GB"/>
        </w:rPr>
        <w:t xml:space="preserve"> the Global Environment Facility, in collaboration with the Global Environment Facility country focal points, to promote the use of technology needs assessments to facilitate the financing and implementation of technology actions prioritized by countries in their technology needs assessments, within the scope of its mandate and operational modalities; </w:t>
      </w:r>
    </w:p>
    <w:p w14:paraId="64C78D25" w14:textId="72EE89B0" w:rsidR="00C07533" w:rsidRPr="00EB451A" w:rsidRDefault="002424D3" w:rsidP="002424D3">
      <w:pPr>
        <w:pStyle w:val="RegSingleTxtG"/>
        <w:numPr>
          <w:ilvl w:val="0"/>
          <w:numId w:val="0"/>
        </w:numPr>
        <w:ind w:left="1134"/>
        <w:rPr>
          <w:szCs w:val="18"/>
        </w:rPr>
      </w:pPr>
      <w:r w:rsidRPr="00EB451A">
        <w:rPr>
          <w:szCs w:val="18"/>
        </w:rPr>
        <w:t>8.</w:t>
      </w:r>
      <w:r w:rsidRPr="00EB451A">
        <w:rPr>
          <w:szCs w:val="18"/>
        </w:rPr>
        <w:tab/>
      </w:r>
      <w:r w:rsidR="00C07533" w:rsidRPr="00EB451A">
        <w:rPr>
          <w:i/>
        </w:rPr>
        <w:t>Invites</w:t>
      </w:r>
      <w:r w:rsidR="00C07533" w:rsidRPr="00EB451A">
        <w:t xml:space="preserve"> the Global Environment Facility to consider: </w:t>
      </w:r>
    </w:p>
    <w:p w14:paraId="567EB32F" w14:textId="52466DC9" w:rsidR="00C07533" w:rsidRPr="00EB451A" w:rsidRDefault="002424D3" w:rsidP="002424D3">
      <w:pPr>
        <w:pStyle w:val="RegSingleTxtG2"/>
        <w:numPr>
          <w:ilvl w:val="0"/>
          <w:numId w:val="0"/>
        </w:numPr>
        <w:ind w:left="1134" w:firstLine="567"/>
        <w:rPr>
          <w:szCs w:val="18"/>
        </w:rPr>
      </w:pPr>
      <w:r w:rsidRPr="00EB451A">
        <w:rPr>
          <w:szCs w:val="28"/>
        </w:rPr>
        <w:t>(a)</w:t>
      </w:r>
      <w:r w:rsidRPr="00EB451A">
        <w:rPr>
          <w:szCs w:val="28"/>
        </w:rPr>
        <w:tab/>
      </w:r>
      <w:r w:rsidR="00C07533" w:rsidRPr="00EB451A">
        <w:t>Exploring ways to include in the fourth phase of the global project on technology needs assessments the least developed countries and small island developing States that have never undertaken a technology needs assessment and have not been included in the fourth phase;</w:t>
      </w:r>
    </w:p>
    <w:p w14:paraId="55ACFDBF" w14:textId="0C84809B" w:rsidR="00C07533" w:rsidRPr="00EB451A" w:rsidRDefault="002424D3" w:rsidP="002424D3">
      <w:pPr>
        <w:pStyle w:val="RegSingleTxtG2"/>
        <w:numPr>
          <w:ilvl w:val="0"/>
          <w:numId w:val="0"/>
        </w:numPr>
        <w:ind w:left="1134" w:firstLine="567"/>
        <w:rPr>
          <w:szCs w:val="18"/>
        </w:rPr>
      </w:pPr>
      <w:r w:rsidRPr="00EB451A">
        <w:rPr>
          <w:szCs w:val="28"/>
        </w:rPr>
        <w:t>(b)</w:t>
      </w:r>
      <w:r w:rsidRPr="00EB451A">
        <w:rPr>
          <w:szCs w:val="28"/>
        </w:rPr>
        <w:tab/>
      </w:r>
      <w:r w:rsidR="00C07533" w:rsidRPr="00EB451A">
        <w:t>Relevant recommendations contained in the report prepared by the Technology Executive Committee on the updated evaluation of the Poznan strategic programme on technology transfer,</w:t>
      </w:r>
      <w:r w:rsidR="00C07533" w:rsidRPr="00EB451A">
        <w:rPr>
          <w:sz w:val="18"/>
          <w:vertAlign w:val="superscript"/>
        </w:rPr>
        <w:footnoteReference w:id="33"/>
      </w:r>
      <w:r w:rsidR="00C07533" w:rsidRPr="00EB451A">
        <w:t xml:space="preserve"> within the scope of its mandate and its operational modalities</w:t>
      </w:r>
      <w:r w:rsidR="00F67DFC">
        <w:t>;</w:t>
      </w:r>
    </w:p>
    <w:p w14:paraId="688F62E6" w14:textId="25B78560" w:rsidR="00C07533" w:rsidRPr="00EB451A" w:rsidRDefault="002424D3" w:rsidP="002424D3">
      <w:pPr>
        <w:pStyle w:val="RegSingleTxtG"/>
        <w:numPr>
          <w:ilvl w:val="0"/>
          <w:numId w:val="0"/>
        </w:numPr>
        <w:ind w:left="1134"/>
        <w:rPr>
          <w:szCs w:val="18"/>
        </w:rPr>
      </w:pPr>
      <w:r w:rsidRPr="00EB451A">
        <w:rPr>
          <w:szCs w:val="18"/>
        </w:rPr>
        <w:t>9.</w:t>
      </w:r>
      <w:r w:rsidRPr="00EB451A">
        <w:rPr>
          <w:szCs w:val="18"/>
        </w:rPr>
        <w:tab/>
      </w:r>
      <w:r w:rsidR="00C07533">
        <w:rPr>
          <w:i/>
        </w:rPr>
        <w:t xml:space="preserve">Also </w:t>
      </w:r>
      <w:r w:rsidR="00F67DFC">
        <w:rPr>
          <w:i/>
        </w:rPr>
        <w:t>i</w:t>
      </w:r>
      <w:r w:rsidR="00C07533" w:rsidRPr="00EB451A">
        <w:rPr>
          <w:i/>
        </w:rPr>
        <w:t>nvites</w:t>
      </w:r>
      <w:r w:rsidR="00C07533" w:rsidRPr="00EB451A">
        <w:t xml:space="preserve"> the Global Environment Facility, in accordance with its existing mandates and in collaboration with the Green Climate Fund, to report on lessons learned in supporting developing countries in collecting and managing information and data on adaptation;</w:t>
      </w:r>
    </w:p>
    <w:p w14:paraId="5FD1FB94" w14:textId="29045181" w:rsidR="00C07533" w:rsidRPr="00EB451A" w:rsidRDefault="002424D3" w:rsidP="002424D3">
      <w:pPr>
        <w:pStyle w:val="RegSingleTxtG"/>
        <w:numPr>
          <w:ilvl w:val="0"/>
          <w:numId w:val="0"/>
        </w:numPr>
        <w:ind w:left="1134"/>
      </w:pPr>
      <w:r w:rsidRPr="00EB451A">
        <w:t>10.</w:t>
      </w:r>
      <w:r w:rsidRPr="00EB451A">
        <w:tab/>
      </w:r>
      <w:r w:rsidR="00C07533" w:rsidRPr="00EB451A">
        <w:rPr>
          <w:i/>
        </w:rPr>
        <w:t>Requests</w:t>
      </w:r>
      <w:r w:rsidR="00C07533" w:rsidRPr="00EB451A">
        <w:t xml:space="preserve"> the Global Environment Facility, in administering the Least Developed Countries Fund, to continue facilitating the smooth transition of countries graduating from least developed country status by continuing to provide approved funding through the Least Developed Countries Fund until the completion of projects approved by the Least Developed Countries Fund Council prior to those countries’ graduation from least developed country status;</w:t>
      </w:r>
    </w:p>
    <w:p w14:paraId="15AD376F" w14:textId="54966743" w:rsidR="00C07533" w:rsidRPr="00EB451A" w:rsidRDefault="002424D3" w:rsidP="002424D3">
      <w:pPr>
        <w:pStyle w:val="RegSingleTxtG"/>
        <w:numPr>
          <w:ilvl w:val="0"/>
          <w:numId w:val="0"/>
        </w:numPr>
        <w:ind w:left="1134"/>
      </w:pPr>
      <w:r w:rsidRPr="00EB451A">
        <w:t>11.</w:t>
      </w:r>
      <w:r w:rsidRPr="00EB451A">
        <w:tab/>
      </w:r>
      <w:r w:rsidR="00C07533" w:rsidRPr="00EB451A">
        <w:rPr>
          <w:i/>
          <w:szCs w:val="18"/>
        </w:rPr>
        <w:t>Takes</w:t>
      </w:r>
      <w:r w:rsidR="00C07533" w:rsidRPr="00EB451A">
        <w:rPr>
          <w:i/>
        </w:rPr>
        <w:t xml:space="preserve"> note</w:t>
      </w:r>
      <w:r w:rsidR="00C07533" w:rsidRPr="00EB451A">
        <w:t xml:space="preserve"> of decision </w:t>
      </w:r>
      <w:r w:rsidR="003C0934">
        <w:t>7</w:t>
      </w:r>
      <w:r w:rsidR="00C07533" w:rsidRPr="00EB451A">
        <w:t xml:space="preserve">/CMA.2 and </w:t>
      </w:r>
      <w:r w:rsidR="00C07533" w:rsidRPr="00EB451A">
        <w:rPr>
          <w:i/>
        </w:rPr>
        <w:t>decides</w:t>
      </w:r>
      <w:r w:rsidR="00C07533" w:rsidRPr="00EB451A">
        <w:t xml:space="preserve"> to transmit to the Global Environment Facility the guidance from the Conference of the Parties serving as the meeting of the Parties to the Paris Agreement </w:t>
      </w:r>
      <w:r w:rsidR="00364B1A">
        <w:t>contained</w:t>
      </w:r>
      <w:r w:rsidR="00C07533" w:rsidRPr="00EB451A">
        <w:t xml:space="preserve"> in paragraphs 12–13 below, in accordance with decision 1/CP.21, paragraph 61;</w:t>
      </w:r>
    </w:p>
    <w:p w14:paraId="3134488F" w14:textId="5A96570D" w:rsidR="00C07533" w:rsidRPr="00EB451A" w:rsidRDefault="002424D3" w:rsidP="002424D3">
      <w:pPr>
        <w:pStyle w:val="RegSingleTxtG"/>
        <w:numPr>
          <w:ilvl w:val="0"/>
          <w:numId w:val="0"/>
        </w:numPr>
        <w:ind w:left="1134"/>
      </w:pPr>
      <w:r w:rsidRPr="00EB451A">
        <w:t>12.</w:t>
      </w:r>
      <w:r w:rsidRPr="00EB451A">
        <w:tab/>
      </w:r>
      <w:r w:rsidR="00C07533" w:rsidRPr="00EB451A">
        <w:rPr>
          <w:i/>
          <w:szCs w:val="18"/>
        </w:rPr>
        <w:t>Welcomes</w:t>
      </w:r>
      <w:r w:rsidR="00C07533" w:rsidRPr="00EB451A">
        <w:t xml:space="preserve"> the report of the Global Environment Facility to the Conference of the Parties at its twenty-fifth session,</w:t>
      </w:r>
      <w:r w:rsidR="00C07533" w:rsidRPr="00EB451A">
        <w:rPr>
          <w:sz w:val="18"/>
          <w:vertAlign w:val="superscript"/>
        </w:rPr>
        <w:footnoteReference w:id="34"/>
      </w:r>
      <w:r w:rsidR="00C07533" w:rsidRPr="00EB451A">
        <w:t xml:space="preserve"> including the list of actions taken by the Global Environment Facility in response to </w:t>
      </w:r>
      <w:r w:rsidR="002B73A7">
        <w:t xml:space="preserve">the </w:t>
      </w:r>
      <w:r w:rsidR="00C07533" w:rsidRPr="00EB451A">
        <w:t>guidance received from the Conference of the Parties serving as the meeting of the Parties to the Paris Agreement;</w:t>
      </w:r>
    </w:p>
    <w:p w14:paraId="3DD0685F" w14:textId="7A5644B2" w:rsidR="00C07533" w:rsidRPr="00EB451A" w:rsidRDefault="002424D3" w:rsidP="002424D3">
      <w:pPr>
        <w:pStyle w:val="RegSingleTxtG"/>
        <w:numPr>
          <w:ilvl w:val="0"/>
          <w:numId w:val="0"/>
        </w:numPr>
        <w:ind w:left="1134"/>
      </w:pPr>
      <w:r w:rsidRPr="00EB451A">
        <w:t>13.</w:t>
      </w:r>
      <w:r w:rsidRPr="00EB451A">
        <w:tab/>
      </w:r>
      <w:r w:rsidR="00C07533" w:rsidRPr="00EB451A">
        <w:rPr>
          <w:i/>
          <w:szCs w:val="18"/>
        </w:rPr>
        <w:t>Requests</w:t>
      </w:r>
      <w:r w:rsidR="00C07533" w:rsidRPr="00EB451A">
        <w:rPr>
          <w:lang w:eastAsia="en-US"/>
        </w:rPr>
        <w:t xml:space="preserve"> the Global Environment Facility, as an operating entity of the Financial Mechanism, under its seventh replenishment and throughout its replenishment cycles, to adequately support developing country Parties in preparing their first and subsequent biennial transparency reports in accordance with Article 13, paragraph</w:t>
      </w:r>
      <w:r w:rsidR="000047A4">
        <w:rPr>
          <w:lang w:eastAsia="en-US"/>
        </w:rPr>
        <w:t>s</w:t>
      </w:r>
      <w:r w:rsidR="00C07533" w:rsidRPr="00EB451A">
        <w:rPr>
          <w:lang w:eastAsia="en-US"/>
        </w:rPr>
        <w:t xml:space="preserve"> 14</w:t>
      </w:r>
      <w:r w:rsidR="000047A4">
        <w:rPr>
          <w:lang w:eastAsia="en-US"/>
        </w:rPr>
        <w:t>–</w:t>
      </w:r>
      <w:r w:rsidR="00C07533" w:rsidRPr="00EB451A">
        <w:rPr>
          <w:lang w:eastAsia="en-US"/>
        </w:rPr>
        <w:t>15</w:t>
      </w:r>
      <w:r w:rsidR="000047A4">
        <w:rPr>
          <w:lang w:eastAsia="en-US"/>
        </w:rPr>
        <w:t>, of the Paris Agreement</w:t>
      </w:r>
      <w:r w:rsidR="00C07533" w:rsidRPr="00EB451A">
        <w:rPr>
          <w:lang w:eastAsia="en-US"/>
        </w:rPr>
        <w:t xml:space="preserve"> and decision 18/CMA.1;</w:t>
      </w:r>
    </w:p>
    <w:p w14:paraId="7F40D6DB" w14:textId="4C447C02" w:rsidR="00C07533" w:rsidRPr="00EB451A" w:rsidRDefault="002424D3" w:rsidP="002424D3">
      <w:pPr>
        <w:pStyle w:val="RegSingleTxtG"/>
        <w:numPr>
          <w:ilvl w:val="0"/>
          <w:numId w:val="0"/>
        </w:numPr>
        <w:ind w:left="1134"/>
      </w:pPr>
      <w:r w:rsidRPr="00EB451A">
        <w:t>14.</w:t>
      </w:r>
      <w:r w:rsidRPr="00EB451A">
        <w:tab/>
      </w:r>
      <w:r w:rsidR="00C07533" w:rsidRPr="00EB451A">
        <w:rPr>
          <w:i/>
        </w:rPr>
        <w:t>Invites</w:t>
      </w:r>
      <w:r w:rsidR="00C07533" w:rsidRPr="00EB451A">
        <w:t xml:space="preserve"> Parties to submit to the secretariat via the submission portal,</w:t>
      </w:r>
      <w:r w:rsidR="00C07533" w:rsidRPr="00EB451A">
        <w:rPr>
          <w:sz w:val="18"/>
          <w:szCs w:val="18"/>
          <w:vertAlign w:val="superscript"/>
        </w:rPr>
        <w:footnoteReference w:id="35"/>
      </w:r>
      <w:r w:rsidR="00C07533" w:rsidRPr="00EB451A">
        <w:t xml:space="preserve"> no later than 10 weeks prior to the twenty-sixth session of the Conference of the Parties</w:t>
      </w:r>
      <w:r w:rsidR="004903D5">
        <w:t xml:space="preserve"> (November 2020)</w:t>
      </w:r>
      <w:r w:rsidR="00C07533" w:rsidRPr="00EB451A">
        <w:t>, their views and recommendations on elements to be taken into account in developing guidance to the Global Environment Facility;</w:t>
      </w:r>
    </w:p>
    <w:p w14:paraId="757F814C" w14:textId="5089A9D0" w:rsidR="00C07533" w:rsidRPr="00EB451A" w:rsidRDefault="002424D3" w:rsidP="002424D3">
      <w:pPr>
        <w:pStyle w:val="RegSingleTxtG"/>
        <w:numPr>
          <w:ilvl w:val="0"/>
          <w:numId w:val="0"/>
        </w:numPr>
        <w:ind w:left="1134"/>
      </w:pPr>
      <w:r w:rsidRPr="00EB451A">
        <w:t>15.</w:t>
      </w:r>
      <w:r w:rsidRPr="00EB451A">
        <w:tab/>
      </w:r>
      <w:r w:rsidR="00C07533" w:rsidRPr="00EB451A">
        <w:rPr>
          <w:i/>
        </w:rPr>
        <w:t>Requests</w:t>
      </w:r>
      <w:r w:rsidR="00C07533" w:rsidRPr="00EB451A">
        <w:t xml:space="preserve"> the Standing Committee on Finance to take into consideration the submissions referred to in paragraph 14 above when preparing its draft guidance to the Global Environment Facility for consideration by the Conference of the Parties and the Conference of the Parties serving as the meeting of the Parties to the Paris Agreement;</w:t>
      </w:r>
    </w:p>
    <w:p w14:paraId="3790369F" w14:textId="3531BF6E" w:rsidR="00C07533" w:rsidRDefault="002424D3" w:rsidP="002424D3">
      <w:pPr>
        <w:pStyle w:val="RegSingleTxtG"/>
        <w:numPr>
          <w:ilvl w:val="0"/>
          <w:numId w:val="0"/>
        </w:numPr>
        <w:ind w:left="1134"/>
      </w:pPr>
      <w:r>
        <w:t>16.</w:t>
      </w:r>
      <w:r>
        <w:tab/>
      </w:r>
      <w:r w:rsidR="00C07533" w:rsidRPr="00EB451A">
        <w:rPr>
          <w:i/>
        </w:rPr>
        <w:t>Also requests</w:t>
      </w:r>
      <w:r w:rsidR="00C07533" w:rsidRPr="00EB451A">
        <w:t xml:space="preserve"> the Global Environment Facility to include in its annual report to the Conference of the Parties information on the steps that it has taken to implement the guidance provided in this decision.</w:t>
      </w:r>
    </w:p>
    <w:p w14:paraId="4A9B5E53" w14:textId="5FB8227B" w:rsidR="00C07533" w:rsidRPr="00EB451A" w:rsidRDefault="00C07533" w:rsidP="00C07533">
      <w:pPr>
        <w:pStyle w:val="RegSingleTxtG"/>
        <w:numPr>
          <w:ilvl w:val="0"/>
          <w:numId w:val="0"/>
        </w:numPr>
        <w:ind w:left="1134"/>
        <w:jc w:val="right"/>
      </w:pPr>
      <w:r>
        <w:rPr>
          <w:i/>
        </w:rPr>
        <w:t>8</w:t>
      </w:r>
      <w:r w:rsidRPr="00C07533">
        <w:rPr>
          <w:i/>
          <w:vertAlign w:val="superscript"/>
        </w:rPr>
        <w:t>th</w:t>
      </w:r>
      <w:r>
        <w:rPr>
          <w:i/>
        </w:rPr>
        <w:t xml:space="preserve"> plenary meeting</w:t>
      </w:r>
      <w:r>
        <w:rPr>
          <w:i/>
        </w:rPr>
        <w:br/>
        <w:t>15 December 2019</w:t>
      </w:r>
    </w:p>
    <w:p w14:paraId="03CF6DA7" w14:textId="7DE41506" w:rsidR="00155EAD" w:rsidRDefault="00155EAD" w:rsidP="00155EAD">
      <w:pPr>
        <w:tabs>
          <w:tab w:val="left" w:pos="1701"/>
        </w:tabs>
        <w:spacing w:after="120"/>
        <w:ind w:left="1135" w:right="1134"/>
      </w:pPr>
    </w:p>
    <w:p w14:paraId="0775D3E8" w14:textId="77777777" w:rsidR="00C07533" w:rsidRDefault="00C07533" w:rsidP="00155EAD">
      <w:pPr>
        <w:tabs>
          <w:tab w:val="left" w:pos="1701"/>
        </w:tabs>
        <w:spacing w:after="120"/>
        <w:ind w:left="1135" w:right="1134"/>
        <w:sectPr w:rsidR="00C07533" w:rsidSect="00C92FFD">
          <w:headerReference w:type="even" r:id="rId53"/>
          <w:headerReference w:type="default" r:id="rId54"/>
          <w:footerReference w:type="even" r:id="rId55"/>
          <w:footerReference w:type="default" r:id="rId56"/>
          <w:headerReference w:type="first" r:id="rId57"/>
          <w:footerReference w:type="first" r:id="rId58"/>
          <w:footnotePr>
            <w:numRestart w:val="eachSect"/>
          </w:footnotePr>
          <w:pgSz w:w="11906" w:h="16838" w:code="9"/>
          <w:pgMar w:top="1417" w:right="1134" w:bottom="1134" w:left="1134" w:header="850" w:footer="567" w:gutter="0"/>
          <w:cols w:space="708"/>
          <w:docGrid w:linePitch="360"/>
        </w:sectPr>
      </w:pPr>
    </w:p>
    <w:p w14:paraId="63443C8B" w14:textId="53274818" w:rsidR="00C17A02" w:rsidRDefault="00C17A02" w:rsidP="00C17A02">
      <w:pPr>
        <w:pStyle w:val="HChG"/>
      </w:pPr>
      <w:r>
        <w:tab/>
      </w:r>
      <w:r>
        <w:tab/>
      </w:r>
      <w:bookmarkStart w:id="16" w:name="D14"/>
      <w:r w:rsidRPr="002A10A3">
        <w:t xml:space="preserve">Decision </w:t>
      </w:r>
      <w:r w:rsidR="00DF3196">
        <w:t>14</w:t>
      </w:r>
      <w:r w:rsidRPr="002A10A3">
        <w:t>/CP.25</w:t>
      </w:r>
      <w:bookmarkEnd w:id="16"/>
    </w:p>
    <w:p w14:paraId="4BD38ABE" w14:textId="3ADAF576" w:rsidR="00C17A02" w:rsidRPr="007009E8" w:rsidRDefault="00C17A02" w:rsidP="00C17A02">
      <w:pPr>
        <w:pStyle w:val="HChG"/>
      </w:pPr>
      <w:r>
        <w:tab/>
      </w:r>
      <w:r>
        <w:tab/>
      </w:r>
      <w:bookmarkStart w:id="17" w:name="_Hlk26645398"/>
      <w:r w:rsidRPr="001A4816">
        <w:t>Enhancing climate technology development and transfer through the Technology Mechanism</w:t>
      </w:r>
      <w:bookmarkEnd w:id="17"/>
    </w:p>
    <w:p w14:paraId="0D7E8A98" w14:textId="686FB919" w:rsidR="00C17A02" w:rsidRPr="00E52214" w:rsidRDefault="00C17A02" w:rsidP="00C17A02">
      <w:pPr>
        <w:pStyle w:val="RegSingleTxtG"/>
        <w:numPr>
          <w:ilvl w:val="0"/>
          <w:numId w:val="0"/>
        </w:numPr>
        <w:ind w:left="1135"/>
        <w:rPr>
          <w:i/>
        </w:rPr>
      </w:pPr>
      <w:r w:rsidRPr="00647559">
        <w:rPr>
          <w:i/>
        </w:rPr>
        <w:tab/>
      </w:r>
      <w:r w:rsidRPr="00E52214">
        <w:rPr>
          <w:i/>
        </w:rPr>
        <w:t>The Conference of the Parties</w:t>
      </w:r>
      <w:r w:rsidRPr="00E52214">
        <w:t>,</w:t>
      </w:r>
    </w:p>
    <w:p w14:paraId="4A97AE74" w14:textId="77777777" w:rsidR="00C17A02" w:rsidRPr="00E52214" w:rsidRDefault="00C17A02" w:rsidP="00C17A02">
      <w:pPr>
        <w:pStyle w:val="RegSingleTxtG"/>
        <w:numPr>
          <w:ilvl w:val="0"/>
          <w:numId w:val="0"/>
        </w:numPr>
        <w:ind w:left="1135"/>
      </w:pPr>
      <w:r w:rsidRPr="00E52214">
        <w:rPr>
          <w:i/>
        </w:rPr>
        <w:tab/>
        <w:t xml:space="preserve">Recalling </w:t>
      </w:r>
      <w:r w:rsidRPr="00E52214">
        <w:t xml:space="preserve">decisions 2/CP.17, 1/CP.21, 12/CP.21, 15/CP.22, 21/CP.22, 3/CP.23, 13/CP.23, 15/CP.23, 12/CP.24 and 13/CP.24, </w:t>
      </w:r>
    </w:p>
    <w:p w14:paraId="380C6BB0" w14:textId="7B277EA0" w:rsidR="00C17A02" w:rsidRPr="00E52214" w:rsidRDefault="002424D3" w:rsidP="002424D3">
      <w:pPr>
        <w:pStyle w:val="RegSingleTxtG"/>
        <w:numPr>
          <w:ilvl w:val="0"/>
          <w:numId w:val="0"/>
        </w:numPr>
        <w:ind w:left="1134"/>
      </w:pPr>
      <w:r w:rsidRPr="00E52214">
        <w:t>1.</w:t>
      </w:r>
      <w:r w:rsidRPr="00E52214">
        <w:tab/>
      </w:r>
      <w:r w:rsidR="00C17A02" w:rsidRPr="00E52214">
        <w:tab/>
      </w:r>
      <w:r w:rsidR="00C17A02" w:rsidRPr="2F9A9A02">
        <w:rPr>
          <w:i/>
          <w:iCs/>
        </w:rPr>
        <w:t xml:space="preserve">Welcomes </w:t>
      </w:r>
      <w:r w:rsidR="00C17A02" w:rsidRPr="00E52214">
        <w:t>the joint annual report of the Technology Executive Committee and the Climate Technology Centre and Network for 2019</w:t>
      </w:r>
      <w:r w:rsidR="00C17A02" w:rsidRPr="00E52214">
        <w:rPr>
          <w:rStyle w:val="FootnoteReference"/>
        </w:rPr>
        <w:footnoteReference w:id="36"/>
      </w:r>
      <w:r w:rsidR="00C17A02" w:rsidRPr="00E52214">
        <w:t xml:space="preserve"> and their progress in facilitating effective implementation of the Technology Mechanism;</w:t>
      </w:r>
    </w:p>
    <w:p w14:paraId="4F8C06B8" w14:textId="7D0670EF" w:rsidR="00C17A02" w:rsidRPr="00B51064" w:rsidRDefault="002424D3" w:rsidP="002424D3">
      <w:pPr>
        <w:pStyle w:val="RegSingleTxtG"/>
        <w:numPr>
          <w:ilvl w:val="0"/>
          <w:numId w:val="0"/>
        </w:numPr>
        <w:ind w:left="1134"/>
      </w:pPr>
      <w:r w:rsidRPr="00B51064">
        <w:t>2.</w:t>
      </w:r>
      <w:r w:rsidRPr="00B51064">
        <w:tab/>
      </w:r>
      <w:r w:rsidR="00C17A02" w:rsidRPr="5CE9130B">
        <w:rPr>
          <w:i/>
          <w:iCs/>
        </w:rPr>
        <w:t>Also welcomes</w:t>
      </w:r>
      <w:r w:rsidR="00C17A02" w:rsidRPr="00E52214">
        <w:t xml:space="preserve"> the </w:t>
      </w:r>
      <w:r w:rsidR="00C17A02" w:rsidRPr="002771AB">
        <w:t xml:space="preserve">collaboration of the Technology Executive Committee and the Climate Technology Centre and Network, including through the organization of back-to-back meetings </w:t>
      </w:r>
      <w:bookmarkStart w:id="18" w:name="_Hlk26528407"/>
      <w:r w:rsidR="00C17A02" w:rsidRPr="002771AB">
        <w:t xml:space="preserve">between the Technology Executive Committee and the Advisory Board of the Climate Technology Centre and Network </w:t>
      </w:r>
      <w:bookmarkEnd w:id="18"/>
      <w:r w:rsidR="00C17A02" w:rsidRPr="002771AB">
        <w:t>and regio</w:t>
      </w:r>
      <w:r w:rsidR="00C17A02" w:rsidRPr="00B51064">
        <w:t xml:space="preserve">nal technical expert meetings, and </w:t>
      </w:r>
      <w:r w:rsidR="00C17A02" w:rsidRPr="5CE9130B">
        <w:rPr>
          <w:i/>
          <w:iCs/>
        </w:rPr>
        <w:t>invites</w:t>
      </w:r>
      <w:r w:rsidR="00C17A02" w:rsidRPr="00B51064">
        <w:t xml:space="preserve"> them to enhance their collaboration and to ensure the provision of feedback between them;</w:t>
      </w:r>
    </w:p>
    <w:p w14:paraId="49EA9B22" w14:textId="36E4A7CF" w:rsidR="00C17A02" w:rsidRPr="00E52214" w:rsidRDefault="002424D3" w:rsidP="002424D3">
      <w:pPr>
        <w:pStyle w:val="RegSingleTxtG"/>
        <w:numPr>
          <w:ilvl w:val="0"/>
          <w:numId w:val="0"/>
        </w:numPr>
        <w:ind w:left="1134"/>
      </w:pPr>
      <w:r w:rsidRPr="00E52214">
        <w:t>3.</w:t>
      </w:r>
      <w:r w:rsidRPr="00E52214">
        <w:tab/>
      </w:r>
      <w:r w:rsidR="00C17A02" w:rsidRPr="00B51064">
        <w:rPr>
          <w:i/>
        </w:rPr>
        <w:t xml:space="preserve">Further welcomes </w:t>
      </w:r>
      <w:r w:rsidR="00C17A02" w:rsidRPr="00B51064">
        <w:t xml:space="preserve">the coherent approach of the Technology Executive Committee and the Climate Technology Centre and Network to developing and enhancing their monitoring and evaluation systems, and </w:t>
      </w:r>
      <w:r w:rsidR="00C17A02" w:rsidRPr="00B51064">
        <w:rPr>
          <w:i/>
        </w:rPr>
        <w:t>encourages</w:t>
      </w:r>
      <w:r w:rsidR="00C17A02" w:rsidRPr="00B51064">
        <w:t xml:space="preserve"> them </w:t>
      </w:r>
      <w:r w:rsidR="00C17A02" w:rsidRPr="00E52214">
        <w:t xml:space="preserve">to use these systems to improve reporting </w:t>
      </w:r>
      <w:r w:rsidR="00C17A02" w:rsidRPr="00E52214">
        <w:rPr>
          <w:lang w:val="en-US"/>
        </w:rPr>
        <w:t xml:space="preserve">on </w:t>
      </w:r>
      <w:r w:rsidR="00C17A02" w:rsidRPr="00E52214">
        <w:t>the outputs and impacts of their work and facilitate the achievement thereof;</w:t>
      </w:r>
    </w:p>
    <w:p w14:paraId="484E3C78" w14:textId="5648835F" w:rsidR="00C17A02" w:rsidRPr="00B51064" w:rsidRDefault="002424D3" w:rsidP="002424D3">
      <w:pPr>
        <w:pStyle w:val="RegSingleTxtG"/>
        <w:numPr>
          <w:ilvl w:val="0"/>
          <w:numId w:val="0"/>
        </w:numPr>
        <w:ind w:left="1134"/>
      </w:pPr>
      <w:r w:rsidRPr="00B51064">
        <w:t>4.</w:t>
      </w:r>
      <w:r w:rsidRPr="00B51064">
        <w:tab/>
      </w:r>
      <w:r w:rsidR="00C17A02" w:rsidRPr="00B51064">
        <w:rPr>
          <w:i/>
        </w:rPr>
        <w:t>Invites</w:t>
      </w:r>
      <w:r w:rsidR="00C17A02" w:rsidRPr="00B51064">
        <w:t xml:space="preserve"> the Technology Executive Committee and the Climate Technology Centre and Network to continue undertaking joint communication and outreach activities to ensure coherent communication under the Technology Mechanism; </w:t>
      </w:r>
    </w:p>
    <w:p w14:paraId="7C72AE9E" w14:textId="18B797D5" w:rsidR="00C17A02" w:rsidRPr="00E52214" w:rsidRDefault="002424D3" w:rsidP="002424D3">
      <w:pPr>
        <w:pStyle w:val="RegSingleTxtG"/>
        <w:numPr>
          <w:ilvl w:val="0"/>
          <w:numId w:val="0"/>
        </w:numPr>
        <w:ind w:left="1134"/>
      </w:pPr>
      <w:r w:rsidRPr="00E52214">
        <w:t>5.</w:t>
      </w:r>
      <w:r w:rsidRPr="00E52214">
        <w:tab/>
      </w:r>
      <w:r w:rsidR="00C17A02" w:rsidRPr="00E52214">
        <w:rPr>
          <w:i/>
          <w:lang w:val="en-US"/>
        </w:rPr>
        <w:t>Welcomes</w:t>
      </w:r>
      <w:r w:rsidR="00C17A02" w:rsidRPr="00E52214">
        <w:rPr>
          <w:lang w:val="en-US"/>
        </w:rPr>
        <w:t xml:space="preserve"> the engagement and collaboration of the Technology Executive Committee and the Climate Technology Centre and Network with the operating entities of the Financial Mechanism and </w:t>
      </w:r>
      <w:r w:rsidR="00C17A02" w:rsidRPr="00E52214">
        <w:rPr>
          <w:i/>
          <w:lang w:val="en-US"/>
        </w:rPr>
        <w:t>encourages</w:t>
      </w:r>
      <w:r w:rsidR="00C17A02" w:rsidRPr="00E52214">
        <w:rPr>
          <w:lang w:val="en-US"/>
        </w:rPr>
        <w:t xml:space="preserve"> their continued and enhanced collaboration;</w:t>
      </w:r>
    </w:p>
    <w:p w14:paraId="56A1DA3C" w14:textId="17725871" w:rsidR="00C17A02" w:rsidRPr="00B51064" w:rsidRDefault="002424D3" w:rsidP="000D6B56">
      <w:pPr>
        <w:pStyle w:val="RegHChG"/>
        <w:numPr>
          <w:ilvl w:val="0"/>
          <w:numId w:val="0"/>
        </w:numPr>
        <w:tabs>
          <w:tab w:val="left" w:pos="1135"/>
        </w:tabs>
        <w:ind w:left="1135" w:hanging="454"/>
      </w:pPr>
      <w:r w:rsidRPr="00B51064">
        <w:t>I.</w:t>
      </w:r>
      <w:r w:rsidRPr="00B51064">
        <w:tab/>
      </w:r>
      <w:r w:rsidR="00C17A02" w:rsidRPr="00E52214">
        <w:t>Activities and performance of the Technology Executive Committee in 2019</w:t>
      </w:r>
    </w:p>
    <w:p w14:paraId="1A3E0CEF" w14:textId="6EB100A3" w:rsidR="00C17A02" w:rsidRPr="00E52214" w:rsidRDefault="002424D3" w:rsidP="002424D3">
      <w:pPr>
        <w:pStyle w:val="RegSingleTxtG"/>
        <w:numPr>
          <w:ilvl w:val="0"/>
          <w:numId w:val="0"/>
        </w:numPr>
        <w:ind w:left="1134"/>
      </w:pPr>
      <w:r w:rsidRPr="00E52214">
        <w:t>6.</w:t>
      </w:r>
      <w:r w:rsidRPr="00E52214">
        <w:tab/>
      </w:r>
      <w:r w:rsidR="00C17A02" w:rsidRPr="00B51064">
        <w:rPr>
          <w:i/>
        </w:rPr>
        <w:t>Welcomes</w:t>
      </w:r>
      <w:r w:rsidR="00C17A02" w:rsidRPr="00B51064">
        <w:t xml:space="preserve"> the rolling workplan of the Technology Executive Committee for </w:t>
      </w:r>
      <w:r w:rsidR="00C17A02" w:rsidRPr="00B51064">
        <w:br/>
        <w:t>2019–2022</w:t>
      </w:r>
      <w:r w:rsidR="00C17A02" w:rsidRPr="00E52214">
        <w:rPr>
          <w:rStyle w:val="FootnoteReference"/>
        </w:rPr>
        <w:footnoteReference w:id="37"/>
      </w:r>
      <w:r w:rsidR="00C17A02" w:rsidRPr="00E52214">
        <w:t xml:space="preserve"> and the progress </w:t>
      </w:r>
      <w:r w:rsidR="00B629A2">
        <w:t>of</w:t>
      </w:r>
      <w:r w:rsidR="00B629A2" w:rsidRPr="00E52214">
        <w:t xml:space="preserve"> </w:t>
      </w:r>
      <w:r w:rsidR="00C17A02" w:rsidRPr="00E52214">
        <w:t xml:space="preserve">the Committee in advancing the implementation thereof, including in the areas of innovation, implementation, enabling environment and </w:t>
      </w:r>
      <w:r w:rsidR="00C17A02" w:rsidRPr="00E52214">
        <w:br/>
        <w:t>capacity-building, collaboration and stakeholder engagement, and support;</w:t>
      </w:r>
    </w:p>
    <w:p w14:paraId="5982FE32" w14:textId="55C12B8F" w:rsidR="00C17A02" w:rsidRPr="00E52214" w:rsidRDefault="002424D3" w:rsidP="002424D3">
      <w:pPr>
        <w:pStyle w:val="RegSingleTxtG"/>
        <w:numPr>
          <w:ilvl w:val="0"/>
          <w:numId w:val="0"/>
        </w:numPr>
        <w:ind w:left="1134"/>
      </w:pPr>
      <w:r w:rsidRPr="00E52214">
        <w:t>7.</w:t>
      </w:r>
      <w:r w:rsidRPr="00E52214">
        <w:tab/>
      </w:r>
      <w:r w:rsidR="00C17A02" w:rsidRPr="00E52214">
        <w:rPr>
          <w:i/>
        </w:rPr>
        <w:t xml:space="preserve">Invites </w:t>
      </w:r>
      <w:r w:rsidR="00C17A02" w:rsidRPr="00E52214">
        <w:t>Parties and relevant stakeholders, in planning and implementing action related to technology development and transfer, to consider and build on the recommendations of the Technology Executive Committee on ways forward and actions to be taken on the basis of the outcomes of the technical expert meetings on mitigation in 2019 as well as the key messages of the Committee for 2019 on endogenous capacities and technologies;</w:t>
      </w:r>
      <w:r w:rsidR="00C17A02" w:rsidRPr="00E52214">
        <w:rPr>
          <w:rStyle w:val="FootnoteReference"/>
        </w:rPr>
        <w:footnoteReference w:id="38"/>
      </w:r>
    </w:p>
    <w:p w14:paraId="115EA80C" w14:textId="303754E9" w:rsidR="00C17A02" w:rsidRPr="00E52214" w:rsidRDefault="002424D3" w:rsidP="002424D3">
      <w:pPr>
        <w:pStyle w:val="RegSingleTxtG"/>
        <w:numPr>
          <w:ilvl w:val="0"/>
          <w:numId w:val="0"/>
        </w:numPr>
        <w:ind w:left="1134"/>
        <w:rPr>
          <w:i/>
        </w:rPr>
      </w:pPr>
      <w:r w:rsidRPr="00E52214">
        <w:t>8.</w:t>
      </w:r>
      <w:r w:rsidRPr="00E52214">
        <w:tab/>
      </w:r>
      <w:r w:rsidR="00C17A02" w:rsidRPr="00E52214">
        <w:rPr>
          <w:i/>
        </w:rPr>
        <w:t xml:space="preserve">Notes </w:t>
      </w:r>
      <w:r w:rsidR="00C17A02" w:rsidRPr="00B51064">
        <w:rPr>
          <w:i/>
        </w:rPr>
        <w:t>with appreciation</w:t>
      </w:r>
      <w:r w:rsidR="00C17A02" w:rsidRPr="00E52214">
        <w:rPr>
          <w:i/>
        </w:rPr>
        <w:t xml:space="preserve"> </w:t>
      </w:r>
      <w:r w:rsidR="00C17A02" w:rsidRPr="00E52214">
        <w:t xml:space="preserve">that the Technology Executive Committee adopted an approach to integrating gender considerations into its rolling workplan for 2019–2022, and </w:t>
      </w:r>
      <w:r w:rsidR="00C17A02" w:rsidRPr="00E52214">
        <w:rPr>
          <w:i/>
        </w:rPr>
        <w:t>encourages</w:t>
      </w:r>
      <w:r w:rsidR="00C17A02" w:rsidRPr="00E52214">
        <w:t xml:space="preserve"> the Technology Executive Committee to continue </w:t>
      </w:r>
      <w:r w:rsidR="00C17A02" w:rsidRPr="00B51064">
        <w:t>its efforts in this regard and</w:t>
      </w:r>
      <w:r w:rsidR="00C17A02" w:rsidRPr="00E52214">
        <w:t xml:space="preserve"> report on this matter;</w:t>
      </w:r>
      <w:r w:rsidR="00C17A02" w:rsidRPr="00E52214">
        <w:rPr>
          <w:rStyle w:val="FootnoteReference"/>
        </w:rPr>
        <w:footnoteReference w:id="39"/>
      </w:r>
      <w:r w:rsidR="00C17A02" w:rsidRPr="00E52214">
        <w:t xml:space="preserve"> </w:t>
      </w:r>
    </w:p>
    <w:p w14:paraId="77618CB4" w14:textId="62569FA5" w:rsidR="00C17A02" w:rsidRPr="00B51064" w:rsidRDefault="002424D3" w:rsidP="002424D3">
      <w:pPr>
        <w:pStyle w:val="RegSingleTxtG"/>
        <w:numPr>
          <w:ilvl w:val="0"/>
          <w:numId w:val="0"/>
        </w:numPr>
        <w:ind w:left="1134"/>
        <w:rPr>
          <w:i/>
        </w:rPr>
      </w:pPr>
      <w:r w:rsidRPr="00B51064">
        <w:t>9.</w:t>
      </w:r>
      <w:r w:rsidRPr="00B51064">
        <w:tab/>
      </w:r>
      <w:r w:rsidR="00C17A02" w:rsidRPr="00B51064">
        <w:rPr>
          <w:i/>
        </w:rPr>
        <w:t>Welcomes</w:t>
      </w:r>
      <w:r w:rsidR="00C17A02" w:rsidRPr="00E52214">
        <w:t xml:space="preserve"> the collaboration of the Technology Executive Committee with the Executive Committee of the Warsaw International Mechanism for Loss and Damage associated with Climate Change Impacts in preparing a joint policy brief on technologies for averting, minimizing and addressing loss and damage in coastal zones, and </w:t>
      </w:r>
      <w:r w:rsidR="00C17A02" w:rsidRPr="00B51064">
        <w:rPr>
          <w:i/>
        </w:rPr>
        <w:t xml:space="preserve">looks forward </w:t>
      </w:r>
      <w:r w:rsidR="00C17A02" w:rsidRPr="00B51064">
        <w:t>to the completion of the policy brief in 2020;</w:t>
      </w:r>
    </w:p>
    <w:p w14:paraId="745FC601" w14:textId="172E3291" w:rsidR="00C17A02" w:rsidRPr="00E52214" w:rsidRDefault="002424D3" w:rsidP="002424D3">
      <w:pPr>
        <w:pStyle w:val="RegSingleTxtG"/>
        <w:numPr>
          <w:ilvl w:val="0"/>
          <w:numId w:val="0"/>
        </w:numPr>
        <w:ind w:left="1134"/>
      </w:pPr>
      <w:r w:rsidRPr="00E52214">
        <w:t>10.</w:t>
      </w:r>
      <w:r w:rsidRPr="00E52214">
        <w:tab/>
      </w:r>
      <w:r w:rsidR="00C17A02" w:rsidRPr="00E52214">
        <w:rPr>
          <w:i/>
        </w:rPr>
        <w:t xml:space="preserve">Takes note </w:t>
      </w:r>
      <w:r w:rsidR="00C17A02" w:rsidRPr="00E52214">
        <w:t xml:space="preserve">of the Technology Executive Committee’s efforts to reach out to regional stakeholders and national designated entities, including through the participation of representatives of the </w:t>
      </w:r>
      <w:r w:rsidR="00C17A02" w:rsidRPr="00B51064">
        <w:t>Technology Executive Committee in regional forums of the Climate Technology Centre and Network;</w:t>
      </w:r>
    </w:p>
    <w:p w14:paraId="193C14DE" w14:textId="7A046F49" w:rsidR="00C17A02" w:rsidRPr="00E52214" w:rsidRDefault="002424D3" w:rsidP="002424D3">
      <w:pPr>
        <w:pStyle w:val="RegSingleTxtG"/>
        <w:numPr>
          <w:ilvl w:val="0"/>
          <w:numId w:val="0"/>
        </w:numPr>
        <w:ind w:left="1134"/>
      </w:pPr>
      <w:r w:rsidRPr="00E52214">
        <w:t>11.</w:t>
      </w:r>
      <w:r w:rsidRPr="00E52214">
        <w:tab/>
      </w:r>
      <w:r w:rsidR="00C17A02" w:rsidRPr="00E52214">
        <w:rPr>
          <w:i/>
        </w:rPr>
        <w:t>Invites</w:t>
      </w:r>
      <w:r w:rsidR="00C17A02" w:rsidRPr="00E52214">
        <w:t xml:space="preserve"> the Technology Executive Committee to continue </w:t>
      </w:r>
      <w:r w:rsidR="00C17A02" w:rsidRPr="00B51064">
        <w:t>the</w:t>
      </w:r>
      <w:r w:rsidR="00C17A02" w:rsidRPr="00E52214">
        <w:t xml:space="preserve"> efforts </w:t>
      </w:r>
      <w:r w:rsidR="00C17A02" w:rsidRPr="00B51064">
        <w:t>referred to in paragraph 10 above</w:t>
      </w:r>
      <w:r w:rsidR="00C17A02" w:rsidRPr="00E52214">
        <w:t xml:space="preserve"> to enhance the visibility of and seek feedback on its work</w:t>
      </w:r>
      <w:r w:rsidR="00131479">
        <w:t>,</w:t>
      </w:r>
      <w:r w:rsidR="00C17A02" w:rsidRPr="00E52214">
        <w:t xml:space="preserve"> </w:t>
      </w:r>
      <w:r w:rsidR="00C17A02" w:rsidRPr="00B51064">
        <w:rPr>
          <w:lang w:val="en-US"/>
        </w:rPr>
        <w:t xml:space="preserve">and </w:t>
      </w:r>
      <w:r w:rsidR="00C17A02" w:rsidRPr="00B51064">
        <w:rPr>
          <w:i/>
          <w:lang w:val="en-US"/>
        </w:rPr>
        <w:t>requests</w:t>
      </w:r>
      <w:r w:rsidR="00C17A02" w:rsidRPr="00B51064">
        <w:rPr>
          <w:lang w:val="en-US"/>
        </w:rPr>
        <w:t xml:space="preserve"> the Technology Executive Committee to report on </w:t>
      </w:r>
      <w:r w:rsidR="00C17A02">
        <w:rPr>
          <w:lang w:val="en-US"/>
        </w:rPr>
        <w:t>such</w:t>
      </w:r>
      <w:r w:rsidR="00C17A02" w:rsidRPr="00B51064">
        <w:rPr>
          <w:lang w:val="en-US"/>
        </w:rPr>
        <w:t xml:space="preserve"> efforts</w:t>
      </w:r>
      <w:r w:rsidR="00C17A02" w:rsidRPr="00B51064">
        <w:t>;</w:t>
      </w:r>
    </w:p>
    <w:p w14:paraId="30F94FE8" w14:textId="46605E0A" w:rsidR="00C17A02" w:rsidRPr="00B51064" w:rsidRDefault="002424D3" w:rsidP="002424D3">
      <w:pPr>
        <w:pStyle w:val="RegSingleTxtG"/>
        <w:numPr>
          <w:ilvl w:val="0"/>
          <w:numId w:val="0"/>
        </w:numPr>
        <w:ind w:left="1134"/>
        <w:rPr>
          <w:rFonts w:eastAsia="Times New Roman"/>
          <w:lang w:val="en-US" w:eastAsia="en-US"/>
        </w:rPr>
      </w:pPr>
      <w:r w:rsidRPr="00B51064">
        <w:rPr>
          <w:rFonts w:eastAsia="Times New Roman"/>
          <w:lang w:val="en-US" w:eastAsia="en-US"/>
        </w:rPr>
        <w:t>12.</w:t>
      </w:r>
      <w:r w:rsidRPr="00B51064">
        <w:rPr>
          <w:rFonts w:eastAsia="Times New Roman"/>
          <w:lang w:val="en-US" w:eastAsia="en-US"/>
        </w:rPr>
        <w:tab/>
      </w:r>
      <w:r w:rsidR="00C17A02" w:rsidRPr="00B51064">
        <w:rPr>
          <w:i/>
        </w:rPr>
        <w:t xml:space="preserve">Notes </w:t>
      </w:r>
      <w:r w:rsidR="00C17A02" w:rsidRPr="00B51064">
        <w:t xml:space="preserve">the initiative of the Technology Executive Committee, under its rolling workplan for 2019–2022, </w:t>
      </w:r>
      <w:r w:rsidR="00C17A02" w:rsidRPr="00B51064">
        <w:rPr>
          <w:lang w:val="en-US" w:eastAsia="en-US"/>
        </w:rPr>
        <w:t xml:space="preserve">to promote </w:t>
      </w:r>
      <w:r w:rsidR="00C17A02" w:rsidRPr="00B51064">
        <w:t>innovative approaches to upscaling adaptation technologies</w:t>
      </w:r>
      <w:r w:rsidR="00C17A02" w:rsidRPr="00B51064">
        <w:rPr>
          <w:lang w:val="en-US" w:eastAsia="en-US"/>
        </w:rPr>
        <w:t>, including through the organization</w:t>
      </w:r>
      <w:r w:rsidR="00C17A02" w:rsidRPr="00B51064">
        <w:t xml:space="preserve"> of an in-session technology day in 2020</w:t>
      </w:r>
      <w:r w:rsidR="00C17A02" w:rsidRPr="00B51064">
        <w:rPr>
          <w:lang w:val="en-US" w:eastAsia="en-US"/>
        </w:rPr>
        <w:t>;</w:t>
      </w:r>
    </w:p>
    <w:p w14:paraId="677B4727" w14:textId="742EE6FD" w:rsidR="00C17A02" w:rsidRPr="00B51064" w:rsidRDefault="002424D3" w:rsidP="000D6B56">
      <w:pPr>
        <w:pStyle w:val="RegHChG"/>
        <w:numPr>
          <w:ilvl w:val="0"/>
          <w:numId w:val="0"/>
        </w:numPr>
        <w:tabs>
          <w:tab w:val="left" w:pos="1135"/>
        </w:tabs>
        <w:ind w:left="1135" w:hanging="454"/>
      </w:pPr>
      <w:r w:rsidRPr="00B51064">
        <w:t>II.</w:t>
      </w:r>
      <w:r w:rsidRPr="00B51064">
        <w:tab/>
      </w:r>
      <w:r w:rsidR="00C17A02" w:rsidRPr="00B51064">
        <w:t>Activities and performance of the Climate Technology Centre and Network in 2019</w:t>
      </w:r>
    </w:p>
    <w:p w14:paraId="7F659521" w14:textId="13105238" w:rsidR="00C17A02" w:rsidRPr="00B51064" w:rsidRDefault="002424D3" w:rsidP="002424D3">
      <w:pPr>
        <w:pStyle w:val="RegSingleTxtG"/>
        <w:numPr>
          <w:ilvl w:val="0"/>
          <w:numId w:val="0"/>
        </w:numPr>
        <w:ind w:left="1134"/>
      </w:pPr>
      <w:r w:rsidRPr="00B51064">
        <w:t>13.</w:t>
      </w:r>
      <w:r w:rsidRPr="00B51064">
        <w:tab/>
      </w:r>
      <w:r w:rsidR="00C17A02" w:rsidRPr="00B51064">
        <w:rPr>
          <w:i/>
        </w:rPr>
        <w:t xml:space="preserve">Welcomes </w:t>
      </w:r>
      <w:r w:rsidR="00C17A02" w:rsidRPr="00B51064">
        <w:t>the appointment by the United Nations Environment Programme, as host of the Climate Technology Centre, of Rose Mwebaza as the new Director of the Climate Technology Centre and Network;</w:t>
      </w:r>
    </w:p>
    <w:p w14:paraId="77171DC1" w14:textId="39C69A0A" w:rsidR="00C17A02" w:rsidRPr="00B51064" w:rsidRDefault="002424D3" w:rsidP="002424D3">
      <w:pPr>
        <w:pStyle w:val="RegSingleTxtG"/>
        <w:numPr>
          <w:ilvl w:val="0"/>
          <w:numId w:val="0"/>
        </w:numPr>
        <w:ind w:left="1134"/>
      </w:pPr>
      <w:r w:rsidRPr="00B51064">
        <w:t>14.</w:t>
      </w:r>
      <w:r w:rsidRPr="00B51064">
        <w:tab/>
      </w:r>
      <w:r w:rsidR="00C17A02" w:rsidRPr="00B51064">
        <w:rPr>
          <w:i/>
        </w:rPr>
        <w:t>Expresses its appreciation</w:t>
      </w:r>
      <w:r w:rsidR="00C17A02" w:rsidRPr="00B51064">
        <w:t xml:space="preserve"> to the former Director of the Climate Technology Centre and Network, Jukka Uosukainen, for his leadership in ensuring the full operationalization of the Climate Technology Centre and Network;</w:t>
      </w:r>
    </w:p>
    <w:p w14:paraId="4CDD5E3D" w14:textId="6AF450A4" w:rsidR="00C17A02" w:rsidRPr="00E52214" w:rsidRDefault="002424D3" w:rsidP="002424D3">
      <w:pPr>
        <w:pStyle w:val="RegSingleTxtG"/>
        <w:numPr>
          <w:ilvl w:val="0"/>
          <w:numId w:val="0"/>
        </w:numPr>
        <w:ind w:left="1134"/>
      </w:pPr>
      <w:r w:rsidRPr="00E52214">
        <w:t>15.</w:t>
      </w:r>
      <w:r w:rsidRPr="00E52214">
        <w:tab/>
      </w:r>
      <w:r w:rsidR="00C17A02" w:rsidRPr="00B51064">
        <w:rPr>
          <w:i/>
        </w:rPr>
        <w:t>Welcomes</w:t>
      </w:r>
      <w:r w:rsidR="00C17A02" w:rsidRPr="00B51064">
        <w:t xml:space="preserve"> the programme of work of the Climate Technology Centre and Network for 2019–2022</w:t>
      </w:r>
      <w:r w:rsidR="00C17A02" w:rsidRPr="00E52214">
        <w:rPr>
          <w:rStyle w:val="FootnoteReference"/>
        </w:rPr>
        <w:footnoteReference w:id="40"/>
      </w:r>
      <w:r w:rsidR="00C17A02" w:rsidRPr="00E52214">
        <w:t xml:space="preserve"> and the progress in implementing the activities therein, including multi-country and regional approaches to delivering its services;</w:t>
      </w:r>
    </w:p>
    <w:p w14:paraId="63751E01" w14:textId="7987D49C" w:rsidR="00C17A02" w:rsidRPr="00B51064" w:rsidRDefault="002424D3" w:rsidP="002424D3">
      <w:pPr>
        <w:pStyle w:val="RegSingleTxtG"/>
        <w:numPr>
          <w:ilvl w:val="0"/>
          <w:numId w:val="0"/>
        </w:numPr>
        <w:ind w:left="1134"/>
      </w:pPr>
      <w:r w:rsidRPr="00B51064">
        <w:t>16.</w:t>
      </w:r>
      <w:r w:rsidRPr="00B51064">
        <w:tab/>
      </w:r>
      <w:r w:rsidR="00C17A02" w:rsidRPr="00B51064">
        <w:rPr>
          <w:i/>
        </w:rPr>
        <w:t>Also</w:t>
      </w:r>
      <w:r w:rsidR="00C17A02" w:rsidRPr="00B51064">
        <w:t xml:space="preserve"> </w:t>
      </w:r>
      <w:r w:rsidR="00C17A02" w:rsidRPr="00B51064">
        <w:rPr>
          <w:i/>
        </w:rPr>
        <w:t xml:space="preserve">welcomes </w:t>
      </w:r>
      <w:r w:rsidR="00C17A02" w:rsidRPr="00B51064">
        <w:t>the progress of the Climate Technology Centre and Network in collaborating with the Green Climate Fund and</w:t>
      </w:r>
      <w:r w:rsidR="00C17A02" w:rsidRPr="00E52214">
        <w:t xml:space="preserve"> </w:t>
      </w:r>
      <w:r w:rsidR="00C17A02" w:rsidRPr="00E52214">
        <w:rPr>
          <w:i/>
        </w:rPr>
        <w:t>encourages</w:t>
      </w:r>
      <w:r w:rsidR="00C17A02" w:rsidRPr="00E52214">
        <w:t xml:space="preserve"> the Climate Technology Centre and Network to </w:t>
      </w:r>
      <w:r w:rsidR="00C17A02" w:rsidRPr="002771AB">
        <w:t xml:space="preserve">continue this collaboration, including under </w:t>
      </w:r>
      <w:r w:rsidR="00C17A02" w:rsidRPr="00647559">
        <w:t xml:space="preserve">the </w:t>
      </w:r>
      <w:r w:rsidR="00C17A02">
        <w:t xml:space="preserve">Green Climate Fund </w:t>
      </w:r>
      <w:r w:rsidR="00C17A02" w:rsidRPr="002771AB">
        <w:t xml:space="preserve">Readiness and Preparatory Support Programme, </w:t>
      </w:r>
      <w:bookmarkStart w:id="19" w:name="_Hlk26528429"/>
      <w:r w:rsidR="00C17A02" w:rsidRPr="002771AB">
        <w:t>for, inter alia</w:t>
      </w:r>
      <w:r w:rsidR="00C17A02">
        <w:t>,</w:t>
      </w:r>
      <w:r w:rsidR="00C17A02" w:rsidRPr="002771AB">
        <w:t xml:space="preserve"> </w:t>
      </w:r>
      <w:bookmarkEnd w:id="19"/>
      <w:r w:rsidR="00C17A02" w:rsidRPr="002771AB">
        <w:t>developing and updating technology needs assessments and technology action plans to</w:t>
      </w:r>
      <w:r w:rsidR="00C17A02" w:rsidRPr="00E52214">
        <w:t xml:space="preserve"> support implementation of nationally determined contributions;</w:t>
      </w:r>
    </w:p>
    <w:p w14:paraId="1F0CF005" w14:textId="12D46733" w:rsidR="00C17A02" w:rsidRPr="00E52214" w:rsidRDefault="002424D3" w:rsidP="002424D3">
      <w:pPr>
        <w:pStyle w:val="RegSingleTxtG"/>
        <w:numPr>
          <w:ilvl w:val="0"/>
          <w:numId w:val="0"/>
        </w:numPr>
        <w:ind w:left="1134"/>
      </w:pPr>
      <w:r w:rsidRPr="00E52214">
        <w:t>17.</w:t>
      </w:r>
      <w:r w:rsidRPr="00E52214">
        <w:tab/>
      </w:r>
      <w:r w:rsidR="00C17A02" w:rsidRPr="00B51064">
        <w:rPr>
          <w:i/>
        </w:rPr>
        <w:t xml:space="preserve">Also encourages </w:t>
      </w:r>
      <w:r w:rsidR="00C17A02" w:rsidRPr="00B51064">
        <w:t>the Climate Technology Centre and Network to continue implementing plans and actions in response to the recommendations from the independent review of the effective implementation of the Climate Technology Centre and Network;</w:t>
      </w:r>
      <w:r w:rsidR="00C17A02" w:rsidRPr="00E52214">
        <w:rPr>
          <w:rStyle w:val="FootnoteReference"/>
        </w:rPr>
        <w:footnoteReference w:id="41"/>
      </w:r>
    </w:p>
    <w:p w14:paraId="4E60B99F" w14:textId="65589837" w:rsidR="00C17A02" w:rsidRPr="00E52214" w:rsidRDefault="002424D3" w:rsidP="002424D3">
      <w:pPr>
        <w:pStyle w:val="RegSingleTxtG"/>
        <w:numPr>
          <w:ilvl w:val="0"/>
          <w:numId w:val="0"/>
        </w:numPr>
        <w:ind w:left="1134"/>
      </w:pPr>
      <w:r w:rsidRPr="00E52214">
        <w:t>18.</w:t>
      </w:r>
      <w:r w:rsidRPr="00E52214">
        <w:tab/>
      </w:r>
      <w:r w:rsidR="00C17A02" w:rsidRPr="00B51064">
        <w:rPr>
          <w:i/>
          <w:lang w:val="en-US"/>
        </w:rPr>
        <w:t>Welcomes</w:t>
      </w:r>
      <w:r w:rsidR="00C17A02" w:rsidRPr="00B51064">
        <w:rPr>
          <w:lang w:val="en-US"/>
        </w:rPr>
        <w:t xml:space="preserve"> </w:t>
      </w:r>
      <w:r w:rsidR="00C17A02" w:rsidRPr="00B51064">
        <w:rPr>
          <w:i/>
          <w:lang w:val="en-US"/>
        </w:rPr>
        <w:t>with appreciation</w:t>
      </w:r>
      <w:r w:rsidR="00C17A02" w:rsidRPr="00B51064">
        <w:rPr>
          <w:lang w:val="en-US"/>
        </w:rPr>
        <w:t xml:space="preserve"> the collaboration of the Climate Technology Centre and Network with relevant stakeholders</w:t>
      </w:r>
      <w:r w:rsidR="00C17A02">
        <w:rPr>
          <w:lang w:val="en-US"/>
        </w:rPr>
        <w:t>, including the private sector,</w:t>
      </w:r>
      <w:r w:rsidR="00C17A02" w:rsidRPr="00B51064">
        <w:rPr>
          <w:lang w:val="en-US"/>
        </w:rPr>
        <w:t xml:space="preserve"> in implementing their activities, and</w:t>
      </w:r>
      <w:r w:rsidR="00C17A02" w:rsidRPr="00E52214">
        <w:rPr>
          <w:i/>
        </w:rPr>
        <w:t xml:space="preserve"> requests </w:t>
      </w:r>
      <w:r w:rsidR="00C17A02" w:rsidRPr="00E52214">
        <w:t xml:space="preserve">the Climate Technology Centre and Network to enhance </w:t>
      </w:r>
      <w:r w:rsidR="00C17A02" w:rsidRPr="00B51064">
        <w:rPr>
          <w:lang w:val="en-US"/>
        </w:rPr>
        <w:t>this collaboration</w:t>
      </w:r>
      <w:r w:rsidR="00C17A02" w:rsidRPr="00E52214">
        <w:t>;</w:t>
      </w:r>
    </w:p>
    <w:p w14:paraId="6FBDDF60" w14:textId="7DDB6903" w:rsidR="00C17A02" w:rsidRPr="00B51064" w:rsidRDefault="002424D3" w:rsidP="002424D3">
      <w:pPr>
        <w:pStyle w:val="RegSingleTxtG"/>
        <w:numPr>
          <w:ilvl w:val="0"/>
          <w:numId w:val="0"/>
        </w:numPr>
        <w:ind w:left="1134"/>
      </w:pPr>
      <w:r w:rsidRPr="00B51064">
        <w:t>19.</w:t>
      </w:r>
      <w:r w:rsidRPr="00B51064">
        <w:tab/>
      </w:r>
      <w:r w:rsidR="00C17A02" w:rsidRPr="00B51064">
        <w:rPr>
          <w:i/>
        </w:rPr>
        <w:t xml:space="preserve">Invites </w:t>
      </w:r>
      <w:r w:rsidR="00C17A02" w:rsidRPr="00B51064">
        <w:t>the Climate Technology Centre and Network to enhance engagement with Network members, including through new and innovative approaches, and to include information on this matter in the joint annual report of the Technology Executive Committee and the Climate Technology Centre and Network for 2020;</w:t>
      </w:r>
    </w:p>
    <w:p w14:paraId="622F652D" w14:textId="248783E3" w:rsidR="00C17A02" w:rsidRPr="00E52214" w:rsidRDefault="002424D3" w:rsidP="002424D3">
      <w:pPr>
        <w:pStyle w:val="RegSingleTxtG"/>
        <w:numPr>
          <w:ilvl w:val="0"/>
          <w:numId w:val="0"/>
        </w:numPr>
        <w:ind w:left="1134"/>
      </w:pPr>
      <w:r w:rsidRPr="00E52214">
        <w:t>20.</w:t>
      </w:r>
      <w:r w:rsidRPr="00E52214">
        <w:tab/>
      </w:r>
      <w:r w:rsidR="00C17A02" w:rsidRPr="00B51064">
        <w:rPr>
          <w:i/>
        </w:rPr>
        <w:t>Notes with appreciation</w:t>
      </w:r>
      <w:r w:rsidR="00C17A02" w:rsidRPr="00E52214">
        <w:t xml:space="preserve"> the continued efforts of the Climate Technology Centre and Network in mainstreaming gender consideration in its operations and technical assistance activities and </w:t>
      </w:r>
      <w:r w:rsidR="00C17A02" w:rsidRPr="00E52214">
        <w:rPr>
          <w:i/>
        </w:rPr>
        <w:t>encourages</w:t>
      </w:r>
      <w:r w:rsidR="00C17A02" w:rsidRPr="00E52214">
        <w:t xml:space="preserve"> the Climate Technology Centre and Network to continue </w:t>
      </w:r>
      <w:r w:rsidR="00C17A02" w:rsidRPr="00B51064">
        <w:t>these efforts and</w:t>
      </w:r>
      <w:r w:rsidR="00C17A02" w:rsidRPr="00E52214">
        <w:t xml:space="preserve"> to report </w:t>
      </w:r>
      <w:r w:rsidR="00C17A02">
        <w:t>thereon</w:t>
      </w:r>
      <w:r w:rsidR="00C17A02" w:rsidRPr="00E52214">
        <w:t>;</w:t>
      </w:r>
    </w:p>
    <w:p w14:paraId="4F496090" w14:textId="41BA5624" w:rsidR="00C17A02" w:rsidRPr="00B51064" w:rsidRDefault="002424D3" w:rsidP="002424D3">
      <w:pPr>
        <w:pStyle w:val="RegSingleTxtG"/>
        <w:numPr>
          <w:ilvl w:val="0"/>
          <w:numId w:val="0"/>
        </w:numPr>
        <w:ind w:left="1134"/>
      </w:pPr>
      <w:r w:rsidRPr="00B51064">
        <w:t>21.</w:t>
      </w:r>
      <w:r w:rsidRPr="00B51064">
        <w:tab/>
      </w:r>
      <w:r w:rsidR="00C17A02" w:rsidRPr="00B51064" w:rsidDel="0023197A">
        <w:rPr>
          <w:i/>
        </w:rPr>
        <w:t>Also</w:t>
      </w:r>
      <w:r w:rsidR="00C17A02" w:rsidRPr="00E52214" w:rsidDel="0023197A">
        <w:rPr>
          <w:i/>
        </w:rPr>
        <w:t xml:space="preserve"> </w:t>
      </w:r>
      <w:r w:rsidR="00C17A02" w:rsidRPr="00E52214">
        <w:rPr>
          <w:i/>
        </w:rPr>
        <w:t>notes with appreciation</w:t>
      </w:r>
      <w:r w:rsidR="00C17A02" w:rsidRPr="00E52214">
        <w:t xml:space="preserve"> the ongoing efforts of the Climate Technology Centre and Network to mobilize resources for implementing its functions, including pro bono and in-kind contributions;</w:t>
      </w:r>
    </w:p>
    <w:p w14:paraId="4D0A5FC2" w14:textId="12CF9CAD" w:rsidR="00C17A02" w:rsidRPr="00E52214" w:rsidRDefault="002424D3" w:rsidP="002424D3">
      <w:pPr>
        <w:pStyle w:val="RegSingleTxtG"/>
        <w:numPr>
          <w:ilvl w:val="0"/>
          <w:numId w:val="0"/>
        </w:numPr>
        <w:ind w:left="1134"/>
      </w:pPr>
      <w:r w:rsidRPr="00E52214">
        <w:t>22.</w:t>
      </w:r>
      <w:r w:rsidRPr="00E52214">
        <w:tab/>
      </w:r>
      <w:r w:rsidR="00C17A02" w:rsidRPr="00B51064">
        <w:rPr>
          <w:i/>
        </w:rPr>
        <w:t>Requests</w:t>
      </w:r>
      <w:r w:rsidR="00C17A02" w:rsidRPr="00B51064">
        <w:t xml:space="preserve"> the Climate Technology Centre and Network to analyse </w:t>
      </w:r>
      <w:r w:rsidR="00C050C1">
        <w:t xml:space="preserve">its </w:t>
      </w:r>
      <w:r w:rsidR="00C17A02" w:rsidRPr="00B51064">
        <w:t>experience and lessons learned with regard to pro bono and in-kind contributions</w:t>
      </w:r>
      <w:r w:rsidR="00C17A02" w:rsidRPr="00B51064">
        <w:rPr>
          <w:lang w:val="en-US"/>
        </w:rPr>
        <w:t>, including with a view to increasing such contributions,</w:t>
      </w:r>
      <w:r w:rsidR="00C17A02" w:rsidRPr="00E52214">
        <w:t xml:space="preserve"> and to include information thereon in the joint annual report of the Technology Executive Committee and the Climate Technology Centre and Network for 2020;</w:t>
      </w:r>
    </w:p>
    <w:p w14:paraId="22088173" w14:textId="031D36E5" w:rsidR="00C17A02" w:rsidRPr="00E52214" w:rsidRDefault="002424D3" w:rsidP="002424D3">
      <w:pPr>
        <w:pStyle w:val="RegSingleTxtG"/>
        <w:numPr>
          <w:ilvl w:val="0"/>
          <w:numId w:val="0"/>
        </w:numPr>
        <w:ind w:left="1134"/>
      </w:pPr>
      <w:r w:rsidRPr="00E52214">
        <w:t>23.</w:t>
      </w:r>
      <w:r w:rsidRPr="00E52214">
        <w:tab/>
      </w:r>
      <w:r w:rsidR="00C17A02" w:rsidRPr="00B51064">
        <w:rPr>
          <w:i/>
        </w:rPr>
        <w:t>Expresses</w:t>
      </w:r>
      <w:r w:rsidR="00C17A02" w:rsidRPr="00B51064">
        <w:t xml:space="preserve"> </w:t>
      </w:r>
      <w:r w:rsidR="00C17A02" w:rsidRPr="00B51064">
        <w:rPr>
          <w:i/>
        </w:rPr>
        <w:t>its appreciation</w:t>
      </w:r>
      <w:r w:rsidR="00C17A02" w:rsidRPr="00B51064">
        <w:t xml:space="preserve"> for the financial contributions provided by Parties to support the work of the Climate Technology Centre and Network to date</w:t>
      </w:r>
      <w:r w:rsidR="00C17A02" w:rsidRPr="00E52214">
        <w:t>;</w:t>
      </w:r>
    </w:p>
    <w:p w14:paraId="3B5AE8CD" w14:textId="6CD6AFA5" w:rsidR="00C17A02" w:rsidRPr="00E52214" w:rsidRDefault="002424D3" w:rsidP="002424D3">
      <w:pPr>
        <w:pStyle w:val="RegSingleTxtG"/>
        <w:numPr>
          <w:ilvl w:val="0"/>
          <w:numId w:val="0"/>
        </w:numPr>
        <w:ind w:left="1134"/>
      </w:pPr>
      <w:r w:rsidRPr="00E52214">
        <w:t>24.</w:t>
      </w:r>
      <w:r w:rsidRPr="00E52214">
        <w:tab/>
      </w:r>
      <w:r w:rsidR="00C17A02" w:rsidRPr="00E52214">
        <w:rPr>
          <w:i/>
        </w:rPr>
        <w:t xml:space="preserve">Notes </w:t>
      </w:r>
      <w:r w:rsidR="00C17A02" w:rsidRPr="00B51064">
        <w:rPr>
          <w:i/>
        </w:rPr>
        <w:t>with concern</w:t>
      </w:r>
      <w:r w:rsidR="00C17A02" w:rsidRPr="00E52214">
        <w:rPr>
          <w:i/>
        </w:rPr>
        <w:t xml:space="preserve"> </w:t>
      </w:r>
      <w:r w:rsidR="00C17A02" w:rsidRPr="00E52214">
        <w:t>the challenge of securing sustainable financial resources for the Climate Technology Centre and Network;</w:t>
      </w:r>
    </w:p>
    <w:p w14:paraId="29A1DA03" w14:textId="38DF629B" w:rsidR="00C17A02" w:rsidRPr="00C663BD" w:rsidRDefault="002424D3" w:rsidP="002424D3">
      <w:pPr>
        <w:pStyle w:val="RegSingleTxtG"/>
        <w:numPr>
          <w:ilvl w:val="0"/>
          <w:numId w:val="0"/>
        </w:numPr>
        <w:ind w:left="1134"/>
      </w:pPr>
      <w:r w:rsidRPr="00C663BD">
        <w:t>25.</w:t>
      </w:r>
      <w:r w:rsidRPr="00C663BD">
        <w:tab/>
      </w:r>
      <w:r w:rsidR="00C17A02" w:rsidRPr="00C663BD">
        <w:rPr>
          <w:i/>
        </w:rPr>
        <w:t>Recalls</w:t>
      </w:r>
      <w:r w:rsidR="00C17A02" w:rsidRPr="00C663BD">
        <w:t xml:space="preserve"> the memorandum of understanding between the Conference of the Parties and the United Nations Environment Programme regarding the hosting of the Climate Technology Centre, as contained in annex I to decision 14/CP.18, and </w:t>
      </w:r>
      <w:r w:rsidR="00C17A02" w:rsidRPr="00C663BD">
        <w:rPr>
          <w:i/>
        </w:rPr>
        <w:t>invites</w:t>
      </w:r>
      <w:r w:rsidR="00C17A02" w:rsidRPr="00C663BD">
        <w:t xml:space="preserve"> the United Nations Environment Programme, as the host of the Climate Technology Centre, to develop and implement plans to financially support the operation of the Climate Technology Centre and Network </w:t>
      </w:r>
      <w:r w:rsidR="00C17A02">
        <w:t xml:space="preserve">so as </w:t>
      </w:r>
      <w:r w:rsidR="00C17A02" w:rsidRPr="00C663BD">
        <w:t xml:space="preserve">to facilitate its effective functioning, in accordance with this </w:t>
      </w:r>
      <w:r w:rsidR="00C17A02">
        <w:t>m</w:t>
      </w:r>
      <w:r w:rsidR="00C17A02" w:rsidRPr="00C663BD">
        <w:t xml:space="preserve">emorandum of </w:t>
      </w:r>
      <w:r w:rsidR="00C17A02">
        <w:t>u</w:t>
      </w:r>
      <w:r w:rsidR="00C17A02" w:rsidRPr="00C663BD">
        <w:t>nderstanding</w:t>
      </w:r>
      <w:r w:rsidR="00C17A02">
        <w:t>;</w:t>
      </w:r>
    </w:p>
    <w:p w14:paraId="41358140" w14:textId="7CA09E21" w:rsidR="00C17A02" w:rsidRPr="00C663BD" w:rsidRDefault="002424D3" w:rsidP="002424D3">
      <w:pPr>
        <w:pStyle w:val="RegSingleTxtG"/>
        <w:numPr>
          <w:ilvl w:val="0"/>
          <w:numId w:val="0"/>
        </w:numPr>
        <w:ind w:left="1134"/>
      </w:pPr>
      <w:r w:rsidRPr="00C663BD">
        <w:t>26.</w:t>
      </w:r>
      <w:r w:rsidRPr="00C663BD">
        <w:tab/>
      </w:r>
      <w:r w:rsidR="00C17A02" w:rsidRPr="007270A1">
        <w:rPr>
          <w:i/>
        </w:rPr>
        <w:t>Requests</w:t>
      </w:r>
      <w:r w:rsidR="00C17A02" w:rsidRPr="00C663BD">
        <w:t xml:space="preserve"> the Climate Technology Centre and Network</w:t>
      </w:r>
      <w:r w:rsidR="00C17A02">
        <w:t xml:space="preserve"> to</w:t>
      </w:r>
      <w:r w:rsidR="00C17A02" w:rsidRPr="00C663BD">
        <w:t>:</w:t>
      </w:r>
    </w:p>
    <w:p w14:paraId="3CAC5E20" w14:textId="5A6C0249" w:rsidR="00C17A02" w:rsidRPr="00C663BD" w:rsidRDefault="002424D3" w:rsidP="002424D3">
      <w:pPr>
        <w:pStyle w:val="RegSingleTxtG2"/>
        <w:numPr>
          <w:ilvl w:val="0"/>
          <w:numId w:val="0"/>
        </w:numPr>
        <w:ind w:left="1134" w:firstLine="567"/>
      </w:pPr>
      <w:r w:rsidRPr="00C663BD">
        <w:rPr>
          <w:szCs w:val="28"/>
        </w:rPr>
        <w:t>(a)</w:t>
      </w:r>
      <w:r w:rsidRPr="00C663BD">
        <w:rPr>
          <w:szCs w:val="28"/>
        </w:rPr>
        <w:tab/>
      </w:r>
      <w:r w:rsidR="00C17A02">
        <w:t>E</w:t>
      </w:r>
      <w:r w:rsidR="00C17A02" w:rsidRPr="00C663BD">
        <w:t xml:space="preserve">nhance its resource mobilization efforts and further diversify the sources, including by exploring new and innovative </w:t>
      </w:r>
      <w:r w:rsidR="00C17A02" w:rsidRPr="007270A1">
        <w:t>ways, to</w:t>
      </w:r>
      <w:r w:rsidR="00C17A02" w:rsidRPr="00C663BD">
        <w:t xml:space="preserve"> support </w:t>
      </w:r>
      <w:r w:rsidR="00C17A02">
        <w:t>its</w:t>
      </w:r>
      <w:r w:rsidR="00C17A02" w:rsidRPr="00C663BD">
        <w:t xml:space="preserve"> operation </w:t>
      </w:r>
      <w:r w:rsidR="00C17A02">
        <w:t xml:space="preserve">in order </w:t>
      </w:r>
      <w:r w:rsidR="00C17A02" w:rsidRPr="00C663BD">
        <w:t>to effectively implement its programme of work;</w:t>
      </w:r>
    </w:p>
    <w:p w14:paraId="3BA3BE5A" w14:textId="076575FC" w:rsidR="00C17A02" w:rsidRDefault="002424D3" w:rsidP="002424D3">
      <w:pPr>
        <w:pStyle w:val="RegSingleTxtG2"/>
        <w:numPr>
          <w:ilvl w:val="0"/>
          <w:numId w:val="0"/>
        </w:numPr>
        <w:ind w:left="1134" w:firstLine="567"/>
      </w:pPr>
      <w:r>
        <w:rPr>
          <w:szCs w:val="28"/>
        </w:rPr>
        <w:t>(b)</w:t>
      </w:r>
      <w:r>
        <w:rPr>
          <w:szCs w:val="28"/>
        </w:rPr>
        <w:tab/>
      </w:r>
      <w:r w:rsidR="00C17A02">
        <w:t>R</w:t>
      </w:r>
      <w:r w:rsidR="00C17A02" w:rsidRPr="00C663BD">
        <w:t xml:space="preserve">eport on </w:t>
      </w:r>
      <w:r w:rsidR="00C17A02" w:rsidRPr="007270A1">
        <w:t>the</w:t>
      </w:r>
      <w:r w:rsidR="00C17A02" w:rsidRPr="00C663BD">
        <w:t xml:space="preserve"> activities and plans</w:t>
      </w:r>
      <w:r w:rsidR="00C17A02">
        <w:t xml:space="preserve"> referred to in paragraph 26(a) above</w:t>
      </w:r>
      <w:r w:rsidR="00C17A02" w:rsidRPr="00C663BD">
        <w:t xml:space="preserve"> in the joint annual reports of the Technology Executive Committee and the Climate Technology Centre and Network.</w:t>
      </w:r>
    </w:p>
    <w:p w14:paraId="320778D9" w14:textId="0232C111" w:rsidR="00C07533" w:rsidRDefault="00062E74" w:rsidP="00062E74">
      <w:pPr>
        <w:tabs>
          <w:tab w:val="left" w:pos="1701"/>
        </w:tabs>
        <w:spacing w:after="120"/>
        <w:ind w:left="1135" w:right="1134"/>
        <w:jc w:val="right"/>
        <w:rPr>
          <w:i/>
        </w:rPr>
      </w:pPr>
      <w:r>
        <w:rPr>
          <w:i/>
        </w:rPr>
        <w:t>7</w:t>
      </w:r>
      <w:r w:rsidRPr="00062E74">
        <w:rPr>
          <w:i/>
          <w:vertAlign w:val="superscript"/>
        </w:rPr>
        <w:t>th</w:t>
      </w:r>
      <w:r>
        <w:rPr>
          <w:i/>
        </w:rPr>
        <w:t xml:space="preserve"> plenary meeting</w:t>
      </w:r>
      <w:r>
        <w:rPr>
          <w:i/>
        </w:rPr>
        <w:br/>
        <w:t>12 December 2019</w:t>
      </w:r>
    </w:p>
    <w:p w14:paraId="0FC3EEB7" w14:textId="77777777" w:rsidR="00AD1FBB" w:rsidRDefault="00AD1FBB" w:rsidP="00AD1FBB">
      <w:pPr>
        <w:tabs>
          <w:tab w:val="left" w:pos="1701"/>
        </w:tabs>
        <w:spacing w:after="120"/>
        <w:ind w:left="1135" w:right="1134"/>
        <w:sectPr w:rsidR="00AD1FBB" w:rsidSect="00C92FFD">
          <w:headerReference w:type="even" r:id="rId59"/>
          <w:headerReference w:type="default" r:id="rId60"/>
          <w:footerReference w:type="even" r:id="rId61"/>
          <w:footerReference w:type="default" r:id="rId62"/>
          <w:headerReference w:type="first" r:id="rId63"/>
          <w:footerReference w:type="first" r:id="rId64"/>
          <w:footnotePr>
            <w:numRestart w:val="eachSect"/>
          </w:footnotePr>
          <w:pgSz w:w="11906" w:h="16838" w:code="9"/>
          <w:pgMar w:top="1417" w:right="1134" w:bottom="1134" w:left="1134" w:header="850" w:footer="567" w:gutter="0"/>
          <w:cols w:space="708"/>
          <w:docGrid w:linePitch="360"/>
        </w:sectPr>
      </w:pPr>
    </w:p>
    <w:p w14:paraId="4E429459" w14:textId="7CEB1A86" w:rsidR="00DB0E25" w:rsidRDefault="00DB0E25" w:rsidP="00DB0E25">
      <w:pPr>
        <w:pStyle w:val="HChG"/>
      </w:pPr>
      <w:r w:rsidRPr="00DB0E25">
        <w:tab/>
      </w:r>
      <w:r w:rsidRPr="00DB0E25">
        <w:tab/>
      </w:r>
      <w:bookmarkStart w:id="20" w:name="D15"/>
      <w:r w:rsidR="00BF5406">
        <w:tab/>
      </w:r>
      <w:r w:rsidRPr="00DB0E25">
        <w:t xml:space="preserve">Decision </w:t>
      </w:r>
      <w:r w:rsidR="00911C8D">
        <w:t>15</w:t>
      </w:r>
      <w:r w:rsidRPr="00DB0E25">
        <w:t>/CP.25</w:t>
      </w:r>
      <w:bookmarkEnd w:id="20"/>
    </w:p>
    <w:p w14:paraId="6B41EF99" w14:textId="38EBE5E2" w:rsidR="00DB0E25" w:rsidRPr="009B600A" w:rsidRDefault="00DB0E25" w:rsidP="00580108">
      <w:pPr>
        <w:pStyle w:val="HChG"/>
        <w:spacing w:before="280"/>
      </w:pPr>
      <w:r>
        <w:tab/>
      </w:r>
      <w:r>
        <w:tab/>
        <w:t xml:space="preserve">Terms of reference for the review </w:t>
      </w:r>
      <w:r w:rsidRPr="004E77DD">
        <w:t>of the Doha work programme on Article 6 of the Convention</w:t>
      </w:r>
    </w:p>
    <w:p w14:paraId="5B91B58B" w14:textId="77777777" w:rsidR="00DB0E25" w:rsidRPr="001D589F" w:rsidRDefault="00DB0E25" w:rsidP="00DB0E25">
      <w:pPr>
        <w:spacing w:before="120"/>
        <w:ind w:left="1134" w:right="1174" w:firstLine="567"/>
        <w:rPr>
          <w:i/>
        </w:rPr>
      </w:pPr>
      <w:r w:rsidRPr="001D589F">
        <w:rPr>
          <w:i/>
        </w:rPr>
        <w:t>The Conference of the Parties</w:t>
      </w:r>
      <w:r w:rsidRPr="001D589F">
        <w:t>,</w:t>
      </w:r>
    </w:p>
    <w:p w14:paraId="398F6976" w14:textId="605CAB20" w:rsidR="00580108" w:rsidRDefault="00DB0E25" w:rsidP="00DB0E25">
      <w:pPr>
        <w:spacing w:before="120"/>
        <w:ind w:left="1134" w:right="1174" w:firstLine="567"/>
        <w:jc w:val="both"/>
      </w:pPr>
      <w:r w:rsidRPr="001D589F">
        <w:rPr>
          <w:i/>
        </w:rPr>
        <w:t>Recalling</w:t>
      </w:r>
      <w:r w:rsidRPr="001D589F">
        <w:t xml:space="preserve"> decision 17/CP.22 and </w:t>
      </w:r>
      <w:r w:rsidRPr="001D589F" w:rsidDel="003719B4">
        <w:t xml:space="preserve">decision </w:t>
      </w:r>
      <w:r w:rsidRPr="001D589F">
        <w:t>17/CMA.1</w:t>
      </w:r>
      <w:r w:rsidR="00644838">
        <w:t>,</w:t>
      </w:r>
      <w:r w:rsidRPr="001D589F">
        <w:t xml:space="preserve"> in which it was decided that efforts related to the implementation of Article 6 of the Convention and Article 12 of the Paris Agreement should be referred to as Action for Climate Empowerment, </w:t>
      </w:r>
    </w:p>
    <w:p w14:paraId="7FEE8429" w14:textId="4DCDAA7C" w:rsidR="00DB0E25" w:rsidRPr="001D589F" w:rsidRDefault="00DB0E25" w:rsidP="00DB0E25">
      <w:pPr>
        <w:spacing w:before="120"/>
        <w:ind w:left="1134" w:right="1174" w:firstLine="567"/>
        <w:jc w:val="both"/>
        <w:rPr>
          <w:i/>
        </w:rPr>
      </w:pPr>
      <w:r w:rsidRPr="001D589F">
        <w:rPr>
          <w:i/>
        </w:rPr>
        <w:t>Reaffirming</w:t>
      </w:r>
      <w:r w:rsidRPr="001D589F">
        <w:t xml:space="preserve"> the importance of all elements of Article 6 of the Convention and of Article 12 of the Paris Agreement – education, training, public awareness, public participation and public access to information, and international cooperation – for the implementation of the ultimate objective of the Convention and the Paris Agreement, respectively,</w:t>
      </w:r>
    </w:p>
    <w:p w14:paraId="7C5123F5" w14:textId="77777777" w:rsidR="00DB0E25" w:rsidRPr="001D589F" w:rsidRDefault="00DB0E25" w:rsidP="00DB0E25">
      <w:pPr>
        <w:spacing w:before="120"/>
        <w:ind w:left="1134" w:right="1174" w:firstLine="567"/>
        <w:jc w:val="both"/>
        <w:rPr>
          <w:highlight w:val="green"/>
        </w:rPr>
      </w:pPr>
      <w:r w:rsidRPr="001D589F">
        <w:rPr>
          <w:i/>
        </w:rPr>
        <w:t xml:space="preserve">Also reaffirming </w:t>
      </w:r>
      <w:r w:rsidRPr="001D589F">
        <w:t>the key role that a broad range of stakeholders, inter alia, national governments, regions as applicable, cities, education and cultural institutions, museums, the private sector, intergovernmental organizations, non-governmental organizations, international organizations, decision makers, scientists, the media, teachers, youth, women and indigenous peoples, play in ensuring Action for Climate Empowerment,</w:t>
      </w:r>
    </w:p>
    <w:p w14:paraId="4FDD7300" w14:textId="618A0818" w:rsidR="00DB0E25" w:rsidRPr="001D589F" w:rsidRDefault="002424D3" w:rsidP="002424D3">
      <w:pPr>
        <w:pStyle w:val="RegSingleTxtG"/>
        <w:numPr>
          <w:ilvl w:val="0"/>
          <w:numId w:val="0"/>
        </w:numPr>
        <w:spacing w:before="120"/>
        <w:ind w:left="1134"/>
      </w:pPr>
      <w:r w:rsidRPr="001D589F">
        <w:t>1.</w:t>
      </w:r>
      <w:r w:rsidRPr="001D589F">
        <w:tab/>
      </w:r>
      <w:r w:rsidR="00DB0E25" w:rsidRPr="00911C8D">
        <w:rPr>
          <w:i/>
        </w:rPr>
        <w:t>Requests</w:t>
      </w:r>
      <w:r w:rsidR="00DB0E25" w:rsidRPr="001D589F">
        <w:t xml:space="preserve"> the Subsidiary Body for Implementation, at its fifty-second session (June 2020), to launch the review of the implementation of the Doha work programme on Article 6 of the Convention on the basis of the terms of reference contained in the annex, </w:t>
      </w:r>
      <w:r w:rsidR="00DB0E25" w:rsidRPr="001D589F" w:rsidDel="00A23F8D">
        <w:t xml:space="preserve">and </w:t>
      </w:r>
      <w:r w:rsidR="00DB0E25" w:rsidRPr="001D589F">
        <w:t>to consider future work to enhance the implementation of Article 6 of the Convention and Article 12 of the Paris Agreement</w:t>
      </w:r>
      <w:r w:rsidR="00DB0E25" w:rsidRPr="001D589F" w:rsidDel="00F23960">
        <w:t>,</w:t>
      </w:r>
      <w:r w:rsidR="00DB0E25" w:rsidRPr="001D589F">
        <w:t xml:space="preserve"> following the review of the Doha work programme, and to prepare a draft decision for consideration and adoption at the twenty-sixth session of the Conference of the Parties (November 2020);</w:t>
      </w:r>
    </w:p>
    <w:p w14:paraId="7D91B0B8" w14:textId="6E197428" w:rsidR="00DB0E25" w:rsidRPr="001D589F" w:rsidRDefault="002424D3" w:rsidP="002424D3">
      <w:pPr>
        <w:pStyle w:val="RegSingleTxtG"/>
        <w:numPr>
          <w:ilvl w:val="0"/>
          <w:numId w:val="0"/>
        </w:numPr>
        <w:ind w:left="1134"/>
      </w:pPr>
      <w:r w:rsidRPr="001D589F">
        <w:t>2.</w:t>
      </w:r>
      <w:r w:rsidRPr="001D589F">
        <w:tab/>
      </w:r>
      <w:r w:rsidR="00DB0E25" w:rsidRPr="001D589F">
        <w:rPr>
          <w:i/>
        </w:rPr>
        <w:t>Invites</w:t>
      </w:r>
      <w:r w:rsidR="00DB0E25" w:rsidRPr="001D589F">
        <w:t xml:space="preserve"> Parties, observer </w:t>
      </w:r>
      <w:r w:rsidR="00DB0E25" w:rsidRPr="001D589F" w:rsidDel="003872C6">
        <w:t xml:space="preserve">organizations </w:t>
      </w:r>
      <w:r w:rsidR="00DB0E25" w:rsidRPr="001D589F">
        <w:t>and other stakeholders to submit, via the submission portal</w:t>
      </w:r>
      <w:r w:rsidR="00DB0E25" w:rsidRPr="009550B6">
        <w:rPr>
          <w:sz w:val="18"/>
          <w:szCs w:val="18"/>
          <w:vertAlign w:val="superscript"/>
        </w:rPr>
        <w:footnoteReference w:id="42"/>
      </w:r>
      <w:r w:rsidR="00DB0E25" w:rsidRPr="001D589F">
        <w:t xml:space="preserve"> by 15 February 2020, information on steps taken to implement the Doha work programme and in relation to Action for Climate Empowerment, including activities and results, best practices, lessons learned and emerging gaps and needs, as well as recommendations and views on future work to enhance the implementation of Article 6 of the Convention and Article 12 of the Paris Agreement;</w:t>
      </w:r>
    </w:p>
    <w:p w14:paraId="59358E5C" w14:textId="22D20513" w:rsidR="00DB0E25" w:rsidRPr="001D589F" w:rsidRDefault="002424D3" w:rsidP="002424D3">
      <w:pPr>
        <w:pStyle w:val="RegSingleTxtG"/>
        <w:numPr>
          <w:ilvl w:val="0"/>
          <w:numId w:val="0"/>
        </w:numPr>
        <w:ind w:left="1134"/>
      </w:pPr>
      <w:r w:rsidRPr="001D589F">
        <w:t>3.</w:t>
      </w:r>
      <w:r w:rsidRPr="001D589F">
        <w:tab/>
      </w:r>
      <w:r w:rsidR="00DB0E25" w:rsidRPr="001D589F">
        <w:rPr>
          <w:i/>
        </w:rPr>
        <w:t>Also invites</w:t>
      </w:r>
      <w:r w:rsidR="00DB0E25" w:rsidRPr="001D589F">
        <w:t xml:space="preserve"> United Nations organizations, in particular the members of the United Nations Alliance on Climate Change Education, Training and Public Awareness, observer</w:t>
      </w:r>
      <w:r w:rsidR="00DB0E25" w:rsidRPr="001D589F" w:rsidDel="0064603B">
        <w:t xml:space="preserve"> organizations</w:t>
      </w:r>
      <w:r w:rsidR="00DB0E25" w:rsidRPr="001D589F">
        <w:t xml:space="preserve"> and other stakeholders to submit, via the submission portal</w:t>
      </w:r>
      <w:r w:rsidR="00DB0E25" w:rsidRPr="001D589F" w:rsidDel="0064603B">
        <w:rPr>
          <w:sz w:val="18"/>
          <w:vertAlign w:val="superscript"/>
        </w:rPr>
        <w:footnoteReference w:id="43"/>
      </w:r>
      <w:r w:rsidR="00DB0E25" w:rsidRPr="001D589F">
        <w:t xml:space="preserve"> by 15 February 2020, information on their activities to support the implementation of the Doha work programme and Action for Climate Empowerment, as well as recommendations and views on future work to enhance the implementation of Article 6 of the Convention and Article 12 of the Paris Agreement;</w:t>
      </w:r>
    </w:p>
    <w:p w14:paraId="76A341A6" w14:textId="00890002" w:rsidR="00DB0E25" w:rsidRPr="001D589F" w:rsidRDefault="002424D3" w:rsidP="002424D3">
      <w:pPr>
        <w:pStyle w:val="RegSingleTxtG"/>
        <w:numPr>
          <w:ilvl w:val="0"/>
          <w:numId w:val="0"/>
        </w:numPr>
        <w:ind w:left="1134"/>
      </w:pPr>
      <w:r w:rsidRPr="001D589F">
        <w:t>4.</w:t>
      </w:r>
      <w:r w:rsidRPr="001D589F">
        <w:tab/>
      </w:r>
      <w:r w:rsidR="00DB0E25" w:rsidRPr="001D589F">
        <w:rPr>
          <w:i/>
        </w:rPr>
        <w:t>Further invites</w:t>
      </w:r>
      <w:r w:rsidR="00DB0E25" w:rsidRPr="001D589F">
        <w:t xml:space="preserve"> Parties and observer</w:t>
      </w:r>
      <w:r w:rsidR="00DB0E25" w:rsidRPr="001D589F" w:rsidDel="0065178A">
        <w:t xml:space="preserve"> organizations</w:t>
      </w:r>
      <w:r w:rsidR="00DB0E25" w:rsidRPr="001D589F">
        <w:t xml:space="preserve"> to submit via the submission portal by 15 February 2020, their views on the agenda for the 8</w:t>
      </w:r>
      <w:r w:rsidR="00DB0E25" w:rsidRPr="001D589F">
        <w:rPr>
          <w:vertAlign w:val="superscript"/>
        </w:rPr>
        <w:t>th</w:t>
      </w:r>
      <w:r w:rsidR="00DB0E25" w:rsidRPr="001D589F">
        <w:t xml:space="preserve"> in-session Dialogue on Action for Climate Empowerment, which will advance the discussions on ways to enhance the implementation of Article 6 of the Convention and Article 12 of the Paris Agreement, following the review of the Doha work programme;</w:t>
      </w:r>
    </w:p>
    <w:p w14:paraId="701A8286" w14:textId="5C2E8AA0" w:rsidR="00DB0E25" w:rsidRPr="001D589F" w:rsidRDefault="002424D3" w:rsidP="002424D3">
      <w:pPr>
        <w:pStyle w:val="RegSingleTxtG"/>
        <w:numPr>
          <w:ilvl w:val="0"/>
          <w:numId w:val="0"/>
        </w:numPr>
        <w:ind w:left="1134"/>
      </w:pPr>
      <w:r w:rsidRPr="001D589F">
        <w:t>5.</w:t>
      </w:r>
      <w:r w:rsidRPr="001D589F">
        <w:tab/>
      </w:r>
      <w:r w:rsidR="00DB0E25" w:rsidRPr="001D589F">
        <w:rPr>
          <w:i/>
        </w:rPr>
        <w:t>Requests</w:t>
      </w:r>
      <w:r w:rsidR="00DB0E25" w:rsidRPr="001D589F">
        <w:t xml:space="preserve"> the secretariat to organize the 8</w:t>
      </w:r>
      <w:r w:rsidR="00DB0E25" w:rsidRPr="001D589F">
        <w:rPr>
          <w:vertAlign w:val="superscript"/>
        </w:rPr>
        <w:t>th</w:t>
      </w:r>
      <w:r w:rsidR="00DB0E25" w:rsidRPr="001D589F">
        <w:t xml:space="preserve"> in-session Dialogue on Action for Climate Empowerment in 2020 to advance the discussions on recommendations and views on future work to enhance the implementation of Article 6 of the Convention and Article 12 of the Paris Agreement; </w:t>
      </w:r>
    </w:p>
    <w:p w14:paraId="440E4D62" w14:textId="57546835" w:rsidR="00DB0E25" w:rsidRPr="001D589F" w:rsidRDefault="002424D3" w:rsidP="002424D3">
      <w:pPr>
        <w:pStyle w:val="RegSingleTxtG"/>
        <w:numPr>
          <w:ilvl w:val="0"/>
          <w:numId w:val="0"/>
        </w:numPr>
        <w:ind w:left="1134"/>
      </w:pPr>
      <w:r w:rsidRPr="001D589F">
        <w:t>6.</w:t>
      </w:r>
      <w:r w:rsidRPr="001D589F">
        <w:tab/>
      </w:r>
      <w:r w:rsidR="00DB0E25" w:rsidRPr="001D589F">
        <w:rPr>
          <w:i/>
        </w:rPr>
        <w:t>Takes note</w:t>
      </w:r>
      <w:r w:rsidR="00DB0E25" w:rsidRPr="001D589F">
        <w:t xml:space="preserve"> of the estimated budgetary implications of the activities to be undertaken by the secretariat referred to in the annex;</w:t>
      </w:r>
    </w:p>
    <w:p w14:paraId="73BB886F" w14:textId="0458A23B" w:rsidR="00DB0E25" w:rsidRPr="001D589F" w:rsidRDefault="002424D3" w:rsidP="002424D3">
      <w:pPr>
        <w:pStyle w:val="RegSingleTxtG"/>
        <w:numPr>
          <w:ilvl w:val="0"/>
          <w:numId w:val="0"/>
        </w:numPr>
        <w:ind w:left="1134"/>
      </w:pPr>
      <w:r w:rsidRPr="001D589F">
        <w:t>7.</w:t>
      </w:r>
      <w:r w:rsidRPr="001D589F">
        <w:tab/>
      </w:r>
      <w:r w:rsidR="00DB0E25" w:rsidRPr="001D589F">
        <w:rPr>
          <w:i/>
        </w:rPr>
        <w:t>Requests</w:t>
      </w:r>
      <w:r w:rsidR="00DB0E25" w:rsidRPr="001D589F">
        <w:t xml:space="preserve"> that the actions of the secretariat called for in this decision be undertaken subject to the availability of financial resources.</w:t>
      </w:r>
    </w:p>
    <w:p w14:paraId="77EA0BE5" w14:textId="77777777" w:rsidR="00580108" w:rsidRDefault="00580108" w:rsidP="00DB0E25">
      <w:pPr>
        <w:suppressAutoHyphens w:val="0"/>
        <w:spacing w:line="240" w:lineRule="auto"/>
        <w:rPr>
          <w:u w:val="single"/>
        </w:rPr>
        <w:sectPr w:rsidR="00580108" w:rsidSect="00C92FFD">
          <w:headerReference w:type="even" r:id="rId65"/>
          <w:headerReference w:type="default" r:id="rId66"/>
          <w:footerReference w:type="even" r:id="rId67"/>
          <w:footerReference w:type="default" r:id="rId68"/>
          <w:headerReference w:type="first" r:id="rId69"/>
          <w:footerReference w:type="first" r:id="rId70"/>
          <w:footnotePr>
            <w:numRestart w:val="eachSect"/>
          </w:footnotePr>
          <w:pgSz w:w="11906" w:h="16838" w:code="9"/>
          <w:pgMar w:top="1417" w:right="1134" w:bottom="1134" w:left="1134" w:header="850" w:footer="567" w:gutter="0"/>
          <w:cols w:space="708"/>
          <w:docGrid w:linePitch="360"/>
        </w:sectPr>
      </w:pPr>
    </w:p>
    <w:p w14:paraId="20AB7C00" w14:textId="77777777" w:rsidR="00DB0E25" w:rsidRPr="001D589F" w:rsidRDefault="00DB0E25" w:rsidP="00DB0E25">
      <w:pPr>
        <w:keepNext/>
        <w:keepLines/>
        <w:tabs>
          <w:tab w:val="right" w:pos="851"/>
        </w:tabs>
        <w:spacing w:after="240" w:line="300" w:lineRule="exact"/>
        <w:ind w:left="1134" w:right="1134" w:hanging="1134"/>
        <w:rPr>
          <w:b/>
          <w:sz w:val="28"/>
        </w:rPr>
      </w:pPr>
      <w:r w:rsidRPr="001D589F">
        <w:rPr>
          <w:b/>
          <w:sz w:val="28"/>
        </w:rPr>
        <w:t>Annex</w:t>
      </w:r>
    </w:p>
    <w:p w14:paraId="6DC0DFD8" w14:textId="77777777" w:rsidR="00DB0E25" w:rsidRPr="00C85218" w:rsidRDefault="00DB0E25" w:rsidP="00DB0E25">
      <w:pPr>
        <w:keepNext/>
        <w:keepLines/>
        <w:spacing w:before="360" w:after="240" w:line="270" w:lineRule="exact"/>
        <w:ind w:left="1134" w:right="1134"/>
        <w:rPr>
          <w:b/>
          <w:sz w:val="28"/>
          <w:szCs w:val="28"/>
        </w:rPr>
      </w:pPr>
      <w:r w:rsidRPr="00C85218">
        <w:rPr>
          <w:b/>
          <w:sz w:val="28"/>
          <w:szCs w:val="28"/>
        </w:rPr>
        <w:t>Terms of reference for the review of the implementation of the Doha work programme on Article 6 of the Convention</w:t>
      </w:r>
    </w:p>
    <w:p w14:paraId="1B584520" w14:textId="6D983C92" w:rsidR="00DB0E25" w:rsidRPr="001D589F" w:rsidRDefault="002424D3" w:rsidP="000D6B56">
      <w:pPr>
        <w:pStyle w:val="RegHChG"/>
        <w:numPr>
          <w:ilvl w:val="0"/>
          <w:numId w:val="0"/>
        </w:numPr>
        <w:tabs>
          <w:tab w:val="left" w:pos="1135"/>
        </w:tabs>
        <w:ind w:left="1135" w:hanging="454"/>
      </w:pPr>
      <w:r w:rsidRPr="001D589F">
        <w:t>I.</w:t>
      </w:r>
      <w:r w:rsidRPr="001D589F">
        <w:tab/>
      </w:r>
      <w:r w:rsidR="00DB0E25" w:rsidRPr="001D589F">
        <w:t>Mandate</w:t>
      </w:r>
    </w:p>
    <w:p w14:paraId="2460A695" w14:textId="56A40673" w:rsidR="00DB0E25" w:rsidRPr="001D589F" w:rsidRDefault="002424D3" w:rsidP="002424D3">
      <w:pPr>
        <w:pStyle w:val="RegSingleTxtG"/>
        <w:numPr>
          <w:ilvl w:val="0"/>
          <w:numId w:val="0"/>
        </w:numPr>
        <w:ind w:left="1134"/>
      </w:pPr>
      <w:r w:rsidRPr="001D589F">
        <w:t>1.</w:t>
      </w:r>
      <w:r w:rsidRPr="001D589F">
        <w:tab/>
      </w:r>
      <w:r w:rsidR="00DB0E25" w:rsidRPr="001D589F">
        <w:t>At its eighteenth session, the Conference of the Parties (COP) adopted the eight-year Doha work programme on Article 6 of the Convention and decided that it would be reviewed in 2020, with an intermediate review of progress in 2016, to evaluate its effectiveness, identify any emerging gaps and needs, and inform any decisions on improving the effectiveness of the work programme, as appropriate.</w:t>
      </w:r>
      <w:r w:rsidR="00DB0E25" w:rsidRPr="001D589F">
        <w:rPr>
          <w:sz w:val="18"/>
          <w:vertAlign w:val="superscript"/>
        </w:rPr>
        <w:footnoteReference w:id="44"/>
      </w:r>
    </w:p>
    <w:p w14:paraId="2AE36052" w14:textId="61C17B4C" w:rsidR="00DB0E25" w:rsidRPr="001D589F" w:rsidRDefault="002424D3" w:rsidP="002424D3">
      <w:pPr>
        <w:pStyle w:val="RegSingleTxtG"/>
        <w:numPr>
          <w:ilvl w:val="0"/>
          <w:numId w:val="0"/>
        </w:numPr>
        <w:ind w:left="1134"/>
      </w:pPr>
      <w:r w:rsidRPr="001D589F">
        <w:t>2.</w:t>
      </w:r>
      <w:r w:rsidRPr="001D589F">
        <w:tab/>
      </w:r>
      <w:r w:rsidR="00DB0E25" w:rsidRPr="001D589F">
        <w:t>At the same session, the COP requested the secretariat to prepare reports on the progress made by Parties in implementing Article 6 of the Convention based on information contained in national communications, reports on the annual in-session Dialogue on Action for Climate Empowerment</w:t>
      </w:r>
      <w:r w:rsidR="00DB0E25" w:rsidRPr="001D589F">
        <w:rPr>
          <w:sz w:val="18"/>
          <w:vertAlign w:val="superscript"/>
        </w:rPr>
        <w:footnoteReference w:id="45"/>
      </w:r>
      <w:r w:rsidR="00DB0E25" w:rsidRPr="001D589F">
        <w:t xml:space="preserve"> and other sources of information, including a report on good practices of stakeholder participation in implementing Article 6 activities.</w:t>
      </w:r>
      <w:r w:rsidR="00DB0E25" w:rsidRPr="001D589F">
        <w:rPr>
          <w:sz w:val="18"/>
          <w:vertAlign w:val="superscript"/>
        </w:rPr>
        <w:footnoteReference w:id="46"/>
      </w:r>
      <w:r w:rsidR="00DB0E25" w:rsidRPr="001D589F">
        <w:t xml:space="preserve"> The report on progress made in implementing the Doha work programme</w:t>
      </w:r>
      <w:r w:rsidR="00DB0E25" w:rsidRPr="001D589F">
        <w:rPr>
          <w:sz w:val="18"/>
          <w:vertAlign w:val="superscript"/>
        </w:rPr>
        <w:footnoteReference w:id="47"/>
      </w:r>
      <w:r w:rsidR="00DB0E25" w:rsidRPr="001D589F">
        <w:t xml:space="preserve"> was issued for the intermediate progress review in 2016. </w:t>
      </w:r>
    </w:p>
    <w:p w14:paraId="6FF2FA7C" w14:textId="13CAAFA8" w:rsidR="00DB0E25" w:rsidRPr="001D589F" w:rsidRDefault="002424D3" w:rsidP="002424D3">
      <w:pPr>
        <w:pStyle w:val="RegSingleTxtG"/>
        <w:numPr>
          <w:ilvl w:val="0"/>
          <w:numId w:val="0"/>
        </w:numPr>
        <w:ind w:left="1134"/>
      </w:pPr>
      <w:r w:rsidRPr="001D589F">
        <w:t>3.</w:t>
      </w:r>
      <w:r w:rsidRPr="001D589F">
        <w:tab/>
      </w:r>
      <w:r w:rsidR="00DB0E25" w:rsidRPr="001D589F">
        <w:t>The COP was invited</w:t>
      </w:r>
      <w:r w:rsidR="001B00ED" w:rsidRPr="001D589F">
        <w:rPr>
          <w:sz w:val="18"/>
          <w:vertAlign w:val="superscript"/>
        </w:rPr>
        <w:footnoteReference w:id="48"/>
      </w:r>
      <w:r w:rsidR="00DB0E25" w:rsidRPr="001D589F" w:rsidDel="000F11CA">
        <w:t xml:space="preserve"> by</w:t>
      </w:r>
      <w:r w:rsidR="000F11CA">
        <w:t xml:space="preserve"> </w:t>
      </w:r>
      <w:r w:rsidR="00DB0E25" w:rsidRPr="001D589F">
        <w:t>the Conference of the Parties serving as the meeting of the Parties to the Paris Agreement to also include efforts related to the implementation of Article 12 of the Paris Agreement when reviewing the Doha work programme in accordance with decision 15/CP.18.</w:t>
      </w:r>
    </w:p>
    <w:p w14:paraId="578058F0" w14:textId="0CF7A6E7" w:rsidR="00DB0E25" w:rsidRPr="004145DB" w:rsidRDefault="002424D3" w:rsidP="000D6B56">
      <w:pPr>
        <w:pStyle w:val="RegHChG"/>
        <w:numPr>
          <w:ilvl w:val="0"/>
          <w:numId w:val="0"/>
        </w:numPr>
        <w:tabs>
          <w:tab w:val="left" w:pos="1135"/>
        </w:tabs>
        <w:ind w:left="1135" w:hanging="454"/>
      </w:pPr>
      <w:r w:rsidRPr="004145DB">
        <w:t>II.</w:t>
      </w:r>
      <w:r w:rsidRPr="004145DB">
        <w:tab/>
      </w:r>
      <w:r w:rsidR="00DB0E25" w:rsidRPr="004145DB">
        <w:t>Objectives</w:t>
      </w:r>
    </w:p>
    <w:p w14:paraId="71E0CC9F" w14:textId="175402AF" w:rsidR="00DB0E25" w:rsidRPr="001D589F" w:rsidRDefault="002424D3" w:rsidP="002424D3">
      <w:pPr>
        <w:pStyle w:val="RegSingleTxtG"/>
        <w:numPr>
          <w:ilvl w:val="0"/>
          <w:numId w:val="0"/>
        </w:numPr>
        <w:ind w:left="1134"/>
      </w:pPr>
      <w:r w:rsidRPr="001D589F">
        <w:t>4.</w:t>
      </w:r>
      <w:r w:rsidRPr="001D589F">
        <w:tab/>
      </w:r>
      <w:r w:rsidR="00DB0E25" w:rsidRPr="001D589F">
        <w:t>With a view to encouraging improvement based on experience, the objectives of the review of the implementation of the Doha work programme are:</w:t>
      </w:r>
    </w:p>
    <w:p w14:paraId="5816DD02" w14:textId="2ADA64A6" w:rsidR="00DB0E25" w:rsidRPr="001D589F" w:rsidRDefault="002424D3" w:rsidP="002424D3">
      <w:pPr>
        <w:pStyle w:val="RegSingleTxtG2"/>
        <w:numPr>
          <w:ilvl w:val="0"/>
          <w:numId w:val="0"/>
        </w:numPr>
        <w:ind w:left="1134" w:firstLine="567"/>
      </w:pPr>
      <w:r w:rsidRPr="001D589F">
        <w:rPr>
          <w:szCs w:val="28"/>
        </w:rPr>
        <w:t>(a)</w:t>
      </w:r>
      <w:r w:rsidRPr="001D589F">
        <w:rPr>
          <w:szCs w:val="28"/>
        </w:rPr>
        <w:tab/>
      </w:r>
      <w:r w:rsidR="00DB0E25" w:rsidRPr="001D589F" w:rsidDel="00797C0F">
        <w:t xml:space="preserve">To </w:t>
      </w:r>
      <w:r w:rsidR="00DB0E25" w:rsidRPr="001D589F">
        <w:t>take stock of the progress made in the implementation of the Doha work programme and Action for Climate Empowerment to date, noting that this work is still ongoing;</w:t>
      </w:r>
    </w:p>
    <w:p w14:paraId="00296947" w14:textId="22442208" w:rsidR="00DB0E25" w:rsidRPr="001D589F" w:rsidRDefault="002424D3" w:rsidP="002424D3">
      <w:pPr>
        <w:pStyle w:val="RegSingleTxtG2"/>
        <w:numPr>
          <w:ilvl w:val="0"/>
          <w:numId w:val="0"/>
        </w:numPr>
        <w:ind w:left="1134" w:firstLine="567"/>
      </w:pPr>
      <w:r w:rsidRPr="001D589F">
        <w:rPr>
          <w:szCs w:val="28"/>
        </w:rPr>
        <w:t>(b)</w:t>
      </w:r>
      <w:r w:rsidRPr="001D589F">
        <w:rPr>
          <w:szCs w:val="28"/>
        </w:rPr>
        <w:tab/>
      </w:r>
      <w:r w:rsidR="00DB0E25" w:rsidRPr="001D589F" w:rsidDel="00424A10">
        <w:t xml:space="preserve">To </w:t>
      </w:r>
      <w:r w:rsidR="00DB0E25" w:rsidRPr="001D589F">
        <w:t>evaluate</w:t>
      </w:r>
      <w:r w:rsidR="00A1230D">
        <w:t xml:space="preserve"> its </w:t>
      </w:r>
      <w:r w:rsidR="00DB0E25" w:rsidRPr="001D589F">
        <w:t>effectiveness and identify essential needs, emerging gaps in and barriers to the implementation of the Doha work programme;</w:t>
      </w:r>
    </w:p>
    <w:p w14:paraId="4FB86A36" w14:textId="7466AE93" w:rsidR="00DB0E25" w:rsidRPr="001D589F" w:rsidRDefault="002424D3" w:rsidP="002424D3">
      <w:pPr>
        <w:pStyle w:val="RegSingleTxtG2"/>
        <w:numPr>
          <w:ilvl w:val="0"/>
          <w:numId w:val="0"/>
        </w:numPr>
        <w:ind w:left="1134" w:firstLine="567"/>
      </w:pPr>
      <w:r w:rsidRPr="001D589F">
        <w:rPr>
          <w:szCs w:val="28"/>
        </w:rPr>
        <w:t>(c)</w:t>
      </w:r>
      <w:r w:rsidRPr="001D589F">
        <w:rPr>
          <w:szCs w:val="28"/>
        </w:rPr>
        <w:tab/>
      </w:r>
      <w:r w:rsidR="00DB0E25" w:rsidRPr="001D589F" w:rsidDel="0024390B">
        <w:t xml:space="preserve">To </w:t>
      </w:r>
      <w:r w:rsidR="00DB0E25" w:rsidRPr="001D589F">
        <w:t xml:space="preserve">identify good practices and lessons learned with a view to their dissemination, promotion and replication, as appropriate; </w:t>
      </w:r>
    </w:p>
    <w:p w14:paraId="0A76311D" w14:textId="76FA1E3B" w:rsidR="00DB0E25" w:rsidRPr="001D589F" w:rsidRDefault="002424D3" w:rsidP="002424D3">
      <w:pPr>
        <w:pStyle w:val="RegSingleTxtG2"/>
        <w:numPr>
          <w:ilvl w:val="0"/>
          <w:numId w:val="0"/>
        </w:numPr>
        <w:ind w:left="1135" w:firstLine="567"/>
      </w:pPr>
      <w:r w:rsidRPr="001D589F">
        <w:rPr>
          <w:szCs w:val="28"/>
        </w:rPr>
        <w:t>(d)</w:t>
      </w:r>
      <w:r w:rsidRPr="001D589F">
        <w:rPr>
          <w:szCs w:val="28"/>
        </w:rPr>
        <w:tab/>
      </w:r>
      <w:r w:rsidR="00DB0E25" w:rsidRPr="001D589F" w:rsidDel="0024390B">
        <w:t xml:space="preserve">To </w:t>
      </w:r>
      <w:r w:rsidR="00DB0E25" w:rsidRPr="001D589F">
        <w:t>identify recommendations and possible further actions on enhancing the implementation of Article 6 of the Convention and Article 12 of the Paris Agreement, with regard to future work on Action for Climate Empowerment, following the review of the Doha work programme.</w:t>
      </w:r>
    </w:p>
    <w:p w14:paraId="7346D75C" w14:textId="06D00FC8" w:rsidR="00DB0E25" w:rsidRPr="004145DB" w:rsidRDefault="002424D3" w:rsidP="000D6B56">
      <w:pPr>
        <w:pStyle w:val="RegHChG"/>
        <w:numPr>
          <w:ilvl w:val="0"/>
          <w:numId w:val="0"/>
        </w:numPr>
        <w:tabs>
          <w:tab w:val="left" w:pos="1135"/>
        </w:tabs>
        <w:ind w:left="1135" w:hanging="454"/>
      </w:pPr>
      <w:r w:rsidRPr="004145DB">
        <w:t>III.</w:t>
      </w:r>
      <w:r w:rsidRPr="004145DB">
        <w:tab/>
      </w:r>
      <w:r w:rsidR="00DB0E25" w:rsidRPr="004145DB">
        <w:t>Information sources</w:t>
      </w:r>
    </w:p>
    <w:p w14:paraId="7FC0DC9A" w14:textId="6BE3375E" w:rsidR="00DB0E25" w:rsidRPr="001D589F" w:rsidRDefault="002424D3" w:rsidP="002424D3">
      <w:pPr>
        <w:pStyle w:val="RegSingleTxtG"/>
        <w:numPr>
          <w:ilvl w:val="0"/>
          <w:numId w:val="0"/>
        </w:numPr>
        <w:ind w:left="1134"/>
      </w:pPr>
      <w:r w:rsidRPr="001D589F">
        <w:t>5.</w:t>
      </w:r>
      <w:r w:rsidRPr="001D589F">
        <w:tab/>
      </w:r>
      <w:r w:rsidR="00DB0E25" w:rsidRPr="001D589F">
        <w:t>Information for the review of the Doha work programme should be drawn from, inter alia:</w:t>
      </w:r>
    </w:p>
    <w:p w14:paraId="24DC0DA3" w14:textId="4ED8BD4E" w:rsidR="00DB0E25" w:rsidRPr="001D589F" w:rsidRDefault="002424D3" w:rsidP="002424D3">
      <w:pPr>
        <w:pStyle w:val="RegSingleTxtG2"/>
        <w:numPr>
          <w:ilvl w:val="0"/>
          <w:numId w:val="0"/>
        </w:numPr>
        <w:ind w:left="1135" w:firstLine="567"/>
      </w:pPr>
      <w:r w:rsidRPr="001D589F">
        <w:rPr>
          <w:szCs w:val="28"/>
        </w:rPr>
        <w:t>(a)</w:t>
      </w:r>
      <w:r w:rsidRPr="001D589F">
        <w:rPr>
          <w:szCs w:val="28"/>
        </w:rPr>
        <w:tab/>
      </w:r>
      <w:r w:rsidR="00DB0E25" w:rsidRPr="001D589F">
        <w:t>Reports</w:t>
      </w:r>
      <w:r w:rsidR="00831138">
        <w:t xml:space="preserve"> </w:t>
      </w:r>
      <w:r w:rsidR="00DB0E25" w:rsidRPr="001D589F">
        <w:t>and outcomes of the annual in-session Dialogue on Action for Climate Empowerment, which ha</w:t>
      </w:r>
      <w:r w:rsidR="005F1187">
        <w:t>s</w:t>
      </w:r>
      <w:r w:rsidR="00DB0E25" w:rsidRPr="001D589F">
        <w:t xml:space="preserve"> been conducted under the Doha </w:t>
      </w:r>
      <w:r w:rsidR="00435C0D">
        <w:t>w</w:t>
      </w:r>
      <w:r w:rsidR="00DB0E25" w:rsidRPr="001D589F">
        <w:t xml:space="preserve">ork </w:t>
      </w:r>
      <w:r w:rsidR="00435C0D">
        <w:t>p</w:t>
      </w:r>
      <w:r w:rsidR="00DB0E25" w:rsidRPr="001D589F">
        <w:t>rogramme since 2013;</w:t>
      </w:r>
    </w:p>
    <w:p w14:paraId="2903EC46" w14:textId="79C9D40C" w:rsidR="00DB0E25" w:rsidRPr="001D589F" w:rsidRDefault="002424D3" w:rsidP="002424D3">
      <w:pPr>
        <w:pStyle w:val="RegSingleTxtG2"/>
        <w:numPr>
          <w:ilvl w:val="0"/>
          <w:numId w:val="0"/>
        </w:numPr>
        <w:ind w:left="1135" w:firstLine="567"/>
      </w:pPr>
      <w:r w:rsidRPr="001D589F">
        <w:rPr>
          <w:szCs w:val="28"/>
        </w:rPr>
        <w:t>(b)</w:t>
      </w:r>
      <w:r w:rsidRPr="001D589F">
        <w:rPr>
          <w:szCs w:val="28"/>
        </w:rPr>
        <w:tab/>
      </w:r>
      <w:r w:rsidR="00DB0E25" w:rsidRPr="001D589F">
        <w:t>Information submitted by Parties, observer</w:t>
      </w:r>
      <w:r w:rsidR="00DB0E25" w:rsidRPr="001D589F" w:rsidDel="00FD7128">
        <w:t xml:space="preserve"> organizations</w:t>
      </w:r>
      <w:r w:rsidR="00DB0E25" w:rsidRPr="001D589F">
        <w:t xml:space="preserve"> and other stakeholders in response to the invitation</w:t>
      </w:r>
      <w:r w:rsidR="006C32B5">
        <w:t>s</w:t>
      </w:r>
      <w:r w:rsidR="00DB0E25" w:rsidRPr="001D589F">
        <w:t xml:space="preserve"> contained in paragraphs 2</w:t>
      </w:r>
      <w:r w:rsidR="00056299">
        <w:t>–</w:t>
      </w:r>
      <w:r w:rsidR="00DB0E25" w:rsidRPr="001D589F">
        <w:t>3 of this decision;</w:t>
      </w:r>
    </w:p>
    <w:p w14:paraId="168C0CE7" w14:textId="6612C985" w:rsidR="00DB0E25" w:rsidRPr="001D589F" w:rsidRDefault="002424D3" w:rsidP="002424D3">
      <w:pPr>
        <w:pStyle w:val="RegSingleTxtG2"/>
        <w:numPr>
          <w:ilvl w:val="0"/>
          <w:numId w:val="0"/>
        </w:numPr>
        <w:ind w:left="1135" w:firstLine="567"/>
      </w:pPr>
      <w:r w:rsidRPr="001D589F">
        <w:rPr>
          <w:szCs w:val="28"/>
        </w:rPr>
        <w:t>(c)</w:t>
      </w:r>
      <w:r w:rsidRPr="001D589F">
        <w:rPr>
          <w:szCs w:val="28"/>
        </w:rPr>
        <w:tab/>
      </w:r>
      <w:r w:rsidR="00DB0E25" w:rsidRPr="001D589F">
        <w:t xml:space="preserve">The outcomes of the </w:t>
      </w:r>
      <w:bookmarkStart w:id="21" w:name="_Hlk11397077"/>
      <w:r w:rsidR="00DB0E25" w:rsidRPr="001D589F">
        <w:t xml:space="preserve">Action for Climate Empowerment </w:t>
      </w:r>
      <w:bookmarkEnd w:id="21"/>
      <w:r w:rsidR="00DB0E25" w:rsidRPr="001D589F">
        <w:t>workshop held at the forty-eighth session of the Subsidiary Body for Implementation (SBI)</w:t>
      </w:r>
      <w:r w:rsidR="00DB0E25" w:rsidRPr="002B616B">
        <w:rPr>
          <w:sz w:val="18"/>
          <w:szCs w:val="18"/>
          <w:vertAlign w:val="superscript"/>
        </w:rPr>
        <w:footnoteReference w:id="49"/>
      </w:r>
      <w:r w:rsidR="00DB0E25" w:rsidRPr="001D589F">
        <w:t xml:space="preserve"> and the Action for Climate Empowerment youth forum organized on 29 April 2018;</w:t>
      </w:r>
      <w:r w:rsidR="00DB0E25" w:rsidRPr="002B616B">
        <w:rPr>
          <w:sz w:val="18"/>
          <w:szCs w:val="18"/>
          <w:vertAlign w:val="superscript"/>
        </w:rPr>
        <w:footnoteReference w:id="50"/>
      </w:r>
    </w:p>
    <w:p w14:paraId="15D7BABC" w14:textId="7749D239" w:rsidR="00DB0E25" w:rsidRPr="001D589F" w:rsidRDefault="002424D3" w:rsidP="002424D3">
      <w:pPr>
        <w:pStyle w:val="RegSingleTxtG2"/>
        <w:numPr>
          <w:ilvl w:val="0"/>
          <w:numId w:val="0"/>
        </w:numPr>
        <w:ind w:left="1135" w:firstLine="567"/>
      </w:pPr>
      <w:r w:rsidRPr="001D589F">
        <w:rPr>
          <w:szCs w:val="28"/>
        </w:rPr>
        <w:t>(d)</w:t>
      </w:r>
      <w:r w:rsidRPr="001D589F">
        <w:rPr>
          <w:szCs w:val="28"/>
        </w:rPr>
        <w:tab/>
      </w:r>
      <w:r w:rsidR="00DB0E25" w:rsidRPr="001D589F">
        <w:t>National communications and other relevant national reports;</w:t>
      </w:r>
    </w:p>
    <w:p w14:paraId="10237659" w14:textId="68BEB59A" w:rsidR="00DB0E25" w:rsidRPr="001D589F" w:rsidRDefault="002424D3" w:rsidP="002424D3">
      <w:pPr>
        <w:pStyle w:val="RegSingleTxtG2"/>
        <w:numPr>
          <w:ilvl w:val="0"/>
          <w:numId w:val="0"/>
        </w:numPr>
        <w:ind w:left="1135" w:firstLine="567"/>
      </w:pPr>
      <w:r w:rsidRPr="001D589F">
        <w:rPr>
          <w:szCs w:val="28"/>
        </w:rPr>
        <w:t>(e)</w:t>
      </w:r>
      <w:r w:rsidRPr="001D589F">
        <w:rPr>
          <w:szCs w:val="28"/>
        </w:rPr>
        <w:tab/>
      </w:r>
      <w:r w:rsidR="00DB0E25" w:rsidRPr="001D589F">
        <w:t>Relevant information and resource materials from United Nations organizations, in particular the members of the United Nations Alliance on Climate Change Education, Training and Public Awareness;</w:t>
      </w:r>
    </w:p>
    <w:p w14:paraId="3B7FE2B7" w14:textId="48406064" w:rsidR="00DB0E25" w:rsidRPr="001D589F" w:rsidRDefault="002424D3" w:rsidP="002424D3">
      <w:pPr>
        <w:pStyle w:val="RegSingleTxtG2"/>
        <w:numPr>
          <w:ilvl w:val="0"/>
          <w:numId w:val="0"/>
        </w:numPr>
        <w:ind w:left="1135" w:firstLine="567"/>
      </w:pPr>
      <w:r w:rsidRPr="001D589F">
        <w:rPr>
          <w:szCs w:val="28"/>
        </w:rPr>
        <w:t>(f)</w:t>
      </w:r>
      <w:r w:rsidRPr="001D589F">
        <w:rPr>
          <w:szCs w:val="28"/>
        </w:rPr>
        <w:tab/>
      </w:r>
      <w:r w:rsidR="00DB0E25" w:rsidRPr="001D589F">
        <w:t>Relevant information developed under Article 12 of the Paris Agreement, including the integration of Action for Climate Empowerment into climate change policies, as well as information on the development and implementation of national strategies on Action for Climate Empowerment.</w:t>
      </w:r>
      <w:r w:rsidR="00DB0E25" w:rsidRPr="001D589F">
        <w:rPr>
          <w:sz w:val="18"/>
          <w:vertAlign w:val="superscript"/>
        </w:rPr>
        <w:footnoteReference w:id="51"/>
      </w:r>
      <w:r w:rsidR="00DB0E25" w:rsidRPr="001D589F">
        <w:t xml:space="preserve"> </w:t>
      </w:r>
    </w:p>
    <w:p w14:paraId="34294AAB" w14:textId="11DF8D67" w:rsidR="00DB0E25" w:rsidRPr="004145DB" w:rsidRDefault="002424D3" w:rsidP="000D6B56">
      <w:pPr>
        <w:pStyle w:val="RegHChG"/>
        <w:numPr>
          <w:ilvl w:val="0"/>
          <w:numId w:val="0"/>
        </w:numPr>
        <w:tabs>
          <w:tab w:val="left" w:pos="1135"/>
        </w:tabs>
        <w:ind w:left="1135" w:hanging="454"/>
      </w:pPr>
      <w:r w:rsidRPr="004145DB">
        <w:t>IV.</w:t>
      </w:r>
      <w:r w:rsidRPr="004145DB">
        <w:tab/>
      </w:r>
      <w:r w:rsidR="00DB0E25" w:rsidRPr="004145DB">
        <w:t>Modalities of review and expected outcomes</w:t>
      </w:r>
    </w:p>
    <w:p w14:paraId="2F2240D6" w14:textId="0107589F" w:rsidR="00DB0E25" w:rsidRPr="001D589F" w:rsidRDefault="002424D3" w:rsidP="002424D3">
      <w:pPr>
        <w:pStyle w:val="RegSingleTxtG"/>
        <w:numPr>
          <w:ilvl w:val="0"/>
          <w:numId w:val="0"/>
        </w:numPr>
        <w:ind w:left="1134"/>
      </w:pPr>
      <w:r w:rsidRPr="001D589F">
        <w:t>6.</w:t>
      </w:r>
      <w:r w:rsidRPr="001D589F">
        <w:tab/>
      </w:r>
      <w:r w:rsidR="00DB0E25" w:rsidRPr="001D589F">
        <w:t>Drawing upon the information sources listed in paragraph 5 above, the secretariat will prepare for consideration at SBI 52 (June 2020):</w:t>
      </w:r>
    </w:p>
    <w:p w14:paraId="501E2CDB" w14:textId="38E695A3" w:rsidR="00DB0E25" w:rsidRPr="001D589F" w:rsidRDefault="002424D3" w:rsidP="002424D3">
      <w:pPr>
        <w:pStyle w:val="RegSingleTxtG2"/>
        <w:numPr>
          <w:ilvl w:val="0"/>
          <w:numId w:val="0"/>
        </w:numPr>
        <w:ind w:left="1134" w:firstLine="567"/>
      </w:pPr>
      <w:r w:rsidRPr="001D589F">
        <w:rPr>
          <w:szCs w:val="28"/>
        </w:rPr>
        <w:t>(a)</w:t>
      </w:r>
      <w:r w:rsidRPr="001D589F">
        <w:rPr>
          <w:szCs w:val="28"/>
        </w:rPr>
        <w:tab/>
      </w:r>
      <w:r w:rsidR="00DB0E25" w:rsidRPr="001D589F">
        <w:t>A synthesis report on the progress made and effectiveness, as well as emerging gaps</w:t>
      </w:r>
      <w:r w:rsidR="00DB0E25" w:rsidRPr="001D589F" w:rsidDel="007E3CB1">
        <w:t>,</w:t>
      </w:r>
      <w:r w:rsidR="00DB0E25" w:rsidRPr="001D589F">
        <w:t xml:space="preserve"> needs and recommendations from Parties, observer</w:t>
      </w:r>
      <w:r w:rsidR="00DB0E25" w:rsidRPr="001D589F" w:rsidDel="007E3CB1">
        <w:t xml:space="preserve"> organizations</w:t>
      </w:r>
      <w:r w:rsidR="00DB0E25" w:rsidRPr="001D589F">
        <w:t xml:space="preserve"> and other stakeholders, in</w:t>
      </w:r>
      <w:r w:rsidR="00444346">
        <w:t xml:space="preserve"> </w:t>
      </w:r>
      <w:r w:rsidR="00DB0E25" w:rsidRPr="001D589F">
        <w:t>implementing the Doha work programme and Action for Climate Empowerment;</w:t>
      </w:r>
    </w:p>
    <w:p w14:paraId="30ABA29A" w14:textId="67E78BAF" w:rsidR="00DB0E25" w:rsidRPr="001D589F" w:rsidRDefault="002424D3" w:rsidP="002424D3">
      <w:pPr>
        <w:pStyle w:val="RegSingleTxtG2"/>
        <w:numPr>
          <w:ilvl w:val="0"/>
          <w:numId w:val="0"/>
        </w:numPr>
        <w:ind w:left="1134" w:firstLine="567"/>
      </w:pPr>
      <w:r w:rsidRPr="001D589F">
        <w:rPr>
          <w:szCs w:val="28"/>
        </w:rPr>
        <w:t>(b)</w:t>
      </w:r>
      <w:r w:rsidRPr="001D589F">
        <w:rPr>
          <w:szCs w:val="28"/>
        </w:rPr>
        <w:tab/>
      </w:r>
      <w:r w:rsidR="00DB0E25" w:rsidRPr="001D589F">
        <w:t>An information note</w:t>
      </w:r>
      <w:r w:rsidR="001F438E">
        <w:t xml:space="preserve">, </w:t>
      </w:r>
      <w:r w:rsidR="00DB0E25" w:rsidRPr="001D589F">
        <w:t>presenting options and ways</w:t>
      </w:r>
      <w:r w:rsidR="00A259D1">
        <w:t xml:space="preserve">, </w:t>
      </w:r>
      <w:r w:rsidR="00DB0E25" w:rsidRPr="001D589F" w:rsidDel="00500402">
        <w:t>on</w:t>
      </w:r>
      <w:r w:rsidR="00DB0E25" w:rsidRPr="001D589F">
        <w:t xml:space="preserve"> future work to enhance the implementation of Article 6 of the Convention and Article 12 of the Paris Agreement following the review of the Doha work programme. </w:t>
      </w:r>
    </w:p>
    <w:p w14:paraId="4389CE01" w14:textId="1092B99E" w:rsidR="00DB0E25" w:rsidRPr="001D589F" w:rsidRDefault="002424D3" w:rsidP="002424D3">
      <w:pPr>
        <w:pStyle w:val="RegSingleTxtG"/>
        <w:numPr>
          <w:ilvl w:val="0"/>
          <w:numId w:val="0"/>
        </w:numPr>
        <w:ind w:left="1134"/>
      </w:pPr>
      <w:r w:rsidRPr="001D589F">
        <w:t>7.</w:t>
      </w:r>
      <w:r w:rsidRPr="001D589F">
        <w:tab/>
      </w:r>
      <w:r w:rsidR="00DB0E25" w:rsidRPr="001D589F">
        <w:t>In its review of the implementation of the Doha work programme, SBI 52 will consider the documents listed in paragraph 6 above and any other information relevant to the completion of the review, including the information referred to in paragraph 5 above.</w:t>
      </w:r>
    </w:p>
    <w:p w14:paraId="702556A8" w14:textId="5EBDA618" w:rsidR="00AD1FBB" w:rsidRDefault="0079347A" w:rsidP="0079347A">
      <w:pPr>
        <w:tabs>
          <w:tab w:val="left" w:pos="1701"/>
        </w:tabs>
        <w:spacing w:after="120"/>
        <w:ind w:left="1135" w:right="1134"/>
        <w:jc w:val="right"/>
        <w:rPr>
          <w:i/>
        </w:rPr>
      </w:pPr>
      <w:r w:rsidRPr="0079347A">
        <w:rPr>
          <w:i/>
        </w:rPr>
        <w:t>7</w:t>
      </w:r>
      <w:r w:rsidRPr="0079347A">
        <w:rPr>
          <w:i/>
          <w:vertAlign w:val="superscript"/>
        </w:rPr>
        <w:t>th</w:t>
      </w:r>
      <w:r w:rsidRPr="0079347A">
        <w:rPr>
          <w:i/>
        </w:rPr>
        <w:t xml:space="preserve"> plenary meeting</w:t>
      </w:r>
      <w:r w:rsidRPr="0079347A">
        <w:rPr>
          <w:i/>
        </w:rPr>
        <w:br/>
        <w:t>12 December 2019</w:t>
      </w:r>
    </w:p>
    <w:p w14:paraId="693ED459" w14:textId="77777777" w:rsidR="0079347A" w:rsidRDefault="0079347A" w:rsidP="0079347A">
      <w:pPr>
        <w:tabs>
          <w:tab w:val="left" w:pos="1701"/>
        </w:tabs>
        <w:spacing w:after="120"/>
        <w:ind w:left="1135" w:right="1134"/>
        <w:sectPr w:rsidR="0079347A" w:rsidSect="00C92FFD">
          <w:headerReference w:type="even" r:id="rId71"/>
          <w:headerReference w:type="default" r:id="rId72"/>
          <w:footerReference w:type="even" r:id="rId73"/>
          <w:footerReference w:type="default" r:id="rId74"/>
          <w:headerReference w:type="first" r:id="rId75"/>
          <w:footerReference w:type="first" r:id="rId76"/>
          <w:footnotePr>
            <w:numRestart w:val="eachSect"/>
          </w:footnotePr>
          <w:pgSz w:w="11906" w:h="16838" w:code="9"/>
          <w:pgMar w:top="1417" w:right="1134" w:bottom="1134" w:left="1134" w:header="850" w:footer="567" w:gutter="0"/>
          <w:cols w:space="708"/>
          <w:docGrid w:linePitch="360"/>
        </w:sectPr>
      </w:pPr>
    </w:p>
    <w:p w14:paraId="6B1334A0" w14:textId="5C92F2F3" w:rsidR="0065390E" w:rsidRDefault="0065390E" w:rsidP="0065390E">
      <w:pPr>
        <w:pStyle w:val="HChG"/>
      </w:pPr>
      <w:r>
        <w:tab/>
      </w:r>
      <w:r>
        <w:tab/>
      </w:r>
      <w:bookmarkStart w:id="22" w:name="D16"/>
      <w:r w:rsidRPr="00CE0B01">
        <w:t xml:space="preserve">Decision </w:t>
      </w:r>
      <w:r w:rsidR="00744D9E">
        <w:t>16</w:t>
      </w:r>
      <w:r w:rsidRPr="00CE0B01">
        <w:t>/CP.25</w:t>
      </w:r>
      <w:bookmarkEnd w:id="22"/>
    </w:p>
    <w:p w14:paraId="0C7F48F2" w14:textId="3AB69601" w:rsidR="00B421AE" w:rsidRPr="00B421AE" w:rsidRDefault="00B421AE" w:rsidP="00B421AE">
      <w:pPr>
        <w:pStyle w:val="HChG"/>
      </w:pPr>
      <w:r>
        <w:tab/>
      </w:r>
      <w:r>
        <w:tab/>
        <w:t>Dates and venues of future sessions</w:t>
      </w:r>
    </w:p>
    <w:p w14:paraId="5AD6DCD4" w14:textId="77777777" w:rsidR="0065390E" w:rsidRDefault="0065390E" w:rsidP="0065390E">
      <w:pPr>
        <w:pStyle w:val="RegSingleTxtG"/>
        <w:numPr>
          <w:ilvl w:val="0"/>
          <w:numId w:val="0"/>
        </w:numPr>
        <w:ind w:left="1134"/>
        <w:rPr>
          <w:i/>
        </w:rPr>
      </w:pPr>
      <w:r>
        <w:rPr>
          <w:i/>
        </w:rPr>
        <w:tab/>
        <w:t>The Conference of the Parties</w:t>
      </w:r>
      <w:r>
        <w:t>,</w:t>
      </w:r>
    </w:p>
    <w:p w14:paraId="7FE290D8" w14:textId="77777777" w:rsidR="0065390E" w:rsidRDefault="0065390E" w:rsidP="0065390E">
      <w:pPr>
        <w:pStyle w:val="RegSingleTxtG"/>
        <w:numPr>
          <w:ilvl w:val="0"/>
          <w:numId w:val="0"/>
        </w:numPr>
        <w:ind w:left="1134"/>
      </w:pPr>
      <w:r>
        <w:tab/>
      </w:r>
      <w:r>
        <w:rPr>
          <w:i/>
        </w:rPr>
        <w:t>Recalling</w:t>
      </w:r>
      <w:r>
        <w:t xml:space="preserve"> Article 7, paragraph 4, of the Convention,</w:t>
      </w:r>
    </w:p>
    <w:p w14:paraId="31DBBAE3" w14:textId="77777777" w:rsidR="0065390E" w:rsidRDefault="0065390E" w:rsidP="0065390E">
      <w:pPr>
        <w:pStyle w:val="RegSingleTxtG"/>
        <w:numPr>
          <w:ilvl w:val="0"/>
          <w:numId w:val="0"/>
        </w:numPr>
        <w:ind w:left="1134"/>
      </w:pPr>
      <w:r>
        <w:tab/>
      </w:r>
      <w:r>
        <w:rPr>
          <w:i/>
        </w:rPr>
        <w:t>Also recalling</w:t>
      </w:r>
      <w:r>
        <w:t xml:space="preserve"> United Nations General Assembly resolution 40/243 of 18 December 1985 on the pattern of conferences,</w:t>
      </w:r>
    </w:p>
    <w:p w14:paraId="559D593A" w14:textId="77777777" w:rsidR="0065390E" w:rsidRDefault="0065390E" w:rsidP="0065390E">
      <w:pPr>
        <w:pStyle w:val="RegSingleTxtG"/>
        <w:numPr>
          <w:ilvl w:val="0"/>
          <w:numId w:val="0"/>
        </w:numPr>
        <w:ind w:left="1134"/>
      </w:pPr>
      <w:r>
        <w:tab/>
      </w:r>
      <w:r>
        <w:rPr>
          <w:i/>
        </w:rPr>
        <w:t>Further recalling</w:t>
      </w:r>
      <w:r>
        <w:t xml:space="preserve"> rule 22, paragraph 1, of the draft rules of procedure being applied regarding the rotation of the office of President among the five regional groups,</w:t>
      </w:r>
    </w:p>
    <w:p w14:paraId="1074D9D8" w14:textId="34E6AD4A" w:rsidR="0065390E" w:rsidRDefault="002424D3" w:rsidP="000D6B56">
      <w:pPr>
        <w:pStyle w:val="RegHChG"/>
        <w:numPr>
          <w:ilvl w:val="0"/>
          <w:numId w:val="0"/>
        </w:numPr>
        <w:tabs>
          <w:tab w:val="left" w:pos="1135"/>
        </w:tabs>
        <w:ind w:left="1135" w:hanging="454"/>
      </w:pPr>
      <w:r>
        <w:t>I.</w:t>
      </w:r>
      <w:r>
        <w:tab/>
      </w:r>
      <w:r w:rsidR="0065390E">
        <w:t>Dates and venues of future sessions</w:t>
      </w:r>
    </w:p>
    <w:p w14:paraId="6DD5E9CA" w14:textId="5AB6E11B" w:rsidR="0065390E" w:rsidRDefault="002424D3" w:rsidP="000D6B56">
      <w:pPr>
        <w:pStyle w:val="RegH1G"/>
        <w:numPr>
          <w:ilvl w:val="0"/>
          <w:numId w:val="0"/>
        </w:numPr>
        <w:tabs>
          <w:tab w:val="left" w:pos="1135"/>
        </w:tabs>
        <w:ind w:left="1135" w:hanging="454"/>
      </w:pPr>
      <w:r>
        <w:t>A.</w:t>
      </w:r>
      <w:r>
        <w:tab/>
      </w:r>
      <w:r w:rsidR="0065390E">
        <w:t>2020</w:t>
      </w:r>
    </w:p>
    <w:p w14:paraId="4276DEAC" w14:textId="7BB7F174" w:rsidR="0065390E" w:rsidRDefault="002424D3" w:rsidP="002424D3">
      <w:pPr>
        <w:pStyle w:val="RegSingleTxtG"/>
        <w:numPr>
          <w:ilvl w:val="0"/>
          <w:numId w:val="0"/>
        </w:numPr>
        <w:ind w:left="1134"/>
      </w:pPr>
      <w:r>
        <w:t>1.</w:t>
      </w:r>
      <w:r>
        <w:tab/>
      </w:r>
      <w:r w:rsidR="0065390E" w:rsidRPr="0065390E">
        <w:rPr>
          <w:i/>
        </w:rPr>
        <w:t xml:space="preserve">Accepts </w:t>
      </w:r>
      <w:r w:rsidR="0065390E" w:rsidRPr="009550B6">
        <w:rPr>
          <w:i/>
        </w:rPr>
        <w:t>with appreciation</w:t>
      </w:r>
      <w:r w:rsidR="0065390E">
        <w:t xml:space="preserve"> the offer of the Government of the United Kingdom of Great Britain and Northern Ireland to host the twenty-sixth session of the Conference of the Parties, the sixteenth session of the Conference of the Parties serving as the meeting of the Parties to the Kyoto Protocol and the third session of the Conference of the Parties serving as the meeting of the Parties to the Paris Agreement from Monday, 9 November, to Friday, 20 November 2020;</w:t>
      </w:r>
    </w:p>
    <w:p w14:paraId="654942BA" w14:textId="12B9C49A" w:rsidR="0065390E" w:rsidRDefault="002424D3" w:rsidP="002424D3">
      <w:pPr>
        <w:pStyle w:val="RegSingleTxtG"/>
        <w:numPr>
          <w:ilvl w:val="0"/>
          <w:numId w:val="0"/>
        </w:numPr>
        <w:ind w:left="1134"/>
      </w:pPr>
      <w:r>
        <w:t>2.</w:t>
      </w:r>
      <w:r>
        <w:tab/>
      </w:r>
      <w:r w:rsidR="0065390E">
        <w:rPr>
          <w:i/>
        </w:rPr>
        <w:t xml:space="preserve">Welcomes </w:t>
      </w:r>
      <w:r w:rsidR="0065390E">
        <w:t>the partnership of the Government of the United Kingdom with the Government of Italy, which will host the preparatory events for the sessions;</w:t>
      </w:r>
    </w:p>
    <w:p w14:paraId="4691B608" w14:textId="3DB98F43" w:rsidR="0065390E" w:rsidRDefault="002424D3" w:rsidP="002424D3">
      <w:pPr>
        <w:pStyle w:val="RegSingleTxtG"/>
        <w:numPr>
          <w:ilvl w:val="0"/>
          <w:numId w:val="0"/>
        </w:numPr>
        <w:ind w:left="1134"/>
      </w:pPr>
      <w:r>
        <w:t>3.</w:t>
      </w:r>
      <w:r>
        <w:tab/>
      </w:r>
      <w:r w:rsidR="0065390E">
        <w:rPr>
          <w:i/>
        </w:rPr>
        <w:t>Requests</w:t>
      </w:r>
      <w:r w:rsidR="0065390E">
        <w:t xml:space="preserve"> the Executive Secretary to continue consultations with the Government of the United Kingdom and to negotiate and finalize a Host Country Agreement for convening the sessions, in conformity with United Nations General Assembly resolution 40/243 and in compliance with the provisions of United Nations administrative instruction ST/AI/342, with a view to concluding and signing the Host Country Agreement no later than the fifty-second sessions of the subsidiary bodies (June 2020) so as to allow for its prompt implementation;</w:t>
      </w:r>
    </w:p>
    <w:p w14:paraId="5F01304A" w14:textId="280E0A9A" w:rsidR="0065390E" w:rsidRDefault="002424D3" w:rsidP="002424D3">
      <w:pPr>
        <w:pStyle w:val="RegSingleTxtG"/>
        <w:numPr>
          <w:ilvl w:val="0"/>
          <w:numId w:val="0"/>
        </w:numPr>
        <w:ind w:left="1134"/>
      </w:pPr>
      <w:r>
        <w:t>4.</w:t>
      </w:r>
      <w:r>
        <w:tab/>
      </w:r>
      <w:r w:rsidR="0065390E">
        <w:rPr>
          <w:i/>
        </w:rPr>
        <w:t xml:space="preserve">Also requests </w:t>
      </w:r>
      <w:r w:rsidR="0065390E">
        <w:t>the Executive Secretary to provide the host country with technical support and guidance on UNFCCC policies and requirements, taking into account the issues raised by Parties regarding the organization of such sessions, and to report back regularly to the Bureau;</w:t>
      </w:r>
    </w:p>
    <w:p w14:paraId="4BA6697D" w14:textId="105500D8" w:rsidR="0065390E" w:rsidRDefault="002424D3" w:rsidP="000D6B56">
      <w:pPr>
        <w:pStyle w:val="RegH1G"/>
        <w:numPr>
          <w:ilvl w:val="0"/>
          <w:numId w:val="0"/>
        </w:numPr>
        <w:tabs>
          <w:tab w:val="left" w:pos="1135"/>
        </w:tabs>
        <w:ind w:left="1135" w:hanging="454"/>
      </w:pPr>
      <w:r>
        <w:t>B.</w:t>
      </w:r>
      <w:r>
        <w:tab/>
      </w:r>
      <w:r w:rsidR="0065390E">
        <w:t>2021</w:t>
      </w:r>
    </w:p>
    <w:p w14:paraId="4A29BBBF" w14:textId="5185AD45" w:rsidR="0065390E" w:rsidRDefault="002424D3" w:rsidP="002424D3">
      <w:pPr>
        <w:pStyle w:val="RegSingleTxtG"/>
        <w:numPr>
          <w:ilvl w:val="0"/>
          <w:numId w:val="0"/>
        </w:numPr>
        <w:ind w:left="1134"/>
      </w:pPr>
      <w:r>
        <w:t>5.</w:t>
      </w:r>
      <w:r>
        <w:tab/>
      </w:r>
      <w:r w:rsidR="0065390E" w:rsidRPr="00CE0B01">
        <w:rPr>
          <w:i/>
        </w:rPr>
        <w:t>Notes</w:t>
      </w:r>
      <w:r w:rsidR="0065390E">
        <w:t xml:space="preserve"> that, in keeping with the principle of rotation among the regional groups, the President of the twenty-seventh session of the Conference of the Parties, the seventeenth session of the Conference of the Parties serving as the meeting of the Parties to the Kyoto Protocol and the fourth session of the Conference of the Parties serving as the meeting of the Parties to the Paris Agreement would come from the African States;</w:t>
      </w:r>
    </w:p>
    <w:p w14:paraId="3E147856" w14:textId="47DF0312" w:rsidR="0065390E" w:rsidRDefault="002424D3" w:rsidP="002424D3">
      <w:pPr>
        <w:pStyle w:val="RegSingleTxtG"/>
        <w:numPr>
          <w:ilvl w:val="0"/>
          <w:numId w:val="0"/>
        </w:numPr>
        <w:ind w:left="1134"/>
      </w:pPr>
      <w:r>
        <w:t>6.</w:t>
      </w:r>
      <w:r>
        <w:tab/>
      </w:r>
      <w:r w:rsidR="0065390E">
        <w:rPr>
          <w:i/>
        </w:rPr>
        <w:t>Invites</w:t>
      </w:r>
      <w:r w:rsidR="0065390E">
        <w:t xml:space="preserve"> Parties to undertake further consultations on the hosting of the sessions referred to in paragraph 5 above;</w:t>
      </w:r>
    </w:p>
    <w:p w14:paraId="32594EF0" w14:textId="4B103571" w:rsidR="0065390E" w:rsidRDefault="002424D3" w:rsidP="002424D3">
      <w:pPr>
        <w:pStyle w:val="RegSingleTxtG"/>
        <w:numPr>
          <w:ilvl w:val="0"/>
          <w:numId w:val="0"/>
        </w:numPr>
        <w:ind w:left="1134"/>
      </w:pPr>
      <w:r>
        <w:t>7.</w:t>
      </w:r>
      <w:r>
        <w:tab/>
      </w:r>
      <w:r w:rsidR="0065390E">
        <w:rPr>
          <w:i/>
        </w:rPr>
        <w:t>Requests</w:t>
      </w:r>
      <w:r w:rsidR="0065390E">
        <w:t xml:space="preserve"> the Subsidiary Body for Implementation, at its fifty-second session, to consider the issue of the host of the sessions referred to in paragraph 5 above and to recommend a draft decision on the matter for consideration and adoption by the Conference of the Parties at its twenty-sixth session (November 2020);</w:t>
      </w:r>
    </w:p>
    <w:p w14:paraId="273622E8" w14:textId="42978D30" w:rsidR="0065390E" w:rsidRDefault="002424D3" w:rsidP="000D6B56">
      <w:pPr>
        <w:pStyle w:val="RegHChG"/>
        <w:numPr>
          <w:ilvl w:val="0"/>
          <w:numId w:val="0"/>
        </w:numPr>
        <w:tabs>
          <w:tab w:val="left" w:pos="1135"/>
        </w:tabs>
        <w:ind w:left="1135" w:hanging="454"/>
      </w:pPr>
      <w:r>
        <w:t>II.</w:t>
      </w:r>
      <w:r>
        <w:tab/>
      </w:r>
      <w:r w:rsidR="0065390E">
        <w:t>Calendar of meetings of the Convention, Kyoto Protocol and Paris Agreement bodies</w:t>
      </w:r>
    </w:p>
    <w:p w14:paraId="62E5F053" w14:textId="5735B618" w:rsidR="0065390E" w:rsidRDefault="002424D3" w:rsidP="002424D3">
      <w:pPr>
        <w:pStyle w:val="RegSingleTxtG"/>
        <w:numPr>
          <w:ilvl w:val="0"/>
          <w:numId w:val="0"/>
        </w:numPr>
        <w:ind w:left="1134"/>
      </w:pPr>
      <w:r>
        <w:t>8.</w:t>
      </w:r>
      <w:r>
        <w:tab/>
      </w:r>
      <w:r w:rsidR="0065390E">
        <w:rPr>
          <w:i/>
        </w:rPr>
        <w:t xml:space="preserve">Adopts </w:t>
      </w:r>
      <w:r w:rsidR="0065390E">
        <w:t>the following dates for the sessional periods in 2024:</w:t>
      </w:r>
    </w:p>
    <w:p w14:paraId="2A419C63" w14:textId="4BDC22F4" w:rsidR="0065390E" w:rsidRDefault="002424D3" w:rsidP="002424D3">
      <w:pPr>
        <w:pStyle w:val="RegSingleTxtG2"/>
        <w:numPr>
          <w:ilvl w:val="0"/>
          <w:numId w:val="0"/>
        </w:numPr>
        <w:ind w:left="1134" w:firstLine="567"/>
      </w:pPr>
      <w:r>
        <w:rPr>
          <w:szCs w:val="28"/>
        </w:rPr>
        <w:t>(a)</w:t>
      </w:r>
      <w:r>
        <w:rPr>
          <w:szCs w:val="28"/>
        </w:rPr>
        <w:tab/>
      </w:r>
      <w:r w:rsidR="0065390E">
        <w:t>First sessional period: Monday, 3 June, to Thursday, 13 June;</w:t>
      </w:r>
    </w:p>
    <w:p w14:paraId="2C99CFC5" w14:textId="6B62E445" w:rsidR="0079347A" w:rsidRDefault="002424D3" w:rsidP="002424D3">
      <w:pPr>
        <w:pStyle w:val="RegSingleTxtG2"/>
        <w:numPr>
          <w:ilvl w:val="0"/>
          <w:numId w:val="0"/>
        </w:numPr>
        <w:ind w:left="1134" w:firstLine="567"/>
      </w:pPr>
      <w:r>
        <w:rPr>
          <w:szCs w:val="28"/>
        </w:rPr>
        <w:t>(b)</w:t>
      </w:r>
      <w:r>
        <w:rPr>
          <w:szCs w:val="28"/>
        </w:rPr>
        <w:tab/>
      </w:r>
      <w:r w:rsidR="0065390E">
        <w:t>Second sessional period: Monday, 11 November, to Friday, 22 November.</w:t>
      </w:r>
    </w:p>
    <w:p w14:paraId="2F5F577E" w14:textId="77777777" w:rsidR="00A640C8" w:rsidRDefault="00A640C8" w:rsidP="00A640C8">
      <w:pPr>
        <w:pStyle w:val="RegSingleTxtG2"/>
        <w:numPr>
          <w:ilvl w:val="0"/>
          <w:numId w:val="0"/>
        </w:numPr>
        <w:ind w:left="1701"/>
        <w:jc w:val="right"/>
        <w:rPr>
          <w:i/>
        </w:rPr>
        <w:sectPr w:rsidR="00A640C8" w:rsidSect="00C92FFD">
          <w:headerReference w:type="even" r:id="rId77"/>
          <w:headerReference w:type="default" r:id="rId78"/>
          <w:footerReference w:type="even" r:id="rId79"/>
          <w:footerReference w:type="default" r:id="rId80"/>
          <w:headerReference w:type="first" r:id="rId81"/>
          <w:footerReference w:type="first" r:id="rId82"/>
          <w:footnotePr>
            <w:numRestart w:val="eachSect"/>
          </w:footnotePr>
          <w:pgSz w:w="11906" w:h="16838" w:code="9"/>
          <w:pgMar w:top="1417" w:right="1134" w:bottom="1134" w:left="1134" w:header="850" w:footer="567" w:gutter="0"/>
          <w:cols w:space="708"/>
          <w:docGrid w:linePitch="360"/>
        </w:sectPr>
      </w:pPr>
      <w:r w:rsidRPr="00A640C8">
        <w:rPr>
          <w:i/>
        </w:rPr>
        <w:t>8</w:t>
      </w:r>
      <w:r w:rsidRPr="00A640C8">
        <w:rPr>
          <w:i/>
          <w:vertAlign w:val="superscript"/>
        </w:rPr>
        <w:t>th</w:t>
      </w:r>
      <w:r w:rsidRPr="00A640C8">
        <w:rPr>
          <w:i/>
        </w:rPr>
        <w:t xml:space="preserve"> plenary meeting</w:t>
      </w:r>
      <w:r w:rsidRPr="00A640C8">
        <w:rPr>
          <w:i/>
        </w:rPr>
        <w:br/>
        <w:t>15 December 2019</w:t>
      </w:r>
    </w:p>
    <w:p w14:paraId="4C656506" w14:textId="41C38A5D" w:rsidR="00892142" w:rsidRDefault="00BE593C" w:rsidP="00892142">
      <w:pPr>
        <w:pStyle w:val="HChG"/>
      </w:pPr>
      <w:r>
        <w:tab/>
      </w:r>
      <w:r>
        <w:tab/>
      </w:r>
      <w:bookmarkStart w:id="23" w:name="D17"/>
      <w:r w:rsidR="00892142" w:rsidRPr="00580B2A">
        <w:t xml:space="preserve">Decision </w:t>
      </w:r>
      <w:r w:rsidR="005D660A">
        <w:t>17</w:t>
      </w:r>
      <w:r w:rsidR="00892142" w:rsidRPr="00580B2A">
        <w:t>/CP.25</w:t>
      </w:r>
      <w:bookmarkEnd w:id="23"/>
    </w:p>
    <w:p w14:paraId="68E16900" w14:textId="77777777" w:rsidR="00892142" w:rsidRDefault="00892142" w:rsidP="00892142">
      <w:pPr>
        <w:pStyle w:val="HChG"/>
      </w:pPr>
      <w:r>
        <w:tab/>
      </w:r>
      <w:r>
        <w:tab/>
      </w:r>
      <w:r w:rsidRPr="009F0502">
        <w:t>Programme budget for the biennium 2020–2021</w:t>
      </w:r>
    </w:p>
    <w:p w14:paraId="2A8617CB" w14:textId="77777777" w:rsidR="00892142" w:rsidRPr="008E28A6" w:rsidRDefault="00892142" w:rsidP="00892142">
      <w:pPr>
        <w:spacing w:after="120"/>
        <w:ind w:left="1134" w:firstLine="567"/>
        <w:jc w:val="both"/>
        <w:rPr>
          <w:rFonts w:eastAsia="Times New Roman"/>
          <w:i/>
          <w:lang w:eastAsia="en-US"/>
        </w:rPr>
      </w:pPr>
      <w:r w:rsidRPr="008E28A6">
        <w:rPr>
          <w:rFonts w:eastAsia="Times New Roman"/>
          <w:i/>
          <w:lang w:eastAsia="en-US"/>
        </w:rPr>
        <w:t>The Conference of the Parties</w:t>
      </w:r>
      <w:r w:rsidRPr="008E28A6">
        <w:rPr>
          <w:rFonts w:eastAsia="Times New Roman"/>
          <w:lang w:eastAsia="en-US"/>
        </w:rPr>
        <w:t>,</w:t>
      </w:r>
    </w:p>
    <w:p w14:paraId="754B84B5" w14:textId="77777777" w:rsidR="00892142" w:rsidRPr="00F85BF2" w:rsidRDefault="00892142" w:rsidP="00892142">
      <w:pPr>
        <w:spacing w:after="120"/>
        <w:ind w:left="1134" w:right="1174" w:firstLine="567"/>
        <w:jc w:val="both"/>
        <w:rPr>
          <w:rFonts w:eastAsia="Times New Roman"/>
          <w:lang w:eastAsia="en-US"/>
        </w:rPr>
      </w:pPr>
      <w:r w:rsidRPr="00F85BF2">
        <w:rPr>
          <w:rFonts w:eastAsia="Times New Roman"/>
          <w:i/>
          <w:iCs/>
          <w:lang w:eastAsia="en-US"/>
        </w:rPr>
        <w:t xml:space="preserve">Recalling </w:t>
      </w:r>
      <w:r w:rsidRPr="00F85BF2">
        <w:rPr>
          <w:rFonts w:eastAsia="Times New Roman"/>
          <w:lang w:eastAsia="en-US"/>
        </w:rPr>
        <w:t>paragraphs 4 and 7(a) of the financial procedures for the Conference of the Parties, its subsidiary bodies and the secretariat,</w:t>
      </w:r>
      <w:r w:rsidRPr="00F85BF2">
        <w:rPr>
          <w:rFonts w:eastAsia="Times New Roman"/>
          <w:sz w:val="18"/>
          <w:szCs w:val="18"/>
          <w:vertAlign w:val="superscript"/>
          <w:lang w:eastAsia="en-US"/>
        </w:rPr>
        <w:footnoteReference w:id="52"/>
      </w:r>
      <w:r w:rsidRPr="00F85BF2">
        <w:rPr>
          <w:rFonts w:eastAsia="Times New Roman"/>
          <w:lang w:eastAsia="en-US"/>
        </w:rPr>
        <w:t xml:space="preserve"> </w:t>
      </w:r>
    </w:p>
    <w:p w14:paraId="6D2F1C45" w14:textId="77777777" w:rsidR="00892142" w:rsidRPr="00450FF2" w:rsidRDefault="00892142" w:rsidP="00892142">
      <w:pPr>
        <w:spacing w:after="120"/>
        <w:ind w:left="1134" w:right="1174" w:firstLine="567"/>
        <w:jc w:val="both"/>
        <w:rPr>
          <w:rFonts w:eastAsia="Times New Roman"/>
          <w:lang w:eastAsia="en-US"/>
        </w:rPr>
      </w:pPr>
      <w:r w:rsidRPr="00C2071E">
        <w:rPr>
          <w:rFonts w:eastAsia="Times New Roman"/>
          <w:i/>
          <w:lang w:eastAsia="en-US"/>
        </w:rPr>
        <w:t>Noting with appreciation</w:t>
      </w:r>
      <w:r w:rsidRPr="00C2071E">
        <w:rPr>
          <w:rFonts w:eastAsia="Times New Roman"/>
          <w:lang w:eastAsia="en-US"/>
        </w:rPr>
        <w:t xml:space="preserve"> the methodology applied by the secretariat in developing </w:t>
      </w:r>
      <w:r w:rsidRPr="00450FF2">
        <w:rPr>
          <w:rFonts w:eastAsia="Times New Roman"/>
          <w:lang w:eastAsia="en-US"/>
        </w:rPr>
        <w:t>the budget for the biennium 2020</w:t>
      </w:r>
      <w:r w:rsidRPr="00450FF2">
        <w:rPr>
          <w:rFonts w:eastAsia="Times New Roman"/>
          <w:lang w:eastAsia="en-US"/>
        </w:rPr>
        <w:softHyphen/>
      </w:r>
      <w:r w:rsidRPr="00450FF2">
        <w:rPr>
          <w:rFonts w:eastAsia="Times New Roman"/>
          <w:lang w:eastAsia="en-US"/>
        </w:rPr>
        <w:softHyphen/>
      </w:r>
      <w:r w:rsidRPr="00450FF2">
        <w:rPr>
          <w:b/>
        </w:rPr>
        <w:t>–</w:t>
      </w:r>
      <w:r w:rsidRPr="00450FF2">
        <w:rPr>
          <w:rFonts w:eastAsia="Times New Roman"/>
          <w:lang w:eastAsia="en-US"/>
        </w:rPr>
        <w:t>2021, including the early engagement with Parties,</w:t>
      </w:r>
      <w:r w:rsidRPr="00450FF2">
        <w:rPr>
          <w:rFonts w:eastAsia="Times New Roman"/>
          <w:sz w:val="18"/>
          <w:szCs w:val="18"/>
          <w:vertAlign w:val="superscript"/>
          <w:lang w:eastAsia="en-US"/>
        </w:rPr>
        <w:footnoteReference w:id="53"/>
      </w:r>
      <w:r w:rsidRPr="00450FF2">
        <w:rPr>
          <w:rFonts w:eastAsia="Times New Roman"/>
          <w:sz w:val="18"/>
          <w:szCs w:val="18"/>
          <w:vertAlign w:val="superscript"/>
          <w:lang w:eastAsia="en-US"/>
        </w:rPr>
        <w:t xml:space="preserve"> </w:t>
      </w:r>
    </w:p>
    <w:p w14:paraId="435C8178" w14:textId="77777777" w:rsidR="00892142" w:rsidRPr="00C2071E" w:rsidRDefault="00892142" w:rsidP="00892142">
      <w:pPr>
        <w:spacing w:after="120"/>
        <w:ind w:left="1134" w:right="1174" w:firstLine="567"/>
        <w:jc w:val="both"/>
        <w:rPr>
          <w:rFonts w:eastAsia="Times New Roman"/>
          <w:lang w:eastAsia="en-US"/>
        </w:rPr>
      </w:pPr>
      <w:r w:rsidRPr="00C2071E">
        <w:rPr>
          <w:rFonts w:eastAsia="Times New Roman"/>
          <w:i/>
          <w:iCs/>
          <w:lang w:eastAsia="en-US"/>
        </w:rPr>
        <w:t xml:space="preserve">Having considered </w:t>
      </w:r>
      <w:r w:rsidRPr="00C2071E">
        <w:rPr>
          <w:rFonts w:eastAsia="Times New Roman"/>
          <w:lang w:eastAsia="en-US"/>
        </w:rPr>
        <w:t>the proposed programme budget for the biennium 2020–2021 submitted by the Executive Secretary,</w:t>
      </w:r>
      <w:r w:rsidRPr="00C2071E">
        <w:rPr>
          <w:rFonts w:eastAsia="Times New Roman"/>
          <w:sz w:val="18"/>
          <w:szCs w:val="18"/>
          <w:vertAlign w:val="superscript"/>
          <w:lang w:eastAsia="en-US"/>
        </w:rPr>
        <w:footnoteReference w:id="54"/>
      </w:r>
      <w:r w:rsidRPr="00C2071E">
        <w:rPr>
          <w:rFonts w:eastAsia="Times New Roman"/>
          <w:lang w:eastAsia="en-US"/>
        </w:rPr>
        <w:t xml:space="preserve"> </w:t>
      </w:r>
    </w:p>
    <w:p w14:paraId="4EDFC2EB" w14:textId="0B94ED5E" w:rsidR="00892142" w:rsidRPr="00754663" w:rsidRDefault="002424D3" w:rsidP="002424D3">
      <w:pPr>
        <w:pStyle w:val="RegSingleTxtG"/>
        <w:numPr>
          <w:ilvl w:val="0"/>
          <w:numId w:val="0"/>
        </w:numPr>
        <w:tabs>
          <w:tab w:val="left" w:pos="568"/>
        </w:tabs>
        <w:suppressAutoHyphens w:val="0"/>
        <w:spacing w:line="240" w:lineRule="auto"/>
        <w:ind w:left="1135"/>
        <w:rPr>
          <w:lang w:eastAsia="en-US"/>
        </w:rPr>
      </w:pPr>
      <w:r w:rsidRPr="00754663">
        <w:rPr>
          <w:lang w:eastAsia="en-US"/>
        </w:rPr>
        <w:t>1.</w:t>
      </w:r>
      <w:r w:rsidRPr="00754663">
        <w:rPr>
          <w:lang w:eastAsia="en-US"/>
        </w:rPr>
        <w:tab/>
      </w:r>
      <w:r w:rsidR="00892142" w:rsidRPr="00754663">
        <w:rPr>
          <w:i/>
          <w:lang w:eastAsia="en-US"/>
        </w:rPr>
        <w:t>Approves</w:t>
      </w:r>
      <w:r w:rsidR="00892142" w:rsidRPr="00754663">
        <w:rPr>
          <w:lang w:eastAsia="en-US"/>
        </w:rPr>
        <w:t xml:space="preserve"> the programme budget for the biennium </w:t>
      </w:r>
      <w:r w:rsidR="00892142" w:rsidRPr="00754663">
        <w:rPr>
          <w:rFonts w:eastAsia="Times New Roman"/>
          <w:lang w:eastAsia="en-US"/>
        </w:rPr>
        <w:t>2020–2021</w:t>
      </w:r>
      <w:r w:rsidR="00892142" w:rsidRPr="00754663">
        <w:rPr>
          <w:lang w:eastAsia="en-US"/>
        </w:rPr>
        <w:t>, amounting to EUR</w:t>
      </w:r>
      <w:r w:rsidR="00892142">
        <w:rPr>
          <w:lang w:eastAsia="en-US"/>
        </w:rPr>
        <w:t> </w:t>
      </w:r>
      <w:r w:rsidR="00892142" w:rsidRPr="00754663">
        <w:rPr>
          <w:lang w:eastAsia="en-US"/>
        </w:rPr>
        <w:t>59,847,785</w:t>
      </w:r>
      <w:r w:rsidR="00892142">
        <w:rPr>
          <w:lang w:eastAsia="en-US"/>
        </w:rPr>
        <w:t>,</w:t>
      </w:r>
      <w:r w:rsidR="00892142" w:rsidRPr="00754663">
        <w:rPr>
          <w:lang w:eastAsia="en-US"/>
        </w:rPr>
        <w:t xml:space="preserve"> for the purposes </w:t>
      </w:r>
      <w:r w:rsidR="00892142" w:rsidRPr="00754663">
        <w:rPr>
          <w:iCs/>
          <w:lang w:eastAsia="en-US"/>
        </w:rPr>
        <w:t>specified</w:t>
      </w:r>
      <w:r w:rsidR="00892142" w:rsidRPr="00754663">
        <w:rPr>
          <w:lang w:eastAsia="en-US"/>
        </w:rPr>
        <w:t xml:space="preserve"> in table 1;</w:t>
      </w:r>
    </w:p>
    <w:p w14:paraId="7945818B" w14:textId="4451A788" w:rsidR="00892142" w:rsidRPr="00754663" w:rsidRDefault="002424D3" w:rsidP="002424D3">
      <w:pPr>
        <w:pStyle w:val="RegSingleTxtG"/>
        <w:numPr>
          <w:ilvl w:val="0"/>
          <w:numId w:val="0"/>
        </w:numPr>
        <w:tabs>
          <w:tab w:val="left" w:pos="568"/>
        </w:tabs>
        <w:suppressAutoHyphens w:val="0"/>
        <w:spacing w:line="240" w:lineRule="auto"/>
        <w:ind w:left="1135"/>
        <w:rPr>
          <w:lang w:eastAsia="en-US"/>
        </w:rPr>
      </w:pPr>
      <w:r w:rsidRPr="00754663">
        <w:rPr>
          <w:lang w:eastAsia="en-US"/>
        </w:rPr>
        <w:t>2.</w:t>
      </w:r>
      <w:r w:rsidRPr="00754663">
        <w:rPr>
          <w:lang w:eastAsia="en-US"/>
        </w:rPr>
        <w:tab/>
      </w:r>
      <w:r w:rsidR="00892142" w:rsidRPr="00754663">
        <w:rPr>
          <w:i/>
          <w:lang w:eastAsia="en-US"/>
        </w:rPr>
        <w:t>Requests</w:t>
      </w:r>
      <w:r w:rsidR="00892142" w:rsidRPr="00754663">
        <w:rPr>
          <w:lang w:eastAsia="en-US"/>
        </w:rPr>
        <w:t xml:space="preserve"> the secretariat, in implementing its work programme for the biennium </w:t>
      </w:r>
      <w:r w:rsidR="00892142" w:rsidRPr="00754663">
        <w:rPr>
          <w:rFonts w:eastAsia="Times New Roman"/>
          <w:lang w:eastAsia="en-US"/>
        </w:rPr>
        <w:t xml:space="preserve">2020–2021 based on the programme budget approved in paragraph 1 above, </w:t>
      </w:r>
      <w:r w:rsidR="00892142" w:rsidRPr="00754663">
        <w:rPr>
          <w:lang w:eastAsia="en-US"/>
        </w:rPr>
        <w:t>to seek to allocate adequate resources for constituted bodies in support of their response to the mandates given by the governing bodies, and for the mandated activities under the current transparency arrangements;</w:t>
      </w:r>
    </w:p>
    <w:p w14:paraId="7A8798F8" w14:textId="1567A5D5" w:rsidR="00892142" w:rsidRPr="00C2071E" w:rsidRDefault="002424D3" w:rsidP="002424D3">
      <w:pPr>
        <w:pStyle w:val="RegSingleTxtG"/>
        <w:numPr>
          <w:ilvl w:val="0"/>
          <w:numId w:val="0"/>
        </w:numPr>
        <w:tabs>
          <w:tab w:val="left" w:pos="568"/>
        </w:tabs>
        <w:suppressAutoHyphens w:val="0"/>
        <w:spacing w:line="240" w:lineRule="auto"/>
        <w:ind w:left="1135"/>
        <w:rPr>
          <w:lang w:eastAsia="en-US"/>
        </w:rPr>
      </w:pPr>
      <w:r w:rsidRPr="00C2071E">
        <w:rPr>
          <w:lang w:eastAsia="en-US"/>
        </w:rPr>
        <w:t>3.</w:t>
      </w:r>
      <w:r w:rsidRPr="00C2071E">
        <w:rPr>
          <w:lang w:eastAsia="en-US"/>
        </w:rPr>
        <w:tab/>
      </w:r>
      <w:r w:rsidR="00892142">
        <w:rPr>
          <w:i/>
          <w:lang w:eastAsia="en-US"/>
        </w:rPr>
        <w:t>Also r</w:t>
      </w:r>
      <w:r w:rsidR="00892142" w:rsidRPr="00754663">
        <w:rPr>
          <w:i/>
          <w:lang w:eastAsia="en-US"/>
        </w:rPr>
        <w:t xml:space="preserve">equests </w:t>
      </w:r>
      <w:r w:rsidR="00892142" w:rsidRPr="00754663">
        <w:rPr>
          <w:lang w:eastAsia="en-US"/>
        </w:rPr>
        <w:t>the</w:t>
      </w:r>
      <w:r w:rsidR="00892142" w:rsidRPr="00C2071E">
        <w:rPr>
          <w:i/>
          <w:lang w:eastAsia="en-US"/>
        </w:rPr>
        <w:t xml:space="preserve"> </w:t>
      </w:r>
      <w:r w:rsidR="00892142" w:rsidRPr="00C2071E">
        <w:rPr>
          <w:lang w:eastAsia="en-US"/>
        </w:rPr>
        <w:t>Executive Secretary to refine the budget methodology and its application for future bienniums with a view to enhancing the transparency of the proposed budget documentation and to continue engaging Parties early in the budget preparation process;</w:t>
      </w:r>
    </w:p>
    <w:p w14:paraId="3F045C74" w14:textId="2BFC9EDF" w:rsidR="00892142" w:rsidRPr="008E28A6" w:rsidRDefault="002424D3" w:rsidP="002424D3">
      <w:pPr>
        <w:pStyle w:val="RegSingleTxtG"/>
        <w:numPr>
          <w:ilvl w:val="0"/>
          <w:numId w:val="0"/>
        </w:numPr>
        <w:tabs>
          <w:tab w:val="left" w:pos="568"/>
        </w:tabs>
        <w:suppressAutoHyphens w:val="0"/>
        <w:spacing w:line="240" w:lineRule="auto"/>
        <w:ind w:left="1135"/>
        <w:rPr>
          <w:lang w:eastAsia="en-US"/>
        </w:rPr>
      </w:pPr>
      <w:r w:rsidRPr="008E28A6">
        <w:rPr>
          <w:lang w:eastAsia="en-US"/>
        </w:rPr>
        <w:t>4.</w:t>
      </w:r>
      <w:r w:rsidRPr="008E28A6">
        <w:rPr>
          <w:lang w:eastAsia="en-US"/>
        </w:rPr>
        <w:tab/>
      </w:r>
      <w:r w:rsidR="00892142" w:rsidRPr="00F85BF2">
        <w:rPr>
          <w:i/>
          <w:iCs/>
          <w:lang w:eastAsia="en-US"/>
        </w:rPr>
        <w:t xml:space="preserve">Notes with appreciation </w:t>
      </w:r>
      <w:r w:rsidR="00892142" w:rsidRPr="00F85BF2">
        <w:rPr>
          <w:lang w:eastAsia="en-US"/>
        </w:rPr>
        <w:t xml:space="preserve">the </w:t>
      </w:r>
      <w:r w:rsidR="00892142" w:rsidRPr="00F85BF2">
        <w:rPr>
          <w:iCs/>
          <w:lang w:eastAsia="en-US"/>
        </w:rPr>
        <w:t>annual</w:t>
      </w:r>
      <w:r w:rsidR="00892142" w:rsidRPr="00F85BF2">
        <w:rPr>
          <w:lang w:eastAsia="en-US"/>
        </w:rPr>
        <w:t xml:space="preserve"> contribution of EUR 7</w:t>
      </w:r>
      <w:r w:rsidR="00905327">
        <w:rPr>
          <w:lang w:eastAsia="en-US"/>
        </w:rPr>
        <w:t>6</w:t>
      </w:r>
      <w:r w:rsidR="00892142" w:rsidRPr="00F85BF2">
        <w:rPr>
          <w:lang w:eastAsia="en-US"/>
        </w:rPr>
        <w:t>6,938 of the Host</w:t>
      </w:r>
      <w:r w:rsidR="00892142" w:rsidRPr="008E28A6">
        <w:rPr>
          <w:lang w:eastAsia="en-US"/>
        </w:rPr>
        <w:t xml:space="preserve"> Government</w:t>
      </w:r>
      <w:r w:rsidR="00892142">
        <w:rPr>
          <w:lang w:eastAsia="en-US"/>
        </w:rPr>
        <w:t xml:space="preserve"> to the core budget</w:t>
      </w:r>
      <w:r w:rsidR="00892142" w:rsidRPr="008E28A6">
        <w:rPr>
          <w:lang w:eastAsia="en-US"/>
        </w:rPr>
        <w:t>;</w:t>
      </w:r>
    </w:p>
    <w:p w14:paraId="255B9972" w14:textId="3B78FFDD" w:rsidR="00892142" w:rsidRPr="002A5163" w:rsidRDefault="002424D3" w:rsidP="002424D3">
      <w:pPr>
        <w:pStyle w:val="RegSingleTxtG"/>
        <w:numPr>
          <w:ilvl w:val="0"/>
          <w:numId w:val="0"/>
        </w:numPr>
        <w:tabs>
          <w:tab w:val="left" w:pos="568"/>
        </w:tabs>
        <w:suppressAutoHyphens w:val="0"/>
        <w:spacing w:line="240" w:lineRule="auto"/>
        <w:ind w:left="1135"/>
        <w:rPr>
          <w:lang w:eastAsia="en-US"/>
        </w:rPr>
      </w:pPr>
      <w:r w:rsidRPr="002A5163">
        <w:rPr>
          <w:lang w:eastAsia="en-US"/>
        </w:rPr>
        <w:t>5.</w:t>
      </w:r>
      <w:r w:rsidRPr="002A5163">
        <w:rPr>
          <w:lang w:eastAsia="en-US"/>
        </w:rPr>
        <w:tab/>
      </w:r>
      <w:r w:rsidR="00892142" w:rsidRPr="002A5163">
        <w:rPr>
          <w:i/>
          <w:iCs/>
          <w:lang w:eastAsia="en-US"/>
        </w:rPr>
        <w:t xml:space="preserve">Approves </w:t>
      </w:r>
      <w:r w:rsidR="00892142" w:rsidRPr="002A5163">
        <w:rPr>
          <w:lang w:eastAsia="en-US"/>
        </w:rPr>
        <w:t>the staffing table (</w:t>
      </w:r>
      <w:r w:rsidR="00892142">
        <w:rPr>
          <w:lang w:eastAsia="en-US"/>
        </w:rPr>
        <w:t xml:space="preserve">see </w:t>
      </w:r>
      <w:r w:rsidR="00892142" w:rsidRPr="002A5163">
        <w:rPr>
          <w:iCs/>
          <w:lang w:eastAsia="en-US"/>
        </w:rPr>
        <w:t>table</w:t>
      </w:r>
      <w:r w:rsidR="00892142" w:rsidRPr="002A5163">
        <w:rPr>
          <w:lang w:eastAsia="en-US"/>
        </w:rPr>
        <w:t xml:space="preserve"> 2) for the programme budget;</w:t>
      </w:r>
    </w:p>
    <w:p w14:paraId="461A72F2" w14:textId="18A6362C" w:rsidR="00892142" w:rsidRPr="006645A4" w:rsidRDefault="002424D3" w:rsidP="002424D3">
      <w:pPr>
        <w:pStyle w:val="RegSingleTxtG"/>
        <w:numPr>
          <w:ilvl w:val="0"/>
          <w:numId w:val="0"/>
        </w:numPr>
        <w:tabs>
          <w:tab w:val="left" w:pos="568"/>
        </w:tabs>
        <w:suppressAutoHyphens w:val="0"/>
        <w:spacing w:line="240" w:lineRule="auto"/>
        <w:ind w:left="1135"/>
        <w:rPr>
          <w:lang w:eastAsia="en-US"/>
        </w:rPr>
      </w:pPr>
      <w:r w:rsidRPr="006645A4">
        <w:rPr>
          <w:lang w:eastAsia="en-US"/>
        </w:rPr>
        <w:t>6.</w:t>
      </w:r>
      <w:r w:rsidRPr="006645A4">
        <w:rPr>
          <w:lang w:eastAsia="en-US"/>
        </w:rPr>
        <w:tab/>
      </w:r>
      <w:r w:rsidR="00892142" w:rsidRPr="002A5163">
        <w:rPr>
          <w:i/>
          <w:iCs/>
          <w:lang w:eastAsia="en-US"/>
        </w:rPr>
        <w:t>Notes</w:t>
      </w:r>
      <w:r w:rsidR="00892142" w:rsidRPr="002A5163">
        <w:rPr>
          <w:lang w:eastAsia="en-US"/>
        </w:rPr>
        <w:t xml:space="preserve"> </w:t>
      </w:r>
      <w:r w:rsidR="00892142" w:rsidRPr="006645A4">
        <w:rPr>
          <w:lang w:eastAsia="en-US"/>
        </w:rPr>
        <w:t>that the programme budget contains elements relating to the Convention and the Paris Agreement as well as to the Kyoto Protocol;</w:t>
      </w:r>
    </w:p>
    <w:p w14:paraId="7FB88128" w14:textId="0525DD44" w:rsidR="00892142" w:rsidRPr="006645A4" w:rsidRDefault="002424D3" w:rsidP="002424D3">
      <w:pPr>
        <w:pStyle w:val="RegSingleTxtG"/>
        <w:numPr>
          <w:ilvl w:val="0"/>
          <w:numId w:val="0"/>
        </w:numPr>
        <w:tabs>
          <w:tab w:val="left" w:pos="568"/>
        </w:tabs>
        <w:suppressAutoHyphens w:val="0"/>
        <w:spacing w:line="240" w:lineRule="auto"/>
        <w:ind w:left="1135"/>
        <w:rPr>
          <w:lang w:eastAsia="en-US"/>
        </w:rPr>
      </w:pPr>
      <w:r w:rsidRPr="006645A4">
        <w:rPr>
          <w:lang w:eastAsia="en-US"/>
        </w:rPr>
        <w:t>7.</w:t>
      </w:r>
      <w:r w:rsidRPr="006645A4">
        <w:rPr>
          <w:lang w:eastAsia="en-US"/>
        </w:rPr>
        <w:tab/>
      </w:r>
      <w:r w:rsidR="00892142" w:rsidRPr="006645A4">
        <w:rPr>
          <w:i/>
          <w:iCs/>
          <w:lang w:eastAsia="en-US"/>
        </w:rPr>
        <w:t xml:space="preserve">Adopts </w:t>
      </w:r>
      <w:r w:rsidR="00892142" w:rsidRPr="006645A4">
        <w:rPr>
          <w:lang w:eastAsia="en-US"/>
        </w:rPr>
        <w:t xml:space="preserve">the indicative scale of contributions contained in </w:t>
      </w:r>
      <w:r w:rsidR="00C71E1B">
        <w:rPr>
          <w:lang w:eastAsia="en-US"/>
        </w:rPr>
        <w:t xml:space="preserve">the </w:t>
      </w:r>
      <w:r w:rsidR="00892142" w:rsidRPr="006645A4">
        <w:rPr>
          <w:lang w:eastAsia="en-US"/>
        </w:rPr>
        <w:t>annex;</w:t>
      </w:r>
    </w:p>
    <w:p w14:paraId="643FD42A" w14:textId="1C550823" w:rsidR="00892142" w:rsidRPr="006645A4" w:rsidRDefault="002424D3" w:rsidP="002424D3">
      <w:pPr>
        <w:pStyle w:val="RegSingleTxtG"/>
        <w:numPr>
          <w:ilvl w:val="0"/>
          <w:numId w:val="0"/>
        </w:numPr>
        <w:tabs>
          <w:tab w:val="left" w:pos="568"/>
        </w:tabs>
        <w:suppressAutoHyphens w:val="0"/>
        <w:spacing w:line="240" w:lineRule="auto"/>
        <w:ind w:left="1135"/>
        <w:rPr>
          <w:lang w:eastAsia="en-US"/>
        </w:rPr>
      </w:pPr>
      <w:r w:rsidRPr="006645A4">
        <w:rPr>
          <w:lang w:eastAsia="en-US"/>
        </w:rPr>
        <w:t>8.</w:t>
      </w:r>
      <w:r w:rsidRPr="006645A4">
        <w:rPr>
          <w:lang w:eastAsia="en-US"/>
        </w:rPr>
        <w:tab/>
      </w:r>
      <w:r w:rsidR="00892142" w:rsidRPr="006645A4">
        <w:rPr>
          <w:i/>
          <w:iCs/>
          <w:lang w:eastAsia="en-US"/>
        </w:rPr>
        <w:t xml:space="preserve">Notes </w:t>
      </w:r>
      <w:r w:rsidR="00892142" w:rsidRPr="006645A4">
        <w:rPr>
          <w:lang w:eastAsia="en-US"/>
        </w:rPr>
        <w:t xml:space="preserve">that the indicative scale of contributions covers 90 per cent of the contributions specified in table 1; </w:t>
      </w:r>
    </w:p>
    <w:p w14:paraId="7FBB3A2D" w14:textId="258938CE" w:rsidR="00892142" w:rsidRDefault="002424D3" w:rsidP="002424D3">
      <w:pPr>
        <w:pStyle w:val="RegSingleTxtG"/>
        <w:numPr>
          <w:ilvl w:val="0"/>
          <w:numId w:val="0"/>
        </w:numPr>
        <w:tabs>
          <w:tab w:val="left" w:pos="568"/>
        </w:tabs>
        <w:suppressAutoHyphens w:val="0"/>
        <w:spacing w:line="240" w:lineRule="auto"/>
        <w:ind w:left="1135"/>
        <w:rPr>
          <w:lang w:eastAsia="en-US"/>
        </w:rPr>
      </w:pPr>
      <w:r>
        <w:rPr>
          <w:lang w:eastAsia="en-US"/>
        </w:rPr>
        <w:t>9.</w:t>
      </w:r>
      <w:r>
        <w:rPr>
          <w:lang w:eastAsia="en-US"/>
        </w:rPr>
        <w:tab/>
      </w:r>
      <w:r w:rsidR="00892142" w:rsidRPr="006645A4">
        <w:rPr>
          <w:i/>
          <w:lang w:eastAsia="en-US"/>
        </w:rPr>
        <w:tab/>
      </w:r>
      <w:r w:rsidR="00892142" w:rsidRPr="006645A4">
        <w:rPr>
          <w:i/>
          <w:iCs/>
          <w:lang w:eastAsia="en-US"/>
        </w:rPr>
        <w:t>Invites</w:t>
      </w:r>
      <w:r w:rsidR="00892142" w:rsidRPr="006645A4">
        <w:rPr>
          <w:lang w:eastAsia="en-US"/>
        </w:rPr>
        <w:t xml:space="preserve"> the Conference of the </w:t>
      </w:r>
      <w:r w:rsidR="00892142" w:rsidRPr="006645A4">
        <w:rPr>
          <w:iCs/>
          <w:lang w:eastAsia="en-US"/>
        </w:rPr>
        <w:t>Parties</w:t>
      </w:r>
      <w:r w:rsidR="00892142" w:rsidRPr="006645A4">
        <w:rPr>
          <w:lang w:eastAsia="en-US"/>
        </w:rPr>
        <w:t xml:space="preserve"> serving as the meeting of the Parties to the Kyoto Protocol, at its fifteenth session</w:t>
      </w:r>
      <w:r w:rsidR="00892142" w:rsidRPr="008E28A6">
        <w:rPr>
          <w:lang w:eastAsia="en-US"/>
        </w:rPr>
        <w:t>, to endorse the elements of the recommended budget as it applies to the Kyoto Protocol;</w:t>
      </w:r>
    </w:p>
    <w:p w14:paraId="4CB3D844" w14:textId="434768B8" w:rsidR="00892142" w:rsidRPr="008E28A6" w:rsidRDefault="002424D3" w:rsidP="002424D3">
      <w:pPr>
        <w:pStyle w:val="RegSingleTxtG"/>
        <w:numPr>
          <w:ilvl w:val="0"/>
          <w:numId w:val="0"/>
        </w:numPr>
        <w:tabs>
          <w:tab w:val="left" w:pos="568"/>
        </w:tabs>
        <w:suppressAutoHyphens w:val="0"/>
        <w:spacing w:line="240" w:lineRule="auto"/>
        <w:ind w:left="1135"/>
        <w:rPr>
          <w:lang w:eastAsia="en-US"/>
        </w:rPr>
      </w:pPr>
      <w:r w:rsidRPr="008E28A6">
        <w:rPr>
          <w:lang w:eastAsia="en-US"/>
        </w:rPr>
        <w:t>10.</w:t>
      </w:r>
      <w:r w:rsidRPr="008E28A6">
        <w:rPr>
          <w:lang w:eastAsia="en-US"/>
        </w:rPr>
        <w:tab/>
      </w:r>
      <w:r w:rsidR="00892142" w:rsidRPr="008E28A6">
        <w:rPr>
          <w:i/>
          <w:iCs/>
          <w:lang w:eastAsia="en-US"/>
        </w:rPr>
        <w:t>Also invites</w:t>
      </w:r>
      <w:r w:rsidR="00892142" w:rsidRPr="008E28A6">
        <w:rPr>
          <w:lang w:eastAsia="en-US"/>
        </w:rPr>
        <w:t xml:space="preserve"> the United Nations General Assembly to decide, at its seventy-</w:t>
      </w:r>
      <w:r w:rsidR="00892142">
        <w:rPr>
          <w:lang w:eastAsia="en-US"/>
        </w:rPr>
        <w:t>fourth</w:t>
      </w:r>
      <w:r w:rsidR="00892142" w:rsidRPr="008E28A6">
        <w:rPr>
          <w:lang w:eastAsia="en-US"/>
        </w:rPr>
        <w:t xml:space="preserve"> session, on the issue of meeting the conference </w:t>
      </w:r>
      <w:r w:rsidR="00892142" w:rsidRPr="008E28A6">
        <w:rPr>
          <w:iCs/>
          <w:lang w:eastAsia="en-US"/>
        </w:rPr>
        <w:t>services</w:t>
      </w:r>
      <w:r w:rsidR="00892142" w:rsidRPr="008E28A6">
        <w:rPr>
          <w:lang w:eastAsia="en-US"/>
        </w:rPr>
        <w:t xml:space="preserve"> expenses from its regular budget </w:t>
      </w:r>
      <w:r w:rsidR="00892142" w:rsidRPr="008E28A6">
        <w:t>as a continuation of existing practice</w:t>
      </w:r>
      <w:r w:rsidR="00892142" w:rsidRPr="008E28A6">
        <w:rPr>
          <w:lang w:eastAsia="en-US"/>
        </w:rPr>
        <w:t>;</w:t>
      </w:r>
    </w:p>
    <w:p w14:paraId="2A7C95BA" w14:textId="1B02536E" w:rsidR="00892142" w:rsidRPr="008E28A6" w:rsidRDefault="002424D3" w:rsidP="002424D3">
      <w:pPr>
        <w:pStyle w:val="RegSingleTxtG"/>
        <w:numPr>
          <w:ilvl w:val="0"/>
          <w:numId w:val="0"/>
        </w:numPr>
        <w:tabs>
          <w:tab w:val="left" w:pos="568"/>
        </w:tabs>
        <w:suppressAutoHyphens w:val="0"/>
        <w:spacing w:line="240" w:lineRule="auto"/>
        <w:ind w:left="1135"/>
        <w:rPr>
          <w:lang w:eastAsia="en-US"/>
        </w:rPr>
      </w:pPr>
      <w:r w:rsidRPr="008E28A6">
        <w:rPr>
          <w:lang w:eastAsia="en-US"/>
        </w:rPr>
        <w:t>11.</w:t>
      </w:r>
      <w:r w:rsidRPr="008E28A6">
        <w:rPr>
          <w:lang w:eastAsia="en-US"/>
        </w:rPr>
        <w:tab/>
      </w:r>
      <w:r w:rsidR="00892142" w:rsidRPr="008E28A6">
        <w:rPr>
          <w:i/>
          <w:iCs/>
          <w:lang w:eastAsia="en-US"/>
        </w:rPr>
        <w:t xml:space="preserve">Approves </w:t>
      </w:r>
      <w:r w:rsidR="00892142" w:rsidRPr="008E28A6">
        <w:rPr>
          <w:lang w:eastAsia="en-US"/>
        </w:rPr>
        <w:t>a contingency budget for confer</w:t>
      </w:r>
      <w:r w:rsidR="00892142">
        <w:rPr>
          <w:lang w:eastAsia="en-US"/>
        </w:rPr>
        <w:t>ence services, amounting to EUR </w:t>
      </w:r>
      <w:r w:rsidR="00892142" w:rsidRPr="009542F0">
        <w:rPr>
          <w:lang w:eastAsia="en-US"/>
        </w:rPr>
        <w:t>7</w:t>
      </w:r>
      <w:r w:rsidR="00892142">
        <w:rPr>
          <w:lang w:eastAsia="en-US"/>
        </w:rPr>
        <w:t>,</w:t>
      </w:r>
      <w:r w:rsidR="00892142" w:rsidRPr="009542F0">
        <w:rPr>
          <w:lang w:eastAsia="en-US"/>
        </w:rPr>
        <w:t>501</w:t>
      </w:r>
      <w:r w:rsidR="00892142">
        <w:rPr>
          <w:lang w:eastAsia="en-US"/>
        </w:rPr>
        <w:t>,</w:t>
      </w:r>
      <w:r w:rsidR="00892142" w:rsidRPr="009542F0">
        <w:rPr>
          <w:lang w:eastAsia="en-US"/>
        </w:rPr>
        <w:t>900</w:t>
      </w:r>
      <w:r w:rsidR="00892142" w:rsidRPr="008E28A6">
        <w:rPr>
          <w:lang w:eastAsia="en-US"/>
        </w:rPr>
        <w:t xml:space="preserve">, to be added to the programme budget for </w:t>
      </w:r>
      <w:r w:rsidR="00892142" w:rsidRPr="008E28A6">
        <w:rPr>
          <w:iCs/>
          <w:lang w:eastAsia="en-US"/>
        </w:rPr>
        <w:t>the</w:t>
      </w:r>
      <w:r w:rsidR="00892142" w:rsidRPr="008E28A6">
        <w:rPr>
          <w:lang w:eastAsia="en-US"/>
        </w:rPr>
        <w:t xml:space="preserve"> biennium </w:t>
      </w:r>
      <w:r w:rsidR="00892142">
        <w:rPr>
          <w:rFonts w:eastAsia="Times New Roman"/>
          <w:lang w:eastAsia="en-US"/>
        </w:rPr>
        <w:t xml:space="preserve">2020–2021 </w:t>
      </w:r>
      <w:r w:rsidR="00892142" w:rsidRPr="008E28A6">
        <w:rPr>
          <w:lang w:eastAsia="en-US"/>
        </w:rPr>
        <w:t>in the event that the United Nations General Assembly decides not to provide resources for these activities in the United Nations regular budget (see table 3);</w:t>
      </w:r>
    </w:p>
    <w:p w14:paraId="0888BF10" w14:textId="5B8F1415" w:rsidR="00892142" w:rsidRPr="008E28A6" w:rsidRDefault="002424D3" w:rsidP="002424D3">
      <w:pPr>
        <w:pStyle w:val="RegSingleTxtG"/>
        <w:numPr>
          <w:ilvl w:val="0"/>
          <w:numId w:val="0"/>
        </w:numPr>
        <w:tabs>
          <w:tab w:val="left" w:pos="568"/>
        </w:tabs>
        <w:suppressAutoHyphens w:val="0"/>
        <w:spacing w:line="240" w:lineRule="auto"/>
        <w:ind w:left="1135"/>
        <w:rPr>
          <w:lang w:eastAsia="en-US"/>
        </w:rPr>
      </w:pPr>
      <w:r w:rsidRPr="008E28A6">
        <w:rPr>
          <w:lang w:eastAsia="en-US"/>
        </w:rPr>
        <w:t>12.</w:t>
      </w:r>
      <w:r w:rsidRPr="008E28A6">
        <w:rPr>
          <w:lang w:eastAsia="en-US"/>
        </w:rPr>
        <w:tab/>
      </w:r>
      <w:r w:rsidR="00892142" w:rsidRPr="008E28A6">
        <w:rPr>
          <w:i/>
          <w:iCs/>
          <w:lang w:eastAsia="en-US"/>
        </w:rPr>
        <w:t xml:space="preserve">Requests </w:t>
      </w:r>
      <w:r w:rsidR="00892142" w:rsidRPr="008E28A6">
        <w:rPr>
          <w:lang w:eastAsia="en-US"/>
        </w:rPr>
        <w:t xml:space="preserve">the Executive Secretary to </w:t>
      </w:r>
      <w:r w:rsidR="00892142" w:rsidRPr="007D13AA">
        <w:rPr>
          <w:lang w:eastAsia="en-US"/>
        </w:rPr>
        <w:t xml:space="preserve">report to the Subsidiary Body for Implementation on the implementation of matters referred to in paragraphs </w:t>
      </w:r>
      <w:r w:rsidR="00892142">
        <w:rPr>
          <w:lang w:eastAsia="en-US"/>
        </w:rPr>
        <w:t>10</w:t>
      </w:r>
      <w:r w:rsidR="00262A03">
        <w:rPr>
          <w:lang w:eastAsia="en-US"/>
        </w:rPr>
        <w:t>–</w:t>
      </w:r>
      <w:r w:rsidR="00892142">
        <w:rPr>
          <w:lang w:eastAsia="en-US"/>
        </w:rPr>
        <w:t>11</w:t>
      </w:r>
      <w:r w:rsidR="00892142" w:rsidRPr="007D13AA">
        <w:rPr>
          <w:lang w:eastAsia="en-US"/>
        </w:rPr>
        <w:t xml:space="preserve"> above, as</w:t>
      </w:r>
      <w:r w:rsidR="00892142" w:rsidRPr="008E28A6">
        <w:rPr>
          <w:lang w:eastAsia="en-US"/>
        </w:rPr>
        <w:t xml:space="preserve"> necessary;</w:t>
      </w:r>
    </w:p>
    <w:p w14:paraId="01168F06" w14:textId="2E284FED" w:rsidR="00892142" w:rsidRPr="008E28A6" w:rsidRDefault="002424D3" w:rsidP="002424D3">
      <w:pPr>
        <w:pStyle w:val="RegSingleTxtG"/>
        <w:numPr>
          <w:ilvl w:val="0"/>
          <w:numId w:val="0"/>
        </w:numPr>
        <w:tabs>
          <w:tab w:val="left" w:pos="568"/>
        </w:tabs>
        <w:suppressAutoHyphens w:val="0"/>
        <w:spacing w:line="240" w:lineRule="auto"/>
        <w:ind w:left="1135"/>
        <w:rPr>
          <w:lang w:eastAsia="en-US"/>
        </w:rPr>
      </w:pPr>
      <w:r w:rsidRPr="008E28A6">
        <w:rPr>
          <w:lang w:eastAsia="en-US"/>
        </w:rPr>
        <w:t>13.</w:t>
      </w:r>
      <w:r w:rsidRPr="008E28A6">
        <w:rPr>
          <w:lang w:eastAsia="en-US"/>
        </w:rPr>
        <w:tab/>
      </w:r>
      <w:r w:rsidR="00892142" w:rsidRPr="008E28A6">
        <w:rPr>
          <w:i/>
          <w:iCs/>
          <w:lang w:eastAsia="en-US"/>
        </w:rPr>
        <w:t>Authorizes</w:t>
      </w:r>
      <w:r w:rsidR="00892142" w:rsidRPr="008E28A6">
        <w:rPr>
          <w:lang w:eastAsia="en-US"/>
        </w:rPr>
        <w:t xml:space="preserve"> the Executive Secretary to make transfers between each of the appropriation lines set out in table 1, up to an aggregate limit of 15 per cent of total estimated expenditure for those </w:t>
      </w:r>
      <w:r w:rsidR="00892142" w:rsidRPr="008E28A6">
        <w:rPr>
          <w:iCs/>
          <w:lang w:eastAsia="en-US"/>
        </w:rPr>
        <w:t>appropriation</w:t>
      </w:r>
      <w:r w:rsidR="00892142" w:rsidRPr="008E28A6">
        <w:rPr>
          <w:lang w:eastAsia="en-US"/>
        </w:rPr>
        <w:t xml:space="preserve"> lines, provided that a further limitation of up to </w:t>
      </w:r>
      <w:r w:rsidR="006158CC">
        <w:rPr>
          <w:lang w:eastAsia="en-US"/>
        </w:rPr>
        <w:t>–</w:t>
      </w:r>
      <w:r w:rsidR="00892142" w:rsidRPr="008E28A6">
        <w:rPr>
          <w:lang w:eastAsia="en-US"/>
        </w:rPr>
        <w:t xml:space="preserve">25 per cent of each such appropriation line shall apply, while ensuring no negative impacts on the activities under each </w:t>
      </w:r>
      <w:r w:rsidR="00892142">
        <w:rPr>
          <w:lang w:eastAsia="en-US"/>
        </w:rPr>
        <w:t>division</w:t>
      </w:r>
      <w:r w:rsidR="00892142" w:rsidRPr="008E28A6">
        <w:rPr>
          <w:lang w:eastAsia="en-US"/>
        </w:rPr>
        <w:t>;</w:t>
      </w:r>
    </w:p>
    <w:p w14:paraId="59799439" w14:textId="274C1E04" w:rsidR="00892142" w:rsidRPr="007A7EA3" w:rsidRDefault="002424D3" w:rsidP="002424D3">
      <w:pPr>
        <w:pStyle w:val="RegSingleTxtG"/>
        <w:numPr>
          <w:ilvl w:val="0"/>
          <w:numId w:val="0"/>
        </w:numPr>
        <w:tabs>
          <w:tab w:val="left" w:pos="568"/>
        </w:tabs>
        <w:suppressAutoHyphens w:val="0"/>
        <w:spacing w:line="240" w:lineRule="auto"/>
        <w:ind w:left="1135"/>
        <w:rPr>
          <w:lang w:eastAsia="en-US"/>
        </w:rPr>
      </w:pPr>
      <w:r w:rsidRPr="007A7EA3">
        <w:rPr>
          <w:lang w:eastAsia="en-US"/>
        </w:rPr>
        <w:t>14.</w:t>
      </w:r>
      <w:r w:rsidRPr="007A7EA3">
        <w:rPr>
          <w:lang w:eastAsia="en-US"/>
        </w:rPr>
        <w:tab/>
      </w:r>
      <w:r w:rsidR="00892142" w:rsidRPr="008E28A6">
        <w:rPr>
          <w:i/>
          <w:iCs/>
          <w:lang w:eastAsia="en-US"/>
        </w:rPr>
        <w:t>Decides</w:t>
      </w:r>
      <w:r w:rsidR="00892142" w:rsidRPr="008E28A6">
        <w:rPr>
          <w:lang w:eastAsia="en-US"/>
        </w:rPr>
        <w:t xml:space="preserve"> to maintain the level of the </w:t>
      </w:r>
      <w:r w:rsidR="00892142" w:rsidRPr="008E28A6">
        <w:rPr>
          <w:iCs/>
          <w:lang w:eastAsia="en-US"/>
        </w:rPr>
        <w:t>working</w:t>
      </w:r>
      <w:r w:rsidR="00892142" w:rsidRPr="008E28A6">
        <w:rPr>
          <w:lang w:eastAsia="en-US"/>
        </w:rPr>
        <w:t xml:space="preserve"> </w:t>
      </w:r>
      <w:r w:rsidR="00892142" w:rsidRPr="007A7EA3">
        <w:rPr>
          <w:lang w:eastAsia="en-US"/>
        </w:rPr>
        <w:t>capital reserve at 8.3 per cent of the estimated expenditure;</w:t>
      </w:r>
    </w:p>
    <w:p w14:paraId="28382DA5" w14:textId="37EA0199" w:rsidR="00892142" w:rsidRDefault="002424D3" w:rsidP="002424D3">
      <w:pPr>
        <w:pStyle w:val="RegSingleTxtG"/>
        <w:numPr>
          <w:ilvl w:val="0"/>
          <w:numId w:val="0"/>
        </w:numPr>
        <w:tabs>
          <w:tab w:val="left" w:pos="568"/>
        </w:tabs>
        <w:suppressAutoHyphens w:val="0"/>
        <w:spacing w:line="240" w:lineRule="auto"/>
        <w:ind w:left="1135"/>
      </w:pPr>
      <w:r>
        <w:t>15.</w:t>
      </w:r>
      <w:r>
        <w:tab/>
      </w:r>
      <w:r w:rsidR="00892142">
        <w:rPr>
          <w:i/>
        </w:rPr>
        <w:t>U</w:t>
      </w:r>
      <w:r w:rsidR="00892142" w:rsidRPr="00585ADA">
        <w:rPr>
          <w:i/>
        </w:rPr>
        <w:t>rges</w:t>
      </w:r>
      <w:r w:rsidR="00892142" w:rsidRPr="00585ADA">
        <w:t xml:space="preserve"> Parties that have not made contributions in full to the core budget for the current and/or previous bienniums to do so without further delay</w:t>
      </w:r>
      <w:r w:rsidR="00892142">
        <w:t>;</w:t>
      </w:r>
    </w:p>
    <w:p w14:paraId="0E3BD734" w14:textId="1CD5249B" w:rsidR="00892142" w:rsidRPr="000D19CD" w:rsidRDefault="002424D3" w:rsidP="002424D3">
      <w:pPr>
        <w:pStyle w:val="RegSingleTxtG"/>
        <w:numPr>
          <w:ilvl w:val="0"/>
          <w:numId w:val="0"/>
        </w:numPr>
        <w:tabs>
          <w:tab w:val="left" w:pos="568"/>
        </w:tabs>
        <w:suppressAutoHyphens w:val="0"/>
        <w:spacing w:line="240" w:lineRule="auto"/>
        <w:ind w:left="1135"/>
        <w:rPr>
          <w:lang w:eastAsia="en-US"/>
        </w:rPr>
      </w:pPr>
      <w:r w:rsidRPr="000D19CD">
        <w:rPr>
          <w:lang w:eastAsia="en-US"/>
        </w:rPr>
        <w:t>16.</w:t>
      </w:r>
      <w:r w:rsidRPr="000D19CD">
        <w:rPr>
          <w:lang w:eastAsia="en-US"/>
        </w:rPr>
        <w:tab/>
      </w:r>
      <w:r w:rsidR="00892142" w:rsidRPr="005F1865">
        <w:rPr>
          <w:i/>
          <w:iCs/>
          <w:lang w:eastAsia="en-US"/>
        </w:rPr>
        <w:t>Invites</w:t>
      </w:r>
      <w:r w:rsidR="00892142" w:rsidRPr="005F1865">
        <w:rPr>
          <w:lang w:eastAsia="en-US"/>
        </w:rPr>
        <w:t xml:space="preserve"> all Parties to the Convention to </w:t>
      </w:r>
      <w:r w:rsidR="00892142" w:rsidRPr="005F1865">
        <w:rPr>
          <w:iCs/>
          <w:lang w:eastAsia="en-US"/>
        </w:rPr>
        <w:t>note</w:t>
      </w:r>
      <w:r w:rsidR="00892142" w:rsidRPr="005F1865">
        <w:rPr>
          <w:lang w:eastAsia="en-US"/>
        </w:rPr>
        <w:t xml:space="preserve"> that </w:t>
      </w:r>
      <w:bookmarkStart w:id="25" w:name="_Hlk7430333"/>
      <w:r w:rsidR="00892142" w:rsidRPr="005F1865">
        <w:rPr>
          <w:lang w:eastAsia="en-US"/>
        </w:rPr>
        <w:t xml:space="preserve">each Party shall, prior to 1 January of each year, inform the secretariat of the contribution it intends to make that year and of the projected timing of that contribution in accordance with paragraph 8(a) of the financial procedures </w:t>
      </w:r>
      <w:r w:rsidR="00892142" w:rsidRPr="00EF24AF">
        <w:rPr>
          <w:lang w:eastAsia="en-US"/>
        </w:rPr>
        <w:t>for the Conference of the Parties, its subsidiary bodies and the secretariat,</w:t>
      </w:r>
      <w:r w:rsidR="00892142" w:rsidRPr="00D92D13">
        <w:rPr>
          <w:sz w:val="18"/>
          <w:szCs w:val="18"/>
          <w:vertAlign w:val="superscript"/>
          <w:lang w:eastAsia="en-US"/>
        </w:rPr>
        <w:footnoteReference w:id="55"/>
      </w:r>
      <w:r w:rsidR="00892142">
        <w:rPr>
          <w:lang w:eastAsia="en-US"/>
        </w:rPr>
        <w:t xml:space="preserve"> </w:t>
      </w:r>
      <w:r w:rsidR="00892142" w:rsidRPr="005F1865">
        <w:rPr>
          <w:lang w:eastAsia="en-US"/>
        </w:rPr>
        <w:t xml:space="preserve">and that </w:t>
      </w:r>
      <w:bookmarkEnd w:id="25"/>
      <w:r w:rsidR="00892142" w:rsidRPr="005F1865">
        <w:rPr>
          <w:lang w:eastAsia="en-US"/>
        </w:rPr>
        <w:t>contributions to the core budget are due on 1 January of each year in accordance with paragraph 8(b) of the financial procedures</w:t>
      </w:r>
      <w:r w:rsidR="00892142">
        <w:rPr>
          <w:lang w:eastAsia="en-US"/>
        </w:rPr>
        <w:t>,</w:t>
      </w:r>
      <w:r w:rsidR="00892142" w:rsidRPr="005F1865">
        <w:rPr>
          <w:lang w:eastAsia="en-US"/>
        </w:rPr>
        <w:t xml:space="preserve"> and to pay promptly and in full, for each of the years 2020 and 2021, the contributions required to finance the expenditures approved in paragraph 1 above and any contributions required to finance the expenditures arising from the decision referred to in paragraph 11 above;</w:t>
      </w:r>
    </w:p>
    <w:p w14:paraId="28BBAB93" w14:textId="16E9A7C0" w:rsidR="00892142" w:rsidRPr="008E28A6" w:rsidRDefault="002424D3" w:rsidP="002424D3">
      <w:pPr>
        <w:pStyle w:val="RegSingleTxtG"/>
        <w:numPr>
          <w:ilvl w:val="0"/>
          <w:numId w:val="0"/>
        </w:numPr>
        <w:tabs>
          <w:tab w:val="left" w:pos="568"/>
        </w:tabs>
        <w:suppressAutoHyphens w:val="0"/>
        <w:spacing w:line="240" w:lineRule="auto"/>
        <w:ind w:left="1135"/>
        <w:rPr>
          <w:lang w:eastAsia="en-US"/>
        </w:rPr>
      </w:pPr>
      <w:r w:rsidRPr="008E28A6">
        <w:rPr>
          <w:lang w:eastAsia="en-US"/>
        </w:rPr>
        <w:t>17.</w:t>
      </w:r>
      <w:r w:rsidRPr="008E28A6">
        <w:rPr>
          <w:lang w:eastAsia="en-US"/>
        </w:rPr>
        <w:tab/>
      </w:r>
      <w:r w:rsidR="00892142" w:rsidRPr="008E28A6">
        <w:rPr>
          <w:i/>
          <w:iCs/>
          <w:lang w:eastAsia="en-US"/>
        </w:rPr>
        <w:t>Takes note</w:t>
      </w:r>
      <w:r w:rsidR="00892142" w:rsidRPr="008E28A6">
        <w:rPr>
          <w:lang w:eastAsia="en-US"/>
        </w:rPr>
        <w:t xml:space="preserve"> of the funding estimates for the Trust Fund for Participation in the UNFCCC Process specified by the Executive Secretary (see table 4);</w:t>
      </w:r>
    </w:p>
    <w:p w14:paraId="42B1FD65" w14:textId="01A7A175" w:rsidR="00892142" w:rsidRPr="008E28A6" w:rsidRDefault="002424D3" w:rsidP="002424D3">
      <w:pPr>
        <w:pStyle w:val="RegSingleTxtG"/>
        <w:numPr>
          <w:ilvl w:val="0"/>
          <w:numId w:val="0"/>
        </w:numPr>
        <w:tabs>
          <w:tab w:val="left" w:pos="568"/>
        </w:tabs>
        <w:suppressAutoHyphens w:val="0"/>
        <w:spacing w:line="240" w:lineRule="auto"/>
        <w:ind w:left="1135"/>
        <w:rPr>
          <w:lang w:eastAsia="en-US"/>
        </w:rPr>
      </w:pPr>
      <w:r w:rsidRPr="008E28A6">
        <w:rPr>
          <w:lang w:eastAsia="en-US"/>
        </w:rPr>
        <w:t>18.</w:t>
      </w:r>
      <w:r w:rsidRPr="008E28A6">
        <w:rPr>
          <w:lang w:eastAsia="en-US"/>
        </w:rPr>
        <w:tab/>
      </w:r>
      <w:r w:rsidR="00892142" w:rsidRPr="008E28A6">
        <w:rPr>
          <w:i/>
          <w:iCs/>
          <w:lang w:eastAsia="en-US"/>
        </w:rPr>
        <w:t xml:space="preserve">Invites </w:t>
      </w:r>
      <w:r w:rsidR="00892142" w:rsidRPr="008E28A6">
        <w:rPr>
          <w:lang w:eastAsia="en-US"/>
        </w:rPr>
        <w:t>Parties to make contributions to the Trust Fund for Participation in the UNFCCC Process;</w:t>
      </w:r>
    </w:p>
    <w:p w14:paraId="4152E11C" w14:textId="099DB14E" w:rsidR="00892142" w:rsidRPr="00D5712D" w:rsidRDefault="002424D3" w:rsidP="002424D3">
      <w:pPr>
        <w:pStyle w:val="RegSingleTxtG"/>
        <w:numPr>
          <w:ilvl w:val="0"/>
          <w:numId w:val="0"/>
        </w:numPr>
        <w:tabs>
          <w:tab w:val="left" w:pos="568"/>
        </w:tabs>
        <w:suppressAutoHyphens w:val="0"/>
        <w:spacing w:line="240" w:lineRule="auto"/>
        <w:ind w:left="1135"/>
        <w:rPr>
          <w:lang w:eastAsia="en-US"/>
        </w:rPr>
      </w:pPr>
      <w:r w:rsidRPr="00D5712D">
        <w:rPr>
          <w:lang w:eastAsia="en-US"/>
        </w:rPr>
        <w:t>19.</w:t>
      </w:r>
      <w:r w:rsidRPr="00D5712D">
        <w:rPr>
          <w:lang w:eastAsia="en-US"/>
        </w:rPr>
        <w:tab/>
      </w:r>
      <w:r w:rsidR="00892142" w:rsidRPr="00D5712D">
        <w:rPr>
          <w:i/>
          <w:iCs/>
          <w:lang w:eastAsia="en-US"/>
        </w:rPr>
        <w:t>Takes note</w:t>
      </w:r>
      <w:r w:rsidR="00892142" w:rsidRPr="00D5712D">
        <w:rPr>
          <w:lang w:eastAsia="en-US"/>
        </w:rPr>
        <w:t xml:space="preserve"> of the funding estimates for the Trust Fund for Supplementary Activities specified by the Executive Secretary (EUR 63</w:t>
      </w:r>
      <w:r w:rsidR="00892142">
        <w:rPr>
          <w:lang w:eastAsia="en-US"/>
        </w:rPr>
        <w:t>,</w:t>
      </w:r>
      <w:r w:rsidR="00892142" w:rsidRPr="00D5712D">
        <w:rPr>
          <w:lang w:eastAsia="en-US"/>
        </w:rPr>
        <w:t>542</w:t>
      </w:r>
      <w:r w:rsidR="00892142">
        <w:rPr>
          <w:lang w:eastAsia="en-US"/>
        </w:rPr>
        <w:t>,</w:t>
      </w:r>
      <w:r w:rsidR="00892142" w:rsidRPr="00D5712D">
        <w:rPr>
          <w:lang w:eastAsia="en-US"/>
        </w:rPr>
        <w:t>327 for the biennium 2020–2021) (see table 5);</w:t>
      </w:r>
    </w:p>
    <w:p w14:paraId="2392CBB6" w14:textId="4B9AB850" w:rsidR="00892142" w:rsidRPr="008E28A6" w:rsidRDefault="002424D3" w:rsidP="002424D3">
      <w:pPr>
        <w:pStyle w:val="RegSingleTxtG"/>
        <w:numPr>
          <w:ilvl w:val="0"/>
          <w:numId w:val="0"/>
        </w:numPr>
        <w:tabs>
          <w:tab w:val="left" w:pos="568"/>
        </w:tabs>
        <w:suppressAutoHyphens w:val="0"/>
        <w:spacing w:line="240" w:lineRule="auto"/>
        <w:ind w:left="1135"/>
        <w:rPr>
          <w:lang w:eastAsia="en-US"/>
        </w:rPr>
      </w:pPr>
      <w:r w:rsidRPr="008E28A6">
        <w:rPr>
          <w:lang w:eastAsia="en-US"/>
        </w:rPr>
        <w:t>20.</w:t>
      </w:r>
      <w:r w:rsidRPr="008E28A6">
        <w:rPr>
          <w:lang w:eastAsia="en-US"/>
        </w:rPr>
        <w:tab/>
      </w:r>
      <w:r w:rsidR="00892142" w:rsidRPr="008E28A6">
        <w:rPr>
          <w:i/>
          <w:lang w:eastAsia="en-US"/>
        </w:rPr>
        <w:t>Invites</w:t>
      </w:r>
      <w:r w:rsidR="00892142" w:rsidRPr="008E28A6">
        <w:rPr>
          <w:lang w:eastAsia="en-US"/>
        </w:rPr>
        <w:t xml:space="preserve"> Parties to make contributions to the Trust Fund for Supplementary Activities</w:t>
      </w:r>
      <w:r w:rsidR="00892142" w:rsidRPr="008E28A6">
        <w:t xml:space="preserve"> with a view to enabling the implementation of activities envisaged under the </w:t>
      </w:r>
      <w:r w:rsidR="00892142">
        <w:t>F</w:t>
      </w:r>
      <w:r w:rsidR="00892142" w:rsidRPr="008E28A6">
        <w:t>und</w:t>
      </w:r>
      <w:r w:rsidR="00892142" w:rsidRPr="008E28A6">
        <w:rPr>
          <w:lang w:eastAsia="en-US"/>
        </w:rPr>
        <w:t>;</w:t>
      </w:r>
    </w:p>
    <w:p w14:paraId="519DC51B" w14:textId="66EE5993" w:rsidR="00892142" w:rsidRPr="004A14C3" w:rsidRDefault="002424D3" w:rsidP="002424D3">
      <w:pPr>
        <w:pStyle w:val="RegSingleTxtG"/>
        <w:numPr>
          <w:ilvl w:val="0"/>
          <w:numId w:val="0"/>
        </w:numPr>
        <w:tabs>
          <w:tab w:val="left" w:pos="568"/>
        </w:tabs>
        <w:suppressAutoHyphens w:val="0"/>
        <w:spacing w:line="240" w:lineRule="auto"/>
        <w:ind w:left="1135"/>
        <w:rPr>
          <w:lang w:eastAsia="en-US"/>
        </w:rPr>
      </w:pPr>
      <w:bookmarkStart w:id="26" w:name="_Hlk5641910"/>
      <w:r w:rsidRPr="004A14C3">
        <w:rPr>
          <w:lang w:eastAsia="en-US"/>
        </w:rPr>
        <w:t>21.</w:t>
      </w:r>
      <w:r w:rsidRPr="004A14C3">
        <w:rPr>
          <w:lang w:eastAsia="en-US"/>
        </w:rPr>
        <w:tab/>
      </w:r>
      <w:r w:rsidR="00892142" w:rsidRPr="008E28A6">
        <w:rPr>
          <w:i/>
          <w:lang w:eastAsia="en-US"/>
        </w:rPr>
        <w:t>Requests</w:t>
      </w:r>
      <w:r w:rsidR="00892142" w:rsidRPr="008E28A6">
        <w:rPr>
          <w:lang w:eastAsia="en-US"/>
        </w:rPr>
        <w:t xml:space="preserve"> the secretariat to continue to seek efficiencies</w:t>
      </w:r>
      <w:r w:rsidR="001C3D7E">
        <w:rPr>
          <w:lang w:eastAsia="en-US"/>
        </w:rPr>
        <w:t xml:space="preserve"> and</w:t>
      </w:r>
      <w:r w:rsidR="00892142" w:rsidRPr="008E28A6">
        <w:rPr>
          <w:lang w:eastAsia="en-US"/>
        </w:rPr>
        <w:t xml:space="preserve"> streamline administrative services</w:t>
      </w:r>
      <w:r w:rsidR="00892142">
        <w:rPr>
          <w:lang w:eastAsia="en-US"/>
        </w:rPr>
        <w:t xml:space="preserve"> </w:t>
      </w:r>
      <w:r w:rsidR="00892142" w:rsidRPr="008E28A6">
        <w:rPr>
          <w:lang w:eastAsia="en-US"/>
        </w:rPr>
        <w:t xml:space="preserve">in order to save costs in the biennium </w:t>
      </w:r>
      <w:r w:rsidR="00892142">
        <w:rPr>
          <w:lang w:eastAsia="en-US"/>
        </w:rPr>
        <w:t xml:space="preserve">2020–2021 </w:t>
      </w:r>
      <w:r w:rsidR="00892142" w:rsidRPr="008E28A6">
        <w:rPr>
          <w:lang w:eastAsia="en-US"/>
        </w:rPr>
        <w:t xml:space="preserve">and </w:t>
      </w:r>
      <w:r w:rsidR="00EB2E57">
        <w:rPr>
          <w:lang w:eastAsia="en-US"/>
        </w:rPr>
        <w:t xml:space="preserve">to </w:t>
      </w:r>
      <w:r w:rsidR="00892142" w:rsidRPr="008E28A6">
        <w:rPr>
          <w:lang w:eastAsia="en-US"/>
        </w:rPr>
        <w:t xml:space="preserve">report thereon at the </w:t>
      </w:r>
      <w:r w:rsidR="00892142" w:rsidRPr="004A14C3">
        <w:rPr>
          <w:lang w:eastAsia="en-US"/>
        </w:rPr>
        <w:t>fifty-</w:t>
      </w:r>
      <w:r w:rsidR="00892142">
        <w:rPr>
          <w:lang w:eastAsia="en-US"/>
        </w:rPr>
        <w:t>fourth</w:t>
      </w:r>
      <w:r w:rsidR="00892142" w:rsidRPr="008E28A6">
        <w:rPr>
          <w:lang w:eastAsia="en-US"/>
        </w:rPr>
        <w:t xml:space="preserve"> session </w:t>
      </w:r>
      <w:bookmarkEnd w:id="26"/>
      <w:r w:rsidR="00892142" w:rsidRPr="008E28A6">
        <w:rPr>
          <w:lang w:eastAsia="en-US"/>
        </w:rPr>
        <w:t xml:space="preserve">of the Subsidiary Body for </w:t>
      </w:r>
      <w:r w:rsidR="00892142" w:rsidRPr="004A14C3">
        <w:rPr>
          <w:lang w:eastAsia="en-US"/>
        </w:rPr>
        <w:t>Implementation (May</w:t>
      </w:r>
      <w:r w:rsidR="00892142">
        <w:rPr>
          <w:lang w:eastAsia="en-US"/>
        </w:rPr>
        <w:t>–</w:t>
      </w:r>
      <w:r w:rsidR="00892142" w:rsidRPr="004A14C3">
        <w:rPr>
          <w:lang w:eastAsia="en-US"/>
        </w:rPr>
        <w:t>June 2021);</w:t>
      </w:r>
    </w:p>
    <w:p w14:paraId="2C9F7B4B" w14:textId="482FA589" w:rsidR="00892142" w:rsidRDefault="002424D3" w:rsidP="002424D3">
      <w:pPr>
        <w:pStyle w:val="RegSingleTxtG"/>
        <w:numPr>
          <w:ilvl w:val="0"/>
          <w:numId w:val="0"/>
        </w:numPr>
        <w:tabs>
          <w:tab w:val="left" w:pos="568"/>
        </w:tabs>
        <w:suppressAutoHyphens w:val="0"/>
        <w:spacing w:line="240" w:lineRule="auto"/>
        <w:ind w:left="1135"/>
      </w:pPr>
      <w:r>
        <w:t>22.</w:t>
      </w:r>
      <w:r>
        <w:tab/>
      </w:r>
      <w:r w:rsidR="00892142">
        <w:rPr>
          <w:i/>
          <w:iCs/>
          <w:lang w:eastAsia="en-US"/>
        </w:rPr>
        <w:t>Also</w:t>
      </w:r>
      <w:r w:rsidR="00892142" w:rsidRPr="004A14C3">
        <w:rPr>
          <w:i/>
          <w:iCs/>
          <w:lang w:eastAsia="en-US"/>
        </w:rPr>
        <w:t xml:space="preserve"> requests</w:t>
      </w:r>
      <w:r w:rsidR="00892142" w:rsidRPr="008E28A6">
        <w:rPr>
          <w:lang w:eastAsia="en-US"/>
        </w:rPr>
        <w:t xml:space="preserve"> the Executive Secretary to report to the Conference of the Parties at its twenty-</w:t>
      </w:r>
      <w:r w:rsidR="00892142">
        <w:rPr>
          <w:lang w:eastAsia="en-US"/>
        </w:rPr>
        <w:t>sixth</w:t>
      </w:r>
      <w:r w:rsidR="00892142" w:rsidRPr="008E28A6">
        <w:rPr>
          <w:lang w:eastAsia="en-US"/>
        </w:rPr>
        <w:t xml:space="preserve"> session (</w:t>
      </w:r>
      <w:r w:rsidR="00892142">
        <w:rPr>
          <w:lang w:eastAsia="en-US"/>
        </w:rPr>
        <w:t>November</w:t>
      </w:r>
      <w:r w:rsidR="00892142" w:rsidRPr="008E28A6">
        <w:rPr>
          <w:lang w:eastAsia="en-US"/>
        </w:rPr>
        <w:t xml:space="preserve"> </w:t>
      </w:r>
      <w:r w:rsidR="00892142">
        <w:rPr>
          <w:lang w:eastAsia="en-US"/>
        </w:rPr>
        <w:t>2020</w:t>
      </w:r>
      <w:r w:rsidR="00892142" w:rsidRPr="008E28A6">
        <w:rPr>
          <w:lang w:eastAsia="en-US"/>
        </w:rPr>
        <w:t>) on income and budget</w:t>
      </w:r>
      <w:r w:rsidR="00892142" w:rsidRPr="004A14C3">
        <w:rPr>
          <w:iCs/>
          <w:lang w:eastAsia="en-US"/>
        </w:rPr>
        <w:t xml:space="preserve"> </w:t>
      </w:r>
      <w:r w:rsidR="00892142" w:rsidRPr="003F500D">
        <w:rPr>
          <w:iCs/>
          <w:lang w:eastAsia="en-US"/>
        </w:rPr>
        <w:t>performance</w:t>
      </w:r>
      <w:r w:rsidR="00892142">
        <w:rPr>
          <w:iCs/>
          <w:lang w:eastAsia="en-US"/>
        </w:rPr>
        <w:t xml:space="preserve"> for the period </w:t>
      </w:r>
      <w:r w:rsidR="00892142" w:rsidRPr="002B65F7">
        <w:t>1</w:t>
      </w:r>
      <w:r w:rsidR="00892142">
        <w:t> </w:t>
      </w:r>
      <w:r w:rsidR="00892142" w:rsidRPr="002B65F7">
        <w:t>January</w:t>
      </w:r>
      <w:r w:rsidR="00892142" w:rsidRPr="003F500D">
        <w:rPr>
          <w:iCs/>
          <w:lang w:eastAsia="en-US"/>
        </w:rPr>
        <w:t xml:space="preserve"> to 30 June 2020</w:t>
      </w:r>
      <w:r w:rsidR="00892142" w:rsidRPr="003F500D">
        <w:rPr>
          <w:lang w:eastAsia="en-US"/>
        </w:rPr>
        <w:t>, taking into account guidance from Parties, and to propose any adjustments that might be needed to the programme budget for the bie</w:t>
      </w:r>
      <w:r w:rsidR="00892142" w:rsidRPr="008E28A6">
        <w:rPr>
          <w:lang w:eastAsia="en-US"/>
        </w:rPr>
        <w:t xml:space="preserve">nnium </w:t>
      </w:r>
      <w:r w:rsidR="00892142">
        <w:rPr>
          <w:lang w:eastAsia="en-US"/>
        </w:rPr>
        <w:t>2020–2021;</w:t>
      </w:r>
    </w:p>
    <w:p w14:paraId="7D49C7F4" w14:textId="38AFB7EC" w:rsidR="00892142" w:rsidRDefault="002424D3" w:rsidP="002424D3">
      <w:pPr>
        <w:pStyle w:val="RegSingleTxtG"/>
        <w:numPr>
          <w:ilvl w:val="0"/>
          <w:numId w:val="0"/>
        </w:numPr>
        <w:tabs>
          <w:tab w:val="left" w:pos="568"/>
        </w:tabs>
        <w:suppressAutoHyphens w:val="0"/>
        <w:spacing w:line="240" w:lineRule="auto"/>
        <w:ind w:left="1135"/>
      </w:pPr>
      <w:r>
        <w:t>23.</w:t>
      </w:r>
      <w:r>
        <w:tab/>
      </w:r>
      <w:r w:rsidR="00892142" w:rsidRPr="005F1865">
        <w:rPr>
          <w:i/>
        </w:rPr>
        <w:t>Further requests</w:t>
      </w:r>
      <w:r w:rsidR="00892142" w:rsidRPr="005F1865">
        <w:t xml:space="preserve"> the Executive Secretary to prepare a </w:t>
      </w:r>
      <w:r w:rsidR="00892142">
        <w:t>biennial</w:t>
      </w:r>
      <w:r w:rsidR="00892142" w:rsidRPr="005F1865">
        <w:t xml:space="preserve"> final report on </w:t>
      </w:r>
      <w:r w:rsidR="00892142">
        <w:t xml:space="preserve">the </w:t>
      </w:r>
      <w:r w:rsidR="00892142" w:rsidRPr="005F1865">
        <w:t xml:space="preserve">implementation of the core budget and </w:t>
      </w:r>
      <w:r w:rsidR="00892142">
        <w:t xml:space="preserve">the </w:t>
      </w:r>
      <w:r w:rsidR="00892142" w:rsidRPr="005F1865">
        <w:t xml:space="preserve">supplementary budget, covering </w:t>
      </w:r>
      <w:r w:rsidR="00892142">
        <w:t xml:space="preserve">the </w:t>
      </w:r>
      <w:r w:rsidR="00892142" w:rsidRPr="005F1865">
        <w:t>period from January of the first year to December of the second year of the budget period</w:t>
      </w:r>
      <w:r w:rsidR="00892142">
        <w:t xml:space="preserve"> and</w:t>
      </w:r>
      <w:r w:rsidR="00892142" w:rsidRPr="005F1865">
        <w:t xml:space="preserve"> provid</w:t>
      </w:r>
      <w:r w:rsidR="00892142">
        <w:t>ing</w:t>
      </w:r>
      <w:r w:rsidR="00892142" w:rsidRPr="005F1865">
        <w:t xml:space="preserve"> information on expenditure by programme </w:t>
      </w:r>
      <w:r w:rsidR="00892142">
        <w:t>and</w:t>
      </w:r>
      <w:r w:rsidR="00892142" w:rsidRPr="005F1865">
        <w:t xml:space="preserve"> by stream of activities and </w:t>
      </w:r>
      <w:r w:rsidR="00892142">
        <w:t xml:space="preserve">on </w:t>
      </w:r>
      <w:r w:rsidR="00892142" w:rsidRPr="005F1865">
        <w:t xml:space="preserve">overall execution </w:t>
      </w:r>
      <w:r w:rsidR="00892142">
        <w:t xml:space="preserve">against </w:t>
      </w:r>
      <w:r w:rsidR="00892142" w:rsidRPr="005F1865">
        <w:t>specific objectives and items of expenditure</w:t>
      </w:r>
      <w:r w:rsidR="00892142">
        <w:t xml:space="preserve">, for </w:t>
      </w:r>
      <w:r w:rsidR="00892142" w:rsidRPr="005F1865">
        <w:t>consider</w:t>
      </w:r>
      <w:r w:rsidR="00892142">
        <w:t>ation</w:t>
      </w:r>
      <w:r w:rsidR="00892142" w:rsidRPr="005F1865">
        <w:t xml:space="preserve"> </w:t>
      </w:r>
      <w:r w:rsidR="00892142">
        <w:t xml:space="preserve">by </w:t>
      </w:r>
      <w:r w:rsidR="00892142" w:rsidRPr="005F1865">
        <w:t xml:space="preserve">the Subsidiary Body for Implementation </w:t>
      </w:r>
      <w:r w:rsidR="00892142">
        <w:t xml:space="preserve">at </w:t>
      </w:r>
      <w:r w:rsidR="00157E13">
        <w:t>its</w:t>
      </w:r>
      <w:r w:rsidR="00892142">
        <w:t xml:space="preserve"> first session held after the end</w:t>
      </w:r>
      <w:r w:rsidR="00892142" w:rsidRPr="005F1865">
        <w:t xml:space="preserve"> of the </w:t>
      </w:r>
      <w:r w:rsidR="00892142">
        <w:t xml:space="preserve">reporting </w:t>
      </w:r>
      <w:r w:rsidR="00892142" w:rsidRPr="005F1865">
        <w:t xml:space="preserve">period </w:t>
      </w:r>
      <w:r w:rsidR="00892142">
        <w:t>and for input into the</w:t>
      </w:r>
      <w:r w:rsidR="00892142" w:rsidRPr="005F1865">
        <w:t xml:space="preserve"> preparation of the budget for the </w:t>
      </w:r>
      <w:r w:rsidR="00892142">
        <w:t>following</w:t>
      </w:r>
      <w:r w:rsidR="00892142" w:rsidRPr="005F1865">
        <w:t xml:space="preserve"> budget period</w:t>
      </w:r>
      <w:r w:rsidR="00892142">
        <w:t>;</w:t>
      </w:r>
    </w:p>
    <w:p w14:paraId="1288E86F" w14:textId="54988476" w:rsidR="00892142" w:rsidRDefault="00DE7253" w:rsidP="00CA2BA0">
      <w:pPr>
        <w:pStyle w:val="HChG"/>
      </w:pPr>
      <w:bookmarkStart w:id="27" w:name="_Hlk7168497"/>
      <w:r>
        <w:tab/>
      </w:r>
      <w:r>
        <w:tab/>
      </w:r>
      <w:r w:rsidR="00892142" w:rsidRPr="00C63C28">
        <w:t>Other</w:t>
      </w:r>
      <w:r w:rsidR="00892142">
        <w:t xml:space="preserve"> financial and budgetary matters</w:t>
      </w:r>
    </w:p>
    <w:p w14:paraId="2949A97E" w14:textId="0803B99F" w:rsidR="00892142" w:rsidRPr="00465D45" w:rsidRDefault="002424D3" w:rsidP="002424D3">
      <w:pPr>
        <w:pStyle w:val="RegSingleTxtG"/>
        <w:numPr>
          <w:ilvl w:val="0"/>
          <w:numId w:val="0"/>
        </w:numPr>
        <w:tabs>
          <w:tab w:val="left" w:pos="568"/>
        </w:tabs>
        <w:suppressAutoHyphens w:val="0"/>
        <w:spacing w:line="240" w:lineRule="auto"/>
        <w:ind w:left="1135"/>
      </w:pPr>
      <w:r w:rsidRPr="00465D45">
        <w:t>24.</w:t>
      </w:r>
      <w:r w:rsidRPr="00465D45">
        <w:tab/>
      </w:r>
      <w:r w:rsidR="00892142" w:rsidRPr="00465D45">
        <w:rPr>
          <w:i/>
        </w:rPr>
        <w:t>Takes note</w:t>
      </w:r>
      <w:r w:rsidR="00892142">
        <w:t xml:space="preserve"> of the information contained in the note by the secretariat on the revised indicative contributions for 2019;</w:t>
      </w:r>
      <w:r w:rsidR="00892142">
        <w:rPr>
          <w:rStyle w:val="FootnoteReference"/>
        </w:rPr>
        <w:footnoteReference w:id="56"/>
      </w:r>
    </w:p>
    <w:p w14:paraId="09F7FEF9" w14:textId="0989D6D7" w:rsidR="00892142" w:rsidRPr="00BD77AC" w:rsidRDefault="002424D3" w:rsidP="002424D3">
      <w:pPr>
        <w:pStyle w:val="RegSingleTxtG"/>
        <w:numPr>
          <w:ilvl w:val="0"/>
          <w:numId w:val="0"/>
        </w:numPr>
        <w:tabs>
          <w:tab w:val="left" w:pos="568"/>
        </w:tabs>
        <w:suppressAutoHyphens w:val="0"/>
        <w:spacing w:line="240" w:lineRule="auto"/>
        <w:ind w:left="1135"/>
      </w:pPr>
      <w:r w:rsidRPr="00BD77AC">
        <w:t>25.</w:t>
      </w:r>
      <w:r w:rsidRPr="00BD77AC">
        <w:tab/>
      </w:r>
      <w:r w:rsidR="00892142">
        <w:rPr>
          <w:i/>
        </w:rPr>
        <w:t xml:space="preserve">Decides </w:t>
      </w:r>
      <w:r w:rsidR="00892142">
        <w:t>that</w:t>
      </w:r>
      <w:r w:rsidR="00892142" w:rsidRPr="00BD77AC">
        <w:t xml:space="preserve"> the scale of contributions </w:t>
      </w:r>
      <w:r w:rsidR="00892142">
        <w:t xml:space="preserve">contained in </w:t>
      </w:r>
      <w:r w:rsidR="00C71E1B">
        <w:t xml:space="preserve">the </w:t>
      </w:r>
      <w:r w:rsidR="00892142">
        <w:t>annex shall also be applicable for 2019, covering 85 per cent of the contributions specified in table 1 of decision 21/CP.23.</w:t>
      </w:r>
    </w:p>
    <w:bookmarkEnd w:id="27"/>
    <w:p w14:paraId="09FD52C7" w14:textId="77777777" w:rsidR="00892142" w:rsidRDefault="00892142" w:rsidP="00892142">
      <w:pPr>
        <w:suppressAutoHyphens w:val="0"/>
        <w:spacing w:line="240" w:lineRule="auto"/>
      </w:pPr>
      <w:r>
        <w:br w:type="page"/>
      </w:r>
    </w:p>
    <w:p w14:paraId="565D583C" w14:textId="77777777" w:rsidR="00892142" w:rsidRDefault="00892142" w:rsidP="007049EC">
      <w:pPr>
        <w:keepNext/>
        <w:keepLines/>
        <w:ind w:left="1134"/>
      </w:pPr>
      <w:r w:rsidRPr="004153B4">
        <w:t>Table 1</w:t>
      </w:r>
    </w:p>
    <w:p w14:paraId="560EDBA0" w14:textId="77777777" w:rsidR="00892142" w:rsidRDefault="00892142" w:rsidP="007049EC">
      <w:pPr>
        <w:pStyle w:val="SingleTxtG"/>
        <w:keepNext/>
        <w:keepLines/>
        <w:spacing w:after="0"/>
        <w:rPr>
          <w:b/>
        </w:rPr>
      </w:pPr>
      <w:r>
        <w:rPr>
          <w:b/>
        </w:rPr>
        <w:t>2020–2021 core</w:t>
      </w:r>
      <w:r w:rsidRPr="004153B4">
        <w:rPr>
          <w:b/>
        </w:rPr>
        <w:t xml:space="preserve"> budget by appropriation line</w:t>
      </w:r>
    </w:p>
    <w:p w14:paraId="130C5D33" w14:textId="77777777" w:rsidR="00892142" w:rsidRDefault="00892142" w:rsidP="007049EC">
      <w:pPr>
        <w:pStyle w:val="SingleTxtG"/>
        <w:keepNext/>
        <w:keepLines/>
        <w:rPr>
          <w:b/>
        </w:rPr>
      </w:pPr>
      <w:r w:rsidRPr="00AC79DE">
        <w:rPr>
          <w:sz w:val="16"/>
          <w:szCs w:val="16"/>
        </w:rPr>
        <w:t>(Euro</w:t>
      </w:r>
      <w:r>
        <w:rPr>
          <w:sz w:val="16"/>
          <w:szCs w:val="16"/>
        </w:rPr>
        <w:t>s</w:t>
      </w:r>
      <w:r w:rsidRPr="00AC79DE">
        <w:rPr>
          <w:sz w:val="16"/>
          <w:szCs w:val="16"/>
        </w:rPr>
        <w:t>)</w:t>
      </w:r>
    </w:p>
    <w:tbl>
      <w:tblPr>
        <w:tblW w:w="8505" w:type="dxa"/>
        <w:tblInd w:w="1134" w:type="dxa"/>
        <w:tblLook w:val="04A0" w:firstRow="1" w:lastRow="0" w:firstColumn="1" w:lastColumn="0" w:noHBand="0" w:noVBand="1"/>
      </w:tblPr>
      <w:tblGrid>
        <w:gridCol w:w="4146"/>
        <w:gridCol w:w="1523"/>
        <w:gridCol w:w="1500"/>
        <w:gridCol w:w="1336"/>
      </w:tblGrid>
      <w:tr w:rsidR="00892142" w:rsidRPr="00B01471" w14:paraId="4CA3B7BF" w14:textId="77777777" w:rsidTr="0012191A">
        <w:trPr>
          <w:trHeight w:val="300"/>
          <w:tblHeader/>
        </w:trPr>
        <w:tc>
          <w:tcPr>
            <w:tcW w:w="4146" w:type="dxa"/>
            <w:tcBorders>
              <w:top w:val="single" w:sz="4" w:space="0" w:color="auto"/>
              <w:left w:val="nil"/>
              <w:bottom w:val="single" w:sz="12" w:space="0" w:color="auto"/>
              <w:right w:val="nil"/>
            </w:tcBorders>
            <w:shd w:val="clear" w:color="auto" w:fill="FFFFFF" w:themeFill="background1"/>
            <w:noWrap/>
            <w:vAlign w:val="bottom"/>
          </w:tcPr>
          <w:p w14:paraId="5C60195C" w14:textId="77777777" w:rsidR="00892142" w:rsidRPr="00B01471" w:rsidRDefault="00892142" w:rsidP="00887556">
            <w:pPr>
              <w:spacing w:before="40" w:after="40" w:line="220" w:lineRule="exact"/>
              <w:rPr>
                <w:rFonts w:eastAsia="Times New Roman"/>
                <w:b/>
                <w:bCs/>
                <w:color w:val="000000"/>
                <w:sz w:val="18"/>
                <w:szCs w:val="18"/>
              </w:rPr>
            </w:pPr>
          </w:p>
        </w:tc>
        <w:tc>
          <w:tcPr>
            <w:tcW w:w="1523" w:type="dxa"/>
            <w:tcBorders>
              <w:top w:val="single" w:sz="4" w:space="0" w:color="auto"/>
              <w:left w:val="nil"/>
              <w:bottom w:val="single" w:sz="12" w:space="0" w:color="auto"/>
              <w:right w:val="nil"/>
            </w:tcBorders>
            <w:shd w:val="clear" w:color="auto" w:fill="FFFFFF" w:themeFill="background1"/>
          </w:tcPr>
          <w:p w14:paraId="6DB9C239" w14:textId="77777777" w:rsidR="00892142" w:rsidRPr="00C94C11" w:rsidRDefault="00892142" w:rsidP="00887556">
            <w:pPr>
              <w:spacing w:before="40" w:after="40" w:line="220" w:lineRule="exact"/>
              <w:jc w:val="right"/>
              <w:rPr>
                <w:i/>
                <w:sz w:val="16"/>
                <w:szCs w:val="16"/>
              </w:rPr>
            </w:pPr>
            <w:r w:rsidRPr="00C94C11">
              <w:rPr>
                <w:rFonts w:eastAsia="Times New Roman"/>
                <w:i/>
                <w:color w:val="000000" w:themeColor="text1"/>
                <w:sz w:val="16"/>
                <w:szCs w:val="16"/>
                <w:lang w:val="en-US" w:eastAsia="en-US"/>
              </w:rPr>
              <w:t>2020</w:t>
            </w:r>
          </w:p>
        </w:tc>
        <w:tc>
          <w:tcPr>
            <w:tcW w:w="1500" w:type="dxa"/>
            <w:tcBorders>
              <w:top w:val="single" w:sz="4" w:space="0" w:color="auto"/>
              <w:left w:val="nil"/>
              <w:bottom w:val="single" w:sz="12" w:space="0" w:color="auto"/>
              <w:right w:val="nil"/>
            </w:tcBorders>
            <w:shd w:val="clear" w:color="auto" w:fill="FFFFFF" w:themeFill="background1"/>
          </w:tcPr>
          <w:p w14:paraId="0A5D02D1" w14:textId="77777777" w:rsidR="00892142" w:rsidRPr="00C94C11" w:rsidRDefault="00892142" w:rsidP="00887556">
            <w:pPr>
              <w:spacing w:before="40" w:after="40" w:line="220" w:lineRule="exact"/>
              <w:jc w:val="right"/>
              <w:rPr>
                <w:i/>
                <w:sz w:val="16"/>
                <w:szCs w:val="16"/>
              </w:rPr>
            </w:pPr>
            <w:r w:rsidRPr="00C94C11">
              <w:rPr>
                <w:rFonts w:eastAsia="Times New Roman"/>
                <w:i/>
                <w:color w:val="000000" w:themeColor="text1"/>
                <w:sz w:val="16"/>
                <w:szCs w:val="16"/>
                <w:lang w:val="en-US" w:eastAsia="en-US"/>
              </w:rPr>
              <w:t>2021</w:t>
            </w:r>
          </w:p>
        </w:tc>
        <w:tc>
          <w:tcPr>
            <w:tcW w:w="1336" w:type="dxa"/>
            <w:tcBorders>
              <w:top w:val="single" w:sz="4" w:space="0" w:color="auto"/>
              <w:left w:val="nil"/>
              <w:bottom w:val="single" w:sz="12" w:space="0" w:color="auto"/>
              <w:right w:val="nil"/>
            </w:tcBorders>
            <w:shd w:val="clear" w:color="auto" w:fill="FFFFFF" w:themeFill="background1"/>
            <w:vAlign w:val="center"/>
          </w:tcPr>
          <w:p w14:paraId="2D41B404" w14:textId="77777777" w:rsidR="00892142" w:rsidRPr="00C94C11" w:rsidRDefault="00892142" w:rsidP="00887556">
            <w:pPr>
              <w:spacing w:before="40" w:after="40" w:line="220" w:lineRule="exact"/>
              <w:jc w:val="right"/>
              <w:rPr>
                <w:i/>
                <w:sz w:val="16"/>
                <w:szCs w:val="16"/>
              </w:rPr>
            </w:pPr>
            <w:r w:rsidRPr="00C94C11">
              <w:rPr>
                <w:rFonts w:eastAsia="Times New Roman"/>
                <w:i/>
                <w:color w:val="000000" w:themeColor="text1"/>
                <w:sz w:val="16"/>
                <w:szCs w:val="16"/>
                <w:lang w:val="en-US" w:eastAsia="en-US"/>
              </w:rPr>
              <w:t xml:space="preserve">2020–2021 </w:t>
            </w:r>
          </w:p>
        </w:tc>
      </w:tr>
      <w:tr w:rsidR="00892142" w:rsidRPr="00B01471" w14:paraId="72F351D3" w14:textId="77777777" w:rsidTr="0012191A">
        <w:tc>
          <w:tcPr>
            <w:tcW w:w="4146" w:type="dxa"/>
            <w:tcBorders>
              <w:top w:val="single" w:sz="12" w:space="0" w:color="auto"/>
              <w:left w:val="nil"/>
              <w:right w:val="nil"/>
            </w:tcBorders>
            <w:shd w:val="clear" w:color="auto" w:fill="FFFFFF" w:themeFill="background1"/>
            <w:noWrap/>
          </w:tcPr>
          <w:p w14:paraId="3FCD005D" w14:textId="662D80FF" w:rsidR="00892142" w:rsidRPr="00B01471" w:rsidRDefault="00892142" w:rsidP="00887556">
            <w:pPr>
              <w:suppressAutoHyphens w:val="0"/>
              <w:autoSpaceDE w:val="0"/>
              <w:autoSpaceDN w:val="0"/>
              <w:adjustRightInd w:val="0"/>
              <w:spacing w:before="40" w:after="40" w:line="220" w:lineRule="exact"/>
              <w:ind w:right="38" w:firstLine="1"/>
              <w:rPr>
                <w:rFonts w:eastAsia="Times New Roman"/>
                <w:bCs/>
                <w:color w:val="000000"/>
                <w:sz w:val="18"/>
                <w:szCs w:val="18"/>
              </w:rPr>
            </w:pPr>
            <w:r w:rsidRPr="00B01471">
              <w:rPr>
                <w:rFonts w:eastAsia="MS Mincho"/>
                <w:sz w:val="18"/>
                <w:szCs w:val="18"/>
                <w:lang w:eastAsia="de-DE"/>
              </w:rPr>
              <w:t>A. Appropriations</w:t>
            </w:r>
          </w:p>
        </w:tc>
        <w:tc>
          <w:tcPr>
            <w:tcW w:w="1523" w:type="dxa"/>
            <w:tcBorders>
              <w:top w:val="single" w:sz="12" w:space="0" w:color="auto"/>
              <w:left w:val="nil"/>
              <w:right w:val="nil"/>
            </w:tcBorders>
            <w:shd w:val="clear" w:color="auto" w:fill="FFFFFF" w:themeFill="background1"/>
          </w:tcPr>
          <w:p w14:paraId="3693D1CB" w14:textId="77777777" w:rsidR="00892142" w:rsidRPr="00770BD5" w:rsidRDefault="00892142" w:rsidP="00887556">
            <w:pPr>
              <w:spacing w:before="40" w:after="40" w:line="220" w:lineRule="exact"/>
              <w:jc w:val="center"/>
              <w:rPr>
                <w:rFonts w:eastAsia="Times New Roman"/>
                <w:color w:val="000000"/>
                <w:sz w:val="18"/>
                <w:szCs w:val="18"/>
              </w:rPr>
            </w:pPr>
          </w:p>
        </w:tc>
        <w:tc>
          <w:tcPr>
            <w:tcW w:w="1500" w:type="dxa"/>
            <w:tcBorders>
              <w:top w:val="single" w:sz="12" w:space="0" w:color="auto"/>
              <w:left w:val="nil"/>
              <w:right w:val="nil"/>
            </w:tcBorders>
            <w:shd w:val="clear" w:color="auto" w:fill="FFFFFF" w:themeFill="background1"/>
          </w:tcPr>
          <w:p w14:paraId="5FE422B3" w14:textId="77777777" w:rsidR="00892142" w:rsidRPr="00770BD5" w:rsidRDefault="00892142" w:rsidP="00887556">
            <w:pPr>
              <w:spacing w:before="40" w:after="40" w:line="220" w:lineRule="exact"/>
              <w:jc w:val="center"/>
              <w:rPr>
                <w:rFonts w:eastAsia="Times New Roman"/>
                <w:color w:val="000000"/>
                <w:sz w:val="18"/>
                <w:szCs w:val="18"/>
              </w:rPr>
            </w:pPr>
          </w:p>
        </w:tc>
        <w:tc>
          <w:tcPr>
            <w:tcW w:w="1336" w:type="dxa"/>
            <w:tcBorders>
              <w:top w:val="single" w:sz="12" w:space="0" w:color="auto"/>
              <w:left w:val="nil"/>
              <w:right w:val="nil"/>
            </w:tcBorders>
            <w:shd w:val="clear" w:color="auto" w:fill="FFFFFF" w:themeFill="background1"/>
            <w:vAlign w:val="center"/>
          </w:tcPr>
          <w:p w14:paraId="4E141195" w14:textId="77777777" w:rsidR="00892142" w:rsidRPr="00770BD5" w:rsidRDefault="00892142" w:rsidP="00887556">
            <w:pPr>
              <w:spacing w:before="40" w:after="40" w:line="220" w:lineRule="exact"/>
              <w:jc w:val="center"/>
              <w:rPr>
                <w:rFonts w:eastAsia="Times New Roman"/>
                <w:color w:val="000000"/>
                <w:sz w:val="18"/>
                <w:szCs w:val="18"/>
              </w:rPr>
            </w:pPr>
          </w:p>
        </w:tc>
      </w:tr>
      <w:tr w:rsidR="00892142" w:rsidRPr="00B01471" w14:paraId="398FD3E7" w14:textId="77777777" w:rsidTr="0012191A">
        <w:tc>
          <w:tcPr>
            <w:tcW w:w="4146" w:type="dxa"/>
            <w:tcBorders>
              <w:top w:val="nil"/>
              <w:left w:val="nil"/>
              <w:bottom w:val="nil"/>
              <w:right w:val="nil"/>
            </w:tcBorders>
            <w:shd w:val="clear" w:color="auto" w:fill="auto"/>
            <w:noWrap/>
            <w:hideMark/>
          </w:tcPr>
          <w:p w14:paraId="7B96FD8A"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Executive</w:t>
            </w:r>
          </w:p>
        </w:tc>
        <w:tc>
          <w:tcPr>
            <w:tcW w:w="1523" w:type="dxa"/>
            <w:tcBorders>
              <w:top w:val="nil"/>
              <w:left w:val="nil"/>
              <w:bottom w:val="nil"/>
              <w:right w:val="nil"/>
            </w:tcBorders>
          </w:tcPr>
          <w:p w14:paraId="6A899AEE" w14:textId="77777777" w:rsidR="00892142" w:rsidRPr="00B01471" w:rsidRDefault="00892142" w:rsidP="00887556">
            <w:pPr>
              <w:spacing w:before="40" w:after="40" w:line="220" w:lineRule="exact"/>
              <w:jc w:val="right"/>
              <w:rPr>
                <w:sz w:val="18"/>
                <w:szCs w:val="18"/>
              </w:rPr>
            </w:pPr>
            <w:r w:rsidRPr="00770BD5">
              <w:rPr>
                <w:sz w:val="18"/>
                <w:szCs w:val="18"/>
              </w:rPr>
              <w:t xml:space="preserve"> 1 667 860 </w:t>
            </w:r>
          </w:p>
        </w:tc>
        <w:tc>
          <w:tcPr>
            <w:tcW w:w="1500" w:type="dxa"/>
            <w:tcBorders>
              <w:top w:val="nil"/>
              <w:left w:val="nil"/>
              <w:bottom w:val="nil"/>
              <w:right w:val="nil"/>
            </w:tcBorders>
          </w:tcPr>
          <w:p w14:paraId="3C0989C8" w14:textId="77777777" w:rsidR="00892142" w:rsidRPr="00B01471" w:rsidRDefault="00892142" w:rsidP="00887556">
            <w:pPr>
              <w:spacing w:before="40" w:after="40" w:line="220" w:lineRule="exact"/>
              <w:jc w:val="right"/>
              <w:rPr>
                <w:sz w:val="18"/>
                <w:szCs w:val="18"/>
              </w:rPr>
            </w:pPr>
            <w:r w:rsidRPr="00770BD5">
              <w:rPr>
                <w:sz w:val="18"/>
                <w:szCs w:val="18"/>
              </w:rPr>
              <w:t xml:space="preserve"> 1 667 860 </w:t>
            </w:r>
          </w:p>
        </w:tc>
        <w:tc>
          <w:tcPr>
            <w:tcW w:w="1336" w:type="dxa"/>
            <w:tcBorders>
              <w:top w:val="nil"/>
              <w:left w:val="nil"/>
              <w:bottom w:val="nil"/>
              <w:right w:val="nil"/>
            </w:tcBorders>
          </w:tcPr>
          <w:p w14:paraId="54F79805" w14:textId="77777777" w:rsidR="00892142" w:rsidRPr="00B01471" w:rsidRDefault="00892142" w:rsidP="00887556">
            <w:pPr>
              <w:spacing w:before="40" w:after="40" w:line="220" w:lineRule="exact"/>
              <w:jc w:val="right"/>
              <w:rPr>
                <w:rFonts w:eastAsia="Times New Roman"/>
                <w:color w:val="000000"/>
                <w:sz w:val="18"/>
                <w:szCs w:val="18"/>
              </w:rPr>
            </w:pPr>
            <w:r w:rsidRPr="00770BD5">
              <w:rPr>
                <w:sz w:val="18"/>
                <w:szCs w:val="18"/>
              </w:rPr>
              <w:t xml:space="preserve"> 3 335 720 </w:t>
            </w:r>
          </w:p>
        </w:tc>
      </w:tr>
      <w:tr w:rsidR="00892142" w:rsidRPr="00B01471" w14:paraId="69A444BA" w14:textId="77777777" w:rsidTr="0012191A">
        <w:tc>
          <w:tcPr>
            <w:tcW w:w="4146" w:type="dxa"/>
            <w:tcBorders>
              <w:top w:val="nil"/>
              <w:left w:val="nil"/>
              <w:bottom w:val="nil"/>
              <w:right w:val="nil"/>
            </w:tcBorders>
            <w:shd w:val="clear" w:color="auto" w:fill="auto"/>
            <w:noWrap/>
            <w:hideMark/>
          </w:tcPr>
          <w:p w14:paraId="5DC127D2"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Programmes Coordination</w:t>
            </w:r>
          </w:p>
        </w:tc>
        <w:tc>
          <w:tcPr>
            <w:tcW w:w="1523" w:type="dxa"/>
            <w:tcBorders>
              <w:top w:val="nil"/>
              <w:left w:val="nil"/>
              <w:bottom w:val="nil"/>
              <w:right w:val="nil"/>
            </w:tcBorders>
          </w:tcPr>
          <w:p w14:paraId="56219A80" w14:textId="77777777" w:rsidR="00892142" w:rsidRPr="00B01471" w:rsidRDefault="00892142" w:rsidP="00887556">
            <w:pPr>
              <w:spacing w:before="40" w:after="40" w:line="220" w:lineRule="exact"/>
              <w:jc w:val="right"/>
              <w:rPr>
                <w:sz w:val="18"/>
                <w:szCs w:val="18"/>
              </w:rPr>
            </w:pPr>
            <w:r w:rsidRPr="00770BD5">
              <w:rPr>
                <w:sz w:val="18"/>
                <w:szCs w:val="18"/>
              </w:rPr>
              <w:t xml:space="preserve"> 256 940 </w:t>
            </w:r>
          </w:p>
        </w:tc>
        <w:tc>
          <w:tcPr>
            <w:tcW w:w="1500" w:type="dxa"/>
            <w:tcBorders>
              <w:top w:val="nil"/>
              <w:left w:val="nil"/>
              <w:bottom w:val="nil"/>
              <w:right w:val="nil"/>
            </w:tcBorders>
          </w:tcPr>
          <w:p w14:paraId="6230F9F6" w14:textId="77777777" w:rsidR="00892142" w:rsidRPr="00B01471" w:rsidRDefault="00892142" w:rsidP="00887556">
            <w:pPr>
              <w:spacing w:before="40" w:after="40" w:line="220" w:lineRule="exact"/>
              <w:jc w:val="right"/>
              <w:rPr>
                <w:sz w:val="18"/>
                <w:szCs w:val="18"/>
              </w:rPr>
            </w:pPr>
            <w:r w:rsidRPr="00770BD5">
              <w:rPr>
                <w:sz w:val="18"/>
                <w:szCs w:val="18"/>
              </w:rPr>
              <w:t xml:space="preserve"> 256 940 </w:t>
            </w:r>
          </w:p>
        </w:tc>
        <w:tc>
          <w:tcPr>
            <w:tcW w:w="1336" w:type="dxa"/>
            <w:tcBorders>
              <w:top w:val="nil"/>
              <w:left w:val="nil"/>
              <w:bottom w:val="nil"/>
              <w:right w:val="nil"/>
            </w:tcBorders>
          </w:tcPr>
          <w:p w14:paraId="0BF24DED" w14:textId="77777777" w:rsidR="00892142" w:rsidRPr="00B01471" w:rsidRDefault="00892142" w:rsidP="00887556">
            <w:pPr>
              <w:spacing w:before="40" w:after="40" w:line="220" w:lineRule="exact"/>
              <w:jc w:val="right"/>
              <w:rPr>
                <w:sz w:val="18"/>
                <w:szCs w:val="18"/>
              </w:rPr>
            </w:pPr>
            <w:r w:rsidRPr="00770BD5">
              <w:rPr>
                <w:sz w:val="18"/>
                <w:szCs w:val="18"/>
              </w:rPr>
              <w:t xml:space="preserve"> 513 880 </w:t>
            </w:r>
          </w:p>
        </w:tc>
      </w:tr>
      <w:tr w:rsidR="00892142" w:rsidRPr="00B01471" w14:paraId="286A0ECD" w14:textId="77777777" w:rsidTr="0012191A">
        <w:tc>
          <w:tcPr>
            <w:tcW w:w="4146" w:type="dxa"/>
            <w:tcBorders>
              <w:top w:val="nil"/>
              <w:left w:val="nil"/>
              <w:bottom w:val="nil"/>
              <w:right w:val="nil"/>
            </w:tcBorders>
            <w:shd w:val="clear" w:color="auto" w:fill="auto"/>
            <w:noWrap/>
            <w:hideMark/>
          </w:tcPr>
          <w:p w14:paraId="5DED8649"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Adaptation</w:t>
            </w:r>
          </w:p>
        </w:tc>
        <w:tc>
          <w:tcPr>
            <w:tcW w:w="1523" w:type="dxa"/>
            <w:tcBorders>
              <w:top w:val="nil"/>
              <w:left w:val="nil"/>
              <w:bottom w:val="nil"/>
              <w:right w:val="nil"/>
            </w:tcBorders>
          </w:tcPr>
          <w:p w14:paraId="7C457BE0" w14:textId="77777777" w:rsidR="00892142" w:rsidRPr="00B01471" w:rsidRDefault="00892142" w:rsidP="00887556">
            <w:pPr>
              <w:spacing w:before="40" w:after="40" w:line="220" w:lineRule="exact"/>
              <w:jc w:val="right"/>
              <w:rPr>
                <w:sz w:val="18"/>
                <w:szCs w:val="18"/>
              </w:rPr>
            </w:pPr>
            <w:r w:rsidRPr="00770BD5">
              <w:rPr>
                <w:sz w:val="18"/>
                <w:szCs w:val="18"/>
              </w:rPr>
              <w:t xml:space="preserve"> 3 261 940 </w:t>
            </w:r>
          </w:p>
        </w:tc>
        <w:tc>
          <w:tcPr>
            <w:tcW w:w="1500" w:type="dxa"/>
            <w:tcBorders>
              <w:top w:val="nil"/>
              <w:left w:val="nil"/>
              <w:bottom w:val="nil"/>
              <w:right w:val="nil"/>
            </w:tcBorders>
          </w:tcPr>
          <w:p w14:paraId="10AE4D05" w14:textId="77777777" w:rsidR="00892142" w:rsidRPr="00B01471" w:rsidRDefault="00892142" w:rsidP="00887556">
            <w:pPr>
              <w:spacing w:before="40" w:after="40" w:line="220" w:lineRule="exact"/>
              <w:jc w:val="right"/>
              <w:rPr>
                <w:sz w:val="18"/>
                <w:szCs w:val="18"/>
              </w:rPr>
            </w:pPr>
            <w:r w:rsidRPr="00770BD5">
              <w:rPr>
                <w:sz w:val="18"/>
                <w:szCs w:val="18"/>
              </w:rPr>
              <w:t xml:space="preserve"> 3 261 940 </w:t>
            </w:r>
          </w:p>
        </w:tc>
        <w:tc>
          <w:tcPr>
            <w:tcW w:w="1336" w:type="dxa"/>
            <w:tcBorders>
              <w:top w:val="nil"/>
              <w:left w:val="nil"/>
              <w:bottom w:val="nil"/>
              <w:right w:val="nil"/>
            </w:tcBorders>
          </w:tcPr>
          <w:p w14:paraId="09CD6A0C" w14:textId="77777777" w:rsidR="00892142" w:rsidRPr="00B01471" w:rsidRDefault="00892142" w:rsidP="00887556">
            <w:pPr>
              <w:spacing w:before="40" w:after="40" w:line="220" w:lineRule="exact"/>
              <w:jc w:val="right"/>
              <w:rPr>
                <w:sz w:val="18"/>
                <w:szCs w:val="18"/>
              </w:rPr>
            </w:pPr>
            <w:r w:rsidRPr="00770BD5">
              <w:rPr>
                <w:sz w:val="18"/>
                <w:szCs w:val="18"/>
              </w:rPr>
              <w:t xml:space="preserve"> 6 523 880 </w:t>
            </w:r>
          </w:p>
        </w:tc>
      </w:tr>
      <w:tr w:rsidR="00892142" w:rsidRPr="00B01471" w14:paraId="236806F0" w14:textId="77777777" w:rsidTr="0012191A">
        <w:tc>
          <w:tcPr>
            <w:tcW w:w="4146" w:type="dxa"/>
            <w:tcBorders>
              <w:top w:val="nil"/>
              <w:left w:val="nil"/>
              <w:bottom w:val="nil"/>
              <w:right w:val="nil"/>
            </w:tcBorders>
            <w:shd w:val="clear" w:color="auto" w:fill="auto"/>
            <w:noWrap/>
            <w:hideMark/>
          </w:tcPr>
          <w:p w14:paraId="07C68A0B"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Mitigation</w:t>
            </w:r>
          </w:p>
        </w:tc>
        <w:tc>
          <w:tcPr>
            <w:tcW w:w="1523" w:type="dxa"/>
            <w:tcBorders>
              <w:top w:val="nil"/>
              <w:left w:val="nil"/>
              <w:bottom w:val="nil"/>
              <w:right w:val="nil"/>
            </w:tcBorders>
          </w:tcPr>
          <w:p w14:paraId="66AA8AFB" w14:textId="77777777" w:rsidR="00892142" w:rsidRPr="00B01471" w:rsidRDefault="00892142" w:rsidP="00887556">
            <w:pPr>
              <w:spacing w:before="40" w:after="40" w:line="220" w:lineRule="exact"/>
              <w:jc w:val="right"/>
              <w:rPr>
                <w:sz w:val="18"/>
                <w:szCs w:val="18"/>
              </w:rPr>
            </w:pPr>
            <w:r w:rsidRPr="00770BD5">
              <w:rPr>
                <w:sz w:val="18"/>
                <w:szCs w:val="18"/>
              </w:rPr>
              <w:t xml:space="preserve"> 2 049 500 </w:t>
            </w:r>
          </w:p>
        </w:tc>
        <w:tc>
          <w:tcPr>
            <w:tcW w:w="1500" w:type="dxa"/>
            <w:tcBorders>
              <w:top w:val="nil"/>
              <w:left w:val="nil"/>
              <w:bottom w:val="nil"/>
              <w:right w:val="nil"/>
            </w:tcBorders>
          </w:tcPr>
          <w:p w14:paraId="37A2A7DC" w14:textId="77777777" w:rsidR="00892142" w:rsidRPr="00B01471" w:rsidRDefault="00892142" w:rsidP="00887556">
            <w:pPr>
              <w:spacing w:before="40" w:after="40" w:line="220" w:lineRule="exact"/>
              <w:jc w:val="right"/>
              <w:rPr>
                <w:sz w:val="18"/>
                <w:szCs w:val="18"/>
              </w:rPr>
            </w:pPr>
            <w:r w:rsidRPr="00770BD5">
              <w:rPr>
                <w:sz w:val="18"/>
                <w:szCs w:val="18"/>
              </w:rPr>
              <w:t xml:space="preserve"> 2 049 500 </w:t>
            </w:r>
          </w:p>
        </w:tc>
        <w:tc>
          <w:tcPr>
            <w:tcW w:w="1336" w:type="dxa"/>
            <w:tcBorders>
              <w:top w:val="nil"/>
              <w:left w:val="nil"/>
              <w:bottom w:val="nil"/>
              <w:right w:val="nil"/>
            </w:tcBorders>
          </w:tcPr>
          <w:p w14:paraId="760E733E" w14:textId="77777777" w:rsidR="00892142" w:rsidRPr="00B01471" w:rsidRDefault="00892142" w:rsidP="00887556">
            <w:pPr>
              <w:spacing w:before="40" w:after="40" w:line="220" w:lineRule="exact"/>
              <w:jc w:val="right"/>
              <w:rPr>
                <w:sz w:val="18"/>
                <w:szCs w:val="18"/>
              </w:rPr>
            </w:pPr>
            <w:r w:rsidRPr="00770BD5">
              <w:rPr>
                <w:sz w:val="18"/>
                <w:szCs w:val="18"/>
              </w:rPr>
              <w:t xml:space="preserve"> 4 099 000 </w:t>
            </w:r>
          </w:p>
        </w:tc>
      </w:tr>
      <w:tr w:rsidR="00892142" w:rsidRPr="00B01471" w14:paraId="25402B0B" w14:textId="77777777" w:rsidTr="0012191A">
        <w:tc>
          <w:tcPr>
            <w:tcW w:w="4146" w:type="dxa"/>
            <w:tcBorders>
              <w:top w:val="nil"/>
              <w:left w:val="nil"/>
              <w:bottom w:val="nil"/>
              <w:right w:val="nil"/>
            </w:tcBorders>
            <w:shd w:val="clear" w:color="auto" w:fill="auto"/>
            <w:noWrap/>
            <w:hideMark/>
          </w:tcPr>
          <w:p w14:paraId="68DEF0F0"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Means of Implementation</w:t>
            </w:r>
          </w:p>
        </w:tc>
        <w:tc>
          <w:tcPr>
            <w:tcW w:w="1523" w:type="dxa"/>
            <w:tcBorders>
              <w:top w:val="nil"/>
              <w:left w:val="nil"/>
              <w:bottom w:val="nil"/>
              <w:right w:val="nil"/>
            </w:tcBorders>
          </w:tcPr>
          <w:p w14:paraId="4BCE1987" w14:textId="77777777" w:rsidR="00892142" w:rsidRPr="00B01471" w:rsidRDefault="00892142" w:rsidP="00887556">
            <w:pPr>
              <w:spacing w:before="40" w:after="40" w:line="220" w:lineRule="exact"/>
              <w:jc w:val="right"/>
              <w:rPr>
                <w:sz w:val="18"/>
                <w:szCs w:val="18"/>
              </w:rPr>
            </w:pPr>
            <w:r w:rsidRPr="00770BD5">
              <w:rPr>
                <w:sz w:val="18"/>
                <w:szCs w:val="18"/>
              </w:rPr>
              <w:t xml:space="preserve"> 3 018 600 </w:t>
            </w:r>
          </w:p>
        </w:tc>
        <w:tc>
          <w:tcPr>
            <w:tcW w:w="1500" w:type="dxa"/>
            <w:tcBorders>
              <w:top w:val="nil"/>
              <w:left w:val="nil"/>
              <w:bottom w:val="nil"/>
              <w:right w:val="nil"/>
            </w:tcBorders>
          </w:tcPr>
          <w:p w14:paraId="3CB630ED" w14:textId="77777777" w:rsidR="00892142" w:rsidRPr="00B01471" w:rsidRDefault="00892142" w:rsidP="00887556">
            <w:pPr>
              <w:spacing w:before="40" w:after="40" w:line="220" w:lineRule="exact"/>
              <w:jc w:val="right"/>
              <w:rPr>
                <w:sz w:val="18"/>
                <w:szCs w:val="18"/>
              </w:rPr>
            </w:pPr>
            <w:r w:rsidRPr="00770BD5">
              <w:rPr>
                <w:sz w:val="18"/>
                <w:szCs w:val="18"/>
              </w:rPr>
              <w:t xml:space="preserve"> 3 018 600 </w:t>
            </w:r>
          </w:p>
        </w:tc>
        <w:tc>
          <w:tcPr>
            <w:tcW w:w="1336" w:type="dxa"/>
            <w:tcBorders>
              <w:top w:val="nil"/>
              <w:left w:val="nil"/>
              <w:bottom w:val="nil"/>
              <w:right w:val="nil"/>
            </w:tcBorders>
          </w:tcPr>
          <w:p w14:paraId="347FC89E" w14:textId="77777777" w:rsidR="00892142" w:rsidRPr="00B01471" w:rsidRDefault="00892142" w:rsidP="00887556">
            <w:pPr>
              <w:spacing w:before="40" w:after="40" w:line="220" w:lineRule="exact"/>
              <w:jc w:val="right"/>
              <w:rPr>
                <w:sz w:val="18"/>
                <w:szCs w:val="18"/>
              </w:rPr>
            </w:pPr>
            <w:r w:rsidRPr="00770BD5">
              <w:rPr>
                <w:sz w:val="18"/>
                <w:szCs w:val="18"/>
              </w:rPr>
              <w:t xml:space="preserve"> 6 037 200 </w:t>
            </w:r>
          </w:p>
        </w:tc>
      </w:tr>
      <w:tr w:rsidR="00892142" w:rsidRPr="00B01471" w14:paraId="3E8FD9B8" w14:textId="77777777" w:rsidTr="0012191A">
        <w:tc>
          <w:tcPr>
            <w:tcW w:w="4146" w:type="dxa"/>
            <w:tcBorders>
              <w:top w:val="nil"/>
              <w:left w:val="nil"/>
              <w:bottom w:val="nil"/>
              <w:right w:val="nil"/>
            </w:tcBorders>
            <w:shd w:val="clear" w:color="auto" w:fill="auto"/>
            <w:noWrap/>
            <w:hideMark/>
          </w:tcPr>
          <w:p w14:paraId="29C01013"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Transparency</w:t>
            </w:r>
          </w:p>
        </w:tc>
        <w:tc>
          <w:tcPr>
            <w:tcW w:w="1523" w:type="dxa"/>
            <w:tcBorders>
              <w:top w:val="nil"/>
              <w:left w:val="nil"/>
              <w:bottom w:val="nil"/>
              <w:right w:val="nil"/>
            </w:tcBorders>
          </w:tcPr>
          <w:p w14:paraId="483582E4" w14:textId="77777777" w:rsidR="00892142" w:rsidRPr="00B01471" w:rsidRDefault="00892142" w:rsidP="00887556">
            <w:pPr>
              <w:spacing w:before="40" w:after="40" w:line="220" w:lineRule="exact"/>
              <w:jc w:val="right"/>
              <w:rPr>
                <w:sz w:val="18"/>
                <w:szCs w:val="18"/>
              </w:rPr>
            </w:pPr>
            <w:r w:rsidRPr="00770BD5">
              <w:rPr>
                <w:sz w:val="18"/>
                <w:szCs w:val="18"/>
              </w:rPr>
              <w:t xml:space="preserve"> 6 159 920 </w:t>
            </w:r>
          </w:p>
        </w:tc>
        <w:tc>
          <w:tcPr>
            <w:tcW w:w="1500" w:type="dxa"/>
            <w:tcBorders>
              <w:top w:val="nil"/>
              <w:left w:val="nil"/>
              <w:bottom w:val="nil"/>
              <w:right w:val="nil"/>
            </w:tcBorders>
          </w:tcPr>
          <w:p w14:paraId="47EB4470" w14:textId="77777777" w:rsidR="00892142" w:rsidRPr="00B01471" w:rsidRDefault="00892142" w:rsidP="00887556">
            <w:pPr>
              <w:spacing w:before="40" w:after="40" w:line="220" w:lineRule="exact"/>
              <w:jc w:val="right"/>
              <w:rPr>
                <w:sz w:val="18"/>
                <w:szCs w:val="18"/>
              </w:rPr>
            </w:pPr>
            <w:r w:rsidRPr="00770BD5">
              <w:rPr>
                <w:sz w:val="18"/>
                <w:szCs w:val="18"/>
              </w:rPr>
              <w:t xml:space="preserve"> 6 159 920 </w:t>
            </w:r>
          </w:p>
        </w:tc>
        <w:tc>
          <w:tcPr>
            <w:tcW w:w="1336" w:type="dxa"/>
            <w:tcBorders>
              <w:top w:val="nil"/>
              <w:left w:val="nil"/>
              <w:bottom w:val="nil"/>
              <w:right w:val="nil"/>
            </w:tcBorders>
          </w:tcPr>
          <w:p w14:paraId="27AD4DD6" w14:textId="77777777" w:rsidR="00892142" w:rsidRPr="00B01471" w:rsidRDefault="00892142" w:rsidP="00887556">
            <w:pPr>
              <w:spacing w:before="40" w:after="40" w:line="220" w:lineRule="exact"/>
              <w:jc w:val="right"/>
              <w:rPr>
                <w:sz w:val="18"/>
                <w:szCs w:val="18"/>
              </w:rPr>
            </w:pPr>
            <w:r w:rsidRPr="00770BD5">
              <w:rPr>
                <w:sz w:val="18"/>
                <w:szCs w:val="18"/>
              </w:rPr>
              <w:t xml:space="preserve"> 12 319 840 </w:t>
            </w:r>
          </w:p>
        </w:tc>
      </w:tr>
      <w:tr w:rsidR="00892142" w:rsidRPr="00B01471" w14:paraId="24CA19AA" w14:textId="77777777" w:rsidTr="0012191A">
        <w:tc>
          <w:tcPr>
            <w:tcW w:w="4146" w:type="dxa"/>
            <w:tcBorders>
              <w:top w:val="nil"/>
              <w:left w:val="nil"/>
              <w:bottom w:val="nil"/>
              <w:right w:val="nil"/>
            </w:tcBorders>
            <w:shd w:val="clear" w:color="auto" w:fill="auto"/>
            <w:noWrap/>
            <w:hideMark/>
          </w:tcPr>
          <w:p w14:paraId="2FA02C8E"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Operations Coordination</w:t>
            </w:r>
          </w:p>
        </w:tc>
        <w:tc>
          <w:tcPr>
            <w:tcW w:w="1523" w:type="dxa"/>
            <w:tcBorders>
              <w:top w:val="nil"/>
              <w:left w:val="nil"/>
              <w:bottom w:val="nil"/>
              <w:right w:val="nil"/>
            </w:tcBorders>
          </w:tcPr>
          <w:p w14:paraId="2EDA0CB8" w14:textId="77777777" w:rsidR="00892142" w:rsidRPr="00B01471" w:rsidRDefault="00892142" w:rsidP="00887556">
            <w:pPr>
              <w:spacing w:before="40" w:after="40" w:line="220" w:lineRule="exact"/>
              <w:jc w:val="right"/>
              <w:rPr>
                <w:sz w:val="18"/>
                <w:szCs w:val="18"/>
              </w:rPr>
            </w:pPr>
            <w:r w:rsidRPr="00770BD5">
              <w:rPr>
                <w:sz w:val="18"/>
                <w:szCs w:val="18"/>
              </w:rPr>
              <w:t xml:space="preserve"> 588 980 </w:t>
            </w:r>
          </w:p>
        </w:tc>
        <w:tc>
          <w:tcPr>
            <w:tcW w:w="1500" w:type="dxa"/>
            <w:tcBorders>
              <w:top w:val="nil"/>
              <w:left w:val="nil"/>
              <w:bottom w:val="nil"/>
              <w:right w:val="nil"/>
            </w:tcBorders>
          </w:tcPr>
          <w:p w14:paraId="7E26AD1B" w14:textId="77777777" w:rsidR="00892142" w:rsidRPr="00B01471" w:rsidRDefault="00892142" w:rsidP="00887556">
            <w:pPr>
              <w:spacing w:before="40" w:after="40" w:line="220" w:lineRule="exact"/>
              <w:jc w:val="right"/>
              <w:rPr>
                <w:sz w:val="18"/>
                <w:szCs w:val="18"/>
              </w:rPr>
            </w:pPr>
            <w:r w:rsidRPr="00770BD5">
              <w:rPr>
                <w:sz w:val="18"/>
                <w:szCs w:val="18"/>
              </w:rPr>
              <w:t xml:space="preserve"> 588 980 </w:t>
            </w:r>
          </w:p>
        </w:tc>
        <w:tc>
          <w:tcPr>
            <w:tcW w:w="1336" w:type="dxa"/>
            <w:tcBorders>
              <w:top w:val="nil"/>
              <w:left w:val="nil"/>
              <w:bottom w:val="nil"/>
              <w:right w:val="nil"/>
            </w:tcBorders>
          </w:tcPr>
          <w:p w14:paraId="2CCBE2D7" w14:textId="77777777" w:rsidR="00892142" w:rsidRPr="00B01471" w:rsidRDefault="00892142" w:rsidP="00887556">
            <w:pPr>
              <w:spacing w:before="40" w:after="40" w:line="220" w:lineRule="exact"/>
              <w:jc w:val="right"/>
              <w:rPr>
                <w:rFonts w:eastAsia="Times New Roman"/>
                <w:bCs/>
                <w:color w:val="000000"/>
                <w:sz w:val="18"/>
                <w:szCs w:val="18"/>
              </w:rPr>
            </w:pPr>
            <w:r w:rsidRPr="00770BD5">
              <w:rPr>
                <w:sz w:val="18"/>
                <w:szCs w:val="18"/>
              </w:rPr>
              <w:t xml:space="preserve"> 1 177 960 </w:t>
            </w:r>
          </w:p>
        </w:tc>
      </w:tr>
      <w:tr w:rsidR="00892142" w:rsidRPr="00B01471" w14:paraId="221700C4" w14:textId="77777777" w:rsidTr="0012191A">
        <w:tc>
          <w:tcPr>
            <w:tcW w:w="4146" w:type="dxa"/>
            <w:tcBorders>
              <w:top w:val="nil"/>
              <w:left w:val="nil"/>
              <w:bottom w:val="nil"/>
              <w:right w:val="nil"/>
            </w:tcBorders>
            <w:shd w:val="clear" w:color="auto" w:fill="auto"/>
            <w:noWrap/>
            <w:hideMark/>
          </w:tcPr>
          <w:p w14:paraId="78475423"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Secretariat-wide costs</w:t>
            </w:r>
            <w:r w:rsidRPr="00B01471">
              <w:rPr>
                <w:rFonts w:eastAsia="MS Mincho"/>
                <w:i/>
                <w:sz w:val="18"/>
                <w:szCs w:val="18"/>
                <w:vertAlign w:val="superscript"/>
                <w:lang w:eastAsia="de-DE"/>
              </w:rPr>
              <w:t>a</w:t>
            </w:r>
          </w:p>
        </w:tc>
        <w:tc>
          <w:tcPr>
            <w:tcW w:w="1523" w:type="dxa"/>
            <w:tcBorders>
              <w:top w:val="nil"/>
              <w:left w:val="nil"/>
              <w:bottom w:val="nil"/>
              <w:right w:val="nil"/>
            </w:tcBorders>
          </w:tcPr>
          <w:p w14:paraId="6373CA8F" w14:textId="77777777" w:rsidR="00892142" w:rsidRPr="00B01471" w:rsidRDefault="00892142" w:rsidP="00887556">
            <w:pPr>
              <w:spacing w:before="40" w:after="40" w:line="220" w:lineRule="exact"/>
              <w:jc w:val="right"/>
              <w:rPr>
                <w:sz w:val="18"/>
                <w:szCs w:val="18"/>
              </w:rPr>
            </w:pPr>
            <w:r w:rsidRPr="00770BD5">
              <w:rPr>
                <w:sz w:val="18"/>
                <w:szCs w:val="18"/>
              </w:rPr>
              <w:t xml:space="preserve"> 1 293 335 </w:t>
            </w:r>
          </w:p>
        </w:tc>
        <w:tc>
          <w:tcPr>
            <w:tcW w:w="1500" w:type="dxa"/>
            <w:tcBorders>
              <w:top w:val="nil"/>
              <w:left w:val="nil"/>
              <w:bottom w:val="nil"/>
              <w:right w:val="nil"/>
            </w:tcBorders>
          </w:tcPr>
          <w:p w14:paraId="6C2EB5ED" w14:textId="77777777" w:rsidR="00892142" w:rsidRPr="00B01471" w:rsidRDefault="00892142" w:rsidP="00887556">
            <w:pPr>
              <w:spacing w:before="40" w:after="40" w:line="220" w:lineRule="exact"/>
              <w:jc w:val="right"/>
              <w:rPr>
                <w:sz w:val="18"/>
                <w:szCs w:val="18"/>
              </w:rPr>
            </w:pPr>
            <w:r w:rsidRPr="00770BD5">
              <w:rPr>
                <w:sz w:val="18"/>
                <w:szCs w:val="18"/>
              </w:rPr>
              <w:t xml:space="preserve"> 1 293 335 </w:t>
            </w:r>
          </w:p>
        </w:tc>
        <w:tc>
          <w:tcPr>
            <w:tcW w:w="1336" w:type="dxa"/>
            <w:tcBorders>
              <w:top w:val="nil"/>
              <w:left w:val="nil"/>
              <w:bottom w:val="nil"/>
              <w:right w:val="nil"/>
            </w:tcBorders>
          </w:tcPr>
          <w:p w14:paraId="5706271A" w14:textId="77777777" w:rsidR="00892142" w:rsidRPr="00B01471" w:rsidRDefault="00892142" w:rsidP="00887556">
            <w:pPr>
              <w:spacing w:before="40" w:after="40" w:line="220" w:lineRule="exact"/>
              <w:jc w:val="right"/>
              <w:rPr>
                <w:rFonts w:eastAsia="Times New Roman"/>
                <w:bCs/>
                <w:color w:val="000000"/>
                <w:sz w:val="18"/>
                <w:szCs w:val="18"/>
              </w:rPr>
            </w:pPr>
            <w:r w:rsidRPr="00770BD5">
              <w:rPr>
                <w:sz w:val="18"/>
                <w:szCs w:val="18"/>
              </w:rPr>
              <w:t xml:space="preserve"> 2 586 670 </w:t>
            </w:r>
          </w:p>
        </w:tc>
      </w:tr>
      <w:tr w:rsidR="00892142" w:rsidRPr="00B01471" w14:paraId="5F14DE84" w14:textId="77777777" w:rsidTr="0012191A">
        <w:tc>
          <w:tcPr>
            <w:tcW w:w="4146" w:type="dxa"/>
            <w:tcBorders>
              <w:top w:val="nil"/>
              <w:left w:val="nil"/>
              <w:bottom w:val="nil"/>
              <w:right w:val="nil"/>
            </w:tcBorders>
            <w:shd w:val="clear" w:color="auto" w:fill="auto"/>
            <w:noWrap/>
            <w:hideMark/>
          </w:tcPr>
          <w:p w14:paraId="67851D64"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AS/HR/ICT</w:t>
            </w:r>
            <w:r w:rsidRPr="00B01471">
              <w:rPr>
                <w:rFonts w:eastAsia="MS Mincho"/>
                <w:i/>
                <w:sz w:val="18"/>
                <w:szCs w:val="18"/>
                <w:vertAlign w:val="superscript"/>
                <w:lang w:eastAsia="de-DE"/>
              </w:rPr>
              <w:t>b</w:t>
            </w:r>
          </w:p>
        </w:tc>
        <w:tc>
          <w:tcPr>
            <w:tcW w:w="1523" w:type="dxa"/>
            <w:tcBorders>
              <w:top w:val="nil"/>
              <w:left w:val="nil"/>
              <w:bottom w:val="nil"/>
              <w:right w:val="nil"/>
            </w:tcBorders>
          </w:tcPr>
          <w:p w14:paraId="78C57C63" w14:textId="77777777" w:rsidR="00892142" w:rsidRPr="00B01471" w:rsidRDefault="00892142" w:rsidP="00887556">
            <w:pPr>
              <w:spacing w:before="40" w:after="40" w:line="220" w:lineRule="exact"/>
              <w:jc w:val="right"/>
              <w:rPr>
                <w:sz w:val="18"/>
                <w:szCs w:val="18"/>
              </w:rPr>
            </w:pPr>
            <w:r w:rsidRPr="00770BD5">
              <w:rPr>
                <w:sz w:val="18"/>
                <w:szCs w:val="18"/>
              </w:rPr>
              <w:t xml:space="preserve"> 2 115 905 </w:t>
            </w:r>
          </w:p>
        </w:tc>
        <w:tc>
          <w:tcPr>
            <w:tcW w:w="1500" w:type="dxa"/>
            <w:tcBorders>
              <w:top w:val="nil"/>
              <w:left w:val="nil"/>
              <w:bottom w:val="nil"/>
              <w:right w:val="nil"/>
            </w:tcBorders>
          </w:tcPr>
          <w:p w14:paraId="4B41D3DB" w14:textId="77777777" w:rsidR="00892142" w:rsidRPr="00B01471" w:rsidRDefault="00892142" w:rsidP="00887556">
            <w:pPr>
              <w:spacing w:before="40" w:after="40" w:line="220" w:lineRule="exact"/>
              <w:jc w:val="right"/>
              <w:rPr>
                <w:sz w:val="18"/>
                <w:szCs w:val="18"/>
              </w:rPr>
            </w:pPr>
            <w:r w:rsidRPr="00770BD5">
              <w:rPr>
                <w:sz w:val="18"/>
                <w:szCs w:val="18"/>
              </w:rPr>
              <w:t xml:space="preserve"> 2 115 905 </w:t>
            </w:r>
          </w:p>
        </w:tc>
        <w:tc>
          <w:tcPr>
            <w:tcW w:w="1336" w:type="dxa"/>
            <w:tcBorders>
              <w:top w:val="nil"/>
              <w:left w:val="nil"/>
              <w:bottom w:val="nil"/>
              <w:right w:val="nil"/>
            </w:tcBorders>
          </w:tcPr>
          <w:p w14:paraId="376955FF" w14:textId="77777777" w:rsidR="00892142" w:rsidRPr="00B01471" w:rsidRDefault="00892142" w:rsidP="00887556">
            <w:pPr>
              <w:spacing w:before="40" w:after="40" w:line="220" w:lineRule="exact"/>
              <w:jc w:val="right"/>
              <w:rPr>
                <w:rFonts w:eastAsia="Times New Roman"/>
                <w:bCs/>
                <w:color w:val="000000"/>
                <w:sz w:val="18"/>
                <w:szCs w:val="18"/>
              </w:rPr>
            </w:pPr>
            <w:r w:rsidRPr="00770BD5">
              <w:rPr>
                <w:sz w:val="18"/>
                <w:szCs w:val="18"/>
              </w:rPr>
              <w:t xml:space="preserve"> 4 231 810 </w:t>
            </w:r>
          </w:p>
        </w:tc>
      </w:tr>
      <w:tr w:rsidR="00892142" w:rsidRPr="00B01471" w14:paraId="52F0FB9F" w14:textId="77777777" w:rsidTr="0012191A">
        <w:tc>
          <w:tcPr>
            <w:tcW w:w="4146" w:type="dxa"/>
            <w:tcBorders>
              <w:top w:val="nil"/>
              <w:left w:val="nil"/>
              <w:bottom w:val="nil"/>
              <w:right w:val="nil"/>
            </w:tcBorders>
            <w:shd w:val="clear" w:color="auto" w:fill="auto"/>
            <w:noWrap/>
            <w:hideMark/>
          </w:tcPr>
          <w:p w14:paraId="3EA967B6"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Conference Affairs</w:t>
            </w:r>
          </w:p>
        </w:tc>
        <w:tc>
          <w:tcPr>
            <w:tcW w:w="1523" w:type="dxa"/>
            <w:tcBorders>
              <w:top w:val="nil"/>
              <w:left w:val="nil"/>
              <w:bottom w:val="nil"/>
              <w:right w:val="nil"/>
            </w:tcBorders>
          </w:tcPr>
          <w:p w14:paraId="03FC9154" w14:textId="77777777" w:rsidR="00892142" w:rsidRPr="00B01471" w:rsidRDefault="00892142" w:rsidP="00887556">
            <w:pPr>
              <w:spacing w:before="40" w:after="40" w:line="220" w:lineRule="exact"/>
              <w:jc w:val="right"/>
              <w:rPr>
                <w:sz w:val="18"/>
                <w:szCs w:val="18"/>
              </w:rPr>
            </w:pPr>
            <w:r w:rsidRPr="00770BD5">
              <w:rPr>
                <w:sz w:val="18"/>
                <w:szCs w:val="18"/>
              </w:rPr>
              <w:t xml:space="preserve"> 1 324 120 </w:t>
            </w:r>
          </w:p>
        </w:tc>
        <w:tc>
          <w:tcPr>
            <w:tcW w:w="1500" w:type="dxa"/>
            <w:tcBorders>
              <w:top w:val="nil"/>
              <w:left w:val="nil"/>
              <w:bottom w:val="nil"/>
              <w:right w:val="nil"/>
            </w:tcBorders>
          </w:tcPr>
          <w:p w14:paraId="0B5FFFB0" w14:textId="77777777" w:rsidR="00892142" w:rsidRPr="00B01471" w:rsidRDefault="00892142" w:rsidP="00887556">
            <w:pPr>
              <w:spacing w:before="40" w:after="40" w:line="220" w:lineRule="exact"/>
              <w:jc w:val="right"/>
              <w:rPr>
                <w:sz w:val="18"/>
                <w:szCs w:val="18"/>
              </w:rPr>
            </w:pPr>
            <w:r w:rsidRPr="00770BD5">
              <w:rPr>
                <w:sz w:val="18"/>
                <w:szCs w:val="18"/>
              </w:rPr>
              <w:t xml:space="preserve"> 1 324 120 </w:t>
            </w:r>
          </w:p>
        </w:tc>
        <w:tc>
          <w:tcPr>
            <w:tcW w:w="1336" w:type="dxa"/>
            <w:tcBorders>
              <w:top w:val="nil"/>
              <w:left w:val="nil"/>
              <w:bottom w:val="nil"/>
              <w:right w:val="nil"/>
            </w:tcBorders>
          </w:tcPr>
          <w:p w14:paraId="7CE0B0F1" w14:textId="77777777" w:rsidR="00892142" w:rsidRPr="00B01471" w:rsidRDefault="00892142" w:rsidP="00887556">
            <w:pPr>
              <w:spacing w:before="40" w:after="40" w:line="220" w:lineRule="exact"/>
              <w:jc w:val="right"/>
              <w:rPr>
                <w:rFonts w:eastAsia="Times New Roman"/>
                <w:bCs/>
                <w:color w:val="000000"/>
                <w:sz w:val="18"/>
                <w:szCs w:val="18"/>
              </w:rPr>
            </w:pPr>
            <w:r w:rsidRPr="00770BD5">
              <w:rPr>
                <w:sz w:val="18"/>
                <w:szCs w:val="18"/>
              </w:rPr>
              <w:t xml:space="preserve"> 2 648 240 </w:t>
            </w:r>
          </w:p>
        </w:tc>
      </w:tr>
      <w:tr w:rsidR="00892142" w:rsidRPr="00B01471" w14:paraId="20357D11" w14:textId="77777777" w:rsidTr="0012191A">
        <w:tc>
          <w:tcPr>
            <w:tcW w:w="4146" w:type="dxa"/>
            <w:tcBorders>
              <w:top w:val="nil"/>
              <w:left w:val="nil"/>
              <w:bottom w:val="nil"/>
              <w:right w:val="nil"/>
            </w:tcBorders>
            <w:shd w:val="clear" w:color="auto" w:fill="auto"/>
            <w:noWrap/>
            <w:hideMark/>
          </w:tcPr>
          <w:p w14:paraId="01F1D629"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Legal Affairs</w:t>
            </w:r>
          </w:p>
        </w:tc>
        <w:tc>
          <w:tcPr>
            <w:tcW w:w="1523" w:type="dxa"/>
            <w:tcBorders>
              <w:top w:val="nil"/>
              <w:left w:val="nil"/>
              <w:bottom w:val="nil"/>
              <w:right w:val="nil"/>
            </w:tcBorders>
          </w:tcPr>
          <w:p w14:paraId="35B19CBD" w14:textId="77777777" w:rsidR="00892142" w:rsidRPr="00B01471" w:rsidRDefault="00892142" w:rsidP="00887556">
            <w:pPr>
              <w:spacing w:before="40" w:after="40" w:line="220" w:lineRule="exact"/>
              <w:jc w:val="right"/>
              <w:rPr>
                <w:sz w:val="18"/>
                <w:szCs w:val="18"/>
              </w:rPr>
            </w:pPr>
            <w:r w:rsidRPr="00770BD5">
              <w:rPr>
                <w:sz w:val="18"/>
                <w:szCs w:val="18"/>
              </w:rPr>
              <w:t xml:space="preserve"> 1 160 680 </w:t>
            </w:r>
          </w:p>
        </w:tc>
        <w:tc>
          <w:tcPr>
            <w:tcW w:w="1500" w:type="dxa"/>
            <w:tcBorders>
              <w:top w:val="nil"/>
              <w:left w:val="nil"/>
              <w:bottom w:val="nil"/>
              <w:right w:val="nil"/>
            </w:tcBorders>
          </w:tcPr>
          <w:p w14:paraId="79D6E131" w14:textId="77777777" w:rsidR="00892142" w:rsidRPr="00B01471" w:rsidRDefault="00892142" w:rsidP="00887556">
            <w:pPr>
              <w:spacing w:before="40" w:after="40" w:line="220" w:lineRule="exact"/>
              <w:jc w:val="right"/>
              <w:rPr>
                <w:sz w:val="18"/>
                <w:szCs w:val="18"/>
              </w:rPr>
            </w:pPr>
            <w:r w:rsidRPr="00770BD5">
              <w:rPr>
                <w:sz w:val="18"/>
                <w:szCs w:val="18"/>
              </w:rPr>
              <w:t xml:space="preserve"> 1 160 680 </w:t>
            </w:r>
          </w:p>
        </w:tc>
        <w:tc>
          <w:tcPr>
            <w:tcW w:w="1336" w:type="dxa"/>
            <w:tcBorders>
              <w:top w:val="nil"/>
              <w:left w:val="nil"/>
              <w:bottom w:val="nil"/>
              <w:right w:val="nil"/>
            </w:tcBorders>
          </w:tcPr>
          <w:p w14:paraId="438A002C" w14:textId="77777777" w:rsidR="00892142" w:rsidRPr="00B01471" w:rsidRDefault="00892142" w:rsidP="00887556">
            <w:pPr>
              <w:spacing w:before="40" w:after="40" w:line="220" w:lineRule="exact"/>
              <w:jc w:val="right"/>
              <w:rPr>
                <w:rFonts w:eastAsia="Times New Roman"/>
                <w:bCs/>
                <w:color w:val="000000"/>
                <w:sz w:val="18"/>
                <w:szCs w:val="18"/>
              </w:rPr>
            </w:pPr>
            <w:r w:rsidRPr="00770BD5">
              <w:rPr>
                <w:sz w:val="18"/>
                <w:szCs w:val="18"/>
              </w:rPr>
              <w:t xml:space="preserve"> 2 321 360 </w:t>
            </w:r>
          </w:p>
        </w:tc>
      </w:tr>
      <w:tr w:rsidR="00892142" w:rsidRPr="00B01471" w14:paraId="4AC27D4F" w14:textId="77777777" w:rsidTr="0012191A">
        <w:tc>
          <w:tcPr>
            <w:tcW w:w="4146" w:type="dxa"/>
            <w:tcBorders>
              <w:top w:val="nil"/>
              <w:left w:val="nil"/>
              <w:bottom w:val="nil"/>
              <w:right w:val="nil"/>
            </w:tcBorders>
            <w:shd w:val="clear" w:color="auto" w:fill="auto"/>
            <w:noWrap/>
            <w:hideMark/>
          </w:tcPr>
          <w:p w14:paraId="3F0BA9ED"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Intergovernmental Support and Collective Progress</w:t>
            </w:r>
          </w:p>
        </w:tc>
        <w:tc>
          <w:tcPr>
            <w:tcW w:w="1523" w:type="dxa"/>
            <w:tcBorders>
              <w:top w:val="nil"/>
              <w:left w:val="nil"/>
              <w:bottom w:val="nil"/>
              <w:right w:val="nil"/>
            </w:tcBorders>
          </w:tcPr>
          <w:p w14:paraId="3D82BE24" w14:textId="77777777" w:rsidR="00892142" w:rsidRPr="00B01471" w:rsidRDefault="00892142" w:rsidP="00887556">
            <w:pPr>
              <w:spacing w:before="40" w:after="40" w:line="220" w:lineRule="exact"/>
              <w:jc w:val="right"/>
              <w:rPr>
                <w:sz w:val="18"/>
                <w:szCs w:val="18"/>
              </w:rPr>
            </w:pPr>
            <w:r w:rsidRPr="00770BD5">
              <w:rPr>
                <w:sz w:val="18"/>
                <w:szCs w:val="18"/>
              </w:rPr>
              <w:t xml:space="preserve"> 1 579 820 </w:t>
            </w:r>
          </w:p>
        </w:tc>
        <w:tc>
          <w:tcPr>
            <w:tcW w:w="1500" w:type="dxa"/>
            <w:tcBorders>
              <w:top w:val="nil"/>
              <w:left w:val="nil"/>
              <w:bottom w:val="nil"/>
              <w:right w:val="nil"/>
            </w:tcBorders>
          </w:tcPr>
          <w:p w14:paraId="5BC54B23" w14:textId="77777777" w:rsidR="00892142" w:rsidRPr="00B01471" w:rsidRDefault="00892142" w:rsidP="00887556">
            <w:pPr>
              <w:spacing w:before="40" w:after="40" w:line="220" w:lineRule="exact"/>
              <w:jc w:val="right"/>
              <w:rPr>
                <w:sz w:val="18"/>
                <w:szCs w:val="18"/>
              </w:rPr>
            </w:pPr>
            <w:r w:rsidRPr="00770BD5">
              <w:rPr>
                <w:sz w:val="18"/>
                <w:szCs w:val="18"/>
              </w:rPr>
              <w:t xml:space="preserve"> 1 676 840 </w:t>
            </w:r>
          </w:p>
        </w:tc>
        <w:tc>
          <w:tcPr>
            <w:tcW w:w="1336" w:type="dxa"/>
            <w:tcBorders>
              <w:top w:val="nil"/>
              <w:left w:val="nil"/>
              <w:bottom w:val="nil"/>
              <w:right w:val="nil"/>
            </w:tcBorders>
          </w:tcPr>
          <w:p w14:paraId="3AE0524F" w14:textId="77777777" w:rsidR="00892142" w:rsidRPr="00B01471" w:rsidRDefault="00892142" w:rsidP="00887556">
            <w:pPr>
              <w:spacing w:before="40" w:after="40" w:line="220" w:lineRule="exact"/>
              <w:jc w:val="right"/>
              <w:rPr>
                <w:rFonts w:eastAsia="Times New Roman"/>
                <w:bCs/>
                <w:color w:val="000000"/>
                <w:sz w:val="18"/>
                <w:szCs w:val="18"/>
              </w:rPr>
            </w:pPr>
            <w:r w:rsidRPr="00770BD5">
              <w:rPr>
                <w:sz w:val="18"/>
                <w:szCs w:val="18"/>
              </w:rPr>
              <w:t xml:space="preserve"> 3 256 660 </w:t>
            </w:r>
          </w:p>
        </w:tc>
      </w:tr>
      <w:tr w:rsidR="00892142" w:rsidRPr="00B01471" w14:paraId="2FF86A4D" w14:textId="77777777" w:rsidTr="0012191A">
        <w:tc>
          <w:tcPr>
            <w:tcW w:w="4146" w:type="dxa"/>
            <w:tcBorders>
              <w:top w:val="nil"/>
              <w:left w:val="nil"/>
              <w:bottom w:val="nil"/>
              <w:right w:val="nil"/>
            </w:tcBorders>
            <w:shd w:val="clear" w:color="auto" w:fill="auto"/>
            <w:noWrap/>
            <w:hideMark/>
          </w:tcPr>
          <w:p w14:paraId="224E2D06"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sz w:val="18"/>
                <w:szCs w:val="18"/>
                <w:lang w:eastAsia="de-DE"/>
              </w:rPr>
            </w:pPr>
            <w:r w:rsidRPr="00B01471">
              <w:rPr>
                <w:rFonts w:eastAsia="MS Mincho"/>
                <w:sz w:val="18"/>
                <w:szCs w:val="18"/>
                <w:lang w:eastAsia="de-DE"/>
              </w:rPr>
              <w:t>Communications and Engagement</w:t>
            </w:r>
          </w:p>
        </w:tc>
        <w:tc>
          <w:tcPr>
            <w:tcW w:w="1523" w:type="dxa"/>
            <w:tcBorders>
              <w:top w:val="nil"/>
              <w:left w:val="nil"/>
              <w:bottom w:val="nil"/>
              <w:right w:val="nil"/>
            </w:tcBorders>
          </w:tcPr>
          <w:p w14:paraId="2C21F32E" w14:textId="77777777" w:rsidR="00892142" w:rsidRPr="00B01471" w:rsidRDefault="00892142" w:rsidP="00887556">
            <w:pPr>
              <w:spacing w:before="40" w:after="40" w:line="220" w:lineRule="exact"/>
              <w:jc w:val="right"/>
              <w:rPr>
                <w:sz w:val="18"/>
                <w:szCs w:val="18"/>
              </w:rPr>
            </w:pPr>
            <w:r w:rsidRPr="00770BD5">
              <w:rPr>
                <w:sz w:val="18"/>
                <w:szCs w:val="18"/>
              </w:rPr>
              <w:t xml:space="preserve"> 1 664 740 </w:t>
            </w:r>
          </w:p>
        </w:tc>
        <w:tc>
          <w:tcPr>
            <w:tcW w:w="1500" w:type="dxa"/>
            <w:tcBorders>
              <w:top w:val="nil"/>
              <w:left w:val="nil"/>
              <w:bottom w:val="nil"/>
              <w:right w:val="nil"/>
            </w:tcBorders>
          </w:tcPr>
          <w:p w14:paraId="2D7B07CD" w14:textId="77777777" w:rsidR="00892142" w:rsidRPr="00B01471" w:rsidRDefault="00892142" w:rsidP="00887556">
            <w:pPr>
              <w:spacing w:before="40" w:after="40" w:line="220" w:lineRule="exact"/>
              <w:jc w:val="right"/>
              <w:rPr>
                <w:sz w:val="18"/>
                <w:szCs w:val="18"/>
              </w:rPr>
            </w:pPr>
            <w:r w:rsidRPr="00770BD5">
              <w:rPr>
                <w:sz w:val="18"/>
                <w:szCs w:val="18"/>
              </w:rPr>
              <w:t xml:space="preserve"> 1 664 740 </w:t>
            </w:r>
          </w:p>
        </w:tc>
        <w:tc>
          <w:tcPr>
            <w:tcW w:w="1336" w:type="dxa"/>
            <w:tcBorders>
              <w:top w:val="nil"/>
              <w:left w:val="nil"/>
              <w:bottom w:val="nil"/>
              <w:right w:val="nil"/>
            </w:tcBorders>
          </w:tcPr>
          <w:p w14:paraId="63E70003" w14:textId="77777777" w:rsidR="00892142" w:rsidRPr="00B01471" w:rsidRDefault="00892142" w:rsidP="00887556">
            <w:pPr>
              <w:spacing w:before="40" w:after="40" w:line="220" w:lineRule="exact"/>
              <w:jc w:val="right"/>
              <w:rPr>
                <w:rFonts w:eastAsia="Times New Roman"/>
                <w:bCs/>
                <w:color w:val="000000"/>
                <w:sz w:val="18"/>
                <w:szCs w:val="18"/>
              </w:rPr>
            </w:pPr>
            <w:r w:rsidRPr="00770BD5">
              <w:rPr>
                <w:sz w:val="18"/>
                <w:szCs w:val="18"/>
              </w:rPr>
              <w:t xml:space="preserve"> 3 329 480 </w:t>
            </w:r>
          </w:p>
        </w:tc>
      </w:tr>
      <w:tr w:rsidR="00892142" w:rsidRPr="00B01471" w14:paraId="331468AB" w14:textId="77777777" w:rsidTr="0012191A">
        <w:tc>
          <w:tcPr>
            <w:tcW w:w="4146" w:type="dxa"/>
            <w:tcBorders>
              <w:top w:val="nil"/>
              <w:left w:val="nil"/>
              <w:bottom w:val="nil"/>
              <w:right w:val="nil"/>
            </w:tcBorders>
            <w:shd w:val="clear" w:color="auto" w:fill="auto"/>
            <w:noWrap/>
          </w:tcPr>
          <w:p w14:paraId="6812E56F" w14:textId="77777777" w:rsidR="00892142" w:rsidRPr="00B01471" w:rsidRDefault="00892142" w:rsidP="00887556">
            <w:pPr>
              <w:suppressAutoHyphens w:val="0"/>
              <w:autoSpaceDE w:val="0"/>
              <w:autoSpaceDN w:val="0"/>
              <w:adjustRightInd w:val="0"/>
              <w:spacing w:before="40" w:after="40" w:line="220" w:lineRule="exact"/>
              <w:ind w:left="567" w:right="38" w:firstLine="1"/>
              <w:rPr>
                <w:rFonts w:eastAsia="MS Mincho"/>
                <w:b/>
                <w:sz w:val="18"/>
                <w:szCs w:val="18"/>
                <w:lang w:eastAsia="de-DE"/>
              </w:rPr>
            </w:pPr>
            <w:r w:rsidRPr="00B01471">
              <w:rPr>
                <w:rFonts w:eastAsia="MS Mincho"/>
                <w:sz w:val="18"/>
                <w:szCs w:val="18"/>
                <w:lang w:eastAsia="de-DE"/>
              </w:rPr>
              <w:t>IPCC</w:t>
            </w:r>
            <w:r>
              <w:rPr>
                <w:rFonts w:eastAsia="MS Mincho"/>
                <w:i/>
                <w:sz w:val="18"/>
                <w:szCs w:val="18"/>
                <w:vertAlign w:val="superscript"/>
                <w:lang w:eastAsia="de-DE"/>
              </w:rPr>
              <w:t>c</w:t>
            </w:r>
          </w:p>
        </w:tc>
        <w:tc>
          <w:tcPr>
            <w:tcW w:w="1523" w:type="dxa"/>
            <w:tcBorders>
              <w:top w:val="nil"/>
              <w:left w:val="nil"/>
              <w:bottom w:val="nil"/>
              <w:right w:val="nil"/>
            </w:tcBorders>
          </w:tcPr>
          <w:p w14:paraId="37F8CEE2" w14:textId="77777777" w:rsidR="00892142" w:rsidRPr="00B01471" w:rsidRDefault="00892142" w:rsidP="00887556">
            <w:pPr>
              <w:spacing w:before="40" w:after="40" w:line="220" w:lineRule="exact"/>
              <w:jc w:val="right"/>
              <w:rPr>
                <w:sz w:val="18"/>
                <w:szCs w:val="18"/>
              </w:rPr>
            </w:pPr>
            <w:r w:rsidRPr="00770BD5">
              <w:rPr>
                <w:sz w:val="18"/>
                <w:szCs w:val="18"/>
              </w:rPr>
              <w:t xml:space="preserve"> 244 755 </w:t>
            </w:r>
          </w:p>
        </w:tc>
        <w:tc>
          <w:tcPr>
            <w:tcW w:w="1500" w:type="dxa"/>
            <w:tcBorders>
              <w:top w:val="nil"/>
              <w:left w:val="nil"/>
              <w:bottom w:val="nil"/>
              <w:right w:val="nil"/>
            </w:tcBorders>
          </w:tcPr>
          <w:p w14:paraId="5F257BBB" w14:textId="77777777" w:rsidR="00892142" w:rsidRPr="00B01471" w:rsidRDefault="00892142" w:rsidP="00887556">
            <w:pPr>
              <w:spacing w:before="40" w:after="40" w:line="220" w:lineRule="exact"/>
              <w:jc w:val="right"/>
              <w:rPr>
                <w:sz w:val="18"/>
                <w:szCs w:val="18"/>
              </w:rPr>
            </w:pPr>
            <w:r w:rsidRPr="00770BD5">
              <w:rPr>
                <w:sz w:val="18"/>
                <w:szCs w:val="18"/>
              </w:rPr>
              <w:t xml:space="preserve"> 244 755 </w:t>
            </w:r>
          </w:p>
        </w:tc>
        <w:tc>
          <w:tcPr>
            <w:tcW w:w="1336" w:type="dxa"/>
            <w:tcBorders>
              <w:top w:val="nil"/>
              <w:left w:val="nil"/>
              <w:bottom w:val="nil"/>
              <w:right w:val="nil"/>
            </w:tcBorders>
          </w:tcPr>
          <w:p w14:paraId="3C08A7A6" w14:textId="77777777" w:rsidR="00892142" w:rsidRPr="00B01471" w:rsidRDefault="00892142" w:rsidP="00887556">
            <w:pPr>
              <w:spacing w:before="40" w:after="40" w:line="220" w:lineRule="exact"/>
              <w:jc w:val="right"/>
              <w:rPr>
                <w:rFonts w:eastAsia="Times New Roman"/>
                <w:bCs/>
                <w:color w:val="000000"/>
                <w:sz w:val="18"/>
                <w:szCs w:val="18"/>
              </w:rPr>
            </w:pPr>
            <w:r w:rsidRPr="00770BD5">
              <w:rPr>
                <w:sz w:val="18"/>
                <w:szCs w:val="18"/>
              </w:rPr>
              <w:t xml:space="preserve"> 489 510 </w:t>
            </w:r>
          </w:p>
        </w:tc>
      </w:tr>
      <w:tr w:rsidR="00892142" w:rsidRPr="00B01471" w14:paraId="1073ECCF" w14:textId="77777777" w:rsidTr="0012191A">
        <w:tc>
          <w:tcPr>
            <w:tcW w:w="4146" w:type="dxa"/>
            <w:tcBorders>
              <w:top w:val="single" w:sz="4" w:space="0" w:color="auto"/>
              <w:left w:val="nil"/>
              <w:bottom w:val="single" w:sz="4" w:space="0" w:color="auto"/>
              <w:right w:val="nil"/>
            </w:tcBorders>
            <w:shd w:val="clear" w:color="auto" w:fill="FFFFFF" w:themeFill="background1"/>
            <w:noWrap/>
            <w:hideMark/>
          </w:tcPr>
          <w:p w14:paraId="31002809" w14:textId="77777777" w:rsidR="00892142" w:rsidRPr="00B01471" w:rsidRDefault="00892142" w:rsidP="00887556">
            <w:pPr>
              <w:autoSpaceDE w:val="0"/>
              <w:autoSpaceDN w:val="0"/>
              <w:adjustRightInd w:val="0"/>
              <w:spacing w:before="40" w:after="40" w:line="220" w:lineRule="exact"/>
              <w:ind w:right="38" w:firstLine="284"/>
              <w:rPr>
                <w:rFonts w:eastAsia="Times New Roman"/>
                <w:b/>
                <w:bCs/>
                <w:color w:val="000000"/>
                <w:sz w:val="18"/>
                <w:szCs w:val="18"/>
              </w:rPr>
            </w:pPr>
            <w:r w:rsidRPr="00770BD5">
              <w:rPr>
                <w:b/>
                <w:sz w:val="18"/>
                <w:szCs w:val="18"/>
              </w:rPr>
              <w:t>Total appropriations</w:t>
            </w:r>
          </w:p>
        </w:tc>
        <w:tc>
          <w:tcPr>
            <w:tcW w:w="1523" w:type="dxa"/>
            <w:tcBorders>
              <w:top w:val="single" w:sz="4" w:space="0" w:color="auto"/>
              <w:left w:val="nil"/>
              <w:bottom w:val="single" w:sz="4" w:space="0" w:color="auto"/>
              <w:right w:val="nil"/>
            </w:tcBorders>
            <w:shd w:val="clear" w:color="auto" w:fill="FFFFFF" w:themeFill="background1"/>
          </w:tcPr>
          <w:p w14:paraId="6E0CB8C9" w14:textId="77777777" w:rsidR="00892142" w:rsidRPr="00A51667" w:rsidRDefault="00892142" w:rsidP="00887556">
            <w:pPr>
              <w:spacing w:before="40" w:after="40" w:line="220" w:lineRule="exact"/>
              <w:jc w:val="right"/>
              <w:rPr>
                <w:b/>
                <w:sz w:val="18"/>
                <w:szCs w:val="18"/>
              </w:rPr>
            </w:pPr>
            <w:r w:rsidRPr="00770BD5">
              <w:rPr>
                <w:b/>
                <w:sz w:val="18"/>
                <w:szCs w:val="18"/>
              </w:rPr>
              <w:t xml:space="preserve"> 26 387 095 </w:t>
            </w:r>
          </w:p>
        </w:tc>
        <w:tc>
          <w:tcPr>
            <w:tcW w:w="1500" w:type="dxa"/>
            <w:tcBorders>
              <w:top w:val="single" w:sz="4" w:space="0" w:color="auto"/>
              <w:left w:val="nil"/>
              <w:bottom w:val="single" w:sz="4" w:space="0" w:color="auto"/>
              <w:right w:val="nil"/>
            </w:tcBorders>
            <w:shd w:val="clear" w:color="auto" w:fill="FFFFFF" w:themeFill="background1"/>
          </w:tcPr>
          <w:p w14:paraId="7919D6DA" w14:textId="77777777" w:rsidR="00892142" w:rsidRPr="00A51667" w:rsidRDefault="00892142" w:rsidP="00887556">
            <w:pPr>
              <w:spacing w:before="40" w:after="40" w:line="220" w:lineRule="exact"/>
              <w:jc w:val="right"/>
              <w:rPr>
                <w:b/>
                <w:sz w:val="18"/>
                <w:szCs w:val="18"/>
              </w:rPr>
            </w:pPr>
            <w:r w:rsidRPr="00770BD5">
              <w:rPr>
                <w:b/>
                <w:sz w:val="18"/>
                <w:szCs w:val="18"/>
              </w:rPr>
              <w:t xml:space="preserve"> 26 484 115 </w:t>
            </w:r>
          </w:p>
        </w:tc>
        <w:tc>
          <w:tcPr>
            <w:tcW w:w="1336" w:type="dxa"/>
            <w:tcBorders>
              <w:top w:val="single" w:sz="4" w:space="0" w:color="auto"/>
              <w:left w:val="nil"/>
              <w:bottom w:val="single" w:sz="4" w:space="0" w:color="auto"/>
              <w:right w:val="nil"/>
            </w:tcBorders>
            <w:shd w:val="clear" w:color="auto" w:fill="FFFFFF" w:themeFill="background1"/>
          </w:tcPr>
          <w:p w14:paraId="6F544F52" w14:textId="77777777" w:rsidR="00892142" w:rsidRPr="00B01471" w:rsidRDefault="00892142" w:rsidP="00887556">
            <w:pPr>
              <w:spacing w:before="40" w:after="40" w:line="220" w:lineRule="exact"/>
              <w:jc w:val="right"/>
              <w:rPr>
                <w:rFonts w:eastAsia="Times New Roman"/>
                <w:b/>
                <w:color w:val="000000"/>
                <w:sz w:val="18"/>
                <w:szCs w:val="18"/>
              </w:rPr>
            </w:pPr>
            <w:r w:rsidRPr="00770BD5">
              <w:rPr>
                <w:b/>
                <w:sz w:val="18"/>
                <w:szCs w:val="18"/>
              </w:rPr>
              <w:t xml:space="preserve"> 52 871 210 </w:t>
            </w:r>
          </w:p>
        </w:tc>
      </w:tr>
      <w:tr w:rsidR="00892142" w:rsidRPr="00B01471" w14:paraId="298417BC" w14:textId="77777777" w:rsidTr="0012191A">
        <w:tc>
          <w:tcPr>
            <w:tcW w:w="4146" w:type="dxa"/>
            <w:tcBorders>
              <w:top w:val="single" w:sz="4" w:space="0" w:color="auto"/>
              <w:left w:val="nil"/>
              <w:bottom w:val="single" w:sz="4" w:space="0" w:color="auto"/>
              <w:right w:val="nil"/>
            </w:tcBorders>
            <w:shd w:val="clear" w:color="auto" w:fill="FFFFFF" w:themeFill="background1"/>
            <w:noWrap/>
          </w:tcPr>
          <w:p w14:paraId="4A5089F4" w14:textId="77777777" w:rsidR="00892142" w:rsidRPr="00770BD5" w:rsidRDefault="00892142" w:rsidP="00887556">
            <w:pPr>
              <w:autoSpaceDE w:val="0"/>
              <w:autoSpaceDN w:val="0"/>
              <w:adjustRightInd w:val="0"/>
              <w:spacing w:before="40" w:after="40" w:line="220" w:lineRule="exact"/>
              <w:ind w:right="38"/>
              <w:rPr>
                <w:sz w:val="18"/>
                <w:szCs w:val="18"/>
              </w:rPr>
            </w:pPr>
            <w:r w:rsidRPr="00770BD5">
              <w:rPr>
                <w:sz w:val="18"/>
                <w:szCs w:val="18"/>
              </w:rPr>
              <w:t>B. Programme support costs</w:t>
            </w:r>
            <w:r w:rsidRPr="00770BD5">
              <w:rPr>
                <w:i/>
                <w:sz w:val="18"/>
                <w:szCs w:val="18"/>
                <w:vertAlign w:val="superscript"/>
              </w:rPr>
              <w:t>d</w:t>
            </w:r>
          </w:p>
        </w:tc>
        <w:tc>
          <w:tcPr>
            <w:tcW w:w="1523" w:type="dxa"/>
            <w:tcBorders>
              <w:top w:val="single" w:sz="4" w:space="0" w:color="auto"/>
              <w:left w:val="nil"/>
              <w:bottom w:val="single" w:sz="4" w:space="0" w:color="auto"/>
              <w:right w:val="nil"/>
            </w:tcBorders>
            <w:shd w:val="clear" w:color="auto" w:fill="FFFFFF" w:themeFill="background1"/>
          </w:tcPr>
          <w:p w14:paraId="0EC93DCB" w14:textId="77777777" w:rsidR="00892142" w:rsidRPr="00B01471" w:rsidRDefault="00892142" w:rsidP="00887556">
            <w:pPr>
              <w:spacing w:before="40" w:after="40" w:line="220" w:lineRule="exact"/>
              <w:jc w:val="right"/>
              <w:rPr>
                <w:sz w:val="18"/>
                <w:szCs w:val="18"/>
              </w:rPr>
            </w:pPr>
            <w:r w:rsidRPr="00770BD5">
              <w:rPr>
                <w:sz w:val="18"/>
                <w:szCs w:val="18"/>
              </w:rPr>
              <w:t xml:space="preserve"> 3 430 322 </w:t>
            </w:r>
          </w:p>
        </w:tc>
        <w:tc>
          <w:tcPr>
            <w:tcW w:w="1500" w:type="dxa"/>
            <w:tcBorders>
              <w:top w:val="single" w:sz="4" w:space="0" w:color="auto"/>
              <w:left w:val="nil"/>
              <w:bottom w:val="single" w:sz="4" w:space="0" w:color="auto"/>
              <w:right w:val="nil"/>
            </w:tcBorders>
            <w:shd w:val="clear" w:color="auto" w:fill="FFFFFF" w:themeFill="background1"/>
          </w:tcPr>
          <w:p w14:paraId="59545AA7" w14:textId="77777777" w:rsidR="00892142" w:rsidRPr="00B01471" w:rsidRDefault="00892142" w:rsidP="00887556">
            <w:pPr>
              <w:spacing w:before="40" w:after="40" w:line="220" w:lineRule="exact"/>
              <w:jc w:val="right"/>
              <w:rPr>
                <w:sz w:val="18"/>
                <w:szCs w:val="18"/>
              </w:rPr>
            </w:pPr>
            <w:r w:rsidRPr="00770BD5">
              <w:rPr>
                <w:sz w:val="18"/>
                <w:szCs w:val="18"/>
              </w:rPr>
              <w:t xml:space="preserve"> 3 442 935 </w:t>
            </w:r>
          </w:p>
        </w:tc>
        <w:tc>
          <w:tcPr>
            <w:tcW w:w="1336" w:type="dxa"/>
            <w:tcBorders>
              <w:top w:val="single" w:sz="4" w:space="0" w:color="auto"/>
              <w:left w:val="nil"/>
              <w:bottom w:val="single" w:sz="4" w:space="0" w:color="auto"/>
              <w:right w:val="nil"/>
            </w:tcBorders>
            <w:shd w:val="clear" w:color="auto" w:fill="FFFFFF" w:themeFill="background1"/>
          </w:tcPr>
          <w:p w14:paraId="1426A491" w14:textId="77777777" w:rsidR="00892142" w:rsidRPr="00B01471" w:rsidRDefault="00892142" w:rsidP="00887556">
            <w:pPr>
              <w:spacing w:before="40" w:after="40" w:line="220" w:lineRule="exact"/>
              <w:jc w:val="right"/>
              <w:rPr>
                <w:rFonts w:eastAsia="Times New Roman"/>
                <w:color w:val="000000"/>
                <w:sz w:val="18"/>
                <w:szCs w:val="18"/>
              </w:rPr>
            </w:pPr>
            <w:r w:rsidRPr="00770BD5">
              <w:rPr>
                <w:sz w:val="18"/>
                <w:szCs w:val="18"/>
              </w:rPr>
              <w:t xml:space="preserve"> 6 873 257 </w:t>
            </w:r>
          </w:p>
        </w:tc>
      </w:tr>
      <w:tr w:rsidR="00892142" w:rsidRPr="00B01471" w14:paraId="0EB3DC2B" w14:textId="77777777" w:rsidTr="0012191A">
        <w:tc>
          <w:tcPr>
            <w:tcW w:w="4146" w:type="dxa"/>
            <w:tcBorders>
              <w:top w:val="single" w:sz="4" w:space="0" w:color="auto"/>
              <w:left w:val="nil"/>
              <w:bottom w:val="single" w:sz="4" w:space="0" w:color="auto"/>
              <w:right w:val="nil"/>
            </w:tcBorders>
            <w:shd w:val="clear" w:color="auto" w:fill="FFFFFF" w:themeFill="background1"/>
            <w:noWrap/>
          </w:tcPr>
          <w:p w14:paraId="4B8F3E98" w14:textId="77777777" w:rsidR="00892142" w:rsidRPr="00770BD5" w:rsidRDefault="00892142" w:rsidP="00887556">
            <w:pPr>
              <w:autoSpaceDE w:val="0"/>
              <w:autoSpaceDN w:val="0"/>
              <w:adjustRightInd w:val="0"/>
              <w:spacing w:before="40" w:after="40" w:line="220" w:lineRule="exact"/>
              <w:ind w:right="38"/>
              <w:rPr>
                <w:sz w:val="18"/>
                <w:szCs w:val="18"/>
              </w:rPr>
            </w:pPr>
            <w:r w:rsidRPr="00770BD5">
              <w:rPr>
                <w:sz w:val="18"/>
                <w:szCs w:val="18"/>
              </w:rPr>
              <w:t>C. Adjustment to working capital reserve</w:t>
            </w:r>
            <w:r w:rsidRPr="00770BD5">
              <w:rPr>
                <w:i/>
                <w:sz w:val="18"/>
                <w:szCs w:val="18"/>
                <w:vertAlign w:val="superscript"/>
              </w:rPr>
              <w:t>e</w:t>
            </w:r>
          </w:p>
        </w:tc>
        <w:tc>
          <w:tcPr>
            <w:tcW w:w="1523" w:type="dxa"/>
            <w:tcBorders>
              <w:top w:val="single" w:sz="4" w:space="0" w:color="auto"/>
              <w:left w:val="nil"/>
              <w:bottom w:val="single" w:sz="4" w:space="0" w:color="auto"/>
              <w:right w:val="nil"/>
            </w:tcBorders>
            <w:shd w:val="clear" w:color="auto" w:fill="FFFFFF" w:themeFill="background1"/>
          </w:tcPr>
          <w:p w14:paraId="51612901" w14:textId="77777777" w:rsidR="00892142" w:rsidRPr="00B01471" w:rsidRDefault="00892142" w:rsidP="00887556">
            <w:pPr>
              <w:spacing w:before="40" w:after="40" w:line="220" w:lineRule="exact"/>
              <w:jc w:val="right"/>
              <w:rPr>
                <w:sz w:val="18"/>
                <w:szCs w:val="18"/>
              </w:rPr>
            </w:pPr>
            <w:r w:rsidRPr="00770BD5">
              <w:rPr>
                <w:sz w:val="18"/>
                <w:szCs w:val="18"/>
              </w:rPr>
              <w:t xml:space="preserve"> 102 271 </w:t>
            </w:r>
          </w:p>
        </w:tc>
        <w:tc>
          <w:tcPr>
            <w:tcW w:w="1500" w:type="dxa"/>
            <w:tcBorders>
              <w:top w:val="single" w:sz="4" w:space="0" w:color="auto"/>
              <w:left w:val="nil"/>
              <w:bottom w:val="single" w:sz="4" w:space="0" w:color="auto"/>
              <w:right w:val="nil"/>
            </w:tcBorders>
            <w:shd w:val="clear" w:color="auto" w:fill="FFFFFF" w:themeFill="background1"/>
          </w:tcPr>
          <w:p w14:paraId="176EF8C3" w14:textId="77777777" w:rsidR="00892142" w:rsidRPr="00B01471" w:rsidRDefault="00892142" w:rsidP="00887556">
            <w:pPr>
              <w:spacing w:before="40" w:after="40" w:line="220" w:lineRule="exact"/>
              <w:jc w:val="right"/>
              <w:rPr>
                <w:sz w:val="18"/>
                <w:szCs w:val="18"/>
              </w:rPr>
            </w:pPr>
            <w:r w:rsidRPr="00770BD5">
              <w:rPr>
                <w:sz w:val="18"/>
                <w:szCs w:val="18"/>
              </w:rPr>
              <w:t xml:space="preserve"> 1 047 </w:t>
            </w:r>
          </w:p>
        </w:tc>
        <w:tc>
          <w:tcPr>
            <w:tcW w:w="1336" w:type="dxa"/>
            <w:tcBorders>
              <w:top w:val="single" w:sz="4" w:space="0" w:color="auto"/>
              <w:left w:val="nil"/>
              <w:bottom w:val="single" w:sz="4" w:space="0" w:color="auto"/>
              <w:right w:val="nil"/>
            </w:tcBorders>
            <w:shd w:val="clear" w:color="auto" w:fill="FFFFFF" w:themeFill="background1"/>
          </w:tcPr>
          <w:p w14:paraId="174A0BD0" w14:textId="77777777" w:rsidR="00892142" w:rsidRPr="00B01471" w:rsidRDefault="00892142" w:rsidP="00887556">
            <w:pPr>
              <w:spacing w:before="40" w:after="40" w:line="220" w:lineRule="exact"/>
              <w:jc w:val="right"/>
              <w:rPr>
                <w:rFonts w:eastAsia="Times New Roman"/>
                <w:bCs/>
                <w:color w:val="000000"/>
                <w:sz w:val="18"/>
                <w:szCs w:val="18"/>
              </w:rPr>
            </w:pPr>
            <w:r w:rsidRPr="00770BD5">
              <w:rPr>
                <w:sz w:val="18"/>
                <w:szCs w:val="18"/>
              </w:rPr>
              <w:t xml:space="preserve"> 103 317 </w:t>
            </w:r>
          </w:p>
        </w:tc>
      </w:tr>
      <w:tr w:rsidR="00892142" w:rsidRPr="00B01471" w14:paraId="73BF5399" w14:textId="77777777" w:rsidTr="0012191A">
        <w:tc>
          <w:tcPr>
            <w:tcW w:w="4146" w:type="dxa"/>
            <w:tcBorders>
              <w:top w:val="single" w:sz="4" w:space="0" w:color="auto"/>
              <w:left w:val="nil"/>
              <w:bottom w:val="single" w:sz="4" w:space="0" w:color="auto"/>
              <w:right w:val="nil"/>
            </w:tcBorders>
            <w:shd w:val="clear" w:color="auto" w:fill="FFFFFF" w:themeFill="background1"/>
            <w:noWrap/>
          </w:tcPr>
          <w:p w14:paraId="25121A8A" w14:textId="77777777" w:rsidR="00892142" w:rsidRPr="00770BD5" w:rsidRDefault="00892142" w:rsidP="00887556">
            <w:pPr>
              <w:autoSpaceDE w:val="0"/>
              <w:autoSpaceDN w:val="0"/>
              <w:adjustRightInd w:val="0"/>
              <w:spacing w:before="40" w:after="40" w:line="220" w:lineRule="exact"/>
              <w:ind w:right="38" w:firstLine="284"/>
              <w:rPr>
                <w:b/>
                <w:sz w:val="18"/>
                <w:szCs w:val="18"/>
              </w:rPr>
            </w:pPr>
            <w:r w:rsidRPr="00770BD5">
              <w:rPr>
                <w:b/>
                <w:sz w:val="18"/>
                <w:szCs w:val="18"/>
              </w:rPr>
              <w:t>Total (A+B+C)</w:t>
            </w:r>
          </w:p>
        </w:tc>
        <w:tc>
          <w:tcPr>
            <w:tcW w:w="1523" w:type="dxa"/>
            <w:tcBorders>
              <w:top w:val="single" w:sz="4" w:space="0" w:color="auto"/>
              <w:left w:val="nil"/>
              <w:bottom w:val="single" w:sz="4" w:space="0" w:color="auto"/>
              <w:right w:val="nil"/>
            </w:tcBorders>
            <w:shd w:val="clear" w:color="auto" w:fill="FFFFFF" w:themeFill="background1"/>
          </w:tcPr>
          <w:p w14:paraId="4290ED75" w14:textId="77777777" w:rsidR="00892142" w:rsidRPr="00A51667" w:rsidRDefault="00892142" w:rsidP="00887556">
            <w:pPr>
              <w:spacing w:before="40" w:after="40" w:line="220" w:lineRule="exact"/>
              <w:jc w:val="right"/>
              <w:rPr>
                <w:b/>
                <w:sz w:val="18"/>
                <w:szCs w:val="18"/>
              </w:rPr>
            </w:pPr>
            <w:r w:rsidRPr="00770BD5">
              <w:rPr>
                <w:b/>
                <w:sz w:val="18"/>
                <w:szCs w:val="18"/>
              </w:rPr>
              <w:t xml:space="preserve"> 29 919 688 </w:t>
            </w:r>
          </w:p>
        </w:tc>
        <w:tc>
          <w:tcPr>
            <w:tcW w:w="1500" w:type="dxa"/>
            <w:tcBorders>
              <w:top w:val="single" w:sz="4" w:space="0" w:color="auto"/>
              <w:left w:val="nil"/>
              <w:bottom w:val="single" w:sz="4" w:space="0" w:color="auto"/>
              <w:right w:val="nil"/>
            </w:tcBorders>
            <w:shd w:val="clear" w:color="auto" w:fill="FFFFFF" w:themeFill="background1"/>
          </w:tcPr>
          <w:p w14:paraId="4CF28CBA" w14:textId="77777777" w:rsidR="00892142" w:rsidRPr="00A51667" w:rsidRDefault="00892142" w:rsidP="00887556">
            <w:pPr>
              <w:spacing w:before="40" w:after="40" w:line="220" w:lineRule="exact"/>
              <w:jc w:val="right"/>
              <w:rPr>
                <w:b/>
                <w:sz w:val="18"/>
                <w:szCs w:val="18"/>
              </w:rPr>
            </w:pPr>
            <w:r w:rsidRPr="00770BD5">
              <w:rPr>
                <w:b/>
                <w:sz w:val="18"/>
                <w:szCs w:val="18"/>
              </w:rPr>
              <w:t xml:space="preserve"> 29 928 097 </w:t>
            </w:r>
          </w:p>
        </w:tc>
        <w:tc>
          <w:tcPr>
            <w:tcW w:w="1336" w:type="dxa"/>
            <w:tcBorders>
              <w:top w:val="single" w:sz="4" w:space="0" w:color="auto"/>
              <w:left w:val="nil"/>
              <w:bottom w:val="single" w:sz="4" w:space="0" w:color="auto"/>
              <w:right w:val="nil"/>
            </w:tcBorders>
            <w:shd w:val="clear" w:color="auto" w:fill="FFFFFF" w:themeFill="background1"/>
          </w:tcPr>
          <w:p w14:paraId="100D92A4" w14:textId="77777777" w:rsidR="00892142" w:rsidRPr="00B01471" w:rsidRDefault="00892142" w:rsidP="00887556">
            <w:pPr>
              <w:spacing w:before="40" w:after="40" w:line="220" w:lineRule="exact"/>
              <w:jc w:val="right"/>
              <w:rPr>
                <w:rFonts w:eastAsia="Times New Roman"/>
                <w:b/>
                <w:bCs/>
                <w:color w:val="000000"/>
                <w:sz w:val="18"/>
                <w:szCs w:val="18"/>
              </w:rPr>
            </w:pPr>
            <w:r w:rsidRPr="00770BD5">
              <w:rPr>
                <w:b/>
                <w:sz w:val="18"/>
                <w:szCs w:val="18"/>
              </w:rPr>
              <w:t xml:space="preserve"> 59 847 785 </w:t>
            </w:r>
          </w:p>
        </w:tc>
      </w:tr>
      <w:tr w:rsidR="00892142" w:rsidRPr="00B01471" w14:paraId="481929DC" w14:textId="77777777" w:rsidTr="0012191A">
        <w:tc>
          <w:tcPr>
            <w:tcW w:w="4146" w:type="dxa"/>
            <w:tcBorders>
              <w:top w:val="single" w:sz="4" w:space="0" w:color="auto"/>
              <w:left w:val="nil"/>
              <w:right w:val="nil"/>
            </w:tcBorders>
            <w:shd w:val="clear" w:color="auto" w:fill="FFFFFF" w:themeFill="background1"/>
            <w:noWrap/>
          </w:tcPr>
          <w:p w14:paraId="0DF7135D" w14:textId="77777777" w:rsidR="00892142" w:rsidRPr="00770BD5" w:rsidRDefault="00892142" w:rsidP="00887556">
            <w:pPr>
              <w:spacing w:before="40" w:after="40" w:line="220" w:lineRule="exact"/>
              <w:rPr>
                <w:b/>
                <w:sz w:val="18"/>
                <w:szCs w:val="18"/>
              </w:rPr>
            </w:pPr>
            <w:r w:rsidRPr="00770BD5">
              <w:rPr>
                <w:sz w:val="18"/>
                <w:szCs w:val="18"/>
              </w:rPr>
              <w:t>Income</w:t>
            </w:r>
          </w:p>
        </w:tc>
        <w:tc>
          <w:tcPr>
            <w:tcW w:w="1523" w:type="dxa"/>
            <w:tcBorders>
              <w:top w:val="single" w:sz="4" w:space="0" w:color="auto"/>
              <w:left w:val="nil"/>
              <w:right w:val="nil"/>
            </w:tcBorders>
            <w:shd w:val="clear" w:color="auto" w:fill="FFFFFF" w:themeFill="background1"/>
          </w:tcPr>
          <w:p w14:paraId="5AAE9726" w14:textId="77777777" w:rsidR="00892142" w:rsidRPr="00B01471" w:rsidRDefault="00892142" w:rsidP="00887556">
            <w:pPr>
              <w:spacing w:before="40" w:after="40" w:line="220" w:lineRule="exact"/>
              <w:jc w:val="right"/>
              <w:rPr>
                <w:rFonts w:eastAsia="Times New Roman"/>
                <w:b/>
                <w:color w:val="000000"/>
                <w:sz w:val="18"/>
                <w:szCs w:val="18"/>
              </w:rPr>
            </w:pPr>
          </w:p>
        </w:tc>
        <w:tc>
          <w:tcPr>
            <w:tcW w:w="1500" w:type="dxa"/>
            <w:tcBorders>
              <w:top w:val="single" w:sz="4" w:space="0" w:color="auto"/>
              <w:left w:val="nil"/>
              <w:right w:val="nil"/>
            </w:tcBorders>
            <w:shd w:val="clear" w:color="auto" w:fill="FFFFFF" w:themeFill="background1"/>
          </w:tcPr>
          <w:p w14:paraId="76E967C4" w14:textId="77777777" w:rsidR="00892142" w:rsidRPr="00B01471" w:rsidRDefault="00892142" w:rsidP="00887556">
            <w:pPr>
              <w:spacing w:before="40" w:after="40" w:line="220" w:lineRule="exact"/>
              <w:jc w:val="right"/>
              <w:rPr>
                <w:rFonts w:eastAsia="Times New Roman"/>
                <w:b/>
                <w:color w:val="000000"/>
                <w:sz w:val="18"/>
                <w:szCs w:val="18"/>
              </w:rPr>
            </w:pPr>
          </w:p>
        </w:tc>
        <w:tc>
          <w:tcPr>
            <w:tcW w:w="1336" w:type="dxa"/>
            <w:tcBorders>
              <w:top w:val="single" w:sz="4" w:space="0" w:color="auto"/>
              <w:left w:val="nil"/>
              <w:right w:val="nil"/>
            </w:tcBorders>
            <w:shd w:val="clear" w:color="auto" w:fill="FFFFFF" w:themeFill="background1"/>
          </w:tcPr>
          <w:p w14:paraId="733EB7AC" w14:textId="70AFA7FB" w:rsidR="00892142" w:rsidRPr="00B01471" w:rsidRDefault="00892142" w:rsidP="00887556">
            <w:pPr>
              <w:spacing w:before="40" w:after="40" w:line="220" w:lineRule="exact"/>
              <w:jc w:val="right"/>
              <w:rPr>
                <w:rFonts w:eastAsia="Times New Roman"/>
                <w:b/>
                <w:color w:val="000000"/>
                <w:sz w:val="18"/>
                <w:szCs w:val="18"/>
              </w:rPr>
            </w:pPr>
            <w:r w:rsidRPr="00770BD5">
              <w:rPr>
                <w:sz w:val="18"/>
                <w:szCs w:val="18"/>
              </w:rPr>
              <w:t xml:space="preserve"> </w:t>
            </w:r>
            <w:r w:rsidR="00EC34AD" w:rsidRPr="00770BD5">
              <w:rPr>
                <w:sz w:val="18"/>
                <w:szCs w:val="18"/>
              </w:rPr>
              <w:t>–</w:t>
            </w:r>
          </w:p>
        </w:tc>
      </w:tr>
      <w:tr w:rsidR="00892142" w:rsidRPr="00B01471" w14:paraId="1634C011" w14:textId="77777777" w:rsidTr="0012191A">
        <w:tc>
          <w:tcPr>
            <w:tcW w:w="4146" w:type="dxa"/>
            <w:tcBorders>
              <w:left w:val="nil"/>
              <w:right w:val="nil"/>
            </w:tcBorders>
            <w:shd w:val="clear" w:color="auto" w:fill="FFFFFF" w:themeFill="background1"/>
            <w:noWrap/>
          </w:tcPr>
          <w:p w14:paraId="0867B7D0" w14:textId="77777777" w:rsidR="00892142" w:rsidRPr="00770BD5" w:rsidRDefault="00892142" w:rsidP="00887556">
            <w:pPr>
              <w:spacing w:before="40" w:after="40" w:line="220" w:lineRule="exact"/>
              <w:ind w:left="567"/>
              <w:rPr>
                <w:b/>
                <w:sz w:val="18"/>
                <w:szCs w:val="18"/>
              </w:rPr>
            </w:pPr>
            <w:r w:rsidRPr="00770BD5">
              <w:rPr>
                <w:sz w:val="18"/>
                <w:szCs w:val="18"/>
              </w:rPr>
              <w:t>Contribution from the Host Government</w:t>
            </w:r>
          </w:p>
        </w:tc>
        <w:tc>
          <w:tcPr>
            <w:tcW w:w="1523" w:type="dxa"/>
            <w:tcBorders>
              <w:left w:val="nil"/>
              <w:right w:val="nil"/>
            </w:tcBorders>
            <w:shd w:val="clear" w:color="auto" w:fill="FFFFFF" w:themeFill="background1"/>
          </w:tcPr>
          <w:p w14:paraId="0E0366B4" w14:textId="77777777" w:rsidR="00892142" w:rsidRPr="00B01471" w:rsidRDefault="00892142" w:rsidP="00887556">
            <w:pPr>
              <w:spacing w:before="40" w:after="40" w:line="220" w:lineRule="exact"/>
              <w:jc w:val="right"/>
              <w:rPr>
                <w:sz w:val="18"/>
                <w:szCs w:val="18"/>
              </w:rPr>
            </w:pPr>
            <w:r w:rsidRPr="00770BD5">
              <w:rPr>
                <w:sz w:val="18"/>
                <w:szCs w:val="18"/>
              </w:rPr>
              <w:t xml:space="preserve"> 766 938 </w:t>
            </w:r>
          </w:p>
        </w:tc>
        <w:tc>
          <w:tcPr>
            <w:tcW w:w="1500" w:type="dxa"/>
            <w:tcBorders>
              <w:left w:val="nil"/>
              <w:right w:val="nil"/>
            </w:tcBorders>
            <w:shd w:val="clear" w:color="auto" w:fill="FFFFFF" w:themeFill="background1"/>
          </w:tcPr>
          <w:p w14:paraId="3387CD73" w14:textId="77777777" w:rsidR="00892142" w:rsidRPr="00B01471" w:rsidRDefault="00892142" w:rsidP="00887556">
            <w:pPr>
              <w:spacing w:before="40" w:after="40" w:line="220" w:lineRule="exact"/>
              <w:jc w:val="right"/>
              <w:rPr>
                <w:sz w:val="18"/>
                <w:szCs w:val="18"/>
              </w:rPr>
            </w:pPr>
            <w:r w:rsidRPr="00770BD5">
              <w:rPr>
                <w:sz w:val="18"/>
                <w:szCs w:val="18"/>
              </w:rPr>
              <w:t xml:space="preserve"> 766 938 </w:t>
            </w:r>
          </w:p>
        </w:tc>
        <w:tc>
          <w:tcPr>
            <w:tcW w:w="1336" w:type="dxa"/>
            <w:tcBorders>
              <w:left w:val="nil"/>
              <w:right w:val="nil"/>
            </w:tcBorders>
            <w:shd w:val="clear" w:color="auto" w:fill="FFFFFF" w:themeFill="background1"/>
          </w:tcPr>
          <w:p w14:paraId="7BE1883E" w14:textId="77777777" w:rsidR="00892142" w:rsidRPr="00B01471" w:rsidRDefault="00892142" w:rsidP="00887556">
            <w:pPr>
              <w:spacing w:before="40" w:after="40" w:line="220" w:lineRule="exact"/>
              <w:jc w:val="right"/>
              <w:rPr>
                <w:rFonts w:eastAsia="Times New Roman"/>
                <w:b/>
                <w:color w:val="000000"/>
                <w:sz w:val="18"/>
                <w:szCs w:val="18"/>
              </w:rPr>
            </w:pPr>
            <w:r w:rsidRPr="00770BD5">
              <w:rPr>
                <w:sz w:val="18"/>
                <w:szCs w:val="18"/>
              </w:rPr>
              <w:t xml:space="preserve"> 1 533 876 </w:t>
            </w:r>
          </w:p>
        </w:tc>
      </w:tr>
      <w:tr w:rsidR="00892142" w:rsidRPr="00B01471" w14:paraId="33452C21" w14:textId="77777777" w:rsidTr="0012191A">
        <w:tc>
          <w:tcPr>
            <w:tcW w:w="4146" w:type="dxa"/>
            <w:tcBorders>
              <w:left w:val="nil"/>
              <w:bottom w:val="single" w:sz="4" w:space="0" w:color="auto"/>
              <w:right w:val="nil"/>
            </w:tcBorders>
            <w:shd w:val="clear" w:color="auto" w:fill="FFFFFF" w:themeFill="background1"/>
            <w:noWrap/>
          </w:tcPr>
          <w:p w14:paraId="00B9044D" w14:textId="77777777" w:rsidR="00892142" w:rsidRPr="00770BD5" w:rsidRDefault="00892142" w:rsidP="00887556">
            <w:pPr>
              <w:spacing w:before="40" w:after="40" w:line="220" w:lineRule="exact"/>
              <w:ind w:left="567"/>
              <w:rPr>
                <w:b/>
                <w:sz w:val="18"/>
                <w:szCs w:val="18"/>
              </w:rPr>
            </w:pPr>
            <w:r w:rsidRPr="00770BD5">
              <w:rPr>
                <w:sz w:val="18"/>
                <w:szCs w:val="18"/>
              </w:rPr>
              <w:t>Contributions from all Parties</w:t>
            </w:r>
          </w:p>
        </w:tc>
        <w:tc>
          <w:tcPr>
            <w:tcW w:w="1523" w:type="dxa"/>
            <w:tcBorders>
              <w:left w:val="nil"/>
              <w:bottom w:val="single" w:sz="4" w:space="0" w:color="auto"/>
              <w:right w:val="nil"/>
            </w:tcBorders>
            <w:shd w:val="clear" w:color="auto" w:fill="FFFFFF" w:themeFill="background1"/>
          </w:tcPr>
          <w:p w14:paraId="54E6B352" w14:textId="77777777" w:rsidR="00892142" w:rsidRPr="00B01471" w:rsidRDefault="00892142" w:rsidP="00887556">
            <w:pPr>
              <w:spacing w:before="40" w:after="40" w:line="220" w:lineRule="exact"/>
              <w:jc w:val="right"/>
              <w:rPr>
                <w:sz w:val="18"/>
                <w:szCs w:val="18"/>
              </w:rPr>
            </w:pPr>
            <w:r w:rsidRPr="00770BD5">
              <w:rPr>
                <w:sz w:val="18"/>
                <w:szCs w:val="18"/>
              </w:rPr>
              <w:t xml:space="preserve"> 29 152 750 </w:t>
            </w:r>
          </w:p>
        </w:tc>
        <w:tc>
          <w:tcPr>
            <w:tcW w:w="1500" w:type="dxa"/>
            <w:tcBorders>
              <w:left w:val="nil"/>
              <w:bottom w:val="single" w:sz="4" w:space="0" w:color="auto"/>
              <w:right w:val="nil"/>
            </w:tcBorders>
            <w:shd w:val="clear" w:color="auto" w:fill="FFFFFF" w:themeFill="background1"/>
          </w:tcPr>
          <w:p w14:paraId="317A3738" w14:textId="77777777" w:rsidR="00892142" w:rsidRPr="00B01471" w:rsidRDefault="00892142" w:rsidP="00887556">
            <w:pPr>
              <w:spacing w:before="40" w:after="40" w:line="220" w:lineRule="exact"/>
              <w:jc w:val="right"/>
              <w:rPr>
                <w:sz w:val="18"/>
                <w:szCs w:val="18"/>
              </w:rPr>
            </w:pPr>
            <w:r w:rsidRPr="00770BD5">
              <w:rPr>
                <w:sz w:val="18"/>
                <w:szCs w:val="18"/>
              </w:rPr>
              <w:t xml:space="preserve"> 29 161 159 </w:t>
            </w:r>
          </w:p>
        </w:tc>
        <w:tc>
          <w:tcPr>
            <w:tcW w:w="1336" w:type="dxa"/>
            <w:tcBorders>
              <w:left w:val="nil"/>
              <w:bottom w:val="single" w:sz="4" w:space="0" w:color="auto"/>
              <w:right w:val="nil"/>
            </w:tcBorders>
            <w:shd w:val="clear" w:color="auto" w:fill="FFFFFF" w:themeFill="background1"/>
          </w:tcPr>
          <w:p w14:paraId="38A529E6" w14:textId="77777777" w:rsidR="00892142" w:rsidRPr="00B01471" w:rsidRDefault="00892142" w:rsidP="00887556">
            <w:pPr>
              <w:spacing w:before="40" w:after="40" w:line="220" w:lineRule="exact"/>
              <w:jc w:val="right"/>
              <w:rPr>
                <w:rFonts w:eastAsia="Times New Roman"/>
                <w:b/>
                <w:color w:val="000000"/>
                <w:sz w:val="18"/>
                <w:szCs w:val="18"/>
              </w:rPr>
            </w:pPr>
            <w:r w:rsidRPr="00770BD5">
              <w:rPr>
                <w:sz w:val="18"/>
                <w:szCs w:val="18"/>
              </w:rPr>
              <w:t xml:space="preserve"> 58 313 909 </w:t>
            </w:r>
          </w:p>
        </w:tc>
      </w:tr>
      <w:tr w:rsidR="00892142" w:rsidRPr="00B01471" w14:paraId="074DAE54" w14:textId="77777777" w:rsidTr="0012191A">
        <w:tc>
          <w:tcPr>
            <w:tcW w:w="4146" w:type="dxa"/>
            <w:tcBorders>
              <w:top w:val="single" w:sz="4" w:space="0" w:color="auto"/>
              <w:left w:val="nil"/>
              <w:bottom w:val="single" w:sz="12" w:space="0" w:color="auto"/>
              <w:right w:val="nil"/>
            </w:tcBorders>
            <w:shd w:val="clear" w:color="auto" w:fill="FFFFFF" w:themeFill="background1"/>
            <w:noWrap/>
          </w:tcPr>
          <w:p w14:paraId="7FBAC414" w14:textId="77777777" w:rsidR="00892142" w:rsidRPr="00770BD5" w:rsidRDefault="00892142" w:rsidP="00887556">
            <w:pPr>
              <w:autoSpaceDE w:val="0"/>
              <w:autoSpaceDN w:val="0"/>
              <w:adjustRightInd w:val="0"/>
              <w:spacing w:beforeLines="40" w:before="96" w:afterLines="40" w:after="96" w:line="220" w:lineRule="exact"/>
              <w:ind w:right="38" w:firstLine="284"/>
              <w:rPr>
                <w:b/>
                <w:sz w:val="18"/>
                <w:szCs w:val="18"/>
              </w:rPr>
            </w:pPr>
            <w:r w:rsidRPr="00770BD5">
              <w:rPr>
                <w:b/>
                <w:sz w:val="18"/>
                <w:szCs w:val="18"/>
              </w:rPr>
              <w:t>Total income</w:t>
            </w:r>
          </w:p>
        </w:tc>
        <w:tc>
          <w:tcPr>
            <w:tcW w:w="1523" w:type="dxa"/>
            <w:tcBorders>
              <w:top w:val="single" w:sz="4" w:space="0" w:color="auto"/>
              <w:left w:val="nil"/>
              <w:bottom w:val="single" w:sz="12" w:space="0" w:color="auto"/>
              <w:right w:val="nil"/>
            </w:tcBorders>
            <w:shd w:val="clear" w:color="auto" w:fill="FFFFFF" w:themeFill="background1"/>
          </w:tcPr>
          <w:p w14:paraId="3B012828" w14:textId="77777777" w:rsidR="00892142" w:rsidRPr="00A51667" w:rsidRDefault="00892142" w:rsidP="00887556">
            <w:pPr>
              <w:spacing w:beforeLines="40" w:before="96" w:afterLines="40" w:after="96" w:line="220" w:lineRule="exact"/>
              <w:jc w:val="right"/>
              <w:rPr>
                <w:b/>
                <w:sz w:val="18"/>
                <w:szCs w:val="18"/>
              </w:rPr>
            </w:pPr>
            <w:r w:rsidRPr="00770BD5">
              <w:rPr>
                <w:b/>
                <w:sz w:val="18"/>
                <w:szCs w:val="18"/>
              </w:rPr>
              <w:t xml:space="preserve"> 29 919 688 </w:t>
            </w:r>
          </w:p>
        </w:tc>
        <w:tc>
          <w:tcPr>
            <w:tcW w:w="1500" w:type="dxa"/>
            <w:tcBorders>
              <w:top w:val="single" w:sz="4" w:space="0" w:color="auto"/>
              <w:left w:val="nil"/>
              <w:bottom w:val="single" w:sz="12" w:space="0" w:color="auto"/>
              <w:right w:val="nil"/>
            </w:tcBorders>
            <w:shd w:val="clear" w:color="auto" w:fill="FFFFFF" w:themeFill="background1"/>
          </w:tcPr>
          <w:p w14:paraId="366E47CB" w14:textId="77777777" w:rsidR="00892142" w:rsidRPr="00A51667" w:rsidRDefault="00892142" w:rsidP="00887556">
            <w:pPr>
              <w:spacing w:beforeLines="40" w:before="96" w:afterLines="40" w:after="96" w:line="220" w:lineRule="exact"/>
              <w:jc w:val="right"/>
              <w:rPr>
                <w:b/>
                <w:sz w:val="18"/>
                <w:szCs w:val="18"/>
              </w:rPr>
            </w:pPr>
            <w:r w:rsidRPr="00770BD5">
              <w:rPr>
                <w:b/>
                <w:sz w:val="18"/>
                <w:szCs w:val="18"/>
              </w:rPr>
              <w:t xml:space="preserve"> 29 928 097 </w:t>
            </w:r>
          </w:p>
        </w:tc>
        <w:tc>
          <w:tcPr>
            <w:tcW w:w="1336" w:type="dxa"/>
            <w:tcBorders>
              <w:top w:val="single" w:sz="4" w:space="0" w:color="auto"/>
              <w:left w:val="nil"/>
              <w:bottom w:val="single" w:sz="12" w:space="0" w:color="auto"/>
              <w:right w:val="nil"/>
            </w:tcBorders>
            <w:shd w:val="clear" w:color="auto" w:fill="FFFFFF" w:themeFill="background1"/>
          </w:tcPr>
          <w:p w14:paraId="3FC5189A" w14:textId="77777777" w:rsidR="00892142" w:rsidRPr="00B01471" w:rsidRDefault="00892142" w:rsidP="00887556">
            <w:pPr>
              <w:spacing w:beforeLines="40" w:before="96" w:afterLines="40" w:after="96" w:line="220" w:lineRule="exact"/>
              <w:jc w:val="right"/>
              <w:rPr>
                <w:rFonts w:eastAsia="Times New Roman"/>
                <w:b/>
                <w:color w:val="000000"/>
                <w:sz w:val="18"/>
                <w:szCs w:val="18"/>
              </w:rPr>
            </w:pPr>
            <w:r w:rsidRPr="00770BD5">
              <w:rPr>
                <w:b/>
                <w:sz w:val="18"/>
                <w:szCs w:val="18"/>
              </w:rPr>
              <w:t xml:space="preserve"> 59 847 785 </w:t>
            </w:r>
          </w:p>
        </w:tc>
      </w:tr>
    </w:tbl>
    <w:p w14:paraId="4A2592F3" w14:textId="278EDD82" w:rsidR="00892142" w:rsidRPr="00DB269E" w:rsidRDefault="00892142" w:rsidP="001B21E0">
      <w:pPr>
        <w:pStyle w:val="FootnoteTable"/>
        <w:spacing w:before="60" w:line="200" w:lineRule="exact"/>
        <w:ind w:left="1134" w:firstLine="142"/>
        <w:jc w:val="left"/>
        <w:rPr>
          <w:i/>
          <w:lang w:eastAsia="de-DE"/>
        </w:rPr>
      </w:pPr>
      <w:r>
        <w:rPr>
          <w:i/>
          <w:lang w:eastAsia="de-DE"/>
        </w:rPr>
        <w:t>Abbreviations</w:t>
      </w:r>
      <w:r>
        <w:rPr>
          <w:lang w:eastAsia="de-DE"/>
        </w:rPr>
        <w:t>: AS = Administrative Services</w:t>
      </w:r>
      <w:r w:rsidR="00EB2B07">
        <w:rPr>
          <w:lang w:eastAsia="de-DE"/>
        </w:rPr>
        <w:t>,</w:t>
      </w:r>
      <w:r>
        <w:rPr>
          <w:lang w:eastAsia="de-DE"/>
        </w:rPr>
        <w:t xml:space="preserve"> HR = Human Resources</w:t>
      </w:r>
      <w:r w:rsidR="001C1659">
        <w:rPr>
          <w:lang w:eastAsia="de-DE"/>
        </w:rPr>
        <w:t>,</w:t>
      </w:r>
      <w:r>
        <w:rPr>
          <w:lang w:eastAsia="de-DE"/>
        </w:rPr>
        <w:t xml:space="preserve"> ICT = Information and Communication Technology Services</w:t>
      </w:r>
      <w:r w:rsidR="001C1659">
        <w:rPr>
          <w:lang w:eastAsia="de-DE"/>
        </w:rPr>
        <w:t>,</w:t>
      </w:r>
      <w:r>
        <w:rPr>
          <w:lang w:eastAsia="de-DE"/>
        </w:rPr>
        <w:t xml:space="preserve"> IPCC = Intergovernmental Panel on Climate Change.</w:t>
      </w:r>
    </w:p>
    <w:p w14:paraId="1E83443A" w14:textId="0B104092" w:rsidR="00892142" w:rsidRPr="00B01471" w:rsidRDefault="002424D3" w:rsidP="002424D3">
      <w:pPr>
        <w:pStyle w:val="FootnoteTable"/>
        <w:spacing w:before="60" w:line="200" w:lineRule="exact"/>
        <w:ind w:left="1134" w:firstLine="142"/>
        <w:contextualSpacing/>
        <w:jc w:val="left"/>
        <w:rPr>
          <w:lang w:eastAsia="de-DE"/>
        </w:rPr>
      </w:pPr>
      <w:r w:rsidRPr="00B01471">
        <w:rPr>
          <w:i/>
          <w:vertAlign w:val="superscript"/>
          <w:lang w:eastAsia="de-DE"/>
        </w:rPr>
        <w:t xml:space="preserve">a   </w:t>
      </w:r>
      <w:r w:rsidR="00892142" w:rsidRPr="00B01471">
        <w:rPr>
          <w:rFonts w:eastAsia="MS Mincho"/>
          <w:szCs w:val="18"/>
          <w:lang w:eastAsia="de-DE"/>
        </w:rPr>
        <w:t xml:space="preserve">Secretariat-wide operating costs are </w:t>
      </w:r>
      <w:r w:rsidR="00892142" w:rsidRPr="00B01471">
        <w:t>pooled costs of staff and facilities managed by AS/HR on behalf of all programmes</w:t>
      </w:r>
      <w:r w:rsidR="00892142" w:rsidRPr="00B01471">
        <w:rPr>
          <w:rFonts w:eastAsia="MS Mincho"/>
          <w:szCs w:val="18"/>
          <w:lang w:eastAsia="de-DE"/>
        </w:rPr>
        <w:t>.</w:t>
      </w:r>
    </w:p>
    <w:p w14:paraId="2CDD37A5" w14:textId="4A0DB61D" w:rsidR="00892142" w:rsidRPr="00B01471" w:rsidRDefault="002424D3" w:rsidP="002424D3">
      <w:pPr>
        <w:pStyle w:val="FootnoteTable"/>
        <w:spacing w:before="60" w:line="200" w:lineRule="exact"/>
        <w:ind w:left="1134" w:firstLine="142"/>
        <w:contextualSpacing/>
        <w:jc w:val="left"/>
        <w:rPr>
          <w:lang w:eastAsia="de-DE"/>
        </w:rPr>
      </w:pPr>
      <w:r w:rsidRPr="00B01471">
        <w:rPr>
          <w:i/>
          <w:vertAlign w:val="superscript"/>
          <w:lang w:eastAsia="de-DE"/>
        </w:rPr>
        <w:t xml:space="preserve">b   </w:t>
      </w:r>
      <w:r w:rsidR="00892142" w:rsidRPr="00B01471">
        <w:rPr>
          <w:lang w:eastAsia="de-DE"/>
        </w:rPr>
        <w:t xml:space="preserve">AS and HR are funded from programme support costs (overhead) and ICT is funded from </w:t>
      </w:r>
      <w:r w:rsidR="00892142">
        <w:rPr>
          <w:lang w:eastAsia="de-DE"/>
        </w:rPr>
        <w:t xml:space="preserve">the </w:t>
      </w:r>
      <w:r w:rsidR="00892142" w:rsidRPr="00B01471">
        <w:rPr>
          <w:lang w:eastAsia="de-DE"/>
        </w:rPr>
        <w:t>core</w:t>
      </w:r>
      <w:r w:rsidR="00892142">
        <w:rPr>
          <w:lang w:eastAsia="de-DE"/>
        </w:rPr>
        <w:t xml:space="preserve"> budget</w:t>
      </w:r>
      <w:r w:rsidR="00892142" w:rsidRPr="00B01471">
        <w:rPr>
          <w:lang w:eastAsia="de-DE"/>
        </w:rPr>
        <w:t>.</w:t>
      </w:r>
      <w:r w:rsidR="00892142">
        <w:rPr>
          <w:lang w:eastAsia="de-DE"/>
        </w:rPr>
        <w:t xml:space="preserve"> The appropriation line includes secretariat-wide operating costs managed by AS.</w:t>
      </w:r>
    </w:p>
    <w:p w14:paraId="3DAC6EDD" w14:textId="02CB3DC7" w:rsidR="00892142" w:rsidRPr="005A2459" w:rsidRDefault="002424D3" w:rsidP="002424D3">
      <w:pPr>
        <w:pStyle w:val="FootnoteTable"/>
        <w:spacing w:before="60" w:line="200" w:lineRule="exact"/>
        <w:ind w:left="1134" w:firstLine="142"/>
        <w:contextualSpacing/>
        <w:jc w:val="left"/>
        <w:rPr>
          <w:lang w:eastAsia="de-DE"/>
        </w:rPr>
      </w:pPr>
      <w:r w:rsidRPr="005A2459">
        <w:rPr>
          <w:i/>
          <w:vertAlign w:val="superscript"/>
          <w:lang w:eastAsia="de-DE"/>
        </w:rPr>
        <w:t xml:space="preserve">c   </w:t>
      </w:r>
      <w:r w:rsidR="00892142">
        <w:rPr>
          <w:lang w:eastAsia="de-DE"/>
        </w:rPr>
        <w:t>Provision for an annual grant to the IPCC.</w:t>
      </w:r>
    </w:p>
    <w:p w14:paraId="1B25D76C" w14:textId="6673C7F7" w:rsidR="00892142" w:rsidRPr="00B01471" w:rsidRDefault="002424D3" w:rsidP="002424D3">
      <w:pPr>
        <w:pStyle w:val="FootnoteTable"/>
        <w:spacing w:before="60" w:line="200" w:lineRule="exact"/>
        <w:ind w:left="1134" w:firstLine="142"/>
        <w:contextualSpacing/>
        <w:jc w:val="left"/>
        <w:rPr>
          <w:lang w:eastAsia="de-DE"/>
        </w:rPr>
      </w:pPr>
      <w:r w:rsidRPr="00B01471">
        <w:rPr>
          <w:i/>
          <w:vertAlign w:val="superscript"/>
          <w:lang w:eastAsia="de-DE"/>
        </w:rPr>
        <w:t xml:space="preserve">d   </w:t>
      </w:r>
      <w:r w:rsidR="00892142" w:rsidRPr="00B01471">
        <w:rPr>
          <w:rFonts w:eastAsia="MS Mincho"/>
          <w:szCs w:val="18"/>
          <w:lang w:eastAsia="de-DE"/>
        </w:rPr>
        <w:t>Standard</w:t>
      </w:r>
      <w:r w:rsidR="00892142" w:rsidRPr="00B01471">
        <w:rPr>
          <w:rFonts w:eastAsia="MS Mincho"/>
          <w:szCs w:val="16"/>
          <w:lang w:eastAsia="de-DE"/>
        </w:rPr>
        <w:t xml:space="preserve"> 13 per cent applied for administrative support.</w:t>
      </w:r>
    </w:p>
    <w:p w14:paraId="15C61A7C" w14:textId="5C2083F9" w:rsidR="00892142" w:rsidRPr="00D5712D" w:rsidRDefault="002424D3" w:rsidP="002424D3">
      <w:pPr>
        <w:pStyle w:val="FootnoteTable"/>
        <w:spacing w:before="60" w:line="200" w:lineRule="exact"/>
        <w:ind w:left="1134" w:firstLine="142"/>
        <w:contextualSpacing/>
        <w:jc w:val="left"/>
        <w:rPr>
          <w:lang w:eastAsia="de-DE"/>
        </w:rPr>
      </w:pPr>
      <w:r w:rsidRPr="00D5712D">
        <w:rPr>
          <w:i/>
          <w:vertAlign w:val="superscript"/>
          <w:lang w:eastAsia="de-DE"/>
        </w:rPr>
        <w:t xml:space="preserve">e   </w:t>
      </w:r>
      <w:r w:rsidR="00892142" w:rsidRPr="00D5712D">
        <w:rPr>
          <w:rFonts w:eastAsia="MS Mincho"/>
          <w:lang w:eastAsia="de-DE"/>
        </w:rPr>
        <w:t xml:space="preserve">In accordance with the financial procedures (decision 15/CP.1), the core budget is required to maintain a working capital reserve of 8.3 per cent (one month of operating requirements). The working capital reserve in the budget amounts to </w:t>
      </w:r>
      <w:bookmarkStart w:id="28" w:name="_Hlk6388109"/>
      <w:r w:rsidR="00892142" w:rsidRPr="00D5712D">
        <w:rPr>
          <w:rFonts w:eastAsia="MS Mincho"/>
          <w:lang w:eastAsia="de-DE"/>
        </w:rPr>
        <w:t xml:space="preserve">EUR </w:t>
      </w:r>
      <w:r w:rsidR="00892142" w:rsidRPr="00D5712D">
        <w:rPr>
          <w:lang w:eastAsia="de-DE"/>
        </w:rPr>
        <w:t>2</w:t>
      </w:r>
      <w:r w:rsidR="00892142">
        <w:rPr>
          <w:lang w:eastAsia="de-DE"/>
        </w:rPr>
        <w:t>,</w:t>
      </w:r>
      <w:r w:rsidR="00892142" w:rsidRPr="00D5712D">
        <w:rPr>
          <w:lang w:eastAsia="de-DE"/>
        </w:rPr>
        <w:t>474</w:t>
      </w:r>
      <w:r w:rsidR="00892142">
        <w:rPr>
          <w:lang w:eastAsia="de-DE"/>
        </w:rPr>
        <w:t>,</w:t>
      </w:r>
      <w:r w:rsidR="00892142" w:rsidRPr="00D5712D">
        <w:rPr>
          <w:lang w:eastAsia="de-DE"/>
        </w:rPr>
        <w:t xml:space="preserve">846 </w:t>
      </w:r>
      <w:bookmarkEnd w:id="28"/>
      <w:r w:rsidR="00892142" w:rsidRPr="00D5712D">
        <w:rPr>
          <w:rFonts w:eastAsia="MS Mincho"/>
          <w:lang w:eastAsia="de-DE"/>
        </w:rPr>
        <w:t>in 2020 and</w:t>
      </w:r>
      <w:r w:rsidR="00892142" w:rsidRPr="00D5712D" w:rsidDel="00511211">
        <w:rPr>
          <w:rFonts w:eastAsia="MS Mincho"/>
          <w:lang w:eastAsia="de-DE"/>
        </w:rPr>
        <w:t xml:space="preserve"> </w:t>
      </w:r>
      <w:r w:rsidR="00892142" w:rsidRPr="00D5712D">
        <w:rPr>
          <w:lang w:eastAsia="de-DE"/>
        </w:rPr>
        <w:t>2</w:t>
      </w:r>
      <w:r w:rsidR="00892142">
        <w:rPr>
          <w:lang w:eastAsia="de-DE"/>
        </w:rPr>
        <w:t>,</w:t>
      </w:r>
      <w:r w:rsidR="00892142" w:rsidRPr="00D5712D">
        <w:rPr>
          <w:lang w:eastAsia="de-DE"/>
        </w:rPr>
        <w:t>475</w:t>
      </w:r>
      <w:r w:rsidR="00892142">
        <w:rPr>
          <w:lang w:eastAsia="de-DE"/>
        </w:rPr>
        <w:t>,</w:t>
      </w:r>
      <w:r w:rsidR="00892142" w:rsidRPr="00D5712D">
        <w:rPr>
          <w:lang w:eastAsia="de-DE"/>
        </w:rPr>
        <w:t>892</w:t>
      </w:r>
      <w:r w:rsidR="00892142" w:rsidRPr="00D5712D">
        <w:rPr>
          <w:rFonts w:eastAsia="MS Mincho"/>
          <w:lang w:eastAsia="de-DE"/>
        </w:rPr>
        <w:t xml:space="preserve"> in 2021. </w:t>
      </w:r>
    </w:p>
    <w:p w14:paraId="6BF2CF20" w14:textId="77777777" w:rsidR="00892142" w:rsidRPr="00371ADD" w:rsidRDefault="00892142" w:rsidP="00121D00">
      <w:pPr>
        <w:keepNext/>
        <w:keepLines/>
        <w:ind w:left="1134"/>
      </w:pPr>
      <w:r w:rsidRPr="00371ADD">
        <w:t xml:space="preserve">Table 2 </w:t>
      </w:r>
    </w:p>
    <w:p w14:paraId="5D00F4C9" w14:textId="77777777" w:rsidR="00892142" w:rsidRPr="00371ADD" w:rsidRDefault="00892142" w:rsidP="00121D00">
      <w:pPr>
        <w:pStyle w:val="SingleTxtG"/>
        <w:keepNext/>
        <w:keepLines/>
        <w:rPr>
          <w:b/>
        </w:rPr>
      </w:pPr>
      <w:r w:rsidRPr="00371ADD">
        <w:rPr>
          <w:b/>
        </w:rPr>
        <w:t xml:space="preserve">Secretariat-wide staffing from the core budget </w:t>
      </w:r>
    </w:p>
    <w:tbl>
      <w:tblPr>
        <w:tblW w:w="8505" w:type="dxa"/>
        <w:tblInd w:w="1134" w:type="dxa"/>
        <w:tblBorders>
          <w:top w:val="single" w:sz="4" w:space="0" w:color="auto"/>
        </w:tblBorders>
        <w:tblCellMar>
          <w:left w:w="0" w:type="dxa"/>
          <w:right w:w="113" w:type="dxa"/>
        </w:tblCellMar>
        <w:tblLook w:val="0000" w:firstRow="0" w:lastRow="0" w:firstColumn="0" w:lastColumn="0" w:noHBand="0" w:noVBand="0"/>
      </w:tblPr>
      <w:tblGrid>
        <w:gridCol w:w="3686"/>
        <w:gridCol w:w="1475"/>
        <w:gridCol w:w="1672"/>
        <w:gridCol w:w="1672"/>
      </w:tblGrid>
      <w:tr w:rsidR="00892142" w:rsidRPr="00371ADD" w14:paraId="5B9D612D" w14:textId="77777777" w:rsidTr="00121D00">
        <w:trPr>
          <w:trHeight w:val="284"/>
        </w:trPr>
        <w:tc>
          <w:tcPr>
            <w:tcW w:w="3686" w:type="dxa"/>
            <w:tcBorders>
              <w:top w:val="single" w:sz="4" w:space="0" w:color="auto"/>
              <w:bottom w:val="single" w:sz="12" w:space="0" w:color="auto"/>
            </w:tcBorders>
          </w:tcPr>
          <w:p w14:paraId="08BBAE19" w14:textId="77777777" w:rsidR="00892142" w:rsidRPr="00371ADD" w:rsidRDefault="00892142" w:rsidP="00887556">
            <w:pPr>
              <w:keepNext/>
              <w:suppressAutoHyphens w:val="0"/>
              <w:spacing w:before="40" w:after="40" w:line="220" w:lineRule="exact"/>
              <w:ind w:right="38"/>
              <w:rPr>
                <w:rFonts w:eastAsia="Times New Roman"/>
                <w:bCs/>
                <w:sz w:val="18"/>
                <w:szCs w:val="24"/>
                <w:lang w:eastAsia="de-DE"/>
              </w:rPr>
            </w:pPr>
          </w:p>
        </w:tc>
        <w:tc>
          <w:tcPr>
            <w:tcW w:w="1475" w:type="dxa"/>
            <w:tcBorders>
              <w:top w:val="single" w:sz="4" w:space="0" w:color="auto"/>
              <w:bottom w:val="single" w:sz="12" w:space="0" w:color="auto"/>
            </w:tcBorders>
            <w:vAlign w:val="bottom"/>
          </w:tcPr>
          <w:p w14:paraId="231297DA" w14:textId="77777777" w:rsidR="00892142" w:rsidRPr="00371ADD" w:rsidRDefault="00892142" w:rsidP="00887556">
            <w:pPr>
              <w:keepNext/>
              <w:suppressAutoHyphens w:val="0"/>
              <w:spacing w:before="40" w:after="40" w:line="220" w:lineRule="exact"/>
              <w:ind w:left="113" w:right="38"/>
              <w:jc w:val="right"/>
              <w:rPr>
                <w:rFonts w:eastAsia="MS Mincho"/>
                <w:i/>
                <w:sz w:val="16"/>
                <w:szCs w:val="16"/>
                <w:lang w:eastAsia="de-DE"/>
              </w:rPr>
            </w:pPr>
            <w:r w:rsidRPr="00371ADD">
              <w:rPr>
                <w:rFonts w:eastAsia="MS Mincho"/>
                <w:i/>
                <w:sz w:val="16"/>
                <w:szCs w:val="16"/>
                <w:lang w:eastAsia="de-DE"/>
              </w:rPr>
              <w:t>201</w:t>
            </w:r>
            <w:r>
              <w:rPr>
                <w:rFonts w:eastAsia="MS Mincho"/>
                <w:i/>
                <w:sz w:val="16"/>
                <w:szCs w:val="16"/>
                <w:lang w:eastAsia="de-DE"/>
              </w:rPr>
              <w:t>9</w:t>
            </w:r>
          </w:p>
        </w:tc>
        <w:tc>
          <w:tcPr>
            <w:tcW w:w="1672" w:type="dxa"/>
            <w:tcBorders>
              <w:top w:val="single" w:sz="4" w:space="0" w:color="auto"/>
              <w:bottom w:val="single" w:sz="12" w:space="0" w:color="auto"/>
            </w:tcBorders>
            <w:vAlign w:val="center"/>
          </w:tcPr>
          <w:p w14:paraId="1B584477" w14:textId="77777777" w:rsidR="00892142" w:rsidRPr="00371ADD" w:rsidRDefault="00892142" w:rsidP="00887556">
            <w:pPr>
              <w:keepNext/>
              <w:suppressAutoHyphens w:val="0"/>
              <w:spacing w:before="40" w:after="40" w:line="220" w:lineRule="exact"/>
              <w:ind w:left="113" w:right="38"/>
              <w:jc w:val="right"/>
              <w:rPr>
                <w:rFonts w:eastAsia="MS Mincho"/>
                <w:i/>
                <w:sz w:val="16"/>
                <w:szCs w:val="16"/>
                <w:lang w:eastAsia="de-DE"/>
              </w:rPr>
            </w:pPr>
            <w:r w:rsidRPr="00371ADD">
              <w:rPr>
                <w:rFonts w:eastAsia="Arial Unicode MS"/>
                <w:i/>
                <w:sz w:val="16"/>
                <w:szCs w:val="16"/>
                <w:lang w:eastAsia="de-DE"/>
              </w:rPr>
              <w:t>20</w:t>
            </w:r>
            <w:r>
              <w:rPr>
                <w:rFonts w:eastAsia="Arial Unicode MS"/>
                <w:i/>
                <w:sz w:val="16"/>
                <w:szCs w:val="16"/>
                <w:lang w:eastAsia="de-DE"/>
              </w:rPr>
              <w:t>20</w:t>
            </w:r>
          </w:p>
        </w:tc>
        <w:tc>
          <w:tcPr>
            <w:tcW w:w="1672" w:type="dxa"/>
            <w:tcBorders>
              <w:top w:val="single" w:sz="4" w:space="0" w:color="auto"/>
              <w:bottom w:val="single" w:sz="12" w:space="0" w:color="auto"/>
            </w:tcBorders>
            <w:vAlign w:val="center"/>
          </w:tcPr>
          <w:p w14:paraId="24473A89" w14:textId="77777777" w:rsidR="00892142" w:rsidRPr="00371ADD" w:rsidRDefault="00892142" w:rsidP="00887556">
            <w:pPr>
              <w:keepNext/>
              <w:suppressAutoHyphens w:val="0"/>
              <w:spacing w:before="40" w:after="40" w:line="220" w:lineRule="exact"/>
              <w:ind w:left="113" w:right="38"/>
              <w:jc w:val="right"/>
              <w:rPr>
                <w:rFonts w:eastAsia="Arial Unicode MS"/>
                <w:i/>
                <w:sz w:val="16"/>
                <w:szCs w:val="16"/>
                <w:lang w:eastAsia="de-DE"/>
              </w:rPr>
            </w:pPr>
            <w:r w:rsidRPr="00371ADD">
              <w:rPr>
                <w:rFonts w:eastAsia="Arial Unicode MS"/>
                <w:i/>
                <w:sz w:val="16"/>
                <w:szCs w:val="16"/>
                <w:lang w:eastAsia="de-DE"/>
              </w:rPr>
              <w:t>20</w:t>
            </w:r>
            <w:r>
              <w:rPr>
                <w:rFonts w:eastAsia="Arial Unicode MS"/>
                <w:i/>
                <w:sz w:val="16"/>
                <w:szCs w:val="16"/>
                <w:lang w:eastAsia="de-DE"/>
              </w:rPr>
              <w:t>21</w:t>
            </w:r>
          </w:p>
        </w:tc>
      </w:tr>
      <w:tr w:rsidR="00892142" w:rsidRPr="00371ADD" w14:paraId="6CCA4171" w14:textId="77777777" w:rsidTr="00121D00">
        <w:trPr>
          <w:trHeight w:val="284"/>
        </w:trPr>
        <w:tc>
          <w:tcPr>
            <w:tcW w:w="3686" w:type="dxa"/>
            <w:tcBorders>
              <w:top w:val="single" w:sz="12" w:space="0" w:color="auto"/>
              <w:bottom w:val="nil"/>
            </w:tcBorders>
          </w:tcPr>
          <w:p w14:paraId="3FA5D929" w14:textId="3795CDDD" w:rsidR="00892142" w:rsidRPr="00371ADD" w:rsidRDefault="00892142" w:rsidP="00887556">
            <w:pPr>
              <w:keepNext/>
              <w:suppressAutoHyphens w:val="0"/>
              <w:spacing w:before="40" w:after="40" w:line="220" w:lineRule="exact"/>
              <w:ind w:left="170" w:right="38" w:hanging="170"/>
              <w:rPr>
                <w:rFonts w:eastAsia="Times New Roman"/>
                <w:b/>
                <w:bCs/>
                <w:sz w:val="18"/>
                <w:szCs w:val="24"/>
                <w:lang w:eastAsia="de-DE"/>
              </w:rPr>
            </w:pPr>
            <w:r w:rsidRPr="00371ADD">
              <w:rPr>
                <w:rFonts w:eastAsia="Times New Roman"/>
                <w:sz w:val="18"/>
                <w:szCs w:val="24"/>
                <w:lang w:val="en-US" w:eastAsia="de-DE"/>
              </w:rPr>
              <w:t>Professional category and above</w:t>
            </w:r>
          </w:p>
        </w:tc>
        <w:tc>
          <w:tcPr>
            <w:tcW w:w="1475" w:type="dxa"/>
            <w:tcBorders>
              <w:top w:val="single" w:sz="12" w:space="0" w:color="auto"/>
              <w:bottom w:val="nil"/>
            </w:tcBorders>
            <w:vAlign w:val="center"/>
          </w:tcPr>
          <w:p w14:paraId="5888BD41" w14:textId="77777777" w:rsidR="00892142" w:rsidRPr="00371ADD" w:rsidRDefault="00892142" w:rsidP="00887556">
            <w:pPr>
              <w:keepNext/>
              <w:suppressAutoHyphens w:val="0"/>
              <w:spacing w:before="40" w:after="40" w:line="220" w:lineRule="exact"/>
              <w:ind w:left="113" w:right="38"/>
              <w:jc w:val="right"/>
              <w:rPr>
                <w:rFonts w:eastAsia="MS Mincho"/>
                <w:sz w:val="18"/>
                <w:szCs w:val="18"/>
                <w:lang w:eastAsia="de-DE"/>
              </w:rPr>
            </w:pPr>
          </w:p>
        </w:tc>
        <w:tc>
          <w:tcPr>
            <w:tcW w:w="1672" w:type="dxa"/>
            <w:tcBorders>
              <w:top w:val="single" w:sz="12" w:space="0" w:color="auto"/>
              <w:bottom w:val="nil"/>
            </w:tcBorders>
            <w:vAlign w:val="center"/>
          </w:tcPr>
          <w:p w14:paraId="10D14BC5" w14:textId="77777777" w:rsidR="00892142" w:rsidRPr="00371ADD" w:rsidRDefault="00892142" w:rsidP="00887556">
            <w:pPr>
              <w:keepNext/>
              <w:suppressAutoHyphens w:val="0"/>
              <w:spacing w:before="40" w:after="40" w:line="220" w:lineRule="exact"/>
              <w:ind w:left="113" w:right="38"/>
              <w:jc w:val="right"/>
              <w:rPr>
                <w:rFonts w:eastAsia="MS Mincho"/>
                <w:sz w:val="18"/>
                <w:szCs w:val="18"/>
                <w:lang w:eastAsia="de-DE"/>
              </w:rPr>
            </w:pPr>
          </w:p>
        </w:tc>
        <w:tc>
          <w:tcPr>
            <w:tcW w:w="1672" w:type="dxa"/>
            <w:tcBorders>
              <w:top w:val="single" w:sz="12" w:space="0" w:color="auto"/>
              <w:bottom w:val="nil"/>
            </w:tcBorders>
            <w:vAlign w:val="center"/>
          </w:tcPr>
          <w:p w14:paraId="48548049" w14:textId="77777777" w:rsidR="00892142" w:rsidRPr="00371ADD" w:rsidRDefault="00892142" w:rsidP="00887556">
            <w:pPr>
              <w:keepNext/>
              <w:suppressAutoHyphens w:val="0"/>
              <w:spacing w:before="40" w:after="40" w:line="220" w:lineRule="exact"/>
              <w:ind w:left="113" w:right="38"/>
              <w:jc w:val="right"/>
              <w:rPr>
                <w:rFonts w:eastAsia="Arial Unicode MS"/>
                <w:sz w:val="18"/>
                <w:szCs w:val="18"/>
                <w:lang w:eastAsia="de-DE"/>
              </w:rPr>
            </w:pPr>
          </w:p>
        </w:tc>
      </w:tr>
      <w:tr w:rsidR="00892142" w:rsidRPr="00371ADD" w14:paraId="65899283" w14:textId="77777777" w:rsidTr="00121D00">
        <w:trPr>
          <w:trHeight w:val="284"/>
        </w:trPr>
        <w:tc>
          <w:tcPr>
            <w:tcW w:w="3686" w:type="dxa"/>
            <w:tcBorders>
              <w:top w:val="nil"/>
            </w:tcBorders>
          </w:tcPr>
          <w:p w14:paraId="263D6C7C" w14:textId="77777777" w:rsidR="00892142" w:rsidRPr="00371ADD" w:rsidRDefault="00892142" w:rsidP="00887556">
            <w:pPr>
              <w:keepNext/>
              <w:suppressAutoHyphens w:val="0"/>
              <w:spacing w:before="40" w:after="40" w:line="220" w:lineRule="exact"/>
              <w:ind w:left="170" w:right="38" w:firstLine="114"/>
              <w:rPr>
                <w:rFonts w:eastAsia="Times New Roman"/>
                <w:bCs/>
                <w:sz w:val="18"/>
                <w:szCs w:val="24"/>
                <w:lang w:eastAsia="de-DE"/>
              </w:rPr>
            </w:pPr>
            <w:r w:rsidRPr="00371ADD">
              <w:rPr>
                <w:rFonts w:eastAsia="Times New Roman"/>
                <w:bCs/>
                <w:sz w:val="18"/>
                <w:szCs w:val="24"/>
                <w:lang w:eastAsia="de-DE"/>
              </w:rPr>
              <w:t>USG</w:t>
            </w:r>
          </w:p>
        </w:tc>
        <w:tc>
          <w:tcPr>
            <w:tcW w:w="1475" w:type="dxa"/>
            <w:tcBorders>
              <w:top w:val="nil"/>
            </w:tcBorders>
            <w:vAlign w:val="center"/>
          </w:tcPr>
          <w:p w14:paraId="1D77A232" w14:textId="77777777" w:rsidR="00892142" w:rsidRPr="00371ADD" w:rsidRDefault="00892142" w:rsidP="00887556">
            <w:pPr>
              <w:keepNext/>
              <w:suppressAutoHyphens w:val="0"/>
              <w:spacing w:before="40" w:after="40" w:line="220" w:lineRule="exact"/>
              <w:ind w:left="113" w:right="38"/>
              <w:jc w:val="right"/>
              <w:rPr>
                <w:rFonts w:eastAsia="MS Mincho"/>
                <w:sz w:val="18"/>
                <w:szCs w:val="18"/>
                <w:lang w:eastAsia="de-DE"/>
              </w:rPr>
            </w:pPr>
            <w:r w:rsidRPr="00371ADD">
              <w:rPr>
                <w:rFonts w:eastAsia="MS Mincho"/>
                <w:sz w:val="18"/>
                <w:szCs w:val="18"/>
                <w:lang w:eastAsia="de-DE"/>
              </w:rPr>
              <w:t>1</w:t>
            </w:r>
          </w:p>
        </w:tc>
        <w:tc>
          <w:tcPr>
            <w:tcW w:w="1672" w:type="dxa"/>
            <w:tcBorders>
              <w:top w:val="nil"/>
            </w:tcBorders>
            <w:vAlign w:val="center"/>
          </w:tcPr>
          <w:p w14:paraId="11962724" w14:textId="77777777" w:rsidR="00892142" w:rsidRPr="00371ADD" w:rsidRDefault="00892142" w:rsidP="00887556">
            <w:pPr>
              <w:keepNext/>
              <w:suppressAutoHyphens w:val="0"/>
              <w:spacing w:before="40" w:after="40" w:line="220" w:lineRule="exact"/>
              <w:ind w:left="113" w:right="38"/>
              <w:jc w:val="right"/>
              <w:rPr>
                <w:rFonts w:eastAsia="MS Mincho"/>
                <w:sz w:val="18"/>
                <w:szCs w:val="18"/>
                <w:highlight w:val="yellow"/>
                <w:lang w:eastAsia="de-DE"/>
              </w:rPr>
            </w:pPr>
            <w:r w:rsidRPr="001C32BD">
              <w:rPr>
                <w:sz w:val="18"/>
                <w:szCs w:val="18"/>
              </w:rPr>
              <w:t>1</w:t>
            </w:r>
          </w:p>
        </w:tc>
        <w:tc>
          <w:tcPr>
            <w:tcW w:w="1672" w:type="dxa"/>
            <w:tcBorders>
              <w:top w:val="nil"/>
            </w:tcBorders>
            <w:vAlign w:val="center"/>
          </w:tcPr>
          <w:p w14:paraId="486854CA" w14:textId="77777777" w:rsidR="00892142" w:rsidRPr="00371ADD" w:rsidRDefault="00892142" w:rsidP="00887556">
            <w:pPr>
              <w:keepNext/>
              <w:suppressAutoHyphens w:val="0"/>
              <w:spacing w:before="40" w:after="40" w:line="220" w:lineRule="exact"/>
              <w:ind w:left="113" w:right="38"/>
              <w:jc w:val="right"/>
              <w:rPr>
                <w:rFonts w:eastAsia="Arial Unicode MS"/>
                <w:sz w:val="18"/>
                <w:szCs w:val="18"/>
                <w:highlight w:val="yellow"/>
                <w:lang w:eastAsia="de-DE"/>
              </w:rPr>
            </w:pPr>
            <w:r w:rsidRPr="001C32BD">
              <w:rPr>
                <w:sz w:val="18"/>
                <w:szCs w:val="18"/>
              </w:rPr>
              <w:t>1</w:t>
            </w:r>
          </w:p>
        </w:tc>
      </w:tr>
      <w:tr w:rsidR="00892142" w:rsidRPr="00371ADD" w14:paraId="4A4FB024" w14:textId="77777777" w:rsidTr="00121D00">
        <w:trPr>
          <w:trHeight w:val="284"/>
        </w:trPr>
        <w:tc>
          <w:tcPr>
            <w:tcW w:w="3686" w:type="dxa"/>
            <w:tcBorders>
              <w:top w:val="nil"/>
            </w:tcBorders>
          </w:tcPr>
          <w:p w14:paraId="69C69037" w14:textId="77777777" w:rsidR="00892142" w:rsidRPr="00371ADD" w:rsidRDefault="00892142" w:rsidP="00887556">
            <w:pPr>
              <w:keepNext/>
              <w:suppressAutoHyphens w:val="0"/>
              <w:spacing w:before="40" w:after="40" w:line="220" w:lineRule="exact"/>
              <w:ind w:left="170" w:right="38" w:firstLine="114"/>
              <w:rPr>
                <w:rFonts w:eastAsia="Times New Roman"/>
                <w:bCs/>
                <w:sz w:val="18"/>
                <w:szCs w:val="24"/>
                <w:lang w:eastAsia="de-DE"/>
              </w:rPr>
            </w:pPr>
            <w:r w:rsidRPr="00371ADD">
              <w:rPr>
                <w:rFonts w:eastAsia="Times New Roman"/>
                <w:bCs/>
                <w:sz w:val="18"/>
                <w:szCs w:val="24"/>
                <w:lang w:eastAsia="de-DE"/>
              </w:rPr>
              <w:t>ASG</w:t>
            </w:r>
          </w:p>
        </w:tc>
        <w:tc>
          <w:tcPr>
            <w:tcW w:w="1475" w:type="dxa"/>
            <w:tcBorders>
              <w:top w:val="nil"/>
            </w:tcBorders>
            <w:vAlign w:val="center"/>
          </w:tcPr>
          <w:p w14:paraId="01978C04" w14:textId="77777777" w:rsidR="00892142" w:rsidRPr="00371ADD" w:rsidRDefault="00892142" w:rsidP="00887556">
            <w:pPr>
              <w:keepNext/>
              <w:suppressAutoHyphens w:val="0"/>
              <w:spacing w:before="40" w:after="40" w:line="220" w:lineRule="exact"/>
              <w:ind w:left="113" w:right="38"/>
              <w:jc w:val="right"/>
              <w:rPr>
                <w:rFonts w:eastAsia="MS Mincho"/>
                <w:sz w:val="18"/>
                <w:szCs w:val="18"/>
                <w:lang w:eastAsia="de-DE"/>
              </w:rPr>
            </w:pPr>
            <w:r w:rsidRPr="00371ADD">
              <w:rPr>
                <w:rFonts w:eastAsia="MS Mincho"/>
                <w:sz w:val="18"/>
                <w:szCs w:val="18"/>
                <w:lang w:eastAsia="de-DE"/>
              </w:rPr>
              <w:t>1</w:t>
            </w:r>
          </w:p>
        </w:tc>
        <w:tc>
          <w:tcPr>
            <w:tcW w:w="1672" w:type="dxa"/>
            <w:tcBorders>
              <w:top w:val="nil"/>
            </w:tcBorders>
            <w:vAlign w:val="center"/>
          </w:tcPr>
          <w:p w14:paraId="2DE3167F" w14:textId="77777777" w:rsidR="00892142" w:rsidRPr="00371ADD" w:rsidRDefault="00892142" w:rsidP="00887556">
            <w:pPr>
              <w:keepNext/>
              <w:suppressAutoHyphens w:val="0"/>
              <w:spacing w:before="40" w:after="40" w:line="220" w:lineRule="exact"/>
              <w:ind w:left="113" w:right="38"/>
              <w:jc w:val="right"/>
              <w:rPr>
                <w:rFonts w:eastAsia="MS Mincho"/>
                <w:sz w:val="18"/>
                <w:szCs w:val="18"/>
                <w:highlight w:val="yellow"/>
                <w:lang w:eastAsia="de-DE"/>
              </w:rPr>
            </w:pPr>
            <w:r w:rsidRPr="001C32BD">
              <w:rPr>
                <w:sz w:val="18"/>
                <w:szCs w:val="18"/>
              </w:rPr>
              <w:t>1</w:t>
            </w:r>
          </w:p>
        </w:tc>
        <w:tc>
          <w:tcPr>
            <w:tcW w:w="1672" w:type="dxa"/>
            <w:tcBorders>
              <w:top w:val="nil"/>
            </w:tcBorders>
            <w:vAlign w:val="center"/>
          </w:tcPr>
          <w:p w14:paraId="7BE2E3F2" w14:textId="77777777" w:rsidR="00892142" w:rsidRPr="00371ADD" w:rsidRDefault="00892142" w:rsidP="00887556">
            <w:pPr>
              <w:keepNext/>
              <w:suppressAutoHyphens w:val="0"/>
              <w:spacing w:before="40" w:after="40" w:line="220" w:lineRule="exact"/>
              <w:ind w:left="113" w:right="38"/>
              <w:jc w:val="right"/>
              <w:rPr>
                <w:rFonts w:eastAsia="Arial Unicode MS"/>
                <w:sz w:val="18"/>
                <w:szCs w:val="18"/>
                <w:highlight w:val="yellow"/>
                <w:lang w:eastAsia="de-DE"/>
              </w:rPr>
            </w:pPr>
            <w:r w:rsidRPr="001C32BD">
              <w:rPr>
                <w:sz w:val="18"/>
                <w:szCs w:val="18"/>
              </w:rPr>
              <w:t>1</w:t>
            </w:r>
          </w:p>
        </w:tc>
      </w:tr>
      <w:tr w:rsidR="00892142" w:rsidRPr="00371ADD" w14:paraId="7AF304D1" w14:textId="77777777" w:rsidTr="00121D00">
        <w:trPr>
          <w:trHeight w:val="284"/>
        </w:trPr>
        <w:tc>
          <w:tcPr>
            <w:tcW w:w="3686" w:type="dxa"/>
          </w:tcPr>
          <w:p w14:paraId="6E2522A0" w14:textId="77777777" w:rsidR="00892142" w:rsidRPr="00371ADD" w:rsidRDefault="00892142" w:rsidP="00887556">
            <w:pPr>
              <w:keepNext/>
              <w:suppressAutoHyphens w:val="0"/>
              <w:spacing w:before="40" w:after="40" w:line="220" w:lineRule="exact"/>
              <w:ind w:left="170" w:right="38" w:firstLine="114"/>
              <w:rPr>
                <w:rFonts w:eastAsia="Times New Roman"/>
                <w:bCs/>
                <w:sz w:val="18"/>
                <w:szCs w:val="24"/>
                <w:lang w:eastAsia="de-DE"/>
              </w:rPr>
            </w:pPr>
            <w:r w:rsidRPr="00371ADD">
              <w:rPr>
                <w:rFonts w:eastAsia="Times New Roman"/>
                <w:bCs/>
                <w:sz w:val="18"/>
                <w:szCs w:val="24"/>
                <w:lang w:eastAsia="de-DE"/>
              </w:rPr>
              <w:t>D-</w:t>
            </w:r>
            <w:r w:rsidRPr="00371ADD">
              <w:rPr>
                <w:rFonts w:eastAsia="Times New Roman"/>
                <w:bCs/>
                <w:sz w:val="18"/>
                <w:lang w:eastAsia="de-DE"/>
              </w:rPr>
              <w:t>2</w:t>
            </w:r>
          </w:p>
        </w:tc>
        <w:tc>
          <w:tcPr>
            <w:tcW w:w="1475" w:type="dxa"/>
            <w:vAlign w:val="center"/>
          </w:tcPr>
          <w:p w14:paraId="21AE5441" w14:textId="77777777" w:rsidR="00892142" w:rsidRPr="00371ADD" w:rsidRDefault="00892142" w:rsidP="00887556">
            <w:pPr>
              <w:keepNext/>
              <w:suppressAutoHyphens w:val="0"/>
              <w:spacing w:before="40" w:after="40" w:line="220" w:lineRule="exact"/>
              <w:ind w:left="113" w:right="38"/>
              <w:jc w:val="right"/>
              <w:rPr>
                <w:rFonts w:eastAsia="MS Mincho"/>
                <w:sz w:val="18"/>
                <w:szCs w:val="18"/>
                <w:lang w:eastAsia="de-DE"/>
              </w:rPr>
            </w:pPr>
            <w:r w:rsidRPr="00371ADD">
              <w:rPr>
                <w:rFonts w:eastAsia="MS Mincho"/>
                <w:sz w:val="18"/>
                <w:szCs w:val="18"/>
                <w:lang w:eastAsia="de-DE"/>
              </w:rPr>
              <w:t>2</w:t>
            </w:r>
          </w:p>
        </w:tc>
        <w:tc>
          <w:tcPr>
            <w:tcW w:w="1672" w:type="dxa"/>
            <w:vAlign w:val="center"/>
          </w:tcPr>
          <w:p w14:paraId="37E30C78" w14:textId="77777777" w:rsidR="00892142" w:rsidRPr="00371ADD" w:rsidRDefault="00892142" w:rsidP="00887556">
            <w:pPr>
              <w:keepNext/>
              <w:suppressAutoHyphens w:val="0"/>
              <w:spacing w:before="40" w:after="40" w:line="220" w:lineRule="exact"/>
              <w:ind w:left="113" w:right="38"/>
              <w:jc w:val="right"/>
              <w:rPr>
                <w:rFonts w:eastAsia="MS Mincho"/>
                <w:sz w:val="18"/>
                <w:szCs w:val="18"/>
                <w:highlight w:val="yellow"/>
                <w:lang w:eastAsia="de-DE"/>
              </w:rPr>
            </w:pPr>
            <w:r w:rsidRPr="001C32BD">
              <w:rPr>
                <w:sz w:val="18"/>
                <w:szCs w:val="18"/>
              </w:rPr>
              <w:t>2</w:t>
            </w:r>
          </w:p>
        </w:tc>
        <w:tc>
          <w:tcPr>
            <w:tcW w:w="1672" w:type="dxa"/>
            <w:vAlign w:val="center"/>
          </w:tcPr>
          <w:p w14:paraId="1C621CAE" w14:textId="77777777" w:rsidR="00892142" w:rsidRPr="00371ADD" w:rsidRDefault="00892142" w:rsidP="00887556">
            <w:pPr>
              <w:keepNext/>
              <w:suppressAutoHyphens w:val="0"/>
              <w:spacing w:before="40" w:after="40" w:line="220" w:lineRule="exact"/>
              <w:ind w:left="113" w:right="38"/>
              <w:jc w:val="right"/>
              <w:rPr>
                <w:rFonts w:eastAsia="Arial Unicode MS"/>
                <w:sz w:val="18"/>
                <w:szCs w:val="18"/>
                <w:highlight w:val="yellow"/>
                <w:lang w:eastAsia="de-DE"/>
              </w:rPr>
            </w:pPr>
            <w:r w:rsidRPr="001C32BD">
              <w:rPr>
                <w:sz w:val="18"/>
                <w:szCs w:val="18"/>
              </w:rPr>
              <w:t>2</w:t>
            </w:r>
          </w:p>
        </w:tc>
      </w:tr>
      <w:tr w:rsidR="00892142" w:rsidRPr="00371ADD" w14:paraId="2ED0E11E" w14:textId="77777777" w:rsidTr="00121D00">
        <w:trPr>
          <w:trHeight w:val="284"/>
        </w:trPr>
        <w:tc>
          <w:tcPr>
            <w:tcW w:w="3686" w:type="dxa"/>
          </w:tcPr>
          <w:p w14:paraId="580CBC50" w14:textId="77777777" w:rsidR="00892142" w:rsidRPr="00371ADD" w:rsidRDefault="00892142" w:rsidP="00887556">
            <w:pPr>
              <w:keepNext/>
              <w:suppressAutoHyphens w:val="0"/>
              <w:spacing w:before="40" w:after="40" w:line="220" w:lineRule="exact"/>
              <w:ind w:left="170" w:right="38" w:firstLine="114"/>
              <w:rPr>
                <w:rFonts w:eastAsia="Times New Roman"/>
                <w:bCs/>
                <w:sz w:val="18"/>
                <w:szCs w:val="24"/>
                <w:lang w:eastAsia="de-DE"/>
              </w:rPr>
            </w:pPr>
            <w:r w:rsidRPr="00371ADD">
              <w:rPr>
                <w:rFonts w:eastAsia="Times New Roman"/>
                <w:bCs/>
                <w:sz w:val="18"/>
                <w:szCs w:val="24"/>
                <w:lang w:eastAsia="de-DE"/>
              </w:rPr>
              <w:t>D-1</w:t>
            </w:r>
          </w:p>
        </w:tc>
        <w:tc>
          <w:tcPr>
            <w:tcW w:w="1475" w:type="dxa"/>
            <w:vAlign w:val="center"/>
          </w:tcPr>
          <w:p w14:paraId="7BA12299" w14:textId="77777777" w:rsidR="00892142" w:rsidRPr="00371ADD" w:rsidRDefault="00892142" w:rsidP="00887556">
            <w:pPr>
              <w:keepNext/>
              <w:suppressAutoHyphens w:val="0"/>
              <w:spacing w:before="40" w:after="40" w:line="220" w:lineRule="exact"/>
              <w:ind w:left="113" w:right="38"/>
              <w:jc w:val="right"/>
              <w:rPr>
                <w:rFonts w:eastAsia="Arial Unicode MS"/>
                <w:sz w:val="18"/>
                <w:szCs w:val="18"/>
                <w:lang w:eastAsia="de-DE"/>
              </w:rPr>
            </w:pPr>
            <w:r w:rsidRPr="00371ADD">
              <w:rPr>
                <w:rFonts w:eastAsia="Arial Unicode MS"/>
                <w:sz w:val="18"/>
                <w:szCs w:val="18"/>
                <w:lang w:eastAsia="de-DE"/>
              </w:rPr>
              <w:t>7</w:t>
            </w:r>
          </w:p>
        </w:tc>
        <w:tc>
          <w:tcPr>
            <w:tcW w:w="1672" w:type="dxa"/>
            <w:vAlign w:val="center"/>
          </w:tcPr>
          <w:p w14:paraId="6FB94A1B" w14:textId="77777777" w:rsidR="00892142" w:rsidRPr="00371ADD" w:rsidRDefault="00892142" w:rsidP="00887556">
            <w:pPr>
              <w:keepNext/>
              <w:suppressAutoHyphens w:val="0"/>
              <w:spacing w:before="40" w:after="40" w:line="220" w:lineRule="exact"/>
              <w:ind w:left="113" w:right="38"/>
              <w:jc w:val="right"/>
              <w:rPr>
                <w:rFonts w:eastAsia="MS Mincho"/>
                <w:sz w:val="18"/>
                <w:szCs w:val="18"/>
                <w:highlight w:val="yellow"/>
                <w:lang w:eastAsia="de-DE"/>
              </w:rPr>
            </w:pPr>
            <w:r w:rsidRPr="001C32BD">
              <w:rPr>
                <w:sz w:val="18"/>
                <w:szCs w:val="18"/>
              </w:rPr>
              <w:t>8</w:t>
            </w:r>
          </w:p>
        </w:tc>
        <w:tc>
          <w:tcPr>
            <w:tcW w:w="1672" w:type="dxa"/>
            <w:vAlign w:val="center"/>
          </w:tcPr>
          <w:p w14:paraId="325CD7D5" w14:textId="77777777" w:rsidR="00892142" w:rsidRPr="00371ADD" w:rsidRDefault="00892142" w:rsidP="00887556">
            <w:pPr>
              <w:keepNext/>
              <w:suppressAutoHyphens w:val="0"/>
              <w:spacing w:before="40" w:after="40" w:line="220" w:lineRule="exact"/>
              <w:ind w:left="113" w:right="38"/>
              <w:jc w:val="right"/>
              <w:rPr>
                <w:rFonts w:eastAsia="Arial Unicode MS"/>
                <w:sz w:val="18"/>
                <w:szCs w:val="18"/>
                <w:highlight w:val="yellow"/>
                <w:lang w:eastAsia="de-DE"/>
              </w:rPr>
            </w:pPr>
            <w:r w:rsidRPr="001C32BD">
              <w:rPr>
                <w:sz w:val="18"/>
                <w:szCs w:val="18"/>
              </w:rPr>
              <w:t>8</w:t>
            </w:r>
          </w:p>
        </w:tc>
      </w:tr>
      <w:tr w:rsidR="00892142" w:rsidRPr="00371ADD" w14:paraId="1C3FCBBA" w14:textId="77777777" w:rsidTr="00121D00">
        <w:trPr>
          <w:trHeight w:val="284"/>
        </w:trPr>
        <w:tc>
          <w:tcPr>
            <w:tcW w:w="3686" w:type="dxa"/>
          </w:tcPr>
          <w:p w14:paraId="1E591477" w14:textId="77777777" w:rsidR="00892142" w:rsidRPr="00371ADD" w:rsidRDefault="00892142" w:rsidP="00887556">
            <w:pPr>
              <w:keepNext/>
              <w:suppressAutoHyphens w:val="0"/>
              <w:spacing w:before="40" w:after="40" w:line="220" w:lineRule="exact"/>
              <w:ind w:left="170" w:right="38" w:firstLine="114"/>
              <w:rPr>
                <w:rFonts w:eastAsia="Times New Roman"/>
                <w:bCs/>
                <w:sz w:val="18"/>
                <w:szCs w:val="24"/>
                <w:lang w:eastAsia="de-DE"/>
              </w:rPr>
            </w:pPr>
            <w:r w:rsidRPr="00371ADD">
              <w:rPr>
                <w:rFonts w:eastAsia="Times New Roman"/>
                <w:bCs/>
                <w:sz w:val="18"/>
                <w:szCs w:val="24"/>
                <w:lang w:eastAsia="de-DE"/>
              </w:rPr>
              <w:t>P-5</w:t>
            </w:r>
          </w:p>
        </w:tc>
        <w:tc>
          <w:tcPr>
            <w:tcW w:w="1475" w:type="dxa"/>
            <w:vAlign w:val="center"/>
          </w:tcPr>
          <w:p w14:paraId="5A72E787" w14:textId="77777777" w:rsidR="00892142" w:rsidRPr="00371ADD" w:rsidRDefault="00892142" w:rsidP="00887556">
            <w:pPr>
              <w:keepNext/>
              <w:suppressAutoHyphens w:val="0"/>
              <w:spacing w:before="40" w:after="40" w:line="220" w:lineRule="exact"/>
              <w:ind w:left="113" w:right="38"/>
              <w:jc w:val="right"/>
              <w:rPr>
                <w:rFonts w:eastAsia="Arial Unicode MS"/>
                <w:sz w:val="18"/>
                <w:szCs w:val="18"/>
                <w:lang w:eastAsia="de-DE"/>
              </w:rPr>
            </w:pPr>
            <w:r w:rsidRPr="00371ADD">
              <w:rPr>
                <w:rFonts w:eastAsia="Arial Unicode MS"/>
                <w:sz w:val="18"/>
                <w:szCs w:val="18"/>
                <w:lang w:eastAsia="de-DE"/>
              </w:rPr>
              <w:t>15</w:t>
            </w:r>
          </w:p>
        </w:tc>
        <w:tc>
          <w:tcPr>
            <w:tcW w:w="1672" w:type="dxa"/>
            <w:vAlign w:val="center"/>
          </w:tcPr>
          <w:p w14:paraId="05291F22" w14:textId="77777777" w:rsidR="00892142" w:rsidRPr="00371ADD" w:rsidRDefault="00892142" w:rsidP="00887556">
            <w:pPr>
              <w:keepNext/>
              <w:suppressAutoHyphens w:val="0"/>
              <w:spacing w:before="40" w:after="40" w:line="220" w:lineRule="exact"/>
              <w:ind w:left="113" w:right="38"/>
              <w:jc w:val="right"/>
              <w:rPr>
                <w:rFonts w:eastAsia="MS Mincho"/>
                <w:sz w:val="18"/>
                <w:szCs w:val="18"/>
                <w:highlight w:val="yellow"/>
                <w:lang w:eastAsia="de-DE"/>
              </w:rPr>
            </w:pPr>
            <w:r w:rsidRPr="001C32BD">
              <w:rPr>
                <w:sz w:val="18"/>
                <w:szCs w:val="18"/>
              </w:rPr>
              <w:t>18</w:t>
            </w:r>
          </w:p>
        </w:tc>
        <w:tc>
          <w:tcPr>
            <w:tcW w:w="1672" w:type="dxa"/>
            <w:vAlign w:val="center"/>
          </w:tcPr>
          <w:p w14:paraId="159BFCD9" w14:textId="77777777" w:rsidR="00892142" w:rsidRPr="00371ADD" w:rsidRDefault="00892142" w:rsidP="00887556">
            <w:pPr>
              <w:keepNext/>
              <w:suppressAutoHyphens w:val="0"/>
              <w:spacing w:line="240" w:lineRule="auto"/>
              <w:ind w:right="38"/>
              <w:jc w:val="right"/>
              <w:rPr>
                <w:rFonts w:eastAsia="MS Mincho"/>
                <w:sz w:val="18"/>
                <w:szCs w:val="18"/>
                <w:highlight w:val="yellow"/>
                <w:lang w:eastAsia="de-DE"/>
              </w:rPr>
            </w:pPr>
            <w:r w:rsidRPr="001C32BD">
              <w:rPr>
                <w:sz w:val="18"/>
                <w:szCs w:val="18"/>
              </w:rPr>
              <w:t>18</w:t>
            </w:r>
          </w:p>
        </w:tc>
      </w:tr>
      <w:tr w:rsidR="00892142" w:rsidRPr="00371ADD" w14:paraId="54CC9607" w14:textId="77777777" w:rsidTr="00121D00">
        <w:trPr>
          <w:trHeight w:val="284"/>
        </w:trPr>
        <w:tc>
          <w:tcPr>
            <w:tcW w:w="3686" w:type="dxa"/>
          </w:tcPr>
          <w:p w14:paraId="56776F91" w14:textId="77777777" w:rsidR="00892142" w:rsidRPr="00371ADD" w:rsidRDefault="00892142" w:rsidP="00887556">
            <w:pPr>
              <w:keepNext/>
              <w:suppressAutoHyphens w:val="0"/>
              <w:spacing w:before="40" w:after="40" w:line="220" w:lineRule="exact"/>
              <w:ind w:left="170" w:right="38" w:firstLine="114"/>
              <w:rPr>
                <w:rFonts w:eastAsia="Times New Roman"/>
                <w:bCs/>
                <w:sz w:val="18"/>
                <w:szCs w:val="24"/>
                <w:lang w:eastAsia="de-DE"/>
              </w:rPr>
            </w:pPr>
            <w:r w:rsidRPr="00371ADD">
              <w:rPr>
                <w:rFonts w:eastAsia="Times New Roman"/>
                <w:bCs/>
                <w:sz w:val="18"/>
                <w:szCs w:val="24"/>
                <w:lang w:eastAsia="de-DE"/>
              </w:rPr>
              <w:t>P-4</w:t>
            </w:r>
          </w:p>
        </w:tc>
        <w:tc>
          <w:tcPr>
            <w:tcW w:w="1475" w:type="dxa"/>
            <w:vAlign w:val="center"/>
          </w:tcPr>
          <w:p w14:paraId="3EFFF514" w14:textId="77777777" w:rsidR="00892142" w:rsidRPr="00371ADD" w:rsidRDefault="00892142" w:rsidP="00887556">
            <w:pPr>
              <w:keepNext/>
              <w:suppressAutoHyphens w:val="0"/>
              <w:spacing w:before="40" w:after="40" w:line="220" w:lineRule="exact"/>
              <w:ind w:left="113" w:right="38"/>
              <w:jc w:val="right"/>
              <w:rPr>
                <w:rFonts w:eastAsia="Arial Unicode MS"/>
                <w:sz w:val="18"/>
                <w:szCs w:val="18"/>
                <w:lang w:eastAsia="de-DE"/>
              </w:rPr>
            </w:pPr>
            <w:r w:rsidRPr="00371ADD">
              <w:rPr>
                <w:rFonts w:eastAsia="Arial Unicode MS"/>
                <w:sz w:val="18"/>
                <w:szCs w:val="18"/>
                <w:lang w:eastAsia="de-DE"/>
              </w:rPr>
              <w:t>35</w:t>
            </w:r>
          </w:p>
        </w:tc>
        <w:tc>
          <w:tcPr>
            <w:tcW w:w="1672" w:type="dxa"/>
            <w:vAlign w:val="center"/>
          </w:tcPr>
          <w:p w14:paraId="7C69CD37" w14:textId="77777777" w:rsidR="00892142" w:rsidRPr="00371ADD" w:rsidRDefault="00892142" w:rsidP="00887556">
            <w:pPr>
              <w:keepNext/>
              <w:suppressAutoHyphens w:val="0"/>
              <w:spacing w:before="40" w:after="40" w:line="220" w:lineRule="exact"/>
              <w:ind w:left="113" w:right="38"/>
              <w:jc w:val="right"/>
              <w:rPr>
                <w:rFonts w:eastAsia="MS Mincho"/>
                <w:sz w:val="18"/>
                <w:szCs w:val="18"/>
                <w:highlight w:val="yellow"/>
                <w:lang w:eastAsia="de-DE"/>
              </w:rPr>
            </w:pPr>
            <w:r w:rsidRPr="001C32BD">
              <w:rPr>
                <w:sz w:val="18"/>
                <w:szCs w:val="18"/>
              </w:rPr>
              <w:t>34</w:t>
            </w:r>
          </w:p>
        </w:tc>
        <w:tc>
          <w:tcPr>
            <w:tcW w:w="1672" w:type="dxa"/>
            <w:vAlign w:val="center"/>
          </w:tcPr>
          <w:p w14:paraId="01F2A5BB" w14:textId="77777777" w:rsidR="00892142" w:rsidRPr="00371ADD" w:rsidRDefault="00892142" w:rsidP="00887556">
            <w:pPr>
              <w:keepNext/>
              <w:suppressAutoHyphens w:val="0"/>
              <w:spacing w:line="240" w:lineRule="auto"/>
              <w:ind w:right="38"/>
              <w:jc w:val="right"/>
              <w:rPr>
                <w:rFonts w:eastAsia="MS Mincho"/>
                <w:sz w:val="18"/>
                <w:szCs w:val="18"/>
                <w:highlight w:val="yellow"/>
                <w:lang w:eastAsia="de-DE"/>
              </w:rPr>
            </w:pPr>
            <w:r w:rsidRPr="001C32BD">
              <w:rPr>
                <w:sz w:val="18"/>
                <w:szCs w:val="18"/>
              </w:rPr>
              <w:t>34</w:t>
            </w:r>
          </w:p>
        </w:tc>
      </w:tr>
      <w:tr w:rsidR="00892142" w:rsidRPr="00371ADD" w14:paraId="3035EBE9" w14:textId="77777777" w:rsidTr="00121D00">
        <w:trPr>
          <w:trHeight w:val="284"/>
        </w:trPr>
        <w:tc>
          <w:tcPr>
            <w:tcW w:w="3686" w:type="dxa"/>
            <w:tcBorders>
              <w:bottom w:val="nil"/>
            </w:tcBorders>
          </w:tcPr>
          <w:p w14:paraId="47A472FF" w14:textId="77777777" w:rsidR="00892142" w:rsidRPr="00371ADD" w:rsidRDefault="00892142" w:rsidP="00887556">
            <w:pPr>
              <w:keepNext/>
              <w:suppressAutoHyphens w:val="0"/>
              <w:spacing w:before="40" w:after="40" w:line="220" w:lineRule="exact"/>
              <w:ind w:left="170" w:right="38" w:firstLine="114"/>
              <w:rPr>
                <w:rFonts w:eastAsia="Times New Roman"/>
                <w:bCs/>
                <w:sz w:val="18"/>
                <w:szCs w:val="24"/>
                <w:lang w:eastAsia="de-DE"/>
              </w:rPr>
            </w:pPr>
            <w:r w:rsidRPr="00371ADD">
              <w:rPr>
                <w:rFonts w:eastAsia="Times New Roman"/>
                <w:bCs/>
                <w:sz w:val="18"/>
                <w:szCs w:val="24"/>
                <w:lang w:eastAsia="de-DE"/>
              </w:rPr>
              <w:t>P-3</w:t>
            </w:r>
          </w:p>
        </w:tc>
        <w:tc>
          <w:tcPr>
            <w:tcW w:w="1475" w:type="dxa"/>
            <w:tcBorders>
              <w:bottom w:val="nil"/>
            </w:tcBorders>
            <w:vAlign w:val="center"/>
          </w:tcPr>
          <w:p w14:paraId="0ADC7310" w14:textId="77777777" w:rsidR="00892142" w:rsidRPr="00371ADD" w:rsidRDefault="00892142" w:rsidP="00887556">
            <w:pPr>
              <w:keepNext/>
              <w:suppressAutoHyphens w:val="0"/>
              <w:spacing w:before="40" w:after="40" w:line="220" w:lineRule="exact"/>
              <w:ind w:left="113" w:right="38"/>
              <w:jc w:val="right"/>
              <w:rPr>
                <w:rFonts w:eastAsia="Arial Unicode MS"/>
                <w:sz w:val="18"/>
                <w:szCs w:val="18"/>
                <w:lang w:eastAsia="de-DE"/>
              </w:rPr>
            </w:pPr>
            <w:r w:rsidRPr="00371ADD">
              <w:rPr>
                <w:rFonts w:eastAsia="Arial Unicode MS"/>
                <w:sz w:val="18"/>
                <w:szCs w:val="18"/>
                <w:lang w:eastAsia="de-DE"/>
              </w:rPr>
              <w:t>43</w:t>
            </w:r>
          </w:p>
        </w:tc>
        <w:tc>
          <w:tcPr>
            <w:tcW w:w="1672" w:type="dxa"/>
            <w:tcBorders>
              <w:bottom w:val="nil"/>
            </w:tcBorders>
            <w:vAlign w:val="center"/>
          </w:tcPr>
          <w:p w14:paraId="4636D8CC" w14:textId="77777777" w:rsidR="00892142" w:rsidRPr="00371ADD" w:rsidRDefault="00892142" w:rsidP="00887556">
            <w:pPr>
              <w:keepNext/>
              <w:suppressAutoHyphens w:val="0"/>
              <w:spacing w:before="40" w:after="40" w:line="220" w:lineRule="exact"/>
              <w:ind w:left="113" w:right="38"/>
              <w:jc w:val="right"/>
              <w:rPr>
                <w:rFonts w:eastAsia="MS Mincho"/>
                <w:sz w:val="18"/>
                <w:szCs w:val="18"/>
                <w:highlight w:val="yellow"/>
                <w:lang w:eastAsia="de-DE"/>
              </w:rPr>
            </w:pPr>
            <w:r w:rsidRPr="001C32BD">
              <w:rPr>
                <w:sz w:val="18"/>
                <w:szCs w:val="18"/>
              </w:rPr>
              <w:t>44</w:t>
            </w:r>
          </w:p>
        </w:tc>
        <w:tc>
          <w:tcPr>
            <w:tcW w:w="1672" w:type="dxa"/>
            <w:tcBorders>
              <w:bottom w:val="nil"/>
            </w:tcBorders>
            <w:vAlign w:val="center"/>
          </w:tcPr>
          <w:p w14:paraId="4127D57D" w14:textId="77777777" w:rsidR="00892142" w:rsidRPr="00371ADD" w:rsidRDefault="00892142" w:rsidP="00887556">
            <w:pPr>
              <w:keepNext/>
              <w:suppressAutoHyphens w:val="0"/>
              <w:spacing w:line="240" w:lineRule="auto"/>
              <w:ind w:right="38"/>
              <w:jc w:val="right"/>
              <w:rPr>
                <w:rFonts w:eastAsia="MS Mincho"/>
                <w:sz w:val="18"/>
                <w:szCs w:val="18"/>
                <w:highlight w:val="yellow"/>
                <w:lang w:eastAsia="de-DE"/>
              </w:rPr>
            </w:pPr>
            <w:r w:rsidRPr="001C32BD">
              <w:rPr>
                <w:sz w:val="18"/>
                <w:szCs w:val="18"/>
              </w:rPr>
              <w:t>44</w:t>
            </w:r>
          </w:p>
        </w:tc>
      </w:tr>
      <w:tr w:rsidR="00892142" w:rsidRPr="00371ADD" w14:paraId="3887DD2B" w14:textId="77777777" w:rsidTr="00121D00">
        <w:trPr>
          <w:trHeight w:val="284"/>
        </w:trPr>
        <w:tc>
          <w:tcPr>
            <w:tcW w:w="3686" w:type="dxa"/>
            <w:tcBorders>
              <w:top w:val="nil"/>
              <w:bottom w:val="single" w:sz="4" w:space="0" w:color="auto"/>
            </w:tcBorders>
          </w:tcPr>
          <w:p w14:paraId="1FA818C5" w14:textId="77777777" w:rsidR="00892142" w:rsidRPr="00371ADD" w:rsidRDefault="00892142" w:rsidP="00887556">
            <w:pPr>
              <w:keepNext/>
              <w:suppressAutoHyphens w:val="0"/>
              <w:spacing w:before="40" w:after="40" w:line="220" w:lineRule="exact"/>
              <w:ind w:left="170" w:right="38" w:firstLine="114"/>
              <w:rPr>
                <w:rFonts w:eastAsia="Times New Roman"/>
                <w:bCs/>
                <w:sz w:val="18"/>
                <w:szCs w:val="24"/>
                <w:lang w:eastAsia="de-DE"/>
              </w:rPr>
            </w:pPr>
            <w:r w:rsidRPr="00371ADD">
              <w:rPr>
                <w:rFonts w:eastAsia="Times New Roman"/>
                <w:bCs/>
                <w:sz w:val="18"/>
                <w:szCs w:val="24"/>
                <w:lang w:eastAsia="de-DE"/>
              </w:rPr>
              <w:t>P-2</w:t>
            </w:r>
          </w:p>
        </w:tc>
        <w:tc>
          <w:tcPr>
            <w:tcW w:w="1475" w:type="dxa"/>
            <w:tcBorders>
              <w:top w:val="nil"/>
              <w:bottom w:val="single" w:sz="4" w:space="0" w:color="auto"/>
            </w:tcBorders>
            <w:vAlign w:val="center"/>
          </w:tcPr>
          <w:p w14:paraId="0ECB1037" w14:textId="77777777" w:rsidR="00892142" w:rsidRPr="00371ADD" w:rsidRDefault="00892142" w:rsidP="00887556">
            <w:pPr>
              <w:keepNext/>
              <w:suppressAutoHyphens w:val="0"/>
              <w:spacing w:before="40" w:after="40" w:line="220" w:lineRule="exact"/>
              <w:ind w:left="113" w:right="38"/>
              <w:jc w:val="right"/>
              <w:rPr>
                <w:rFonts w:eastAsia="Arial Unicode MS"/>
                <w:sz w:val="18"/>
                <w:szCs w:val="18"/>
                <w:lang w:eastAsia="de-DE"/>
              </w:rPr>
            </w:pPr>
            <w:r w:rsidRPr="00371ADD">
              <w:rPr>
                <w:rFonts w:eastAsia="Arial Unicode MS"/>
                <w:sz w:val="18"/>
                <w:szCs w:val="18"/>
                <w:lang w:eastAsia="de-DE"/>
              </w:rPr>
              <w:t>16</w:t>
            </w:r>
          </w:p>
        </w:tc>
        <w:tc>
          <w:tcPr>
            <w:tcW w:w="1672" w:type="dxa"/>
            <w:tcBorders>
              <w:top w:val="nil"/>
              <w:bottom w:val="single" w:sz="4" w:space="0" w:color="auto"/>
            </w:tcBorders>
            <w:vAlign w:val="center"/>
          </w:tcPr>
          <w:p w14:paraId="1F39CEDF" w14:textId="77777777" w:rsidR="00892142" w:rsidRPr="00371ADD" w:rsidRDefault="00892142" w:rsidP="00887556">
            <w:pPr>
              <w:keepNext/>
              <w:suppressAutoHyphens w:val="0"/>
              <w:spacing w:before="40" w:after="40" w:line="220" w:lineRule="exact"/>
              <w:ind w:left="113" w:right="38"/>
              <w:jc w:val="right"/>
              <w:rPr>
                <w:rFonts w:eastAsia="MS Mincho"/>
                <w:sz w:val="18"/>
                <w:szCs w:val="18"/>
                <w:highlight w:val="yellow"/>
                <w:lang w:eastAsia="de-DE"/>
              </w:rPr>
            </w:pPr>
            <w:r w:rsidRPr="001C32BD">
              <w:rPr>
                <w:sz w:val="18"/>
                <w:szCs w:val="18"/>
              </w:rPr>
              <w:t>18</w:t>
            </w:r>
          </w:p>
        </w:tc>
        <w:tc>
          <w:tcPr>
            <w:tcW w:w="1672" w:type="dxa"/>
            <w:tcBorders>
              <w:top w:val="nil"/>
              <w:bottom w:val="single" w:sz="4" w:space="0" w:color="auto"/>
            </w:tcBorders>
            <w:vAlign w:val="center"/>
          </w:tcPr>
          <w:p w14:paraId="07C20008" w14:textId="77777777" w:rsidR="00892142" w:rsidRPr="00371ADD" w:rsidRDefault="00892142" w:rsidP="00887556">
            <w:pPr>
              <w:keepNext/>
              <w:suppressAutoHyphens w:val="0"/>
              <w:spacing w:line="240" w:lineRule="auto"/>
              <w:ind w:right="38"/>
              <w:jc w:val="right"/>
              <w:rPr>
                <w:rFonts w:eastAsia="MS Mincho"/>
                <w:sz w:val="18"/>
                <w:szCs w:val="18"/>
                <w:highlight w:val="yellow"/>
                <w:lang w:eastAsia="de-DE"/>
              </w:rPr>
            </w:pPr>
            <w:r w:rsidRPr="001C32BD">
              <w:rPr>
                <w:sz w:val="18"/>
                <w:szCs w:val="18"/>
              </w:rPr>
              <w:t>19</w:t>
            </w:r>
          </w:p>
        </w:tc>
      </w:tr>
      <w:tr w:rsidR="00892142" w:rsidRPr="00371ADD" w14:paraId="2FD6103E" w14:textId="77777777" w:rsidTr="00121D00">
        <w:trPr>
          <w:trHeight w:val="284"/>
        </w:trPr>
        <w:tc>
          <w:tcPr>
            <w:tcW w:w="3686" w:type="dxa"/>
            <w:tcBorders>
              <w:top w:val="single" w:sz="4" w:space="0" w:color="auto"/>
              <w:bottom w:val="single" w:sz="4" w:space="0" w:color="auto"/>
            </w:tcBorders>
          </w:tcPr>
          <w:p w14:paraId="4F3C7F2E" w14:textId="77777777" w:rsidR="00892142" w:rsidRPr="00371ADD" w:rsidRDefault="00892142" w:rsidP="00887556">
            <w:pPr>
              <w:keepNext/>
              <w:suppressAutoHyphens w:val="0"/>
              <w:spacing w:before="40" w:after="40" w:line="220" w:lineRule="exact"/>
              <w:ind w:left="284" w:right="38"/>
              <w:rPr>
                <w:rFonts w:eastAsia="Times New Roman"/>
                <w:b/>
                <w:sz w:val="18"/>
                <w:szCs w:val="24"/>
                <w:lang w:eastAsia="de-DE"/>
              </w:rPr>
            </w:pPr>
            <w:r w:rsidRPr="00371ADD">
              <w:rPr>
                <w:rFonts w:eastAsia="Times New Roman"/>
                <w:b/>
                <w:sz w:val="18"/>
                <w:szCs w:val="24"/>
                <w:lang w:eastAsia="de-DE"/>
              </w:rPr>
              <w:t>Subtotal Professional category and above</w:t>
            </w:r>
          </w:p>
        </w:tc>
        <w:tc>
          <w:tcPr>
            <w:tcW w:w="1475" w:type="dxa"/>
            <w:tcBorders>
              <w:top w:val="single" w:sz="4" w:space="0" w:color="auto"/>
              <w:bottom w:val="single" w:sz="4" w:space="0" w:color="auto"/>
            </w:tcBorders>
            <w:vAlign w:val="center"/>
          </w:tcPr>
          <w:p w14:paraId="5EE7E944" w14:textId="77777777" w:rsidR="00892142" w:rsidRPr="00371ADD" w:rsidRDefault="00892142" w:rsidP="00887556">
            <w:pPr>
              <w:keepNext/>
              <w:suppressAutoHyphens w:val="0"/>
              <w:spacing w:before="40" w:after="40" w:line="220" w:lineRule="exact"/>
              <w:ind w:left="113" w:right="38"/>
              <w:jc w:val="right"/>
              <w:rPr>
                <w:rFonts w:eastAsia="Arial Unicode MS"/>
                <w:b/>
                <w:bCs/>
                <w:sz w:val="18"/>
                <w:szCs w:val="18"/>
                <w:lang w:eastAsia="de-DE"/>
              </w:rPr>
            </w:pPr>
            <w:r w:rsidRPr="00371ADD">
              <w:rPr>
                <w:rFonts w:eastAsia="Arial Unicode MS"/>
                <w:b/>
                <w:bCs/>
                <w:sz w:val="18"/>
                <w:szCs w:val="18"/>
                <w:lang w:eastAsia="de-DE"/>
              </w:rPr>
              <w:t>120</w:t>
            </w:r>
          </w:p>
        </w:tc>
        <w:tc>
          <w:tcPr>
            <w:tcW w:w="1672" w:type="dxa"/>
            <w:tcBorders>
              <w:top w:val="single" w:sz="4" w:space="0" w:color="auto"/>
              <w:bottom w:val="single" w:sz="4" w:space="0" w:color="auto"/>
            </w:tcBorders>
            <w:vAlign w:val="center"/>
          </w:tcPr>
          <w:p w14:paraId="01ECC294" w14:textId="77777777" w:rsidR="00892142" w:rsidRPr="001C32BD" w:rsidRDefault="00892142" w:rsidP="00887556">
            <w:pPr>
              <w:keepNext/>
              <w:suppressAutoHyphens w:val="0"/>
              <w:spacing w:before="40" w:after="40" w:line="220" w:lineRule="exact"/>
              <w:ind w:left="113" w:right="38"/>
              <w:jc w:val="right"/>
              <w:rPr>
                <w:rFonts w:eastAsia="Arial Unicode MS"/>
                <w:b/>
                <w:sz w:val="18"/>
                <w:szCs w:val="18"/>
                <w:lang w:eastAsia="de-DE"/>
              </w:rPr>
            </w:pPr>
            <w:r w:rsidRPr="001C32BD">
              <w:rPr>
                <w:rFonts w:eastAsia="Arial Unicode MS"/>
                <w:b/>
                <w:sz w:val="18"/>
                <w:szCs w:val="18"/>
                <w:lang w:eastAsia="de-DE"/>
              </w:rPr>
              <w:t>126</w:t>
            </w:r>
          </w:p>
        </w:tc>
        <w:tc>
          <w:tcPr>
            <w:tcW w:w="1672" w:type="dxa"/>
            <w:tcBorders>
              <w:top w:val="single" w:sz="4" w:space="0" w:color="auto"/>
              <w:bottom w:val="single" w:sz="4" w:space="0" w:color="auto"/>
            </w:tcBorders>
            <w:vAlign w:val="center"/>
          </w:tcPr>
          <w:p w14:paraId="72F15851" w14:textId="77777777" w:rsidR="00892142" w:rsidRPr="001C32BD" w:rsidRDefault="00892142" w:rsidP="00887556">
            <w:pPr>
              <w:keepNext/>
              <w:suppressAutoHyphens w:val="0"/>
              <w:spacing w:before="40" w:after="40" w:line="220" w:lineRule="exact"/>
              <w:ind w:right="40"/>
              <w:jc w:val="right"/>
              <w:rPr>
                <w:rFonts w:eastAsia="Arial Unicode MS"/>
                <w:b/>
                <w:sz w:val="18"/>
                <w:szCs w:val="18"/>
                <w:lang w:eastAsia="de-DE"/>
              </w:rPr>
            </w:pPr>
            <w:r w:rsidRPr="001C32BD">
              <w:rPr>
                <w:rFonts w:eastAsia="Arial Unicode MS"/>
                <w:b/>
                <w:sz w:val="18"/>
                <w:szCs w:val="18"/>
                <w:lang w:eastAsia="de-DE"/>
              </w:rPr>
              <w:t>127</w:t>
            </w:r>
          </w:p>
        </w:tc>
      </w:tr>
      <w:tr w:rsidR="00892142" w:rsidRPr="00371ADD" w14:paraId="01765190" w14:textId="77777777" w:rsidTr="00121D00">
        <w:trPr>
          <w:trHeight w:val="284"/>
        </w:trPr>
        <w:tc>
          <w:tcPr>
            <w:tcW w:w="3686" w:type="dxa"/>
            <w:tcBorders>
              <w:top w:val="single" w:sz="4" w:space="0" w:color="auto"/>
              <w:bottom w:val="single" w:sz="4" w:space="0" w:color="auto"/>
            </w:tcBorders>
          </w:tcPr>
          <w:p w14:paraId="4239EBD2" w14:textId="77777777" w:rsidR="00892142" w:rsidRPr="00371ADD" w:rsidRDefault="00892142" w:rsidP="00887556">
            <w:pPr>
              <w:keepNext/>
              <w:suppressAutoHyphens w:val="0"/>
              <w:spacing w:before="40" w:after="40" w:line="220" w:lineRule="exact"/>
              <w:ind w:left="284" w:right="38"/>
              <w:rPr>
                <w:rFonts w:eastAsia="Times New Roman"/>
                <w:b/>
                <w:sz w:val="18"/>
                <w:szCs w:val="24"/>
                <w:lang w:eastAsia="de-DE"/>
              </w:rPr>
            </w:pPr>
            <w:r w:rsidRPr="00371ADD">
              <w:rPr>
                <w:rFonts w:eastAsia="Times New Roman"/>
                <w:b/>
                <w:sz w:val="18"/>
                <w:szCs w:val="24"/>
                <w:lang w:eastAsia="de-DE"/>
              </w:rPr>
              <w:t>Subtotal General Service category</w:t>
            </w:r>
          </w:p>
        </w:tc>
        <w:tc>
          <w:tcPr>
            <w:tcW w:w="1475" w:type="dxa"/>
            <w:tcBorders>
              <w:top w:val="single" w:sz="4" w:space="0" w:color="auto"/>
              <w:bottom w:val="single" w:sz="4" w:space="0" w:color="auto"/>
            </w:tcBorders>
            <w:vAlign w:val="center"/>
          </w:tcPr>
          <w:p w14:paraId="4318B433" w14:textId="77777777" w:rsidR="00892142" w:rsidRPr="00371ADD" w:rsidRDefault="00892142" w:rsidP="00887556">
            <w:pPr>
              <w:keepNext/>
              <w:suppressAutoHyphens w:val="0"/>
              <w:spacing w:before="40" w:after="40" w:line="220" w:lineRule="exact"/>
              <w:ind w:left="113" w:right="38"/>
              <w:jc w:val="right"/>
              <w:rPr>
                <w:rFonts w:eastAsia="Arial Unicode MS"/>
                <w:b/>
                <w:sz w:val="18"/>
                <w:szCs w:val="18"/>
                <w:lang w:eastAsia="de-DE"/>
              </w:rPr>
            </w:pPr>
            <w:r w:rsidRPr="00371ADD">
              <w:rPr>
                <w:rFonts w:eastAsia="Arial Unicode MS"/>
                <w:b/>
                <w:sz w:val="18"/>
                <w:szCs w:val="18"/>
                <w:lang w:eastAsia="de-DE"/>
              </w:rPr>
              <w:t>53.5</w:t>
            </w:r>
          </w:p>
        </w:tc>
        <w:tc>
          <w:tcPr>
            <w:tcW w:w="1672" w:type="dxa"/>
            <w:tcBorders>
              <w:top w:val="single" w:sz="4" w:space="0" w:color="auto"/>
              <w:bottom w:val="single" w:sz="4" w:space="0" w:color="auto"/>
            </w:tcBorders>
            <w:vAlign w:val="center"/>
          </w:tcPr>
          <w:p w14:paraId="25C5EB5C" w14:textId="77777777" w:rsidR="00892142" w:rsidRPr="00371ADD" w:rsidRDefault="00892142" w:rsidP="00887556">
            <w:pPr>
              <w:keepNext/>
              <w:suppressAutoHyphens w:val="0"/>
              <w:spacing w:before="40" w:after="40" w:line="220" w:lineRule="exact"/>
              <w:ind w:left="113" w:right="38"/>
              <w:jc w:val="right"/>
              <w:rPr>
                <w:rFonts w:eastAsia="Arial Unicode MS"/>
                <w:b/>
                <w:sz w:val="18"/>
                <w:szCs w:val="18"/>
                <w:highlight w:val="yellow"/>
                <w:lang w:eastAsia="de-DE"/>
              </w:rPr>
            </w:pPr>
            <w:r w:rsidRPr="001C32BD">
              <w:rPr>
                <w:b/>
                <w:sz w:val="18"/>
                <w:szCs w:val="18"/>
              </w:rPr>
              <w:t>53.5</w:t>
            </w:r>
          </w:p>
        </w:tc>
        <w:tc>
          <w:tcPr>
            <w:tcW w:w="1672" w:type="dxa"/>
            <w:tcBorders>
              <w:top w:val="single" w:sz="4" w:space="0" w:color="auto"/>
              <w:bottom w:val="single" w:sz="4" w:space="0" w:color="auto"/>
            </w:tcBorders>
            <w:vAlign w:val="center"/>
          </w:tcPr>
          <w:p w14:paraId="34E2F24D" w14:textId="77777777" w:rsidR="00892142" w:rsidRPr="00371ADD" w:rsidRDefault="00892142" w:rsidP="00887556">
            <w:pPr>
              <w:keepNext/>
              <w:suppressAutoHyphens w:val="0"/>
              <w:spacing w:line="240" w:lineRule="auto"/>
              <w:ind w:right="38"/>
              <w:jc w:val="right"/>
              <w:rPr>
                <w:rFonts w:eastAsia="MS Mincho"/>
                <w:b/>
                <w:sz w:val="18"/>
                <w:szCs w:val="18"/>
                <w:highlight w:val="yellow"/>
                <w:lang w:eastAsia="de-DE"/>
              </w:rPr>
            </w:pPr>
            <w:r w:rsidRPr="001C32BD">
              <w:rPr>
                <w:b/>
                <w:sz w:val="18"/>
                <w:szCs w:val="18"/>
              </w:rPr>
              <w:t>53.5</w:t>
            </w:r>
          </w:p>
        </w:tc>
      </w:tr>
      <w:tr w:rsidR="00892142" w:rsidRPr="00371ADD" w14:paraId="0F99BE0B" w14:textId="77777777" w:rsidTr="00121D00">
        <w:trPr>
          <w:trHeight w:val="284"/>
        </w:trPr>
        <w:tc>
          <w:tcPr>
            <w:tcW w:w="3686" w:type="dxa"/>
            <w:tcBorders>
              <w:top w:val="single" w:sz="4" w:space="0" w:color="auto"/>
              <w:bottom w:val="single" w:sz="12" w:space="0" w:color="auto"/>
            </w:tcBorders>
          </w:tcPr>
          <w:p w14:paraId="3323AFC5" w14:textId="77777777" w:rsidR="00892142" w:rsidRPr="00371ADD" w:rsidRDefault="00892142" w:rsidP="00887556">
            <w:pPr>
              <w:keepNext/>
              <w:suppressAutoHyphens w:val="0"/>
              <w:spacing w:before="40" w:after="40" w:line="220" w:lineRule="exact"/>
              <w:ind w:right="38" w:firstLine="284"/>
              <w:rPr>
                <w:rFonts w:eastAsia="Times New Roman"/>
                <w:b/>
                <w:sz w:val="18"/>
                <w:szCs w:val="24"/>
                <w:lang w:eastAsia="de-DE"/>
              </w:rPr>
            </w:pPr>
            <w:r w:rsidRPr="00371ADD">
              <w:rPr>
                <w:rFonts w:eastAsia="Times New Roman"/>
                <w:b/>
                <w:sz w:val="18"/>
                <w:szCs w:val="24"/>
                <w:lang w:eastAsia="de-DE"/>
              </w:rPr>
              <w:t>Total</w:t>
            </w:r>
          </w:p>
        </w:tc>
        <w:tc>
          <w:tcPr>
            <w:tcW w:w="1475" w:type="dxa"/>
            <w:tcBorders>
              <w:top w:val="single" w:sz="4" w:space="0" w:color="auto"/>
              <w:bottom w:val="single" w:sz="12" w:space="0" w:color="auto"/>
            </w:tcBorders>
            <w:vAlign w:val="center"/>
          </w:tcPr>
          <w:p w14:paraId="7B1AE3B8" w14:textId="77777777" w:rsidR="00892142" w:rsidRPr="00371ADD" w:rsidRDefault="00892142" w:rsidP="00887556">
            <w:pPr>
              <w:keepNext/>
              <w:suppressAutoHyphens w:val="0"/>
              <w:spacing w:before="40" w:after="40" w:line="220" w:lineRule="exact"/>
              <w:ind w:left="113" w:right="38"/>
              <w:jc w:val="right"/>
              <w:rPr>
                <w:rFonts w:eastAsia="Arial Unicode MS"/>
                <w:b/>
                <w:bCs/>
                <w:sz w:val="18"/>
                <w:szCs w:val="18"/>
                <w:lang w:eastAsia="de-DE"/>
              </w:rPr>
            </w:pPr>
            <w:r w:rsidRPr="00371ADD">
              <w:rPr>
                <w:rFonts w:eastAsia="MS Mincho"/>
                <w:b/>
                <w:bCs/>
                <w:sz w:val="18"/>
                <w:szCs w:val="18"/>
                <w:lang w:eastAsia="de-DE"/>
              </w:rPr>
              <w:t xml:space="preserve">173.5 </w:t>
            </w:r>
          </w:p>
        </w:tc>
        <w:tc>
          <w:tcPr>
            <w:tcW w:w="1672" w:type="dxa"/>
            <w:tcBorders>
              <w:top w:val="single" w:sz="4" w:space="0" w:color="auto"/>
              <w:bottom w:val="single" w:sz="12" w:space="0" w:color="auto"/>
            </w:tcBorders>
            <w:vAlign w:val="center"/>
          </w:tcPr>
          <w:p w14:paraId="519EF64D" w14:textId="77777777" w:rsidR="00892142" w:rsidRPr="00371ADD" w:rsidRDefault="00892142" w:rsidP="00887556">
            <w:pPr>
              <w:keepNext/>
              <w:suppressAutoHyphens w:val="0"/>
              <w:spacing w:before="40" w:after="40" w:line="220" w:lineRule="exact"/>
              <w:ind w:left="113" w:right="38"/>
              <w:jc w:val="right"/>
              <w:rPr>
                <w:rFonts w:eastAsia="Arial Unicode MS"/>
                <w:b/>
                <w:bCs/>
                <w:sz w:val="18"/>
                <w:szCs w:val="18"/>
                <w:highlight w:val="yellow"/>
                <w:lang w:eastAsia="de-DE"/>
              </w:rPr>
            </w:pPr>
            <w:r w:rsidRPr="001C32BD">
              <w:rPr>
                <w:b/>
                <w:sz w:val="18"/>
                <w:szCs w:val="18"/>
              </w:rPr>
              <w:t>179.5</w:t>
            </w:r>
          </w:p>
        </w:tc>
        <w:tc>
          <w:tcPr>
            <w:tcW w:w="1672" w:type="dxa"/>
            <w:tcBorders>
              <w:top w:val="single" w:sz="4" w:space="0" w:color="auto"/>
              <w:bottom w:val="single" w:sz="12" w:space="0" w:color="auto"/>
            </w:tcBorders>
            <w:vAlign w:val="center"/>
          </w:tcPr>
          <w:p w14:paraId="5A5BD225" w14:textId="77777777" w:rsidR="00892142" w:rsidRPr="00371ADD" w:rsidRDefault="00892142" w:rsidP="00887556">
            <w:pPr>
              <w:keepNext/>
              <w:suppressAutoHyphens w:val="0"/>
              <w:spacing w:line="240" w:lineRule="auto"/>
              <w:ind w:right="38"/>
              <w:jc w:val="right"/>
              <w:rPr>
                <w:rFonts w:eastAsia="MS Mincho"/>
                <w:b/>
                <w:bCs/>
                <w:sz w:val="18"/>
                <w:szCs w:val="18"/>
                <w:highlight w:val="yellow"/>
                <w:lang w:eastAsia="de-DE"/>
              </w:rPr>
            </w:pPr>
            <w:r w:rsidRPr="001C32BD">
              <w:rPr>
                <w:b/>
                <w:sz w:val="18"/>
                <w:szCs w:val="18"/>
              </w:rPr>
              <w:t>180.5</w:t>
            </w:r>
          </w:p>
        </w:tc>
      </w:tr>
    </w:tbl>
    <w:p w14:paraId="4D3701EE" w14:textId="7DB89198" w:rsidR="00510F1D" w:rsidRDefault="00510F1D" w:rsidP="001B21E0">
      <w:pPr>
        <w:pStyle w:val="FootnoteTable"/>
        <w:keepNext/>
        <w:spacing w:before="60" w:line="200" w:lineRule="exact"/>
        <w:ind w:left="1134" w:right="-142" w:firstLine="142"/>
        <w:contextualSpacing/>
        <w:jc w:val="left"/>
      </w:pPr>
      <w:bookmarkStart w:id="29" w:name="_Toc288663197"/>
      <w:r w:rsidRPr="000F46CF">
        <w:rPr>
          <w:i/>
          <w:lang w:eastAsia="de-DE"/>
        </w:rPr>
        <w:t>Abbreviations</w:t>
      </w:r>
      <w:r>
        <w:rPr>
          <w:lang w:eastAsia="de-DE"/>
        </w:rPr>
        <w:t xml:space="preserve">: </w:t>
      </w:r>
      <w:r w:rsidR="0097343B">
        <w:rPr>
          <w:lang w:eastAsia="de-DE"/>
        </w:rPr>
        <w:t>ASG</w:t>
      </w:r>
      <w:r w:rsidR="005D0682">
        <w:rPr>
          <w:lang w:eastAsia="de-DE"/>
        </w:rPr>
        <w:t xml:space="preserve"> </w:t>
      </w:r>
      <w:r w:rsidR="0097343B">
        <w:rPr>
          <w:lang w:eastAsia="de-DE"/>
        </w:rPr>
        <w:t>=</w:t>
      </w:r>
      <w:r w:rsidR="005D0682">
        <w:rPr>
          <w:lang w:eastAsia="de-DE"/>
        </w:rPr>
        <w:t xml:space="preserve"> </w:t>
      </w:r>
      <w:r w:rsidR="003A5363">
        <w:rPr>
          <w:lang w:eastAsia="de-DE"/>
        </w:rPr>
        <w:t>Assistant Secretary</w:t>
      </w:r>
      <w:r w:rsidR="00E16AC9">
        <w:rPr>
          <w:lang w:eastAsia="de-DE"/>
        </w:rPr>
        <w:t>-</w:t>
      </w:r>
      <w:r w:rsidR="003A5363">
        <w:rPr>
          <w:lang w:eastAsia="de-DE"/>
        </w:rPr>
        <w:t>General</w:t>
      </w:r>
      <w:r w:rsidR="005D0682">
        <w:rPr>
          <w:lang w:eastAsia="de-DE"/>
        </w:rPr>
        <w:t xml:space="preserve">, </w:t>
      </w:r>
      <w:r w:rsidR="009D2FA4">
        <w:rPr>
          <w:lang w:eastAsia="de-DE"/>
        </w:rPr>
        <w:t xml:space="preserve">D = Director, P = Professional, </w:t>
      </w:r>
      <w:r>
        <w:rPr>
          <w:lang w:eastAsia="de-DE"/>
        </w:rPr>
        <w:t xml:space="preserve">USG = </w:t>
      </w:r>
      <w:r w:rsidR="00861ECC">
        <w:rPr>
          <w:lang w:eastAsia="de-DE"/>
        </w:rPr>
        <w:t>Under</w:t>
      </w:r>
      <w:r w:rsidR="00DE7DD2">
        <w:rPr>
          <w:lang w:eastAsia="de-DE"/>
        </w:rPr>
        <w:t>-</w:t>
      </w:r>
      <w:r w:rsidR="00861ECC">
        <w:rPr>
          <w:lang w:eastAsia="de-DE"/>
        </w:rPr>
        <w:t>Secretary</w:t>
      </w:r>
      <w:r w:rsidR="00DE7DD2">
        <w:rPr>
          <w:lang w:eastAsia="de-DE"/>
        </w:rPr>
        <w:t>-</w:t>
      </w:r>
      <w:r w:rsidR="00861ECC">
        <w:rPr>
          <w:lang w:eastAsia="de-DE"/>
        </w:rPr>
        <w:t>General</w:t>
      </w:r>
      <w:r w:rsidR="00B45136">
        <w:rPr>
          <w:lang w:eastAsia="de-DE"/>
        </w:rPr>
        <w:t>.</w:t>
      </w:r>
      <w:r w:rsidR="000F46CF">
        <w:rPr>
          <w:lang w:eastAsia="de-DE"/>
        </w:rPr>
        <w:t xml:space="preserve"> </w:t>
      </w:r>
    </w:p>
    <w:bookmarkEnd w:id="29"/>
    <w:p w14:paraId="16CED0DE" w14:textId="77777777" w:rsidR="00892142" w:rsidRDefault="00892142" w:rsidP="00892142"/>
    <w:p w14:paraId="172F9FF4" w14:textId="77777777" w:rsidR="00892142" w:rsidRPr="00371ADD" w:rsidRDefault="00892142" w:rsidP="007833FF">
      <w:pPr>
        <w:keepNext/>
        <w:keepLines/>
        <w:ind w:left="1134"/>
      </w:pPr>
      <w:r w:rsidRPr="00371ADD">
        <w:t xml:space="preserve">Table </w:t>
      </w:r>
      <w:r>
        <w:t>3</w:t>
      </w:r>
      <w:r w:rsidRPr="00371ADD">
        <w:t xml:space="preserve"> </w:t>
      </w:r>
    </w:p>
    <w:p w14:paraId="19181C2D" w14:textId="77777777" w:rsidR="00892142" w:rsidRPr="004153B4" w:rsidRDefault="00892142" w:rsidP="007833FF">
      <w:pPr>
        <w:ind w:left="1134" w:right="1134"/>
        <w:jc w:val="both"/>
        <w:rPr>
          <w:rFonts w:eastAsia="Times New Roman"/>
          <w:b/>
          <w:lang w:eastAsia="en-US"/>
        </w:rPr>
      </w:pPr>
      <w:r w:rsidRPr="004153B4">
        <w:rPr>
          <w:rFonts w:eastAsia="Times New Roman"/>
          <w:b/>
          <w:lang w:eastAsia="en-US"/>
        </w:rPr>
        <w:t>Resource requirements for the conference services contingency</w:t>
      </w:r>
    </w:p>
    <w:p w14:paraId="4CFD973B" w14:textId="77777777" w:rsidR="00892142" w:rsidRDefault="00892142" w:rsidP="007833FF">
      <w:pPr>
        <w:spacing w:after="120"/>
        <w:ind w:left="1134" w:right="1134"/>
        <w:jc w:val="both"/>
        <w:rPr>
          <w:rFonts w:eastAsia="Times New Roman"/>
          <w:sz w:val="16"/>
          <w:szCs w:val="16"/>
          <w:lang w:eastAsia="en-US"/>
        </w:rPr>
      </w:pPr>
      <w:r w:rsidRPr="004153B4">
        <w:rPr>
          <w:rFonts w:eastAsia="Times New Roman"/>
          <w:sz w:val="16"/>
          <w:szCs w:val="16"/>
          <w:lang w:eastAsia="en-US"/>
        </w:rPr>
        <w:t>(Euros)</w:t>
      </w:r>
    </w:p>
    <w:tbl>
      <w:tblPr>
        <w:tblStyle w:val="TableGrid"/>
        <w:tblW w:w="737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326"/>
        <w:gridCol w:w="1682"/>
        <w:gridCol w:w="1681"/>
        <w:gridCol w:w="1681"/>
      </w:tblGrid>
      <w:tr w:rsidR="00892142" w:rsidRPr="00B01471" w14:paraId="59510594" w14:textId="77777777" w:rsidTr="007833FF">
        <w:trPr>
          <w:tblHeader/>
        </w:trPr>
        <w:tc>
          <w:tcPr>
            <w:tcW w:w="2326" w:type="dxa"/>
            <w:tcBorders>
              <w:top w:val="single" w:sz="4" w:space="0" w:color="auto"/>
              <w:bottom w:val="single" w:sz="12" w:space="0" w:color="auto"/>
            </w:tcBorders>
            <w:shd w:val="clear" w:color="auto" w:fill="auto"/>
            <w:vAlign w:val="bottom"/>
          </w:tcPr>
          <w:p w14:paraId="379F84B5" w14:textId="77777777" w:rsidR="00892142" w:rsidRPr="00B01471" w:rsidRDefault="00892142" w:rsidP="00887556">
            <w:pPr>
              <w:spacing w:before="80" w:after="80" w:line="200" w:lineRule="exact"/>
              <w:rPr>
                <w:i/>
                <w:sz w:val="16"/>
              </w:rPr>
            </w:pPr>
            <w:r w:rsidRPr="00B01471">
              <w:rPr>
                <w:i/>
                <w:sz w:val="16"/>
              </w:rPr>
              <w:t>Object of expenditure</w:t>
            </w:r>
          </w:p>
        </w:tc>
        <w:tc>
          <w:tcPr>
            <w:tcW w:w="1682" w:type="dxa"/>
            <w:tcBorders>
              <w:top w:val="single" w:sz="4" w:space="0" w:color="auto"/>
              <w:bottom w:val="single" w:sz="12" w:space="0" w:color="auto"/>
            </w:tcBorders>
            <w:shd w:val="clear" w:color="auto" w:fill="auto"/>
            <w:vAlign w:val="bottom"/>
          </w:tcPr>
          <w:p w14:paraId="7DB2D829" w14:textId="77777777" w:rsidR="00892142" w:rsidRPr="00B01471" w:rsidRDefault="00892142" w:rsidP="00887556">
            <w:pPr>
              <w:spacing w:before="80" w:after="80" w:line="200" w:lineRule="exact"/>
              <w:jc w:val="right"/>
              <w:rPr>
                <w:i/>
                <w:sz w:val="16"/>
              </w:rPr>
            </w:pPr>
            <w:r w:rsidRPr="00B01471">
              <w:rPr>
                <w:i/>
                <w:sz w:val="16"/>
              </w:rPr>
              <w:t>2020</w:t>
            </w:r>
          </w:p>
        </w:tc>
        <w:tc>
          <w:tcPr>
            <w:tcW w:w="1681" w:type="dxa"/>
            <w:tcBorders>
              <w:top w:val="single" w:sz="4" w:space="0" w:color="auto"/>
              <w:bottom w:val="single" w:sz="12" w:space="0" w:color="auto"/>
            </w:tcBorders>
            <w:shd w:val="clear" w:color="auto" w:fill="auto"/>
            <w:vAlign w:val="bottom"/>
          </w:tcPr>
          <w:p w14:paraId="511B96E1" w14:textId="77777777" w:rsidR="00892142" w:rsidRPr="00B01471" w:rsidRDefault="00892142" w:rsidP="00887556">
            <w:pPr>
              <w:spacing w:before="80" w:after="80" w:line="200" w:lineRule="exact"/>
              <w:jc w:val="right"/>
              <w:rPr>
                <w:i/>
                <w:sz w:val="16"/>
              </w:rPr>
            </w:pPr>
            <w:r w:rsidRPr="00B01471">
              <w:rPr>
                <w:i/>
                <w:sz w:val="16"/>
              </w:rPr>
              <w:t>2021</w:t>
            </w:r>
          </w:p>
        </w:tc>
        <w:tc>
          <w:tcPr>
            <w:tcW w:w="1681" w:type="dxa"/>
            <w:tcBorders>
              <w:top w:val="single" w:sz="4" w:space="0" w:color="auto"/>
              <w:bottom w:val="single" w:sz="12" w:space="0" w:color="auto"/>
            </w:tcBorders>
            <w:shd w:val="clear" w:color="auto" w:fill="auto"/>
            <w:vAlign w:val="bottom"/>
          </w:tcPr>
          <w:p w14:paraId="2A78047D" w14:textId="28C6250D" w:rsidR="00892142" w:rsidRPr="00B01471" w:rsidRDefault="00892142" w:rsidP="00887556">
            <w:pPr>
              <w:spacing w:before="80" w:after="80" w:line="200" w:lineRule="exact"/>
              <w:jc w:val="right"/>
              <w:rPr>
                <w:i/>
                <w:sz w:val="16"/>
              </w:rPr>
            </w:pPr>
            <w:r w:rsidRPr="00B01471">
              <w:rPr>
                <w:i/>
                <w:sz w:val="16"/>
              </w:rPr>
              <w:t>2020–2021</w:t>
            </w:r>
          </w:p>
        </w:tc>
      </w:tr>
      <w:tr w:rsidR="00892142" w:rsidRPr="00B01471" w14:paraId="3E19B6D7" w14:textId="77777777" w:rsidTr="007833FF">
        <w:trPr>
          <w:trHeight w:hRule="exact" w:val="104"/>
          <w:tblHeader/>
        </w:trPr>
        <w:tc>
          <w:tcPr>
            <w:tcW w:w="2326" w:type="dxa"/>
            <w:tcBorders>
              <w:top w:val="single" w:sz="12" w:space="0" w:color="auto"/>
            </w:tcBorders>
            <w:shd w:val="clear" w:color="auto" w:fill="auto"/>
            <w:vAlign w:val="bottom"/>
          </w:tcPr>
          <w:p w14:paraId="144FD443" w14:textId="77777777" w:rsidR="00892142" w:rsidRPr="00B01471" w:rsidRDefault="00892142" w:rsidP="00887556">
            <w:pPr>
              <w:spacing w:before="40" w:after="40" w:line="220" w:lineRule="exact"/>
              <w:rPr>
                <w:sz w:val="18"/>
                <w:szCs w:val="18"/>
              </w:rPr>
            </w:pPr>
          </w:p>
        </w:tc>
        <w:tc>
          <w:tcPr>
            <w:tcW w:w="1682" w:type="dxa"/>
            <w:tcBorders>
              <w:top w:val="single" w:sz="12" w:space="0" w:color="auto"/>
              <w:left w:val="nil"/>
              <w:bottom w:val="nil"/>
              <w:right w:val="nil"/>
            </w:tcBorders>
            <w:shd w:val="clear" w:color="auto" w:fill="auto"/>
            <w:vAlign w:val="center"/>
          </w:tcPr>
          <w:p w14:paraId="558ECB7B" w14:textId="77777777" w:rsidR="00892142" w:rsidRPr="00B01471" w:rsidRDefault="00892142" w:rsidP="00887556">
            <w:pPr>
              <w:spacing w:before="40" w:after="40" w:line="220" w:lineRule="exact"/>
              <w:jc w:val="right"/>
              <w:rPr>
                <w:sz w:val="18"/>
                <w:szCs w:val="18"/>
              </w:rPr>
            </w:pPr>
          </w:p>
        </w:tc>
        <w:tc>
          <w:tcPr>
            <w:tcW w:w="1681" w:type="dxa"/>
            <w:tcBorders>
              <w:top w:val="single" w:sz="12" w:space="0" w:color="auto"/>
              <w:left w:val="nil"/>
              <w:bottom w:val="nil"/>
              <w:right w:val="nil"/>
            </w:tcBorders>
            <w:shd w:val="clear" w:color="auto" w:fill="auto"/>
            <w:vAlign w:val="center"/>
          </w:tcPr>
          <w:p w14:paraId="62210FEA" w14:textId="77777777" w:rsidR="00892142" w:rsidRPr="00B01471" w:rsidRDefault="00892142" w:rsidP="00887556">
            <w:pPr>
              <w:spacing w:before="40" w:after="40" w:line="220" w:lineRule="exact"/>
              <w:jc w:val="right"/>
              <w:rPr>
                <w:sz w:val="18"/>
                <w:szCs w:val="18"/>
              </w:rPr>
            </w:pPr>
          </w:p>
        </w:tc>
        <w:tc>
          <w:tcPr>
            <w:tcW w:w="1681" w:type="dxa"/>
            <w:tcBorders>
              <w:top w:val="single" w:sz="12" w:space="0" w:color="auto"/>
              <w:left w:val="nil"/>
              <w:bottom w:val="nil"/>
              <w:right w:val="nil"/>
            </w:tcBorders>
            <w:shd w:val="clear" w:color="auto" w:fill="auto"/>
            <w:vAlign w:val="center"/>
          </w:tcPr>
          <w:p w14:paraId="296C62DE" w14:textId="77777777" w:rsidR="00892142" w:rsidRPr="00B01471" w:rsidRDefault="00892142" w:rsidP="00887556">
            <w:pPr>
              <w:spacing w:before="40" w:after="40" w:line="220" w:lineRule="exact"/>
              <w:jc w:val="right"/>
              <w:rPr>
                <w:sz w:val="18"/>
                <w:szCs w:val="18"/>
              </w:rPr>
            </w:pPr>
          </w:p>
        </w:tc>
      </w:tr>
      <w:tr w:rsidR="00892142" w:rsidRPr="00B01471" w14:paraId="161A36AE" w14:textId="77777777" w:rsidTr="007833FF">
        <w:trPr>
          <w:trHeight w:val="74"/>
        </w:trPr>
        <w:tc>
          <w:tcPr>
            <w:tcW w:w="2326" w:type="dxa"/>
            <w:shd w:val="clear" w:color="auto" w:fill="auto"/>
            <w:vAlign w:val="bottom"/>
          </w:tcPr>
          <w:p w14:paraId="7B8827ED" w14:textId="77777777" w:rsidR="00892142" w:rsidRPr="00B01471" w:rsidRDefault="00892142" w:rsidP="00887556">
            <w:pPr>
              <w:spacing w:before="40" w:after="40" w:line="220" w:lineRule="exact"/>
              <w:rPr>
                <w:sz w:val="18"/>
                <w:szCs w:val="18"/>
              </w:rPr>
            </w:pPr>
            <w:r w:rsidRPr="00B01471">
              <w:rPr>
                <w:sz w:val="18"/>
                <w:szCs w:val="18"/>
              </w:rPr>
              <w:t>Interpretation</w:t>
            </w:r>
          </w:p>
        </w:tc>
        <w:tc>
          <w:tcPr>
            <w:tcW w:w="1682" w:type="dxa"/>
            <w:tcBorders>
              <w:top w:val="nil"/>
              <w:left w:val="nil"/>
              <w:bottom w:val="nil"/>
              <w:right w:val="nil"/>
            </w:tcBorders>
            <w:shd w:val="clear" w:color="auto" w:fill="auto"/>
            <w:vAlign w:val="bottom"/>
          </w:tcPr>
          <w:p w14:paraId="3170966D" w14:textId="77777777" w:rsidR="00892142" w:rsidRPr="00B01471" w:rsidRDefault="00892142" w:rsidP="00887556">
            <w:pPr>
              <w:spacing w:before="40" w:after="40" w:line="220" w:lineRule="exact"/>
              <w:jc w:val="right"/>
              <w:rPr>
                <w:sz w:val="18"/>
                <w:szCs w:val="18"/>
              </w:rPr>
            </w:pPr>
            <w:r w:rsidRPr="00B01471">
              <w:rPr>
                <w:sz w:val="18"/>
                <w:szCs w:val="18"/>
              </w:rPr>
              <w:t>1 199 500</w:t>
            </w:r>
          </w:p>
        </w:tc>
        <w:tc>
          <w:tcPr>
            <w:tcW w:w="1681" w:type="dxa"/>
            <w:tcBorders>
              <w:top w:val="nil"/>
              <w:left w:val="nil"/>
              <w:bottom w:val="nil"/>
              <w:right w:val="nil"/>
            </w:tcBorders>
            <w:shd w:val="clear" w:color="auto" w:fill="auto"/>
            <w:vAlign w:val="bottom"/>
          </w:tcPr>
          <w:p w14:paraId="474799A8" w14:textId="77777777" w:rsidR="00892142" w:rsidRPr="00B01471" w:rsidRDefault="00892142" w:rsidP="00887556">
            <w:pPr>
              <w:spacing w:before="40" w:after="40" w:line="220" w:lineRule="exact"/>
              <w:jc w:val="right"/>
              <w:rPr>
                <w:sz w:val="18"/>
                <w:szCs w:val="18"/>
              </w:rPr>
            </w:pPr>
            <w:r w:rsidRPr="00B01471">
              <w:rPr>
                <w:sz w:val="18"/>
                <w:szCs w:val="18"/>
              </w:rPr>
              <w:t>1 235 500</w:t>
            </w:r>
          </w:p>
        </w:tc>
        <w:tc>
          <w:tcPr>
            <w:tcW w:w="1681" w:type="dxa"/>
            <w:tcBorders>
              <w:top w:val="nil"/>
              <w:left w:val="nil"/>
              <w:bottom w:val="nil"/>
              <w:right w:val="nil"/>
            </w:tcBorders>
            <w:shd w:val="clear" w:color="auto" w:fill="auto"/>
            <w:vAlign w:val="bottom"/>
          </w:tcPr>
          <w:p w14:paraId="20DE9581" w14:textId="77777777" w:rsidR="00892142" w:rsidRPr="00B01471" w:rsidRDefault="00892142" w:rsidP="00887556">
            <w:pPr>
              <w:spacing w:before="40" w:after="40" w:line="220" w:lineRule="exact"/>
              <w:jc w:val="right"/>
              <w:rPr>
                <w:sz w:val="18"/>
                <w:szCs w:val="18"/>
              </w:rPr>
            </w:pPr>
            <w:r w:rsidRPr="00B01471">
              <w:rPr>
                <w:sz w:val="18"/>
                <w:szCs w:val="18"/>
              </w:rPr>
              <w:t>2 435 000</w:t>
            </w:r>
          </w:p>
        </w:tc>
      </w:tr>
      <w:tr w:rsidR="00892142" w:rsidRPr="00B01471" w14:paraId="112CA3E6" w14:textId="77777777" w:rsidTr="007833FF">
        <w:tc>
          <w:tcPr>
            <w:tcW w:w="2326" w:type="dxa"/>
            <w:shd w:val="clear" w:color="auto" w:fill="auto"/>
            <w:vAlign w:val="bottom"/>
          </w:tcPr>
          <w:p w14:paraId="06B06943" w14:textId="77777777" w:rsidR="00892142" w:rsidRPr="00B01471" w:rsidRDefault="00892142" w:rsidP="00887556">
            <w:pPr>
              <w:spacing w:before="40" w:after="40" w:line="220" w:lineRule="exact"/>
              <w:rPr>
                <w:sz w:val="18"/>
                <w:szCs w:val="18"/>
              </w:rPr>
            </w:pPr>
            <w:r w:rsidRPr="00B01471">
              <w:rPr>
                <w:sz w:val="18"/>
                <w:szCs w:val="18"/>
              </w:rPr>
              <w:t>Documentation</w:t>
            </w:r>
          </w:p>
        </w:tc>
        <w:tc>
          <w:tcPr>
            <w:tcW w:w="1682" w:type="dxa"/>
            <w:tcBorders>
              <w:top w:val="nil"/>
              <w:left w:val="nil"/>
              <w:bottom w:val="nil"/>
              <w:right w:val="nil"/>
            </w:tcBorders>
            <w:shd w:val="clear" w:color="auto" w:fill="auto"/>
            <w:vAlign w:val="bottom"/>
          </w:tcPr>
          <w:p w14:paraId="38C2DDB9" w14:textId="77777777" w:rsidR="00892142" w:rsidRPr="00B01471" w:rsidRDefault="00892142" w:rsidP="00887556">
            <w:pPr>
              <w:spacing w:before="40" w:after="40" w:line="220" w:lineRule="exact"/>
              <w:jc w:val="right"/>
              <w:rPr>
                <w:sz w:val="18"/>
                <w:szCs w:val="18"/>
              </w:rPr>
            </w:pPr>
          </w:p>
        </w:tc>
        <w:tc>
          <w:tcPr>
            <w:tcW w:w="1681" w:type="dxa"/>
            <w:tcBorders>
              <w:top w:val="nil"/>
              <w:left w:val="nil"/>
              <w:bottom w:val="nil"/>
              <w:right w:val="nil"/>
            </w:tcBorders>
            <w:shd w:val="clear" w:color="auto" w:fill="auto"/>
            <w:vAlign w:val="bottom"/>
          </w:tcPr>
          <w:p w14:paraId="26C0C665" w14:textId="77777777" w:rsidR="00892142" w:rsidRPr="00B01471" w:rsidRDefault="00892142" w:rsidP="00887556">
            <w:pPr>
              <w:spacing w:before="40" w:after="40" w:line="220" w:lineRule="exact"/>
              <w:jc w:val="right"/>
              <w:rPr>
                <w:sz w:val="18"/>
                <w:szCs w:val="18"/>
              </w:rPr>
            </w:pPr>
          </w:p>
        </w:tc>
        <w:tc>
          <w:tcPr>
            <w:tcW w:w="1681" w:type="dxa"/>
            <w:tcBorders>
              <w:top w:val="nil"/>
              <w:left w:val="nil"/>
              <w:bottom w:val="nil"/>
              <w:right w:val="nil"/>
            </w:tcBorders>
            <w:shd w:val="clear" w:color="auto" w:fill="auto"/>
            <w:vAlign w:val="bottom"/>
          </w:tcPr>
          <w:p w14:paraId="4C87CF68" w14:textId="77777777" w:rsidR="00892142" w:rsidRPr="00B01471" w:rsidRDefault="00892142" w:rsidP="00887556">
            <w:pPr>
              <w:spacing w:before="40" w:after="40" w:line="220" w:lineRule="exact"/>
              <w:jc w:val="right"/>
              <w:rPr>
                <w:sz w:val="18"/>
                <w:szCs w:val="18"/>
              </w:rPr>
            </w:pPr>
          </w:p>
        </w:tc>
      </w:tr>
      <w:tr w:rsidR="00892142" w:rsidRPr="00B01471" w14:paraId="1D848B66" w14:textId="77777777" w:rsidTr="007833FF">
        <w:tc>
          <w:tcPr>
            <w:tcW w:w="2326" w:type="dxa"/>
            <w:shd w:val="clear" w:color="auto" w:fill="auto"/>
            <w:vAlign w:val="bottom"/>
          </w:tcPr>
          <w:p w14:paraId="78985D3B" w14:textId="77777777" w:rsidR="00892142" w:rsidRPr="00B01471" w:rsidRDefault="00892142" w:rsidP="00887556">
            <w:pPr>
              <w:spacing w:before="40" w:after="40" w:line="220" w:lineRule="exact"/>
              <w:ind w:left="567"/>
              <w:rPr>
                <w:sz w:val="18"/>
                <w:szCs w:val="18"/>
              </w:rPr>
            </w:pPr>
            <w:r w:rsidRPr="00B01471">
              <w:rPr>
                <w:sz w:val="18"/>
                <w:szCs w:val="18"/>
              </w:rPr>
              <w:t>Translation</w:t>
            </w:r>
          </w:p>
        </w:tc>
        <w:tc>
          <w:tcPr>
            <w:tcW w:w="1682" w:type="dxa"/>
            <w:tcBorders>
              <w:top w:val="nil"/>
              <w:left w:val="nil"/>
              <w:bottom w:val="nil"/>
              <w:right w:val="nil"/>
            </w:tcBorders>
            <w:shd w:val="clear" w:color="auto" w:fill="auto"/>
            <w:vAlign w:val="bottom"/>
          </w:tcPr>
          <w:p w14:paraId="083DA6DC" w14:textId="77777777" w:rsidR="00892142" w:rsidRPr="00B01471" w:rsidRDefault="00892142" w:rsidP="00887556">
            <w:pPr>
              <w:spacing w:before="40" w:after="40" w:line="220" w:lineRule="exact"/>
              <w:jc w:val="right"/>
              <w:rPr>
                <w:sz w:val="18"/>
                <w:szCs w:val="18"/>
              </w:rPr>
            </w:pPr>
            <w:r w:rsidRPr="00B01471">
              <w:rPr>
                <w:sz w:val="18"/>
                <w:szCs w:val="18"/>
              </w:rPr>
              <w:t>1 074 400</w:t>
            </w:r>
          </w:p>
        </w:tc>
        <w:tc>
          <w:tcPr>
            <w:tcW w:w="1681" w:type="dxa"/>
            <w:tcBorders>
              <w:top w:val="nil"/>
              <w:left w:val="nil"/>
              <w:bottom w:val="nil"/>
              <w:right w:val="nil"/>
            </w:tcBorders>
            <w:shd w:val="clear" w:color="auto" w:fill="auto"/>
            <w:vAlign w:val="bottom"/>
          </w:tcPr>
          <w:p w14:paraId="4036F44E" w14:textId="77777777" w:rsidR="00892142" w:rsidRPr="00B01471" w:rsidRDefault="00892142" w:rsidP="00887556">
            <w:pPr>
              <w:spacing w:before="40" w:after="40" w:line="220" w:lineRule="exact"/>
              <w:jc w:val="right"/>
              <w:rPr>
                <w:sz w:val="18"/>
                <w:szCs w:val="18"/>
              </w:rPr>
            </w:pPr>
            <w:r w:rsidRPr="00B01471">
              <w:rPr>
                <w:sz w:val="18"/>
                <w:szCs w:val="18"/>
              </w:rPr>
              <w:t>1 106 700</w:t>
            </w:r>
          </w:p>
        </w:tc>
        <w:tc>
          <w:tcPr>
            <w:tcW w:w="1681" w:type="dxa"/>
            <w:tcBorders>
              <w:top w:val="nil"/>
              <w:left w:val="nil"/>
              <w:bottom w:val="nil"/>
              <w:right w:val="nil"/>
            </w:tcBorders>
            <w:shd w:val="clear" w:color="auto" w:fill="auto"/>
            <w:vAlign w:val="bottom"/>
          </w:tcPr>
          <w:p w14:paraId="17471886" w14:textId="77777777" w:rsidR="00892142" w:rsidRPr="00B01471" w:rsidRDefault="00892142" w:rsidP="00887556">
            <w:pPr>
              <w:spacing w:before="40" w:after="40" w:line="220" w:lineRule="exact"/>
              <w:jc w:val="right"/>
              <w:rPr>
                <w:sz w:val="18"/>
                <w:szCs w:val="18"/>
              </w:rPr>
            </w:pPr>
            <w:r w:rsidRPr="00B01471">
              <w:rPr>
                <w:sz w:val="18"/>
                <w:szCs w:val="18"/>
              </w:rPr>
              <w:t>2 181 100</w:t>
            </w:r>
          </w:p>
        </w:tc>
      </w:tr>
      <w:tr w:rsidR="00892142" w:rsidRPr="00B01471" w14:paraId="2FF6FA37" w14:textId="77777777" w:rsidTr="007833FF">
        <w:tc>
          <w:tcPr>
            <w:tcW w:w="2326" w:type="dxa"/>
            <w:shd w:val="clear" w:color="auto" w:fill="auto"/>
            <w:vAlign w:val="bottom"/>
          </w:tcPr>
          <w:p w14:paraId="00E47CCF" w14:textId="77777777" w:rsidR="00892142" w:rsidRPr="00B01471" w:rsidRDefault="00892142" w:rsidP="00887556">
            <w:pPr>
              <w:spacing w:before="40" w:after="40" w:line="220" w:lineRule="exact"/>
              <w:ind w:left="567"/>
              <w:rPr>
                <w:sz w:val="18"/>
                <w:szCs w:val="18"/>
              </w:rPr>
            </w:pPr>
            <w:r w:rsidRPr="00B01471">
              <w:rPr>
                <w:sz w:val="18"/>
                <w:szCs w:val="18"/>
              </w:rPr>
              <w:t>Reproduction and distribution</w:t>
            </w:r>
          </w:p>
        </w:tc>
        <w:tc>
          <w:tcPr>
            <w:tcW w:w="1682" w:type="dxa"/>
            <w:tcBorders>
              <w:top w:val="nil"/>
              <w:left w:val="nil"/>
              <w:bottom w:val="nil"/>
              <w:right w:val="nil"/>
            </w:tcBorders>
            <w:shd w:val="clear" w:color="auto" w:fill="auto"/>
            <w:vAlign w:val="bottom"/>
          </w:tcPr>
          <w:p w14:paraId="5894BFE1" w14:textId="77777777" w:rsidR="00892142" w:rsidRPr="00B01471" w:rsidRDefault="00892142" w:rsidP="00887556">
            <w:pPr>
              <w:spacing w:before="40" w:after="40" w:line="220" w:lineRule="exact"/>
              <w:jc w:val="right"/>
              <w:rPr>
                <w:sz w:val="18"/>
                <w:szCs w:val="18"/>
              </w:rPr>
            </w:pPr>
            <w:r w:rsidRPr="00B01471">
              <w:rPr>
                <w:sz w:val="18"/>
                <w:szCs w:val="18"/>
              </w:rPr>
              <w:t>625 300</w:t>
            </w:r>
          </w:p>
        </w:tc>
        <w:tc>
          <w:tcPr>
            <w:tcW w:w="1681" w:type="dxa"/>
            <w:tcBorders>
              <w:top w:val="nil"/>
              <w:left w:val="nil"/>
              <w:bottom w:val="nil"/>
              <w:right w:val="nil"/>
            </w:tcBorders>
            <w:shd w:val="clear" w:color="auto" w:fill="auto"/>
            <w:vAlign w:val="bottom"/>
          </w:tcPr>
          <w:p w14:paraId="5D91FACC" w14:textId="77777777" w:rsidR="00892142" w:rsidRPr="00B01471" w:rsidRDefault="00892142" w:rsidP="00887556">
            <w:pPr>
              <w:spacing w:before="40" w:after="40" w:line="220" w:lineRule="exact"/>
              <w:jc w:val="right"/>
              <w:rPr>
                <w:sz w:val="18"/>
                <w:szCs w:val="18"/>
              </w:rPr>
            </w:pPr>
            <w:r w:rsidRPr="00B01471">
              <w:rPr>
                <w:sz w:val="18"/>
                <w:szCs w:val="18"/>
              </w:rPr>
              <w:t>644 000</w:t>
            </w:r>
          </w:p>
        </w:tc>
        <w:tc>
          <w:tcPr>
            <w:tcW w:w="1681" w:type="dxa"/>
            <w:tcBorders>
              <w:top w:val="nil"/>
              <w:left w:val="nil"/>
              <w:bottom w:val="nil"/>
              <w:right w:val="nil"/>
            </w:tcBorders>
            <w:shd w:val="clear" w:color="auto" w:fill="auto"/>
            <w:vAlign w:val="bottom"/>
          </w:tcPr>
          <w:p w14:paraId="444F442B" w14:textId="77777777" w:rsidR="00892142" w:rsidRPr="00B01471" w:rsidRDefault="00892142" w:rsidP="00887556">
            <w:pPr>
              <w:spacing w:before="40" w:after="40" w:line="220" w:lineRule="exact"/>
              <w:jc w:val="right"/>
              <w:rPr>
                <w:sz w:val="18"/>
                <w:szCs w:val="18"/>
              </w:rPr>
            </w:pPr>
            <w:r w:rsidRPr="00B01471">
              <w:rPr>
                <w:sz w:val="18"/>
                <w:szCs w:val="18"/>
              </w:rPr>
              <w:t>1 269 300</w:t>
            </w:r>
          </w:p>
        </w:tc>
      </w:tr>
      <w:tr w:rsidR="00892142" w:rsidRPr="00B01471" w14:paraId="74DED1DE" w14:textId="77777777" w:rsidTr="007833FF">
        <w:tc>
          <w:tcPr>
            <w:tcW w:w="2326" w:type="dxa"/>
            <w:tcBorders>
              <w:bottom w:val="single" w:sz="4" w:space="0" w:color="auto"/>
            </w:tcBorders>
            <w:shd w:val="clear" w:color="auto" w:fill="auto"/>
            <w:vAlign w:val="bottom"/>
          </w:tcPr>
          <w:p w14:paraId="30E9EC98" w14:textId="77777777" w:rsidR="00892142" w:rsidRPr="00B01471" w:rsidRDefault="00892142" w:rsidP="00887556">
            <w:pPr>
              <w:spacing w:before="40" w:after="40" w:line="220" w:lineRule="exact"/>
              <w:rPr>
                <w:sz w:val="18"/>
                <w:szCs w:val="18"/>
              </w:rPr>
            </w:pPr>
            <w:r w:rsidRPr="00B01471">
              <w:rPr>
                <w:sz w:val="18"/>
                <w:szCs w:val="18"/>
              </w:rPr>
              <w:t>Meetings services support</w:t>
            </w:r>
          </w:p>
        </w:tc>
        <w:tc>
          <w:tcPr>
            <w:tcW w:w="1682" w:type="dxa"/>
            <w:tcBorders>
              <w:top w:val="nil"/>
              <w:left w:val="nil"/>
              <w:bottom w:val="single" w:sz="4" w:space="0" w:color="auto"/>
              <w:right w:val="nil"/>
            </w:tcBorders>
            <w:shd w:val="clear" w:color="auto" w:fill="auto"/>
            <w:vAlign w:val="bottom"/>
          </w:tcPr>
          <w:p w14:paraId="19264A2E" w14:textId="77777777" w:rsidR="00892142" w:rsidRPr="00B01471" w:rsidRDefault="00892142" w:rsidP="00887556">
            <w:pPr>
              <w:spacing w:before="40" w:after="40" w:line="220" w:lineRule="exact"/>
              <w:jc w:val="right"/>
              <w:rPr>
                <w:sz w:val="18"/>
                <w:szCs w:val="18"/>
              </w:rPr>
            </w:pPr>
            <w:r w:rsidRPr="00B01471">
              <w:rPr>
                <w:sz w:val="18"/>
                <w:szCs w:val="18"/>
              </w:rPr>
              <w:t>239 000</w:t>
            </w:r>
          </w:p>
        </w:tc>
        <w:tc>
          <w:tcPr>
            <w:tcW w:w="1681" w:type="dxa"/>
            <w:tcBorders>
              <w:top w:val="nil"/>
              <w:left w:val="nil"/>
              <w:bottom w:val="single" w:sz="4" w:space="0" w:color="auto"/>
              <w:right w:val="nil"/>
            </w:tcBorders>
            <w:shd w:val="clear" w:color="auto" w:fill="auto"/>
            <w:vAlign w:val="bottom"/>
          </w:tcPr>
          <w:p w14:paraId="6CF87AB5" w14:textId="77777777" w:rsidR="00892142" w:rsidRPr="00B01471" w:rsidRDefault="00892142" w:rsidP="00887556">
            <w:pPr>
              <w:spacing w:before="40" w:after="40" w:line="220" w:lineRule="exact"/>
              <w:jc w:val="right"/>
              <w:rPr>
                <w:sz w:val="18"/>
                <w:szCs w:val="18"/>
              </w:rPr>
            </w:pPr>
            <w:r w:rsidRPr="00B01471">
              <w:rPr>
                <w:sz w:val="18"/>
                <w:szCs w:val="18"/>
              </w:rPr>
              <w:t>246 200</w:t>
            </w:r>
          </w:p>
        </w:tc>
        <w:tc>
          <w:tcPr>
            <w:tcW w:w="1681" w:type="dxa"/>
            <w:tcBorders>
              <w:top w:val="nil"/>
              <w:left w:val="nil"/>
              <w:bottom w:val="single" w:sz="4" w:space="0" w:color="auto"/>
              <w:right w:val="nil"/>
            </w:tcBorders>
            <w:shd w:val="clear" w:color="auto" w:fill="auto"/>
            <w:vAlign w:val="bottom"/>
          </w:tcPr>
          <w:p w14:paraId="13887435" w14:textId="77777777" w:rsidR="00892142" w:rsidRPr="00B01471" w:rsidRDefault="00892142" w:rsidP="00887556">
            <w:pPr>
              <w:spacing w:before="40" w:after="40" w:line="220" w:lineRule="exact"/>
              <w:jc w:val="right"/>
              <w:rPr>
                <w:sz w:val="18"/>
                <w:szCs w:val="18"/>
              </w:rPr>
            </w:pPr>
            <w:r w:rsidRPr="00B01471">
              <w:rPr>
                <w:sz w:val="18"/>
                <w:szCs w:val="18"/>
              </w:rPr>
              <w:t>485 200</w:t>
            </w:r>
          </w:p>
        </w:tc>
      </w:tr>
      <w:tr w:rsidR="00892142" w:rsidRPr="00B01471" w14:paraId="15DB00CA" w14:textId="77777777" w:rsidTr="007833FF">
        <w:tc>
          <w:tcPr>
            <w:tcW w:w="2326" w:type="dxa"/>
            <w:tcBorders>
              <w:top w:val="single" w:sz="4" w:space="0" w:color="auto"/>
              <w:bottom w:val="single" w:sz="4" w:space="0" w:color="auto"/>
            </w:tcBorders>
            <w:shd w:val="clear" w:color="auto" w:fill="auto"/>
            <w:vAlign w:val="bottom"/>
          </w:tcPr>
          <w:p w14:paraId="23262FD4" w14:textId="77777777" w:rsidR="00892142" w:rsidRPr="00B01471" w:rsidRDefault="00892142" w:rsidP="00887556">
            <w:pPr>
              <w:suppressAutoHyphens w:val="0"/>
              <w:spacing w:before="40" w:after="40" w:line="220" w:lineRule="exact"/>
              <w:ind w:right="38" w:firstLine="297"/>
              <w:rPr>
                <w:b/>
                <w:sz w:val="18"/>
                <w:szCs w:val="18"/>
              </w:rPr>
            </w:pPr>
            <w:r w:rsidRPr="00B01471">
              <w:rPr>
                <w:rFonts w:eastAsia="Times New Roman"/>
                <w:b/>
                <w:sz w:val="18"/>
                <w:szCs w:val="18"/>
                <w:lang w:eastAsia="de-DE"/>
              </w:rPr>
              <w:t>Subtotal</w:t>
            </w:r>
          </w:p>
        </w:tc>
        <w:tc>
          <w:tcPr>
            <w:tcW w:w="1682" w:type="dxa"/>
            <w:tcBorders>
              <w:top w:val="single" w:sz="4" w:space="0" w:color="auto"/>
              <w:left w:val="nil"/>
              <w:bottom w:val="single" w:sz="4" w:space="0" w:color="auto"/>
              <w:right w:val="nil"/>
            </w:tcBorders>
            <w:shd w:val="clear" w:color="auto" w:fill="auto"/>
            <w:vAlign w:val="center"/>
          </w:tcPr>
          <w:p w14:paraId="0B05AD5D" w14:textId="77777777" w:rsidR="00892142" w:rsidRPr="00B01471" w:rsidRDefault="00892142" w:rsidP="00887556">
            <w:pPr>
              <w:spacing w:before="40" w:after="40" w:line="220" w:lineRule="exact"/>
              <w:jc w:val="right"/>
              <w:rPr>
                <w:sz w:val="18"/>
                <w:szCs w:val="18"/>
              </w:rPr>
            </w:pPr>
            <w:r w:rsidRPr="00B01471">
              <w:rPr>
                <w:b/>
                <w:sz w:val="18"/>
                <w:szCs w:val="18"/>
              </w:rPr>
              <w:t>3 138 200</w:t>
            </w:r>
          </w:p>
        </w:tc>
        <w:tc>
          <w:tcPr>
            <w:tcW w:w="1681" w:type="dxa"/>
            <w:tcBorders>
              <w:top w:val="single" w:sz="4" w:space="0" w:color="auto"/>
              <w:left w:val="nil"/>
              <w:bottom w:val="single" w:sz="4" w:space="0" w:color="auto"/>
              <w:right w:val="nil"/>
            </w:tcBorders>
            <w:shd w:val="clear" w:color="auto" w:fill="auto"/>
            <w:vAlign w:val="center"/>
          </w:tcPr>
          <w:p w14:paraId="73D877FD" w14:textId="77777777" w:rsidR="00892142" w:rsidRPr="00B01471" w:rsidRDefault="00892142" w:rsidP="00887556">
            <w:pPr>
              <w:spacing w:before="40" w:after="40" w:line="220" w:lineRule="exact"/>
              <w:jc w:val="right"/>
              <w:rPr>
                <w:sz w:val="18"/>
                <w:szCs w:val="18"/>
              </w:rPr>
            </w:pPr>
            <w:r w:rsidRPr="00B01471">
              <w:rPr>
                <w:b/>
                <w:sz w:val="18"/>
                <w:szCs w:val="18"/>
              </w:rPr>
              <w:t>3 232 400</w:t>
            </w:r>
          </w:p>
        </w:tc>
        <w:tc>
          <w:tcPr>
            <w:tcW w:w="1681" w:type="dxa"/>
            <w:tcBorders>
              <w:top w:val="single" w:sz="4" w:space="0" w:color="auto"/>
              <w:left w:val="nil"/>
              <w:bottom w:val="single" w:sz="4" w:space="0" w:color="auto"/>
              <w:right w:val="nil"/>
            </w:tcBorders>
            <w:shd w:val="clear" w:color="auto" w:fill="auto"/>
            <w:vAlign w:val="center"/>
          </w:tcPr>
          <w:p w14:paraId="52800F62" w14:textId="77777777" w:rsidR="00892142" w:rsidRPr="00B01471" w:rsidRDefault="00892142" w:rsidP="00887556">
            <w:pPr>
              <w:spacing w:before="40" w:after="40" w:line="220" w:lineRule="exact"/>
              <w:jc w:val="right"/>
              <w:rPr>
                <w:sz w:val="18"/>
                <w:szCs w:val="18"/>
              </w:rPr>
            </w:pPr>
            <w:r w:rsidRPr="00B01471">
              <w:rPr>
                <w:b/>
                <w:sz w:val="18"/>
                <w:szCs w:val="18"/>
              </w:rPr>
              <w:t>6 370 600</w:t>
            </w:r>
          </w:p>
        </w:tc>
      </w:tr>
      <w:tr w:rsidR="00892142" w:rsidRPr="00B01471" w14:paraId="1773CE45" w14:textId="77777777" w:rsidTr="007833FF">
        <w:tc>
          <w:tcPr>
            <w:tcW w:w="2326" w:type="dxa"/>
            <w:tcBorders>
              <w:top w:val="single" w:sz="4" w:space="0" w:color="auto"/>
            </w:tcBorders>
            <w:shd w:val="clear" w:color="auto" w:fill="auto"/>
            <w:vAlign w:val="bottom"/>
          </w:tcPr>
          <w:p w14:paraId="0DBA053A" w14:textId="77777777" w:rsidR="00892142" w:rsidRPr="00B01471" w:rsidRDefault="00892142" w:rsidP="00887556">
            <w:pPr>
              <w:spacing w:before="40" w:after="40" w:line="220" w:lineRule="exact"/>
              <w:rPr>
                <w:sz w:val="18"/>
                <w:szCs w:val="18"/>
              </w:rPr>
            </w:pPr>
            <w:r w:rsidRPr="00B01471">
              <w:rPr>
                <w:sz w:val="18"/>
                <w:szCs w:val="18"/>
              </w:rPr>
              <w:t>Overhead charge</w:t>
            </w:r>
          </w:p>
        </w:tc>
        <w:tc>
          <w:tcPr>
            <w:tcW w:w="1682" w:type="dxa"/>
            <w:tcBorders>
              <w:top w:val="single" w:sz="4" w:space="0" w:color="auto"/>
              <w:left w:val="nil"/>
              <w:bottom w:val="nil"/>
              <w:right w:val="nil"/>
            </w:tcBorders>
            <w:shd w:val="clear" w:color="auto" w:fill="auto"/>
            <w:vAlign w:val="center"/>
          </w:tcPr>
          <w:p w14:paraId="34672C42" w14:textId="77777777" w:rsidR="00892142" w:rsidRPr="00B01471" w:rsidRDefault="00892142" w:rsidP="00887556">
            <w:pPr>
              <w:spacing w:before="40" w:after="40" w:line="220" w:lineRule="exact"/>
              <w:jc w:val="right"/>
              <w:rPr>
                <w:sz w:val="18"/>
                <w:szCs w:val="18"/>
              </w:rPr>
            </w:pPr>
            <w:r w:rsidRPr="00B01471">
              <w:rPr>
                <w:sz w:val="18"/>
                <w:szCs w:val="18"/>
              </w:rPr>
              <w:t>408 000</w:t>
            </w:r>
          </w:p>
        </w:tc>
        <w:tc>
          <w:tcPr>
            <w:tcW w:w="1681" w:type="dxa"/>
            <w:tcBorders>
              <w:top w:val="single" w:sz="4" w:space="0" w:color="auto"/>
              <w:left w:val="nil"/>
              <w:bottom w:val="nil"/>
              <w:right w:val="nil"/>
            </w:tcBorders>
            <w:shd w:val="clear" w:color="auto" w:fill="auto"/>
            <w:vAlign w:val="center"/>
          </w:tcPr>
          <w:p w14:paraId="75199D91" w14:textId="77777777" w:rsidR="00892142" w:rsidRPr="00B01471" w:rsidRDefault="00892142" w:rsidP="00887556">
            <w:pPr>
              <w:spacing w:before="40" w:after="40" w:line="220" w:lineRule="exact"/>
              <w:jc w:val="right"/>
              <w:rPr>
                <w:sz w:val="18"/>
                <w:szCs w:val="18"/>
              </w:rPr>
            </w:pPr>
            <w:r w:rsidRPr="00B01471">
              <w:rPr>
                <w:sz w:val="18"/>
                <w:szCs w:val="18"/>
              </w:rPr>
              <w:t>420 200</w:t>
            </w:r>
          </w:p>
        </w:tc>
        <w:tc>
          <w:tcPr>
            <w:tcW w:w="1681" w:type="dxa"/>
            <w:tcBorders>
              <w:top w:val="single" w:sz="4" w:space="0" w:color="auto"/>
              <w:left w:val="nil"/>
              <w:bottom w:val="nil"/>
              <w:right w:val="nil"/>
            </w:tcBorders>
            <w:shd w:val="clear" w:color="auto" w:fill="auto"/>
            <w:vAlign w:val="center"/>
          </w:tcPr>
          <w:p w14:paraId="72BEA95A" w14:textId="77777777" w:rsidR="00892142" w:rsidRPr="00B01471" w:rsidRDefault="00892142" w:rsidP="00887556">
            <w:pPr>
              <w:spacing w:before="40" w:after="40" w:line="220" w:lineRule="exact"/>
              <w:jc w:val="right"/>
              <w:rPr>
                <w:sz w:val="18"/>
                <w:szCs w:val="18"/>
              </w:rPr>
            </w:pPr>
            <w:r w:rsidRPr="00B01471">
              <w:rPr>
                <w:sz w:val="18"/>
                <w:szCs w:val="18"/>
              </w:rPr>
              <w:t>828 200</w:t>
            </w:r>
          </w:p>
        </w:tc>
      </w:tr>
      <w:tr w:rsidR="00892142" w:rsidRPr="00B01471" w14:paraId="0BD83CB1" w14:textId="77777777" w:rsidTr="007833FF">
        <w:tc>
          <w:tcPr>
            <w:tcW w:w="2326" w:type="dxa"/>
            <w:tcBorders>
              <w:bottom w:val="single" w:sz="4" w:space="0" w:color="auto"/>
            </w:tcBorders>
            <w:shd w:val="clear" w:color="auto" w:fill="auto"/>
            <w:vAlign w:val="bottom"/>
          </w:tcPr>
          <w:p w14:paraId="50BCE82F" w14:textId="77777777" w:rsidR="00892142" w:rsidRPr="00B01471" w:rsidRDefault="00892142" w:rsidP="00887556">
            <w:pPr>
              <w:spacing w:before="40" w:after="40" w:line="220" w:lineRule="exact"/>
              <w:rPr>
                <w:sz w:val="18"/>
                <w:szCs w:val="18"/>
              </w:rPr>
            </w:pPr>
            <w:r w:rsidRPr="00B01471">
              <w:rPr>
                <w:sz w:val="18"/>
                <w:szCs w:val="18"/>
              </w:rPr>
              <w:t>Working capital reserve</w:t>
            </w:r>
          </w:p>
        </w:tc>
        <w:tc>
          <w:tcPr>
            <w:tcW w:w="1682" w:type="dxa"/>
            <w:tcBorders>
              <w:top w:val="nil"/>
              <w:left w:val="nil"/>
              <w:bottom w:val="single" w:sz="4" w:space="0" w:color="auto"/>
              <w:right w:val="nil"/>
            </w:tcBorders>
            <w:shd w:val="clear" w:color="auto" w:fill="auto"/>
            <w:vAlign w:val="center"/>
          </w:tcPr>
          <w:p w14:paraId="7A2438F9" w14:textId="77777777" w:rsidR="00892142" w:rsidRPr="00B01471" w:rsidRDefault="00892142" w:rsidP="00887556">
            <w:pPr>
              <w:spacing w:before="40" w:after="40" w:line="220" w:lineRule="exact"/>
              <w:jc w:val="right"/>
              <w:rPr>
                <w:sz w:val="18"/>
                <w:szCs w:val="18"/>
              </w:rPr>
            </w:pPr>
            <w:r w:rsidRPr="00B01471">
              <w:rPr>
                <w:sz w:val="18"/>
                <w:szCs w:val="18"/>
              </w:rPr>
              <w:t>294 300</w:t>
            </w:r>
          </w:p>
        </w:tc>
        <w:tc>
          <w:tcPr>
            <w:tcW w:w="1681" w:type="dxa"/>
            <w:tcBorders>
              <w:top w:val="nil"/>
              <w:left w:val="nil"/>
              <w:bottom w:val="single" w:sz="4" w:space="0" w:color="auto"/>
              <w:right w:val="nil"/>
            </w:tcBorders>
            <w:shd w:val="clear" w:color="auto" w:fill="auto"/>
            <w:vAlign w:val="center"/>
          </w:tcPr>
          <w:p w14:paraId="5AAAA9DB" w14:textId="77777777" w:rsidR="00892142" w:rsidRPr="00B01471" w:rsidRDefault="00892142" w:rsidP="00887556">
            <w:pPr>
              <w:spacing w:before="40" w:after="40" w:line="220" w:lineRule="exact"/>
              <w:jc w:val="right"/>
              <w:rPr>
                <w:sz w:val="18"/>
                <w:szCs w:val="18"/>
              </w:rPr>
            </w:pPr>
            <w:r w:rsidRPr="00B01471">
              <w:rPr>
                <w:sz w:val="18"/>
                <w:szCs w:val="18"/>
              </w:rPr>
              <w:t>8 800</w:t>
            </w:r>
          </w:p>
        </w:tc>
        <w:tc>
          <w:tcPr>
            <w:tcW w:w="1681" w:type="dxa"/>
            <w:tcBorders>
              <w:top w:val="nil"/>
              <w:left w:val="nil"/>
              <w:bottom w:val="single" w:sz="4" w:space="0" w:color="auto"/>
              <w:right w:val="nil"/>
            </w:tcBorders>
            <w:shd w:val="clear" w:color="auto" w:fill="auto"/>
            <w:vAlign w:val="center"/>
          </w:tcPr>
          <w:p w14:paraId="60432B12" w14:textId="77777777" w:rsidR="00892142" w:rsidRPr="00B01471" w:rsidRDefault="00892142" w:rsidP="00887556">
            <w:pPr>
              <w:spacing w:before="40" w:after="40" w:line="220" w:lineRule="exact"/>
              <w:jc w:val="right"/>
              <w:rPr>
                <w:sz w:val="18"/>
                <w:szCs w:val="18"/>
              </w:rPr>
            </w:pPr>
            <w:r w:rsidRPr="00B01471">
              <w:rPr>
                <w:sz w:val="18"/>
                <w:szCs w:val="18"/>
              </w:rPr>
              <w:t>303 100</w:t>
            </w:r>
          </w:p>
        </w:tc>
      </w:tr>
      <w:tr w:rsidR="00892142" w:rsidRPr="00B01471" w14:paraId="07494527" w14:textId="77777777" w:rsidTr="007833FF">
        <w:tc>
          <w:tcPr>
            <w:tcW w:w="2326" w:type="dxa"/>
            <w:tcBorders>
              <w:top w:val="single" w:sz="4" w:space="0" w:color="auto"/>
              <w:bottom w:val="single" w:sz="12" w:space="0" w:color="auto"/>
            </w:tcBorders>
            <w:shd w:val="clear" w:color="auto" w:fill="auto"/>
            <w:vAlign w:val="bottom"/>
          </w:tcPr>
          <w:p w14:paraId="019CFC0A" w14:textId="77777777" w:rsidR="00892142" w:rsidRPr="00B01471" w:rsidRDefault="00892142" w:rsidP="00887556">
            <w:pPr>
              <w:suppressAutoHyphens w:val="0"/>
              <w:spacing w:before="40" w:after="40" w:line="220" w:lineRule="exact"/>
              <w:ind w:right="38" w:firstLine="297"/>
              <w:rPr>
                <w:b/>
                <w:sz w:val="18"/>
                <w:szCs w:val="18"/>
              </w:rPr>
            </w:pPr>
            <w:r w:rsidRPr="00B01471">
              <w:rPr>
                <w:rFonts w:eastAsia="Times New Roman"/>
                <w:b/>
                <w:sz w:val="18"/>
                <w:szCs w:val="18"/>
                <w:lang w:eastAsia="de-DE"/>
              </w:rPr>
              <w:t>Total</w:t>
            </w:r>
          </w:p>
        </w:tc>
        <w:tc>
          <w:tcPr>
            <w:tcW w:w="1682" w:type="dxa"/>
            <w:tcBorders>
              <w:top w:val="single" w:sz="4" w:space="0" w:color="auto"/>
              <w:left w:val="nil"/>
              <w:bottom w:val="single" w:sz="12" w:space="0" w:color="auto"/>
              <w:right w:val="nil"/>
            </w:tcBorders>
            <w:shd w:val="clear" w:color="auto" w:fill="auto"/>
            <w:vAlign w:val="center"/>
          </w:tcPr>
          <w:p w14:paraId="7E7DC5C6" w14:textId="77777777" w:rsidR="00892142" w:rsidRPr="00B01471" w:rsidRDefault="00892142" w:rsidP="00887556">
            <w:pPr>
              <w:spacing w:before="40" w:after="40" w:line="220" w:lineRule="exact"/>
              <w:jc w:val="right"/>
              <w:rPr>
                <w:sz w:val="18"/>
                <w:szCs w:val="18"/>
              </w:rPr>
            </w:pPr>
            <w:r w:rsidRPr="00B01471">
              <w:rPr>
                <w:b/>
                <w:sz w:val="18"/>
                <w:szCs w:val="18"/>
              </w:rPr>
              <w:t>3 840 500</w:t>
            </w:r>
          </w:p>
        </w:tc>
        <w:tc>
          <w:tcPr>
            <w:tcW w:w="1681" w:type="dxa"/>
            <w:tcBorders>
              <w:top w:val="single" w:sz="4" w:space="0" w:color="auto"/>
              <w:left w:val="nil"/>
              <w:bottom w:val="single" w:sz="12" w:space="0" w:color="auto"/>
              <w:right w:val="nil"/>
            </w:tcBorders>
            <w:shd w:val="clear" w:color="auto" w:fill="auto"/>
            <w:vAlign w:val="center"/>
          </w:tcPr>
          <w:p w14:paraId="3A193B56" w14:textId="77777777" w:rsidR="00892142" w:rsidRPr="00B01471" w:rsidRDefault="00892142" w:rsidP="00887556">
            <w:pPr>
              <w:spacing w:before="40" w:after="40" w:line="220" w:lineRule="exact"/>
              <w:jc w:val="right"/>
              <w:rPr>
                <w:sz w:val="18"/>
                <w:szCs w:val="18"/>
              </w:rPr>
            </w:pPr>
            <w:r w:rsidRPr="00B01471">
              <w:rPr>
                <w:b/>
                <w:sz w:val="18"/>
                <w:szCs w:val="18"/>
              </w:rPr>
              <w:t>3 661 400</w:t>
            </w:r>
          </w:p>
        </w:tc>
        <w:tc>
          <w:tcPr>
            <w:tcW w:w="1681" w:type="dxa"/>
            <w:tcBorders>
              <w:top w:val="single" w:sz="4" w:space="0" w:color="auto"/>
              <w:left w:val="nil"/>
              <w:bottom w:val="single" w:sz="12" w:space="0" w:color="auto"/>
              <w:right w:val="nil"/>
            </w:tcBorders>
            <w:shd w:val="clear" w:color="auto" w:fill="auto"/>
            <w:vAlign w:val="center"/>
          </w:tcPr>
          <w:p w14:paraId="750621BD" w14:textId="77777777" w:rsidR="00892142" w:rsidRPr="00B01471" w:rsidRDefault="00892142" w:rsidP="00887556">
            <w:pPr>
              <w:spacing w:before="40" w:after="40" w:line="220" w:lineRule="exact"/>
              <w:jc w:val="right"/>
              <w:rPr>
                <w:sz w:val="18"/>
                <w:szCs w:val="18"/>
              </w:rPr>
            </w:pPr>
            <w:r w:rsidRPr="00B01471">
              <w:rPr>
                <w:b/>
                <w:sz w:val="18"/>
                <w:szCs w:val="18"/>
              </w:rPr>
              <w:t>7 501 900</w:t>
            </w:r>
          </w:p>
        </w:tc>
      </w:tr>
    </w:tbl>
    <w:p w14:paraId="20EE9574" w14:textId="77777777" w:rsidR="00892142" w:rsidRDefault="00892142" w:rsidP="00892142"/>
    <w:p w14:paraId="7BE84406" w14:textId="77777777" w:rsidR="00892142" w:rsidRDefault="00892142" w:rsidP="004E05A7">
      <w:pPr>
        <w:keepNext/>
        <w:keepLines/>
        <w:ind w:left="1134"/>
      </w:pPr>
      <w:r w:rsidRPr="00371ADD">
        <w:t xml:space="preserve">Table </w:t>
      </w:r>
      <w:r>
        <w:t>4</w:t>
      </w:r>
      <w:r w:rsidRPr="00371ADD">
        <w:t xml:space="preserve"> </w:t>
      </w:r>
    </w:p>
    <w:p w14:paraId="1886A5EC" w14:textId="77777777" w:rsidR="00892142" w:rsidRPr="00B01471" w:rsidRDefault="00892142" w:rsidP="004E05A7">
      <w:pPr>
        <w:pStyle w:val="SingleTxtG"/>
        <w:rPr>
          <w:b/>
        </w:rPr>
      </w:pPr>
      <w:r w:rsidRPr="00B01471">
        <w:rPr>
          <w:b/>
        </w:rPr>
        <w:t>Resource requirements for the Trust Fund for Participation in the UNFCCC Process</w:t>
      </w:r>
    </w:p>
    <w:tbl>
      <w:tblPr>
        <w:tblW w:w="7370" w:type="dxa"/>
        <w:tblInd w:w="1134" w:type="dxa"/>
        <w:tblBorders>
          <w:top w:val="single" w:sz="4" w:space="0" w:color="auto"/>
        </w:tblBorders>
        <w:tblCellMar>
          <w:left w:w="0" w:type="dxa"/>
          <w:right w:w="113" w:type="dxa"/>
        </w:tblCellMar>
        <w:tblLook w:val="0000" w:firstRow="0" w:lastRow="0" w:firstColumn="0" w:lastColumn="0" w:noHBand="0" w:noVBand="0"/>
      </w:tblPr>
      <w:tblGrid>
        <w:gridCol w:w="5529"/>
        <w:gridCol w:w="1841"/>
      </w:tblGrid>
      <w:tr w:rsidR="00892142" w:rsidRPr="00B01471" w14:paraId="3A5F78A2" w14:textId="77777777" w:rsidTr="004E05A7">
        <w:trPr>
          <w:trHeight w:val="240"/>
          <w:tblHeader/>
        </w:trPr>
        <w:tc>
          <w:tcPr>
            <w:tcW w:w="5529" w:type="dxa"/>
            <w:tcBorders>
              <w:top w:val="single" w:sz="4" w:space="0" w:color="auto"/>
              <w:bottom w:val="single" w:sz="12" w:space="0" w:color="auto"/>
            </w:tcBorders>
            <w:vAlign w:val="bottom"/>
          </w:tcPr>
          <w:p w14:paraId="00981F70" w14:textId="77777777" w:rsidR="00892142" w:rsidRPr="00B01471" w:rsidRDefault="00892142" w:rsidP="00887556">
            <w:pPr>
              <w:pStyle w:val="Footer"/>
              <w:suppressAutoHyphens w:val="0"/>
              <w:spacing w:before="80" w:after="80" w:line="200" w:lineRule="exact"/>
              <w:ind w:right="38"/>
              <w:rPr>
                <w:i/>
              </w:rPr>
            </w:pPr>
            <w:r w:rsidRPr="00B01471">
              <w:rPr>
                <w:i/>
              </w:rPr>
              <w:t>Sessional option</w:t>
            </w:r>
          </w:p>
        </w:tc>
        <w:tc>
          <w:tcPr>
            <w:tcW w:w="1841" w:type="dxa"/>
            <w:tcBorders>
              <w:top w:val="single" w:sz="4" w:space="0" w:color="auto"/>
              <w:bottom w:val="single" w:sz="12" w:space="0" w:color="auto"/>
            </w:tcBorders>
            <w:vAlign w:val="bottom"/>
          </w:tcPr>
          <w:p w14:paraId="66FAB0DA" w14:textId="77777777" w:rsidR="00892142" w:rsidRPr="00B01471" w:rsidRDefault="00892142" w:rsidP="00887556">
            <w:pPr>
              <w:pStyle w:val="Footer"/>
              <w:suppressAutoHyphens w:val="0"/>
              <w:spacing w:before="80" w:after="80" w:line="200" w:lineRule="exact"/>
              <w:ind w:right="38"/>
              <w:jc w:val="right"/>
              <w:rPr>
                <w:i/>
              </w:rPr>
            </w:pPr>
            <w:r w:rsidRPr="00B01471">
              <w:rPr>
                <w:i/>
              </w:rPr>
              <w:t>Estimated cost (EUR)</w:t>
            </w:r>
          </w:p>
        </w:tc>
      </w:tr>
      <w:tr w:rsidR="00892142" w:rsidRPr="00B01471" w14:paraId="64C38A85" w14:textId="77777777" w:rsidTr="004E05A7">
        <w:trPr>
          <w:trHeight w:val="240"/>
        </w:trPr>
        <w:tc>
          <w:tcPr>
            <w:tcW w:w="5529" w:type="dxa"/>
            <w:tcBorders>
              <w:top w:val="single" w:sz="12" w:space="0" w:color="auto"/>
              <w:bottom w:val="single" w:sz="12" w:space="0" w:color="auto"/>
            </w:tcBorders>
          </w:tcPr>
          <w:p w14:paraId="7BA3B132" w14:textId="77777777" w:rsidR="00892142" w:rsidRPr="00B01471" w:rsidRDefault="00892142" w:rsidP="00887556">
            <w:pPr>
              <w:pStyle w:val="Footer"/>
              <w:suppressAutoHyphens w:val="0"/>
              <w:spacing w:before="40" w:after="40" w:line="220" w:lineRule="exact"/>
              <w:ind w:right="38"/>
              <w:rPr>
                <w:sz w:val="18"/>
              </w:rPr>
            </w:pPr>
            <w:r w:rsidRPr="00B01471">
              <w:rPr>
                <w:sz w:val="18"/>
              </w:rPr>
              <w:t>Support for one delegate from each eligible Party plus a second delegate from each LDC and each SIDS to participate in a two-week session in Bonn</w:t>
            </w:r>
          </w:p>
          <w:p w14:paraId="51D1BCE8" w14:textId="77777777" w:rsidR="00892142" w:rsidRPr="00B01471" w:rsidRDefault="00892142" w:rsidP="00887556">
            <w:pPr>
              <w:pStyle w:val="Footer"/>
              <w:suppressAutoHyphens w:val="0"/>
              <w:spacing w:before="40" w:after="40" w:line="220" w:lineRule="exact"/>
              <w:ind w:right="38"/>
              <w:rPr>
                <w:sz w:val="18"/>
              </w:rPr>
            </w:pPr>
            <w:r w:rsidRPr="00B01471">
              <w:rPr>
                <w:sz w:val="18"/>
              </w:rPr>
              <w:t>Support for two delegates from each eligible Party plus a third delegate from each LDC and each SIDS to participate in a two-week session outside Bonn</w:t>
            </w:r>
            <w:r w:rsidRPr="00B01471">
              <w:rPr>
                <w:i/>
                <w:sz w:val="18"/>
                <w:vertAlign w:val="superscript"/>
              </w:rPr>
              <w:t>a</w:t>
            </w:r>
          </w:p>
        </w:tc>
        <w:tc>
          <w:tcPr>
            <w:tcW w:w="1841" w:type="dxa"/>
            <w:tcBorders>
              <w:top w:val="single" w:sz="12" w:space="0" w:color="auto"/>
              <w:bottom w:val="single" w:sz="12" w:space="0" w:color="auto"/>
            </w:tcBorders>
            <w:vAlign w:val="bottom"/>
          </w:tcPr>
          <w:p w14:paraId="7648DFED" w14:textId="77777777" w:rsidR="00892142" w:rsidRPr="00B01471" w:rsidRDefault="00892142" w:rsidP="00887556">
            <w:pPr>
              <w:suppressAutoHyphens w:val="0"/>
              <w:spacing w:before="40" w:after="40" w:line="220" w:lineRule="exact"/>
              <w:ind w:right="38"/>
              <w:jc w:val="right"/>
              <w:rPr>
                <w:sz w:val="18"/>
              </w:rPr>
            </w:pPr>
            <w:r w:rsidRPr="00B01471">
              <w:rPr>
                <w:sz w:val="18"/>
              </w:rPr>
              <w:t>11 331 640</w:t>
            </w:r>
          </w:p>
        </w:tc>
      </w:tr>
    </w:tbl>
    <w:p w14:paraId="7C3B7CDF" w14:textId="2FF18F8E" w:rsidR="00065FD4" w:rsidRPr="00CA2BA0" w:rsidRDefault="00065FD4" w:rsidP="001B21E0">
      <w:pPr>
        <w:pStyle w:val="FootnoteTable"/>
        <w:spacing w:before="60" w:line="200" w:lineRule="exact"/>
        <w:ind w:left="1134" w:right="1134" w:firstLine="142"/>
      </w:pPr>
      <w:r>
        <w:rPr>
          <w:i/>
        </w:rPr>
        <w:t>Abbreviations</w:t>
      </w:r>
      <w:r>
        <w:t>: LDC = least developed country</w:t>
      </w:r>
      <w:r w:rsidR="00985B5F">
        <w:t>,</w:t>
      </w:r>
      <w:r>
        <w:t xml:space="preserve"> SIDS = </w:t>
      </w:r>
      <w:r w:rsidR="00985B5F">
        <w:t>small island developing State.</w:t>
      </w:r>
    </w:p>
    <w:p w14:paraId="3CA6013C" w14:textId="5B76EBA8" w:rsidR="00892142" w:rsidRPr="00B01471" w:rsidRDefault="00892142" w:rsidP="001B21E0">
      <w:pPr>
        <w:pStyle w:val="FootnoteTable"/>
        <w:spacing w:line="200" w:lineRule="exact"/>
        <w:ind w:left="1134" w:right="1134" w:firstLine="142"/>
      </w:pPr>
      <w:r w:rsidRPr="00B01471">
        <w:rPr>
          <w:i/>
          <w:vertAlign w:val="superscript"/>
        </w:rPr>
        <w:t xml:space="preserve">a  </w:t>
      </w:r>
      <w:r w:rsidRPr="00B01471">
        <w:t>As the locations for the 2020 and 2021 climate conferences are not yet confirmed, for budgetary purposes Santiago was used as the example for airfare and London for daily subsistence allowance.</w:t>
      </w:r>
    </w:p>
    <w:p w14:paraId="478A2A5F" w14:textId="77777777" w:rsidR="00892142" w:rsidRPr="00371ADD" w:rsidRDefault="00892142" w:rsidP="00106E13">
      <w:pPr>
        <w:keepNext/>
        <w:ind w:left="1134"/>
      </w:pPr>
      <w:r w:rsidRPr="00371ADD">
        <w:t xml:space="preserve">Table </w:t>
      </w:r>
      <w:r>
        <w:t>5</w:t>
      </w:r>
      <w:r w:rsidRPr="00371ADD">
        <w:t xml:space="preserve"> </w:t>
      </w:r>
    </w:p>
    <w:p w14:paraId="1A88549B" w14:textId="77777777" w:rsidR="00892142" w:rsidRPr="00676B53" w:rsidRDefault="00892142" w:rsidP="00610236">
      <w:pPr>
        <w:pStyle w:val="SingleTxtG"/>
        <w:keepNext/>
        <w:ind w:right="-1"/>
        <w:rPr>
          <w:b/>
        </w:rPr>
      </w:pPr>
      <w:r w:rsidRPr="00676B53">
        <w:rPr>
          <w:b/>
        </w:rPr>
        <w:t>Overview of projects and funding requirements from the Trust Fund for Supplementary Activities for the biennium 2020–2021</w:t>
      </w:r>
    </w:p>
    <w:tbl>
      <w:tblPr>
        <w:tblW w:w="8505" w:type="dxa"/>
        <w:tblInd w:w="1134" w:type="dxa"/>
        <w:tblLook w:val="04A0" w:firstRow="1" w:lastRow="0" w:firstColumn="1" w:lastColumn="0" w:noHBand="0" w:noVBand="1"/>
      </w:tblPr>
      <w:tblGrid>
        <w:gridCol w:w="992"/>
        <w:gridCol w:w="5954"/>
        <w:gridCol w:w="1559"/>
      </w:tblGrid>
      <w:tr w:rsidR="00892142" w:rsidRPr="00B01471" w14:paraId="020975AD" w14:textId="77777777" w:rsidTr="000404F3">
        <w:trPr>
          <w:trHeight w:val="300"/>
          <w:tblHeader/>
        </w:trPr>
        <w:tc>
          <w:tcPr>
            <w:tcW w:w="992" w:type="dxa"/>
            <w:tcBorders>
              <w:top w:val="single" w:sz="4" w:space="0" w:color="auto"/>
              <w:left w:val="nil"/>
              <w:bottom w:val="single" w:sz="12" w:space="0" w:color="auto"/>
              <w:right w:val="nil"/>
            </w:tcBorders>
            <w:vAlign w:val="bottom"/>
          </w:tcPr>
          <w:p w14:paraId="7B228CD5" w14:textId="77777777" w:rsidR="00892142" w:rsidRPr="00CA2BA0" w:rsidRDefault="00892142" w:rsidP="00CA2BA0">
            <w:pPr>
              <w:spacing w:before="80" w:after="80" w:line="240" w:lineRule="auto"/>
              <w:ind w:left="-105"/>
              <w:rPr>
                <w:rFonts w:eastAsia="Times New Roman"/>
                <w:i/>
                <w:color w:val="000000"/>
                <w:sz w:val="16"/>
                <w:szCs w:val="16"/>
              </w:rPr>
            </w:pPr>
            <w:r w:rsidRPr="00CA2BA0">
              <w:rPr>
                <w:rFonts w:eastAsia="Times New Roman"/>
                <w:i/>
                <w:color w:val="000000"/>
                <w:sz w:val="16"/>
                <w:szCs w:val="16"/>
              </w:rPr>
              <w:t>Project number</w:t>
            </w:r>
          </w:p>
        </w:tc>
        <w:tc>
          <w:tcPr>
            <w:tcW w:w="5954" w:type="dxa"/>
            <w:tcBorders>
              <w:top w:val="single" w:sz="4" w:space="0" w:color="auto"/>
              <w:left w:val="nil"/>
              <w:bottom w:val="single" w:sz="12" w:space="0" w:color="auto"/>
              <w:right w:val="nil"/>
            </w:tcBorders>
            <w:shd w:val="clear" w:color="auto" w:fill="auto"/>
            <w:noWrap/>
            <w:vAlign w:val="bottom"/>
            <w:hideMark/>
          </w:tcPr>
          <w:p w14:paraId="7781AF00" w14:textId="77777777" w:rsidR="00892142" w:rsidRPr="00CA2BA0" w:rsidRDefault="00892142" w:rsidP="00CA2BA0">
            <w:pPr>
              <w:spacing w:before="80" w:after="80" w:line="240" w:lineRule="auto"/>
              <w:rPr>
                <w:rFonts w:eastAsia="Times New Roman"/>
                <w:i/>
                <w:color w:val="000000"/>
                <w:sz w:val="16"/>
                <w:szCs w:val="16"/>
                <w:lang w:val="en-US" w:eastAsia="en-US"/>
              </w:rPr>
            </w:pPr>
            <w:r w:rsidRPr="00CA2BA0">
              <w:rPr>
                <w:rFonts w:eastAsia="Times New Roman"/>
                <w:i/>
                <w:color w:val="000000"/>
                <w:sz w:val="16"/>
                <w:szCs w:val="16"/>
              </w:rPr>
              <w:t>Project/subproject</w:t>
            </w:r>
          </w:p>
        </w:tc>
        <w:tc>
          <w:tcPr>
            <w:tcW w:w="1559" w:type="dxa"/>
            <w:tcBorders>
              <w:top w:val="single" w:sz="4" w:space="0" w:color="auto"/>
              <w:left w:val="nil"/>
              <w:bottom w:val="single" w:sz="12" w:space="0" w:color="auto"/>
              <w:right w:val="nil"/>
            </w:tcBorders>
            <w:shd w:val="clear" w:color="auto" w:fill="auto"/>
            <w:noWrap/>
            <w:vAlign w:val="bottom"/>
            <w:hideMark/>
          </w:tcPr>
          <w:p w14:paraId="45239B4B" w14:textId="77777777" w:rsidR="00892142" w:rsidRPr="00CA2BA0" w:rsidRDefault="00892142" w:rsidP="00CA2BA0">
            <w:pPr>
              <w:spacing w:before="80" w:after="80" w:line="240" w:lineRule="auto"/>
              <w:jc w:val="right"/>
              <w:rPr>
                <w:rFonts w:eastAsia="Times New Roman"/>
                <w:i/>
                <w:color w:val="000000"/>
                <w:sz w:val="16"/>
                <w:szCs w:val="16"/>
              </w:rPr>
            </w:pPr>
            <w:r w:rsidRPr="00CA2BA0">
              <w:rPr>
                <w:i/>
                <w:sz w:val="16"/>
                <w:szCs w:val="16"/>
              </w:rPr>
              <w:t>Supplementary requirements (EUR)</w:t>
            </w:r>
          </w:p>
        </w:tc>
      </w:tr>
      <w:tr w:rsidR="00892142" w:rsidRPr="00B01471" w14:paraId="55F4F5B5" w14:textId="77777777" w:rsidTr="000404F3">
        <w:trPr>
          <w:trHeight w:hRule="exact" w:val="113"/>
          <w:tblHeader/>
        </w:trPr>
        <w:tc>
          <w:tcPr>
            <w:tcW w:w="992" w:type="dxa"/>
            <w:tcBorders>
              <w:top w:val="single" w:sz="12" w:space="0" w:color="auto"/>
              <w:left w:val="nil"/>
              <w:right w:val="nil"/>
            </w:tcBorders>
          </w:tcPr>
          <w:p w14:paraId="3FF410C4" w14:textId="77777777" w:rsidR="00892142" w:rsidRPr="00B01471" w:rsidRDefault="00892142" w:rsidP="00656FAE">
            <w:pPr>
              <w:spacing w:line="240" w:lineRule="auto"/>
              <w:ind w:left="-105"/>
              <w:rPr>
                <w:rFonts w:eastAsia="Times New Roman"/>
                <w:b/>
                <w:bCs/>
                <w:color w:val="000000"/>
                <w:sz w:val="18"/>
                <w:szCs w:val="18"/>
              </w:rPr>
            </w:pPr>
          </w:p>
        </w:tc>
        <w:tc>
          <w:tcPr>
            <w:tcW w:w="5954" w:type="dxa"/>
            <w:tcBorders>
              <w:top w:val="single" w:sz="12" w:space="0" w:color="auto"/>
              <w:left w:val="nil"/>
              <w:right w:val="nil"/>
            </w:tcBorders>
            <w:noWrap/>
            <w:vAlign w:val="bottom"/>
          </w:tcPr>
          <w:p w14:paraId="1133FB69" w14:textId="77777777" w:rsidR="00892142" w:rsidRPr="00B01471" w:rsidRDefault="00892142" w:rsidP="00887556">
            <w:pPr>
              <w:spacing w:line="240" w:lineRule="auto"/>
              <w:rPr>
                <w:rFonts w:eastAsia="Times New Roman"/>
                <w:b/>
                <w:bCs/>
                <w:color w:val="000000"/>
                <w:sz w:val="18"/>
                <w:szCs w:val="18"/>
              </w:rPr>
            </w:pPr>
          </w:p>
        </w:tc>
        <w:tc>
          <w:tcPr>
            <w:tcW w:w="1559" w:type="dxa"/>
            <w:tcBorders>
              <w:top w:val="single" w:sz="12" w:space="0" w:color="auto"/>
              <w:left w:val="nil"/>
              <w:right w:val="nil"/>
            </w:tcBorders>
            <w:noWrap/>
          </w:tcPr>
          <w:p w14:paraId="1240AB36" w14:textId="77777777" w:rsidR="00892142" w:rsidRPr="00B01471" w:rsidRDefault="00892142" w:rsidP="00887556">
            <w:pPr>
              <w:spacing w:line="240" w:lineRule="auto"/>
              <w:jc w:val="right"/>
              <w:rPr>
                <w:sz w:val="18"/>
                <w:szCs w:val="18"/>
              </w:rPr>
            </w:pPr>
          </w:p>
        </w:tc>
      </w:tr>
      <w:tr w:rsidR="00892142" w:rsidRPr="00B01471" w14:paraId="69D97A7C" w14:textId="77777777" w:rsidTr="000404F3">
        <w:trPr>
          <w:trHeight w:val="300"/>
        </w:trPr>
        <w:tc>
          <w:tcPr>
            <w:tcW w:w="992" w:type="dxa"/>
            <w:tcBorders>
              <w:left w:val="nil"/>
              <w:right w:val="nil"/>
            </w:tcBorders>
          </w:tcPr>
          <w:p w14:paraId="3182F859" w14:textId="77777777" w:rsidR="00892142" w:rsidRPr="00B01471" w:rsidRDefault="00892142" w:rsidP="00656FAE">
            <w:pPr>
              <w:suppressAutoHyphens w:val="0"/>
              <w:spacing w:before="40" w:after="40" w:line="220" w:lineRule="exact"/>
              <w:ind w:left="-105" w:right="38" w:firstLine="284"/>
              <w:rPr>
                <w:rFonts w:eastAsia="MS Mincho"/>
                <w:b/>
                <w:sz w:val="18"/>
                <w:szCs w:val="18"/>
                <w:lang w:eastAsia="de-DE"/>
              </w:rPr>
            </w:pPr>
          </w:p>
        </w:tc>
        <w:tc>
          <w:tcPr>
            <w:tcW w:w="5954" w:type="dxa"/>
            <w:tcBorders>
              <w:left w:val="nil"/>
              <w:right w:val="nil"/>
            </w:tcBorders>
            <w:noWrap/>
            <w:vAlign w:val="center"/>
            <w:hideMark/>
          </w:tcPr>
          <w:p w14:paraId="087E2EC6" w14:textId="77777777" w:rsidR="00892142" w:rsidRPr="00B01471" w:rsidRDefault="00892142" w:rsidP="00887556">
            <w:pPr>
              <w:suppressAutoHyphens w:val="0"/>
              <w:spacing w:before="40" w:after="40" w:line="220" w:lineRule="exact"/>
              <w:ind w:left="426" w:right="38" w:firstLine="284"/>
              <w:rPr>
                <w:rFonts w:eastAsia="Times New Roman"/>
                <w:b/>
                <w:bCs/>
                <w:color w:val="000000"/>
                <w:sz w:val="18"/>
                <w:szCs w:val="18"/>
              </w:rPr>
            </w:pPr>
            <w:r w:rsidRPr="00B01471">
              <w:rPr>
                <w:rFonts w:eastAsia="MS Mincho"/>
                <w:b/>
                <w:sz w:val="18"/>
                <w:szCs w:val="18"/>
                <w:lang w:eastAsia="de-DE"/>
              </w:rPr>
              <w:t>SB101-000 Intergovernmental engagement</w:t>
            </w:r>
          </w:p>
        </w:tc>
        <w:tc>
          <w:tcPr>
            <w:tcW w:w="1559" w:type="dxa"/>
            <w:tcBorders>
              <w:left w:val="nil"/>
              <w:right w:val="nil"/>
            </w:tcBorders>
            <w:noWrap/>
            <w:vAlign w:val="bottom"/>
          </w:tcPr>
          <w:p w14:paraId="6BD51D7F" w14:textId="77777777" w:rsidR="00892142" w:rsidRPr="00B01471" w:rsidRDefault="00892142" w:rsidP="00887556">
            <w:pPr>
              <w:spacing w:line="240" w:lineRule="auto"/>
              <w:jc w:val="right"/>
              <w:rPr>
                <w:rFonts w:eastAsia="Times New Roman"/>
                <w:b/>
                <w:bCs/>
                <w:color w:val="000000"/>
                <w:sz w:val="18"/>
                <w:szCs w:val="18"/>
              </w:rPr>
            </w:pPr>
            <w:r w:rsidRPr="00816E17">
              <w:rPr>
                <w:b/>
                <w:color w:val="000000"/>
                <w:sz w:val="18"/>
                <w:szCs w:val="18"/>
              </w:rPr>
              <w:t xml:space="preserve">2 764 116 </w:t>
            </w:r>
          </w:p>
        </w:tc>
      </w:tr>
      <w:tr w:rsidR="00892142" w:rsidRPr="00B01471" w14:paraId="33C60097" w14:textId="77777777" w:rsidTr="000404F3">
        <w:trPr>
          <w:trHeight w:val="300"/>
        </w:trPr>
        <w:tc>
          <w:tcPr>
            <w:tcW w:w="992" w:type="dxa"/>
          </w:tcPr>
          <w:p w14:paraId="573CCFDF" w14:textId="77777777" w:rsidR="00892142" w:rsidRPr="00B01471" w:rsidRDefault="00892142" w:rsidP="00656FAE">
            <w:pPr>
              <w:ind w:left="-105"/>
              <w:rPr>
                <w:sz w:val="18"/>
                <w:szCs w:val="18"/>
              </w:rPr>
            </w:pPr>
            <w:r w:rsidRPr="00B01471">
              <w:rPr>
                <w:sz w:val="18"/>
                <w:szCs w:val="18"/>
              </w:rPr>
              <w:t>SB101-003</w:t>
            </w:r>
          </w:p>
        </w:tc>
        <w:tc>
          <w:tcPr>
            <w:tcW w:w="5954" w:type="dxa"/>
            <w:noWrap/>
            <w:vAlign w:val="center"/>
          </w:tcPr>
          <w:p w14:paraId="52FF7C45" w14:textId="77777777" w:rsidR="00892142" w:rsidRPr="00B01471" w:rsidRDefault="00892142" w:rsidP="00887556">
            <w:pPr>
              <w:rPr>
                <w:sz w:val="18"/>
                <w:szCs w:val="18"/>
              </w:rPr>
            </w:pPr>
            <w:r w:rsidRPr="00B01471">
              <w:rPr>
                <w:sz w:val="18"/>
                <w:szCs w:val="18"/>
              </w:rPr>
              <w:t>Consultancies to conduct the independent review of the CTCN and periodic assessment of the Technology Mechanism</w:t>
            </w:r>
          </w:p>
        </w:tc>
        <w:tc>
          <w:tcPr>
            <w:tcW w:w="1559" w:type="dxa"/>
            <w:noWrap/>
            <w:vAlign w:val="bottom"/>
          </w:tcPr>
          <w:p w14:paraId="2E4F503D" w14:textId="77777777" w:rsidR="00892142" w:rsidRPr="00B01471" w:rsidRDefault="00892142" w:rsidP="00887556">
            <w:pPr>
              <w:spacing w:line="240" w:lineRule="auto"/>
              <w:jc w:val="right"/>
              <w:rPr>
                <w:sz w:val="18"/>
                <w:szCs w:val="18"/>
              </w:rPr>
            </w:pPr>
            <w:r w:rsidRPr="00816E17">
              <w:rPr>
                <w:color w:val="000000"/>
                <w:sz w:val="18"/>
                <w:szCs w:val="18"/>
              </w:rPr>
              <w:t xml:space="preserve">            197 750 </w:t>
            </w:r>
          </w:p>
        </w:tc>
      </w:tr>
      <w:tr w:rsidR="00892142" w:rsidRPr="00B01471" w14:paraId="323125A6" w14:textId="77777777" w:rsidTr="000404F3">
        <w:trPr>
          <w:trHeight w:val="300"/>
        </w:trPr>
        <w:tc>
          <w:tcPr>
            <w:tcW w:w="992" w:type="dxa"/>
          </w:tcPr>
          <w:p w14:paraId="4E115ED2" w14:textId="77777777" w:rsidR="00892142" w:rsidRPr="00B01471" w:rsidRDefault="00892142" w:rsidP="00656FAE">
            <w:pPr>
              <w:ind w:left="-105"/>
              <w:rPr>
                <w:sz w:val="18"/>
                <w:szCs w:val="18"/>
              </w:rPr>
            </w:pPr>
            <w:r w:rsidRPr="00B01471">
              <w:rPr>
                <w:sz w:val="18"/>
                <w:szCs w:val="18"/>
              </w:rPr>
              <w:t>SB101-004</w:t>
            </w:r>
          </w:p>
        </w:tc>
        <w:tc>
          <w:tcPr>
            <w:tcW w:w="5954" w:type="dxa"/>
            <w:noWrap/>
            <w:vAlign w:val="center"/>
            <w:hideMark/>
          </w:tcPr>
          <w:p w14:paraId="0B6F8073" w14:textId="77777777" w:rsidR="00892142" w:rsidRPr="00B01471" w:rsidRDefault="00892142" w:rsidP="00887556">
            <w:pPr>
              <w:rPr>
                <w:sz w:val="18"/>
                <w:szCs w:val="18"/>
              </w:rPr>
            </w:pPr>
            <w:r w:rsidRPr="00B01471">
              <w:rPr>
                <w:sz w:val="18"/>
                <w:szCs w:val="18"/>
              </w:rPr>
              <w:t>Additional support to the development of the enhanced transparency framework</w:t>
            </w:r>
          </w:p>
        </w:tc>
        <w:tc>
          <w:tcPr>
            <w:tcW w:w="1559" w:type="dxa"/>
            <w:noWrap/>
            <w:vAlign w:val="bottom"/>
          </w:tcPr>
          <w:p w14:paraId="4F9F6D4E"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1 594 385 </w:t>
            </w:r>
          </w:p>
        </w:tc>
      </w:tr>
      <w:tr w:rsidR="00892142" w:rsidRPr="00B01471" w14:paraId="6E74E49C" w14:textId="77777777" w:rsidTr="000404F3">
        <w:trPr>
          <w:trHeight w:val="300"/>
        </w:trPr>
        <w:tc>
          <w:tcPr>
            <w:tcW w:w="992" w:type="dxa"/>
          </w:tcPr>
          <w:p w14:paraId="227E22C1" w14:textId="77777777" w:rsidR="00892142" w:rsidRPr="00B01471" w:rsidRDefault="00892142" w:rsidP="00656FAE">
            <w:pPr>
              <w:ind w:left="-105"/>
              <w:rPr>
                <w:sz w:val="18"/>
                <w:szCs w:val="18"/>
              </w:rPr>
            </w:pPr>
            <w:r w:rsidRPr="00B01471">
              <w:rPr>
                <w:sz w:val="18"/>
                <w:szCs w:val="18"/>
              </w:rPr>
              <w:t>SB101-005</w:t>
            </w:r>
          </w:p>
        </w:tc>
        <w:tc>
          <w:tcPr>
            <w:tcW w:w="5954" w:type="dxa"/>
            <w:noWrap/>
            <w:vAlign w:val="center"/>
            <w:hideMark/>
          </w:tcPr>
          <w:p w14:paraId="5C080A99" w14:textId="77777777" w:rsidR="00892142" w:rsidRPr="00B01471" w:rsidRDefault="00892142" w:rsidP="00887556">
            <w:pPr>
              <w:rPr>
                <w:sz w:val="18"/>
                <w:szCs w:val="18"/>
              </w:rPr>
            </w:pPr>
            <w:r w:rsidRPr="00B01471">
              <w:rPr>
                <w:sz w:val="18"/>
                <w:szCs w:val="18"/>
              </w:rPr>
              <w:t>Enhanced coordination and operational support to Presidency teams</w:t>
            </w:r>
          </w:p>
        </w:tc>
        <w:tc>
          <w:tcPr>
            <w:tcW w:w="1559" w:type="dxa"/>
            <w:noWrap/>
            <w:vAlign w:val="bottom"/>
          </w:tcPr>
          <w:p w14:paraId="3B8B6A2C" w14:textId="77777777" w:rsidR="00892142" w:rsidRPr="00B01471" w:rsidRDefault="00892142" w:rsidP="00887556">
            <w:pPr>
              <w:spacing w:line="240" w:lineRule="auto"/>
              <w:jc w:val="right"/>
              <w:rPr>
                <w:rFonts w:eastAsia="Times New Roman"/>
                <w:color w:val="000000"/>
                <w:sz w:val="18"/>
                <w:szCs w:val="18"/>
              </w:rPr>
            </w:pPr>
            <w:r>
              <w:rPr>
                <w:color w:val="000000"/>
                <w:sz w:val="18"/>
                <w:szCs w:val="18"/>
              </w:rPr>
              <w:t xml:space="preserve">               </w:t>
            </w:r>
            <w:r w:rsidRPr="00816E17">
              <w:rPr>
                <w:color w:val="000000"/>
                <w:sz w:val="18"/>
                <w:szCs w:val="18"/>
              </w:rPr>
              <w:t xml:space="preserve">662 948 </w:t>
            </w:r>
          </w:p>
        </w:tc>
      </w:tr>
      <w:tr w:rsidR="00892142" w:rsidRPr="00B01471" w14:paraId="3484E518" w14:textId="77777777" w:rsidTr="000404F3">
        <w:trPr>
          <w:trHeight w:val="300"/>
        </w:trPr>
        <w:tc>
          <w:tcPr>
            <w:tcW w:w="992" w:type="dxa"/>
          </w:tcPr>
          <w:p w14:paraId="15733195" w14:textId="77777777" w:rsidR="00892142" w:rsidRPr="00B01471" w:rsidRDefault="00892142" w:rsidP="00656FAE">
            <w:pPr>
              <w:ind w:left="-105"/>
              <w:rPr>
                <w:sz w:val="18"/>
                <w:szCs w:val="18"/>
              </w:rPr>
            </w:pPr>
            <w:r w:rsidRPr="00B01471">
              <w:rPr>
                <w:sz w:val="18"/>
                <w:szCs w:val="18"/>
              </w:rPr>
              <w:t>SB101-007</w:t>
            </w:r>
          </w:p>
        </w:tc>
        <w:tc>
          <w:tcPr>
            <w:tcW w:w="5954" w:type="dxa"/>
            <w:noWrap/>
            <w:vAlign w:val="center"/>
            <w:hideMark/>
          </w:tcPr>
          <w:p w14:paraId="7F41CCCF" w14:textId="77777777" w:rsidR="00892142" w:rsidRPr="00B01471" w:rsidRDefault="00892142" w:rsidP="00887556">
            <w:pPr>
              <w:rPr>
                <w:sz w:val="18"/>
                <w:szCs w:val="18"/>
              </w:rPr>
            </w:pPr>
            <w:r w:rsidRPr="00B01471">
              <w:rPr>
                <w:sz w:val="18"/>
                <w:szCs w:val="18"/>
              </w:rPr>
              <w:t>Enhanced legal support to presiding officers</w:t>
            </w:r>
          </w:p>
        </w:tc>
        <w:tc>
          <w:tcPr>
            <w:tcW w:w="1559" w:type="dxa"/>
            <w:noWrap/>
            <w:vAlign w:val="bottom"/>
          </w:tcPr>
          <w:p w14:paraId="1A5B1D6F"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309 032 </w:t>
            </w:r>
          </w:p>
        </w:tc>
      </w:tr>
      <w:tr w:rsidR="00892142" w:rsidRPr="00B01471" w14:paraId="1B595A0F" w14:textId="77777777" w:rsidTr="000404F3">
        <w:trPr>
          <w:trHeight w:val="300"/>
        </w:trPr>
        <w:tc>
          <w:tcPr>
            <w:tcW w:w="992" w:type="dxa"/>
            <w:tcBorders>
              <w:top w:val="nil"/>
              <w:left w:val="nil"/>
              <w:right w:val="nil"/>
            </w:tcBorders>
          </w:tcPr>
          <w:p w14:paraId="6955A547" w14:textId="77777777" w:rsidR="00892142" w:rsidRPr="00B01471" w:rsidRDefault="00892142" w:rsidP="00656FAE">
            <w:pPr>
              <w:suppressAutoHyphens w:val="0"/>
              <w:spacing w:before="40" w:after="40" w:line="220" w:lineRule="exact"/>
              <w:ind w:left="-105" w:right="38" w:firstLine="284"/>
              <w:rPr>
                <w:rFonts w:eastAsia="MS Mincho"/>
                <w:b/>
                <w:sz w:val="18"/>
                <w:szCs w:val="18"/>
                <w:lang w:eastAsia="de-DE"/>
              </w:rPr>
            </w:pPr>
          </w:p>
        </w:tc>
        <w:tc>
          <w:tcPr>
            <w:tcW w:w="5954" w:type="dxa"/>
            <w:tcBorders>
              <w:top w:val="nil"/>
              <w:left w:val="nil"/>
              <w:right w:val="nil"/>
            </w:tcBorders>
            <w:noWrap/>
            <w:vAlign w:val="center"/>
            <w:hideMark/>
          </w:tcPr>
          <w:p w14:paraId="15B293A6" w14:textId="77777777" w:rsidR="00892142" w:rsidRPr="00B01471" w:rsidRDefault="00892142" w:rsidP="00887556">
            <w:pPr>
              <w:suppressAutoHyphens w:val="0"/>
              <w:spacing w:before="40" w:after="40" w:line="220" w:lineRule="exact"/>
              <w:ind w:left="426" w:right="38" w:firstLine="284"/>
              <w:rPr>
                <w:rFonts w:eastAsia="Times New Roman"/>
                <w:color w:val="000000"/>
                <w:sz w:val="18"/>
                <w:szCs w:val="18"/>
              </w:rPr>
            </w:pPr>
            <w:r w:rsidRPr="00B01471">
              <w:rPr>
                <w:rFonts w:eastAsia="MS Mincho"/>
                <w:b/>
                <w:sz w:val="18"/>
                <w:szCs w:val="18"/>
                <w:lang w:eastAsia="de-DE"/>
              </w:rPr>
              <w:t>SB102:000 Intergovernmental processes</w:t>
            </w:r>
          </w:p>
        </w:tc>
        <w:tc>
          <w:tcPr>
            <w:tcW w:w="1559" w:type="dxa"/>
            <w:tcBorders>
              <w:top w:val="nil"/>
              <w:left w:val="nil"/>
              <w:right w:val="nil"/>
            </w:tcBorders>
            <w:noWrap/>
            <w:vAlign w:val="bottom"/>
          </w:tcPr>
          <w:p w14:paraId="7ED70EA2" w14:textId="77777777" w:rsidR="00892142" w:rsidRPr="00B01471" w:rsidRDefault="00892142" w:rsidP="00887556">
            <w:pPr>
              <w:spacing w:line="240" w:lineRule="auto"/>
              <w:jc w:val="right"/>
              <w:rPr>
                <w:rFonts w:eastAsia="Times New Roman"/>
                <w:b/>
                <w:color w:val="000000"/>
                <w:sz w:val="18"/>
                <w:szCs w:val="18"/>
              </w:rPr>
            </w:pPr>
            <w:r w:rsidRPr="00816E17">
              <w:rPr>
                <w:b/>
                <w:color w:val="000000"/>
                <w:sz w:val="18"/>
                <w:szCs w:val="18"/>
              </w:rPr>
              <w:t xml:space="preserve">      10 436 766 </w:t>
            </w:r>
          </w:p>
        </w:tc>
      </w:tr>
      <w:tr w:rsidR="00892142" w:rsidRPr="00B01471" w14:paraId="5BA49292" w14:textId="77777777" w:rsidTr="000404F3">
        <w:trPr>
          <w:trHeight w:val="300"/>
        </w:trPr>
        <w:tc>
          <w:tcPr>
            <w:tcW w:w="992" w:type="dxa"/>
          </w:tcPr>
          <w:p w14:paraId="4DE0B901" w14:textId="77777777" w:rsidR="00892142" w:rsidRPr="00B01471" w:rsidRDefault="00892142" w:rsidP="00656FAE">
            <w:pPr>
              <w:ind w:left="-105"/>
              <w:rPr>
                <w:sz w:val="18"/>
                <w:szCs w:val="18"/>
              </w:rPr>
            </w:pPr>
            <w:r w:rsidRPr="00B01471">
              <w:rPr>
                <w:sz w:val="18"/>
                <w:szCs w:val="18"/>
              </w:rPr>
              <w:t>SB102-001</w:t>
            </w:r>
          </w:p>
        </w:tc>
        <w:tc>
          <w:tcPr>
            <w:tcW w:w="5954" w:type="dxa"/>
            <w:noWrap/>
            <w:vAlign w:val="center"/>
            <w:hideMark/>
          </w:tcPr>
          <w:p w14:paraId="4126471C" w14:textId="77777777" w:rsidR="00892142" w:rsidRPr="00B01471" w:rsidRDefault="00892142" w:rsidP="00887556">
            <w:pPr>
              <w:rPr>
                <w:b/>
                <w:sz w:val="18"/>
                <w:szCs w:val="18"/>
              </w:rPr>
            </w:pPr>
            <w:r w:rsidRPr="00B01471">
              <w:rPr>
                <w:sz w:val="18"/>
                <w:szCs w:val="18"/>
              </w:rPr>
              <w:t>Enhanced support to established work programmes on research and systematic observation, the technical examination process on adaptation, the NWP and NAPs</w:t>
            </w:r>
          </w:p>
        </w:tc>
        <w:tc>
          <w:tcPr>
            <w:tcW w:w="1559" w:type="dxa"/>
            <w:noWrap/>
            <w:vAlign w:val="bottom"/>
          </w:tcPr>
          <w:p w14:paraId="7482DEA7" w14:textId="77777777" w:rsidR="00892142" w:rsidRPr="00B01471" w:rsidRDefault="00892142" w:rsidP="00887556">
            <w:pPr>
              <w:spacing w:line="240" w:lineRule="auto"/>
              <w:jc w:val="right"/>
              <w:rPr>
                <w:rFonts w:eastAsia="Times New Roman"/>
                <w:b/>
                <w:bCs/>
                <w:color w:val="000000"/>
                <w:sz w:val="18"/>
                <w:szCs w:val="18"/>
              </w:rPr>
            </w:pPr>
            <w:r w:rsidRPr="00816E17">
              <w:rPr>
                <w:color w:val="000000"/>
                <w:sz w:val="18"/>
                <w:szCs w:val="18"/>
              </w:rPr>
              <w:t xml:space="preserve"> 1 664 847 </w:t>
            </w:r>
          </w:p>
        </w:tc>
      </w:tr>
      <w:tr w:rsidR="00892142" w:rsidRPr="00B01471" w14:paraId="102BDF3E" w14:textId="77777777" w:rsidTr="000404F3">
        <w:trPr>
          <w:trHeight w:val="300"/>
        </w:trPr>
        <w:tc>
          <w:tcPr>
            <w:tcW w:w="992" w:type="dxa"/>
          </w:tcPr>
          <w:p w14:paraId="5397C613" w14:textId="77777777" w:rsidR="00892142" w:rsidRPr="00B01471" w:rsidRDefault="00892142" w:rsidP="00656FAE">
            <w:pPr>
              <w:ind w:left="-105"/>
              <w:rPr>
                <w:sz w:val="18"/>
                <w:szCs w:val="18"/>
              </w:rPr>
            </w:pPr>
            <w:r w:rsidRPr="00B01471">
              <w:rPr>
                <w:sz w:val="18"/>
                <w:szCs w:val="18"/>
              </w:rPr>
              <w:t>SB102-002</w:t>
            </w:r>
          </w:p>
        </w:tc>
        <w:tc>
          <w:tcPr>
            <w:tcW w:w="5954" w:type="dxa"/>
            <w:noWrap/>
            <w:vAlign w:val="center"/>
            <w:hideMark/>
          </w:tcPr>
          <w:p w14:paraId="0096BB58" w14:textId="77777777" w:rsidR="00892142" w:rsidRPr="00B01471" w:rsidRDefault="00892142" w:rsidP="00887556">
            <w:pPr>
              <w:rPr>
                <w:sz w:val="18"/>
                <w:szCs w:val="18"/>
              </w:rPr>
            </w:pPr>
            <w:r w:rsidRPr="00B01471">
              <w:rPr>
                <w:sz w:val="18"/>
                <w:szCs w:val="18"/>
              </w:rPr>
              <w:t>Support to the technical examination process on mitigation</w:t>
            </w:r>
          </w:p>
        </w:tc>
        <w:tc>
          <w:tcPr>
            <w:tcW w:w="1559" w:type="dxa"/>
            <w:noWrap/>
            <w:vAlign w:val="bottom"/>
          </w:tcPr>
          <w:p w14:paraId="319DDCC9"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1 350 079 </w:t>
            </w:r>
          </w:p>
        </w:tc>
      </w:tr>
      <w:tr w:rsidR="00892142" w:rsidRPr="00B01471" w14:paraId="6FE318B1" w14:textId="77777777" w:rsidTr="000404F3">
        <w:trPr>
          <w:trHeight w:val="300"/>
        </w:trPr>
        <w:tc>
          <w:tcPr>
            <w:tcW w:w="992" w:type="dxa"/>
          </w:tcPr>
          <w:p w14:paraId="7E2012CB" w14:textId="77777777" w:rsidR="00892142" w:rsidRPr="00B01471" w:rsidRDefault="00892142" w:rsidP="00656FAE">
            <w:pPr>
              <w:ind w:left="-105"/>
              <w:rPr>
                <w:sz w:val="18"/>
                <w:szCs w:val="18"/>
              </w:rPr>
            </w:pPr>
            <w:r w:rsidRPr="00B01471">
              <w:rPr>
                <w:sz w:val="18"/>
                <w:szCs w:val="18"/>
              </w:rPr>
              <w:t>SB102-003</w:t>
            </w:r>
          </w:p>
        </w:tc>
        <w:tc>
          <w:tcPr>
            <w:tcW w:w="5954" w:type="dxa"/>
            <w:noWrap/>
            <w:vAlign w:val="center"/>
            <w:hideMark/>
          </w:tcPr>
          <w:p w14:paraId="2F7DDFF5" w14:textId="4E5E3C73" w:rsidR="00892142" w:rsidRPr="00B01471" w:rsidRDefault="00892142" w:rsidP="00887556">
            <w:pPr>
              <w:rPr>
                <w:sz w:val="18"/>
                <w:szCs w:val="18"/>
              </w:rPr>
            </w:pPr>
            <w:r w:rsidRPr="00B01471">
              <w:rPr>
                <w:sz w:val="18"/>
                <w:szCs w:val="18"/>
              </w:rPr>
              <w:t>Enhanced support, engagement and outreach in support of the development of the biennial assessment and overview of financial flows</w:t>
            </w:r>
            <w:r w:rsidR="00E37FF5">
              <w:rPr>
                <w:sz w:val="18"/>
                <w:szCs w:val="18"/>
              </w:rPr>
              <w:t>,</w:t>
            </w:r>
            <w:r w:rsidRPr="00B01471">
              <w:rPr>
                <w:sz w:val="18"/>
                <w:szCs w:val="18"/>
              </w:rPr>
              <w:t xml:space="preserve"> including in relation to Article 2, paragraph 1(c), of the Paris Agreement, and determination of needs of developing countries</w:t>
            </w:r>
          </w:p>
        </w:tc>
        <w:tc>
          <w:tcPr>
            <w:tcW w:w="1559" w:type="dxa"/>
            <w:noWrap/>
            <w:vAlign w:val="bottom"/>
          </w:tcPr>
          <w:p w14:paraId="0B0592F3"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1 320 572 </w:t>
            </w:r>
          </w:p>
        </w:tc>
      </w:tr>
      <w:tr w:rsidR="00892142" w:rsidRPr="00B01471" w14:paraId="08669ADC" w14:textId="77777777" w:rsidTr="000404F3">
        <w:trPr>
          <w:trHeight w:val="300"/>
        </w:trPr>
        <w:tc>
          <w:tcPr>
            <w:tcW w:w="992" w:type="dxa"/>
          </w:tcPr>
          <w:p w14:paraId="763722C7" w14:textId="77777777" w:rsidR="00892142" w:rsidRPr="00B01471" w:rsidRDefault="00892142" w:rsidP="00656FAE">
            <w:pPr>
              <w:ind w:left="-105"/>
              <w:rPr>
                <w:sz w:val="18"/>
                <w:szCs w:val="18"/>
              </w:rPr>
            </w:pPr>
            <w:r w:rsidRPr="00B01471">
              <w:rPr>
                <w:sz w:val="18"/>
                <w:szCs w:val="18"/>
              </w:rPr>
              <w:t>SB102-004</w:t>
            </w:r>
          </w:p>
        </w:tc>
        <w:tc>
          <w:tcPr>
            <w:tcW w:w="5954" w:type="dxa"/>
            <w:noWrap/>
            <w:vAlign w:val="center"/>
            <w:hideMark/>
          </w:tcPr>
          <w:p w14:paraId="3C3E1C76" w14:textId="548819D2" w:rsidR="00892142" w:rsidRPr="00B01471" w:rsidRDefault="00892142" w:rsidP="00887556">
            <w:pPr>
              <w:rPr>
                <w:sz w:val="18"/>
                <w:szCs w:val="18"/>
              </w:rPr>
            </w:pPr>
            <w:r w:rsidRPr="00B01471">
              <w:rPr>
                <w:sz w:val="18"/>
                <w:szCs w:val="18"/>
              </w:rPr>
              <w:t>Full support to all potential reviews of national reporting, including reporting related to REDD</w:t>
            </w:r>
            <w:r w:rsidR="00D46E78">
              <w:rPr>
                <w:sz w:val="18"/>
                <w:szCs w:val="18"/>
              </w:rPr>
              <w:t>+</w:t>
            </w:r>
          </w:p>
        </w:tc>
        <w:tc>
          <w:tcPr>
            <w:tcW w:w="1559" w:type="dxa"/>
            <w:noWrap/>
            <w:vAlign w:val="bottom"/>
          </w:tcPr>
          <w:p w14:paraId="35D6B18F"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3 843 460 </w:t>
            </w:r>
          </w:p>
        </w:tc>
      </w:tr>
      <w:tr w:rsidR="00892142" w:rsidRPr="00B01471" w14:paraId="49153281" w14:textId="77777777" w:rsidTr="000404F3">
        <w:trPr>
          <w:trHeight w:val="300"/>
        </w:trPr>
        <w:tc>
          <w:tcPr>
            <w:tcW w:w="992" w:type="dxa"/>
          </w:tcPr>
          <w:p w14:paraId="634FB094" w14:textId="77777777" w:rsidR="00892142" w:rsidRPr="00B01471" w:rsidRDefault="00892142" w:rsidP="00656FAE">
            <w:pPr>
              <w:ind w:left="-105"/>
              <w:rPr>
                <w:sz w:val="18"/>
                <w:szCs w:val="18"/>
              </w:rPr>
            </w:pPr>
            <w:r w:rsidRPr="00B01471">
              <w:rPr>
                <w:sz w:val="18"/>
                <w:szCs w:val="18"/>
              </w:rPr>
              <w:t>SB102-005</w:t>
            </w:r>
          </w:p>
        </w:tc>
        <w:tc>
          <w:tcPr>
            <w:tcW w:w="5954" w:type="dxa"/>
            <w:noWrap/>
            <w:vAlign w:val="center"/>
            <w:hideMark/>
          </w:tcPr>
          <w:p w14:paraId="033602A0" w14:textId="77777777" w:rsidR="00892142" w:rsidRPr="00B01471" w:rsidRDefault="00892142" w:rsidP="00887556">
            <w:pPr>
              <w:rPr>
                <w:sz w:val="18"/>
                <w:szCs w:val="18"/>
              </w:rPr>
            </w:pPr>
            <w:r w:rsidRPr="00B01471">
              <w:rPr>
                <w:sz w:val="18"/>
                <w:szCs w:val="18"/>
              </w:rPr>
              <w:t>Enhanced support for the review of the long-term goal and preparations for the global stocktake</w:t>
            </w:r>
          </w:p>
        </w:tc>
        <w:tc>
          <w:tcPr>
            <w:tcW w:w="1559" w:type="dxa"/>
            <w:noWrap/>
            <w:vAlign w:val="bottom"/>
          </w:tcPr>
          <w:p w14:paraId="4A0F53F8" w14:textId="77777777" w:rsidR="00892142" w:rsidRPr="00B01471" w:rsidRDefault="00892142" w:rsidP="00887556">
            <w:pPr>
              <w:spacing w:line="240" w:lineRule="auto"/>
              <w:jc w:val="right"/>
              <w:rPr>
                <w:rFonts w:eastAsia="Times New Roman"/>
                <w:color w:val="000000"/>
                <w:sz w:val="18"/>
                <w:szCs w:val="18"/>
              </w:rPr>
            </w:pPr>
            <w:r>
              <w:rPr>
                <w:color w:val="000000"/>
                <w:sz w:val="18"/>
                <w:szCs w:val="18"/>
              </w:rPr>
              <w:t xml:space="preserve">               </w:t>
            </w:r>
            <w:r w:rsidRPr="00816E17">
              <w:rPr>
                <w:color w:val="000000"/>
                <w:sz w:val="18"/>
                <w:szCs w:val="18"/>
              </w:rPr>
              <w:t xml:space="preserve">574 741 </w:t>
            </w:r>
          </w:p>
        </w:tc>
      </w:tr>
      <w:tr w:rsidR="00892142" w:rsidRPr="00B01471" w14:paraId="1E3BAB57" w14:textId="77777777" w:rsidTr="000404F3">
        <w:trPr>
          <w:trHeight w:val="300"/>
        </w:trPr>
        <w:tc>
          <w:tcPr>
            <w:tcW w:w="992" w:type="dxa"/>
          </w:tcPr>
          <w:p w14:paraId="4D3F4E70" w14:textId="77777777" w:rsidR="00892142" w:rsidRPr="00B01471" w:rsidRDefault="00892142" w:rsidP="00656FAE">
            <w:pPr>
              <w:ind w:left="-105"/>
              <w:rPr>
                <w:sz w:val="18"/>
                <w:szCs w:val="18"/>
              </w:rPr>
            </w:pPr>
            <w:r w:rsidRPr="00B01471">
              <w:rPr>
                <w:sz w:val="18"/>
                <w:szCs w:val="18"/>
              </w:rPr>
              <w:t>SB102-006</w:t>
            </w:r>
          </w:p>
        </w:tc>
        <w:tc>
          <w:tcPr>
            <w:tcW w:w="5954" w:type="dxa"/>
            <w:noWrap/>
            <w:vAlign w:val="center"/>
            <w:hideMark/>
          </w:tcPr>
          <w:p w14:paraId="10B0F4C9" w14:textId="77777777" w:rsidR="00892142" w:rsidRPr="00B01471" w:rsidRDefault="00892142" w:rsidP="00887556">
            <w:pPr>
              <w:rPr>
                <w:sz w:val="18"/>
                <w:szCs w:val="18"/>
              </w:rPr>
            </w:pPr>
            <w:r w:rsidRPr="00B01471">
              <w:rPr>
                <w:sz w:val="18"/>
                <w:szCs w:val="18"/>
              </w:rPr>
              <w:t>Enhanced support to ACE and the summary for policymakers on the technical examination processes on mitigation and adaptation</w:t>
            </w:r>
          </w:p>
        </w:tc>
        <w:tc>
          <w:tcPr>
            <w:tcW w:w="1559" w:type="dxa"/>
            <w:noWrap/>
            <w:vAlign w:val="bottom"/>
          </w:tcPr>
          <w:p w14:paraId="6FAB6B2E"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1 683 067 </w:t>
            </w:r>
          </w:p>
        </w:tc>
      </w:tr>
      <w:tr w:rsidR="00892142" w:rsidRPr="00B01471" w14:paraId="427085A7" w14:textId="77777777" w:rsidTr="000404F3">
        <w:trPr>
          <w:trHeight w:val="300"/>
        </w:trPr>
        <w:tc>
          <w:tcPr>
            <w:tcW w:w="992" w:type="dxa"/>
            <w:tcBorders>
              <w:top w:val="nil"/>
              <w:left w:val="nil"/>
              <w:right w:val="nil"/>
            </w:tcBorders>
          </w:tcPr>
          <w:p w14:paraId="7228E42C" w14:textId="77777777" w:rsidR="00892142" w:rsidRPr="00B01471" w:rsidRDefault="00892142" w:rsidP="00656FAE">
            <w:pPr>
              <w:suppressAutoHyphens w:val="0"/>
              <w:spacing w:before="40" w:after="40" w:line="220" w:lineRule="exact"/>
              <w:ind w:left="-105" w:right="38" w:firstLine="284"/>
              <w:rPr>
                <w:rFonts w:eastAsia="MS Mincho"/>
                <w:b/>
                <w:sz w:val="18"/>
                <w:szCs w:val="18"/>
                <w:lang w:eastAsia="de-DE"/>
              </w:rPr>
            </w:pPr>
          </w:p>
        </w:tc>
        <w:tc>
          <w:tcPr>
            <w:tcW w:w="5954" w:type="dxa"/>
            <w:tcBorders>
              <w:top w:val="nil"/>
              <w:left w:val="nil"/>
              <w:right w:val="nil"/>
            </w:tcBorders>
            <w:noWrap/>
            <w:vAlign w:val="center"/>
            <w:hideMark/>
          </w:tcPr>
          <w:p w14:paraId="25C65556" w14:textId="77777777" w:rsidR="00892142" w:rsidRPr="00B01471" w:rsidRDefault="00892142" w:rsidP="00887556">
            <w:pPr>
              <w:suppressAutoHyphens w:val="0"/>
              <w:spacing w:before="40" w:after="40" w:line="220" w:lineRule="exact"/>
              <w:ind w:left="426" w:right="38" w:firstLine="284"/>
              <w:rPr>
                <w:rFonts w:eastAsia="Times New Roman"/>
                <w:color w:val="000000"/>
                <w:sz w:val="18"/>
                <w:szCs w:val="18"/>
              </w:rPr>
            </w:pPr>
            <w:r w:rsidRPr="00B01471">
              <w:rPr>
                <w:rFonts w:eastAsia="MS Mincho"/>
                <w:b/>
                <w:sz w:val="18"/>
                <w:szCs w:val="18"/>
                <w:lang w:eastAsia="de-DE"/>
              </w:rPr>
              <w:t>SB200-000 Constituted bodies</w:t>
            </w:r>
          </w:p>
        </w:tc>
        <w:tc>
          <w:tcPr>
            <w:tcW w:w="1559" w:type="dxa"/>
            <w:tcBorders>
              <w:top w:val="nil"/>
              <w:left w:val="nil"/>
              <w:right w:val="nil"/>
            </w:tcBorders>
            <w:noWrap/>
            <w:vAlign w:val="bottom"/>
          </w:tcPr>
          <w:p w14:paraId="44C486B4" w14:textId="77777777" w:rsidR="00892142" w:rsidRPr="00B01471" w:rsidRDefault="00892142" w:rsidP="00887556">
            <w:pPr>
              <w:spacing w:line="240" w:lineRule="auto"/>
              <w:jc w:val="right"/>
              <w:rPr>
                <w:rFonts w:eastAsia="Times New Roman"/>
                <w:b/>
                <w:color w:val="000000"/>
                <w:sz w:val="18"/>
                <w:szCs w:val="18"/>
              </w:rPr>
            </w:pPr>
            <w:r w:rsidRPr="00816E17">
              <w:rPr>
                <w:b/>
                <w:color w:val="000000"/>
                <w:sz w:val="18"/>
                <w:szCs w:val="18"/>
              </w:rPr>
              <w:t xml:space="preserve">       20 377 803 </w:t>
            </w:r>
          </w:p>
        </w:tc>
      </w:tr>
      <w:tr w:rsidR="00892142" w:rsidRPr="00B01471" w14:paraId="761E2FA2" w14:textId="77777777" w:rsidTr="000404F3">
        <w:trPr>
          <w:trHeight w:val="300"/>
        </w:trPr>
        <w:tc>
          <w:tcPr>
            <w:tcW w:w="992" w:type="dxa"/>
          </w:tcPr>
          <w:p w14:paraId="71C41E79" w14:textId="77777777" w:rsidR="00892142" w:rsidRPr="00B01471" w:rsidRDefault="00892142" w:rsidP="00656FAE">
            <w:pPr>
              <w:ind w:left="-105"/>
              <w:rPr>
                <w:sz w:val="18"/>
                <w:szCs w:val="18"/>
              </w:rPr>
            </w:pPr>
            <w:r w:rsidRPr="00B01471">
              <w:rPr>
                <w:sz w:val="18"/>
                <w:szCs w:val="18"/>
              </w:rPr>
              <w:t>SB200-001</w:t>
            </w:r>
          </w:p>
        </w:tc>
        <w:tc>
          <w:tcPr>
            <w:tcW w:w="5954" w:type="dxa"/>
            <w:noWrap/>
            <w:vAlign w:val="center"/>
            <w:hideMark/>
          </w:tcPr>
          <w:p w14:paraId="0BD1FAC0" w14:textId="187FBDE8" w:rsidR="00892142" w:rsidRPr="00B01471" w:rsidRDefault="00892142" w:rsidP="00887556">
            <w:pPr>
              <w:rPr>
                <w:b/>
                <w:sz w:val="18"/>
                <w:szCs w:val="18"/>
              </w:rPr>
            </w:pPr>
            <w:r w:rsidRPr="00B01471">
              <w:rPr>
                <w:sz w:val="18"/>
                <w:szCs w:val="18"/>
              </w:rPr>
              <w:t xml:space="preserve">Support for the full extent of activities envisaged in the workplans of the AC, </w:t>
            </w:r>
            <w:r>
              <w:rPr>
                <w:sz w:val="18"/>
                <w:szCs w:val="18"/>
              </w:rPr>
              <w:t xml:space="preserve">the </w:t>
            </w:r>
            <w:r w:rsidRPr="00B01471">
              <w:rPr>
                <w:sz w:val="18"/>
                <w:szCs w:val="18"/>
              </w:rPr>
              <w:t xml:space="preserve">LEG, </w:t>
            </w:r>
            <w:r w:rsidR="00CE423A">
              <w:rPr>
                <w:sz w:val="18"/>
                <w:szCs w:val="18"/>
              </w:rPr>
              <w:t xml:space="preserve">the </w:t>
            </w:r>
            <w:r w:rsidRPr="00B01471">
              <w:rPr>
                <w:sz w:val="18"/>
                <w:szCs w:val="18"/>
              </w:rPr>
              <w:t xml:space="preserve">LCIPP FWG and </w:t>
            </w:r>
            <w:r>
              <w:rPr>
                <w:sz w:val="18"/>
                <w:szCs w:val="18"/>
              </w:rPr>
              <w:t xml:space="preserve">the </w:t>
            </w:r>
            <w:r w:rsidRPr="00B01471">
              <w:rPr>
                <w:sz w:val="18"/>
                <w:szCs w:val="18"/>
              </w:rPr>
              <w:t>WIM Executive Committee</w:t>
            </w:r>
          </w:p>
        </w:tc>
        <w:tc>
          <w:tcPr>
            <w:tcW w:w="1559" w:type="dxa"/>
            <w:noWrap/>
            <w:vAlign w:val="bottom"/>
          </w:tcPr>
          <w:p w14:paraId="118D55B8" w14:textId="77777777" w:rsidR="00892142" w:rsidRPr="00B01471" w:rsidRDefault="00892142" w:rsidP="00887556">
            <w:pPr>
              <w:spacing w:line="240" w:lineRule="auto"/>
              <w:jc w:val="right"/>
              <w:rPr>
                <w:rFonts w:eastAsia="Times New Roman"/>
                <w:b/>
                <w:bCs/>
                <w:color w:val="000000"/>
                <w:sz w:val="18"/>
                <w:szCs w:val="18"/>
              </w:rPr>
            </w:pPr>
            <w:r w:rsidRPr="00816E17">
              <w:rPr>
                <w:color w:val="000000"/>
                <w:sz w:val="18"/>
                <w:szCs w:val="18"/>
              </w:rPr>
              <w:t xml:space="preserve">          4 129 712 </w:t>
            </w:r>
          </w:p>
        </w:tc>
      </w:tr>
      <w:tr w:rsidR="00892142" w:rsidRPr="00B01471" w14:paraId="420B125D" w14:textId="77777777" w:rsidTr="000404F3">
        <w:trPr>
          <w:trHeight w:val="300"/>
        </w:trPr>
        <w:tc>
          <w:tcPr>
            <w:tcW w:w="992" w:type="dxa"/>
          </w:tcPr>
          <w:p w14:paraId="7F16581A" w14:textId="77777777" w:rsidR="00892142" w:rsidRPr="00B01471" w:rsidRDefault="00892142" w:rsidP="00656FAE">
            <w:pPr>
              <w:ind w:left="-105"/>
              <w:rPr>
                <w:sz w:val="18"/>
                <w:szCs w:val="18"/>
              </w:rPr>
            </w:pPr>
            <w:r w:rsidRPr="00B01471">
              <w:rPr>
                <w:sz w:val="18"/>
                <w:szCs w:val="18"/>
              </w:rPr>
              <w:t>SB200-002</w:t>
            </w:r>
          </w:p>
        </w:tc>
        <w:tc>
          <w:tcPr>
            <w:tcW w:w="5954" w:type="dxa"/>
            <w:noWrap/>
            <w:vAlign w:val="center"/>
            <w:hideMark/>
          </w:tcPr>
          <w:p w14:paraId="173EE033" w14:textId="77777777" w:rsidR="00892142" w:rsidRPr="00B01471" w:rsidRDefault="00892142" w:rsidP="00887556">
            <w:pPr>
              <w:rPr>
                <w:sz w:val="18"/>
                <w:szCs w:val="18"/>
              </w:rPr>
            </w:pPr>
            <w:r w:rsidRPr="00B01471">
              <w:rPr>
                <w:sz w:val="18"/>
                <w:szCs w:val="18"/>
              </w:rPr>
              <w:t>Support for the full extent of activities envisaged in the workplans of the KCI and contingency for any institutional arrangements related to Article 6 of the Paris Agreement</w:t>
            </w:r>
          </w:p>
        </w:tc>
        <w:tc>
          <w:tcPr>
            <w:tcW w:w="1559" w:type="dxa"/>
            <w:noWrap/>
            <w:vAlign w:val="bottom"/>
          </w:tcPr>
          <w:p w14:paraId="622BB6A7"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4 114 714 </w:t>
            </w:r>
          </w:p>
        </w:tc>
      </w:tr>
      <w:tr w:rsidR="00892142" w:rsidRPr="00B01471" w14:paraId="1573559E" w14:textId="77777777" w:rsidTr="000404F3">
        <w:trPr>
          <w:trHeight w:val="300"/>
        </w:trPr>
        <w:tc>
          <w:tcPr>
            <w:tcW w:w="992" w:type="dxa"/>
          </w:tcPr>
          <w:p w14:paraId="3DCC50A1" w14:textId="77777777" w:rsidR="00892142" w:rsidRPr="00B01471" w:rsidRDefault="00892142" w:rsidP="00656FAE">
            <w:pPr>
              <w:ind w:left="-105"/>
              <w:rPr>
                <w:sz w:val="18"/>
                <w:szCs w:val="18"/>
              </w:rPr>
            </w:pPr>
            <w:r w:rsidRPr="00B01471">
              <w:rPr>
                <w:sz w:val="18"/>
                <w:szCs w:val="18"/>
              </w:rPr>
              <w:t>SB200-003</w:t>
            </w:r>
          </w:p>
        </w:tc>
        <w:tc>
          <w:tcPr>
            <w:tcW w:w="5954" w:type="dxa"/>
            <w:noWrap/>
            <w:vAlign w:val="center"/>
            <w:hideMark/>
          </w:tcPr>
          <w:p w14:paraId="623DF7F8" w14:textId="77777777" w:rsidR="00892142" w:rsidRPr="00B01471" w:rsidRDefault="00892142" w:rsidP="00887556">
            <w:pPr>
              <w:rPr>
                <w:sz w:val="18"/>
                <w:szCs w:val="18"/>
              </w:rPr>
            </w:pPr>
            <w:r w:rsidRPr="00B01471">
              <w:rPr>
                <w:sz w:val="18"/>
                <w:szCs w:val="18"/>
              </w:rPr>
              <w:t>Support for the full extent of activities envisaged in the workplans of the SCF, the TEC and the PCCB</w:t>
            </w:r>
          </w:p>
        </w:tc>
        <w:tc>
          <w:tcPr>
            <w:tcW w:w="1559" w:type="dxa"/>
            <w:noWrap/>
            <w:vAlign w:val="bottom"/>
          </w:tcPr>
          <w:p w14:paraId="7E5EC9DE" w14:textId="77777777" w:rsidR="00892142" w:rsidRPr="00B01471" w:rsidRDefault="00892142" w:rsidP="00887556">
            <w:pPr>
              <w:spacing w:line="240" w:lineRule="auto"/>
              <w:jc w:val="right"/>
              <w:rPr>
                <w:rFonts w:eastAsia="Times New Roman"/>
                <w:color w:val="000000"/>
                <w:sz w:val="18"/>
                <w:szCs w:val="18"/>
              </w:rPr>
            </w:pPr>
            <w:r>
              <w:rPr>
                <w:color w:val="000000"/>
                <w:sz w:val="18"/>
                <w:szCs w:val="18"/>
              </w:rPr>
              <w:t xml:space="preserve">               </w:t>
            </w:r>
            <w:r w:rsidRPr="00816E17">
              <w:rPr>
                <w:color w:val="000000"/>
                <w:sz w:val="18"/>
                <w:szCs w:val="18"/>
              </w:rPr>
              <w:t xml:space="preserve">995 650 </w:t>
            </w:r>
          </w:p>
        </w:tc>
      </w:tr>
      <w:tr w:rsidR="00892142" w:rsidRPr="00B01471" w14:paraId="2F0E649C" w14:textId="77777777" w:rsidTr="000404F3">
        <w:trPr>
          <w:trHeight w:val="300"/>
        </w:trPr>
        <w:tc>
          <w:tcPr>
            <w:tcW w:w="992" w:type="dxa"/>
          </w:tcPr>
          <w:p w14:paraId="04A84D91" w14:textId="77777777" w:rsidR="00892142" w:rsidRPr="00B01471" w:rsidRDefault="00892142" w:rsidP="00656FAE">
            <w:pPr>
              <w:ind w:left="-105"/>
              <w:rPr>
                <w:sz w:val="18"/>
                <w:szCs w:val="18"/>
              </w:rPr>
            </w:pPr>
            <w:r w:rsidRPr="00B01471">
              <w:rPr>
                <w:sz w:val="18"/>
                <w:szCs w:val="18"/>
              </w:rPr>
              <w:t>SB200-004</w:t>
            </w:r>
          </w:p>
        </w:tc>
        <w:tc>
          <w:tcPr>
            <w:tcW w:w="5954" w:type="dxa"/>
            <w:noWrap/>
            <w:vAlign w:val="center"/>
            <w:hideMark/>
          </w:tcPr>
          <w:p w14:paraId="47B46BDF" w14:textId="6A2A44FA" w:rsidR="00892142" w:rsidRPr="00B01471" w:rsidRDefault="00892142" w:rsidP="00887556">
            <w:pPr>
              <w:rPr>
                <w:sz w:val="18"/>
                <w:szCs w:val="18"/>
              </w:rPr>
            </w:pPr>
            <w:r w:rsidRPr="00B01471">
              <w:rPr>
                <w:sz w:val="18"/>
                <w:szCs w:val="18"/>
              </w:rPr>
              <w:t>Support for the full extent of short-term activities of the CGE, in particular in support of developing countries</w:t>
            </w:r>
            <w:r w:rsidR="00CE423A">
              <w:rPr>
                <w:sz w:val="18"/>
                <w:szCs w:val="18"/>
              </w:rPr>
              <w:t>’</w:t>
            </w:r>
            <w:r w:rsidRPr="00B01471">
              <w:rPr>
                <w:sz w:val="18"/>
                <w:szCs w:val="18"/>
              </w:rPr>
              <w:t xml:space="preserve"> reporting</w:t>
            </w:r>
          </w:p>
        </w:tc>
        <w:tc>
          <w:tcPr>
            <w:tcW w:w="1559" w:type="dxa"/>
            <w:noWrap/>
            <w:vAlign w:val="bottom"/>
          </w:tcPr>
          <w:p w14:paraId="6F9B2CB1" w14:textId="77777777" w:rsidR="00892142" w:rsidRPr="00B01471" w:rsidRDefault="00892142" w:rsidP="00887556">
            <w:pPr>
              <w:spacing w:line="240" w:lineRule="auto"/>
              <w:jc w:val="right"/>
              <w:rPr>
                <w:rFonts w:eastAsia="Times New Roman"/>
                <w:color w:val="000000"/>
                <w:sz w:val="18"/>
                <w:szCs w:val="18"/>
              </w:rPr>
            </w:pPr>
            <w:r>
              <w:rPr>
                <w:color w:val="000000"/>
                <w:sz w:val="18"/>
                <w:szCs w:val="18"/>
              </w:rPr>
              <w:t xml:space="preserve">          </w:t>
            </w:r>
            <w:r w:rsidRPr="00816E17">
              <w:rPr>
                <w:color w:val="000000"/>
                <w:sz w:val="18"/>
                <w:szCs w:val="18"/>
              </w:rPr>
              <w:t xml:space="preserve">10 651 195 </w:t>
            </w:r>
          </w:p>
        </w:tc>
      </w:tr>
      <w:tr w:rsidR="00892142" w:rsidRPr="00B01471" w14:paraId="359F14CA" w14:textId="77777777" w:rsidTr="000404F3">
        <w:trPr>
          <w:trHeight w:val="300"/>
        </w:trPr>
        <w:tc>
          <w:tcPr>
            <w:tcW w:w="992" w:type="dxa"/>
          </w:tcPr>
          <w:p w14:paraId="56367423" w14:textId="77777777" w:rsidR="00892142" w:rsidRPr="00B01471" w:rsidRDefault="00892142" w:rsidP="00656FAE">
            <w:pPr>
              <w:ind w:left="-105"/>
              <w:rPr>
                <w:sz w:val="18"/>
                <w:szCs w:val="18"/>
              </w:rPr>
            </w:pPr>
            <w:r w:rsidRPr="00B01471">
              <w:rPr>
                <w:sz w:val="18"/>
                <w:szCs w:val="18"/>
              </w:rPr>
              <w:t>SB200-007</w:t>
            </w:r>
          </w:p>
        </w:tc>
        <w:tc>
          <w:tcPr>
            <w:tcW w:w="5954" w:type="dxa"/>
            <w:noWrap/>
            <w:vAlign w:val="center"/>
            <w:hideMark/>
          </w:tcPr>
          <w:p w14:paraId="021236CA" w14:textId="76E49609" w:rsidR="00892142" w:rsidRPr="00B01471" w:rsidRDefault="00892142" w:rsidP="00887556">
            <w:pPr>
              <w:rPr>
                <w:sz w:val="18"/>
                <w:szCs w:val="18"/>
              </w:rPr>
            </w:pPr>
            <w:r w:rsidRPr="00B01471">
              <w:rPr>
                <w:sz w:val="18"/>
                <w:szCs w:val="18"/>
              </w:rPr>
              <w:t>Support for the full extent of short-term activities of the compliance committees under the Kyoto Protocol and the Paris Agreement</w:t>
            </w:r>
          </w:p>
        </w:tc>
        <w:tc>
          <w:tcPr>
            <w:tcW w:w="1559" w:type="dxa"/>
            <w:noWrap/>
            <w:vAlign w:val="bottom"/>
          </w:tcPr>
          <w:p w14:paraId="0FCC8F38" w14:textId="77777777" w:rsidR="00892142" w:rsidRPr="00B01471" w:rsidRDefault="00892142" w:rsidP="00887556">
            <w:pPr>
              <w:spacing w:line="240" w:lineRule="auto"/>
              <w:jc w:val="right"/>
              <w:rPr>
                <w:rFonts w:eastAsia="Times New Roman"/>
                <w:color w:val="000000"/>
                <w:sz w:val="18"/>
                <w:szCs w:val="18"/>
              </w:rPr>
            </w:pPr>
            <w:r>
              <w:rPr>
                <w:color w:val="000000"/>
                <w:sz w:val="18"/>
                <w:szCs w:val="18"/>
              </w:rPr>
              <w:t xml:space="preserve">               </w:t>
            </w:r>
            <w:r w:rsidRPr="00816E17">
              <w:rPr>
                <w:color w:val="000000"/>
                <w:sz w:val="18"/>
                <w:szCs w:val="18"/>
              </w:rPr>
              <w:t xml:space="preserve">486 533 </w:t>
            </w:r>
          </w:p>
        </w:tc>
      </w:tr>
      <w:tr w:rsidR="00892142" w:rsidRPr="00B01471" w14:paraId="3DDAB478" w14:textId="77777777" w:rsidTr="000404F3">
        <w:trPr>
          <w:trHeight w:val="300"/>
        </w:trPr>
        <w:tc>
          <w:tcPr>
            <w:tcW w:w="992" w:type="dxa"/>
            <w:tcBorders>
              <w:top w:val="nil"/>
              <w:left w:val="nil"/>
              <w:right w:val="nil"/>
            </w:tcBorders>
          </w:tcPr>
          <w:p w14:paraId="32ED51C4" w14:textId="77777777" w:rsidR="00892142" w:rsidRPr="00B01471" w:rsidRDefault="00892142" w:rsidP="00656FAE">
            <w:pPr>
              <w:suppressAutoHyphens w:val="0"/>
              <w:spacing w:before="40" w:after="40" w:line="220" w:lineRule="exact"/>
              <w:ind w:left="-105" w:right="38" w:firstLine="284"/>
              <w:rPr>
                <w:rFonts w:eastAsia="MS Mincho"/>
                <w:b/>
                <w:sz w:val="18"/>
                <w:szCs w:val="18"/>
                <w:lang w:eastAsia="de-DE"/>
              </w:rPr>
            </w:pPr>
          </w:p>
        </w:tc>
        <w:tc>
          <w:tcPr>
            <w:tcW w:w="5954" w:type="dxa"/>
            <w:tcBorders>
              <w:top w:val="nil"/>
              <w:left w:val="nil"/>
              <w:right w:val="nil"/>
            </w:tcBorders>
            <w:noWrap/>
            <w:vAlign w:val="center"/>
            <w:hideMark/>
          </w:tcPr>
          <w:p w14:paraId="55669183" w14:textId="77777777" w:rsidR="00892142" w:rsidRPr="00B01471" w:rsidRDefault="00892142" w:rsidP="00887556">
            <w:pPr>
              <w:suppressAutoHyphens w:val="0"/>
              <w:spacing w:before="40" w:after="40" w:line="220" w:lineRule="exact"/>
              <w:ind w:left="426" w:right="38" w:firstLine="284"/>
              <w:rPr>
                <w:rFonts w:eastAsia="Times New Roman"/>
                <w:color w:val="000000"/>
                <w:sz w:val="18"/>
                <w:szCs w:val="18"/>
              </w:rPr>
            </w:pPr>
            <w:r w:rsidRPr="00B01471">
              <w:rPr>
                <w:rFonts w:eastAsia="MS Mincho"/>
                <w:b/>
                <w:sz w:val="18"/>
                <w:szCs w:val="18"/>
                <w:lang w:eastAsia="de-DE"/>
              </w:rPr>
              <w:t>SB300-000 Data and information management</w:t>
            </w:r>
          </w:p>
        </w:tc>
        <w:tc>
          <w:tcPr>
            <w:tcW w:w="1559" w:type="dxa"/>
            <w:tcBorders>
              <w:top w:val="nil"/>
              <w:left w:val="nil"/>
              <w:right w:val="nil"/>
            </w:tcBorders>
            <w:noWrap/>
            <w:vAlign w:val="bottom"/>
          </w:tcPr>
          <w:p w14:paraId="5AE9291A" w14:textId="77777777" w:rsidR="00892142" w:rsidRPr="00B01471" w:rsidRDefault="00892142" w:rsidP="00887556">
            <w:pPr>
              <w:spacing w:line="240" w:lineRule="auto"/>
              <w:jc w:val="right"/>
              <w:rPr>
                <w:rFonts w:eastAsia="Times New Roman"/>
                <w:b/>
                <w:color w:val="000000"/>
                <w:sz w:val="18"/>
                <w:szCs w:val="18"/>
              </w:rPr>
            </w:pPr>
            <w:r w:rsidRPr="00816E17">
              <w:rPr>
                <w:b/>
                <w:color w:val="000000"/>
                <w:sz w:val="18"/>
                <w:szCs w:val="18"/>
              </w:rPr>
              <w:t xml:space="preserve">       11 798 167 </w:t>
            </w:r>
          </w:p>
        </w:tc>
      </w:tr>
      <w:tr w:rsidR="00892142" w:rsidRPr="00B01471" w14:paraId="35438500" w14:textId="77777777" w:rsidTr="000404F3">
        <w:trPr>
          <w:trHeight w:val="300"/>
        </w:trPr>
        <w:tc>
          <w:tcPr>
            <w:tcW w:w="992" w:type="dxa"/>
          </w:tcPr>
          <w:p w14:paraId="0A4A3A43" w14:textId="77777777" w:rsidR="00892142" w:rsidRPr="00B01471" w:rsidRDefault="00892142" w:rsidP="00656FAE">
            <w:pPr>
              <w:ind w:left="-105"/>
              <w:rPr>
                <w:sz w:val="18"/>
                <w:szCs w:val="18"/>
              </w:rPr>
            </w:pPr>
            <w:r w:rsidRPr="00B01471">
              <w:rPr>
                <w:sz w:val="18"/>
                <w:szCs w:val="18"/>
              </w:rPr>
              <w:t>SB300-001</w:t>
            </w:r>
          </w:p>
        </w:tc>
        <w:tc>
          <w:tcPr>
            <w:tcW w:w="5954" w:type="dxa"/>
            <w:noWrap/>
            <w:vAlign w:val="center"/>
            <w:hideMark/>
          </w:tcPr>
          <w:p w14:paraId="5CA9C792" w14:textId="77777777" w:rsidR="00892142" w:rsidRPr="00B01471" w:rsidRDefault="00892142" w:rsidP="00887556">
            <w:pPr>
              <w:rPr>
                <w:b/>
                <w:sz w:val="18"/>
                <w:szCs w:val="18"/>
              </w:rPr>
            </w:pPr>
            <w:r w:rsidRPr="00B01471">
              <w:rPr>
                <w:sz w:val="18"/>
                <w:szCs w:val="18"/>
              </w:rPr>
              <w:t xml:space="preserve">Development and enhancement of adaptation-related data portals, including </w:t>
            </w:r>
            <w:r>
              <w:rPr>
                <w:sz w:val="18"/>
                <w:szCs w:val="18"/>
              </w:rPr>
              <w:t xml:space="preserve">the </w:t>
            </w:r>
            <w:r w:rsidRPr="00B01471">
              <w:rPr>
                <w:sz w:val="18"/>
                <w:szCs w:val="18"/>
              </w:rPr>
              <w:t>adaptation registry, NAPs</w:t>
            </w:r>
            <w:r>
              <w:rPr>
                <w:sz w:val="18"/>
                <w:szCs w:val="18"/>
              </w:rPr>
              <w:t xml:space="preserve"> and the</w:t>
            </w:r>
            <w:r w:rsidRPr="00B01471">
              <w:rPr>
                <w:sz w:val="18"/>
                <w:szCs w:val="18"/>
              </w:rPr>
              <w:t xml:space="preserve"> NWP</w:t>
            </w:r>
          </w:p>
        </w:tc>
        <w:tc>
          <w:tcPr>
            <w:tcW w:w="1559" w:type="dxa"/>
            <w:noWrap/>
            <w:vAlign w:val="bottom"/>
          </w:tcPr>
          <w:p w14:paraId="785A24D2" w14:textId="77777777" w:rsidR="00892142" w:rsidRPr="00B01471" w:rsidRDefault="00892142" w:rsidP="00887556">
            <w:pPr>
              <w:spacing w:line="240" w:lineRule="auto"/>
              <w:jc w:val="right"/>
              <w:rPr>
                <w:rFonts w:eastAsia="Times New Roman"/>
                <w:b/>
                <w:bCs/>
                <w:color w:val="000000"/>
                <w:sz w:val="18"/>
                <w:szCs w:val="18"/>
              </w:rPr>
            </w:pPr>
            <w:r>
              <w:rPr>
                <w:color w:val="000000"/>
                <w:sz w:val="18"/>
                <w:szCs w:val="18"/>
              </w:rPr>
              <w:t xml:space="preserve">               </w:t>
            </w:r>
            <w:r w:rsidRPr="00816E17">
              <w:rPr>
                <w:color w:val="000000"/>
                <w:sz w:val="18"/>
                <w:szCs w:val="18"/>
              </w:rPr>
              <w:t xml:space="preserve">634 843 </w:t>
            </w:r>
          </w:p>
        </w:tc>
      </w:tr>
      <w:tr w:rsidR="00892142" w:rsidRPr="00B01471" w14:paraId="553EA29C" w14:textId="77777777" w:rsidTr="000404F3">
        <w:trPr>
          <w:trHeight w:val="300"/>
        </w:trPr>
        <w:tc>
          <w:tcPr>
            <w:tcW w:w="992" w:type="dxa"/>
          </w:tcPr>
          <w:p w14:paraId="7A521C73" w14:textId="77777777" w:rsidR="00892142" w:rsidRPr="00B01471" w:rsidRDefault="00892142" w:rsidP="00656FAE">
            <w:pPr>
              <w:ind w:left="-105"/>
              <w:rPr>
                <w:sz w:val="18"/>
                <w:szCs w:val="18"/>
              </w:rPr>
            </w:pPr>
            <w:r w:rsidRPr="00B01471">
              <w:rPr>
                <w:sz w:val="18"/>
                <w:szCs w:val="18"/>
              </w:rPr>
              <w:t>SB300-002</w:t>
            </w:r>
          </w:p>
        </w:tc>
        <w:tc>
          <w:tcPr>
            <w:tcW w:w="5954" w:type="dxa"/>
            <w:noWrap/>
            <w:vAlign w:val="center"/>
            <w:hideMark/>
          </w:tcPr>
          <w:p w14:paraId="3B1A649C" w14:textId="77777777" w:rsidR="00892142" w:rsidRPr="00B01471" w:rsidRDefault="00892142" w:rsidP="00887556">
            <w:pPr>
              <w:rPr>
                <w:sz w:val="18"/>
                <w:szCs w:val="18"/>
              </w:rPr>
            </w:pPr>
            <w:r w:rsidRPr="00B01471">
              <w:rPr>
                <w:sz w:val="18"/>
                <w:szCs w:val="18"/>
              </w:rPr>
              <w:t>Development and enhancement of mitigation-related data portals and data management systems, including an NDC registry, an information portal on long-term low-emission development strategies and a contingency system for corresponding adjustment under Article 6, paragraph 2, of the Paris Agreement</w:t>
            </w:r>
          </w:p>
        </w:tc>
        <w:tc>
          <w:tcPr>
            <w:tcW w:w="1559" w:type="dxa"/>
            <w:noWrap/>
            <w:vAlign w:val="bottom"/>
          </w:tcPr>
          <w:p w14:paraId="7E927FD2"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3 041 305 </w:t>
            </w:r>
          </w:p>
        </w:tc>
      </w:tr>
      <w:tr w:rsidR="00892142" w:rsidRPr="00B01471" w14:paraId="64097F06" w14:textId="77777777" w:rsidTr="000404F3">
        <w:trPr>
          <w:trHeight w:val="300"/>
        </w:trPr>
        <w:tc>
          <w:tcPr>
            <w:tcW w:w="992" w:type="dxa"/>
          </w:tcPr>
          <w:p w14:paraId="5EF1164F" w14:textId="77777777" w:rsidR="00892142" w:rsidRPr="00B01471" w:rsidRDefault="00892142" w:rsidP="00656FAE">
            <w:pPr>
              <w:ind w:left="-105"/>
              <w:rPr>
                <w:sz w:val="18"/>
                <w:szCs w:val="18"/>
              </w:rPr>
            </w:pPr>
            <w:r w:rsidRPr="00B01471">
              <w:rPr>
                <w:sz w:val="18"/>
                <w:szCs w:val="18"/>
              </w:rPr>
              <w:t>SB300-003</w:t>
            </w:r>
          </w:p>
        </w:tc>
        <w:tc>
          <w:tcPr>
            <w:tcW w:w="5954" w:type="dxa"/>
            <w:noWrap/>
            <w:vAlign w:val="center"/>
            <w:hideMark/>
          </w:tcPr>
          <w:p w14:paraId="61F1B428" w14:textId="77777777" w:rsidR="00892142" w:rsidRPr="00B01471" w:rsidRDefault="00892142" w:rsidP="00887556">
            <w:pPr>
              <w:rPr>
                <w:sz w:val="18"/>
                <w:szCs w:val="18"/>
              </w:rPr>
            </w:pPr>
            <w:r w:rsidRPr="00B01471">
              <w:rPr>
                <w:sz w:val="18"/>
                <w:szCs w:val="18"/>
              </w:rPr>
              <w:t>Development and enhancement of support and means of implementation data portals, in particular the finance, TT:CLEAR and capacity-building portals</w:t>
            </w:r>
          </w:p>
        </w:tc>
        <w:tc>
          <w:tcPr>
            <w:tcW w:w="1559" w:type="dxa"/>
            <w:noWrap/>
            <w:vAlign w:val="bottom"/>
          </w:tcPr>
          <w:p w14:paraId="10994C1C" w14:textId="77777777" w:rsidR="00892142" w:rsidRPr="00B01471" w:rsidRDefault="00892142" w:rsidP="00887556">
            <w:pPr>
              <w:spacing w:line="240" w:lineRule="auto"/>
              <w:jc w:val="right"/>
              <w:rPr>
                <w:rFonts w:eastAsia="Times New Roman"/>
                <w:color w:val="000000"/>
                <w:sz w:val="18"/>
                <w:szCs w:val="18"/>
              </w:rPr>
            </w:pPr>
            <w:r>
              <w:rPr>
                <w:color w:val="000000"/>
                <w:sz w:val="18"/>
                <w:szCs w:val="18"/>
              </w:rPr>
              <w:t xml:space="preserve">               </w:t>
            </w:r>
            <w:r w:rsidRPr="00816E17">
              <w:rPr>
                <w:color w:val="000000"/>
                <w:sz w:val="18"/>
                <w:szCs w:val="18"/>
              </w:rPr>
              <w:t xml:space="preserve">387 866 </w:t>
            </w:r>
          </w:p>
        </w:tc>
      </w:tr>
      <w:tr w:rsidR="00892142" w:rsidRPr="00B01471" w14:paraId="4F037F4E" w14:textId="77777777" w:rsidTr="000404F3">
        <w:trPr>
          <w:trHeight w:val="300"/>
        </w:trPr>
        <w:tc>
          <w:tcPr>
            <w:tcW w:w="992" w:type="dxa"/>
          </w:tcPr>
          <w:p w14:paraId="5B5AF380" w14:textId="77777777" w:rsidR="00892142" w:rsidRPr="00B01471" w:rsidRDefault="00892142" w:rsidP="00656FAE">
            <w:pPr>
              <w:ind w:left="-105"/>
              <w:rPr>
                <w:sz w:val="18"/>
                <w:szCs w:val="18"/>
              </w:rPr>
            </w:pPr>
            <w:r w:rsidRPr="00B01471">
              <w:rPr>
                <w:sz w:val="18"/>
                <w:szCs w:val="18"/>
              </w:rPr>
              <w:t>SB300-004</w:t>
            </w:r>
          </w:p>
        </w:tc>
        <w:tc>
          <w:tcPr>
            <w:tcW w:w="5954" w:type="dxa"/>
            <w:noWrap/>
            <w:vAlign w:val="center"/>
            <w:hideMark/>
          </w:tcPr>
          <w:p w14:paraId="4B3C6C09" w14:textId="77777777" w:rsidR="00892142" w:rsidRPr="00B01471" w:rsidRDefault="00892142" w:rsidP="00887556">
            <w:pPr>
              <w:rPr>
                <w:sz w:val="18"/>
                <w:szCs w:val="18"/>
              </w:rPr>
            </w:pPr>
            <w:r w:rsidRPr="00B01471">
              <w:rPr>
                <w:sz w:val="18"/>
                <w:szCs w:val="18"/>
              </w:rPr>
              <w:t>Enhancement of existing portals and data management for existing transparency arrangements and initiation of the development of systems for the enhanced transparency framework</w:t>
            </w:r>
          </w:p>
        </w:tc>
        <w:tc>
          <w:tcPr>
            <w:tcW w:w="1559" w:type="dxa"/>
            <w:noWrap/>
            <w:vAlign w:val="bottom"/>
          </w:tcPr>
          <w:p w14:paraId="68097CBE"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2 476 734 </w:t>
            </w:r>
          </w:p>
        </w:tc>
      </w:tr>
      <w:tr w:rsidR="00892142" w:rsidRPr="00B01471" w14:paraId="356BF2FA" w14:textId="77777777" w:rsidTr="000404F3">
        <w:trPr>
          <w:trHeight w:val="300"/>
        </w:trPr>
        <w:tc>
          <w:tcPr>
            <w:tcW w:w="992" w:type="dxa"/>
          </w:tcPr>
          <w:p w14:paraId="5437BDF5" w14:textId="77777777" w:rsidR="00892142" w:rsidRPr="00B01471" w:rsidRDefault="00892142" w:rsidP="00656FAE">
            <w:pPr>
              <w:ind w:left="-105"/>
              <w:rPr>
                <w:sz w:val="18"/>
                <w:szCs w:val="18"/>
              </w:rPr>
            </w:pPr>
            <w:r w:rsidRPr="00B01471">
              <w:rPr>
                <w:sz w:val="18"/>
                <w:szCs w:val="18"/>
              </w:rPr>
              <w:t>SB300-006</w:t>
            </w:r>
          </w:p>
        </w:tc>
        <w:tc>
          <w:tcPr>
            <w:tcW w:w="5954" w:type="dxa"/>
            <w:noWrap/>
            <w:vAlign w:val="center"/>
            <w:hideMark/>
          </w:tcPr>
          <w:p w14:paraId="797F4C0C" w14:textId="77777777" w:rsidR="00892142" w:rsidRPr="00B01471" w:rsidRDefault="00892142" w:rsidP="00887556">
            <w:pPr>
              <w:rPr>
                <w:sz w:val="18"/>
                <w:szCs w:val="18"/>
              </w:rPr>
            </w:pPr>
            <w:r w:rsidRPr="00B01471">
              <w:rPr>
                <w:sz w:val="18"/>
                <w:szCs w:val="18"/>
              </w:rPr>
              <w:t>Maintenance and enhancement of NAZCA and internal communications</w:t>
            </w:r>
          </w:p>
        </w:tc>
        <w:tc>
          <w:tcPr>
            <w:tcW w:w="1559" w:type="dxa"/>
            <w:noWrap/>
            <w:vAlign w:val="bottom"/>
          </w:tcPr>
          <w:p w14:paraId="239565B7"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1 605 504 </w:t>
            </w:r>
          </w:p>
        </w:tc>
      </w:tr>
      <w:tr w:rsidR="00892142" w:rsidRPr="00B01471" w14:paraId="70CA6B3D" w14:textId="77777777" w:rsidTr="000404F3">
        <w:trPr>
          <w:trHeight w:val="300"/>
        </w:trPr>
        <w:tc>
          <w:tcPr>
            <w:tcW w:w="992" w:type="dxa"/>
          </w:tcPr>
          <w:p w14:paraId="09551DF7" w14:textId="77777777" w:rsidR="00892142" w:rsidRPr="00B01471" w:rsidRDefault="00892142" w:rsidP="00656FAE">
            <w:pPr>
              <w:ind w:left="-105"/>
              <w:rPr>
                <w:sz w:val="18"/>
                <w:szCs w:val="18"/>
              </w:rPr>
            </w:pPr>
            <w:r w:rsidRPr="00B01471">
              <w:rPr>
                <w:sz w:val="18"/>
                <w:szCs w:val="18"/>
              </w:rPr>
              <w:t>SB300-009</w:t>
            </w:r>
          </w:p>
        </w:tc>
        <w:tc>
          <w:tcPr>
            <w:tcW w:w="5954" w:type="dxa"/>
            <w:noWrap/>
            <w:vAlign w:val="center"/>
            <w:hideMark/>
          </w:tcPr>
          <w:p w14:paraId="216B489A" w14:textId="77777777" w:rsidR="00892142" w:rsidRPr="00B01471" w:rsidRDefault="00892142" w:rsidP="00887556">
            <w:pPr>
              <w:rPr>
                <w:sz w:val="18"/>
                <w:szCs w:val="18"/>
              </w:rPr>
            </w:pPr>
            <w:r w:rsidRPr="00B01471">
              <w:rPr>
                <w:sz w:val="18"/>
                <w:szCs w:val="18"/>
              </w:rPr>
              <w:t>Enhancement of the security of the secretariat’s data management systems</w:t>
            </w:r>
          </w:p>
        </w:tc>
        <w:tc>
          <w:tcPr>
            <w:tcW w:w="1559" w:type="dxa"/>
            <w:noWrap/>
            <w:vAlign w:val="bottom"/>
          </w:tcPr>
          <w:p w14:paraId="2BCCF471"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1 492 097 </w:t>
            </w:r>
          </w:p>
        </w:tc>
      </w:tr>
      <w:tr w:rsidR="00892142" w:rsidRPr="00B01471" w14:paraId="04146EB9" w14:textId="77777777" w:rsidTr="000404F3">
        <w:trPr>
          <w:trHeight w:val="300"/>
        </w:trPr>
        <w:tc>
          <w:tcPr>
            <w:tcW w:w="992" w:type="dxa"/>
          </w:tcPr>
          <w:p w14:paraId="2080FB59" w14:textId="77777777" w:rsidR="00892142" w:rsidRPr="00B01471" w:rsidRDefault="00892142" w:rsidP="00656FAE">
            <w:pPr>
              <w:ind w:left="-105"/>
              <w:rPr>
                <w:sz w:val="18"/>
                <w:szCs w:val="18"/>
              </w:rPr>
            </w:pPr>
            <w:r w:rsidRPr="00B01471">
              <w:rPr>
                <w:sz w:val="18"/>
                <w:szCs w:val="18"/>
              </w:rPr>
              <w:t>SB300-008</w:t>
            </w:r>
          </w:p>
        </w:tc>
        <w:tc>
          <w:tcPr>
            <w:tcW w:w="5954" w:type="dxa"/>
            <w:noWrap/>
            <w:vAlign w:val="center"/>
            <w:hideMark/>
          </w:tcPr>
          <w:p w14:paraId="0F37464C" w14:textId="77777777" w:rsidR="00892142" w:rsidRPr="00B01471" w:rsidRDefault="00892142" w:rsidP="00887556">
            <w:pPr>
              <w:rPr>
                <w:sz w:val="18"/>
                <w:szCs w:val="18"/>
              </w:rPr>
            </w:pPr>
            <w:r w:rsidRPr="00B01471">
              <w:rPr>
                <w:sz w:val="18"/>
                <w:szCs w:val="18"/>
              </w:rPr>
              <w:t>Enhancement of the registration and accreditation system for UNFCCC conferences and events</w:t>
            </w:r>
          </w:p>
        </w:tc>
        <w:tc>
          <w:tcPr>
            <w:tcW w:w="1559" w:type="dxa"/>
            <w:noWrap/>
            <w:vAlign w:val="bottom"/>
          </w:tcPr>
          <w:p w14:paraId="56909797"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1 858 398 </w:t>
            </w:r>
          </w:p>
        </w:tc>
      </w:tr>
      <w:tr w:rsidR="00892142" w:rsidRPr="00B01471" w14:paraId="0881E044" w14:textId="77777777" w:rsidTr="000404F3">
        <w:trPr>
          <w:trHeight w:val="300"/>
        </w:trPr>
        <w:tc>
          <w:tcPr>
            <w:tcW w:w="992" w:type="dxa"/>
          </w:tcPr>
          <w:p w14:paraId="1EE87425" w14:textId="77777777" w:rsidR="00892142" w:rsidRPr="00B01471" w:rsidRDefault="00892142" w:rsidP="00656FAE">
            <w:pPr>
              <w:ind w:left="-105"/>
              <w:rPr>
                <w:sz w:val="18"/>
                <w:szCs w:val="18"/>
              </w:rPr>
            </w:pPr>
            <w:r w:rsidRPr="00B01471">
              <w:rPr>
                <w:sz w:val="18"/>
                <w:szCs w:val="18"/>
              </w:rPr>
              <w:t>SB300-007</w:t>
            </w:r>
          </w:p>
        </w:tc>
        <w:tc>
          <w:tcPr>
            <w:tcW w:w="5954" w:type="dxa"/>
            <w:noWrap/>
            <w:vAlign w:val="center"/>
            <w:hideMark/>
          </w:tcPr>
          <w:p w14:paraId="56BC671D" w14:textId="77777777" w:rsidR="00892142" w:rsidRPr="00B01471" w:rsidRDefault="00892142" w:rsidP="00887556">
            <w:pPr>
              <w:rPr>
                <w:sz w:val="18"/>
                <w:szCs w:val="18"/>
              </w:rPr>
            </w:pPr>
            <w:r w:rsidRPr="00B01471">
              <w:rPr>
                <w:sz w:val="18"/>
                <w:szCs w:val="18"/>
              </w:rPr>
              <w:t>Enhancement of the elections portal and database</w:t>
            </w:r>
          </w:p>
        </w:tc>
        <w:tc>
          <w:tcPr>
            <w:tcW w:w="1559" w:type="dxa"/>
            <w:noWrap/>
            <w:vAlign w:val="bottom"/>
          </w:tcPr>
          <w:p w14:paraId="14CC9BCE" w14:textId="77777777" w:rsidR="00892142" w:rsidRPr="00B01471" w:rsidRDefault="00892142" w:rsidP="00887556">
            <w:pPr>
              <w:spacing w:line="240" w:lineRule="auto"/>
              <w:jc w:val="right"/>
              <w:rPr>
                <w:rFonts w:eastAsia="Times New Roman"/>
                <w:color w:val="000000"/>
                <w:sz w:val="18"/>
                <w:szCs w:val="18"/>
              </w:rPr>
            </w:pPr>
            <w:r>
              <w:rPr>
                <w:color w:val="000000"/>
                <w:sz w:val="18"/>
                <w:szCs w:val="18"/>
              </w:rPr>
              <w:t xml:space="preserve">               </w:t>
            </w:r>
            <w:r w:rsidRPr="00816E17">
              <w:rPr>
                <w:color w:val="000000"/>
                <w:sz w:val="18"/>
                <w:szCs w:val="18"/>
              </w:rPr>
              <w:t xml:space="preserve">301 421 </w:t>
            </w:r>
          </w:p>
        </w:tc>
      </w:tr>
      <w:tr w:rsidR="00892142" w:rsidRPr="00B01471" w14:paraId="493B89B7" w14:textId="77777777" w:rsidTr="000404F3">
        <w:trPr>
          <w:trHeight w:val="300"/>
        </w:trPr>
        <w:tc>
          <w:tcPr>
            <w:tcW w:w="992" w:type="dxa"/>
            <w:tcBorders>
              <w:top w:val="nil"/>
              <w:left w:val="nil"/>
              <w:right w:val="nil"/>
            </w:tcBorders>
          </w:tcPr>
          <w:p w14:paraId="79854D8B" w14:textId="77777777" w:rsidR="00892142" w:rsidRPr="00B01471" w:rsidRDefault="00892142" w:rsidP="00656FAE">
            <w:pPr>
              <w:suppressAutoHyphens w:val="0"/>
              <w:spacing w:before="40" w:after="40" w:line="220" w:lineRule="exact"/>
              <w:ind w:left="-105" w:right="38" w:firstLine="284"/>
              <w:rPr>
                <w:rFonts w:eastAsia="MS Mincho"/>
                <w:b/>
                <w:sz w:val="18"/>
                <w:szCs w:val="18"/>
                <w:lang w:eastAsia="de-DE"/>
              </w:rPr>
            </w:pPr>
          </w:p>
        </w:tc>
        <w:tc>
          <w:tcPr>
            <w:tcW w:w="5954" w:type="dxa"/>
            <w:tcBorders>
              <w:top w:val="nil"/>
              <w:left w:val="nil"/>
              <w:right w:val="nil"/>
            </w:tcBorders>
            <w:noWrap/>
            <w:vAlign w:val="center"/>
            <w:hideMark/>
          </w:tcPr>
          <w:p w14:paraId="09FCBA38" w14:textId="77777777" w:rsidR="00892142" w:rsidRPr="00B01471" w:rsidRDefault="00892142" w:rsidP="00887556">
            <w:pPr>
              <w:suppressAutoHyphens w:val="0"/>
              <w:spacing w:before="40" w:after="40" w:line="220" w:lineRule="exact"/>
              <w:ind w:left="426" w:right="38" w:firstLine="284"/>
              <w:rPr>
                <w:rFonts w:eastAsia="Times New Roman"/>
                <w:color w:val="000000"/>
                <w:sz w:val="18"/>
                <w:szCs w:val="18"/>
              </w:rPr>
            </w:pPr>
            <w:r w:rsidRPr="00B01471">
              <w:rPr>
                <w:rFonts w:eastAsia="MS Mincho"/>
                <w:b/>
                <w:sz w:val="18"/>
                <w:szCs w:val="18"/>
                <w:lang w:eastAsia="de-DE"/>
              </w:rPr>
              <w:t>SB400-000 Enhance</w:t>
            </w:r>
            <w:r>
              <w:rPr>
                <w:rFonts w:eastAsia="MS Mincho"/>
                <w:b/>
                <w:sz w:val="18"/>
                <w:szCs w:val="18"/>
                <w:lang w:eastAsia="de-DE"/>
              </w:rPr>
              <w:t>d</w:t>
            </w:r>
            <w:r w:rsidRPr="00B01471">
              <w:rPr>
                <w:rFonts w:eastAsia="MS Mincho"/>
                <w:b/>
                <w:sz w:val="18"/>
                <w:szCs w:val="18"/>
                <w:lang w:eastAsia="de-DE"/>
              </w:rPr>
              <w:t xml:space="preserve"> engagement</w:t>
            </w:r>
          </w:p>
        </w:tc>
        <w:tc>
          <w:tcPr>
            <w:tcW w:w="1559" w:type="dxa"/>
            <w:tcBorders>
              <w:top w:val="nil"/>
              <w:left w:val="nil"/>
              <w:right w:val="nil"/>
            </w:tcBorders>
            <w:noWrap/>
            <w:vAlign w:val="bottom"/>
          </w:tcPr>
          <w:p w14:paraId="3F80BF66" w14:textId="77777777" w:rsidR="00892142" w:rsidRPr="00B01471" w:rsidRDefault="00892142" w:rsidP="00887556">
            <w:pPr>
              <w:spacing w:line="240" w:lineRule="auto"/>
              <w:jc w:val="right"/>
              <w:rPr>
                <w:rFonts w:eastAsia="Times New Roman"/>
                <w:b/>
                <w:color w:val="000000"/>
                <w:sz w:val="18"/>
                <w:szCs w:val="18"/>
              </w:rPr>
            </w:pPr>
            <w:r w:rsidRPr="00816E17">
              <w:rPr>
                <w:b/>
                <w:color w:val="000000"/>
                <w:sz w:val="18"/>
                <w:szCs w:val="18"/>
              </w:rPr>
              <w:t xml:space="preserve">  16 231 311 </w:t>
            </w:r>
          </w:p>
        </w:tc>
      </w:tr>
      <w:tr w:rsidR="00892142" w:rsidRPr="00B01471" w14:paraId="55F6A979" w14:textId="77777777" w:rsidTr="000404F3">
        <w:trPr>
          <w:trHeight w:val="300"/>
        </w:trPr>
        <w:tc>
          <w:tcPr>
            <w:tcW w:w="992" w:type="dxa"/>
          </w:tcPr>
          <w:p w14:paraId="0C1F0D45" w14:textId="77777777" w:rsidR="00892142" w:rsidRPr="00B01471" w:rsidRDefault="00892142" w:rsidP="00656FAE">
            <w:pPr>
              <w:ind w:left="-105"/>
              <w:rPr>
                <w:sz w:val="18"/>
                <w:szCs w:val="18"/>
              </w:rPr>
            </w:pPr>
            <w:r w:rsidRPr="00B01471">
              <w:rPr>
                <w:sz w:val="18"/>
                <w:szCs w:val="18"/>
              </w:rPr>
              <w:t>SB400-001</w:t>
            </w:r>
          </w:p>
        </w:tc>
        <w:tc>
          <w:tcPr>
            <w:tcW w:w="5954" w:type="dxa"/>
            <w:noWrap/>
            <w:vAlign w:val="center"/>
            <w:hideMark/>
          </w:tcPr>
          <w:p w14:paraId="1E4CD71A" w14:textId="77777777" w:rsidR="00892142" w:rsidRPr="00B01471" w:rsidRDefault="00892142" w:rsidP="00887556">
            <w:pPr>
              <w:rPr>
                <w:b/>
                <w:sz w:val="18"/>
                <w:szCs w:val="18"/>
              </w:rPr>
            </w:pPr>
            <w:r w:rsidRPr="00B01471">
              <w:rPr>
                <w:sz w:val="18"/>
                <w:szCs w:val="18"/>
              </w:rPr>
              <w:t>Enhanced engagement with respect to climate change impacts, vulnerability and adaptation</w:t>
            </w:r>
          </w:p>
        </w:tc>
        <w:tc>
          <w:tcPr>
            <w:tcW w:w="1559" w:type="dxa"/>
            <w:noWrap/>
            <w:vAlign w:val="bottom"/>
          </w:tcPr>
          <w:p w14:paraId="04E4BB6B" w14:textId="77777777" w:rsidR="00892142" w:rsidRPr="00B01471" w:rsidRDefault="00892142" w:rsidP="00887556">
            <w:pPr>
              <w:spacing w:line="240" w:lineRule="auto"/>
              <w:jc w:val="right"/>
              <w:rPr>
                <w:rFonts w:eastAsia="Times New Roman"/>
                <w:b/>
                <w:bCs/>
                <w:color w:val="000000"/>
                <w:sz w:val="18"/>
                <w:szCs w:val="18"/>
              </w:rPr>
            </w:pPr>
            <w:r w:rsidRPr="00816E17">
              <w:rPr>
                <w:color w:val="000000"/>
                <w:sz w:val="18"/>
                <w:szCs w:val="18"/>
              </w:rPr>
              <w:t xml:space="preserve">              </w:t>
            </w:r>
            <w:r>
              <w:rPr>
                <w:color w:val="000000"/>
                <w:sz w:val="18"/>
                <w:szCs w:val="18"/>
              </w:rPr>
              <w:t xml:space="preserve"> </w:t>
            </w:r>
            <w:r w:rsidRPr="00816E17">
              <w:rPr>
                <w:color w:val="000000"/>
                <w:sz w:val="18"/>
                <w:szCs w:val="18"/>
              </w:rPr>
              <w:t xml:space="preserve">230 520 </w:t>
            </w:r>
          </w:p>
        </w:tc>
      </w:tr>
      <w:tr w:rsidR="00892142" w:rsidRPr="00B01471" w14:paraId="5791F922" w14:textId="77777777" w:rsidTr="000404F3">
        <w:trPr>
          <w:trHeight w:val="300"/>
        </w:trPr>
        <w:tc>
          <w:tcPr>
            <w:tcW w:w="992" w:type="dxa"/>
          </w:tcPr>
          <w:p w14:paraId="72D06A3C" w14:textId="77777777" w:rsidR="00892142" w:rsidRPr="00B01471" w:rsidRDefault="00892142" w:rsidP="00656FAE">
            <w:pPr>
              <w:ind w:left="-105"/>
              <w:rPr>
                <w:sz w:val="18"/>
                <w:szCs w:val="18"/>
              </w:rPr>
            </w:pPr>
            <w:r w:rsidRPr="00B01471">
              <w:rPr>
                <w:sz w:val="18"/>
                <w:szCs w:val="18"/>
              </w:rPr>
              <w:t>SB400-002</w:t>
            </w:r>
          </w:p>
        </w:tc>
        <w:tc>
          <w:tcPr>
            <w:tcW w:w="5954" w:type="dxa"/>
            <w:noWrap/>
            <w:vAlign w:val="center"/>
            <w:hideMark/>
          </w:tcPr>
          <w:p w14:paraId="4088737D" w14:textId="77777777" w:rsidR="00892142" w:rsidRPr="00B01471" w:rsidRDefault="00892142" w:rsidP="00887556">
            <w:pPr>
              <w:rPr>
                <w:sz w:val="18"/>
                <w:szCs w:val="18"/>
              </w:rPr>
            </w:pPr>
            <w:r w:rsidRPr="00B01471">
              <w:rPr>
                <w:sz w:val="18"/>
                <w:szCs w:val="18"/>
              </w:rPr>
              <w:t>Regional dialogues and broader engagement and partnerships with respect to NDCs and consideration of the socioeconomic impacts of their development and implementation</w:t>
            </w:r>
          </w:p>
        </w:tc>
        <w:tc>
          <w:tcPr>
            <w:tcW w:w="1559" w:type="dxa"/>
            <w:noWrap/>
            <w:vAlign w:val="bottom"/>
          </w:tcPr>
          <w:p w14:paraId="4DC34745" w14:textId="77777777" w:rsidR="00892142" w:rsidRPr="00B01471" w:rsidRDefault="00892142" w:rsidP="00887556">
            <w:pPr>
              <w:spacing w:line="240" w:lineRule="auto"/>
              <w:jc w:val="right"/>
              <w:rPr>
                <w:rFonts w:eastAsia="Times New Roman"/>
                <w:color w:val="000000"/>
                <w:sz w:val="18"/>
                <w:szCs w:val="18"/>
              </w:rPr>
            </w:pPr>
            <w:r>
              <w:rPr>
                <w:color w:val="000000"/>
                <w:sz w:val="18"/>
                <w:szCs w:val="18"/>
              </w:rPr>
              <w:t xml:space="preserve">            </w:t>
            </w:r>
            <w:r w:rsidRPr="00816E17">
              <w:rPr>
                <w:color w:val="000000"/>
                <w:sz w:val="18"/>
                <w:szCs w:val="18"/>
              </w:rPr>
              <w:t xml:space="preserve">318 145 </w:t>
            </w:r>
          </w:p>
        </w:tc>
      </w:tr>
      <w:tr w:rsidR="00892142" w:rsidRPr="00B01471" w14:paraId="169E2E74" w14:textId="77777777" w:rsidTr="000404F3">
        <w:trPr>
          <w:trHeight w:val="300"/>
        </w:trPr>
        <w:tc>
          <w:tcPr>
            <w:tcW w:w="992" w:type="dxa"/>
          </w:tcPr>
          <w:p w14:paraId="160F69BE" w14:textId="77777777" w:rsidR="00892142" w:rsidRPr="00B01471" w:rsidRDefault="00892142" w:rsidP="00656FAE">
            <w:pPr>
              <w:ind w:left="-105"/>
              <w:rPr>
                <w:sz w:val="18"/>
                <w:szCs w:val="18"/>
              </w:rPr>
            </w:pPr>
            <w:r w:rsidRPr="00B01471">
              <w:rPr>
                <w:sz w:val="18"/>
                <w:szCs w:val="18"/>
              </w:rPr>
              <w:t>SB400-003</w:t>
            </w:r>
          </w:p>
        </w:tc>
        <w:tc>
          <w:tcPr>
            <w:tcW w:w="5954" w:type="dxa"/>
            <w:noWrap/>
            <w:vAlign w:val="center"/>
            <w:hideMark/>
          </w:tcPr>
          <w:p w14:paraId="68585013" w14:textId="77777777" w:rsidR="00892142" w:rsidRPr="00B01471" w:rsidRDefault="00892142" w:rsidP="00887556">
            <w:pPr>
              <w:rPr>
                <w:sz w:val="18"/>
                <w:szCs w:val="18"/>
              </w:rPr>
            </w:pPr>
            <w:r w:rsidRPr="00B01471">
              <w:rPr>
                <w:sz w:val="18"/>
                <w:szCs w:val="18"/>
              </w:rPr>
              <w:t>Enhanced engagement with Parties and other stakeholders to strengthen the capacities of developing countries with respect to the implementation of NDCs and NAPs</w:t>
            </w:r>
          </w:p>
        </w:tc>
        <w:tc>
          <w:tcPr>
            <w:tcW w:w="1559" w:type="dxa"/>
            <w:noWrap/>
            <w:vAlign w:val="bottom"/>
          </w:tcPr>
          <w:p w14:paraId="1F04CFA2"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4 232 121 </w:t>
            </w:r>
          </w:p>
        </w:tc>
      </w:tr>
      <w:tr w:rsidR="00892142" w:rsidRPr="00B01471" w14:paraId="53A0BACF" w14:textId="77777777" w:rsidTr="000404F3">
        <w:trPr>
          <w:trHeight w:val="300"/>
        </w:trPr>
        <w:tc>
          <w:tcPr>
            <w:tcW w:w="992" w:type="dxa"/>
          </w:tcPr>
          <w:p w14:paraId="4D68DF3F" w14:textId="77777777" w:rsidR="00892142" w:rsidRPr="00B01471" w:rsidRDefault="00892142" w:rsidP="00656FAE">
            <w:pPr>
              <w:ind w:left="-105"/>
              <w:rPr>
                <w:sz w:val="18"/>
                <w:szCs w:val="18"/>
              </w:rPr>
            </w:pPr>
            <w:r w:rsidRPr="00B01471">
              <w:rPr>
                <w:sz w:val="18"/>
                <w:szCs w:val="18"/>
              </w:rPr>
              <w:t>SB400-004</w:t>
            </w:r>
          </w:p>
        </w:tc>
        <w:tc>
          <w:tcPr>
            <w:tcW w:w="5954" w:type="dxa"/>
            <w:noWrap/>
            <w:vAlign w:val="center"/>
            <w:hideMark/>
          </w:tcPr>
          <w:p w14:paraId="4B495C30" w14:textId="77777777" w:rsidR="00892142" w:rsidRPr="00B01471" w:rsidRDefault="00892142" w:rsidP="00887556">
            <w:pPr>
              <w:rPr>
                <w:sz w:val="18"/>
                <w:szCs w:val="18"/>
              </w:rPr>
            </w:pPr>
            <w:r w:rsidRPr="00B01471">
              <w:rPr>
                <w:sz w:val="18"/>
                <w:szCs w:val="18"/>
              </w:rPr>
              <w:t>Enhanced engagement with national reporting experts to enhance capacity for participation in the transparency arrangements under the Convention and the Paris Agreement</w:t>
            </w:r>
          </w:p>
        </w:tc>
        <w:tc>
          <w:tcPr>
            <w:tcW w:w="1559" w:type="dxa"/>
            <w:noWrap/>
            <w:vAlign w:val="bottom"/>
          </w:tcPr>
          <w:p w14:paraId="58627148"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2 737 631 </w:t>
            </w:r>
          </w:p>
        </w:tc>
      </w:tr>
      <w:tr w:rsidR="00892142" w:rsidRPr="00B01471" w14:paraId="79699D37" w14:textId="77777777" w:rsidTr="000404F3">
        <w:trPr>
          <w:trHeight w:val="300"/>
        </w:trPr>
        <w:tc>
          <w:tcPr>
            <w:tcW w:w="992" w:type="dxa"/>
          </w:tcPr>
          <w:p w14:paraId="582B875E" w14:textId="77777777" w:rsidR="00892142" w:rsidRPr="00B01471" w:rsidRDefault="00892142" w:rsidP="00656FAE">
            <w:pPr>
              <w:ind w:left="-105"/>
              <w:rPr>
                <w:sz w:val="18"/>
                <w:szCs w:val="18"/>
              </w:rPr>
            </w:pPr>
            <w:r w:rsidRPr="00B01471">
              <w:rPr>
                <w:sz w:val="18"/>
                <w:szCs w:val="18"/>
              </w:rPr>
              <w:t>SB400-006</w:t>
            </w:r>
          </w:p>
        </w:tc>
        <w:tc>
          <w:tcPr>
            <w:tcW w:w="5954" w:type="dxa"/>
            <w:noWrap/>
            <w:vAlign w:val="center"/>
            <w:hideMark/>
          </w:tcPr>
          <w:p w14:paraId="18F4F7C5" w14:textId="04536CAD" w:rsidR="00892142" w:rsidRPr="00B01471" w:rsidRDefault="00892142" w:rsidP="00887556">
            <w:pPr>
              <w:rPr>
                <w:sz w:val="18"/>
                <w:szCs w:val="18"/>
              </w:rPr>
            </w:pPr>
            <w:r w:rsidRPr="00B01471">
              <w:rPr>
                <w:sz w:val="18"/>
                <w:szCs w:val="18"/>
              </w:rPr>
              <w:t>Enhanced engagement of all stakeholders in the UNFCCC process and action towards the objective of the Convention, including provision of multilingual communication materials and regional engagement</w:t>
            </w:r>
          </w:p>
        </w:tc>
        <w:tc>
          <w:tcPr>
            <w:tcW w:w="1559" w:type="dxa"/>
            <w:noWrap/>
            <w:vAlign w:val="bottom"/>
          </w:tcPr>
          <w:p w14:paraId="08D1F326" w14:textId="77777777" w:rsidR="00892142" w:rsidRPr="00B01471" w:rsidRDefault="00892142" w:rsidP="00887556">
            <w:pPr>
              <w:spacing w:line="240" w:lineRule="auto"/>
              <w:jc w:val="right"/>
              <w:rPr>
                <w:rFonts w:eastAsia="Times New Roman"/>
                <w:color w:val="000000"/>
                <w:sz w:val="18"/>
                <w:szCs w:val="18"/>
              </w:rPr>
            </w:pPr>
            <w:r>
              <w:rPr>
                <w:color w:val="000000"/>
                <w:sz w:val="18"/>
                <w:szCs w:val="18"/>
              </w:rPr>
              <w:t xml:space="preserve">              </w:t>
            </w:r>
            <w:r w:rsidRPr="00816E17">
              <w:rPr>
                <w:color w:val="000000"/>
                <w:sz w:val="18"/>
                <w:szCs w:val="18"/>
              </w:rPr>
              <w:t xml:space="preserve">569 283 </w:t>
            </w:r>
          </w:p>
        </w:tc>
      </w:tr>
      <w:tr w:rsidR="00892142" w:rsidRPr="00B01471" w14:paraId="6AE83E33" w14:textId="77777777" w:rsidTr="000404F3">
        <w:trPr>
          <w:trHeight w:val="300"/>
        </w:trPr>
        <w:tc>
          <w:tcPr>
            <w:tcW w:w="992" w:type="dxa"/>
          </w:tcPr>
          <w:p w14:paraId="63C151D2" w14:textId="77777777" w:rsidR="00892142" w:rsidRPr="00B01471" w:rsidRDefault="00892142" w:rsidP="00656FAE">
            <w:pPr>
              <w:ind w:left="-105"/>
              <w:rPr>
                <w:sz w:val="18"/>
                <w:szCs w:val="18"/>
              </w:rPr>
            </w:pPr>
            <w:r w:rsidRPr="00B01471">
              <w:rPr>
                <w:sz w:val="18"/>
                <w:szCs w:val="18"/>
              </w:rPr>
              <w:t>SB400-009</w:t>
            </w:r>
          </w:p>
        </w:tc>
        <w:tc>
          <w:tcPr>
            <w:tcW w:w="5954" w:type="dxa"/>
            <w:noWrap/>
            <w:vAlign w:val="center"/>
            <w:hideMark/>
          </w:tcPr>
          <w:p w14:paraId="0A6CD576" w14:textId="77777777" w:rsidR="00892142" w:rsidRPr="00B01471" w:rsidRDefault="00892142" w:rsidP="00887556">
            <w:pPr>
              <w:rPr>
                <w:sz w:val="18"/>
                <w:szCs w:val="18"/>
              </w:rPr>
            </w:pPr>
            <w:r w:rsidRPr="00B01471">
              <w:rPr>
                <w:sz w:val="18"/>
                <w:szCs w:val="18"/>
              </w:rPr>
              <w:t xml:space="preserve">Enhancement of the </w:t>
            </w:r>
            <w:r w:rsidRPr="00B01471">
              <w:rPr>
                <w:sz w:val="18"/>
              </w:rPr>
              <w:t>information and communication technology</w:t>
            </w:r>
            <w:r w:rsidRPr="00B01471">
              <w:rPr>
                <w:sz w:val="16"/>
                <w:szCs w:val="18"/>
              </w:rPr>
              <w:t xml:space="preserve"> </w:t>
            </w:r>
            <w:r w:rsidRPr="00B01471">
              <w:rPr>
                <w:sz w:val="18"/>
                <w:szCs w:val="18"/>
              </w:rPr>
              <w:t>infrastructure required to support virtual participation and engagement in UNFCCC events and activities</w:t>
            </w:r>
          </w:p>
        </w:tc>
        <w:tc>
          <w:tcPr>
            <w:tcW w:w="1559" w:type="dxa"/>
            <w:noWrap/>
            <w:vAlign w:val="bottom"/>
          </w:tcPr>
          <w:p w14:paraId="0C45C020" w14:textId="77777777" w:rsidR="00892142" w:rsidRPr="00B01471" w:rsidRDefault="00892142" w:rsidP="00887556">
            <w:pPr>
              <w:spacing w:line="240" w:lineRule="auto"/>
              <w:jc w:val="right"/>
              <w:rPr>
                <w:rFonts w:eastAsia="Times New Roman"/>
                <w:color w:val="000000"/>
                <w:sz w:val="18"/>
                <w:szCs w:val="18"/>
              </w:rPr>
            </w:pPr>
            <w:r w:rsidRPr="00816E17">
              <w:rPr>
                <w:color w:val="000000"/>
                <w:sz w:val="18"/>
                <w:szCs w:val="18"/>
              </w:rPr>
              <w:t xml:space="preserve">          6 526 518 </w:t>
            </w:r>
          </w:p>
        </w:tc>
      </w:tr>
      <w:tr w:rsidR="00892142" w:rsidRPr="00B01471" w14:paraId="46960447" w14:textId="77777777" w:rsidTr="000404F3">
        <w:trPr>
          <w:trHeight w:val="300"/>
        </w:trPr>
        <w:tc>
          <w:tcPr>
            <w:tcW w:w="992" w:type="dxa"/>
          </w:tcPr>
          <w:p w14:paraId="6AA71BAB" w14:textId="77777777" w:rsidR="00892142" w:rsidRPr="00B01471" w:rsidRDefault="00892142" w:rsidP="00656FAE">
            <w:pPr>
              <w:ind w:left="-105"/>
              <w:rPr>
                <w:sz w:val="18"/>
                <w:szCs w:val="18"/>
              </w:rPr>
            </w:pPr>
            <w:r w:rsidRPr="00B01471">
              <w:rPr>
                <w:sz w:val="18"/>
                <w:szCs w:val="18"/>
              </w:rPr>
              <w:t>SB400-007</w:t>
            </w:r>
          </w:p>
        </w:tc>
        <w:tc>
          <w:tcPr>
            <w:tcW w:w="5954" w:type="dxa"/>
            <w:noWrap/>
            <w:vAlign w:val="center"/>
            <w:hideMark/>
          </w:tcPr>
          <w:p w14:paraId="27DD53C0" w14:textId="77777777" w:rsidR="00892142" w:rsidRPr="00B01471" w:rsidRDefault="00892142" w:rsidP="00887556">
            <w:pPr>
              <w:rPr>
                <w:sz w:val="18"/>
                <w:szCs w:val="18"/>
              </w:rPr>
            </w:pPr>
            <w:r w:rsidRPr="00B01471">
              <w:rPr>
                <w:sz w:val="18"/>
                <w:szCs w:val="18"/>
              </w:rPr>
              <w:t>Enhanced engagement with and support of legislators and policymakers through information exchange and knowledge management with respect to climate change legislation</w:t>
            </w:r>
          </w:p>
        </w:tc>
        <w:tc>
          <w:tcPr>
            <w:tcW w:w="1559" w:type="dxa"/>
            <w:noWrap/>
            <w:vAlign w:val="bottom"/>
          </w:tcPr>
          <w:p w14:paraId="70E2C46A" w14:textId="77777777" w:rsidR="00892142" w:rsidRPr="00B01471" w:rsidRDefault="00892142" w:rsidP="00887556">
            <w:pPr>
              <w:spacing w:line="240" w:lineRule="auto"/>
              <w:jc w:val="right"/>
              <w:rPr>
                <w:rFonts w:eastAsia="Times New Roman"/>
                <w:color w:val="000000"/>
                <w:sz w:val="18"/>
                <w:szCs w:val="18"/>
              </w:rPr>
            </w:pPr>
            <w:r>
              <w:rPr>
                <w:color w:val="000000"/>
                <w:sz w:val="18"/>
                <w:szCs w:val="18"/>
              </w:rPr>
              <w:t xml:space="preserve">         </w:t>
            </w:r>
            <w:r w:rsidRPr="00816E17">
              <w:rPr>
                <w:color w:val="000000"/>
                <w:sz w:val="18"/>
                <w:szCs w:val="18"/>
              </w:rPr>
              <w:t xml:space="preserve">805 690 </w:t>
            </w:r>
          </w:p>
        </w:tc>
      </w:tr>
      <w:tr w:rsidR="00892142" w:rsidRPr="00B01471" w14:paraId="0A7D6EB8" w14:textId="77777777" w:rsidTr="000404F3">
        <w:trPr>
          <w:trHeight w:val="300"/>
        </w:trPr>
        <w:tc>
          <w:tcPr>
            <w:tcW w:w="992" w:type="dxa"/>
          </w:tcPr>
          <w:p w14:paraId="042EF5AF" w14:textId="77777777" w:rsidR="00892142" w:rsidRPr="00B01471" w:rsidRDefault="00892142" w:rsidP="00656FAE">
            <w:pPr>
              <w:ind w:left="-105"/>
              <w:rPr>
                <w:sz w:val="18"/>
                <w:szCs w:val="18"/>
              </w:rPr>
            </w:pPr>
            <w:r w:rsidRPr="00B01471">
              <w:rPr>
                <w:sz w:val="18"/>
                <w:szCs w:val="18"/>
              </w:rPr>
              <w:t>SB400-010</w:t>
            </w:r>
          </w:p>
        </w:tc>
        <w:tc>
          <w:tcPr>
            <w:tcW w:w="5954" w:type="dxa"/>
            <w:noWrap/>
            <w:vAlign w:val="center"/>
          </w:tcPr>
          <w:p w14:paraId="1893DE8B" w14:textId="77777777" w:rsidR="00892142" w:rsidRPr="00B01471" w:rsidRDefault="00892142" w:rsidP="00887556">
            <w:pPr>
              <w:rPr>
                <w:sz w:val="18"/>
                <w:szCs w:val="18"/>
              </w:rPr>
            </w:pPr>
            <w:r w:rsidRPr="00B01471">
              <w:rPr>
                <w:sz w:val="18"/>
                <w:szCs w:val="18"/>
              </w:rPr>
              <w:t xml:space="preserve">Enhanced engagement by the Executive Secretary and Deputy Executive Secretary in United Nations wide management and coordination activities  </w:t>
            </w:r>
          </w:p>
        </w:tc>
        <w:tc>
          <w:tcPr>
            <w:tcW w:w="1559" w:type="dxa"/>
            <w:noWrap/>
            <w:vAlign w:val="bottom"/>
          </w:tcPr>
          <w:p w14:paraId="7BCD3529" w14:textId="77777777" w:rsidR="00892142" w:rsidRPr="00B01471" w:rsidRDefault="00892142" w:rsidP="00887556">
            <w:pPr>
              <w:spacing w:line="240" w:lineRule="auto"/>
              <w:jc w:val="right"/>
              <w:rPr>
                <w:sz w:val="18"/>
                <w:szCs w:val="18"/>
              </w:rPr>
            </w:pPr>
            <w:r>
              <w:rPr>
                <w:color w:val="000000"/>
                <w:sz w:val="18"/>
                <w:szCs w:val="18"/>
              </w:rPr>
              <w:t xml:space="preserve">          </w:t>
            </w:r>
            <w:r w:rsidRPr="00816E17">
              <w:rPr>
                <w:color w:val="000000"/>
                <w:sz w:val="18"/>
                <w:szCs w:val="18"/>
              </w:rPr>
              <w:t xml:space="preserve">811 403 </w:t>
            </w:r>
          </w:p>
        </w:tc>
      </w:tr>
      <w:tr w:rsidR="00892142" w:rsidRPr="00B01471" w14:paraId="4D4217F3" w14:textId="77777777" w:rsidTr="000404F3">
        <w:trPr>
          <w:trHeight w:val="300"/>
        </w:trPr>
        <w:tc>
          <w:tcPr>
            <w:tcW w:w="992" w:type="dxa"/>
            <w:tcBorders>
              <w:top w:val="nil"/>
              <w:left w:val="nil"/>
              <w:right w:val="nil"/>
            </w:tcBorders>
          </w:tcPr>
          <w:p w14:paraId="090D3009" w14:textId="77777777" w:rsidR="00892142" w:rsidRPr="00B01471" w:rsidRDefault="00892142" w:rsidP="00656FAE">
            <w:pPr>
              <w:suppressAutoHyphens w:val="0"/>
              <w:spacing w:before="40" w:after="40" w:line="220" w:lineRule="exact"/>
              <w:ind w:left="-105" w:right="38" w:firstLine="284"/>
              <w:rPr>
                <w:rFonts w:eastAsia="MS Mincho"/>
                <w:b/>
                <w:sz w:val="18"/>
                <w:szCs w:val="18"/>
                <w:lang w:eastAsia="de-DE"/>
              </w:rPr>
            </w:pPr>
          </w:p>
        </w:tc>
        <w:tc>
          <w:tcPr>
            <w:tcW w:w="5954" w:type="dxa"/>
            <w:tcBorders>
              <w:top w:val="nil"/>
              <w:left w:val="nil"/>
              <w:right w:val="nil"/>
            </w:tcBorders>
            <w:noWrap/>
            <w:vAlign w:val="center"/>
            <w:hideMark/>
          </w:tcPr>
          <w:p w14:paraId="59F87CAB" w14:textId="77777777" w:rsidR="00892142" w:rsidRPr="00B01471" w:rsidRDefault="00892142" w:rsidP="00887556">
            <w:pPr>
              <w:suppressAutoHyphens w:val="0"/>
              <w:spacing w:before="40" w:after="40" w:line="220" w:lineRule="exact"/>
              <w:ind w:left="426" w:right="38" w:firstLine="284"/>
              <w:rPr>
                <w:rFonts w:eastAsia="Times New Roman"/>
                <w:color w:val="000000"/>
                <w:sz w:val="18"/>
                <w:szCs w:val="18"/>
              </w:rPr>
            </w:pPr>
            <w:r w:rsidRPr="00B01471">
              <w:rPr>
                <w:rFonts w:eastAsia="MS Mincho"/>
                <w:b/>
                <w:sz w:val="18"/>
                <w:szCs w:val="18"/>
                <w:lang w:eastAsia="de-DE"/>
              </w:rPr>
              <w:t>SB500-000 Oversight and administration</w:t>
            </w:r>
          </w:p>
        </w:tc>
        <w:tc>
          <w:tcPr>
            <w:tcW w:w="1559" w:type="dxa"/>
            <w:tcBorders>
              <w:top w:val="nil"/>
              <w:left w:val="nil"/>
              <w:right w:val="nil"/>
            </w:tcBorders>
            <w:noWrap/>
            <w:vAlign w:val="bottom"/>
          </w:tcPr>
          <w:p w14:paraId="2CD39D30" w14:textId="77777777" w:rsidR="00892142" w:rsidRPr="00B01471" w:rsidRDefault="00892142" w:rsidP="00887556">
            <w:pPr>
              <w:spacing w:line="240" w:lineRule="auto"/>
              <w:jc w:val="right"/>
              <w:rPr>
                <w:rFonts w:eastAsia="Times New Roman"/>
                <w:b/>
                <w:color w:val="000000"/>
                <w:sz w:val="18"/>
                <w:szCs w:val="18"/>
              </w:rPr>
            </w:pPr>
            <w:r w:rsidRPr="00816E17">
              <w:rPr>
                <w:sz w:val="18"/>
                <w:szCs w:val="18"/>
              </w:rPr>
              <w:t xml:space="preserve"> </w:t>
            </w:r>
            <w:r w:rsidRPr="00816E17">
              <w:rPr>
                <w:b/>
                <w:sz w:val="18"/>
                <w:szCs w:val="18"/>
              </w:rPr>
              <w:t xml:space="preserve">1 979 365 </w:t>
            </w:r>
          </w:p>
        </w:tc>
      </w:tr>
      <w:tr w:rsidR="00892142" w:rsidRPr="00B01471" w14:paraId="629E667C" w14:textId="77777777" w:rsidTr="000404F3">
        <w:trPr>
          <w:trHeight w:val="300"/>
        </w:trPr>
        <w:tc>
          <w:tcPr>
            <w:tcW w:w="992" w:type="dxa"/>
          </w:tcPr>
          <w:p w14:paraId="7B9D9320" w14:textId="77777777" w:rsidR="00892142" w:rsidRPr="00B01471" w:rsidRDefault="00892142" w:rsidP="00656FAE">
            <w:pPr>
              <w:ind w:left="-105"/>
              <w:rPr>
                <w:sz w:val="18"/>
                <w:szCs w:val="18"/>
              </w:rPr>
            </w:pPr>
            <w:r w:rsidRPr="00B01471">
              <w:rPr>
                <w:sz w:val="18"/>
                <w:szCs w:val="18"/>
              </w:rPr>
              <w:t>SB500-010</w:t>
            </w:r>
          </w:p>
        </w:tc>
        <w:tc>
          <w:tcPr>
            <w:tcW w:w="5954" w:type="dxa"/>
            <w:noWrap/>
            <w:vAlign w:val="center"/>
          </w:tcPr>
          <w:p w14:paraId="67222843" w14:textId="77777777" w:rsidR="00892142" w:rsidRPr="00B01471" w:rsidRDefault="00892142" w:rsidP="00887556">
            <w:pPr>
              <w:rPr>
                <w:sz w:val="18"/>
                <w:szCs w:val="18"/>
              </w:rPr>
            </w:pPr>
            <w:r w:rsidRPr="00B01471">
              <w:rPr>
                <w:sz w:val="18"/>
                <w:szCs w:val="18"/>
              </w:rPr>
              <w:t xml:space="preserve">Consultancies to support organizational oversight and development and enhanced engagement by the Executive Secretary and Deputy Executive Secretary in United Nations wide management and coordination activities  </w:t>
            </w:r>
          </w:p>
        </w:tc>
        <w:tc>
          <w:tcPr>
            <w:tcW w:w="1559" w:type="dxa"/>
            <w:noWrap/>
            <w:vAlign w:val="bottom"/>
          </w:tcPr>
          <w:p w14:paraId="246F7313" w14:textId="77777777" w:rsidR="00892142" w:rsidRPr="00B01471" w:rsidRDefault="00892142" w:rsidP="00887556">
            <w:pPr>
              <w:spacing w:line="240" w:lineRule="auto"/>
              <w:jc w:val="right"/>
              <w:rPr>
                <w:sz w:val="18"/>
                <w:szCs w:val="18"/>
              </w:rPr>
            </w:pPr>
            <w:r w:rsidRPr="00816E17">
              <w:rPr>
                <w:sz w:val="18"/>
                <w:szCs w:val="18"/>
              </w:rPr>
              <w:t xml:space="preserve"> 170 630 </w:t>
            </w:r>
          </w:p>
        </w:tc>
      </w:tr>
      <w:tr w:rsidR="00892142" w:rsidRPr="00B01471" w14:paraId="25F8EEFC" w14:textId="77777777" w:rsidTr="000404F3">
        <w:trPr>
          <w:trHeight w:val="300"/>
        </w:trPr>
        <w:tc>
          <w:tcPr>
            <w:tcW w:w="992" w:type="dxa"/>
          </w:tcPr>
          <w:p w14:paraId="71CE80EE" w14:textId="77777777" w:rsidR="00892142" w:rsidRPr="00B01471" w:rsidRDefault="00892142" w:rsidP="00656FAE">
            <w:pPr>
              <w:ind w:left="-105"/>
              <w:rPr>
                <w:sz w:val="18"/>
                <w:szCs w:val="18"/>
              </w:rPr>
            </w:pPr>
            <w:r w:rsidRPr="00B01471">
              <w:rPr>
                <w:sz w:val="18"/>
                <w:szCs w:val="18"/>
              </w:rPr>
              <w:t>SB500-012</w:t>
            </w:r>
          </w:p>
        </w:tc>
        <w:tc>
          <w:tcPr>
            <w:tcW w:w="5954" w:type="dxa"/>
            <w:noWrap/>
            <w:vAlign w:val="center"/>
          </w:tcPr>
          <w:p w14:paraId="1A351B28" w14:textId="77777777" w:rsidR="00892142" w:rsidRPr="00B01471" w:rsidRDefault="00892142" w:rsidP="00887556">
            <w:pPr>
              <w:rPr>
                <w:sz w:val="18"/>
                <w:szCs w:val="18"/>
              </w:rPr>
            </w:pPr>
            <w:r w:rsidRPr="00B01471">
              <w:rPr>
                <w:sz w:val="18"/>
                <w:szCs w:val="18"/>
              </w:rPr>
              <w:t>Coordination of innovation activities and operational efficiency improvements</w:t>
            </w:r>
          </w:p>
        </w:tc>
        <w:tc>
          <w:tcPr>
            <w:tcW w:w="1559" w:type="dxa"/>
            <w:noWrap/>
            <w:vAlign w:val="bottom"/>
          </w:tcPr>
          <w:p w14:paraId="025F8834" w14:textId="77777777" w:rsidR="00892142" w:rsidRPr="00B01471" w:rsidRDefault="00892142" w:rsidP="00887556">
            <w:pPr>
              <w:spacing w:line="240" w:lineRule="auto"/>
              <w:jc w:val="right"/>
              <w:rPr>
                <w:sz w:val="18"/>
                <w:szCs w:val="18"/>
              </w:rPr>
            </w:pPr>
            <w:r w:rsidRPr="00816E17">
              <w:rPr>
                <w:sz w:val="18"/>
                <w:szCs w:val="18"/>
              </w:rPr>
              <w:t xml:space="preserve"> 455 797 </w:t>
            </w:r>
          </w:p>
        </w:tc>
      </w:tr>
      <w:tr w:rsidR="00892142" w:rsidRPr="00B01471" w14:paraId="48A9EF4F" w14:textId="77777777" w:rsidTr="000404F3">
        <w:trPr>
          <w:trHeight w:val="300"/>
        </w:trPr>
        <w:tc>
          <w:tcPr>
            <w:tcW w:w="992" w:type="dxa"/>
          </w:tcPr>
          <w:p w14:paraId="59F506F3" w14:textId="77777777" w:rsidR="00892142" w:rsidRPr="00B01471" w:rsidRDefault="00892142" w:rsidP="00656FAE">
            <w:pPr>
              <w:ind w:left="-105"/>
              <w:rPr>
                <w:sz w:val="18"/>
                <w:szCs w:val="18"/>
              </w:rPr>
            </w:pPr>
            <w:r w:rsidRPr="00B01471">
              <w:rPr>
                <w:sz w:val="18"/>
                <w:szCs w:val="18"/>
              </w:rPr>
              <w:t>SB500-009</w:t>
            </w:r>
          </w:p>
        </w:tc>
        <w:tc>
          <w:tcPr>
            <w:tcW w:w="5954" w:type="dxa"/>
            <w:noWrap/>
            <w:vAlign w:val="center"/>
          </w:tcPr>
          <w:p w14:paraId="28187B1C" w14:textId="77777777" w:rsidR="00892142" w:rsidRPr="00B01471" w:rsidRDefault="00892142" w:rsidP="00887556">
            <w:pPr>
              <w:rPr>
                <w:sz w:val="18"/>
                <w:szCs w:val="18"/>
              </w:rPr>
            </w:pPr>
            <w:r w:rsidRPr="00B01471">
              <w:rPr>
                <w:sz w:val="18"/>
                <w:szCs w:val="18"/>
              </w:rPr>
              <w:t xml:space="preserve">Upgrading of the secretariat’s </w:t>
            </w:r>
            <w:r w:rsidRPr="00B01471">
              <w:rPr>
                <w:sz w:val="18"/>
              </w:rPr>
              <w:t>information and communication technology</w:t>
            </w:r>
            <w:r w:rsidRPr="00B01471">
              <w:rPr>
                <w:sz w:val="18"/>
                <w:szCs w:val="18"/>
              </w:rPr>
              <w:t xml:space="preserve"> infrastructure</w:t>
            </w:r>
          </w:p>
        </w:tc>
        <w:tc>
          <w:tcPr>
            <w:tcW w:w="1559" w:type="dxa"/>
            <w:noWrap/>
            <w:vAlign w:val="bottom"/>
          </w:tcPr>
          <w:p w14:paraId="4E37AB0D" w14:textId="77777777" w:rsidR="00892142" w:rsidRPr="00B01471" w:rsidRDefault="00892142" w:rsidP="00887556">
            <w:pPr>
              <w:spacing w:line="240" w:lineRule="auto"/>
              <w:jc w:val="right"/>
              <w:rPr>
                <w:sz w:val="18"/>
                <w:szCs w:val="18"/>
              </w:rPr>
            </w:pPr>
            <w:r w:rsidRPr="00816E17">
              <w:rPr>
                <w:sz w:val="18"/>
                <w:szCs w:val="18"/>
              </w:rPr>
              <w:t xml:space="preserve"> 864 009 </w:t>
            </w:r>
          </w:p>
        </w:tc>
      </w:tr>
      <w:tr w:rsidR="00892142" w:rsidRPr="00B01471" w14:paraId="563E9FDC" w14:textId="77777777" w:rsidTr="000404F3">
        <w:trPr>
          <w:trHeight w:val="300"/>
        </w:trPr>
        <w:tc>
          <w:tcPr>
            <w:tcW w:w="992" w:type="dxa"/>
            <w:tcBorders>
              <w:bottom w:val="single" w:sz="4" w:space="0" w:color="auto"/>
            </w:tcBorders>
          </w:tcPr>
          <w:p w14:paraId="3A4E7E85" w14:textId="77777777" w:rsidR="00892142" w:rsidRPr="00B01471" w:rsidRDefault="00892142" w:rsidP="00656FAE">
            <w:pPr>
              <w:ind w:left="-105"/>
              <w:rPr>
                <w:sz w:val="18"/>
                <w:szCs w:val="18"/>
              </w:rPr>
            </w:pPr>
            <w:r w:rsidRPr="00B01471">
              <w:rPr>
                <w:sz w:val="18"/>
                <w:szCs w:val="18"/>
              </w:rPr>
              <w:t>SB500-007</w:t>
            </w:r>
          </w:p>
        </w:tc>
        <w:tc>
          <w:tcPr>
            <w:tcW w:w="5954" w:type="dxa"/>
            <w:tcBorders>
              <w:bottom w:val="single" w:sz="4" w:space="0" w:color="auto"/>
            </w:tcBorders>
            <w:noWrap/>
            <w:vAlign w:val="center"/>
            <w:hideMark/>
          </w:tcPr>
          <w:p w14:paraId="70587F78" w14:textId="77777777" w:rsidR="00892142" w:rsidRPr="00B01471" w:rsidRDefault="00892142" w:rsidP="00887556">
            <w:pPr>
              <w:rPr>
                <w:sz w:val="18"/>
                <w:szCs w:val="18"/>
              </w:rPr>
            </w:pPr>
            <w:r w:rsidRPr="00B01471">
              <w:rPr>
                <w:sz w:val="18"/>
                <w:szCs w:val="18"/>
              </w:rPr>
              <w:t>Institutional legal review and advice with respect to all of the secretariat’s activities and operations</w:t>
            </w:r>
          </w:p>
        </w:tc>
        <w:tc>
          <w:tcPr>
            <w:tcW w:w="1559" w:type="dxa"/>
            <w:tcBorders>
              <w:bottom w:val="single" w:sz="4" w:space="0" w:color="auto"/>
            </w:tcBorders>
            <w:noWrap/>
            <w:vAlign w:val="bottom"/>
          </w:tcPr>
          <w:p w14:paraId="0E1EFF8E" w14:textId="77777777" w:rsidR="00892142" w:rsidRPr="00B01471" w:rsidRDefault="00892142" w:rsidP="00887556">
            <w:pPr>
              <w:spacing w:line="240" w:lineRule="auto"/>
              <w:jc w:val="right"/>
              <w:rPr>
                <w:rFonts w:eastAsia="Times New Roman"/>
                <w:b/>
                <w:bCs/>
                <w:color w:val="000000"/>
                <w:sz w:val="18"/>
                <w:szCs w:val="18"/>
              </w:rPr>
            </w:pPr>
            <w:r w:rsidRPr="00816E17">
              <w:rPr>
                <w:sz w:val="18"/>
                <w:szCs w:val="18"/>
              </w:rPr>
              <w:t xml:space="preserve"> 488 928 </w:t>
            </w:r>
          </w:p>
        </w:tc>
      </w:tr>
      <w:tr w:rsidR="00892142" w:rsidRPr="00B01471" w14:paraId="241FFA9E" w14:textId="77777777" w:rsidTr="000404F3">
        <w:trPr>
          <w:trHeight w:val="300"/>
        </w:trPr>
        <w:tc>
          <w:tcPr>
            <w:tcW w:w="992" w:type="dxa"/>
            <w:tcBorders>
              <w:top w:val="single" w:sz="4" w:space="0" w:color="auto"/>
              <w:left w:val="nil"/>
              <w:bottom w:val="single" w:sz="12" w:space="0" w:color="auto"/>
              <w:right w:val="nil"/>
            </w:tcBorders>
          </w:tcPr>
          <w:p w14:paraId="3B879A62" w14:textId="77777777" w:rsidR="00892142" w:rsidRPr="00B01471" w:rsidRDefault="00892142" w:rsidP="00887556">
            <w:pPr>
              <w:suppressAutoHyphens w:val="0"/>
              <w:spacing w:before="40" w:after="40" w:line="220" w:lineRule="exact"/>
              <w:ind w:left="426" w:right="38" w:firstLine="284"/>
              <w:rPr>
                <w:rFonts w:eastAsia="MS Mincho"/>
                <w:b/>
                <w:sz w:val="18"/>
                <w:szCs w:val="18"/>
                <w:lang w:eastAsia="de-DE"/>
              </w:rPr>
            </w:pPr>
          </w:p>
        </w:tc>
        <w:tc>
          <w:tcPr>
            <w:tcW w:w="5954" w:type="dxa"/>
            <w:tcBorders>
              <w:top w:val="single" w:sz="4" w:space="0" w:color="auto"/>
              <w:left w:val="nil"/>
              <w:bottom w:val="single" w:sz="12" w:space="0" w:color="auto"/>
              <w:right w:val="nil"/>
            </w:tcBorders>
            <w:shd w:val="clear" w:color="auto" w:fill="auto"/>
            <w:noWrap/>
            <w:vAlign w:val="center"/>
          </w:tcPr>
          <w:p w14:paraId="5C3A64D0" w14:textId="77777777" w:rsidR="00892142" w:rsidRPr="00B01471" w:rsidRDefault="00892142" w:rsidP="00CA2BA0">
            <w:pPr>
              <w:suppressAutoHyphens w:val="0"/>
              <w:spacing w:before="40" w:after="40" w:line="220" w:lineRule="exact"/>
              <w:ind w:right="38" w:firstLine="284"/>
              <w:rPr>
                <w:rFonts w:eastAsia="Times New Roman"/>
                <w:color w:val="000000"/>
                <w:sz w:val="18"/>
                <w:szCs w:val="18"/>
              </w:rPr>
            </w:pPr>
            <w:r w:rsidRPr="00B01471">
              <w:rPr>
                <w:rFonts w:eastAsia="MS Mincho"/>
                <w:b/>
                <w:sz w:val="18"/>
                <w:szCs w:val="18"/>
                <w:lang w:eastAsia="de-DE"/>
              </w:rPr>
              <w:t>Total</w:t>
            </w:r>
          </w:p>
        </w:tc>
        <w:tc>
          <w:tcPr>
            <w:tcW w:w="1559" w:type="dxa"/>
            <w:tcBorders>
              <w:top w:val="single" w:sz="4" w:space="0" w:color="auto"/>
              <w:left w:val="nil"/>
              <w:bottom w:val="single" w:sz="12" w:space="0" w:color="auto"/>
              <w:right w:val="nil"/>
            </w:tcBorders>
            <w:shd w:val="clear" w:color="auto" w:fill="auto"/>
            <w:noWrap/>
            <w:vAlign w:val="bottom"/>
          </w:tcPr>
          <w:p w14:paraId="473A56C7" w14:textId="77777777" w:rsidR="00892142" w:rsidRPr="00B01471" w:rsidRDefault="00892142" w:rsidP="00887556">
            <w:pPr>
              <w:spacing w:line="240" w:lineRule="auto"/>
              <w:jc w:val="right"/>
              <w:rPr>
                <w:sz w:val="18"/>
                <w:szCs w:val="18"/>
              </w:rPr>
            </w:pPr>
            <w:r w:rsidRPr="00816E17">
              <w:rPr>
                <w:b/>
                <w:sz w:val="18"/>
                <w:szCs w:val="18"/>
              </w:rPr>
              <w:t xml:space="preserve"> </w:t>
            </w:r>
            <w:bookmarkStart w:id="30" w:name="_Hlk12539296"/>
            <w:r w:rsidRPr="00816E17">
              <w:rPr>
                <w:b/>
                <w:sz w:val="18"/>
                <w:szCs w:val="18"/>
              </w:rPr>
              <w:t xml:space="preserve">63 542 327 </w:t>
            </w:r>
            <w:bookmarkEnd w:id="30"/>
          </w:p>
        </w:tc>
      </w:tr>
    </w:tbl>
    <w:p w14:paraId="2BB90AC1" w14:textId="1BBD6E2D" w:rsidR="000404F3" w:rsidRPr="00CA2BA0" w:rsidRDefault="000404F3" w:rsidP="001B21E0">
      <w:pPr>
        <w:pStyle w:val="FootnoteTable"/>
        <w:spacing w:before="60" w:line="200" w:lineRule="exact"/>
        <w:ind w:left="1134" w:firstLine="142"/>
      </w:pPr>
      <w:r w:rsidRPr="00BA5FC9">
        <w:rPr>
          <w:i/>
        </w:rPr>
        <w:t>Abbreviations</w:t>
      </w:r>
      <w:r w:rsidRPr="00BA5FC9">
        <w:t xml:space="preserve">: </w:t>
      </w:r>
      <w:r w:rsidR="002168DD" w:rsidRPr="00BA5FC9">
        <w:t>AC =</w:t>
      </w:r>
      <w:r w:rsidR="003E6D04" w:rsidRPr="00F40966">
        <w:t xml:space="preserve"> Adaptation</w:t>
      </w:r>
      <w:r w:rsidR="003E6D04" w:rsidRPr="00FA6346">
        <w:t xml:space="preserve"> Committee</w:t>
      </w:r>
      <w:r w:rsidR="002168DD" w:rsidRPr="00FA6346">
        <w:t>, ACE =</w:t>
      </w:r>
      <w:r w:rsidR="00C5621C" w:rsidRPr="00FA6346">
        <w:t xml:space="preserve"> Action for Climate Empowerment</w:t>
      </w:r>
      <w:r w:rsidR="002168DD" w:rsidRPr="00FA6346">
        <w:t>, CGE =</w:t>
      </w:r>
      <w:r w:rsidR="00C5621C" w:rsidRPr="00FA6346">
        <w:t xml:space="preserve"> Consultative Group of Experts</w:t>
      </w:r>
      <w:r w:rsidR="002168DD" w:rsidRPr="00FA6346">
        <w:t xml:space="preserve">, CTCN = </w:t>
      </w:r>
      <w:r w:rsidR="00EE3626" w:rsidRPr="00FA6346">
        <w:t>Climate Technology Centre and Network</w:t>
      </w:r>
      <w:r w:rsidR="002168DD" w:rsidRPr="00FA6346">
        <w:t xml:space="preserve">, KCI = </w:t>
      </w:r>
      <w:r w:rsidR="002E09A5" w:rsidRPr="002E09A5">
        <w:t>Katowice Committee of Experts on the Impacts of the Implementation of Response Measures</w:t>
      </w:r>
      <w:r w:rsidR="002168DD" w:rsidRPr="00FA6346">
        <w:t xml:space="preserve">, </w:t>
      </w:r>
      <w:r w:rsidR="00A71E13" w:rsidRPr="00FA6346">
        <w:t>LCIPP</w:t>
      </w:r>
      <w:r w:rsidR="00BB5777">
        <w:t xml:space="preserve"> FWG</w:t>
      </w:r>
      <w:r w:rsidR="00627977" w:rsidRPr="00FA6346">
        <w:t xml:space="preserve"> = </w:t>
      </w:r>
      <w:r w:rsidR="000064A7" w:rsidRPr="000064A7">
        <w:t>Facilitative Working Group of the Local Communities and Indigenous Peoples Platform</w:t>
      </w:r>
      <w:r w:rsidR="00627977" w:rsidRPr="00FA6346">
        <w:t>,</w:t>
      </w:r>
      <w:r w:rsidR="00A71E13" w:rsidRPr="00FA6346">
        <w:t xml:space="preserve"> LEG =</w:t>
      </w:r>
      <w:r w:rsidR="007C615A" w:rsidRPr="00FA6346">
        <w:t xml:space="preserve"> Least Developed Countries Expert Group</w:t>
      </w:r>
      <w:r w:rsidR="00A71E13" w:rsidRPr="00FA6346">
        <w:t>, NAP =</w:t>
      </w:r>
      <w:r w:rsidR="008A09EF" w:rsidRPr="00FA6346">
        <w:t xml:space="preserve"> national adaptation plan</w:t>
      </w:r>
      <w:r w:rsidR="00A71E13" w:rsidRPr="00FA6346">
        <w:t xml:space="preserve">, </w:t>
      </w:r>
      <w:r w:rsidR="00C13F20" w:rsidRPr="00FA6346">
        <w:t>NAZCA =</w:t>
      </w:r>
      <w:r w:rsidR="002F5C1F" w:rsidRPr="00FA6346">
        <w:t xml:space="preserve"> Non-State Actor Zone for Climate Action</w:t>
      </w:r>
      <w:r w:rsidR="00C13F20" w:rsidRPr="00FA6346">
        <w:t>, NDC =</w:t>
      </w:r>
      <w:r w:rsidR="00860C61" w:rsidRPr="00FA6346">
        <w:t xml:space="preserve"> nationally determined contribution</w:t>
      </w:r>
      <w:r w:rsidR="00C13F20" w:rsidRPr="00FA6346">
        <w:t>, NWP =</w:t>
      </w:r>
      <w:r w:rsidR="006B2D65" w:rsidRPr="00FA6346">
        <w:t xml:space="preserve"> Nairobi work programme on impacts, vulnerability and adaptation to climate change</w:t>
      </w:r>
      <w:r w:rsidR="00C13F20" w:rsidRPr="00FA6346">
        <w:t>, PCCB =</w:t>
      </w:r>
      <w:r w:rsidR="00062691" w:rsidRPr="00FA6346">
        <w:t xml:space="preserve"> Paris Committee on Capacity-building</w:t>
      </w:r>
      <w:r w:rsidR="00C13F20" w:rsidRPr="00FA6346">
        <w:t xml:space="preserve">, REDD+ </w:t>
      </w:r>
      <w:r w:rsidR="00A632C7" w:rsidRPr="00FA6346">
        <w:t>=</w:t>
      </w:r>
      <w:r w:rsidR="00BF4B0D" w:rsidRPr="00FA6346">
        <w:t xml:space="preserve"> reducing emissions from deforestation; reducing emissions from forest degradation;</w:t>
      </w:r>
      <w:r w:rsidR="00F03FA4" w:rsidRPr="00FA6346">
        <w:t xml:space="preserve"> </w:t>
      </w:r>
      <w:r w:rsidR="00BF4B0D" w:rsidRPr="00FA6346">
        <w:t>conservation of forest carbon stocks; sustainable management of forests; and</w:t>
      </w:r>
      <w:r w:rsidR="00F03FA4" w:rsidRPr="00FA6346">
        <w:t xml:space="preserve"> </w:t>
      </w:r>
      <w:r w:rsidR="00BF4B0D" w:rsidRPr="00FA6346">
        <w:t>enhancement of forest carbon stocks (decision 1/CP.16, para. 70)</w:t>
      </w:r>
      <w:r w:rsidR="00A632C7" w:rsidRPr="00FA6346">
        <w:t>,</w:t>
      </w:r>
      <w:r w:rsidR="00F03FA4" w:rsidRPr="00FA6346">
        <w:t xml:space="preserve"> </w:t>
      </w:r>
      <w:r w:rsidR="00A632C7" w:rsidRPr="00FA6346">
        <w:t xml:space="preserve">SCF = </w:t>
      </w:r>
      <w:r w:rsidR="00330787" w:rsidRPr="00FA6346">
        <w:t>Standing Committee on Finance</w:t>
      </w:r>
      <w:r w:rsidR="00A632C7" w:rsidRPr="00FA6346">
        <w:t>,</w:t>
      </w:r>
      <w:r w:rsidR="00330787" w:rsidRPr="00FA6346">
        <w:t xml:space="preserve"> </w:t>
      </w:r>
      <w:r w:rsidR="00A632C7" w:rsidRPr="00FA6346">
        <w:t>TEC =</w:t>
      </w:r>
      <w:r w:rsidR="00B2686F" w:rsidRPr="00FA6346">
        <w:t xml:space="preserve"> Technology Executive Committee</w:t>
      </w:r>
      <w:r w:rsidR="00A632C7" w:rsidRPr="00FA6346">
        <w:t>, TT:CLEAR =</w:t>
      </w:r>
      <w:r w:rsidR="00F03FA4" w:rsidRPr="00FA6346">
        <w:t xml:space="preserve"> technology information clearing house</w:t>
      </w:r>
      <w:r w:rsidR="00A632C7" w:rsidRPr="00FA6346">
        <w:t>, WIM =</w:t>
      </w:r>
      <w:r w:rsidR="00B2686F" w:rsidRPr="00FA6346">
        <w:t xml:space="preserve"> Warsaw International Mechanism for Loss and Damage associated with Climate Change Impacts</w:t>
      </w:r>
      <w:r w:rsidR="005C51B7" w:rsidRPr="00FA6346">
        <w:t>.</w:t>
      </w:r>
    </w:p>
    <w:p w14:paraId="79DE4F92" w14:textId="77777777" w:rsidR="00892142" w:rsidRDefault="00892142" w:rsidP="00F40966">
      <w:pPr>
        <w:ind w:left="1134"/>
      </w:pPr>
    </w:p>
    <w:p w14:paraId="609F7B83" w14:textId="77777777" w:rsidR="00892142" w:rsidRPr="00371ADD" w:rsidRDefault="00892142" w:rsidP="00892142"/>
    <w:p w14:paraId="61524AF2" w14:textId="77777777" w:rsidR="00892142" w:rsidRDefault="00892142" w:rsidP="00892142"/>
    <w:p w14:paraId="2D121782" w14:textId="77777777" w:rsidR="00892142" w:rsidRDefault="00892142" w:rsidP="00892142">
      <w:pPr>
        <w:sectPr w:rsidR="00892142" w:rsidSect="00C92FFD">
          <w:headerReference w:type="even" r:id="rId83"/>
          <w:headerReference w:type="default" r:id="rId84"/>
          <w:footerReference w:type="even" r:id="rId85"/>
          <w:footerReference w:type="default" r:id="rId86"/>
          <w:headerReference w:type="first" r:id="rId87"/>
          <w:footerReference w:type="first" r:id="rId88"/>
          <w:footnotePr>
            <w:numRestart w:val="eachSect"/>
          </w:footnotePr>
          <w:pgSz w:w="11906" w:h="16838" w:code="9"/>
          <w:pgMar w:top="1417" w:right="1134" w:bottom="1134" w:left="1134" w:header="850" w:footer="567" w:gutter="0"/>
          <w:cols w:space="708"/>
          <w:docGrid w:linePitch="360"/>
        </w:sectPr>
      </w:pPr>
    </w:p>
    <w:p w14:paraId="2A1C97CA" w14:textId="559E3BD0" w:rsidR="00892142" w:rsidRDefault="00892142" w:rsidP="00892142">
      <w:pPr>
        <w:pStyle w:val="HChG"/>
        <w:spacing w:before="0"/>
      </w:pPr>
      <w:bookmarkStart w:id="31" w:name="_Hlk7168646"/>
      <w:r>
        <w:t>Annex</w:t>
      </w:r>
    </w:p>
    <w:p w14:paraId="34E852A6" w14:textId="14A23641" w:rsidR="00892142" w:rsidRDefault="00892142" w:rsidP="00CA2BA0">
      <w:pPr>
        <w:pStyle w:val="HChG"/>
      </w:pPr>
      <w:bookmarkStart w:id="32" w:name="_Toc485284858"/>
      <w:bookmarkStart w:id="33" w:name="_Toc485284941"/>
      <w:r>
        <w:tab/>
      </w:r>
      <w:r>
        <w:tab/>
      </w:r>
      <w:r w:rsidRPr="006C25F6">
        <w:t xml:space="preserve">Indicative scale of contributions from Parties to the Convention for the </w:t>
      </w:r>
      <w:r>
        <w:t>period</w:t>
      </w:r>
      <w:r w:rsidRPr="006C25F6">
        <w:t xml:space="preserve"> 20</w:t>
      </w:r>
      <w:r>
        <w:t>19</w:t>
      </w:r>
      <w:r w:rsidRPr="006C25F6">
        <w:t>–2021</w:t>
      </w:r>
      <w:bookmarkEnd w:id="31"/>
      <w:bookmarkEnd w:id="32"/>
      <w:bookmarkEnd w:id="33"/>
    </w:p>
    <w:tbl>
      <w:tblPr>
        <w:tblW w:w="737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30" w:type="dxa"/>
          <w:right w:w="113" w:type="dxa"/>
        </w:tblCellMar>
        <w:tblLook w:val="0000" w:firstRow="0" w:lastRow="0" w:firstColumn="0" w:lastColumn="0" w:noHBand="0" w:noVBand="0"/>
      </w:tblPr>
      <w:tblGrid>
        <w:gridCol w:w="2883"/>
        <w:gridCol w:w="2244"/>
        <w:gridCol w:w="2244"/>
      </w:tblGrid>
      <w:tr w:rsidR="00892142" w:rsidRPr="004153B4" w14:paraId="563FD7DC" w14:textId="77777777" w:rsidTr="00770BD5">
        <w:trPr>
          <w:trHeight w:val="64"/>
          <w:tblHeader/>
          <w:jc w:val="center"/>
        </w:trPr>
        <w:tc>
          <w:tcPr>
            <w:tcW w:w="2662" w:type="dxa"/>
            <w:tcBorders>
              <w:top w:val="single" w:sz="4" w:space="0" w:color="auto"/>
              <w:left w:val="nil"/>
              <w:bottom w:val="single" w:sz="12" w:space="0" w:color="auto"/>
              <w:right w:val="nil"/>
            </w:tcBorders>
            <w:vAlign w:val="bottom"/>
          </w:tcPr>
          <w:p w14:paraId="4FB7723C" w14:textId="77777777" w:rsidR="00892142" w:rsidRPr="004153B4" w:rsidRDefault="00892142">
            <w:pPr>
              <w:suppressAutoHyphens w:val="0"/>
              <w:spacing w:before="80" w:after="80" w:line="200" w:lineRule="exact"/>
              <w:rPr>
                <w:rFonts w:eastAsia="MS Mincho"/>
                <w:i/>
                <w:color w:val="000000"/>
                <w:sz w:val="16"/>
                <w:szCs w:val="16"/>
                <w:lang w:eastAsia="de-DE"/>
              </w:rPr>
            </w:pPr>
            <w:r w:rsidRPr="004153B4">
              <w:rPr>
                <w:rFonts w:eastAsia="MS Mincho"/>
                <w:i/>
                <w:color w:val="000000"/>
                <w:sz w:val="16"/>
                <w:szCs w:val="16"/>
                <w:lang w:eastAsia="de-DE"/>
              </w:rPr>
              <w:t>Party</w:t>
            </w:r>
          </w:p>
        </w:tc>
        <w:tc>
          <w:tcPr>
            <w:tcW w:w="2071" w:type="dxa"/>
            <w:tcBorders>
              <w:top w:val="single" w:sz="4" w:space="0" w:color="auto"/>
              <w:left w:val="nil"/>
              <w:bottom w:val="single" w:sz="12" w:space="0" w:color="auto"/>
              <w:right w:val="nil"/>
            </w:tcBorders>
            <w:vAlign w:val="bottom"/>
          </w:tcPr>
          <w:p w14:paraId="4BA65006" w14:textId="77777777" w:rsidR="00892142" w:rsidRPr="004153B4" w:rsidRDefault="00892142" w:rsidP="00CA2BA0">
            <w:pPr>
              <w:suppressAutoHyphens w:val="0"/>
              <w:spacing w:before="80" w:after="80" w:line="200" w:lineRule="exact"/>
              <w:ind w:left="113" w:right="19"/>
              <w:jc w:val="right"/>
              <w:rPr>
                <w:rFonts w:eastAsia="MS Mincho"/>
                <w:i/>
                <w:color w:val="000000"/>
                <w:sz w:val="16"/>
                <w:szCs w:val="16"/>
                <w:lang w:eastAsia="de-DE"/>
              </w:rPr>
            </w:pPr>
            <w:r w:rsidRPr="004153B4">
              <w:rPr>
                <w:rFonts w:eastAsia="MS Mincho"/>
                <w:i/>
                <w:sz w:val="16"/>
                <w:szCs w:val="16"/>
                <w:lang w:eastAsia="de-DE"/>
              </w:rPr>
              <w:t>United</w:t>
            </w:r>
            <w:r w:rsidRPr="004153B4">
              <w:rPr>
                <w:rFonts w:eastAsia="MS Mincho"/>
                <w:i/>
                <w:color w:val="000000"/>
                <w:sz w:val="16"/>
                <w:szCs w:val="16"/>
                <w:lang w:eastAsia="de-DE"/>
              </w:rPr>
              <w:t xml:space="preserve"> </w:t>
            </w:r>
            <w:r w:rsidRPr="004153B4">
              <w:rPr>
                <w:rFonts w:eastAsia="MS Mincho"/>
                <w:i/>
                <w:sz w:val="16"/>
                <w:szCs w:val="16"/>
                <w:lang w:eastAsia="de-DE"/>
              </w:rPr>
              <w:t>Nations</w:t>
            </w:r>
            <w:r w:rsidRPr="004153B4">
              <w:rPr>
                <w:rFonts w:eastAsia="MS Mincho"/>
                <w:i/>
                <w:color w:val="000000"/>
                <w:sz w:val="16"/>
                <w:szCs w:val="16"/>
                <w:lang w:eastAsia="de-DE"/>
              </w:rPr>
              <w:t xml:space="preserve"> scale of assessments for 2019</w:t>
            </w:r>
          </w:p>
        </w:tc>
        <w:tc>
          <w:tcPr>
            <w:tcW w:w="2071" w:type="dxa"/>
            <w:tcBorders>
              <w:top w:val="single" w:sz="4" w:space="0" w:color="auto"/>
              <w:left w:val="nil"/>
              <w:bottom w:val="single" w:sz="12" w:space="0" w:color="auto"/>
              <w:right w:val="nil"/>
            </w:tcBorders>
            <w:vAlign w:val="bottom"/>
          </w:tcPr>
          <w:p w14:paraId="4658C30E" w14:textId="77777777" w:rsidR="00892142" w:rsidRPr="004153B4" w:rsidRDefault="00892142" w:rsidP="00CA2BA0">
            <w:pPr>
              <w:suppressAutoHyphens w:val="0"/>
              <w:spacing w:before="80" w:after="80" w:line="200" w:lineRule="exact"/>
              <w:ind w:left="113" w:right="-35"/>
              <w:jc w:val="right"/>
              <w:rPr>
                <w:rFonts w:eastAsia="MS Mincho"/>
                <w:i/>
                <w:color w:val="000000"/>
                <w:sz w:val="16"/>
                <w:szCs w:val="16"/>
                <w:lang w:eastAsia="de-DE"/>
              </w:rPr>
            </w:pPr>
            <w:r w:rsidRPr="004153B4">
              <w:rPr>
                <w:rFonts w:eastAsia="MS Mincho"/>
                <w:i/>
                <w:color w:val="000000"/>
                <w:sz w:val="16"/>
                <w:szCs w:val="16"/>
                <w:lang w:eastAsia="de-DE"/>
              </w:rPr>
              <w:t xml:space="preserve">UNFCCC </w:t>
            </w:r>
            <w:r w:rsidRPr="004153B4">
              <w:rPr>
                <w:rFonts w:eastAsia="MS Mincho"/>
                <w:i/>
                <w:sz w:val="16"/>
                <w:szCs w:val="16"/>
                <w:lang w:eastAsia="de-DE"/>
              </w:rPr>
              <w:t>adjusted</w:t>
            </w:r>
            <w:r w:rsidRPr="004153B4">
              <w:rPr>
                <w:rFonts w:eastAsia="MS Mincho"/>
                <w:i/>
                <w:color w:val="000000"/>
                <w:sz w:val="16"/>
                <w:szCs w:val="16"/>
                <w:lang w:eastAsia="de-DE"/>
              </w:rPr>
              <w:t xml:space="preserve"> scale for 2020–2021</w:t>
            </w:r>
          </w:p>
        </w:tc>
      </w:tr>
      <w:tr w:rsidR="00892142" w:rsidRPr="004153B4" w14:paraId="71A2FED1" w14:textId="77777777" w:rsidTr="00770BD5">
        <w:trPr>
          <w:trHeight w:val="244"/>
          <w:jc w:val="center"/>
        </w:trPr>
        <w:tc>
          <w:tcPr>
            <w:tcW w:w="2662" w:type="dxa"/>
            <w:tcBorders>
              <w:top w:val="single" w:sz="12" w:space="0" w:color="auto"/>
              <w:left w:val="nil"/>
              <w:bottom w:val="nil"/>
              <w:right w:val="nil"/>
            </w:tcBorders>
          </w:tcPr>
          <w:p w14:paraId="6A4902B6" w14:textId="77777777" w:rsidR="00892142" w:rsidRPr="004153B4" w:rsidRDefault="00892142" w:rsidP="00887556">
            <w:pPr>
              <w:suppressAutoHyphens w:val="0"/>
              <w:spacing w:line="240" w:lineRule="auto"/>
              <w:rPr>
                <w:rFonts w:eastAsia="Arial Unicode MS"/>
                <w:color w:val="000000"/>
                <w:sz w:val="18"/>
                <w:szCs w:val="18"/>
                <w:lang w:eastAsia="de-DE"/>
              </w:rPr>
            </w:pPr>
            <w:r w:rsidRPr="004153B4">
              <w:rPr>
                <w:rFonts w:eastAsia="MS Mincho"/>
                <w:color w:val="000000"/>
                <w:sz w:val="18"/>
                <w:szCs w:val="18"/>
                <w:lang w:eastAsia="de-DE"/>
              </w:rPr>
              <w:t>Afghanistan</w:t>
            </w:r>
          </w:p>
        </w:tc>
        <w:tc>
          <w:tcPr>
            <w:tcW w:w="2071" w:type="dxa"/>
            <w:tcBorders>
              <w:top w:val="single" w:sz="12" w:space="0" w:color="auto"/>
              <w:left w:val="nil"/>
              <w:bottom w:val="nil"/>
              <w:right w:val="nil"/>
            </w:tcBorders>
            <w:shd w:val="clear" w:color="auto" w:fill="auto"/>
          </w:tcPr>
          <w:p w14:paraId="0DFA009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0.007</w:t>
            </w:r>
          </w:p>
        </w:tc>
        <w:tc>
          <w:tcPr>
            <w:tcW w:w="2071" w:type="dxa"/>
            <w:tcBorders>
              <w:top w:val="nil"/>
              <w:left w:val="nil"/>
              <w:bottom w:val="nil"/>
              <w:right w:val="nil"/>
            </w:tcBorders>
            <w:shd w:val="clear" w:color="auto" w:fill="auto"/>
          </w:tcPr>
          <w:p w14:paraId="4AF69AF1"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0.007</w:t>
            </w:r>
          </w:p>
        </w:tc>
      </w:tr>
      <w:tr w:rsidR="00892142" w:rsidRPr="004153B4" w14:paraId="186CB0E0" w14:textId="77777777" w:rsidTr="00770BD5">
        <w:trPr>
          <w:trHeight w:val="248"/>
          <w:jc w:val="center"/>
        </w:trPr>
        <w:tc>
          <w:tcPr>
            <w:tcW w:w="2662" w:type="dxa"/>
            <w:tcBorders>
              <w:top w:val="nil"/>
              <w:left w:val="nil"/>
              <w:bottom w:val="nil"/>
              <w:right w:val="nil"/>
            </w:tcBorders>
          </w:tcPr>
          <w:p w14:paraId="15168E04" w14:textId="77777777" w:rsidR="00892142" w:rsidRPr="004153B4" w:rsidRDefault="00892142" w:rsidP="00887556">
            <w:pPr>
              <w:suppressAutoHyphens w:val="0"/>
              <w:spacing w:line="240" w:lineRule="auto"/>
              <w:rPr>
                <w:rFonts w:eastAsia="Arial Unicode MS"/>
                <w:color w:val="000000"/>
                <w:sz w:val="18"/>
                <w:szCs w:val="18"/>
                <w:lang w:eastAsia="de-DE"/>
              </w:rPr>
            </w:pPr>
            <w:r w:rsidRPr="004153B4">
              <w:rPr>
                <w:rFonts w:eastAsia="MS Mincho"/>
                <w:color w:val="000000"/>
                <w:sz w:val="18"/>
                <w:szCs w:val="18"/>
                <w:lang w:eastAsia="de-DE"/>
              </w:rPr>
              <w:t>Albania</w:t>
            </w:r>
          </w:p>
        </w:tc>
        <w:tc>
          <w:tcPr>
            <w:tcW w:w="2071" w:type="dxa"/>
            <w:tcBorders>
              <w:top w:val="nil"/>
              <w:left w:val="nil"/>
              <w:bottom w:val="nil"/>
              <w:right w:val="nil"/>
            </w:tcBorders>
            <w:shd w:val="clear" w:color="auto" w:fill="auto"/>
          </w:tcPr>
          <w:p w14:paraId="1D52ED1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0.008</w:t>
            </w:r>
          </w:p>
        </w:tc>
        <w:tc>
          <w:tcPr>
            <w:tcW w:w="2071" w:type="dxa"/>
            <w:tcBorders>
              <w:top w:val="nil"/>
              <w:left w:val="nil"/>
              <w:bottom w:val="nil"/>
              <w:right w:val="nil"/>
            </w:tcBorders>
            <w:shd w:val="clear" w:color="auto" w:fill="auto"/>
          </w:tcPr>
          <w:p w14:paraId="115F848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0.008</w:t>
            </w:r>
          </w:p>
        </w:tc>
      </w:tr>
      <w:tr w:rsidR="00892142" w:rsidRPr="004153B4" w14:paraId="51F8A67E" w14:textId="77777777" w:rsidTr="00770BD5">
        <w:trPr>
          <w:trHeight w:val="248"/>
          <w:jc w:val="center"/>
        </w:trPr>
        <w:tc>
          <w:tcPr>
            <w:tcW w:w="2662" w:type="dxa"/>
            <w:tcBorders>
              <w:top w:val="nil"/>
              <w:left w:val="nil"/>
              <w:bottom w:val="nil"/>
              <w:right w:val="nil"/>
            </w:tcBorders>
          </w:tcPr>
          <w:p w14:paraId="1CCA35D4" w14:textId="77777777" w:rsidR="00892142" w:rsidRPr="004153B4" w:rsidRDefault="00892142" w:rsidP="00887556">
            <w:pPr>
              <w:suppressAutoHyphens w:val="0"/>
              <w:spacing w:line="240" w:lineRule="auto"/>
              <w:rPr>
                <w:rFonts w:eastAsia="Arial Unicode MS"/>
                <w:color w:val="000000"/>
                <w:sz w:val="18"/>
                <w:szCs w:val="18"/>
                <w:lang w:eastAsia="de-DE"/>
              </w:rPr>
            </w:pPr>
            <w:r w:rsidRPr="004153B4">
              <w:rPr>
                <w:rFonts w:eastAsia="MS Mincho"/>
                <w:color w:val="000000"/>
                <w:sz w:val="18"/>
                <w:szCs w:val="18"/>
                <w:lang w:eastAsia="de-DE"/>
              </w:rPr>
              <w:t>Algeria</w:t>
            </w:r>
          </w:p>
        </w:tc>
        <w:tc>
          <w:tcPr>
            <w:tcW w:w="2071" w:type="dxa"/>
            <w:tcBorders>
              <w:top w:val="nil"/>
              <w:left w:val="nil"/>
              <w:bottom w:val="nil"/>
              <w:right w:val="nil"/>
            </w:tcBorders>
            <w:shd w:val="clear" w:color="auto" w:fill="auto"/>
          </w:tcPr>
          <w:p w14:paraId="147FBF3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0.138</w:t>
            </w:r>
          </w:p>
        </w:tc>
        <w:tc>
          <w:tcPr>
            <w:tcW w:w="2071" w:type="dxa"/>
            <w:tcBorders>
              <w:top w:val="nil"/>
              <w:left w:val="nil"/>
              <w:bottom w:val="nil"/>
              <w:right w:val="nil"/>
            </w:tcBorders>
            <w:shd w:val="clear" w:color="auto" w:fill="auto"/>
          </w:tcPr>
          <w:p w14:paraId="03D65E9F"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0.135</w:t>
            </w:r>
          </w:p>
        </w:tc>
      </w:tr>
      <w:tr w:rsidR="00892142" w:rsidRPr="004153B4" w14:paraId="43A19170" w14:textId="77777777" w:rsidTr="00770BD5">
        <w:trPr>
          <w:trHeight w:val="248"/>
          <w:jc w:val="center"/>
        </w:trPr>
        <w:tc>
          <w:tcPr>
            <w:tcW w:w="2662" w:type="dxa"/>
            <w:tcBorders>
              <w:top w:val="nil"/>
              <w:left w:val="nil"/>
              <w:bottom w:val="nil"/>
              <w:right w:val="nil"/>
            </w:tcBorders>
          </w:tcPr>
          <w:p w14:paraId="4B181A79" w14:textId="77777777" w:rsidR="00892142" w:rsidRPr="004153B4" w:rsidRDefault="00892142" w:rsidP="00887556">
            <w:pPr>
              <w:suppressAutoHyphens w:val="0"/>
              <w:spacing w:line="240" w:lineRule="auto"/>
              <w:rPr>
                <w:rFonts w:eastAsia="MS Mincho"/>
                <w:sz w:val="18"/>
                <w:szCs w:val="18"/>
                <w:lang w:eastAsia="de-DE"/>
              </w:rPr>
            </w:pPr>
            <w:r w:rsidRPr="004153B4">
              <w:rPr>
                <w:rFonts w:eastAsia="MS Mincho"/>
                <w:sz w:val="18"/>
                <w:szCs w:val="18"/>
                <w:lang w:eastAsia="de-DE"/>
              </w:rPr>
              <w:t>Andorra</w:t>
            </w:r>
          </w:p>
        </w:tc>
        <w:tc>
          <w:tcPr>
            <w:tcW w:w="2071" w:type="dxa"/>
            <w:tcBorders>
              <w:top w:val="nil"/>
              <w:left w:val="nil"/>
              <w:bottom w:val="nil"/>
              <w:right w:val="nil"/>
            </w:tcBorders>
            <w:shd w:val="clear" w:color="auto" w:fill="auto"/>
          </w:tcPr>
          <w:p w14:paraId="76BC609B"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0.005</w:t>
            </w:r>
          </w:p>
        </w:tc>
        <w:tc>
          <w:tcPr>
            <w:tcW w:w="2071" w:type="dxa"/>
            <w:tcBorders>
              <w:top w:val="nil"/>
              <w:left w:val="nil"/>
              <w:bottom w:val="nil"/>
              <w:right w:val="nil"/>
            </w:tcBorders>
            <w:shd w:val="clear" w:color="auto" w:fill="auto"/>
          </w:tcPr>
          <w:p w14:paraId="33D3138B"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0.005</w:t>
            </w:r>
          </w:p>
        </w:tc>
      </w:tr>
      <w:tr w:rsidR="00892142" w:rsidRPr="004153B4" w14:paraId="676914B8" w14:textId="77777777" w:rsidTr="00770BD5">
        <w:trPr>
          <w:trHeight w:val="248"/>
          <w:jc w:val="center"/>
        </w:trPr>
        <w:tc>
          <w:tcPr>
            <w:tcW w:w="2662" w:type="dxa"/>
            <w:tcBorders>
              <w:top w:val="nil"/>
              <w:left w:val="nil"/>
              <w:bottom w:val="nil"/>
              <w:right w:val="nil"/>
            </w:tcBorders>
          </w:tcPr>
          <w:p w14:paraId="28555CA4" w14:textId="77777777" w:rsidR="00892142" w:rsidRPr="004153B4" w:rsidRDefault="00892142" w:rsidP="00887556">
            <w:pPr>
              <w:suppressAutoHyphens w:val="0"/>
              <w:spacing w:line="240" w:lineRule="auto"/>
              <w:rPr>
                <w:rFonts w:eastAsia="Arial Unicode MS"/>
                <w:color w:val="000000"/>
                <w:sz w:val="18"/>
                <w:szCs w:val="18"/>
                <w:lang w:eastAsia="de-DE"/>
              </w:rPr>
            </w:pPr>
            <w:r w:rsidRPr="004153B4">
              <w:rPr>
                <w:rFonts w:eastAsia="MS Mincho"/>
                <w:color w:val="000000"/>
                <w:sz w:val="18"/>
                <w:szCs w:val="18"/>
                <w:lang w:eastAsia="de-DE"/>
              </w:rPr>
              <w:t>Angola</w:t>
            </w:r>
          </w:p>
        </w:tc>
        <w:tc>
          <w:tcPr>
            <w:tcW w:w="2071" w:type="dxa"/>
            <w:tcBorders>
              <w:top w:val="nil"/>
              <w:left w:val="nil"/>
              <w:bottom w:val="nil"/>
              <w:right w:val="nil"/>
            </w:tcBorders>
            <w:shd w:val="clear" w:color="auto" w:fill="auto"/>
          </w:tcPr>
          <w:p w14:paraId="6DCFC91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0.010</w:t>
            </w:r>
          </w:p>
        </w:tc>
        <w:tc>
          <w:tcPr>
            <w:tcW w:w="2071" w:type="dxa"/>
            <w:tcBorders>
              <w:top w:val="nil"/>
              <w:left w:val="nil"/>
              <w:bottom w:val="nil"/>
              <w:right w:val="nil"/>
            </w:tcBorders>
            <w:shd w:val="clear" w:color="auto" w:fill="auto"/>
          </w:tcPr>
          <w:p w14:paraId="57620BB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0.010</w:t>
            </w:r>
          </w:p>
        </w:tc>
      </w:tr>
      <w:tr w:rsidR="00892142" w:rsidRPr="004153B4" w14:paraId="2EB19206" w14:textId="77777777" w:rsidTr="00770BD5">
        <w:trPr>
          <w:trHeight w:val="248"/>
          <w:jc w:val="center"/>
        </w:trPr>
        <w:tc>
          <w:tcPr>
            <w:tcW w:w="2662" w:type="dxa"/>
            <w:tcBorders>
              <w:top w:val="nil"/>
              <w:left w:val="nil"/>
              <w:bottom w:val="nil"/>
              <w:right w:val="nil"/>
            </w:tcBorders>
          </w:tcPr>
          <w:p w14:paraId="454CC67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Antigua and Barbuda</w:t>
            </w:r>
          </w:p>
        </w:tc>
        <w:tc>
          <w:tcPr>
            <w:tcW w:w="2071" w:type="dxa"/>
            <w:tcBorders>
              <w:top w:val="nil"/>
              <w:left w:val="nil"/>
              <w:bottom w:val="nil"/>
              <w:right w:val="nil"/>
            </w:tcBorders>
            <w:shd w:val="clear" w:color="auto" w:fill="auto"/>
          </w:tcPr>
          <w:p w14:paraId="2D67759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0.002</w:t>
            </w:r>
          </w:p>
        </w:tc>
        <w:tc>
          <w:tcPr>
            <w:tcW w:w="2071" w:type="dxa"/>
            <w:tcBorders>
              <w:top w:val="nil"/>
              <w:left w:val="nil"/>
              <w:bottom w:val="nil"/>
              <w:right w:val="nil"/>
            </w:tcBorders>
            <w:shd w:val="clear" w:color="auto" w:fill="auto"/>
          </w:tcPr>
          <w:p w14:paraId="7517D77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0.002</w:t>
            </w:r>
          </w:p>
        </w:tc>
      </w:tr>
      <w:tr w:rsidR="00892142" w:rsidRPr="004153B4" w14:paraId="68644D54" w14:textId="77777777" w:rsidTr="00770BD5">
        <w:trPr>
          <w:trHeight w:val="248"/>
          <w:jc w:val="center"/>
        </w:trPr>
        <w:tc>
          <w:tcPr>
            <w:tcW w:w="2662" w:type="dxa"/>
            <w:tcBorders>
              <w:top w:val="nil"/>
              <w:left w:val="nil"/>
              <w:bottom w:val="nil"/>
              <w:right w:val="nil"/>
            </w:tcBorders>
          </w:tcPr>
          <w:p w14:paraId="6D3BC70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Argentina</w:t>
            </w:r>
          </w:p>
        </w:tc>
        <w:tc>
          <w:tcPr>
            <w:tcW w:w="2071" w:type="dxa"/>
            <w:tcBorders>
              <w:top w:val="nil"/>
              <w:left w:val="nil"/>
              <w:bottom w:val="nil"/>
              <w:right w:val="nil"/>
            </w:tcBorders>
            <w:shd w:val="clear" w:color="auto" w:fill="auto"/>
          </w:tcPr>
          <w:p w14:paraId="294EF8AA"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0.915</w:t>
            </w:r>
          </w:p>
        </w:tc>
        <w:tc>
          <w:tcPr>
            <w:tcW w:w="2071" w:type="dxa"/>
            <w:tcBorders>
              <w:top w:val="nil"/>
              <w:left w:val="nil"/>
              <w:bottom w:val="nil"/>
              <w:right w:val="nil"/>
            </w:tcBorders>
            <w:shd w:val="clear" w:color="auto" w:fill="auto"/>
          </w:tcPr>
          <w:p w14:paraId="55A6505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0.892</w:t>
            </w:r>
          </w:p>
        </w:tc>
      </w:tr>
      <w:tr w:rsidR="00892142" w:rsidRPr="004153B4" w14:paraId="6908CBB4" w14:textId="77777777" w:rsidTr="00770BD5">
        <w:trPr>
          <w:trHeight w:val="248"/>
          <w:jc w:val="center"/>
        </w:trPr>
        <w:tc>
          <w:tcPr>
            <w:tcW w:w="2662" w:type="dxa"/>
            <w:tcBorders>
              <w:top w:val="nil"/>
              <w:left w:val="nil"/>
              <w:bottom w:val="nil"/>
              <w:right w:val="nil"/>
            </w:tcBorders>
          </w:tcPr>
          <w:p w14:paraId="6AF76CC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Armenia</w:t>
            </w:r>
          </w:p>
        </w:tc>
        <w:tc>
          <w:tcPr>
            <w:tcW w:w="2071" w:type="dxa"/>
            <w:tcBorders>
              <w:top w:val="nil"/>
              <w:left w:val="nil"/>
              <w:bottom w:val="nil"/>
              <w:right w:val="nil"/>
            </w:tcBorders>
            <w:shd w:val="clear" w:color="auto" w:fill="auto"/>
          </w:tcPr>
          <w:p w14:paraId="3115D3C8"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0.007</w:t>
            </w:r>
          </w:p>
        </w:tc>
        <w:tc>
          <w:tcPr>
            <w:tcW w:w="2071" w:type="dxa"/>
            <w:tcBorders>
              <w:top w:val="nil"/>
              <w:left w:val="nil"/>
              <w:bottom w:val="nil"/>
              <w:right w:val="nil"/>
            </w:tcBorders>
            <w:shd w:val="clear" w:color="auto" w:fill="auto"/>
          </w:tcPr>
          <w:p w14:paraId="2D6A7B4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0.007</w:t>
            </w:r>
          </w:p>
        </w:tc>
      </w:tr>
      <w:tr w:rsidR="00892142" w:rsidRPr="004153B4" w14:paraId="370FF956" w14:textId="77777777" w:rsidTr="00770BD5">
        <w:trPr>
          <w:trHeight w:val="248"/>
          <w:jc w:val="center"/>
        </w:trPr>
        <w:tc>
          <w:tcPr>
            <w:tcW w:w="2662" w:type="dxa"/>
            <w:tcBorders>
              <w:top w:val="nil"/>
              <w:left w:val="nil"/>
              <w:bottom w:val="nil"/>
              <w:right w:val="nil"/>
            </w:tcBorders>
          </w:tcPr>
          <w:p w14:paraId="117BA1F8"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Australia</w:t>
            </w:r>
          </w:p>
        </w:tc>
        <w:tc>
          <w:tcPr>
            <w:tcW w:w="2071" w:type="dxa"/>
            <w:tcBorders>
              <w:top w:val="nil"/>
              <w:left w:val="nil"/>
              <w:bottom w:val="nil"/>
              <w:right w:val="nil"/>
            </w:tcBorders>
            <w:shd w:val="clear" w:color="auto" w:fill="auto"/>
          </w:tcPr>
          <w:p w14:paraId="4F0157F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2.210</w:t>
            </w:r>
          </w:p>
        </w:tc>
        <w:tc>
          <w:tcPr>
            <w:tcW w:w="2071" w:type="dxa"/>
            <w:tcBorders>
              <w:top w:val="nil"/>
              <w:left w:val="nil"/>
              <w:bottom w:val="nil"/>
              <w:right w:val="nil"/>
            </w:tcBorders>
            <w:shd w:val="clear" w:color="auto" w:fill="auto"/>
          </w:tcPr>
          <w:p w14:paraId="0197C93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2.155</w:t>
            </w:r>
          </w:p>
        </w:tc>
      </w:tr>
      <w:tr w:rsidR="00892142" w:rsidRPr="004153B4" w14:paraId="76A7643D" w14:textId="77777777" w:rsidTr="00770BD5">
        <w:trPr>
          <w:trHeight w:val="248"/>
          <w:jc w:val="center"/>
        </w:trPr>
        <w:tc>
          <w:tcPr>
            <w:tcW w:w="2662" w:type="dxa"/>
            <w:tcBorders>
              <w:top w:val="nil"/>
              <w:left w:val="nil"/>
              <w:bottom w:val="nil"/>
              <w:right w:val="nil"/>
            </w:tcBorders>
          </w:tcPr>
          <w:p w14:paraId="7ADD195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Austria</w:t>
            </w:r>
          </w:p>
        </w:tc>
        <w:tc>
          <w:tcPr>
            <w:tcW w:w="2071" w:type="dxa"/>
            <w:tcBorders>
              <w:top w:val="nil"/>
              <w:left w:val="nil"/>
              <w:bottom w:val="nil"/>
              <w:right w:val="nil"/>
            </w:tcBorders>
            <w:shd w:val="clear" w:color="auto" w:fill="auto"/>
          </w:tcPr>
          <w:p w14:paraId="0F22977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0.677</w:t>
            </w:r>
          </w:p>
        </w:tc>
        <w:tc>
          <w:tcPr>
            <w:tcW w:w="2071" w:type="dxa"/>
            <w:tcBorders>
              <w:top w:val="nil"/>
              <w:left w:val="nil"/>
              <w:bottom w:val="nil"/>
              <w:right w:val="nil"/>
            </w:tcBorders>
            <w:shd w:val="clear" w:color="auto" w:fill="auto"/>
          </w:tcPr>
          <w:p w14:paraId="3D18ACBB"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0.660</w:t>
            </w:r>
          </w:p>
        </w:tc>
      </w:tr>
      <w:tr w:rsidR="00892142" w:rsidRPr="004153B4" w14:paraId="1BE85FF0" w14:textId="77777777" w:rsidTr="00770BD5">
        <w:trPr>
          <w:trHeight w:val="248"/>
          <w:jc w:val="center"/>
        </w:trPr>
        <w:tc>
          <w:tcPr>
            <w:tcW w:w="2662" w:type="dxa"/>
            <w:tcBorders>
              <w:top w:val="nil"/>
              <w:left w:val="nil"/>
              <w:bottom w:val="nil"/>
              <w:right w:val="nil"/>
            </w:tcBorders>
          </w:tcPr>
          <w:p w14:paraId="0EBD5DFE"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Azerbaijan</w:t>
            </w:r>
          </w:p>
        </w:tc>
        <w:tc>
          <w:tcPr>
            <w:tcW w:w="2071" w:type="dxa"/>
            <w:tcBorders>
              <w:top w:val="nil"/>
              <w:left w:val="nil"/>
              <w:bottom w:val="nil"/>
              <w:right w:val="nil"/>
            </w:tcBorders>
            <w:shd w:val="clear" w:color="auto" w:fill="auto"/>
          </w:tcPr>
          <w:p w14:paraId="11CB870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0.049</w:t>
            </w:r>
          </w:p>
        </w:tc>
        <w:tc>
          <w:tcPr>
            <w:tcW w:w="2071" w:type="dxa"/>
            <w:tcBorders>
              <w:top w:val="nil"/>
              <w:left w:val="nil"/>
              <w:bottom w:val="nil"/>
              <w:right w:val="nil"/>
            </w:tcBorders>
            <w:shd w:val="clear" w:color="auto" w:fill="auto"/>
          </w:tcPr>
          <w:p w14:paraId="4808FD40"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0.048</w:t>
            </w:r>
          </w:p>
        </w:tc>
      </w:tr>
      <w:tr w:rsidR="00892142" w:rsidRPr="004153B4" w14:paraId="60A6BB41" w14:textId="77777777" w:rsidTr="00770BD5">
        <w:trPr>
          <w:trHeight w:val="248"/>
          <w:jc w:val="center"/>
        </w:trPr>
        <w:tc>
          <w:tcPr>
            <w:tcW w:w="2662" w:type="dxa"/>
            <w:tcBorders>
              <w:top w:val="nil"/>
              <w:left w:val="nil"/>
              <w:bottom w:val="nil"/>
              <w:right w:val="nil"/>
            </w:tcBorders>
          </w:tcPr>
          <w:p w14:paraId="3CB52BF1"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Bahamas</w:t>
            </w:r>
          </w:p>
        </w:tc>
        <w:tc>
          <w:tcPr>
            <w:tcW w:w="2071" w:type="dxa"/>
            <w:tcBorders>
              <w:top w:val="nil"/>
              <w:left w:val="nil"/>
              <w:bottom w:val="nil"/>
              <w:right w:val="nil"/>
            </w:tcBorders>
            <w:shd w:val="clear" w:color="auto" w:fill="auto"/>
          </w:tcPr>
          <w:p w14:paraId="0D638768"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0.018</w:t>
            </w:r>
          </w:p>
        </w:tc>
        <w:tc>
          <w:tcPr>
            <w:tcW w:w="2071" w:type="dxa"/>
            <w:tcBorders>
              <w:top w:val="nil"/>
              <w:left w:val="nil"/>
              <w:bottom w:val="nil"/>
              <w:right w:val="nil"/>
            </w:tcBorders>
            <w:shd w:val="clear" w:color="auto" w:fill="auto"/>
          </w:tcPr>
          <w:p w14:paraId="3E4E65D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0.018</w:t>
            </w:r>
          </w:p>
        </w:tc>
      </w:tr>
      <w:tr w:rsidR="00892142" w:rsidRPr="004153B4" w14:paraId="0E7EB8FE" w14:textId="77777777" w:rsidTr="00770BD5">
        <w:trPr>
          <w:trHeight w:val="248"/>
          <w:jc w:val="center"/>
        </w:trPr>
        <w:tc>
          <w:tcPr>
            <w:tcW w:w="2662" w:type="dxa"/>
            <w:tcBorders>
              <w:top w:val="nil"/>
              <w:left w:val="nil"/>
              <w:bottom w:val="nil"/>
              <w:right w:val="nil"/>
            </w:tcBorders>
          </w:tcPr>
          <w:p w14:paraId="776AA2F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Bahrain</w:t>
            </w:r>
          </w:p>
        </w:tc>
        <w:tc>
          <w:tcPr>
            <w:tcW w:w="2071" w:type="dxa"/>
            <w:tcBorders>
              <w:top w:val="nil"/>
              <w:left w:val="nil"/>
              <w:bottom w:val="nil"/>
              <w:right w:val="nil"/>
            </w:tcBorders>
            <w:shd w:val="clear" w:color="auto" w:fill="auto"/>
          </w:tcPr>
          <w:p w14:paraId="50FC108A"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0.050</w:t>
            </w:r>
          </w:p>
        </w:tc>
        <w:tc>
          <w:tcPr>
            <w:tcW w:w="2071" w:type="dxa"/>
            <w:tcBorders>
              <w:top w:val="nil"/>
              <w:left w:val="nil"/>
              <w:bottom w:val="nil"/>
              <w:right w:val="nil"/>
            </w:tcBorders>
            <w:shd w:val="clear" w:color="auto" w:fill="auto"/>
          </w:tcPr>
          <w:p w14:paraId="71135A5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0.049</w:t>
            </w:r>
          </w:p>
        </w:tc>
      </w:tr>
      <w:tr w:rsidR="00892142" w:rsidRPr="004153B4" w14:paraId="587E3FEF" w14:textId="77777777" w:rsidTr="00770BD5">
        <w:trPr>
          <w:trHeight w:val="248"/>
          <w:jc w:val="center"/>
        </w:trPr>
        <w:tc>
          <w:tcPr>
            <w:tcW w:w="2662" w:type="dxa"/>
            <w:tcBorders>
              <w:top w:val="nil"/>
              <w:left w:val="nil"/>
              <w:bottom w:val="nil"/>
              <w:right w:val="nil"/>
            </w:tcBorders>
          </w:tcPr>
          <w:p w14:paraId="2E8BB108"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Bangladesh</w:t>
            </w:r>
          </w:p>
        </w:tc>
        <w:tc>
          <w:tcPr>
            <w:tcW w:w="2071" w:type="dxa"/>
            <w:tcBorders>
              <w:top w:val="nil"/>
              <w:left w:val="nil"/>
              <w:bottom w:val="nil"/>
              <w:right w:val="nil"/>
            </w:tcBorders>
            <w:shd w:val="clear" w:color="auto" w:fill="auto"/>
          </w:tcPr>
          <w:p w14:paraId="401341B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0.010</w:t>
            </w:r>
          </w:p>
        </w:tc>
        <w:tc>
          <w:tcPr>
            <w:tcW w:w="2071" w:type="dxa"/>
            <w:tcBorders>
              <w:top w:val="nil"/>
              <w:left w:val="nil"/>
              <w:bottom w:val="nil"/>
              <w:right w:val="nil"/>
            </w:tcBorders>
            <w:shd w:val="clear" w:color="auto" w:fill="auto"/>
          </w:tcPr>
          <w:p w14:paraId="3DCC0F93"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0.010</w:t>
            </w:r>
          </w:p>
        </w:tc>
      </w:tr>
      <w:tr w:rsidR="00892142" w:rsidRPr="004153B4" w14:paraId="25DDCA0F" w14:textId="77777777" w:rsidTr="00770BD5">
        <w:trPr>
          <w:trHeight w:val="248"/>
          <w:jc w:val="center"/>
        </w:trPr>
        <w:tc>
          <w:tcPr>
            <w:tcW w:w="2662" w:type="dxa"/>
            <w:tcBorders>
              <w:top w:val="nil"/>
              <w:left w:val="nil"/>
              <w:bottom w:val="nil"/>
              <w:right w:val="nil"/>
            </w:tcBorders>
          </w:tcPr>
          <w:p w14:paraId="7E67A33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Barbados</w:t>
            </w:r>
          </w:p>
        </w:tc>
        <w:tc>
          <w:tcPr>
            <w:tcW w:w="2071" w:type="dxa"/>
            <w:tcBorders>
              <w:top w:val="nil"/>
              <w:left w:val="nil"/>
              <w:bottom w:val="nil"/>
              <w:right w:val="nil"/>
            </w:tcBorders>
            <w:shd w:val="clear" w:color="auto" w:fill="auto"/>
          </w:tcPr>
          <w:p w14:paraId="68EE5F2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0.007</w:t>
            </w:r>
          </w:p>
        </w:tc>
        <w:tc>
          <w:tcPr>
            <w:tcW w:w="2071" w:type="dxa"/>
            <w:tcBorders>
              <w:top w:val="nil"/>
              <w:left w:val="nil"/>
              <w:bottom w:val="nil"/>
              <w:right w:val="nil"/>
            </w:tcBorders>
            <w:shd w:val="clear" w:color="auto" w:fill="auto"/>
          </w:tcPr>
          <w:p w14:paraId="1BC66A0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0.007</w:t>
            </w:r>
          </w:p>
        </w:tc>
      </w:tr>
      <w:tr w:rsidR="00892142" w:rsidRPr="004153B4" w14:paraId="3E955205" w14:textId="77777777" w:rsidTr="00770BD5">
        <w:trPr>
          <w:trHeight w:val="248"/>
          <w:jc w:val="center"/>
        </w:trPr>
        <w:tc>
          <w:tcPr>
            <w:tcW w:w="2662" w:type="dxa"/>
            <w:tcBorders>
              <w:top w:val="nil"/>
              <w:left w:val="nil"/>
              <w:bottom w:val="nil"/>
              <w:right w:val="nil"/>
            </w:tcBorders>
          </w:tcPr>
          <w:p w14:paraId="489D7A8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Belarus</w:t>
            </w:r>
          </w:p>
        </w:tc>
        <w:tc>
          <w:tcPr>
            <w:tcW w:w="2071" w:type="dxa"/>
            <w:tcBorders>
              <w:top w:val="nil"/>
              <w:left w:val="nil"/>
              <w:bottom w:val="nil"/>
              <w:right w:val="nil"/>
            </w:tcBorders>
            <w:shd w:val="clear" w:color="auto" w:fill="auto"/>
          </w:tcPr>
          <w:p w14:paraId="5C72D8D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0.049</w:t>
            </w:r>
          </w:p>
        </w:tc>
        <w:tc>
          <w:tcPr>
            <w:tcW w:w="2071" w:type="dxa"/>
            <w:tcBorders>
              <w:top w:val="nil"/>
              <w:left w:val="nil"/>
              <w:bottom w:val="nil"/>
              <w:right w:val="nil"/>
            </w:tcBorders>
            <w:shd w:val="clear" w:color="auto" w:fill="auto"/>
          </w:tcPr>
          <w:p w14:paraId="3CF5D91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0.048</w:t>
            </w:r>
          </w:p>
        </w:tc>
      </w:tr>
      <w:tr w:rsidR="00892142" w:rsidRPr="004153B4" w14:paraId="784A6ADB" w14:textId="77777777" w:rsidTr="00770BD5">
        <w:trPr>
          <w:trHeight w:val="248"/>
          <w:jc w:val="center"/>
        </w:trPr>
        <w:tc>
          <w:tcPr>
            <w:tcW w:w="2662" w:type="dxa"/>
            <w:tcBorders>
              <w:top w:val="nil"/>
              <w:left w:val="nil"/>
              <w:bottom w:val="nil"/>
              <w:right w:val="nil"/>
            </w:tcBorders>
          </w:tcPr>
          <w:p w14:paraId="0178526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Belgium</w:t>
            </w:r>
          </w:p>
        </w:tc>
        <w:tc>
          <w:tcPr>
            <w:tcW w:w="2071" w:type="dxa"/>
            <w:tcBorders>
              <w:top w:val="nil"/>
              <w:left w:val="nil"/>
              <w:bottom w:val="nil"/>
              <w:right w:val="nil"/>
            </w:tcBorders>
            <w:shd w:val="clear" w:color="auto" w:fill="auto"/>
          </w:tcPr>
          <w:p w14:paraId="7FFED37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0.821</w:t>
            </w:r>
          </w:p>
        </w:tc>
        <w:tc>
          <w:tcPr>
            <w:tcW w:w="2071" w:type="dxa"/>
            <w:tcBorders>
              <w:top w:val="nil"/>
              <w:left w:val="nil"/>
              <w:bottom w:val="nil"/>
              <w:right w:val="nil"/>
            </w:tcBorders>
            <w:shd w:val="clear" w:color="auto" w:fill="auto"/>
          </w:tcPr>
          <w:p w14:paraId="6E02B0E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0.800</w:t>
            </w:r>
          </w:p>
        </w:tc>
      </w:tr>
      <w:tr w:rsidR="00892142" w:rsidRPr="004153B4" w14:paraId="6070F629" w14:textId="77777777" w:rsidTr="00770BD5">
        <w:trPr>
          <w:trHeight w:val="248"/>
          <w:jc w:val="center"/>
        </w:trPr>
        <w:tc>
          <w:tcPr>
            <w:tcW w:w="2662" w:type="dxa"/>
            <w:tcBorders>
              <w:top w:val="nil"/>
              <w:left w:val="nil"/>
              <w:bottom w:val="nil"/>
              <w:right w:val="nil"/>
            </w:tcBorders>
          </w:tcPr>
          <w:p w14:paraId="59F25003"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Belize</w:t>
            </w:r>
          </w:p>
        </w:tc>
        <w:tc>
          <w:tcPr>
            <w:tcW w:w="2071" w:type="dxa"/>
            <w:tcBorders>
              <w:top w:val="nil"/>
              <w:left w:val="nil"/>
              <w:bottom w:val="nil"/>
              <w:right w:val="nil"/>
            </w:tcBorders>
            <w:shd w:val="clear" w:color="auto" w:fill="auto"/>
          </w:tcPr>
          <w:p w14:paraId="3FF4780E"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20AE795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712F3366" w14:textId="77777777" w:rsidTr="00770BD5">
        <w:trPr>
          <w:trHeight w:val="248"/>
          <w:jc w:val="center"/>
        </w:trPr>
        <w:tc>
          <w:tcPr>
            <w:tcW w:w="2662" w:type="dxa"/>
            <w:tcBorders>
              <w:top w:val="nil"/>
              <w:left w:val="nil"/>
              <w:bottom w:val="nil"/>
              <w:right w:val="nil"/>
            </w:tcBorders>
          </w:tcPr>
          <w:p w14:paraId="68A065A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Benin</w:t>
            </w:r>
          </w:p>
        </w:tc>
        <w:tc>
          <w:tcPr>
            <w:tcW w:w="2071" w:type="dxa"/>
            <w:tcBorders>
              <w:top w:val="nil"/>
              <w:left w:val="nil"/>
              <w:bottom w:val="nil"/>
              <w:right w:val="nil"/>
            </w:tcBorders>
            <w:shd w:val="clear" w:color="auto" w:fill="auto"/>
          </w:tcPr>
          <w:p w14:paraId="6C687A9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0.003</w:t>
            </w:r>
          </w:p>
        </w:tc>
        <w:tc>
          <w:tcPr>
            <w:tcW w:w="2071" w:type="dxa"/>
            <w:tcBorders>
              <w:top w:val="nil"/>
              <w:left w:val="nil"/>
              <w:bottom w:val="nil"/>
              <w:right w:val="nil"/>
            </w:tcBorders>
            <w:shd w:val="clear" w:color="auto" w:fill="auto"/>
          </w:tcPr>
          <w:p w14:paraId="7F33617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0.003</w:t>
            </w:r>
          </w:p>
        </w:tc>
      </w:tr>
      <w:tr w:rsidR="00892142" w:rsidRPr="004153B4" w14:paraId="3B91E8C5" w14:textId="77777777" w:rsidTr="00770BD5">
        <w:trPr>
          <w:trHeight w:val="248"/>
          <w:jc w:val="center"/>
        </w:trPr>
        <w:tc>
          <w:tcPr>
            <w:tcW w:w="2662" w:type="dxa"/>
            <w:tcBorders>
              <w:top w:val="nil"/>
              <w:left w:val="nil"/>
              <w:bottom w:val="nil"/>
              <w:right w:val="nil"/>
            </w:tcBorders>
          </w:tcPr>
          <w:p w14:paraId="3AD3C52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Bhutan</w:t>
            </w:r>
          </w:p>
        </w:tc>
        <w:tc>
          <w:tcPr>
            <w:tcW w:w="2071" w:type="dxa"/>
            <w:tcBorders>
              <w:top w:val="nil"/>
              <w:left w:val="nil"/>
              <w:bottom w:val="nil"/>
              <w:right w:val="nil"/>
            </w:tcBorders>
            <w:shd w:val="clear" w:color="auto" w:fill="auto"/>
          </w:tcPr>
          <w:p w14:paraId="693FD8D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516F72BF"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5399685B" w14:textId="77777777" w:rsidTr="00770BD5">
        <w:trPr>
          <w:trHeight w:val="248"/>
          <w:jc w:val="center"/>
        </w:trPr>
        <w:tc>
          <w:tcPr>
            <w:tcW w:w="2662" w:type="dxa"/>
            <w:tcBorders>
              <w:top w:val="nil"/>
              <w:left w:val="nil"/>
              <w:bottom w:val="nil"/>
              <w:right w:val="nil"/>
            </w:tcBorders>
          </w:tcPr>
          <w:p w14:paraId="679BB02C"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Bolivia (Plurinational State of)</w:t>
            </w:r>
          </w:p>
        </w:tc>
        <w:tc>
          <w:tcPr>
            <w:tcW w:w="2071" w:type="dxa"/>
            <w:tcBorders>
              <w:top w:val="nil"/>
              <w:left w:val="nil"/>
              <w:bottom w:val="nil"/>
              <w:right w:val="nil"/>
            </w:tcBorders>
            <w:shd w:val="clear" w:color="auto" w:fill="auto"/>
          </w:tcPr>
          <w:p w14:paraId="5AC2635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0.016</w:t>
            </w:r>
          </w:p>
        </w:tc>
        <w:tc>
          <w:tcPr>
            <w:tcW w:w="2071" w:type="dxa"/>
            <w:tcBorders>
              <w:top w:val="nil"/>
              <w:left w:val="nil"/>
              <w:bottom w:val="nil"/>
              <w:right w:val="nil"/>
            </w:tcBorders>
            <w:shd w:val="clear" w:color="auto" w:fill="auto"/>
          </w:tcPr>
          <w:p w14:paraId="6E692AB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0.016</w:t>
            </w:r>
          </w:p>
        </w:tc>
      </w:tr>
      <w:tr w:rsidR="00892142" w:rsidRPr="004153B4" w14:paraId="0FD45925" w14:textId="77777777" w:rsidTr="00770BD5">
        <w:trPr>
          <w:trHeight w:val="248"/>
          <w:jc w:val="center"/>
        </w:trPr>
        <w:tc>
          <w:tcPr>
            <w:tcW w:w="2662" w:type="dxa"/>
            <w:tcBorders>
              <w:top w:val="nil"/>
              <w:left w:val="nil"/>
              <w:bottom w:val="nil"/>
              <w:right w:val="nil"/>
            </w:tcBorders>
          </w:tcPr>
          <w:p w14:paraId="3F4540D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Bosnia and Herzegovina</w:t>
            </w:r>
          </w:p>
        </w:tc>
        <w:tc>
          <w:tcPr>
            <w:tcW w:w="2071" w:type="dxa"/>
            <w:tcBorders>
              <w:top w:val="nil"/>
              <w:left w:val="nil"/>
              <w:bottom w:val="nil"/>
              <w:right w:val="nil"/>
            </w:tcBorders>
            <w:shd w:val="clear" w:color="auto" w:fill="auto"/>
          </w:tcPr>
          <w:p w14:paraId="5ED5C43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0.012</w:t>
            </w:r>
          </w:p>
        </w:tc>
        <w:tc>
          <w:tcPr>
            <w:tcW w:w="2071" w:type="dxa"/>
            <w:tcBorders>
              <w:top w:val="nil"/>
              <w:left w:val="nil"/>
              <w:bottom w:val="nil"/>
              <w:right w:val="nil"/>
            </w:tcBorders>
            <w:shd w:val="clear" w:color="auto" w:fill="auto"/>
          </w:tcPr>
          <w:p w14:paraId="49D51D5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0.012</w:t>
            </w:r>
          </w:p>
        </w:tc>
      </w:tr>
      <w:tr w:rsidR="00892142" w:rsidRPr="004153B4" w14:paraId="5E93546D" w14:textId="77777777" w:rsidTr="00770BD5">
        <w:trPr>
          <w:trHeight w:val="248"/>
          <w:jc w:val="center"/>
        </w:trPr>
        <w:tc>
          <w:tcPr>
            <w:tcW w:w="2662" w:type="dxa"/>
            <w:tcBorders>
              <w:top w:val="nil"/>
              <w:left w:val="nil"/>
              <w:bottom w:val="nil"/>
              <w:right w:val="nil"/>
            </w:tcBorders>
          </w:tcPr>
          <w:p w14:paraId="606CAA8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Botswana</w:t>
            </w:r>
          </w:p>
        </w:tc>
        <w:tc>
          <w:tcPr>
            <w:tcW w:w="2071" w:type="dxa"/>
            <w:tcBorders>
              <w:top w:val="nil"/>
              <w:left w:val="nil"/>
              <w:bottom w:val="nil"/>
              <w:right w:val="nil"/>
            </w:tcBorders>
            <w:shd w:val="clear" w:color="auto" w:fill="auto"/>
          </w:tcPr>
          <w:p w14:paraId="43D788F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0.014</w:t>
            </w:r>
          </w:p>
        </w:tc>
        <w:tc>
          <w:tcPr>
            <w:tcW w:w="2071" w:type="dxa"/>
            <w:tcBorders>
              <w:top w:val="nil"/>
              <w:left w:val="nil"/>
              <w:bottom w:val="nil"/>
              <w:right w:val="nil"/>
            </w:tcBorders>
            <w:shd w:val="clear" w:color="auto" w:fill="auto"/>
          </w:tcPr>
          <w:p w14:paraId="3EAF1A5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0.014</w:t>
            </w:r>
          </w:p>
        </w:tc>
      </w:tr>
      <w:tr w:rsidR="00892142" w:rsidRPr="004153B4" w14:paraId="697BD388" w14:textId="77777777" w:rsidTr="00770BD5">
        <w:trPr>
          <w:trHeight w:val="248"/>
          <w:jc w:val="center"/>
        </w:trPr>
        <w:tc>
          <w:tcPr>
            <w:tcW w:w="2662" w:type="dxa"/>
            <w:tcBorders>
              <w:top w:val="nil"/>
              <w:left w:val="nil"/>
              <w:bottom w:val="nil"/>
              <w:right w:val="nil"/>
            </w:tcBorders>
          </w:tcPr>
          <w:p w14:paraId="551AAFF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Brazil</w:t>
            </w:r>
          </w:p>
        </w:tc>
        <w:tc>
          <w:tcPr>
            <w:tcW w:w="2071" w:type="dxa"/>
            <w:tcBorders>
              <w:top w:val="nil"/>
              <w:left w:val="nil"/>
              <w:bottom w:val="nil"/>
              <w:right w:val="nil"/>
            </w:tcBorders>
            <w:shd w:val="clear" w:color="auto" w:fill="auto"/>
          </w:tcPr>
          <w:p w14:paraId="7BDE674E"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2.948</w:t>
            </w:r>
          </w:p>
        </w:tc>
        <w:tc>
          <w:tcPr>
            <w:tcW w:w="2071" w:type="dxa"/>
            <w:tcBorders>
              <w:top w:val="nil"/>
              <w:left w:val="nil"/>
              <w:bottom w:val="nil"/>
              <w:right w:val="nil"/>
            </w:tcBorders>
            <w:shd w:val="clear" w:color="auto" w:fill="auto"/>
          </w:tcPr>
          <w:p w14:paraId="1E2E18D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2.874</w:t>
            </w:r>
          </w:p>
        </w:tc>
      </w:tr>
      <w:tr w:rsidR="00892142" w:rsidRPr="004153B4" w14:paraId="44503A80" w14:textId="77777777" w:rsidTr="00770BD5">
        <w:trPr>
          <w:trHeight w:val="248"/>
          <w:jc w:val="center"/>
        </w:trPr>
        <w:tc>
          <w:tcPr>
            <w:tcW w:w="2662" w:type="dxa"/>
            <w:tcBorders>
              <w:top w:val="nil"/>
              <w:left w:val="nil"/>
              <w:bottom w:val="nil"/>
              <w:right w:val="nil"/>
            </w:tcBorders>
          </w:tcPr>
          <w:p w14:paraId="4E6F0A08" w14:textId="77777777" w:rsidR="00892142" w:rsidRPr="004153B4" w:rsidRDefault="00892142" w:rsidP="00887556">
            <w:pPr>
              <w:suppressAutoHyphens w:val="0"/>
              <w:spacing w:line="240" w:lineRule="auto"/>
              <w:ind w:left="360" w:hanging="360"/>
              <w:rPr>
                <w:rFonts w:eastAsia="MS Mincho"/>
                <w:color w:val="000000"/>
                <w:sz w:val="18"/>
                <w:szCs w:val="18"/>
                <w:lang w:eastAsia="de-DE"/>
              </w:rPr>
            </w:pPr>
            <w:r w:rsidRPr="004153B4">
              <w:rPr>
                <w:rFonts w:eastAsia="MS Mincho"/>
                <w:color w:val="000000"/>
                <w:sz w:val="18"/>
                <w:szCs w:val="18"/>
                <w:lang w:eastAsia="de-DE"/>
              </w:rPr>
              <w:t>Brunei Darussalam</w:t>
            </w:r>
          </w:p>
        </w:tc>
        <w:tc>
          <w:tcPr>
            <w:tcW w:w="2071" w:type="dxa"/>
            <w:tcBorders>
              <w:top w:val="nil"/>
              <w:left w:val="nil"/>
              <w:bottom w:val="nil"/>
              <w:right w:val="nil"/>
            </w:tcBorders>
            <w:shd w:val="clear" w:color="auto" w:fill="auto"/>
          </w:tcPr>
          <w:p w14:paraId="14E0B7E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0.025</w:t>
            </w:r>
          </w:p>
        </w:tc>
        <w:tc>
          <w:tcPr>
            <w:tcW w:w="2071" w:type="dxa"/>
            <w:tcBorders>
              <w:top w:val="nil"/>
              <w:left w:val="nil"/>
              <w:bottom w:val="nil"/>
              <w:right w:val="nil"/>
            </w:tcBorders>
            <w:shd w:val="clear" w:color="auto" w:fill="auto"/>
          </w:tcPr>
          <w:p w14:paraId="0BFB5749"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0.024</w:t>
            </w:r>
          </w:p>
        </w:tc>
      </w:tr>
      <w:tr w:rsidR="00892142" w:rsidRPr="004153B4" w14:paraId="68DDDBBD" w14:textId="77777777" w:rsidTr="00770BD5">
        <w:trPr>
          <w:trHeight w:val="248"/>
          <w:jc w:val="center"/>
        </w:trPr>
        <w:tc>
          <w:tcPr>
            <w:tcW w:w="2662" w:type="dxa"/>
            <w:tcBorders>
              <w:top w:val="nil"/>
              <w:left w:val="nil"/>
              <w:bottom w:val="nil"/>
              <w:right w:val="nil"/>
            </w:tcBorders>
          </w:tcPr>
          <w:p w14:paraId="54E11611"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Bulgaria</w:t>
            </w:r>
          </w:p>
        </w:tc>
        <w:tc>
          <w:tcPr>
            <w:tcW w:w="2071" w:type="dxa"/>
            <w:tcBorders>
              <w:top w:val="nil"/>
              <w:left w:val="nil"/>
              <w:bottom w:val="nil"/>
              <w:right w:val="nil"/>
            </w:tcBorders>
            <w:shd w:val="clear" w:color="auto" w:fill="auto"/>
          </w:tcPr>
          <w:p w14:paraId="5A1874A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0.046</w:t>
            </w:r>
          </w:p>
        </w:tc>
        <w:tc>
          <w:tcPr>
            <w:tcW w:w="2071" w:type="dxa"/>
            <w:tcBorders>
              <w:top w:val="nil"/>
              <w:left w:val="nil"/>
              <w:bottom w:val="nil"/>
              <w:right w:val="nil"/>
            </w:tcBorders>
            <w:shd w:val="clear" w:color="auto" w:fill="auto"/>
          </w:tcPr>
          <w:p w14:paraId="773FE269"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0.045</w:t>
            </w:r>
          </w:p>
        </w:tc>
      </w:tr>
      <w:tr w:rsidR="00892142" w:rsidRPr="004153B4" w14:paraId="2ED6FF21" w14:textId="77777777" w:rsidTr="00770BD5">
        <w:trPr>
          <w:trHeight w:val="248"/>
          <w:jc w:val="center"/>
        </w:trPr>
        <w:tc>
          <w:tcPr>
            <w:tcW w:w="2662" w:type="dxa"/>
            <w:tcBorders>
              <w:top w:val="nil"/>
              <w:left w:val="nil"/>
              <w:bottom w:val="nil"/>
              <w:right w:val="nil"/>
            </w:tcBorders>
          </w:tcPr>
          <w:p w14:paraId="2243DCC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Burkina Faso</w:t>
            </w:r>
          </w:p>
        </w:tc>
        <w:tc>
          <w:tcPr>
            <w:tcW w:w="2071" w:type="dxa"/>
            <w:tcBorders>
              <w:top w:val="nil"/>
              <w:left w:val="nil"/>
              <w:bottom w:val="nil"/>
              <w:right w:val="nil"/>
            </w:tcBorders>
            <w:shd w:val="clear" w:color="auto" w:fill="auto"/>
          </w:tcPr>
          <w:p w14:paraId="207935C1"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0.003</w:t>
            </w:r>
          </w:p>
        </w:tc>
        <w:tc>
          <w:tcPr>
            <w:tcW w:w="2071" w:type="dxa"/>
            <w:tcBorders>
              <w:top w:val="nil"/>
              <w:left w:val="nil"/>
              <w:bottom w:val="nil"/>
              <w:right w:val="nil"/>
            </w:tcBorders>
            <w:shd w:val="clear" w:color="auto" w:fill="auto"/>
          </w:tcPr>
          <w:p w14:paraId="650FEBD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0.003</w:t>
            </w:r>
          </w:p>
        </w:tc>
      </w:tr>
      <w:tr w:rsidR="00892142" w:rsidRPr="004153B4" w14:paraId="7F8AF8C3" w14:textId="77777777" w:rsidTr="00770BD5">
        <w:trPr>
          <w:trHeight w:val="248"/>
          <w:jc w:val="center"/>
        </w:trPr>
        <w:tc>
          <w:tcPr>
            <w:tcW w:w="2662" w:type="dxa"/>
            <w:tcBorders>
              <w:top w:val="nil"/>
              <w:left w:val="nil"/>
              <w:bottom w:val="nil"/>
              <w:right w:val="nil"/>
            </w:tcBorders>
          </w:tcPr>
          <w:p w14:paraId="09066A0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Burundi</w:t>
            </w:r>
          </w:p>
        </w:tc>
        <w:tc>
          <w:tcPr>
            <w:tcW w:w="2071" w:type="dxa"/>
            <w:tcBorders>
              <w:top w:val="nil"/>
              <w:left w:val="nil"/>
              <w:bottom w:val="nil"/>
              <w:right w:val="nil"/>
            </w:tcBorders>
            <w:shd w:val="clear" w:color="auto" w:fill="auto"/>
          </w:tcPr>
          <w:p w14:paraId="561E94F7"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6E459C5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1C05DF9D" w14:textId="77777777" w:rsidTr="00770BD5">
        <w:trPr>
          <w:trHeight w:val="248"/>
          <w:jc w:val="center"/>
        </w:trPr>
        <w:tc>
          <w:tcPr>
            <w:tcW w:w="2662" w:type="dxa"/>
            <w:tcBorders>
              <w:top w:val="nil"/>
              <w:left w:val="nil"/>
              <w:bottom w:val="nil"/>
              <w:right w:val="nil"/>
            </w:tcBorders>
          </w:tcPr>
          <w:p w14:paraId="11763E2A" w14:textId="77777777" w:rsidR="00892142" w:rsidRPr="004153B4" w:rsidRDefault="00892142" w:rsidP="00887556">
            <w:pPr>
              <w:suppressAutoHyphens w:val="0"/>
              <w:spacing w:line="240" w:lineRule="auto"/>
              <w:ind w:left="360" w:hanging="360"/>
              <w:rPr>
                <w:rFonts w:eastAsia="MS Mincho"/>
                <w:color w:val="000000"/>
                <w:sz w:val="18"/>
                <w:szCs w:val="18"/>
                <w:lang w:eastAsia="de-DE"/>
              </w:rPr>
            </w:pPr>
            <w:r w:rsidRPr="004153B4">
              <w:rPr>
                <w:rFonts w:eastAsia="MS Mincho"/>
                <w:color w:val="000000"/>
                <w:sz w:val="18"/>
                <w:szCs w:val="18"/>
                <w:lang w:eastAsia="de-DE"/>
              </w:rPr>
              <w:t>Cabo Verde</w:t>
            </w:r>
          </w:p>
        </w:tc>
        <w:tc>
          <w:tcPr>
            <w:tcW w:w="2071" w:type="dxa"/>
            <w:tcBorders>
              <w:top w:val="nil"/>
              <w:left w:val="nil"/>
              <w:bottom w:val="nil"/>
              <w:right w:val="nil"/>
            </w:tcBorders>
            <w:shd w:val="clear" w:color="auto" w:fill="auto"/>
          </w:tcPr>
          <w:p w14:paraId="003B855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0676F0F0"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6587311D" w14:textId="77777777" w:rsidTr="00770BD5">
        <w:trPr>
          <w:trHeight w:val="248"/>
          <w:jc w:val="center"/>
        </w:trPr>
        <w:tc>
          <w:tcPr>
            <w:tcW w:w="2662" w:type="dxa"/>
            <w:tcBorders>
              <w:top w:val="nil"/>
              <w:left w:val="nil"/>
              <w:bottom w:val="nil"/>
              <w:right w:val="nil"/>
            </w:tcBorders>
          </w:tcPr>
          <w:p w14:paraId="2860434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Cambodia</w:t>
            </w:r>
          </w:p>
        </w:tc>
        <w:tc>
          <w:tcPr>
            <w:tcW w:w="2071" w:type="dxa"/>
            <w:tcBorders>
              <w:top w:val="nil"/>
              <w:left w:val="nil"/>
              <w:bottom w:val="nil"/>
              <w:right w:val="nil"/>
            </w:tcBorders>
            <w:shd w:val="clear" w:color="auto" w:fill="auto"/>
          </w:tcPr>
          <w:p w14:paraId="1001685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0.006</w:t>
            </w:r>
          </w:p>
        </w:tc>
        <w:tc>
          <w:tcPr>
            <w:tcW w:w="2071" w:type="dxa"/>
            <w:tcBorders>
              <w:top w:val="nil"/>
              <w:left w:val="nil"/>
              <w:bottom w:val="nil"/>
              <w:right w:val="nil"/>
            </w:tcBorders>
            <w:shd w:val="clear" w:color="auto" w:fill="auto"/>
          </w:tcPr>
          <w:p w14:paraId="210C077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0.006</w:t>
            </w:r>
          </w:p>
        </w:tc>
      </w:tr>
      <w:tr w:rsidR="00892142" w:rsidRPr="004153B4" w14:paraId="0666A1BF" w14:textId="77777777" w:rsidTr="00770BD5">
        <w:trPr>
          <w:trHeight w:val="248"/>
          <w:jc w:val="center"/>
        </w:trPr>
        <w:tc>
          <w:tcPr>
            <w:tcW w:w="2662" w:type="dxa"/>
            <w:tcBorders>
              <w:top w:val="nil"/>
              <w:left w:val="nil"/>
              <w:bottom w:val="nil"/>
              <w:right w:val="nil"/>
            </w:tcBorders>
          </w:tcPr>
          <w:p w14:paraId="0E7415A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Cameroon</w:t>
            </w:r>
          </w:p>
        </w:tc>
        <w:tc>
          <w:tcPr>
            <w:tcW w:w="2071" w:type="dxa"/>
            <w:tcBorders>
              <w:top w:val="nil"/>
              <w:left w:val="nil"/>
              <w:bottom w:val="nil"/>
              <w:right w:val="nil"/>
            </w:tcBorders>
            <w:shd w:val="clear" w:color="auto" w:fill="auto"/>
          </w:tcPr>
          <w:p w14:paraId="1670011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0.013</w:t>
            </w:r>
          </w:p>
        </w:tc>
        <w:tc>
          <w:tcPr>
            <w:tcW w:w="2071" w:type="dxa"/>
            <w:tcBorders>
              <w:top w:val="nil"/>
              <w:left w:val="nil"/>
              <w:bottom w:val="nil"/>
              <w:right w:val="nil"/>
            </w:tcBorders>
            <w:shd w:val="clear" w:color="auto" w:fill="auto"/>
          </w:tcPr>
          <w:p w14:paraId="61E76DA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0.013</w:t>
            </w:r>
          </w:p>
        </w:tc>
      </w:tr>
      <w:tr w:rsidR="00892142" w:rsidRPr="004153B4" w14:paraId="1D8494FC" w14:textId="77777777" w:rsidTr="00770BD5">
        <w:trPr>
          <w:trHeight w:val="248"/>
          <w:jc w:val="center"/>
        </w:trPr>
        <w:tc>
          <w:tcPr>
            <w:tcW w:w="2662" w:type="dxa"/>
            <w:tcBorders>
              <w:top w:val="nil"/>
              <w:left w:val="nil"/>
              <w:bottom w:val="nil"/>
              <w:right w:val="nil"/>
            </w:tcBorders>
          </w:tcPr>
          <w:p w14:paraId="2A57DC74"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Canada</w:t>
            </w:r>
          </w:p>
        </w:tc>
        <w:tc>
          <w:tcPr>
            <w:tcW w:w="2071" w:type="dxa"/>
            <w:tcBorders>
              <w:top w:val="nil"/>
              <w:left w:val="nil"/>
              <w:bottom w:val="nil"/>
              <w:right w:val="nil"/>
            </w:tcBorders>
            <w:shd w:val="clear" w:color="auto" w:fill="auto"/>
          </w:tcPr>
          <w:p w14:paraId="07B10D3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2.734</w:t>
            </w:r>
          </w:p>
        </w:tc>
        <w:tc>
          <w:tcPr>
            <w:tcW w:w="2071" w:type="dxa"/>
            <w:tcBorders>
              <w:top w:val="nil"/>
              <w:left w:val="nil"/>
              <w:bottom w:val="nil"/>
              <w:right w:val="nil"/>
            </w:tcBorders>
            <w:shd w:val="clear" w:color="auto" w:fill="auto"/>
          </w:tcPr>
          <w:p w14:paraId="2E55680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2.665</w:t>
            </w:r>
          </w:p>
        </w:tc>
      </w:tr>
      <w:tr w:rsidR="00892142" w:rsidRPr="004153B4" w14:paraId="0212FFA0" w14:textId="77777777" w:rsidTr="00770BD5">
        <w:trPr>
          <w:trHeight w:val="248"/>
          <w:jc w:val="center"/>
        </w:trPr>
        <w:tc>
          <w:tcPr>
            <w:tcW w:w="2662" w:type="dxa"/>
            <w:tcBorders>
              <w:top w:val="nil"/>
              <w:left w:val="nil"/>
              <w:bottom w:val="nil"/>
              <w:right w:val="nil"/>
            </w:tcBorders>
          </w:tcPr>
          <w:p w14:paraId="0254431E"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Central African Republic</w:t>
            </w:r>
          </w:p>
        </w:tc>
        <w:tc>
          <w:tcPr>
            <w:tcW w:w="2071" w:type="dxa"/>
            <w:tcBorders>
              <w:top w:val="nil"/>
              <w:left w:val="nil"/>
              <w:bottom w:val="nil"/>
              <w:right w:val="nil"/>
            </w:tcBorders>
            <w:shd w:val="clear" w:color="auto" w:fill="auto"/>
          </w:tcPr>
          <w:p w14:paraId="759F98E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06B8FEC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2301912D" w14:textId="77777777" w:rsidTr="00770BD5">
        <w:trPr>
          <w:trHeight w:val="248"/>
          <w:jc w:val="center"/>
        </w:trPr>
        <w:tc>
          <w:tcPr>
            <w:tcW w:w="2662" w:type="dxa"/>
            <w:tcBorders>
              <w:top w:val="nil"/>
              <w:left w:val="nil"/>
              <w:bottom w:val="nil"/>
              <w:right w:val="nil"/>
            </w:tcBorders>
          </w:tcPr>
          <w:p w14:paraId="2DE53CB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Chad</w:t>
            </w:r>
          </w:p>
        </w:tc>
        <w:tc>
          <w:tcPr>
            <w:tcW w:w="2071" w:type="dxa"/>
            <w:tcBorders>
              <w:top w:val="nil"/>
              <w:left w:val="nil"/>
              <w:bottom w:val="nil"/>
              <w:right w:val="nil"/>
            </w:tcBorders>
            <w:shd w:val="clear" w:color="auto" w:fill="auto"/>
          </w:tcPr>
          <w:p w14:paraId="4E5837E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0.004</w:t>
            </w:r>
          </w:p>
        </w:tc>
        <w:tc>
          <w:tcPr>
            <w:tcW w:w="2071" w:type="dxa"/>
            <w:tcBorders>
              <w:top w:val="nil"/>
              <w:left w:val="nil"/>
              <w:bottom w:val="nil"/>
              <w:right w:val="nil"/>
            </w:tcBorders>
            <w:shd w:val="clear" w:color="auto" w:fill="auto"/>
          </w:tcPr>
          <w:p w14:paraId="296501C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0.004</w:t>
            </w:r>
          </w:p>
        </w:tc>
      </w:tr>
      <w:tr w:rsidR="00892142" w:rsidRPr="004153B4" w14:paraId="78078BB1" w14:textId="77777777" w:rsidTr="00770BD5">
        <w:trPr>
          <w:trHeight w:val="248"/>
          <w:jc w:val="center"/>
        </w:trPr>
        <w:tc>
          <w:tcPr>
            <w:tcW w:w="2662" w:type="dxa"/>
            <w:tcBorders>
              <w:top w:val="nil"/>
              <w:left w:val="nil"/>
              <w:bottom w:val="nil"/>
              <w:right w:val="nil"/>
            </w:tcBorders>
          </w:tcPr>
          <w:p w14:paraId="0E2B1E14"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Chile</w:t>
            </w:r>
          </w:p>
        </w:tc>
        <w:tc>
          <w:tcPr>
            <w:tcW w:w="2071" w:type="dxa"/>
            <w:tcBorders>
              <w:top w:val="nil"/>
              <w:left w:val="nil"/>
              <w:bottom w:val="nil"/>
              <w:right w:val="nil"/>
            </w:tcBorders>
            <w:shd w:val="clear" w:color="auto" w:fill="auto"/>
          </w:tcPr>
          <w:p w14:paraId="272D979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0.407</w:t>
            </w:r>
          </w:p>
        </w:tc>
        <w:tc>
          <w:tcPr>
            <w:tcW w:w="2071" w:type="dxa"/>
            <w:tcBorders>
              <w:top w:val="nil"/>
              <w:left w:val="nil"/>
              <w:bottom w:val="nil"/>
              <w:right w:val="nil"/>
            </w:tcBorders>
            <w:shd w:val="clear" w:color="auto" w:fill="auto"/>
          </w:tcPr>
          <w:p w14:paraId="1B1E64A3"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0.397</w:t>
            </w:r>
          </w:p>
        </w:tc>
      </w:tr>
      <w:tr w:rsidR="00892142" w:rsidRPr="004153B4" w14:paraId="06267A61" w14:textId="77777777" w:rsidTr="00770BD5">
        <w:trPr>
          <w:trHeight w:val="248"/>
          <w:jc w:val="center"/>
        </w:trPr>
        <w:tc>
          <w:tcPr>
            <w:tcW w:w="2662" w:type="dxa"/>
            <w:tcBorders>
              <w:top w:val="nil"/>
              <w:left w:val="nil"/>
              <w:bottom w:val="nil"/>
              <w:right w:val="nil"/>
            </w:tcBorders>
          </w:tcPr>
          <w:p w14:paraId="5486F44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China</w:t>
            </w:r>
          </w:p>
        </w:tc>
        <w:tc>
          <w:tcPr>
            <w:tcW w:w="2071" w:type="dxa"/>
            <w:tcBorders>
              <w:top w:val="nil"/>
              <w:left w:val="nil"/>
              <w:bottom w:val="nil"/>
              <w:right w:val="nil"/>
            </w:tcBorders>
            <w:shd w:val="clear" w:color="auto" w:fill="auto"/>
          </w:tcPr>
          <w:p w14:paraId="5855D55B"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12.005</w:t>
            </w:r>
          </w:p>
        </w:tc>
        <w:tc>
          <w:tcPr>
            <w:tcW w:w="2071" w:type="dxa"/>
            <w:tcBorders>
              <w:top w:val="nil"/>
              <w:left w:val="nil"/>
              <w:bottom w:val="nil"/>
              <w:right w:val="nil"/>
            </w:tcBorders>
            <w:shd w:val="clear" w:color="auto" w:fill="auto"/>
          </w:tcPr>
          <w:p w14:paraId="6FE6D92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11.704</w:t>
            </w:r>
          </w:p>
        </w:tc>
      </w:tr>
      <w:tr w:rsidR="00892142" w:rsidRPr="004153B4" w14:paraId="6B822407" w14:textId="77777777" w:rsidTr="00770BD5">
        <w:trPr>
          <w:trHeight w:val="248"/>
          <w:jc w:val="center"/>
        </w:trPr>
        <w:tc>
          <w:tcPr>
            <w:tcW w:w="2662" w:type="dxa"/>
            <w:tcBorders>
              <w:top w:val="nil"/>
              <w:left w:val="nil"/>
              <w:bottom w:val="nil"/>
              <w:right w:val="nil"/>
            </w:tcBorders>
          </w:tcPr>
          <w:p w14:paraId="0D31856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Colombia</w:t>
            </w:r>
          </w:p>
        </w:tc>
        <w:tc>
          <w:tcPr>
            <w:tcW w:w="2071" w:type="dxa"/>
            <w:tcBorders>
              <w:top w:val="nil"/>
              <w:left w:val="nil"/>
              <w:bottom w:val="nil"/>
              <w:right w:val="nil"/>
            </w:tcBorders>
            <w:shd w:val="clear" w:color="auto" w:fill="auto"/>
          </w:tcPr>
          <w:p w14:paraId="3FD8643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0.288</w:t>
            </w:r>
          </w:p>
        </w:tc>
        <w:tc>
          <w:tcPr>
            <w:tcW w:w="2071" w:type="dxa"/>
            <w:tcBorders>
              <w:top w:val="nil"/>
              <w:left w:val="nil"/>
              <w:bottom w:val="nil"/>
              <w:right w:val="nil"/>
            </w:tcBorders>
            <w:shd w:val="clear" w:color="auto" w:fill="auto"/>
          </w:tcPr>
          <w:p w14:paraId="6B886B1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0.281</w:t>
            </w:r>
          </w:p>
        </w:tc>
      </w:tr>
      <w:tr w:rsidR="00892142" w:rsidRPr="004153B4" w14:paraId="773CE2B6" w14:textId="77777777" w:rsidTr="00770BD5">
        <w:trPr>
          <w:trHeight w:val="248"/>
          <w:jc w:val="center"/>
        </w:trPr>
        <w:tc>
          <w:tcPr>
            <w:tcW w:w="2662" w:type="dxa"/>
            <w:tcBorders>
              <w:top w:val="nil"/>
              <w:left w:val="nil"/>
              <w:bottom w:val="nil"/>
              <w:right w:val="nil"/>
            </w:tcBorders>
          </w:tcPr>
          <w:p w14:paraId="7AAD2157"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Comoros</w:t>
            </w:r>
          </w:p>
        </w:tc>
        <w:tc>
          <w:tcPr>
            <w:tcW w:w="2071" w:type="dxa"/>
            <w:tcBorders>
              <w:top w:val="nil"/>
              <w:left w:val="nil"/>
              <w:bottom w:val="nil"/>
              <w:right w:val="nil"/>
            </w:tcBorders>
            <w:shd w:val="clear" w:color="auto" w:fill="auto"/>
          </w:tcPr>
          <w:p w14:paraId="5EE5101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14A774E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58008248" w14:textId="77777777" w:rsidTr="00770BD5">
        <w:trPr>
          <w:trHeight w:val="248"/>
          <w:jc w:val="center"/>
        </w:trPr>
        <w:tc>
          <w:tcPr>
            <w:tcW w:w="2662" w:type="dxa"/>
            <w:tcBorders>
              <w:top w:val="nil"/>
              <w:left w:val="nil"/>
              <w:bottom w:val="nil"/>
              <w:right w:val="nil"/>
            </w:tcBorders>
          </w:tcPr>
          <w:p w14:paraId="75D258A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Congo</w:t>
            </w:r>
          </w:p>
        </w:tc>
        <w:tc>
          <w:tcPr>
            <w:tcW w:w="2071" w:type="dxa"/>
            <w:tcBorders>
              <w:top w:val="nil"/>
              <w:left w:val="nil"/>
              <w:bottom w:val="nil"/>
              <w:right w:val="nil"/>
            </w:tcBorders>
            <w:shd w:val="clear" w:color="auto" w:fill="auto"/>
          </w:tcPr>
          <w:p w14:paraId="21A0C8BB"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0.006</w:t>
            </w:r>
          </w:p>
        </w:tc>
        <w:tc>
          <w:tcPr>
            <w:tcW w:w="2071" w:type="dxa"/>
            <w:tcBorders>
              <w:top w:val="nil"/>
              <w:left w:val="nil"/>
              <w:bottom w:val="nil"/>
              <w:right w:val="nil"/>
            </w:tcBorders>
            <w:shd w:val="clear" w:color="auto" w:fill="auto"/>
          </w:tcPr>
          <w:p w14:paraId="3041665B"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0.006</w:t>
            </w:r>
          </w:p>
        </w:tc>
      </w:tr>
      <w:tr w:rsidR="00892142" w:rsidRPr="004153B4" w14:paraId="16277F1D" w14:textId="77777777" w:rsidTr="00770BD5">
        <w:trPr>
          <w:trHeight w:val="248"/>
          <w:jc w:val="center"/>
        </w:trPr>
        <w:tc>
          <w:tcPr>
            <w:tcW w:w="2662" w:type="dxa"/>
            <w:tcBorders>
              <w:top w:val="nil"/>
              <w:left w:val="nil"/>
              <w:bottom w:val="nil"/>
              <w:right w:val="nil"/>
            </w:tcBorders>
          </w:tcPr>
          <w:p w14:paraId="2692DA1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Cook Islands</w:t>
            </w:r>
          </w:p>
        </w:tc>
        <w:tc>
          <w:tcPr>
            <w:tcW w:w="2071" w:type="dxa"/>
            <w:tcBorders>
              <w:top w:val="nil"/>
              <w:left w:val="nil"/>
              <w:bottom w:val="nil"/>
              <w:right w:val="nil"/>
            </w:tcBorders>
            <w:shd w:val="clear" w:color="auto" w:fill="auto"/>
          </w:tcPr>
          <w:p w14:paraId="6AC5D808" w14:textId="77777777" w:rsidR="00892142" w:rsidRPr="004153B4" w:rsidRDefault="00892142" w:rsidP="00887556">
            <w:pPr>
              <w:suppressAutoHyphens w:val="0"/>
              <w:spacing w:line="240" w:lineRule="auto"/>
              <w:jc w:val="right"/>
              <w:rPr>
                <w:rFonts w:eastAsia="MS Mincho"/>
                <w:color w:val="000000"/>
                <w:sz w:val="18"/>
                <w:szCs w:val="18"/>
                <w:lang w:eastAsia="de-DE"/>
              </w:rPr>
            </w:pPr>
            <w:r w:rsidRPr="004153B4">
              <w:rPr>
                <w:sz w:val="18"/>
                <w:szCs w:val="18"/>
              </w:rPr>
              <w:t>0.000</w:t>
            </w:r>
          </w:p>
        </w:tc>
        <w:tc>
          <w:tcPr>
            <w:tcW w:w="2071" w:type="dxa"/>
            <w:tcBorders>
              <w:top w:val="nil"/>
              <w:left w:val="nil"/>
              <w:bottom w:val="nil"/>
              <w:right w:val="nil"/>
            </w:tcBorders>
            <w:shd w:val="clear" w:color="auto" w:fill="auto"/>
          </w:tcPr>
          <w:p w14:paraId="42FD9AC6"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746FCBB0" w14:textId="77777777" w:rsidTr="00770BD5">
        <w:trPr>
          <w:trHeight w:val="248"/>
          <w:jc w:val="center"/>
        </w:trPr>
        <w:tc>
          <w:tcPr>
            <w:tcW w:w="2662" w:type="dxa"/>
            <w:tcBorders>
              <w:top w:val="nil"/>
              <w:left w:val="nil"/>
              <w:bottom w:val="nil"/>
              <w:right w:val="nil"/>
            </w:tcBorders>
          </w:tcPr>
          <w:p w14:paraId="04444591"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Costa Rica</w:t>
            </w:r>
          </w:p>
        </w:tc>
        <w:tc>
          <w:tcPr>
            <w:tcW w:w="2071" w:type="dxa"/>
            <w:tcBorders>
              <w:top w:val="nil"/>
              <w:left w:val="nil"/>
              <w:bottom w:val="nil"/>
              <w:right w:val="nil"/>
            </w:tcBorders>
            <w:shd w:val="clear" w:color="auto" w:fill="auto"/>
          </w:tcPr>
          <w:p w14:paraId="4A2D90D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0.062</w:t>
            </w:r>
          </w:p>
        </w:tc>
        <w:tc>
          <w:tcPr>
            <w:tcW w:w="2071" w:type="dxa"/>
            <w:tcBorders>
              <w:top w:val="nil"/>
              <w:left w:val="nil"/>
              <w:bottom w:val="nil"/>
              <w:right w:val="nil"/>
            </w:tcBorders>
            <w:shd w:val="clear" w:color="auto" w:fill="auto"/>
          </w:tcPr>
          <w:p w14:paraId="511A2E51"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0.060</w:t>
            </w:r>
          </w:p>
        </w:tc>
      </w:tr>
      <w:tr w:rsidR="00892142" w:rsidRPr="004153B4" w14:paraId="7BFB2760" w14:textId="77777777" w:rsidTr="00770BD5">
        <w:trPr>
          <w:trHeight w:val="248"/>
          <w:jc w:val="center"/>
        </w:trPr>
        <w:tc>
          <w:tcPr>
            <w:tcW w:w="2662" w:type="dxa"/>
            <w:tcBorders>
              <w:top w:val="nil"/>
              <w:left w:val="nil"/>
              <w:bottom w:val="nil"/>
              <w:right w:val="nil"/>
            </w:tcBorders>
          </w:tcPr>
          <w:p w14:paraId="7FE61F3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Côte d’Ivoire</w:t>
            </w:r>
          </w:p>
        </w:tc>
        <w:tc>
          <w:tcPr>
            <w:tcW w:w="2071" w:type="dxa"/>
            <w:tcBorders>
              <w:top w:val="nil"/>
              <w:left w:val="nil"/>
              <w:bottom w:val="nil"/>
              <w:right w:val="nil"/>
            </w:tcBorders>
            <w:shd w:val="clear" w:color="auto" w:fill="auto"/>
          </w:tcPr>
          <w:p w14:paraId="3A48599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0.013</w:t>
            </w:r>
          </w:p>
        </w:tc>
        <w:tc>
          <w:tcPr>
            <w:tcW w:w="2071" w:type="dxa"/>
            <w:tcBorders>
              <w:top w:val="nil"/>
              <w:left w:val="nil"/>
              <w:bottom w:val="nil"/>
              <w:right w:val="nil"/>
            </w:tcBorders>
            <w:shd w:val="clear" w:color="auto" w:fill="auto"/>
          </w:tcPr>
          <w:p w14:paraId="04A2FE1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0.013</w:t>
            </w:r>
          </w:p>
        </w:tc>
      </w:tr>
      <w:tr w:rsidR="00892142" w:rsidRPr="004153B4" w14:paraId="332C10F3" w14:textId="77777777" w:rsidTr="00770BD5">
        <w:trPr>
          <w:trHeight w:val="248"/>
          <w:jc w:val="center"/>
        </w:trPr>
        <w:tc>
          <w:tcPr>
            <w:tcW w:w="2662" w:type="dxa"/>
            <w:tcBorders>
              <w:top w:val="nil"/>
              <w:left w:val="nil"/>
              <w:bottom w:val="nil"/>
              <w:right w:val="nil"/>
            </w:tcBorders>
          </w:tcPr>
          <w:p w14:paraId="6D227858"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Croatia</w:t>
            </w:r>
          </w:p>
        </w:tc>
        <w:tc>
          <w:tcPr>
            <w:tcW w:w="2071" w:type="dxa"/>
            <w:tcBorders>
              <w:top w:val="nil"/>
              <w:left w:val="nil"/>
              <w:bottom w:val="nil"/>
              <w:right w:val="nil"/>
            </w:tcBorders>
            <w:shd w:val="clear" w:color="auto" w:fill="auto"/>
          </w:tcPr>
          <w:p w14:paraId="5E6FCC8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0.077</w:t>
            </w:r>
          </w:p>
        </w:tc>
        <w:tc>
          <w:tcPr>
            <w:tcW w:w="2071" w:type="dxa"/>
            <w:tcBorders>
              <w:top w:val="nil"/>
              <w:left w:val="nil"/>
              <w:bottom w:val="nil"/>
              <w:right w:val="nil"/>
            </w:tcBorders>
            <w:shd w:val="clear" w:color="auto" w:fill="auto"/>
          </w:tcPr>
          <w:p w14:paraId="0205CA3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0.075</w:t>
            </w:r>
          </w:p>
        </w:tc>
      </w:tr>
      <w:tr w:rsidR="00892142" w:rsidRPr="004153B4" w14:paraId="2FC81CD8" w14:textId="77777777" w:rsidTr="00770BD5">
        <w:trPr>
          <w:trHeight w:val="248"/>
          <w:jc w:val="center"/>
        </w:trPr>
        <w:tc>
          <w:tcPr>
            <w:tcW w:w="2662" w:type="dxa"/>
            <w:tcBorders>
              <w:top w:val="nil"/>
              <w:left w:val="nil"/>
              <w:bottom w:val="nil"/>
              <w:right w:val="nil"/>
            </w:tcBorders>
          </w:tcPr>
          <w:p w14:paraId="3C931A1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Cuba</w:t>
            </w:r>
          </w:p>
        </w:tc>
        <w:tc>
          <w:tcPr>
            <w:tcW w:w="2071" w:type="dxa"/>
            <w:tcBorders>
              <w:top w:val="nil"/>
              <w:left w:val="nil"/>
              <w:bottom w:val="nil"/>
              <w:right w:val="nil"/>
            </w:tcBorders>
            <w:shd w:val="clear" w:color="auto" w:fill="auto"/>
          </w:tcPr>
          <w:p w14:paraId="725DA13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0.080</w:t>
            </w:r>
          </w:p>
        </w:tc>
        <w:tc>
          <w:tcPr>
            <w:tcW w:w="2071" w:type="dxa"/>
            <w:tcBorders>
              <w:top w:val="nil"/>
              <w:left w:val="nil"/>
              <w:bottom w:val="nil"/>
              <w:right w:val="nil"/>
            </w:tcBorders>
            <w:shd w:val="clear" w:color="auto" w:fill="auto"/>
          </w:tcPr>
          <w:p w14:paraId="0CFF0DFB"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0.078</w:t>
            </w:r>
          </w:p>
        </w:tc>
      </w:tr>
      <w:tr w:rsidR="00892142" w:rsidRPr="004153B4" w14:paraId="20FE8F23" w14:textId="77777777" w:rsidTr="00770BD5">
        <w:trPr>
          <w:trHeight w:val="248"/>
          <w:jc w:val="center"/>
        </w:trPr>
        <w:tc>
          <w:tcPr>
            <w:tcW w:w="2662" w:type="dxa"/>
            <w:tcBorders>
              <w:top w:val="nil"/>
              <w:left w:val="nil"/>
              <w:bottom w:val="nil"/>
              <w:right w:val="nil"/>
            </w:tcBorders>
          </w:tcPr>
          <w:p w14:paraId="2B0748F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Cyprus</w:t>
            </w:r>
          </w:p>
        </w:tc>
        <w:tc>
          <w:tcPr>
            <w:tcW w:w="2071" w:type="dxa"/>
            <w:tcBorders>
              <w:top w:val="nil"/>
              <w:left w:val="nil"/>
              <w:bottom w:val="nil"/>
              <w:right w:val="nil"/>
            </w:tcBorders>
            <w:shd w:val="clear" w:color="auto" w:fill="auto"/>
          </w:tcPr>
          <w:p w14:paraId="5186CB93"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0.036</w:t>
            </w:r>
          </w:p>
        </w:tc>
        <w:tc>
          <w:tcPr>
            <w:tcW w:w="2071" w:type="dxa"/>
            <w:tcBorders>
              <w:top w:val="nil"/>
              <w:left w:val="nil"/>
              <w:bottom w:val="nil"/>
              <w:right w:val="nil"/>
            </w:tcBorders>
            <w:shd w:val="clear" w:color="auto" w:fill="auto"/>
          </w:tcPr>
          <w:p w14:paraId="3B3CA7CF"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0.035</w:t>
            </w:r>
          </w:p>
        </w:tc>
      </w:tr>
      <w:tr w:rsidR="00892142" w:rsidRPr="004153B4" w14:paraId="72A63BF3" w14:textId="77777777" w:rsidTr="00770BD5">
        <w:trPr>
          <w:trHeight w:val="248"/>
          <w:jc w:val="center"/>
        </w:trPr>
        <w:tc>
          <w:tcPr>
            <w:tcW w:w="2662" w:type="dxa"/>
            <w:tcBorders>
              <w:top w:val="nil"/>
              <w:left w:val="nil"/>
              <w:bottom w:val="nil"/>
              <w:right w:val="nil"/>
            </w:tcBorders>
          </w:tcPr>
          <w:p w14:paraId="60C5EA82"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Czechia</w:t>
            </w:r>
          </w:p>
        </w:tc>
        <w:tc>
          <w:tcPr>
            <w:tcW w:w="2071" w:type="dxa"/>
            <w:tcBorders>
              <w:top w:val="nil"/>
              <w:left w:val="nil"/>
              <w:bottom w:val="nil"/>
              <w:right w:val="nil"/>
            </w:tcBorders>
            <w:shd w:val="clear" w:color="auto" w:fill="auto"/>
          </w:tcPr>
          <w:p w14:paraId="23C2714B"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0.311</w:t>
            </w:r>
          </w:p>
        </w:tc>
        <w:tc>
          <w:tcPr>
            <w:tcW w:w="2071" w:type="dxa"/>
            <w:tcBorders>
              <w:top w:val="nil"/>
              <w:left w:val="nil"/>
              <w:bottom w:val="nil"/>
              <w:right w:val="nil"/>
            </w:tcBorders>
            <w:shd w:val="clear" w:color="auto" w:fill="auto"/>
          </w:tcPr>
          <w:p w14:paraId="75810B9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0.303</w:t>
            </w:r>
          </w:p>
        </w:tc>
      </w:tr>
      <w:tr w:rsidR="00892142" w:rsidRPr="004153B4" w14:paraId="1054A8EF" w14:textId="77777777" w:rsidTr="00770BD5">
        <w:trPr>
          <w:trHeight w:val="248"/>
          <w:jc w:val="center"/>
        </w:trPr>
        <w:tc>
          <w:tcPr>
            <w:tcW w:w="2662" w:type="dxa"/>
            <w:tcBorders>
              <w:top w:val="nil"/>
              <w:left w:val="nil"/>
              <w:bottom w:val="nil"/>
              <w:right w:val="nil"/>
            </w:tcBorders>
          </w:tcPr>
          <w:p w14:paraId="6E56DDF9" w14:textId="77777777" w:rsidR="00892142" w:rsidRPr="004153B4" w:rsidRDefault="00892142" w:rsidP="00CA2BA0">
            <w:pPr>
              <w:suppressAutoHyphens w:val="0"/>
              <w:spacing w:line="240" w:lineRule="auto"/>
              <w:ind w:left="254" w:hanging="254"/>
              <w:rPr>
                <w:rFonts w:eastAsia="Arial Unicode MS"/>
                <w:color w:val="000000"/>
                <w:sz w:val="18"/>
                <w:szCs w:val="18"/>
                <w:lang w:eastAsia="de-DE"/>
              </w:rPr>
            </w:pPr>
            <w:r w:rsidRPr="004153B4">
              <w:rPr>
                <w:rFonts w:eastAsia="MS Mincho"/>
                <w:color w:val="000000"/>
                <w:sz w:val="18"/>
                <w:szCs w:val="18"/>
                <w:lang w:eastAsia="de-DE"/>
              </w:rPr>
              <w:t>Democratic People’s Republic of Korea</w:t>
            </w:r>
          </w:p>
        </w:tc>
        <w:tc>
          <w:tcPr>
            <w:tcW w:w="2071" w:type="dxa"/>
            <w:tcBorders>
              <w:top w:val="nil"/>
              <w:left w:val="nil"/>
              <w:bottom w:val="nil"/>
              <w:right w:val="nil"/>
            </w:tcBorders>
            <w:shd w:val="clear" w:color="auto" w:fill="auto"/>
          </w:tcPr>
          <w:p w14:paraId="158E8DA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0.006</w:t>
            </w:r>
          </w:p>
        </w:tc>
        <w:tc>
          <w:tcPr>
            <w:tcW w:w="2071" w:type="dxa"/>
            <w:tcBorders>
              <w:top w:val="nil"/>
              <w:left w:val="nil"/>
              <w:bottom w:val="nil"/>
              <w:right w:val="nil"/>
            </w:tcBorders>
            <w:shd w:val="clear" w:color="auto" w:fill="auto"/>
          </w:tcPr>
          <w:p w14:paraId="18DDCED6"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0.006</w:t>
            </w:r>
          </w:p>
        </w:tc>
      </w:tr>
      <w:tr w:rsidR="00892142" w:rsidRPr="004153B4" w14:paraId="7FD483F0" w14:textId="77777777" w:rsidTr="00770BD5">
        <w:trPr>
          <w:trHeight w:val="248"/>
          <w:jc w:val="center"/>
        </w:trPr>
        <w:tc>
          <w:tcPr>
            <w:tcW w:w="2662" w:type="dxa"/>
            <w:tcBorders>
              <w:top w:val="nil"/>
              <w:left w:val="nil"/>
              <w:bottom w:val="nil"/>
              <w:right w:val="nil"/>
            </w:tcBorders>
          </w:tcPr>
          <w:p w14:paraId="1AE18D5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Democratic Republic of the Congo</w:t>
            </w:r>
          </w:p>
        </w:tc>
        <w:tc>
          <w:tcPr>
            <w:tcW w:w="2071" w:type="dxa"/>
            <w:tcBorders>
              <w:top w:val="nil"/>
              <w:left w:val="nil"/>
              <w:bottom w:val="nil"/>
              <w:right w:val="nil"/>
            </w:tcBorders>
            <w:shd w:val="clear" w:color="auto" w:fill="auto"/>
          </w:tcPr>
          <w:p w14:paraId="59F875D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0.010</w:t>
            </w:r>
          </w:p>
        </w:tc>
        <w:tc>
          <w:tcPr>
            <w:tcW w:w="2071" w:type="dxa"/>
            <w:tcBorders>
              <w:top w:val="nil"/>
              <w:left w:val="nil"/>
              <w:bottom w:val="nil"/>
              <w:right w:val="nil"/>
            </w:tcBorders>
            <w:shd w:val="clear" w:color="auto" w:fill="auto"/>
          </w:tcPr>
          <w:p w14:paraId="2BCD58C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0.010</w:t>
            </w:r>
          </w:p>
        </w:tc>
      </w:tr>
      <w:tr w:rsidR="00892142" w:rsidRPr="004153B4" w14:paraId="2D5E518A" w14:textId="77777777" w:rsidTr="00770BD5">
        <w:trPr>
          <w:trHeight w:val="248"/>
          <w:jc w:val="center"/>
        </w:trPr>
        <w:tc>
          <w:tcPr>
            <w:tcW w:w="2662" w:type="dxa"/>
            <w:tcBorders>
              <w:top w:val="nil"/>
              <w:left w:val="nil"/>
              <w:bottom w:val="nil"/>
              <w:right w:val="nil"/>
            </w:tcBorders>
          </w:tcPr>
          <w:p w14:paraId="16D69BB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Denmark</w:t>
            </w:r>
          </w:p>
        </w:tc>
        <w:tc>
          <w:tcPr>
            <w:tcW w:w="2071" w:type="dxa"/>
            <w:tcBorders>
              <w:top w:val="nil"/>
              <w:left w:val="nil"/>
              <w:bottom w:val="nil"/>
              <w:right w:val="nil"/>
            </w:tcBorders>
            <w:shd w:val="clear" w:color="auto" w:fill="auto"/>
          </w:tcPr>
          <w:p w14:paraId="42210D0E"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0.554</w:t>
            </w:r>
          </w:p>
        </w:tc>
        <w:tc>
          <w:tcPr>
            <w:tcW w:w="2071" w:type="dxa"/>
            <w:tcBorders>
              <w:top w:val="nil"/>
              <w:left w:val="nil"/>
              <w:bottom w:val="nil"/>
              <w:right w:val="nil"/>
            </w:tcBorders>
            <w:shd w:val="clear" w:color="auto" w:fill="auto"/>
          </w:tcPr>
          <w:p w14:paraId="08FEADC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0.540</w:t>
            </w:r>
          </w:p>
        </w:tc>
      </w:tr>
      <w:tr w:rsidR="00892142" w:rsidRPr="004153B4" w14:paraId="5175B413" w14:textId="77777777" w:rsidTr="00770BD5">
        <w:trPr>
          <w:trHeight w:val="248"/>
          <w:jc w:val="center"/>
        </w:trPr>
        <w:tc>
          <w:tcPr>
            <w:tcW w:w="2662" w:type="dxa"/>
            <w:tcBorders>
              <w:top w:val="nil"/>
              <w:left w:val="nil"/>
              <w:bottom w:val="nil"/>
              <w:right w:val="nil"/>
            </w:tcBorders>
          </w:tcPr>
          <w:p w14:paraId="166ADA3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Djibouti</w:t>
            </w:r>
          </w:p>
        </w:tc>
        <w:tc>
          <w:tcPr>
            <w:tcW w:w="2071" w:type="dxa"/>
            <w:tcBorders>
              <w:top w:val="nil"/>
              <w:left w:val="nil"/>
              <w:bottom w:val="nil"/>
              <w:right w:val="nil"/>
            </w:tcBorders>
            <w:shd w:val="clear" w:color="auto" w:fill="auto"/>
          </w:tcPr>
          <w:p w14:paraId="1C42944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41400E69"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62F2F748" w14:textId="77777777" w:rsidTr="00770BD5">
        <w:trPr>
          <w:trHeight w:val="248"/>
          <w:jc w:val="center"/>
        </w:trPr>
        <w:tc>
          <w:tcPr>
            <w:tcW w:w="2662" w:type="dxa"/>
            <w:tcBorders>
              <w:top w:val="nil"/>
              <w:left w:val="nil"/>
              <w:bottom w:val="nil"/>
              <w:right w:val="nil"/>
            </w:tcBorders>
          </w:tcPr>
          <w:p w14:paraId="2B8A2641"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Dominica</w:t>
            </w:r>
          </w:p>
        </w:tc>
        <w:tc>
          <w:tcPr>
            <w:tcW w:w="2071" w:type="dxa"/>
            <w:tcBorders>
              <w:top w:val="nil"/>
              <w:left w:val="nil"/>
              <w:bottom w:val="nil"/>
              <w:right w:val="nil"/>
            </w:tcBorders>
            <w:shd w:val="clear" w:color="auto" w:fill="auto"/>
          </w:tcPr>
          <w:p w14:paraId="6DEA4DE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50BC4D6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07F58014" w14:textId="77777777" w:rsidTr="00770BD5">
        <w:trPr>
          <w:trHeight w:val="248"/>
          <w:jc w:val="center"/>
        </w:trPr>
        <w:tc>
          <w:tcPr>
            <w:tcW w:w="2662" w:type="dxa"/>
            <w:tcBorders>
              <w:top w:val="nil"/>
              <w:left w:val="nil"/>
              <w:bottom w:val="nil"/>
              <w:right w:val="nil"/>
            </w:tcBorders>
          </w:tcPr>
          <w:p w14:paraId="1E057733"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Dominican Republic</w:t>
            </w:r>
          </w:p>
        </w:tc>
        <w:tc>
          <w:tcPr>
            <w:tcW w:w="2071" w:type="dxa"/>
            <w:tcBorders>
              <w:top w:val="nil"/>
              <w:left w:val="nil"/>
              <w:bottom w:val="nil"/>
              <w:right w:val="nil"/>
            </w:tcBorders>
            <w:shd w:val="clear" w:color="auto" w:fill="auto"/>
          </w:tcPr>
          <w:p w14:paraId="52BAA48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0.053</w:t>
            </w:r>
          </w:p>
        </w:tc>
        <w:tc>
          <w:tcPr>
            <w:tcW w:w="2071" w:type="dxa"/>
            <w:tcBorders>
              <w:top w:val="nil"/>
              <w:left w:val="nil"/>
              <w:bottom w:val="nil"/>
              <w:right w:val="nil"/>
            </w:tcBorders>
            <w:shd w:val="clear" w:color="auto" w:fill="auto"/>
          </w:tcPr>
          <w:p w14:paraId="5D4700C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0.052</w:t>
            </w:r>
          </w:p>
        </w:tc>
      </w:tr>
      <w:tr w:rsidR="00892142" w:rsidRPr="004153B4" w14:paraId="03FBB75C" w14:textId="77777777" w:rsidTr="00770BD5">
        <w:trPr>
          <w:trHeight w:val="248"/>
          <w:jc w:val="center"/>
        </w:trPr>
        <w:tc>
          <w:tcPr>
            <w:tcW w:w="2662" w:type="dxa"/>
            <w:tcBorders>
              <w:top w:val="nil"/>
              <w:left w:val="nil"/>
              <w:bottom w:val="nil"/>
              <w:right w:val="nil"/>
            </w:tcBorders>
          </w:tcPr>
          <w:p w14:paraId="703F321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Ecuador</w:t>
            </w:r>
          </w:p>
        </w:tc>
        <w:tc>
          <w:tcPr>
            <w:tcW w:w="2071" w:type="dxa"/>
            <w:tcBorders>
              <w:top w:val="nil"/>
              <w:left w:val="nil"/>
              <w:bottom w:val="nil"/>
              <w:right w:val="nil"/>
            </w:tcBorders>
            <w:shd w:val="clear" w:color="auto" w:fill="auto"/>
          </w:tcPr>
          <w:p w14:paraId="437095D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0.080</w:t>
            </w:r>
          </w:p>
        </w:tc>
        <w:tc>
          <w:tcPr>
            <w:tcW w:w="2071" w:type="dxa"/>
            <w:tcBorders>
              <w:top w:val="nil"/>
              <w:left w:val="nil"/>
              <w:bottom w:val="nil"/>
              <w:right w:val="nil"/>
            </w:tcBorders>
            <w:shd w:val="clear" w:color="auto" w:fill="auto"/>
          </w:tcPr>
          <w:p w14:paraId="5131F11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0.078</w:t>
            </w:r>
          </w:p>
        </w:tc>
      </w:tr>
      <w:tr w:rsidR="00892142" w:rsidRPr="004153B4" w14:paraId="01A12798" w14:textId="77777777" w:rsidTr="00770BD5">
        <w:trPr>
          <w:trHeight w:val="248"/>
          <w:jc w:val="center"/>
        </w:trPr>
        <w:tc>
          <w:tcPr>
            <w:tcW w:w="2662" w:type="dxa"/>
            <w:tcBorders>
              <w:top w:val="nil"/>
              <w:left w:val="nil"/>
              <w:bottom w:val="nil"/>
              <w:right w:val="nil"/>
            </w:tcBorders>
          </w:tcPr>
          <w:p w14:paraId="6AB60562"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Egypt</w:t>
            </w:r>
          </w:p>
        </w:tc>
        <w:tc>
          <w:tcPr>
            <w:tcW w:w="2071" w:type="dxa"/>
            <w:tcBorders>
              <w:top w:val="nil"/>
              <w:left w:val="nil"/>
              <w:bottom w:val="nil"/>
              <w:right w:val="nil"/>
            </w:tcBorders>
            <w:shd w:val="clear" w:color="auto" w:fill="auto"/>
          </w:tcPr>
          <w:p w14:paraId="63F96CF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0.186</w:t>
            </w:r>
          </w:p>
        </w:tc>
        <w:tc>
          <w:tcPr>
            <w:tcW w:w="2071" w:type="dxa"/>
            <w:tcBorders>
              <w:top w:val="nil"/>
              <w:left w:val="nil"/>
              <w:bottom w:val="nil"/>
              <w:right w:val="nil"/>
            </w:tcBorders>
            <w:shd w:val="clear" w:color="auto" w:fill="auto"/>
          </w:tcPr>
          <w:p w14:paraId="72D572C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0.181</w:t>
            </w:r>
          </w:p>
        </w:tc>
      </w:tr>
      <w:tr w:rsidR="00892142" w:rsidRPr="004153B4" w14:paraId="541C4F94" w14:textId="77777777" w:rsidTr="00770BD5">
        <w:trPr>
          <w:trHeight w:val="248"/>
          <w:jc w:val="center"/>
        </w:trPr>
        <w:tc>
          <w:tcPr>
            <w:tcW w:w="2662" w:type="dxa"/>
            <w:tcBorders>
              <w:top w:val="nil"/>
              <w:left w:val="nil"/>
              <w:bottom w:val="nil"/>
              <w:right w:val="nil"/>
            </w:tcBorders>
          </w:tcPr>
          <w:p w14:paraId="1E78A9E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El Salvador</w:t>
            </w:r>
          </w:p>
        </w:tc>
        <w:tc>
          <w:tcPr>
            <w:tcW w:w="2071" w:type="dxa"/>
            <w:tcBorders>
              <w:top w:val="nil"/>
              <w:left w:val="nil"/>
              <w:bottom w:val="nil"/>
              <w:right w:val="nil"/>
            </w:tcBorders>
            <w:shd w:val="clear" w:color="auto" w:fill="auto"/>
          </w:tcPr>
          <w:p w14:paraId="161A681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0.012</w:t>
            </w:r>
          </w:p>
        </w:tc>
        <w:tc>
          <w:tcPr>
            <w:tcW w:w="2071" w:type="dxa"/>
            <w:tcBorders>
              <w:top w:val="nil"/>
              <w:left w:val="nil"/>
              <w:bottom w:val="nil"/>
              <w:right w:val="nil"/>
            </w:tcBorders>
            <w:shd w:val="clear" w:color="auto" w:fill="auto"/>
          </w:tcPr>
          <w:p w14:paraId="0E184503"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0.012</w:t>
            </w:r>
          </w:p>
        </w:tc>
      </w:tr>
      <w:tr w:rsidR="00892142" w:rsidRPr="004153B4" w14:paraId="7BD9D9C8" w14:textId="77777777" w:rsidTr="00770BD5">
        <w:trPr>
          <w:trHeight w:val="248"/>
          <w:jc w:val="center"/>
        </w:trPr>
        <w:tc>
          <w:tcPr>
            <w:tcW w:w="2662" w:type="dxa"/>
            <w:tcBorders>
              <w:top w:val="nil"/>
              <w:left w:val="nil"/>
              <w:bottom w:val="nil"/>
              <w:right w:val="nil"/>
            </w:tcBorders>
          </w:tcPr>
          <w:p w14:paraId="5D25CDE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Equatorial Guinea</w:t>
            </w:r>
          </w:p>
        </w:tc>
        <w:tc>
          <w:tcPr>
            <w:tcW w:w="2071" w:type="dxa"/>
            <w:tcBorders>
              <w:top w:val="nil"/>
              <w:left w:val="nil"/>
              <w:bottom w:val="nil"/>
              <w:right w:val="nil"/>
            </w:tcBorders>
            <w:shd w:val="clear" w:color="auto" w:fill="auto"/>
          </w:tcPr>
          <w:p w14:paraId="0E58CCB8"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0.016</w:t>
            </w:r>
          </w:p>
        </w:tc>
        <w:tc>
          <w:tcPr>
            <w:tcW w:w="2071" w:type="dxa"/>
            <w:tcBorders>
              <w:top w:val="nil"/>
              <w:left w:val="nil"/>
              <w:bottom w:val="nil"/>
              <w:right w:val="nil"/>
            </w:tcBorders>
            <w:shd w:val="clear" w:color="auto" w:fill="auto"/>
          </w:tcPr>
          <w:p w14:paraId="7FB2725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0.016</w:t>
            </w:r>
          </w:p>
        </w:tc>
      </w:tr>
      <w:tr w:rsidR="00892142" w:rsidRPr="004153B4" w14:paraId="2F366AA9" w14:textId="77777777" w:rsidTr="00770BD5">
        <w:trPr>
          <w:trHeight w:val="248"/>
          <w:jc w:val="center"/>
        </w:trPr>
        <w:tc>
          <w:tcPr>
            <w:tcW w:w="2662" w:type="dxa"/>
            <w:tcBorders>
              <w:top w:val="nil"/>
              <w:left w:val="nil"/>
              <w:bottom w:val="nil"/>
              <w:right w:val="nil"/>
            </w:tcBorders>
          </w:tcPr>
          <w:p w14:paraId="6F84CDD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Eritrea</w:t>
            </w:r>
          </w:p>
        </w:tc>
        <w:tc>
          <w:tcPr>
            <w:tcW w:w="2071" w:type="dxa"/>
            <w:tcBorders>
              <w:top w:val="nil"/>
              <w:left w:val="nil"/>
              <w:bottom w:val="nil"/>
              <w:right w:val="nil"/>
            </w:tcBorders>
            <w:shd w:val="clear" w:color="auto" w:fill="auto"/>
          </w:tcPr>
          <w:p w14:paraId="54DA42AB"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543C7A8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68D6F796" w14:textId="77777777" w:rsidTr="00770BD5">
        <w:trPr>
          <w:trHeight w:val="248"/>
          <w:jc w:val="center"/>
        </w:trPr>
        <w:tc>
          <w:tcPr>
            <w:tcW w:w="2662" w:type="dxa"/>
            <w:tcBorders>
              <w:top w:val="nil"/>
              <w:left w:val="nil"/>
              <w:bottom w:val="nil"/>
              <w:right w:val="nil"/>
            </w:tcBorders>
          </w:tcPr>
          <w:p w14:paraId="55A69D6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Estonia</w:t>
            </w:r>
          </w:p>
        </w:tc>
        <w:tc>
          <w:tcPr>
            <w:tcW w:w="2071" w:type="dxa"/>
            <w:tcBorders>
              <w:top w:val="nil"/>
              <w:left w:val="nil"/>
              <w:bottom w:val="nil"/>
              <w:right w:val="nil"/>
            </w:tcBorders>
            <w:shd w:val="clear" w:color="auto" w:fill="auto"/>
          </w:tcPr>
          <w:p w14:paraId="73F1413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0.039</w:t>
            </w:r>
          </w:p>
        </w:tc>
        <w:tc>
          <w:tcPr>
            <w:tcW w:w="2071" w:type="dxa"/>
            <w:tcBorders>
              <w:top w:val="nil"/>
              <w:left w:val="nil"/>
              <w:bottom w:val="nil"/>
              <w:right w:val="nil"/>
            </w:tcBorders>
            <w:shd w:val="clear" w:color="auto" w:fill="auto"/>
          </w:tcPr>
          <w:p w14:paraId="0960FD0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0.038</w:t>
            </w:r>
          </w:p>
        </w:tc>
      </w:tr>
      <w:tr w:rsidR="00892142" w:rsidRPr="004153B4" w14:paraId="48BE24FF" w14:textId="77777777" w:rsidTr="00770BD5">
        <w:trPr>
          <w:trHeight w:val="248"/>
          <w:jc w:val="center"/>
        </w:trPr>
        <w:tc>
          <w:tcPr>
            <w:tcW w:w="2662" w:type="dxa"/>
            <w:tcBorders>
              <w:top w:val="nil"/>
              <w:left w:val="nil"/>
              <w:bottom w:val="nil"/>
              <w:right w:val="nil"/>
            </w:tcBorders>
          </w:tcPr>
          <w:p w14:paraId="19E528BC" w14:textId="77777777" w:rsidR="00892142" w:rsidRPr="004153B4" w:rsidRDefault="00892142" w:rsidP="00887556">
            <w:pPr>
              <w:suppressAutoHyphens w:val="0"/>
              <w:spacing w:line="240" w:lineRule="auto"/>
              <w:ind w:left="360" w:hanging="360"/>
              <w:rPr>
                <w:rFonts w:eastAsia="MS Mincho"/>
                <w:color w:val="000000"/>
                <w:sz w:val="18"/>
                <w:szCs w:val="18"/>
                <w:lang w:eastAsia="de-DE"/>
              </w:rPr>
            </w:pPr>
            <w:r w:rsidRPr="004153B4">
              <w:rPr>
                <w:rFonts w:eastAsia="MS Mincho"/>
                <w:color w:val="000000"/>
                <w:sz w:val="18"/>
                <w:szCs w:val="18"/>
                <w:lang w:eastAsia="de-DE"/>
              </w:rPr>
              <w:t>Eswatini</w:t>
            </w:r>
          </w:p>
        </w:tc>
        <w:tc>
          <w:tcPr>
            <w:tcW w:w="2071" w:type="dxa"/>
            <w:tcBorders>
              <w:top w:val="nil"/>
              <w:left w:val="nil"/>
              <w:bottom w:val="nil"/>
              <w:right w:val="nil"/>
            </w:tcBorders>
            <w:shd w:val="clear" w:color="auto" w:fill="auto"/>
          </w:tcPr>
          <w:p w14:paraId="075875B7" w14:textId="77777777" w:rsidR="00892142" w:rsidRPr="004153B4" w:rsidRDefault="00892142" w:rsidP="00887556">
            <w:pPr>
              <w:suppressAutoHyphens w:val="0"/>
              <w:spacing w:line="240" w:lineRule="auto"/>
              <w:jc w:val="right"/>
              <w:rPr>
                <w:sz w:val="18"/>
                <w:szCs w:val="18"/>
              </w:rPr>
            </w:pPr>
            <w:r w:rsidRPr="004153B4">
              <w:rPr>
                <w:sz w:val="18"/>
                <w:szCs w:val="18"/>
              </w:rPr>
              <w:t>0.002</w:t>
            </w:r>
          </w:p>
        </w:tc>
        <w:tc>
          <w:tcPr>
            <w:tcW w:w="2071" w:type="dxa"/>
            <w:tcBorders>
              <w:top w:val="nil"/>
              <w:left w:val="nil"/>
              <w:bottom w:val="nil"/>
              <w:right w:val="nil"/>
            </w:tcBorders>
            <w:shd w:val="clear" w:color="auto" w:fill="auto"/>
          </w:tcPr>
          <w:p w14:paraId="67A8908B" w14:textId="77777777" w:rsidR="00892142" w:rsidRPr="004153B4" w:rsidRDefault="00892142" w:rsidP="00887556">
            <w:pPr>
              <w:suppressAutoHyphens w:val="0"/>
              <w:spacing w:line="240" w:lineRule="auto"/>
              <w:jc w:val="right"/>
              <w:rPr>
                <w:sz w:val="18"/>
                <w:szCs w:val="18"/>
              </w:rPr>
            </w:pPr>
            <w:r w:rsidRPr="004153B4">
              <w:rPr>
                <w:color w:val="000000"/>
                <w:sz w:val="18"/>
                <w:szCs w:val="18"/>
              </w:rPr>
              <w:t>0.002</w:t>
            </w:r>
          </w:p>
        </w:tc>
      </w:tr>
      <w:tr w:rsidR="00892142" w:rsidRPr="004153B4" w14:paraId="56B7A74F" w14:textId="77777777" w:rsidTr="00770BD5">
        <w:trPr>
          <w:trHeight w:val="248"/>
          <w:jc w:val="center"/>
        </w:trPr>
        <w:tc>
          <w:tcPr>
            <w:tcW w:w="2662" w:type="dxa"/>
            <w:tcBorders>
              <w:top w:val="nil"/>
              <w:left w:val="nil"/>
              <w:bottom w:val="nil"/>
              <w:right w:val="nil"/>
            </w:tcBorders>
          </w:tcPr>
          <w:p w14:paraId="419E382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Ethiopia</w:t>
            </w:r>
          </w:p>
        </w:tc>
        <w:tc>
          <w:tcPr>
            <w:tcW w:w="2071" w:type="dxa"/>
            <w:tcBorders>
              <w:top w:val="nil"/>
              <w:left w:val="nil"/>
              <w:bottom w:val="nil"/>
              <w:right w:val="nil"/>
            </w:tcBorders>
            <w:shd w:val="clear" w:color="auto" w:fill="auto"/>
          </w:tcPr>
          <w:p w14:paraId="6DDE2BFA"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0.010</w:t>
            </w:r>
          </w:p>
        </w:tc>
        <w:tc>
          <w:tcPr>
            <w:tcW w:w="2071" w:type="dxa"/>
            <w:tcBorders>
              <w:top w:val="nil"/>
              <w:left w:val="nil"/>
              <w:bottom w:val="nil"/>
              <w:right w:val="nil"/>
            </w:tcBorders>
            <w:shd w:val="clear" w:color="auto" w:fill="auto"/>
          </w:tcPr>
          <w:p w14:paraId="7F4A0BE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0.010</w:t>
            </w:r>
          </w:p>
        </w:tc>
      </w:tr>
      <w:tr w:rsidR="00892142" w:rsidRPr="004153B4" w14:paraId="7091C864" w14:textId="77777777" w:rsidTr="00770BD5">
        <w:trPr>
          <w:trHeight w:val="248"/>
          <w:jc w:val="center"/>
        </w:trPr>
        <w:tc>
          <w:tcPr>
            <w:tcW w:w="2662" w:type="dxa"/>
            <w:tcBorders>
              <w:top w:val="nil"/>
              <w:left w:val="nil"/>
              <w:bottom w:val="nil"/>
              <w:right w:val="nil"/>
            </w:tcBorders>
          </w:tcPr>
          <w:p w14:paraId="5E9A6E6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European Union</w:t>
            </w:r>
          </w:p>
        </w:tc>
        <w:tc>
          <w:tcPr>
            <w:tcW w:w="2071" w:type="dxa"/>
            <w:tcBorders>
              <w:top w:val="nil"/>
              <w:left w:val="nil"/>
              <w:bottom w:val="nil"/>
              <w:right w:val="nil"/>
            </w:tcBorders>
            <w:shd w:val="clear" w:color="auto" w:fill="auto"/>
          </w:tcPr>
          <w:p w14:paraId="658AEE3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0.000</w:t>
            </w:r>
          </w:p>
        </w:tc>
        <w:tc>
          <w:tcPr>
            <w:tcW w:w="2071" w:type="dxa"/>
            <w:tcBorders>
              <w:top w:val="nil"/>
              <w:left w:val="nil"/>
              <w:bottom w:val="nil"/>
              <w:right w:val="nil"/>
            </w:tcBorders>
            <w:shd w:val="clear" w:color="auto" w:fill="auto"/>
          </w:tcPr>
          <w:p w14:paraId="1DE18AA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2.500</w:t>
            </w:r>
          </w:p>
        </w:tc>
      </w:tr>
      <w:tr w:rsidR="00892142" w:rsidRPr="004153B4" w14:paraId="6F8DE83C" w14:textId="77777777" w:rsidTr="00770BD5">
        <w:trPr>
          <w:trHeight w:val="248"/>
          <w:jc w:val="center"/>
        </w:trPr>
        <w:tc>
          <w:tcPr>
            <w:tcW w:w="2662" w:type="dxa"/>
            <w:tcBorders>
              <w:top w:val="nil"/>
              <w:left w:val="nil"/>
              <w:bottom w:val="nil"/>
              <w:right w:val="nil"/>
            </w:tcBorders>
          </w:tcPr>
          <w:p w14:paraId="23C1915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Fiji</w:t>
            </w:r>
          </w:p>
        </w:tc>
        <w:tc>
          <w:tcPr>
            <w:tcW w:w="2071" w:type="dxa"/>
            <w:tcBorders>
              <w:top w:val="nil"/>
              <w:left w:val="nil"/>
              <w:bottom w:val="nil"/>
              <w:right w:val="nil"/>
            </w:tcBorders>
            <w:shd w:val="clear" w:color="auto" w:fill="auto"/>
          </w:tcPr>
          <w:p w14:paraId="53F1E84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0.003</w:t>
            </w:r>
          </w:p>
        </w:tc>
        <w:tc>
          <w:tcPr>
            <w:tcW w:w="2071" w:type="dxa"/>
            <w:tcBorders>
              <w:top w:val="nil"/>
              <w:left w:val="nil"/>
              <w:bottom w:val="nil"/>
              <w:right w:val="nil"/>
            </w:tcBorders>
            <w:shd w:val="clear" w:color="auto" w:fill="auto"/>
          </w:tcPr>
          <w:p w14:paraId="02681F8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0.003</w:t>
            </w:r>
          </w:p>
        </w:tc>
      </w:tr>
      <w:tr w:rsidR="00892142" w:rsidRPr="004153B4" w14:paraId="2EB7DEBA" w14:textId="77777777" w:rsidTr="00770BD5">
        <w:trPr>
          <w:trHeight w:val="248"/>
          <w:jc w:val="center"/>
        </w:trPr>
        <w:tc>
          <w:tcPr>
            <w:tcW w:w="2662" w:type="dxa"/>
            <w:tcBorders>
              <w:top w:val="nil"/>
              <w:left w:val="nil"/>
              <w:bottom w:val="nil"/>
              <w:right w:val="nil"/>
            </w:tcBorders>
          </w:tcPr>
          <w:p w14:paraId="32134B7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Finland</w:t>
            </w:r>
          </w:p>
        </w:tc>
        <w:tc>
          <w:tcPr>
            <w:tcW w:w="2071" w:type="dxa"/>
            <w:tcBorders>
              <w:top w:val="nil"/>
              <w:left w:val="nil"/>
              <w:bottom w:val="nil"/>
              <w:right w:val="nil"/>
            </w:tcBorders>
            <w:shd w:val="clear" w:color="auto" w:fill="auto"/>
          </w:tcPr>
          <w:p w14:paraId="29432D5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0.421</w:t>
            </w:r>
          </w:p>
        </w:tc>
        <w:tc>
          <w:tcPr>
            <w:tcW w:w="2071" w:type="dxa"/>
            <w:tcBorders>
              <w:top w:val="nil"/>
              <w:left w:val="nil"/>
              <w:bottom w:val="nil"/>
              <w:right w:val="nil"/>
            </w:tcBorders>
            <w:shd w:val="clear" w:color="auto" w:fill="auto"/>
          </w:tcPr>
          <w:p w14:paraId="112E0D10"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0.410</w:t>
            </w:r>
          </w:p>
        </w:tc>
      </w:tr>
      <w:tr w:rsidR="00892142" w:rsidRPr="004153B4" w14:paraId="648E6A5D" w14:textId="77777777" w:rsidTr="00770BD5">
        <w:trPr>
          <w:trHeight w:val="248"/>
          <w:jc w:val="center"/>
        </w:trPr>
        <w:tc>
          <w:tcPr>
            <w:tcW w:w="2662" w:type="dxa"/>
            <w:tcBorders>
              <w:top w:val="nil"/>
              <w:left w:val="nil"/>
              <w:bottom w:val="nil"/>
              <w:right w:val="nil"/>
            </w:tcBorders>
          </w:tcPr>
          <w:p w14:paraId="5EE85D1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France</w:t>
            </w:r>
          </w:p>
        </w:tc>
        <w:tc>
          <w:tcPr>
            <w:tcW w:w="2071" w:type="dxa"/>
            <w:tcBorders>
              <w:top w:val="nil"/>
              <w:left w:val="nil"/>
              <w:bottom w:val="nil"/>
              <w:right w:val="nil"/>
            </w:tcBorders>
            <w:shd w:val="clear" w:color="auto" w:fill="auto"/>
          </w:tcPr>
          <w:p w14:paraId="1347F4D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4.427</w:t>
            </w:r>
          </w:p>
        </w:tc>
        <w:tc>
          <w:tcPr>
            <w:tcW w:w="2071" w:type="dxa"/>
            <w:tcBorders>
              <w:top w:val="nil"/>
              <w:left w:val="nil"/>
              <w:bottom w:val="nil"/>
              <w:right w:val="nil"/>
            </w:tcBorders>
            <w:shd w:val="clear" w:color="auto" w:fill="auto"/>
          </w:tcPr>
          <w:p w14:paraId="4A8828B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4.316</w:t>
            </w:r>
          </w:p>
        </w:tc>
      </w:tr>
      <w:tr w:rsidR="00892142" w:rsidRPr="004153B4" w14:paraId="470B7767" w14:textId="77777777" w:rsidTr="00770BD5">
        <w:trPr>
          <w:trHeight w:val="248"/>
          <w:jc w:val="center"/>
        </w:trPr>
        <w:tc>
          <w:tcPr>
            <w:tcW w:w="2662" w:type="dxa"/>
            <w:tcBorders>
              <w:top w:val="nil"/>
              <w:left w:val="nil"/>
              <w:bottom w:val="nil"/>
              <w:right w:val="nil"/>
            </w:tcBorders>
          </w:tcPr>
          <w:p w14:paraId="46935DF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Gabon</w:t>
            </w:r>
          </w:p>
        </w:tc>
        <w:tc>
          <w:tcPr>
            <w:tcW w:w="2071" w:type="dxa"/>
            <w:tcBorders>
              <w:top w:val="nil"/>
              <w:left w:val="nil"/>
              <w:bottom w:val="nil"/>
              <w:right w:val="nil"/>
            </w:tcBorders>
            <w:shd w:val="clear" w:color="auto" w:fill="auto"/>
          </w:tcPr>
          <w:p w14:paraId="1E894B1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0.015</w:t>
            </w:r>
          </w:p>
        </w:tc>
        <w:tc>
          <w:tcPr>
            <w:tcW w:w="2071" w:type="dxa"/>
            <w:tcBorders>
              <w:top w:val="nil"/>
              <w:left w:val="nil"/>
              <w:bottom w:val="nil"/>
              <w:right w:val="nil"/>
            </w:tcBorders>
            <w:shd w:val="clear" w:color="auto" w:fill="auto"/>
          </w:tcPr>
          <w:p w14:paraId="141364B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0.015</w:t>
            </w:r>
          </w:p>
        </w:tc>
      </w:tr>
      <w:tr w:rsidR="00892142" w:rsidRPr="004153B4" w14:paraId="5E5C3FB1" w14:textId="77777777" w:rsidTr="00770BD5">
        <w:trPr>
          <w:trHeight w:val="248"/>
          <w:jc w:val="center"/>
        </w:trPr>
        <w:tc>
          <w:tcPr>
            <w:tcW w:w="2662" w:type="dxa"/>
            <w:tcBorders>
              <w:top w:val="nil"/>
              <w:left w:val="nil"/>
              <w:bottom w:val="nil"/>
              <w:right w:val="nil"/>
            </w:tcBorders>
          </w:tcPr>
          <w:p w14:paraId="1DF089B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Gambia</w:t>
            </w:r>
          </w:p>
        </w:tc>
        <w:tc>
          <w:tcPr>
            <w:tcW w:w="2071" w:type="dxa"/>
            <w:tcBorders>
              <w:top w:val="nil"/>
              <w:left w:val="nil"/>
              <w:bottom w:val="nil"/>
              <w:right w:val="nil"/>
            </w:tcBorders>
            <w:shd w:val="clear" w:color="auto" w:fill="auto"/>
          </w:tcPr>
          <w:p w14:paraId="2FE0803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52A350B6"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21F3B436" w14:textId="77777777" w:rsidTr="00770BD5">
        <w:trPr>
          <w:trHeight w:val="248"/>
          <w:jc w:val="center"/>
        </w:trPr>
        <w:tc>
          <w:tcPr>
            <w:tcW w:w="2662" w:type="dxa"/>
            <w:tcBorders>
              <w:top w:val="nil"/>
              <w:left w:val="nil"/>
              <w:bottom w:val="nil"/>
              <w:right w:val="nil"/>
            </w:tcBorders>
          </w:tcPr>
          <w:p w14:paraId="1404408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Georgia</w:t>
            </w:r>
          </w:p>
        </w:tc>
        <w:tc>
          <w:tcPr>
            <w:tcW w:w="2071" w:type="dxa"/>
            <w:tcBorders>
              <w:top w:val="nil"/>
              <w:left w:val="nil"/>
              <w:bottom w:val="nil"/>
              <w:right w:val="nil"/>
            </w:tcBorders>
            <w:shd w:val="clear" w:color="auto" w:fill="auto"/>
          </w:tcPr>
          <w:p w14:paraId="022BF248"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0.008</w:t>
            </w:r>
          </w:p>
        </w:tc>
        <w:tc>
          <w:tcPr>
            <w:tcW w:w="2071" w:type="dxa"/>
            <w:tcBorders>
              <w:top w:val="nil"/>
              <w:left w:val="nil"/>
              <w:bottom w:val="nil"/>
              <w:right w:val="nil"/>
            </w:tcBorders>
            <w:shd w:val="clear" w:color="auto" w:fill="auto"/>
          </w:tcPr>
          <w:p w14:paraId="6AFA5DF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0.008</w:t>
            </w:r>
          </w:p>
        </w:tc>
      </w:tr>
      <w:tr w:rsidR="00892142" w:rsidRPr="004153B4" w14:paraId="5661554C" w14:textId="77777777" w:rsidTr="00770BD5">
        <w:trPr>
          <w:trHeight w:val="248"/>
          <w:jc w:val="center"/>
        </w:trPr>
        <w:tc>
          <w:tcPr>
            <w:tcW w:w="2662" w:type="dxa"/>
            <w:tcBorders>
              <w:top w:val="nil"/>
              <w:left w:val="nil"/>
              <w:bottom w:val="nil"/>
              <w:right w:val="nil"/>
            </w:tcBorders>
          </w:tcPr>
          <w:p w14:paraId="1D55402E"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Germany</w:t>
            </w:r>
          </w:p>
        </w:tc>
        <w:tc>
          <w:tcPr>
            <w:tcW w:w="2071" w:type="dxa"/>
            <w:tcBorders>
              <w:top w:val="nil"/>
              <w:left w:val="nil"/>
              <w:bottom w:val="nil"/>
              <w:right w:val="nil"/>
            </w:tcBorders>
            <w:shd w:val="clear" w:color="auto" w:fill="auto"/>
          </w:tcPr>
          <w:p w14:paraId="6A8BDFE7"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6.090</w:t>
            </w:r>
          </w:p>
        </w:tc>
        <w:tc>
          <w:tcPr>
            <w:tcW w:w="2071" w:type="dxa"/>
            <w:tcBorders>
              <w:top w:val="nil"/>
              <w:left w:val="nil"/>
              <w:bottom w:val="nil"/>
              <w:right w:val="nil"/>
            </w:tcBorders>
            <w:shd w:val="clear" w:color="auto" w:fill="auto"/>
          </w:tcPr>
          <w:p w14:paraId="13198DCB"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5.937</w:t>
            </w:r>
          </w:p>
        </w:tc>
      </w:tr>
      <w:tr w:rsidR="00892142" w:rsidRPr="004153B4" w14:paraId="49713495" w14:textId="77777777" w:rsidTr="00770BD5">
        <w:trPr>
          <w:trHeight w:val="248"/>
          <w:jc w:val="center"/>
        </w:trPr>
        <w:tc>
          <w:tcPr>
            <w:tcW w:w="2662" w:type="dxa"/>
            <w:tcBorders>
              <w:top w:val="nil"/>
              <w:left w:val="nil"/>
              <w:bottom w:val="nil"/>
              <w:right w:val="nil"/>
            </w:tcBorders>
          </w:tcPr>
          <w:p w14:paraId="6F12396C"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Ghana</w:t>
            </w:r>
          </w:p>
        </w:tc>
        <w:tc>
          <w:tcPr>
            <w:tcW w:w="2071" w:type="dxa"/>
            <w:tcBorders>
              <w:top w:val="nil"/>
              <w:left w:val="nil"/>
              <w:bottom w:val="nil"/>
              <w:right w:val="nil"/>
            </w:tcBorders>
            <w:shd w:val="clear" w:color="auto" w:fill="auto"/>
          </w:tcPr>
          <w:p w14:paraId="2931C4E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0.015</w:t>
            </w:r>
          </w:p>
        </w:tc>
        <w:tc>
          <w:tcPr>
            <w:tcW w:w="2071" w:type="dxa"/>
            <w:tcBorders>
              <w:top w:val="nil"/>
              <w:left w:val="nil"/>
              <w:bottom w:val="nil"/>
              <w:right w:val="nil"/>
            </w:tcBorders>
            <w:shd w:val="clear" w:color="auto" w:fill="auto"/>
          </w:tcPr>
          <w:p w14:paraId="755B44F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0.015</w:t>
            </w:r>
          </w:p>
        </w:tc>
      </w:tr>
      <w:tr w:rsidR="00892142" w:rsidRPr="004153B4" w14:paraId="57C27C60" w14:textId="77777777" w:rsidTr="00770BD5">
        <w:trPr>
          <w:trHeight w:val="248"/>
          <w:jc w:val="center"/>
        </w:trPr>
        <w:tc>
          <w:tcPr>
            <w:tcW w:w="2662" w:type="dxa"/>
            <w:tcBorders>
              <w:top w:val="nil"/>
              <w:left w:val="nil"/>
              <w:bottom w:val="nil"/>
              <w:right w:val="nil"/>
            </w:tcBorders>
          </w:tcPr>
          <w:p w14:paraId="16FB205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Greece</w:t>
            </w:r>
          </w:p>
        </w:tc>
        <w:tc>
          <w:tcPr>
            <w:tcW w:w="2071" w:type="dxa"/>
            <w:tcBorders>
              <w:top w:val="nil"/>
              <w:left w:val="nil"/>
              <w:bottom w:val="nil"/>
              <w:right w:val="nil"/>
            </w:tcBorders>
            <w:shd w:val="clear" w:color="auto" w:fill="auto"/>
          </w:tcPr>
          <w:p w14:paraId="3B150FF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0.366</w:t>
            </w:r>
          </w:p>
        </w:tc>
        <w:tc>
          <w:tcPr>
            <w:tcW w:w="2071" w:type="dxa"/>
            <w:tcBorders>
              <w:top w:val="nil"/>
              <w:left w:val="nil"/>
              <w:bottom w:val="nil"/>
              <w:right w:val="nil"/>
            </w:tcBorders>
            <w:shd w:val="clear" w:color="auto" w:fill="auto"/>
          </w:tcPr>
          <w:p w14:paraId="32112B9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0.357</w:t>
            </w:r>
          </w:p>
        </w:tc>
      </w:tr>
      <w:tr w:rsidR="00892142" w:rsidRPr="004153B4" w14:paraId="36D5DFFD" w14:textId="77777777" w:rsidTr="00770BD5">
        <w:trPr>
          <w:trHeight w:val="248"/>
          <w:jc w:val="center"/>
        </w:trPr>
        <w:tc>
          <w:tcPr>
            <w:tcW w:w="2662" w:type="dxa"/>
            <w:tcBorders>
              <w:top w:val="nil"/>
              <w:left w:val="nil"/>
              <w:bottom w:val="nil"/>
              <w:right w:val="nil"/>
            </w:tcBorders>
          </w:tcPr>
          <w:p w14:paraId="5B2A4903"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Grenada</w:t>
            </w:r>
          </w:p>
        </w:tc>
        <w:tc>
          <w:tcPr>
            <w:tcW w:w="2071" w:type="dxa"/>
            <w:tcBorders>
              <w:top w:val="nil"/>
              <w:left w:val="nil"/>
              <w:bottom w:val="nil"/>
              <w:right w:val="nil"/>
            </w:tcBorders>
            <w:shd w:val="clear" w:color="auto" w:fill="auto"/>
          </w:tcPr>
          <w:p w14:paraId="003FE5A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2E59671F"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30D3780B" w14:textId="77777777" w:rsidTr="00770BD5">
        <w:trPr>
          <w:trHeight w:val="248"/>
          <w:jc w:val="center"/>
        </w:trPr>
        <w:tc>
          <w:tcPr>
            <w:tcW w:w="2662" w:type="dxa"/>
            <w:tcBorders>
              <w:top w:val="nil"/>
              <w:left w:val="nil"/>
              <w:bottom w:val="nil"/>
              <w:right w:val="nil"/>
            </w:tcBorders>
          </w:tcPr>
          <w:p w14:paraId="45FEB8F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Guatemala</w:t>
            </w:r>
          </w:p>
        </w:tc>
        <w:tc>
          <w:tcPr>
            <w:tcW w:w="2071" w:type="dxa"/>
            <w:tcBorders>
              <w:top w:val="nil"/>
              <w:left w:val="nil"/>
              <w:bottom w:val="nil"/>
              <w:right w:val="nil"/>
            </w:tcBorders>
            <w:shd w:val="clear" w:color="auto" w:fill="auto"/>
          </w:tcPr>
          <w:p w14:paraId="580A9D37"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0.036</w:t>
            </w:r>
          </w:p>
        </w:tc>
        <w:tc>
          <w:tcPr>
            <w:tcW w:w="2071" w:type="dxa"/>
            <w:tcBorders>
              <w:top w:val="nil"/>
              <w:left w:val="nil"/>
              <w:bottom w:val="nil"/>
              <w:right w:val="nil"/>
            </w:tcBorders>
            <w:shd w:val="clear" w:color="auto" w:fill="auto"/>
          </w:tcPr>
          <w:p w14:paraId="2A3E3DB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0.035</w:t>
            </w:r>
          </w:p>
        </w:tc>
      </w:tr>
      <w:tr w:rsidR="00892142" w:rsidRPr="004153B4" w14:paraId="63E7714E" w14:textId="77777777" w:rsidTr="00770BD5">
        <w:trPr>
          <w:trHeight w:val="248"/>
          <w:jc w:val="center"/>
        </w:trPr>
        <w:tc>
          <w:tcPr>
            <w:tcW w:w="2662" w:type="dxa"/>
            <w:tcBorders>
              <w:top w:val="nil"/>
              <w:left w:val="nil"/>
              <w:bottom w:val="nil"/>
              <w:right w:val="nil"/>
            </w:tcBorders>
          </w:tcPr>
          <w:p w14:paraId="3BB1058E"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Guinea</w:t>
            </w:r>
          </w:p>
        </w:tc>
        <w:tc>
          <w:tcPr>
            <w:tcW w:w="2071" w:type="dxa"/>
            <w:tcBorders>
              <w:top w:val="nil"/>
              <w:left w:val="nil"/>
              <w:bottom w:val="nil"/>
              <w:right w:val="nil"/>
            </w:tcBorders>
            <w:shd w:val="clear" w:color="auto" w:fill="auto"/>
          </w:tcPr>
          <w:p w14:paraId="112EDDF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0.003</w:t>
            </w:r>
          </w:p>
        </w:tc>
        <w:tc>
          <w:tcPr>
            <w:tcW w:w="2071" w:type="dxa"/>
            <w:tcBorders>
              <w:top w:val="nil"/>
              <w:left w:val="nil"/>
              <w:bottom w:val="nil"/>
              <w:right w:val="nil"/>
            </w:tcBorders>
            <w:shd w:val="clear" w:color="auto" w:fill="auto"/>
          </w:tcPr>
          <w:p w14:paraId="4E065493"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0.003</w:t>
            </w:r>
          </w:p>
        </w:tc>
      </w:tr>
      <w:tr w:rsidR="00892142" w:rsidRPr="004153B4" w14:paraId="0BE15ABA" w14:textId="77777777" w:rsidTr="00770BD5">
        <w:trPr>
          <w:trHeight w:val="248"/>
          <w:jc w:val="center"/>
        </w:trPr>
        <w:tc>
          <w:tcPr>
            <w:tcW w:w="2662" w:type="dxa"/>
            <w:tcBorders>
              <w:top w:val="nil"/>
              <w:left w:val="nil"/>
              <w:bottom w:val="nil"/>
              <w:right w:val="nil"/>
            </w:tcBorders>
          </w:tcPr>
          <w:p w14:paraId="40F2986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Guinea-Bissau</w:t>
            </w:r>
          </w:p>
        </w:tc>
        <w:tc>
          <w:tcPr>
            <w:tcW w:w="2071" w:type="dxa"/>
            <w:tcBorders>
              <w:top w:val="nil"/>
              <w:left w:val="nil"/>
              <w:bottom w:val="nil"/>
              <w:right w:val="nil"/>
            </w:tcBorders>
            <w:shd w:val="clear" w:color="auto" w:fill="auto"/>
          </w:tcPr>
          <w:p w14:paraId="35CC68F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7DE3167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06F845DF" w14:textId="77777777" w:rsidTr="00770BD5">
        <w:trPr>
          <w:trHeight w:val="248"/>
          <w:jc w:val="center"/>
        </w:trPr>
        <w:tc>
          <w:tcPr>
            <w:tcW w:w="2662" w:type="dxa"/>
            <w:tcBorders>
              <w:top w:val="nil"/>
              <w:left w:val="nil"/>
              <w:bottom w:val="nil"/>
              <w:right w:val="nil"/>
            </w:tcBorders>
          </w:tcPr>
          <w:p w14:paraId="5F624B57"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Guyana</w:t>
            </w:r>
          </w:p>
        </w:tc>
        <w:tc>
          <w:tcPr>
            <w:tcW w:w="2071" w:type="dxa"/>
            <w:tcBorders>
              <w:top w:val="nil"/>
              <w:left w:val="nil"/>
              <w:bottom w:val="nil"/>
              <w:right w:val="nil"/>
            </w:tcBorders>
            <w:shd w:val="clear" w:color="auto" w:fill="auto"/>
          </w:tcPr>
          <w:p w14:paraId="58F1242B"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0.002</w:t>
            </w:r>
          </w:p>
        </w:tc>
        <w:tc>
          <w:tcPr>
            <w:tcW w:w="2071" w:type="dxa"/>
            <w:tcBorders>
              <w:top w:val="nil"/>
              <w:left w:val="nil"/>
              <w:bottom w:val="nil"/>
              <w:right w:val="nil"/>
            </w:tcBorders>
            <w:shd w:val="clear" w:color="auto" w:fill="auto"/>
          </w:tcPr>
          <w:p w14:paraId="36055E1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0.002</w:t>
            </w:r>
          </w:p>
        </w:tc>
      </w:tr>
      <w:tr w:rsidR="00892142" w:rsidRPr="004153B4" w14:paraId="137908AD" w14:textId="77777777" w:rsidTr="00770BD5">
        <w:trPr>
          <w:trHeight w:val="248"/>
          <w:jc w:val="center"/>
        </w:trPr>
        <w:tc>
          <w:tcPr>
            <w:tcW w:w="2662" w:type="dxa"/>
            <w:tcBorders>
              <w:top w:val="nil"/>
              <w:left w:val="nil"/>
              <w:bottom w:val="nil"/>
              <w:right w:val="nil"/>
            </w:tcBorders>
          </w:tcPr>
          <w:p w14:paraId="7D9D2C7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Haiti</w:t>
            </w:r>
          </w:p>
        </w:tc>
        <w:tc>
          <w:tcPr>
            <w:tcW w:w="2071" w:type="dxa"/>
            <w:tcBorders>
              <w:top w:val="nil"/>
              <w:left w:val="nil"/>
              <w:bottom w:val="nil"/>
              <w:right w:val="nil"/>
            </w:tcBorders>
            <w:shd w:val="clear" w:color="auto" w:fill="auto"/>
          </w:tcPr>
          <w:p w14:paraId="11C0A54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0.003</w:t>
            </w:r>
          </w:p>
        </w:tc>
        <w:tc>
          <w:tcPr>
            <w:tcW w:w="2071" w:type="dxa"/>
            <w:tcBorders>
              <w:top w:val="nil"/>
              <w:left w:val="nil"/>
              <w:bottom w:val="nil"/>
              <w:right w:val="nil"/>
            </w:tcBorders>
            <w:shd w:val="clear" w:color="auto" w:fill="auto"/>
          </w:tcPr>
          <w:p w14:paraId="2690938B"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0.003</w:t>
            </w:r>
          </w:p>
        </w:tc>
      </w:tr>
      <w:tr w:rsidR="00892142" w:rsidRPr="004153B4" w14:paraId="4356268C" w14:textId="77777777" w:rsidTr="00770BD5">
        <w:trPr>
          <w:trHeight w:val="248"/>
          <w:jc w:val="center"/>
        </w:trPr>
        <w:tc>
          <w:tcPr>
            <w:tcW w:w="2662" w:type="dxa"/>
            <w:tcBorders>
              <w:top w:val="nil"/>
              <w:left w:val="nil"/>
              <w:bottom w:val="nil"/>
              <w:right w:val="nil"/>
            </w:tcBorders>
          </w:tcPr>
          <w:p w14:paraId="254E8BC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Honduras</w:t>
            </w:r>
          </w:p>
        </w:tc>
        <w:tc>
          <w:tcPr>
            <w:tcW w:w="2071" w:type="dxa"/>
            <w:tcBorders>
              <w:top w:val="nil"/>
              <w:left w:val="nil"/>
              <w:bottom w:val="nil"/>
              <w:right w:val="nil"/>
            </w:tcBorders>
            <w:shd w:val="clear" w:color="auto" w:fill="auto"/>
          </w:tcPr>
          <w:p w14:paraId="5154E3E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0.009</w:t>
            </w:r>
          </w:p>
        </w:tc>
        <w:tc>
          <w:tcPr>
            <w:tcW w:w="2071" w:type="dxa"/>
            <w:tcBorders>
              <w:top w:val="nil"/>
              <w:left w:val="nil"/>
              <w:bottom w:val="nil"/>
              <w:right w:val="nil"/>
            </w:tcBorders>
            <w:shd w:val="clear" w:color="auto" w:fill="auto"/>
          </w:tcPr>
          <w:p w14:paraId="40B6E403"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0.009</w:t>
            </w:r>
          </w:p>
        </w:tc>
      </w:tr>
      <w:tr w:rsidR="00892142" w:rsidRPr="004153B4" w14:paraId="16C40BAE" w14:textId="77777777" w:rsidTr="00770BD5">
        <w:trPr>
          <w:trHeight w:val="248"/>
          <w:jc w:val="center"/>
        </w:trPr>
        <w:tc>
          <w:tcPr>
            <w:tcW w:w="2662" w:type="dxa"/>
            <w:tcBorders>
              <w:top w:val="nil"/>
              <w:left w:val="nil"/>
              <w:bottom w:val="nil"/>
              <w:right w:val="nil"/>
            </w:tcBorders>
          </w:tcPr>
          <w:p w14:paraId="5B11B26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Hungary</w:t>
            </w:r>
          </w:p>
        </w:tc>
        <w:tc>
          <w:tcPr>
            <w:tcW w:w="2071" w:type="dxa"/>
            <w:tcBorders>
              <w:top w:val="nil"/>
              <w:left w:val="nil"/>
              <w:bottom w:val="nil"/>
              <w:right w:val="nil"/>
            </w:tcBorders>
            <w:shd w:val="clear" w:color="auto" w:fill="auto"/>
          </w:tcPr>
          <w:p w14:paraId="50F7238A"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0.206</w:t>
            </w:r>
          </w:p>
        </w:tc>
        <w:tc>
          <w:tcPr>
            <w:tcW w:w="2071" w:type="dxa"/>
            <w:tcBorders>
              <w:top w:val="nil"/>
              <w:left w:val="nil"/>
              <w:bottom w:val="nil"/>
              <w:right w:val="nil"/>
            </w:tcBorders>
            <w:shd w:val="clear" w:color="auto" w:fill="auto"/>
          </w:tcPr>
          <w:p w14:paraId="341B4F7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0.201</w:t>
            </w:r>
          </w:p>
        </w:tc>
      </w:tr>
      <w:tr w:rsidR="00892142" w:rsidRPr="004153B4" w14:paraId="5AF39CF1" w14:textId="77777777" w:rsidTr="00770BD5">
        <w:trPr>
          <w:trHeight w:val="248"/>
          <w:jc w:val="center"/>
        </w:trPr>
        <w:tc>
          <w:tcPr>
            <w:tcW w:w="2662" w:type="dxa"/>
            <w:tcBorders>
              <w:top w:val="nil"/>
              <w:left w:val="nil"/>
              <w:bottom w:val="nil"/>
              <w:right w:val="nil"/>
            </w:tcBorders>
          </w:tcPr>
          <w:p w14:paraId="7A00D352"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Iceland</w:t>
            </w:r>
          </w:p>
        </w:tc>
        <w:tc>
          <w:tcPr>
            <w:tcW w:w="2071" w:type="dxa"/>
            <w:tcBorders>
              <w:top w:val="nil"/>
              <w:left w:val="nil"/>
              <w:bottom w:val="nil"/>
              <w:right w:val="nil"/>
            </w:tcBorders>
            <w:shd w:val="clear" w:color="auto" w:fill="auto"/>
          </w:tcPr>
          <w:p w14:paraId="0CB7EB13"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0.028</w:t>
            </w:r>
          </w:p>
        </w:tc>
        <w:tc>
          <w:tcPr>
            <w:tcW w:w="2071" w:type="dxa"/>
            <w:tcBorders>
              <w:top w:val="nil"/>
              <w:left w:val="nil"/>
              <w:bottom w:val="nil"/>
              <w:right w:val="nil"/>
            </w:tcBorders>
            <w:shd w:val="clear" w:color="auto" w:fill="auto"/>
          </w:tcPr>
          <w:p w14:paraId="06C1FC2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0.027</w:t>
            </w:r>
          </w:p>
        </w:tc>
      </w:tr>
      <w:tr w:rsidR="00892142" w:rsidRPr="004153B4" w14:paraId="7E26A4D8" w14:textId="77777777" w:rsidTr="00770BD5">
        <w:trPr>
          <w:trHeight w:val="248"/>
          <w:jc w:val="center"/>
        </w:trPr>
        <w:tc>
          <w:tcPr>
            <w:tcW w:w="2662" w:type="dxa"/>
            <w:tcBorders>
              <w:top w:val="nil"/>
              <w:left w:val="nil"/>
              <w:bottom w:val="nil"/>
              <w:right w:val="nil"/>
            </w:tcBorders>
          </w:tcPr>
          <w:p w14:paraId="4ED8A08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India</w:t>
            </w:r>
          </w:p>
        </w:tc>
        <w:tc>
          <w:tcPr>
            <w:tcW w:w="2071" w:type="dxa"/>
            <w:tcBorders>
              <w:top w:val="nil"/>
              <w:left w:val="nil"/>
              <w:bottom w:val="nil"/>
              <w:right w:val="nil"/>
            </w:tcBorders>
            <w:shd w:val="clear" w:color="auto" w:fill="auto"/>
          </w:tcPr>
          <w:p w14:paraId="6793C9EA"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0.834</w:t>
            </w:r>
          </w:p>
        </w:tc>
        <w:tc>
          <w:tcPr>
            <w:tcW w:w="2071" w:type="dxa"/>
            <w:tcBorders>
              <w:top w:val="nil"/>
              <w:left w:val="nil"/>
              <w:bottom w:val="nil"/>
              <w:right w:val="nil"/>
            </w:tcBorders>
            <w:shd w:val="clear" w:color="auto" w:fill="auto"/>
          </w:tcPr>
          <w:p w14:paraId="2BB5F28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0.813</w:t>
            </w:r>
          </w:p>
        </w:tc>
      </w:tr>
      <w:tr w:rsidR="00892142" w:rsidRPr="004153B4" w14:paraId="2C142F6C" w14:textId="77777777" w:rsidTr="00770BD5">
        <w:trPr>
          <w:trHeight w:val="248"/>
          <w:jc w:val="center"/>
        </w:trPr>
        <w:tc>
          <w:tcPr>
            <w:tcW w:w="2662" w:type="dxa"/>
            <w:tcBorders>
              <w:top w:val="nil"/>
              <w:left w:val="nil"/>
              <w:bottom w:val="nil"/>
              <w:right w:val="nil"/>
            </w:tcBorders>
          </w:tcPr>
          <w:p w14:paraId="2B8EF751"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Indonesia</w:t>
            </w:r>
          </w:p>
        </w:tc>
        <w:tc>
          <w:tcPr>
            <w:tcW w:w="2071" w:type="dxa"/>
            <w:tcBorders>
              <w:top w:val="nil"/>
              <w:left w:val="nil"/>
              <w:bottom w:val="nil"/>
              <w:right w:val="nil"/>
            </w:tcBorders>
            <w:shd w:val="clear" w:color="auto" w:fill="auto"/>
          </w:tcPr>
          <w:p w14:paraId="26B2BA37"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0.543</w:t>
            </w:r>
          </w:p>
        </w:tc>
        <w:tc>
          <w:tcPr>
            <w:tcW w:w="2071" w:type="dxa"/>
            <w:tcBorders>
              <w:top w:val="nil"/>
              <w:left w:val="nil"/>
              <w:bottom w:val="nil"/>
              <w:right w:val="nil"/>
            </w:tcBorders>
            <w:shd w:val="clear" w:color="auto" w:fill="auto"/>
          </w:tcPr>
          <w:p w14:paraId="319E970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0.529</w:t>
            </w:r>
          </w:p>
        </w:tc>
      </w:tr>
      <w:tr w:rsidR="00892142" w:rsidRPr="004153B4" w14:paraId="146DCAE8" w14:textId="77777777" w:rsidTr="00770BD5">
        <w:trPr>
          <w:trHeight w:val="248"/>
          <w:jc w:val="center"/>
        </w:trPr>
        <w:tc>
          <w:tcPr>
            <w:tcW w:w="2662" w:type="dxa"/>
            <w:tcBorders>
              <w:top w:val="nil"/>
              <w:left w:val="nil"/>
              <w:bottom w:val="nil"/>
              <w:right w:val="nil"/>
            </w:tcBorders>
          </w:tcPr>
          <w:p w14:paraId="1D6C1A34"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Iran (Islamic Republic of)</w:t>
            </w:r>
          </w:p>
        </w:tc>
        <w:tc>
          <w:tcPr>
            <w:tcW w:w="2071" w:type="dxa"/>
            <w:tcBorders>
              <w:top w:val="nil"/>
              <w:left w:val="nil"/>
              <w:bottom w:val="nil"/>
              <w:right w:val="nil"/>
            </w:tcBorders>
            <w:shd w:val="clear" w:color="auto" w:fill="auto"/>
          </w:tcPr>
          <w:p w14:paraId="5735F9CE"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0.398</w:t>
            </w:r>
          </w:p>
        </w:tc>
        <w:tc>
          <w:tcPr>
            <w:tcW w:w="2071" w:type="dxa"/>
            <w:tcBorders>
              <w:top w:val="nil"/>
              <w:left w:val="nil"/>
              <w:bottom w:val="nil"/>
              <w:right w:val="nil"/>
            </w:tcBorders>
            <w:shd w:val="clear" w:color="auto" w:fill="auto"/>
          </w:tcPr>
          <w:p w14:paraId="4CBD4786"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0.388</w:t>
            </w:r>
          </w:p>
        </w:tc>
      </w:tr>
      <w:tr w:rsidR="00892142" w:rsidRPr="004153B4" w14:paraId="607074E3" w14:textId="77777777" w:rsidTr="00770BD5">
        <w:trPr>
          <w:trHeight w:val="248"/>
          <w:jc w:val="center"/>
        </w:trPr>
        <w:tc>
          <w:tcPr>
            <w:tcW w:w="2662" w:type="dxa"/>
            <w:tcBorders>
              <w:top w:val="nil"/>
              <w:left w:val="nil"/>
              <w:bottom w:val="nil"/>
              <w:right w:val="nil"/>
            </w:tcBorders>
          </w:tcPr>
          <w:p w14:paraId="530DD6FC" w14:textId="77777777" w:rsidR="00892142" w:rsidRPr="004153B4" w:rsidRDefault="00892142" w:rsidP="00887556">
            <w:pPr>
              <w:suppressAutoHyphens w:val="0"/>
              <w:spacing w:line="240" w:lineRule="auto"/>
              <w:ind w:left="360" w:hanging="360"/>
              <w:rPr>
                <w:rFonts w:eastAsia="MS Mincho"/>
                <w:color w:val="000000"/>
                <w:sz w:val="18"/>
                <w:szCs w:val="18"/>
                <w:lang w:eastAsia="de-DE"/>
              </w:rPr>
            </w:pPr>
            <w:r w:rsidRPr="004153B4">
              <w:rPr>
                <w:rFonts w:eastAsia="MS Mincho"/>
                <w:color w:val="000000"/>
                <w:sz w:val="18"/>
                <w:szCs w:val="18"/>
                <w:lang w:eastAsia="de-DE"/>
              </w:rPr>
              <w:t>Iraq</w:t>
            </w:r>
          </w:p>
        </w:tc>
        <w:tc>
          <w:tcPr>
            <w:tcW w:w="2071" w:type="dxa"/>
            <w:tcBorders>
              <w:top w:val="nil"/>
              <w:left w:val="nil"/>
              <w:bottom w:val="nil"/>
              <w:right w:val="nil"/>
            </w:tcBorders>
            <w:shd w:val="clear" w:color="auto" w:fill="auto"/>
          </w:tcPr>
          <w:p w14:paraId="54FD5DE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0.129</w:t>
            </w:r>
          </w:p>
        </w:tc>
        <w:tc>
          <w:tcPr>
            <w:tcW w:w="2071" w:type="dxa"/>
            <w:tcBorders>
              <w:top w:val="nil"/>
              <w:left w:val="nil"/>
              <w:bottom w:val="nil"/>
              <w:right w:val="nil"/>
            </w:tcBorders>
            <w:shd w:val="clear" w:color="auto" w:fill="auto"/>
          </w:tcPr>
          <w:p w14:paraId="1709723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0.126</w:t>
            </w:r>
          </w:p>
        </w:tc>
      </w:tr>
      <w:tr w:rsidR="00892142" w:rsidRPr="004153B4" w14:paraId="0A01EA2B" w14:textId="77777777" w:rsidTr="00770BD5">
        <w:trPr>
          <w:trHeight w:val="248"/>
          <w:jc w:val="center"/>
        </w:trPr>
        <w:tc>
          <w:tcPr>
            <w:tcW w:w="2662" w:type="dxa"/>
            <w:tcBorders>
              <w:top w:val="nil"/>
              <w:left w:val="nil"/>
              <w:bottom w:val="nil"/>
              <w:right w:val="nil"/>
            </w:tcBorders>
          </w:tcPr>
          <w:p w14:paraId="5541036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Ireland</w:t>
            </w:r>
          </w:p>
        </w:tc>
        <w:tc>
          <w:tcPr>
            <w:tcW w:w="2071" w:type="dxa"/>
            <w:tcBorders>
              <w:top w:val="nil"/>
              <w:left w:val="nil"/>
              <w:bottom w:val="nil"/>
              <w:right w:val="nil"/>
            </w:tcBorders>
            <w:shd w:val="clear" w:color="auto" w:fill="auto"/>
          </w:tcPr>
          <w:p w14:paraId="3A2D5A1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0.371</w:t>
            </w:r>
          </w:p>
        </w:tc>
        <w:tc>
          <w:tcPr>
            <w:tcW w:w="2071" w:type="dxa"/>
            <w:tcBorders>
              <w:top w:val="nil"/>
              <w:left w:val="nil"/>
              <w:bottom w:val="nil"/>
              <w:right w:val="nil"/>
            </w:tcBorders>
            <w:shd w:val="clear" w:color="auto" w:fill="auto"/>
          </w:tcPr>
          <w:p w14:paraId="78E52679"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0.362</w:t>
            </w:r>
          </w:p>
        </w:tc>
      </w:tr>
      <w:tr w:rsidR="00892142" w:rsidRPr="004153B4" w14:paraId="7632E1DA" w14:textId="77777777" w:rsidTr="00770BD5">
        <w:trPr>
          <w:trHeight w:val="248"/>
          <w:jc w:val="center"/>
        </w:trPr>
        <w:tc>
          <w:tcPr>
            <w:tcW w:w="2662" w:type="dxa"/>
            <w:tcBorders>
              <w:top w:val="nil"/>
              <w:left w:val="nil"/>
              <w:bottom w:val="nil"/>
              <w:right w:val="nil"/>
            </w:tcBorders>
          </w:tcPr>
          <w:p w14:paraId="068130FE"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Israel</w:t>
            </w:r>
          </w:p>
        </w:tc>
        <w:tc>
          <w:tcPr>
            <w:tcW w:w="2071" w:type="dxa"/>
            <w:tcBorders>
              <w:top w:val="nil"/>
              <w:left w:val="nil"/>
              <w:bottom w:val="nil"/>
              <w:right w:val="nil"/>
            </w:tcBorders>
            <w:shd w:val="clear" w:color="auto" w:fill="auto"/>
          </w:tcPr>
          <w:p w14:paraId="25412AA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0.490</w:t>
            </w:r>
          </w:p>
        </w:tc>
        <w:tc>
          <w:tcPr>
            <w:tcW w:w="2071" w:type="dxa"/>
            <w:tcBorders>
              <w:top w:val="nil"/>
              <w:left w:val="nil"/>
              <w:bottom w:val="nil"/>
              <w:right w:val="nil"/>
            </w:tcBorders>
            <w:shd w:val="clear" w:color="auto" w:fill="auto"/>
          </w:tcPr>
          <w:p w14:paraId="500F4E1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0.478</w:t>
            </w:r>
          </w:p>
        </w:tc>
      </w:tr>
      <w:tr w:rsidR="00892142" w:rsidRPr="004153B4" w14:paraId="6D74AD58" w14:textId="77777777" w:rsidTr="00770BD5">
        <w:trPr>
          <w:trHeight w:val="248"/>
          <w:jc w:val="center"/>
        </w:trPr>
        <w:tc>
          <w:tcPr>
            <w:tcW w:w="2662" w:type="dxa"/>
            <w:tcBorders>
              <w:top w:val="nil"/>
              <w:left w:val="nil"/>
              <w:bottom w:val="nil"/>
              <w:right w:val="nil"/>
            </w:tcBorders>
          </w:tcPr>
          <w:p w14:paraId="190F55D1"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Italy</w:t>
            </w:r>
          </w:p>
        </w:tc>
        <w:tc>
          <w:tcPr>
            <w:tcW w:w="2071" w:type="dxa"/>
            <w:tcBorders>
              <w:top w:val="nil"/>
              <w:left w:val="nil"/>
              <w:bottom w:val="nil"/>
              <w:right w:val="nil"/>
            </w:tcBorders>
            <w:shd w:val="clear" w:color="auto" w:fill="auto"/>
          </w:tcPr>
          <w:p w14:paraId="7C5C02D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3.307</w:t>
            </w:r>
          </w:p>
        </w:tc>
        <w:tc>
          <w:tcPr>
            <w:tcW w:w="2071" w:type="dxa"/>
            <w:tcBorders>
              <w:top w:val="nil"/>
              <w:left w:val="nil"/>
              <w:bottom w:val="nil"/>
              <w:right w:val="nil"/>
            </w:tcBorders>
            <w:shd w:val="clear" w:color="auto" w:fill="auto"/>
          </w:tcPr>
          <w:p w14:paraId="70E71DF1"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3.224</w:t>
            </w:r>
          </w:p>
        </w:tc>
      </w:tr>
      <w:tr w:rsidR="00892142" w:rsidRPr="004153B4" w14:paraId="7524DBFA" w14:textId="77777777" w:rsidTr="00770BD5">
        <w:trPr>
          <w:trHeight w:val="248"/>
          <w:jc w:val="center"/>
        </w:trPr>
        <w:tc>
          <w:tcPr>
            <w:tcW w:w="2662" w:type="dxa"/>
            <w:tcBorders>
              <w:top w:val="nil"/>
              <w:left w:val="nil"/>
              <w:bottom w:val="nil"/>
              <w:right w:val="nil"/>
            </w:tcBorders>
          </w:tcPr>
          <w:p w14:paraId="302B007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Jamaica</w:t>
            </w:r>
          </w:p>
        </w:tc>
        <w:tc>
          <w:tcPr>
            <w:tcW w:w="2071" w:type="dxa"/>
            <w:tcBorders>
              <w:top w:val="nil"/>
              <w:left w:val="nil"/>
              <w:bottom w:val="nil"/>
              <w:right w:val="nil"/>
            </w:tcBorders>
            <w:shd w:val="clear" w:color="auto" w:fill="auto"/>
          </w:tcPr>
          <w:p w14:paraId="7CBE3DBB"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0.008</w:t>
            </w:r>
          </w:p>
        </w:tc>
        <w:tc>
          <w:tcPr>
            <w:tcW w:w="2071" w:type="dxa"/>
            <w:tcBorders>
              <w:top w:val="nil"/>
              <w:left w:val="nil"/>
              <w:bottom w:val="nil"/>
              <w:right w:val="nil"/>
            </w:tcBorders>
            <w:shd w:val="clear" w:color="auto" w:fill="auto"/>
          </w:tcPr>
          <w:p w14:paraId="295320F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0.008</w:t>
            </w:r>
          </w:p>
        </w:tc>
      </w:tr>
      <w:tr w:rsidR="00892142" w:rsidRPr="004153B4" w14:paraId="1915699D" w14:textId="77777777" w:rsidTr="00770BD5">
        <w:trPr>
          <w:trHeight w:val="248"/>
          <w:jc w:val="center"/>
        </w:trPr>
        <w:tc>
          <w:tcPr>
            <w:tcW w:w="2662" w:type="dxa"/>
            <w:tcBorders>
              <w:top w:val="nil"/>
              <w:left w:val="nil"/>
              <w:bottom w:val="nil"/>
              <w:right w:val="nil"/>
            </w:tcBorders>
          </w:tcPr>
          <w:p w14:paraId="2217F8C3"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Japan</w:t>
            </w:r>
          </w:p>
        </w:tc>
        <w:tc>
          <w:tcPr>
            <w:tcW w:w="2071" w:type="dxa"/>
            <w:tcBorders>
              <w:top w:val="nil"/>
              <w:left w:val="nil"/>
              <w:bottom w:val="nil"/>
              <w:right w:val="nil"/>
            </w:tcBorders>
            <w:shd w:val="clear" w:color="auto" w:fill="auto"/>
          </w:tcPr>
          <w:p w14:paraId="0CAF1CE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8.564</w:t>
            </w:r>
          </w:p>
        </w:tc>
        <w:tc>
          <w:tcPr>
            <w:tcW w:w="2071" w:type="dxa"/>
            <w:tcBorders>
              <w:top w:val="nil"/>
              <w:left w:val="nil"/>
              <w:bottom w:val="nil"/>
              <w:right w:val="nil"/>
            </w:tcBorders>
            <w:shd w:val="clear" w:color="auto" w:fill="auto"/>
          </w:tcPr>
          <w:p w14:paraId="34F43EA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8.349</w:t>
            </w:r>
          </w:p>
        </w:tc>
      </w:tr>
      <w:tr w:rsidR="00892142" w:rsidRPr="004153B4" w14:paraId="191776D2" w14:textId="77777777" w:rsidTr="00770BD5">
        <w:trPr>
          <w:trHeight w:val="248"/>
          <w:jc w:val="center"/>
        </w:trPr>
        <w:tc>
          <w:tcPr>
            <w:tcW w:w="2662" w:type="dxa"/>
            <w:tcBorders>
              <w:top w:val="nil"/>
              <w:left w:val="nil"/>
              <w:bottom w:val="nil"/>
              <w:right w:val="nil"/>
            </w:tcBorders>
          </w:tcPr>
          <w:p w14:paraId="65815BB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Jordan</w:t>
            </w:r>
          </w:p>
        </w:tc>
        <w:tc>
          <w:tcPr>
            <w:tcW w:w="2071" w:type="dxa"/>
            <w:tcBorders>
              <w:top w:val="nil"/>
              <w:left w:val="nil"/>
              <w:bottom w:val="nil"/>
              <w:right w:val="nil"/>
            </w:tcBorders>
            <w:shd w:val="clear" w:color="auto" w:fill="auto"/>
          </w:tcPr>
          <w:p w14:paraId="2EA75CD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0.021</w:t>
            </w:r>
          </w:p>
        </w:tc>
        <w:tc>
          <w:tcPr>
            <w:tcW w:w="2071" w:type="dxa"/>
            <w:tcBorders>
              <w:top w:val="nil"/>
              <w:left w:val="nil"/>
              <w:bottom w:val="nil"/>
              <w:right w:val="nil"/>
            </w:tcBorders>
            <w:shd w:val="clear" w:color="auto" w:fill="auto"/>
          </w:tcPr>
          <w:p w14:paraId="65A2294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0.020</w:t>
            </w:r>
          </w:p>
        </w:tc>
      </w:tr>
      <w:tr w:rsidR="00892142" w:rsidRPr="004153B4" w14:paraId="6266FD12" w14:textId="77777777" w:rsidTr="00770BD5">
        <w:trPr>
          <w:trHeight w:val="248"/>
          <w:jc w:val="center"/>
        </w:trPr>
        <w:tc>
          <w:tcPr>
            <w:tcW w:w="2662" w:type="dxa"/>
            <w:tcBorders>
              <w:top w:val="nil"/>
              <w:left w:val="nil"/>
              <w:bottom w:val="nil"/>
              <w:right w:val="nil"/>
            </w:tcBorders>
          </w:tcPr>
          <w:p w14:paraId="343615D4"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Kazakhstan</w:t>
            </w:r>
          </w:p>
        </w:tc>
        <w:tc>
          <w:tcPr>
            <w:tcW w:w="2071" w:type="dxa"/>
            <w:tcBorders>
              <w:top w:val="nil"/>
              <w:left w:val="nil"/>
              <w:bottom w:val="nil"/>
              <w:right w:val="nil"/>
            </w:tcBorders>
            <w:shd w:val="clear" w:color="auto" w:fill="auto"/>
          </w:tcPr>
          <w:p w14:paraId="19F0410E"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0.178</w:t>
            </w:r>
          </w:p>
        </w:tc>
        <w:tc>
          <w:tcPr>
            <w:tcW w:w="2071" w:type="dxa"/>
            <w:tcBorders>
              <w:top w:val="nil"/>
              <w:left w:val="nil"/>
              <w:bottom w:val="nil"/>
              <w:right w:val="nil"/>
            </w:tcBorders>
            <w:shd w:val="clear" w:color="auto" w:fill="auto"/>
          </w:tcPr>
          <w:p w14:paraId="30FC842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0.174</w:t>
            </w:r>
          </w:p>
        </w:tc>
      </w:tr>
      <w:tr w:rsidR="00892142" w:rsidRPr="004153B4" w14:paraId="4A3E371A" w14:textId="77777777" w:rsidTr="00770BD5">
        <w:trPr>
          <w:trHeight w:val="248"/>
          <w:jc w:val="center"/>
        </w:trPr>
        <w:tc>
          <w:tcPr>
            <w:tcW w:w="2662" w:type="dxa"/>
            <w:tcBorders>
              <w:top w:val="nil"/>
              <w:left w:val="nil"/>
              <w:bottom w:val="nil"/>
              <w:right w:val="nil"/>
            </w:tcBorders>
          </w:tcPr>
          <w:p w14:paraId="2407962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Kenya</w:t>
            </w:r>
          </w:p>
        </w:tc>
        <w:tc>
          <w:tcPr>
            <w:tcW w:w="2071" w:type="dxa"/>
            <w:tcBorders>
              <w:top w:val="nil"/>
              <w:left w:val="nil"/>
              <w:bottom w:val="nil"/>
              <w:right w:val="nil"/>
            </w:tcBorders>
            <w:shd w:val="clear" w:color="auto" w:fill="auto"/>
          </w:tcPr>
          <w:p w14:paraId="5217036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0.024</w:t>
            </w:r>
          </w:p>
        </w:tc>
        <w:tc>
          <w:tcPr>
            <w:tcW w:w="2071" w:type="dxa"/>
            <w:tcBorders>
              <w:top w:val="nil"/>
              <w:left w:val="nil"/>
              <w:bottom w:val="nil"/>
              <w:right w:val="nil"/>
            </w:tcBorders>
            <w:shd w:val="clear" w:color="auto" w:fill="auto"/>
          </w:tcPr>
          <w:p w14:paraId="57EA1541"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0.023</w:t>
            </w:r>
          </w:p>
        </w:tc>
      </w:tr>
      <w:tr w:rsidR="00892142" w:rsidRPr="004153B4" w14:paraId="7707ECC2" w14:textId="77777777" w:rsidTr="00770BD5">
        <w:trPr>
          <w:trHeight w:val="248"/>
          <w:jc w:val="center"/>
        </w:trPr>
        <w:tc>
          <w:tcPr>
            <w:tcW w:w="2662" w:type="dxa"/>
            <w:tcBorders>
              <w:top w:val="nil"/>
              <w:left w:val="nil"/>
              <w:bottom w:val="nil"/>
              <w:right w:val="nil"/>
            </w:tcBorders>
          </w:tcPr>
          <w:p w14:paraId="4FD4CE24"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Kiribati</w:t>
            </w:r>
          </w:p>
        </w:tc>
        <w:tc>
          <w:tcPr>
            <w:tcW w:w="2071" w:type="dxa"/>
            <w:tcBorders>
              <w:top w:val="nil"/>
              <w:left w:val="nil"/>
              <w:bottom w:val="nil"/>
              <w:right w:val="nil"/>
            </w:tcBorders>
            <w:shd w:val="clear" w:color="auto" w:fill="auto"/>
          </w:tcPr>
          <w:p w14:paraId="31F511EC" w14:textId="77777777" w:rsidR="00892142" w:rsidRPr="004153B4" w:rsidRDefault="00892142" w:rsidP="00887556">
            <w:pPr>
              <w:suppressAutoHyphens w:val="0"/>
              <w:spacing w:line="240" w:lineRule="auto"/>
              <w:jc w:val="right"/>
              <w:rPr>
                <w:rFonts w:eastAsia="MS Mincho"/>
                <w:color w:val="000000"/>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21BD523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1499FD05" w14:textId="77777777" w:rsidTr="00770BD5">
        <w:trPr>
          <w:trHeight w:val="248"/>
          <w:jc w:val="center"/>
        </w:trPr>
        <w:tc>
          <w:tcPr>
            <w:tcW w:w="2662" w:type="dxa"/>
            <w:tcBorders>
              <w:top w:val="nil"/>
              <w:left w:val="nil"/>
              <w:bottom w:val="nil"/>
              <w:right w:val="nil"/>
            </w:tcBorders>
          </w:tcPr>
          <w:p w14:paraId="0612B41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Kuwait</w:t>
            </w:r>
          </w:p>
        </w:tc>
        <w:tc>
          <w:tcPr>
            <w:tcW w:w="2071" w:type="dxa"/>
            <w:tcBorders>
              <w:top w:val="nil"/>
              <w:left w:val="nil"/>
              <w:bottom w:val="nil"/>
              <w:right w:val="nil"/>
            </w:tcBorders>
            <w:shd w:val="clear" w:color="auto" w:fill="auto"/>
          </w:tcPr>
          <w:p w14:paraId="169348C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0.252</w:t>
            </w:r>
          </w:p>
        </w:tc>
        <w:tc>
          <w:tcPr>
            <w:tcW w:w="2071" w:type="dxa"/>
            <w:tcBorders>
              <w:top w:val="nil"/>
              <w:left w:val="nil"/>
              <w:bottom w:val="nil"/>
              <w:right w:val="nil"/>
            </w:tcBorders>
            <w:shd w:val="clear" w:color="auto" w:fill="auto"/>
          </w:tcPr>
          <w:p w14:paraId="2B5C724F"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0.246</w:t>
            </w:r>
          </w:p>
        </w:tc>
      </w:tr>
      <w:tr w:rsidR="00892142" w:rsidRPr="004153B4" w14:paraId="4588E7D9" w14:textId="77777777" w:rsidTr="00770BD5">
        <w:trPr>
          <w:trHeight w:val="248"/>
          <w:jc w:val="center"/>
        </w:trPr>
        <w:tc>
          <w:tcPr>
            <w:tcW w:w="2662" w:type="dxa"/>
            <w:tcBorders>
              <w:top w:val="nil"/>
              <w:left w:val="nil"/>
              <w:bottom w:val="nil"/>
              <w:right w:val="nil"/>
            </w:tcBorders>
          </w:tcPr>
          <w:p w14:paraId="728C64C2"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Kyrgyzstan</w:t>
            </w:r>
          </w:p>
        </w:tc>
        <w:tc>
          <w:tcPr>
            <w:tcW w:w="2071" w:type="dxa"/>
            <w:tcBorders>
              <w:top w:val="nil"/>
              <w:left w:val="nil"/>
              <w:bottom w:val="nil"/>
              <w:right w:val="nil"/>
            </w:tcBorders>
            <w:shd w:val="clear" w:color="auto" w:fill="auto"/>
          </w:tcPr>
          <w:p w14:paraId="0F024C4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0.002</w:t>
            </w:r>
          </w:p>
        </w:tc>
        <w:tc>
          <w:tcPr>
            <w:tcW w:w="2071" w:type="dxa"/>
            <w:tcBorders>
              <w:top w:val="nil"/>
              <w:left w:val="nil"/>
              <w:bottom w:val="nil"/>
              <w:right w:val="nil"/>
            </w:tcBorders>
            <w:shd w:val="clear" w:color="auto" w:fill="auto"/>
          </w:tcPr>
          <w:p w14:paraId="6636207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0.002</w:t>
            </w:r>
          </w:p>
        </w:tc>
      </w:tr>
      <w:tr w:rsidR="00892142" w:rsidRPr="004153B4" w14:paraId="22C07BC7" w14:textId="77777777" w:rsidTr="00770BD5">
        <w:trPr>
          <w:trHeight w:val="248"/>
          <w:jc w:val="center"/>
        </w:trPr>
        <w:tc>
          <w:tcPr>
            <w:tcW w:w="2662" w:type="dxa"/>
            <w:tcBorders>
              <w:top w:val="nil"/>
              <w:left w:val="nil"/>
              <w:bottom w:val="nil"/>
              <w:right w:val="nil"/>
            </w:tcBorders>
          </w:tcPr>
          <w:p w14:paraId="30334F84"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Lao People’s Democratic Republic</w:t>
            </w:r>
          </w:p>
        </w:tc>
        <w:tc>
          <w:tcPr>
            <w:tcW w:w="2071" w:type="dxa"/>
            <w:tcBorders>
              <w:top w:val="nil"/>
              <w:left w:val="nil"/>
              <w:bottom w:val="nil"/>
              <w:right w:val="nil"/>
            </w:tcBorders>
            <w:shd w:val="clear" w:color="auto" w:fill="auto"/>
          </w:tcPr>
          <w:p w14:paraId="3B7E531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0.005</w:t>
            </w:r>
          </w:p>
        </w:tc>
        <w:tc>
          <w:tcPr>
            <w:tcW w:w="2071" w:type="dxa"/>
            <w:tcBorders>
              <w:top w:val="nil"/>
              <w:left w:val="nil"/>
              <w:bottom w:val="nil"/>
              <w:right w:val="nil"/>
            </w:tcBorders>
            <w:shd w:val="clear" w:color="auto" w:fill="auto"/>
          </w:tcPr>
          <w:p w14:paraId="7845A46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0.005</w:t>
            </w:r>
          </w:p>
        </w:tc>
      </w:tr>
      <w:tr w:rsidR="00892142" w:rsidRPr="004153B4" w14:paraId="69409CFF" w14:textId="77777777" w:rsidTr="00770BD5">
        <w:trPr>
          <w:trHeight w:val="248"/>
          <w:jc w:val="center"/>
        </w:trPr>
        <w:tc>
          <w:tcPr>
            <w:tcW w:w="2662" w:type="dxa"/>
            <w:tcBorders>
              <w:top w:val="nil"/>
              <w:left w:val="nil"/>
              <w:bottom w:val="nil"/>
              <w:right w:val="nil"/>
            </w:tcBorders>
          </w:tcPr>
          <w:p w14:paraId="4D59470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Latvia</w:t>
            </w:r>
          </w:p>
        </w:tc>
        <w:tc>
          <w:tcPr>
            <w:tcW w:w="2071" w:type="dxa"/>
            <w:tcBorders>
              <w:top w:val="nil"/>
              <w:left w:val="nil"/>
              <w:bottom w:val="nil"/>
              <w:right w:val="nil"/>
            </w:tcBorders>
            <w:shd w:val="clear" w:color="auto" w:fill="auto"/>
          </w:tcPr>
          <w:p w14:paraId="75079BAE"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0.047</w:t>
            </w:r>
          </w:p>
        </w:tc>
        <w:tc>
          <w:tcPr>
            <w:tcW w:w="2071" w:type="dxa"/>
            <w:tcBorders>
              <w:top w:val="nil"/>
              <w:left w:val="nil"/>
              <w:bottom w:val="nil"/>
              <w:right w:val="nil"/>
            </w:tcBorders>
            <w:shd w:val="clear" w:color="auto" w:fill="auto"/>
          </w:tcPr>
          <w:p w14:paraId="3FEC59DF"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0.046</w:t>
            </w:r>
          </w:p>
        </w:tc>
      </w:tr>
      <w:tr w:rsidR="00892142" w:rsidRPr="004153B4" w14:paraId="3A9ED50B" w14:textId="77777777" w:rsidTr="00770BD5">
        <w:trPr>
          <w:trHeight w:val="248"/>
          <w:jc w:val="center"/>
        </w:trPr>
        <w:tc>
          <w:tcPr>
            <w:tcW w:w="2662" w:type="dxa"/>
            <w:tcBorders>
              <w:top w:val="nil"/>
              <w:left w:val="nil"/>
              <w:bottom w:val="nil"/>
              <w:right w:val="nil"/>
            </w:tcBorders>
          </w:tcPr>
          <w:p w14:paraId="6ED3CC6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Lebanon</w:t>
            </w:r>
          </w:p>
        </w:tc>
        <w:tc>
          <w:tcPr>
            <w:tcW w:w="2071" w:type="dxa"/>
            <w:tcBorders>
              <w:top w:val="nil"/>
              <w:left w:val="nil"/>
              <w:bottom w:val="nil"/>
              <w:right w:val="nil"/>
            </w:tcBorders>
            <w:shd w:val="clear" w:color="auto" w:fill="auto"/>
          </w:tcPr>
          <w:p w14:paraId="4E56AA7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0.047</w:t>
            </w:r>
          </w:p>
        </w:tc>
        <w:tc>
          <w:tcPr>
            <w:tcW w:w="2071" w:type="dxa"/>
            <w:tcBorders>
              <w:top w:val="nil"/>
              <w:left w:val="nil"/>
              <w:bottom w:val="nil"/>
              <w:right w:val="nil"/>
            </w:tcBorders>
            <w:shd w:val="clear" w:color="auto" w:fill="auto"/>
          </w:tcPr>
          <w:p w14:paraId="6DD5B57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0.046</w:t>
            </w:r>
          </w:p>
        </w:tc>
      </w:tr>
      <w:tr w:rsidR="00892142" w:rsidRPr="004153B4" w14:paraId="5287CD16" w14:textId="77777777" w:rsidTr="00770BD5">
        <w:trPr>
          <w:trHeight w:val="248"/>
          <w:jc w:val="center"/>
        </w:trPr>
        <w:tc>
          <w:tcPr>
            <w:tcW w:w="2662" w:type="dxa"/>
            <w:tcBorders>
              <w:top w:val="nil"/>
              <w:left w:val="nil"/>
              <w:bottom w:val="nil"/>
              <w:right w:val="nil"/>
            </w:tcBorders>
          </w:tcPr>
          <w:p w14:paraId="7A5FDFE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Lesotho</w:t>
            </w:r>
          </w:p>
        </w:tc>
        <w:tc>
          <w:tcPr>
            <w:tcW w:w="2071" w:type="dxa"/>
            <w:tcBorders>
              <w:top w:val="nil"/>
              <w:left w:val="nil"/>
              <w:bottom w:val="nil"/>
              <w:right w:val="nil"/>
            </w:tcBorders>
            <w:shd w:val="clear" w:color="auto" w:fill="auto"/>
          </w:tcPr>
          <w:p w14:paraId="4B1EC4F7"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76771C5B"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3DD8B41A" w14:textId="77777777" w:rsidTr="00770BD5">
        <w:trPr>
          <w:trHeight w:val="248"/>
          <w:jc w:val="center"/>
        </w:trPr>
        <w:tc>
          <w:tcPr>
            <w:tcW w:w="2662" w:type="dxa"/>
            <w:tcBorders>
              <w:top w:val="nil"/>
              <w:left w:val="nil"/>
              <w:bottom w:val="nil"/>
              <w:right w:val="nil"/>
            </w:tcBorders>
          </w:tcPr>
          <w:p w14:paraId="3ED3B2E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Liberia</w:t>
            </w:r>
          </w:p>
        </w:tc>
        <w:tc>
          <w:tcPr>
            <w:tcW w:w="2071" w:type="dxa"/>
            <w:tcBorders>
              <w:top w:val="nil"/>
              <w:left w:val="nil"/>
              <w:bottom w:val="nil"/>
              <w:right w:val="nil"/>
            </w:tcBorders>
            <w:shd w:val="clear" w:color="auto" w:fill="auto"/>
          </w:tcPr>
          <w:p w14:paraId="5A83806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01E15DD0"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29A9F3B5" w14:textId="77777777" w:rsidTr="00770BD5">
        <w:trPr>
          <w:trHeight w:val="248"/>
          <w:jc w:val="center"/>
        </w:trPr>
        <w:tc>
          <w:tcPr>
            <w:tcW w:w="2662" w:type="dxa"/>
            <w:tcBorders>
              <w:top w:val="nil"/>
              <w:left w:val="nil"/>
              <w:bottom w:val="nil"/>
              <w:right w:val="nil"/>
            </w:tcBorders>
          </w:tcPr>
          <w:p w14:paraId="3D82247C"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Libya</w:t>
            </w:r>
          </w:p>
        </w:tc>
        <w:tc>
          <w:tcPr>
            <w:tcW w:w="2071" w:type="dxa"/>
            <w:tcBorders>
              <w:top w:val="nil"/>
              <w:left w:val="nil"/>
              <w:bottom w:val="nil"/>
              <w:right w:val="nil"/>
            </w:tcBorders>
            <w:shd w:val="clear" w:color="auto" w:fill="auto"/>
          </w:tcPr>
          <w:p w14:paraId="44BE8E2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0.030</w:t>
            </w:r>
          </w:p>
        </w:tc>
        <w:tc>
          <w:tcPr>
            <w:tcW w:w="2071" w:type="dxa"/>
            <w:tcBorders>
              <w:top w:val="nil"/>
              <w:left w:val="nil"/>
              <w:bottom w:val="nil"/>
              <w:right w:val="nil"/>
            </w:tcBorders>
            <w:shd w:val="clear" w:color="auto" w:fill="auto"/>
          </w:tcPr>
          <w:p w14:paraId="5D5F3CB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0.029</w:t>
            </w:r>
          </w:p>
        </w:tc>
      </w:tr>
      <w:tr w:rsidR="00892142" w:rsidRPr="004153B4" w14:paraId="2EE0B774" w14:textId="77777777" w:rsidTr="00770BD5">
        <w:trPr>
          <w:trHeight w:val="248"/>
          <w:jc w:val="center"/>
        </w:trPr>
        <w:tc>
          <w:tcPr>
            <w:tcW w:w="2662" w:type="dxa"/>
            <w:tcBorders>
              <w:top w:val="nil"/>
              <w:left w:val="nil"/>
              <w:bottom w:val="nil"/>
              <w:right w:val="nil"/>
            </w:tcBorders>
          </w:tcPr>
          <w:p w14:paraId="77F72072"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Liechtenstein</w:t>
            </w:r>
          </w:p>
        </w:tc>
        <w:tc>
          <w:tcPr>
            <w:tcW w:w="2071" w:type="dxa"/>
            <w:tcBorders>
              <w:top w:val="nil"/>
              <w:left w:val="nil"/>
              <w:bottom w:val="nil"/>
              <w:right w:val="nil"/>
            </w:tcBorders>
            <w:shd w:val="clear" w:color="auto" w:fill="auto"/>
          </w:tcPr>
          <w:p w14:paraId="5EA4B05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0.009</w:t>
            </w:r>
          </w:p>
        </w:tc>
        <w:tc>
          <w:tcPr>
            <w:tcW w:w="2071" w:type="dxa"/>
            <w:tcBorders>
              <w:top w:val="nil"/>
              <w:left w:val="nil"/>
              <w:bottom w:val="nil"/>
              <w:right w:val="nil"/>
            </w:tcBorders>
            <w:shd w:val="clear" w:color="auto" w:fill="auto"/>
          </w:tcPr>
          <w:p w14:paraId="6F0F093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0.009</w:t>
            </w:r>
          </w:p>
        </w:tc>
      </w:tr>
      <w:tr w:rsidR="00892142" w:rsidRPr="004153B4" w14:paraId="214E9C83" w14:textId="77777777" w:rsidTr="00770BD5">
        <w:trPr>
          <w:trHeight w:val="248"/>
          <w:jc w:val="center"/>
        </w:trPr>
        <w:tc>
          <w:tcPr>
            <w:tcW w:w="2662" w:type="dxa"/>
            <w:tcBorders>
              <w:top w:val="nil"/>
              <w:left w:val="nil"/>
              <w:bottom w:val="nil"/>
              <w:right w:val="nil"/>
            </w:tcBorders>
          </w:tcPr>
          <w:p w14:paraId="7DEAB361"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Lithuania</w:t>
            </w:r>
          </w:p>
        </w:tc>
        <w:tc>
          <w:tcPr>
            <w:tcW w:w="2071" w:type="dxa"/>
            <w:tcBorders>
              <w:top w:val="nil"/>
              <w:left w:val="nil"/>
              <w:bottom w:val="nil"/>
              <w:right w:val="nil"/>
            </w:tcBorders>
            <w:shd w:val="clear" w:color="auto" w:fill="auto"/>
          </w:tcPr>
          <w:p w14:paraId="2FF0931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0.071</w:t>
            </w:r>
          </w:p>
        </w:tc>
        <w:tc>
          <w:tcPr>
            <w:tcW w:w="2071" w:type="dxa"/>
            <w:tcBorders>
              <w:top w:val="nil"/>
              <w:left w:val="nil"/>
              <w:bottom w:val="nil"/>
              <w:right w:val="nil"/>
            </w:tcBorders>
            <w:shd w:val="clear" w:color="auto" w:fill="auto"/>
          </w:tcPr>
          <w:p w14:paraId="3B46AC59"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0.069</w:t>
            </w:r>
          </w:p>
        </w:tc>
      </w:tr>
      <w:tr w:rsidR="00892142" w:rsidRPr="004153B4" w14:paraId="4B04BE80" w14:textId="77777777" w:rsidTr="00770BD5">
        <w:trPr>
          <w:trHeight w:val="248"/>
          <w:jc w:val="center"/>
        </w:trPr>
        <w:tc>
          <w:tcPr>
            <w:tcW w:w="2662" w:type="dxa"/>
            <w:tcBorders>
              <w:top w:val="nil"/>
              <w:left w:val="nil"/>
              <w:bottom w:val="nil"/>
              <w:right w:val="nil"/>
            </w:tcBorders>
          </w:tcPr>
          <w:p w14:paraId="5FD720A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Luxembourg</w:t>
            </w:r>
          </w:p>
        </w:tc>
        <w:tc>
          <w:tcPr>
            <w:tcW w:w="2071" w:type="dxa"/>
            <w:tcBorders>
              <w:top w:val="nil"/>
              <w:left w:val="nil"/>
              <w:bottom w:val="nil"/>
              <w:right w:val="nil"/>
            </w:tcBorders>
            <w:shd w:val="clear" w:color="auto" w:fill="auto"/>
          </w:tcPr>
          <w:p w14:paraId="5B0DC44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0.067</w:t>
            </w:r>
          </w:p>
        </w:tc>
        <w:tc>
          <w:tcPr>
            <w:tcW w:w="2071" w:type="dxa"/>
            <w:tcBorders>
              <w:top w:val="nil"/>
              <w:left w:val="nil"/>
              <w:bottom w:val="nil"/>
              <w:right w:val="nil"/>
            </w:tcBorders>
            <w:shd w:val="clear" w:color="auto" w:fill="auto"/>
          </w:tcPr>
          <w:p w14:paraId="3A2F7E1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0.065</w:t>
            </w:r>
          </w:p>
        </w:tc>
      </w:tr>
      <w:tr w:rsidR="00892142" w:rsidRPr="004153B4" w14:paraId="0D3E905A" w14:textId="77777777" w:rsidTr="00770BD5">
        <w:trPr>
          <w:trHeight w:val="248"/>
          <w:jc w:val="center"/>
        </w:trPr>
        <w:tc>
          <w:tcPr>
            <w:tcW w:w="2662" w:type="dxa"/>
            <w:tcBorders>
              <w:top w:val="nil"/>
              <w:left w:val="nil"/>
              <w:bottom w:val="nil"/>
              <w:right w:val="nil"/>
            </w:tcBorders>
          </w:tcPr>
          <w:p w14:paraId="100D0A4C"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Madagascar</w:t>
            </w:r>
          </w:p>
        </w:tc>
        <w:tc>
          <w:tcPr>
            <w:tcW w:w="2071" w:type="dxa"/>
            <w:tcBorders>
              <w:top w:val="nil"/>
              <w:left w:val="nil"/>
              <w:bottom w:val="nil"/>
              <w:right w:val="nil"/>
            </w:tcBorders>
            <w:shd w:val="clear" w:color="auto" w:fill="auto"/>
          </w:tcPr>
          <w:p w14:paraId="5F50B84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0.004</w:t>
            </w:r>
          </w:p>
        </w:tc>
        <w:tc>
          <w:tcPr>
            <w:tcW w:w="2071" w:type="dxa"/>
            <w:tcBorders>
              <w:top w:val="nil"/>
              <w:left w:val="nil"/>
              <w:bottom w:val="nil"/>
              <w:right w:val="nil"/>
            </w:tcBorders>
            <w:shd w:val="clear" w:color="auto" w:fill="auto"/>
          </w:tcPr>
          <w:p w14:paraId="36B9B416"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0.004</w:t>
            </w:r>
          </w:p>
        </w:tc>
      </w:tr>
      <w:tr w:rsidR="00892142" w:rsidRPr="004153B4" w14:paraId="77A0B9B1" w14:textId="77777777" w:rsidTr="00770BD5">
        <w:trPr>
          <w:trHeight w:val="248"/>
          <w:jc w:val="center"/>
        </w:trPr>
        <w:tc>
          <w:tcPr>
            <w:tcW w:w="2662" w:type="dxa"/>
            <w:tcBorders>
              <w:top w:val="nil"/>
              <w:left w:val="nil"/>
              <w:bottom w:val="nil"/>
              <w:right w:val="nil"/>
            </w:tcBorders>
          </w:tcPr>
          <w:p w14:paraId="343496C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Malawi</w:t>
            </w:r>
          </w:p>
        </w:tc>
        <w:tc>
          <w:tcPr>
            <w:tcW w:w="2071" w:type="dxa"/>
            <w:tcBorders>
              <w:top w:val="nil"/>
              <w:left w:val="nil"/>
              <w:bottom w:val="nil"/>
              <w:right w:val="nil"/>
            </w:tcBorders>
            <w:shd w:val="clear" w:color="auto" w:fill="auto"/>
          </w:tcPr>
          <w:p w14:paraId="608A029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0.002</w:t>
            </w:r>
          </w:p>
        </w:tc>
        <w:tc>
          <w:tcPr>
            <w:tcW w:w="2071" w:type="dxa"/>
            <w:tcBorders>
              <w:top w:val="nil"/>
              <w:left w:val="nil"/>
              <w:bottom w:val="nil"/>
              <w:right w:val="nil"/>
            </w:tcBorders>
            <w:shd w:val="clear" w:color="auto" w:fill="auto"/>
          </w:tcPr>
          <w:p w14:paraId="2992966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0.002</w:t>
            </w:r>
          </w:p>
        </w:tc>
      </w:tr>
      <w:tr w:rsidR="00892142" w:rsidRPr="004153B4" w14:paraId="72938DA0" w14:textId="77777777" w:rsidTr="00770BD5">
        <w:trPr>
          <w:trHeight w:val="248"/>
          <w:jc w:val="center"/>
        </w:trPr>
        <w:tc>
          <w:tcPr>
            <w:tcW w:w="2662" w:type="dxa"/>
            <w:tcBorders>
              <w:top w:val="nil"/>
              <w:left w:val="nil"/>
              <w:bottom w:val="nil"/>
              <w:right w:val="nil"/>
            </w:tcBorders>
          </w:tcPr>
          <w:p w14:paraId="6C00B80E"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Malaysia</w:t>
            </w:r>
          </w:p>
        </w:tc>
        <w:tc>
          <w:tcPr>
            <w:tcW w:w="2071" w:type="dxa"/>
            <w:tcBorders>
              <w:top w:val="nil"/>
              <w:left w:val="nil"/>
              <w:bottom w:val="nil"/>
              <w:right w:val="nil"/>
            </w:tcBorders>
            <w:shd w:val="clear" w:color="auto" w:fill="auto"/>
          </w:tcPr>
          <w:p w14:paraId="72A1DB8E"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0.341</w:t>
            </w:r>
          </w:p>
        </w:tc>
        <w:tc>
          <w:tcPr>
            <w:tcW w:w="2071" w:type="dxa"/>
            <w:tcBorders>
              <w:top w:val="nil"/>
              <w:left w:val="nil"/>
              <w:bottom w:val="nil"/>
              <w:right w:val="nil"/>
            </w:tcBorders>
            <w:shd w:val="clear" w:color="auto" w:fill="auto"/>
          </w:tcPr>
          <w:p w14:paraId="4670DB2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0.332</w:t>
            </w:r>
          </w:p>
        </w:tc>
      </w:tr>
      <w:tr w:rsidR="00892142" w:rsidRPr="004153B4" w14:paraId="26A725F5" w14:textId="77777777" w:rsidTr="00770BD5">
        <w:trPr>
          <w:trHeight w:val="248"/>
          <w:jc w:val="center"/>
        </w:trPr>
        <w:tc>
          <w:tcPr>
            <w:tcW w:w="2662" w:type="dxa"/>
            <w:tcBorders>
              <w:top w:val="nil"/>
              <w:left w:val="nil"/>
              <w:bottom w:val="nil"/>
              <w:right w:val="nil"/>
            </w:tcBorders>
          </w:tcPr>
          <w:p w14:paraId="21AD3102"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Maldives</w:t>
            </w:r>
          </w:p>
        </w:tc>
        <w:tc>
          <w:tcPr>
            <w:tcW w:w="2071" w:type="dxa"/>
            <w:tcBorders>
              <w:top w:val="nil"/>
              <w:left w:val="nil"/>
              <w:bottom w:val="nil"/>
              <w:right w:val="nil"/>
            </w:tcBorders>
            <w:shd w:val="clear" w:color="auto" w:fill="auto"/>
          </w:tcPr>
          <w:p w14:paraId="0C3DD333"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0.004</w:t>
            </w:r>
          </w:p>
        </w:tc>
        <w:tc>
          <w:tcPr>
            <w:tcW w:w="2071" w:type="dxa"/>
            <w:tcBorders>
              <w:top w:val="nil"/>
              <w:left w:val="nil"/>
              <w:bottom w:val="nil"/>
              <w:right w:val="nil"/>
            </w:tcBorders>
            <w:shd w:val="clear" w:color="auto" w:fill="auto"/>
          </w:tcPr>
          <w:p w14:paraId="3ADC0B3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0.004</w:t>
            </w:r>
          </w:p>
        </w:tc>
      </w:tr>
      <w:tr w:rsidR="00892142" w:rsidRPr="004153B4" w14:paraId="17193E8E" w14:textId="77777777" w:rsidTr="00770BD5">
        <w:trPr>
          <w:trHeight w:val="248"/>
          <w:jc w:val="center"/>
        </w:trPr>
        <w:tc>
          <w:tcPr>
            <w:tcW w:w="2662" w:type="dxa"/>
            <w:tcBorders>
              <w:top w:val="nil"/>
              <w:left w:val="nil"/>
              <w:bottom w:val="nil"/>
              <w:right w:val="nil"/>
            </w:tcBorders>
          </w:tcPr>
          <w:p w14:paraId="7567EDD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Mali</w:t>
            </w:r>
          </w:p>
        </w:tc>
        <w:tc>
          <w:tcPr>
            <w:tcW w:w="2071" w:type="dxa"/>
            <w:tcBorders>
              <w:top w:val="nil"/>
              <w:left w:val="nil"/>
              <w:bottom w:val="nil"/>
              <w:right w:val="nil"/>
            </w:tcBorders>
            <w:shd w:val="clear" w:color="auto" w:fill="auto"/>
          </w:tcPr>
          <w:p w14:paraId="2F1C0FA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0.004</w:t>
            </w:r>
          </w:p>
        </w:tc>
        <w:tc>
          <w:tcPr>
            <w:tcW w:w="2071" w:type="dxa"/>
            <w:tcBorders>
              <w:top w:val="nil"/>
              <w:left w:val="nil"/>
              <w:bottom w:val="nil"/>
              <w:right w:val="nil"/>
            </w:tcBorders>
            <w:shd w:val="clear" w:color="auto" w:fill="auto"/>
          </w:tcPr>
          <w:p w14:paraId="629206B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0.004</w:t>
            </w:r>
          </w:p>
        </w:tc>
      </w:tr>
      <w:tr w:rsidR="00892142" w:rsidRPr="004153B4" w14:paraId="1716E491" w14:textId="77777777" w:rsidTr="00770BD5">
        <w:trPr>
          <w:trHeight w:val="248"/>
          <w:jc w:val="center"/>
        </w:trPr>
        <w:tc>
          <w:tcPr>
            <w:tcW w:w="2662" w:type="dxa"/>
            <w:tcBorders>
              <w:top w:val="nil"/>
              <w:left w:val="nil"/>
              <w:bottom w:val="nil"/>
              <w:right w:val="nil"/>
            </w:tcBorders>
          </w:tcPr>
          <w:p w14:paraId="3E81826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Malta</w:t>
            </w:r>
          </w:p>
        </w:tc>
        <w:tc>
          <w:tcPr>
            <w:tcW w:w="2071" w:type="dxa"/>
            <w:tcBorders>
              <w:top w:val="nil"/>
              <w:left w:val="nil"/>
              <w:bottom w:val="nil"/>
              <w:right w:val="nil"/>
            </w:tcBorders>
            <w:shd w:val="clear" w:color="auto" w:fill="auto"/>
          </w:tcPr>
          <w:p w14:paraId="0974D22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0.017</w:t>
            </w:r>
          </w:p>
        </w:tc>
        <w:tc>
          <w:tcPr>
            <w:tcW w:w="2071" w:type="dxa"/>
            <w:tcBorders>
              <w:top w:val="nil"/>
              <w:left w:val="nil"/>
              <w:bottom w:val="nil"/>
              <w:right w:val="nil"/>
            </w:tcBorders>
            <w:shd w:val="clear" w:color="auto" w:fill="auto"/>
          </w:tcPr>
          <w:p w14:paraId="61AF247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0.017</w:t>
            </w:r>
          </w:p>
        </w:tc>
      </w:tr>
      <w:tr w:rsidR="00892142" w:rsidRPr="004153B4" w14:paraId="507DDC55" w14:textId="77777777" w:rsidTr="00770BD5">
        <w:trPr>
          <w:trHeight w:val="248"/>
          <w:jc w:val="center"/>
        </w:trPr>
        <w:tc>
          <w:tcPr>
            <w:tcW w:w="2662" w:type="dxa"/>
            <w:tcBorders>
              <w:top w:val="nil"/>
              <w:left w:val="nil"/>
              <w:bottom w:val="nil"/>
              <w:right w:val="nil"/>
            </w:tcBorders>
          </w:tcPr>
          <w:p w14:paraId="644B416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Marshall Islands</w:t>
            </w:r>
          </w:p>
        </w:tc>
        <w:tc>
          <w:tcPr>
            <w:tcW w:w="2071" w:type="dxa"/>
            <w:tcBorders>
              <w:top w:val="nil"/>
              <w:left w:val="nil"/>
              <w:bottom w:val="nil"/>
              <w:right w:val="nil"/>
            </w:tcBorders>
            <w:shd w:val="clear" w:color="auto" w:fill="auto"/>
          </w:tcPr>
          <w:p w14:paraId="3618E52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741B2596"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380282C8" w14:textId="77777777" w:rsidTr="00770BD5">
        <w:trPr>
          <w:trHeight w:val="248"/>
          <w:jc w:val="center"/>
        </w:trPr>
        <w:tc>
          <w:tcPr>
            <w:tcW w:w="2662" w:type="dxa"/>
            <w:tcBorders>
              <w:top w:val="nil"/>
              <w:left w:val="nil"/>
              <w:bottom w:val="nil"/>
              <w:right w:val="nil"/>
            </w:tcBorders>
          </w:tcPr>
          <w:p w14:paraId="077A980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Mauritania</w:t>
            </w:r>
          </w:p>
        </w:tc>
        <w:tc>
          <w:tcPr>
            <w:tcW w:w="2071" w:type="dxa"/>
            <w:tcBorders>
              <w:top w:val="nil"/>
              <w:left w:val="nil"/>
              <w:bottom w:val="nil"/>
              <w:right w:val="nil"/>
            </w:tcBorders>
            <w:shd w:val="clear" w:color="auto" w:fill="auto"/>
          </w:tcPr>
          <w:p w14:paraId="0525F9CA"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0.002</w:t>
            </w:r>
          </w:p>
        </w:tc>
        <w:tc>
          <w:tcPr>
            <w:tcW w:w="2071" w:type="dxa"/>
            <w:tcBorders>
              <w:top w:val="nil"/>
              <w:left w:val="nil"/>
              <w:bottom w:val="nil"/>
              <w:right w:val="nil"/>
            </w:tcBorders>
            <w:shd w:val="clear" w:color="auto" w:fill="auto"/>
          </w:tcPr>
          <w:p w14:paraId="1CEC804B"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0.002</w:t>
            </w:r>
          </w:p>
        </w:tc>
      </w:tr>
      <w:tr w:rsidR="00892142" w:rsidRPr="004153B4" w14:paraId="5EB784A9" w14:textId="77777777" w:rsidTr="00770BD5">
        <w:trPr>
          <w:trHeight w:val="248"/>
          <w:jc w:val="center"/>
        </w:trPr>
        <w:tc>
          <w:tcPr>
            <w:tcW w:w="2662" w:type="dxa"/>
            <w:tcBorders>
              <w:top w:val="nil"/>
              <w:left w:val="nil"/>
              <w:bottom w:val="nil"/>
              <w:right w:val="nil"/>
            </w:tcBorders>
          </w:tcPr>
          <w:p w14:paraId="535FFBB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Mauritius</w:t>
            </w:r>
          </w:p>
        </w:tc>
        <w:tc>
          <w:tcPr>
            <w:tcW w:w="2071" w:type="dxa"/>
            <w:tcBorders>
              <w:top w:val="nil"/>
              <w:left w:val="nil"/>
              <w:bottom w:val="nil"/>
              <w:right w:val="nil"/>
            </w:tcBorders>
            <w:shd w:val="clear" w:color="auto" w:fill="auto"/>
          </w:tcPr>
          <w:p w14:paraId="244852C8"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0.011</w:t>
            </w:r>
          </w:p>
        </w:tc>
        <w:tc>
          <w:tcPr>
            <w:tcW w:w="2071" w:type="dxa"/>
            <w:tcBorders>
              <w:top w:val="nil"/>
              <w:left w:val="nil"/>
              <w:bottom w:val="nil"/>
              <w:right w:val="nil"/>
            </w:tcBorders>
            <w:shd w:val="clear" w:color="auto" w:fill="auto"/>
          </w:tcPr>
          <w:p w14:paraId="059C7816"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0.011</w:t>
            </w:r>
          </w:p>
        </w:tc>
      </w:tr>
      <w:tr w:rsidR="00892142" w:rsidRPr="004153B4" w14:paraId="3D751620" w14:textId="77777777" w:rsidTr="00770BD5">
        <w:trPr>
          <w:trHeight w:val="248"/>
          <w:jc w:val="center"/>
        </w:trPr>
        <w:tc>
          <w:tcPr>
            <w:tcW w:w="2662" w:type="dxa"/>
            <w:tcBorders>
              <w:top w:val="nil"/>
              <w:left w:val="nil"/>
              <w:bottom w:val="nil"/>
              <w:right w:val="nil"/>
            </w:tcBorders>
          </w:tcPr>
          <w:p w14:paraId="416928B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Mexico</w:t>
            </w:r>
          </w:p>
        </w:tc>
        <w:tc>
          <w:tcPr>
            <w:tcW w:w="2071" w:type="dxa"/>
            <w:tcBorders>
              <w:top w:val="nil"/>
              <w:left w:val="nil"/>
              <w:bottom w:val="nil"/>
              <w:right w:val="nil"/>
            </w:tcBorders>
            <w:shd w:val="clear" w:color="auto" w:fill="auto"/>
          </w:tcPr>
          <w:p w14:paraId="7A4C3F88"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1.292</w:t>
            </w:r>
          </w:p>
        </w:tc>
        <w:tc>
          <w:tcPr>
            <w:tcW w:w="2071" w:type="dxa"/>
            <w:tcBorders>
              <w:top w:val="nil"/>
              <w:left w:val="nil"/>
              <w:bottom w:val="nil"/>
              <w:right w:val="nil"/>
            </w:tcBorders>
            <w:shd w:val="clear" w:color="auto" w:fill="auto"/>
          </w:tcPr>
          <w:p w14:paraId="5A2E4E0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1.260</w:t>
            </w:r>
          </w:p>
        </w:tc>
      </w:tr>
      <w:tr w:rsidR="00892142" w:rsidRPr="004153B4" w14:paraId="3B91CF02" w14:textId="77777777" w:rsidTr="00770BD5">
        <w:trPr>
          <w:trHeight w:val="248"/>
          <w:jc w:val="center"/>
        </w:trPr>
        <w:tc>
          <w:tcPr>
            <w:tcW w:w="2662" w:type="dxa"/>
            <w:tcBorders>
              <w:top w:val="nil"/>
              <w:left w:val="nil"/>
              <w:bottom w:val="nil"/>
              <w:right w:val="nil"/>
            </w:tcBorders>
          </w:tcPr>
          <w:p w14:paraId="4FDE9574"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Micronesia (Federated States of)</w:t>
            </w:r>
          </w:p>
        </w:tc>
        <w:tc>
          <w:tcPr>
            <w:tcW w:w="2071" w:type="dxa"/>
            <w:tcBorders>
              <w:top w:val="nil"/>
              <w:left w:val="nil"/>
              <w:bottom w:val="nil"/>
              <w:right w:val="nil"/>
            </w:tcBorders>
            <w:shd w:val="clear" w:color="auto" w:fill="auto"/>
          </w:tcPr>
          <w:p w14:paraId="29185617"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25AB66C1"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11B1FE8D" w14:textId="77777777" w:rsidTr="00770BD5">
        <w:trPr>
          <w:trHeight w:val="248"/>
          <w:jc w:val="center"/>
        </w:trPr>
        <w:tc>
          <w:tcPr>
            <w:tcW w:w="2662" w:type="dxa"/>
            <w:tcBorders>
              <w:top w:val="nil"/>
              <w:left w:val="nil"/>
              <w:bottom w:val="nil"/>
              <w:right w:val="nil"/>
            </w:tcBorders>
          </w:tcPr>
          <w:p w14:paraId="63BF51D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Monaco</w:t>
            </w:r>
          </w:p>
        </w:tc>
        <w:tc>
          <w:tcPr>
            <w:tcW w:w="2071" w:type="dxa"/>
            <w:tcBorders>
              <w:top w:val="nil"/>
              <w:left w:val="nil"/>
              <w:bottom w:val="nil"/>
              <w:right w:val="nil"/>
            </w:tcBorders>
            <w:shd w:val="clear" w:color="auto" w:fill="auto"/>
          </w:tcPr>
          <w:p w14:paraId="3DB3CEAB"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0.011</w:t>
            </w:r>
          </w:p>
        </w:tc>
        <w:tc>
          <w:tcPr>
            <w:tcW w:w="2071" w:type="dxa"/>
            <w:tcBorders>
              <w:top w:val="nil"/>
              <w:left w:val="nil"/>
              <w:bottom w:val="nil"/>
              <w:right w:val="nil"/>
            </w:tcBorders>
            <w:shd w:val="clear" w:color="auto" w:fill="auto"/>
          </w:tcPr>
          <w:p w14:paraId="360C51F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0.011</w:t>
            </w:r>
          </w:p>
        </w:tc>
      </w:tr>
      <w:tr w:rsidR="00892142" w:rsidRPr="004153B4" w14:paraId="637A9217" w14:textId="77777777" w:rsidTr="00770BD5">
        <w:trPr>
          <w:trHeight w:val="248"/>
          <w:jc w:val="center"/>
        </w:trPr>
        <w:tc>
          <w:tcPr>
            <w:tcW w:w="2662" w:type="dxa"/>
            <w:tcBorders>
              <w:top w:val="nil"/>
              <w:left w:val="nil"/>
              <w:bottom w:val="nil"/>
              <w:right w:val="nil"/>
            </w:tcBorders>
          </w:tcPr>
          <w:p w14:paraId="747F1E11"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Mongolia</w:t>
            </w:r>
          </w:p>
        </w:tc>
        <w:tc>
          <w:tcPr>
            <w:tcW w:w="2071" w:type="dxa"/>
            <w:tcBorders>
              <w:top w:val="nil"/>
              <w:left w:val="nil"/>
              <w:bottom w:val="nil"/>
              <w:right w:val="nil"/>
            </w:tcBorders>
            <w:shd w:val="clear" w:color="auto" w:fill="auto"/>
          </w:tcPr>
          <w:p w14:paraId="4BB170E1"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0.005</w:t>
            </w:r>
          </w:p>
        </w:tc>
        <w:tc>
          <w:tcPr>
            <w:tcW w:w="2071" w:type="dxa"/>
            <w:tcBorders>
              <w:top w:val="nil"/>
              <w:left w:val="nil"/>
              <w:bottom w:val="nil"/>
              <w:right w:val="nil"/>
            </w:tcBorders>
            <w:shd w:val="clear" w:color="auto" w:fill="auto"/>
          </w:tcPr>
          <w:p w14:paraId="7144479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0.005</w:t>
            </w:r>
          </w:p>
        </w:tc>
      </w:tr>
      <w:tr w:rsidR="00892142" w:rsidRPr="004153B4" w14:paraId="26E0A3AF" w14:textId="77777777" w:rsidTr="00770BD5">
        <w:trPr>
          <w:trHeight w:val="248"/>
          <w:jc w:val="center"/>
        </w:trPr>
        <w:tc>
          <w:tcPr>
            <w:tcW w:w="2662" w:type="dxa"/>
            <w:tcBorders>
              <w:top w:val="nil"/>
              <w:left w:val="nil"/>
              <w:bottom w:val="nil"/>
              <w:right w:val="nil"/>
            </w:tcBorders>
          </w:tcPr>
          <w:p w14:paraId="7043657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Montenegro</w:t>
            </w:r>
          </w:p>
        </w:tc>
        <w:tc>
          <w:tcPr>
            <w:tcW w:w="2071" w:type="dxa"/>
            <w:tcBorders>
              <w:top w:val="nil"/>
              <w:left w:val="nil"/>
              <w:bottom w:val="nil"/>
              <w:right w:val="nil"/>
            </w:tcBorders>
            <w:shd w:val="clear" w:color="auto" w:fill="auto"/>
          </w:tcPr>
          <w:p w14:paraId="6498F37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0.004</w:t>
            </w:r>
          </w:p>
        </w:tc>
        <w:tc>
          <w:tcPr>
            <w:tcW w:w="2071" w:type="dxa"/>
            <w:tcBorders>
              <w:top w:val="nil"/>
              <w:left w:val="nil"/>
              <w:bottom w:val="nil"/>
              <w:right w:val="nil"/>
            </w:tcBorders>
            <w:shd w:val="clear" w:color="auto" w:fill="auto"/>
          </w:tcPr>
          <w:p w14:paraId="5AC085F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0.004</w:t>
            </w:r>
          </w:p>
        </w:tc>
      </w:tr>
      <w:tr w:rsidR="00892142" w:rsidRPr="004153B4" w14:paraId="5359FFA2" w14:textId="77777777" w:rsidTr="00770BD5">
        <w:trPr>
          <w:trHeight w:val="248"/>
          <w:jc w:val="center"/>
        </w:trPr>
        <w:tc>
          <w:tcPr>
            <w:tcW w:w="2662" w:type="dxa"/>
            <w:tcBorders>
              <w:top w:val="nil"/>
              <w:left w:val="nil"/>
              <w:bottom w:val="nil"/>
              <w:right w:val="nil"/>
            </w:tcBorders>
          </w:tcPr>
          <w:p w14:paraId="12F43E94"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Morocco</w:t>
            </w:r>
          </w:p>
        </w:tc>
        <w:tc>
          <w:tcPr>
            <w:tcW w:w="2071" w:type="dxa"/>
            <w:tcBorders>
              <w:top w:val="nil"/>
              <w:left w:val="nil"/>
              <w:bottom w:val="nil"/>
              <w:right w:val="nil"/>
            </w:tcBorders>
            <w:shd w:val="clear" w:color="auto" w:fill="auto"/>
          </w:tcPr>
          <w:p w14:paraId="3F116A9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0.055</w:t>
            </w:r>
          </w:p>
        </w:tc>
        <w:tc>
          <w:tcPr>
            <w:tcW w:w="2071" w:type="dxa"/>
            <w:tcBorders>
              <w:top w:val="nil"/>
              <w:left w:val="nil"/>
              <w:bottom w:val="nil"/>
              <w:right w:val="nil"/>
            </w:tcBorders>
            <w:shd w:val="clear" w:color="auto" w:fill="auto"/>
          </w:tcPr>
          <w:p w14:paraId="1A33E161"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0.054</w:t>
            </w:r>
          </w:p>
        </w:tc>
      </w:tr>
      <w:tr w:rsidR="00892142" w:rsidRPr="004153B4" w14:paraId="26444441" w14:textId="77777777" w:rsidTr="00770BD5">
        <w:trPr>
          <w:trHeight w:val="248"/>
          <w:jc w:val="center"/>
        </w:trPr>
        <w:tc>
          <w:tcPr>
            <w:tcW w:w="2662" w:type="dxa"/>
            <w:tcBorders>
              <w:top w:val="nil"/>
              <w:left w:val="nil"/>
              <w:bottom w:val="nil"/>
              <w:right w:val="nil"/>
            </w:tcBorders>
          </w:tcPr>
          <w:p w14:paraId="3EB0C8F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Mozambique</w:t>
            </w:r>
          </w:p>
        </w:tc>
        <w:tc>
          <w:tcPr>
            <w:tcW w:w="2071" w:type="dxa"/>
            <w:tcBorders>
              <w:top w:val="nil"/>
              <w:left w:val="nil"/>
              <w:bottom w:val="nil"/>
              <w:right w:val="nil"/>
            </w:tcBorders>
            <w:shd w:val="clear" w:color="auto" w:fill="auto"/>
          </w:tcPr>
          <w:p w14:paraId="1F1965E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0.004</w:t>
            </w:r>
          </w:p>
        </w:tc>
        <w:tc>
          <w:tcPr>
            <w:tcW w:w="2071" w:type="dxa"/>
            <w:tcBorders>
              <w:top w:val="nil"/>
              <w:left w:val="nil"/>
              <w:bottom w:val="nil"/>
              <w:right w:val="nil"/>
            </w:tcBorders>
            <w:shd w:val="clear" w:color="auto" w:fill="auto"/>
          </w:tcPr>
          <w:p w14:paraId="2C67D43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0.004</w:t>
            </w:r>
          </w:p>
        </w:tc>
      </w:tr>
      <w:tr w:rsidR="00892142" w:rsidRPr="004153B4" w14:paraId="429D229E" w14:textId="77777777" w:rsidTr="00770BD5">
        <w:trPr>
          <w:trHeight w:val="248"/>
          <w:jc w:val="center"/>
        </w:trPr>
        <w:tc>
          <w:tcPr>
            <w:tcW w:w="2662" w:type="dxa"/>
            <w:tcBorders>
              <w:top w:val="nil"/>
              <w:left w:val="nil"/>
              <w:bottom w:val="nil"/>
              <w:right w:val="nil"/>
            </w:tcBorders>
          </w:tcPr>
          <w:p w14:paraId="23FB2D0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Myanmar</w:t>
            </w:r>
          </w:p>
        </w:tc>
        <w:tc>
          <w:tcPr>
            <w:tcW w:w="2071" w:type="dxa"/>
            <w:tcBorders>
              <w:top w:val="nil"/>
              <w:left w:val="nil"/>
              <w:bottom w:val="nil"/>
              <w:right w:val="nil"/>
            </w:tcBorders>
            <w:shd w:val="clear" w:color="auto" w:fill="auto"/>
          </w:tcPr>
          <w:p w14:paraId="75FB6751"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0.010</w:t>
            </w:r>
          </w:p>
        </w:tc>
        <w:tc>
          <w:tcPr>
            <w:tcW w:w="2071" w:type="dxa"/>
            <w:tcBorders>
              <w:top w:val="nil"/>
              <w:left w:val="nil"/>
              <w:bottom w:val="nil"/>
              <w:right w:val="nil"/>
            </w:tcBorders>
            <w:shd w:val="clear" w:color="auto" w:fill="auto"/>
          </w:tcPr>
          <w:p w14:paraId="48B77F5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0.010</w:t>
            </w:r>
          </w:p>
        </w:tc>
      </w:tr>
      <w:tr w:rsidR="00892142" w:rsidRPr="004153B4" w14:paraId="239AC283" w14:textId="77777777" w:rsidTr="00770BD5">
        <w:trPr>
          <w:trHeight w:val="248"/>
          <w:jc w:val="center"/>
        </w:trPr>
        <w:tc>
          <w:tcPr>
            <w:tcW w:w="2662" w:type="dxa"/>
            <w:tcBorders>
              <w:top w:val="nil"/>
              <w:left w:val="nil"/>
              <w:bottom w:val="nil"/>
              <w:right w:val="nil"/>
            </w:tcBorders>
          </w:tcPr>
          <w:p w14:paraId="2145E47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Namibia</w:t>
            </w:r>
          </w:p>
        </w:tc>
        <w:tc>
          <w:tcPr>
            <w:tcW w:w="2071" w:type="dxa"/>
            <w:tcBorders>
              <w:top w:val="nil"/>
              <w:left w:val="nil"/>
              <w:bottom w:val="nil"/>
              <w:right w:val="nil"/>
            </w:tcBorders>
            <w:shd w:val="clear" w:color="auto" w:fill="auto"/>
          </w:tcPr>
          <w:p w14:paraId="115A4D4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0.009</w:t>
            </w:r>
          </w:p>
        </w:tc>
        <w:tc>
          <w:tcPr>
            <w:tcW w:w="2071" w:type="dxa"/>
            <w:tcBorders>
              <w:top w:val="nil"/>
              <w:left w:val="nil"/>
              <w:bottom w:val="nil"/>
              <w:right w:val="nil"/>
            </w:tcBorders>
            <w:shd w:val="clear" w:color="auto" w:fill="auto"/>
          </w:tcPr>
          <w:p w14:paraId="50533811"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0.009</w:t>
            </w:r>
          </w:p>
        </w:tc>
      </w:tr>
      <w:tr w:rsidR="00892142" w:rsidRPr="004153B4" w14:paraId="244F9D1C" w14:textId="77777777" w:rsidTr="00770BD5">
        <w:trPr>
          <w:trHeight w:val="248"/>
          <w:jc w:val="center"/>
        </w:trPr>
        <w:tc>
          <w:tcPr>
            <w:tcW w:w="2662" w:type="dxa"/>
            <w:tcBorders>
              <w:top w:val="nil"/>
              <w:left w:val="nil"/>
              <w:bottom w:val="nil"/>
              <w:right w:val="nil"/>
            </w:tcBorders>
          </w:tcPr>
          <w:p w14:paraId="0324E95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Nauru</w:t>
            </w:r>
          </w:p>
        </w:tc>
        <w:tc>
          <w:tcPr>
            <w:tcW w:w="2071" w:type="dxa"/>
            <w:tcBorders>
              <w:top w:val="nil"/>
              <w:left w:val="nil"/>
              <w:bottom w:val="nil"/>
              <w:right w:val="nil"/>
            </w:tcBorders>
            <w:shd w:val="clear" w:color="auto" w:fill="auto"/>
          </w:tcPr>
          <w:p w14:paraId="3A198374" w14:textId="77777777" w:rsidR="00892142" w:rsidRPr="004153B4" w:rsidRDefault="00892142" w:rsidP="00887556">
            <w:pPr>
              <w:suppressAutoHyphens w:val="0"/>
              <w:spacing w:line="240" w:lineRule="auto"/>
              <w:jc w:val="right"/>
              <w:rPr>
                <w:rFonts w:eastAsia="MS Mincho"/>
                <w:color w:val="000000"/>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7FD4DDD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1D546780" w14:textId="77777777" w:rsidTr="00770BD5">
        <w:trPr>
          <w:trHeight w:val="248"/>
          <w:jc w:val="center"/>
        </w:trPr>
        <w:tc>
          <w:tcPr>
            <w:tcW w:w="2662" w:type="dxa"/>
            <w:tcBorders>
              <w:top w:val="nil"/>
              <w:left w:val="nil"/>
              <w:bottom w:val="nil"/>
              <w:right w:val="nil"/>
            </w:tcBorders>
          </w:tcPr>
          <w:p w14:paraId="1D4AF58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Nepal</w:t>
            </w:r>
          </w:p>
        </w:tc>
        <w:tc>
          <w:tcPr>
            <w:tcW w:w="2071" w:type="dxa"/>
            <w:tcBorders>
              <w:top w:val="nil"/>
              <w:left w:val="nil"/>
              <w:bottom w:val="nil"/>
              <w:right w:val="nil"/>
            </w:tcBorders>
            <w:shd w:val="clear" w:color="auto" w:fill="auto"/>
          </w:tcPr>
          <w:p w14:paraId="5FBA9C1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0.007</w:t>
            </w:r>
          </w:p>
        </w:tc>
        <w:tc>
          <w:tcPr>
            <w:tcW w:w="2071" w:type="dxa"/>
            <w:tcBorders>
              <w:top w:val="nil"/>
              <w:left w:val="nil"/>
              <w:bottom w:val="nil"/>
              <w:right w:val="nil"/>
            </w:tcBorders>
            <w:shd w:val="clear" w:color="auto" w:fill="auto"/>
          </w:tcPr>
          <w:p w14:paraId="1502892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0.007</w:t>
            </w:r>
          </w:p>
        </w:tc>
      </w:tr>
      <w:tr w:rsidR="00892142" w:rsidRPr="004153B4" w14:paraId="435D1FF3" w14:textId="77777777" w:rsidTr="00770BD5">
        <w:trPr>
          <w:trHeight w:val="248"/>
          <w:jc w:val="center"/>
        </w:trPr>
        <w:tc>
          <w:tcPr>
            <w:tcW w:w="2662" w:type="dxa"/>
            <w:tcBorders>
              <w:top w:val="nil"/>
              <w:left w:val="nil"/>
              <w:bottom w:val="nil"/>
              <w:right w:val="nil"/>
            </w:tcBorders>
          </w:tcPr>
          <w:p w14:paraId="4A13542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Netherlands</w:t>
            </w:r>
          </w:p>
        </w:tc>
        <w:tc>
          <w:tcPr>
            <w:tcW w:w="2071" w:type="dxa"/>
            <w:tcBorders>
              <w:top w:val="nil"/>
              <w:left w:val="nil"/>
              <w:bottom w:val="nil"/>
              <w:right w:val="nil"/>
            </w:tcBorders>
            <w:shd w:val="clear" w:color="auto" w:fill="auto"/>
          </w:tcPr>
          <w:p w14:paraId="6290D813"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1.356</w:t>
            </w:r>
          </w:p>
        </w:tc>
        <w:tc>
          <w:tcPr>
            <w:tcW w:w="2071" w:type="dxa"/>
            <w:tcBorders>
              <w:top w:val="nil"/>
              <w:left w:val="nil"/>
              <w:bottom w:val="nil"/>
              <w:right w:val="nil"/>
            </w:tcBorders>
            <w:shd w:val="clear" w:color="auto" w:fill="auto"/>
          </w:tcPr>
          <w:p w14:paraId="69BE44A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1.322</w:t>
            </w:r>
          </w:p>
        </w:tc>
      </w:tr>
      <w:tr w:rsidR="00892142" w:rsidRPr="004153B4" w14:paraId="0F277C89" w14:textId="77777777" w:rsidTr="00770BD5">
        <w:trPr>
          <w:trHeight w:val="248"/>
          <w:jc w:val="center"/>
        </w:trPr>
        <w:tc>
          <w:tcPr>
            <w:tcW w:w="2662" w:type="dxa"/>
            <w:tcBorders>
              <w:top w:val="nil"/>
              <w:left w:val="nil"/>
              <w:bottom w:val="nil"/>
              <w:right w:val="nil"/>
            </w:tcBorders>
          </w:tcPr>
          <w:p w14:paraId="669F803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New Zealand</w:t>
            </w:r>
          </w:p>
        </w:tc>
        <w:tc>
          <w:tcPr>
            <w:tcW w:w="2071" w:type="dxa"/>
            <w:tcBorders>
              <w:top w:val="nil"/>
              <w:left w:val="nil"/>
              <w:bottom w:val="nil"/>
              <w:right w:val="nil"/>
            </w:tcBorders>
            <w:shd w:val="clear" w:color="auto" w:fill="auto"/>
          </w:tcPr>
          <w:p w14:paraId="1006E77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0.291</w:t>
            </w:r>
          </w:p>
        </w:tc>
        <w:tc>
          <w:tcPr>
            <w:tcW w:w="2071" w:type="dxa"/>
            <w:tcBorders>
              <w:top w:val="nil"/>
              <w:left w:val="nil"/>
              <w:bottom w:val="nil"/>
              <w:right w:val="nil"/>
            </w:tcBorders>
            <w:shd w:val="clear" w:color="auto" w:fill="auto"/>
          </w:tcPr>
          <w:p w14:paraId="73EABB7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0.284</w:t>
            </w:r>
          </w:p>
        </w:tc>
      </w:tr>
      <w:tr w:rsidR="00892142" w:rsidRPr="004153B4" w14:paraId="631C1FC1" w14:textId="77777777" w:rsidTr="00770BD5">
        <w:trPr>
          <w:trHeight w:val="248"/>
          <w:jc w:val="center"/>
        </w:trPr>
        <w:tc>
          <w:tcPr>
            <w:tcW w:w="2662" w:type="dxa"/>
            <w:tcBorders>
              <w:top w:val="nil"/>
              <w:left w:val="nil"/>
              <w:bottom w:val="nil"/>
              <w:right w:val="nil"/>
            </w:tcBorders>
          </w:tcPr>
          <w:p w14:paraId="78E14A3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Nicaragua</w:t>
            </w:r>
          </w:p>
        </w:tc>
        <w:tc>
          <w:tcPr>
            <w:tcW w:w="2071" w:type="dxa"/>
            <w:tcBorders>
              <w:top w:val="nil"/>
              <w:left w:val="nil"/>
              <w:bottom w:val="nil"/>
              <w:right w:val="nil"/>
            </w:tcBorders>
            <w:shd w:val="clear" w:color="auto" w:fill="auto"/>
          </w:tcPr>
          <w:p w14:paraId="75EA086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0.005</w:t>
            </w:r>
          </w:p>
        </w:tc>
        <w:tc>
          <w:tcPr>
            <w:tcW w:w="2071" w:type="dxa"/>
            <w:tcBorders>
              <w:top w:val="nil"/>
              <w:left w:val="nil"/>
              <w:bottom w:val="nil"/>
              <w:right w:val="nil"/>
            </w:tcBorders>
            <w:shd w:val="clear" w:color="auto" w:fill="auto"/>
          </w:tcPr>
          <w:p w14:paraId="2E508C1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0.005</w:t>
            </w:r>
          </w:p>
        </w:tc>
      </w:tr>
      <w:tr w:rsidR="00892142" w:rsidRPr="004153B4" w14:paraId="51C7D8AE" w14:textId="77777777" w:rsidTr="00770BD5">
        <w:trPr>
          <w:trHeight w:val="248"/>
          <w:jc w:val="center"/>
        </w:trPr>
        <w:tc>
          <w:tcPr>
            <w:tcW w:w="2662" w:type="dxa"/>
            <w:tcBorders>
              <w:top w:val="nil"/>
              <w:left w:val="nil"/>
              <w:bottom w:val="nil"/>
              <w:right w:val="nil"/>
            </w:tcBorders>
          </w:tcPr>
          <w:p w14:paraId="48FB2C8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Niger</w:t>
            </w:r>
          </w:p>
        </w:tc>
        <w:tc>
          <w:tcPr>
            <w:tcW w:w="2071" w:type="dxa"/>
            <w:tcBorders>
              <w:top w:val="nil"/>
              <w:left w:val="nil"/>
              <w:bottom w:val="nil"/>
              <w:right w:val="nil"/>
            </w:tcBorders>
            <w:shd w:val="clear" w:color="auto" w:fill="auto"/>
          </w:tcPr>
          <w:p w14:paraId="66E8ACE1"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0.002</w:t>
            </w:r>
          </w:p>
        </w:tc>
        <w:tc>
          <w:tcPr>
            <w:tcW w:w="2071" w:type="dxa"/>
            <w:tcBorders>
              <w:top w:val="nil"/>
              <w:left w:val="nil"/>
              <w:bottom w:val="nil"/>
              <w:right w:val="nil"/>
            </w:tcBorders>
            <w:shd w:val="clear" w:color="auto" w:fill="auto"/>
          </w:tcPr>
          <w:p w14:paraId="073D328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0.002</w:t>
            </w:r>
          </w:p>
        </w:tc>
      </w:tr>
      <w:tr w:rsidR="00892142" w:rsidRPr="004153B4" w14:paraId="2263EFC5" w14:textId="77777777" w:rsidTr="00770BD5">
        <w:trPr>
          <w:trHeight w:val="248"/>
          <w:jc w:val="center"/>
        </w:trPr>
        <w:tc>
          <w:tcPr>
            <w:tcW w:w="2662" w:type="dxa"/>
            <w:tcBorders>
              <w:top w:val="nil"/>
              <w:left w:val="nil"/>
              <w:bottom w:val="nil"/>
              <w:right w:val="nil"/>
            </w:tcBorders>
          </w:tcPr>
          <w:p w14:paraId="7AD0662C"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Nigeria</w:t>
            </w:r>
          </w:p>
        </w:tc>
        <w:tc>
          <w:tcPr>
            <w:tcW w:w="2071" w:type="dxa"/>
            <w:tcBorders>
              <w:top w:val="nil"/>
              <w:left w:val="nil"/>
              <w:bottom w:val="nil"/>
              <w:right w:val="nil"/>
            </w:tcBorders>
            <w:shd w:val="clear" w:color="auto" w:fill="auto"/>
          </w:tcPr>
          <w:p w14:paraId="27EC937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0.250</w:t>
            </w:r>
          </w:p>
        </w:tc>
        <w:tc>
          <w:tcPr>
            <w:tcW w:w="2071" w:type="dxa"/>
            <w:tcBorders>
              <w:top w:val="nil"/>
              <w:left w:val="nil"/>
              <w:bottom w:val="nil"/>
              <w:right w:val="nil"/>
            </w:tcBorders>
            <w:shd w:val="clear" w:color="auto" w:fill="auto"/>
          </w:tcPr>
          <w:p w14:paraId="39E1B18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0.244</w:t>
            </w:r>
          </w:p>
        </w:tc>
      </w:tr>
      <w:tr w:rsidR="00892142" w:rsidRPr="004153B4" w14:paraId="060E9EF8" w14:textId="77777777" w:rsidTr="00770BD5">
        <w:trPr>
          <w:trHeight w:val="248"/>
          <w:jc w:val="center"/>
        </w:trPr>
        <w:tc>
          <w:tcPr>
            <w:tcW w:w="2662" w:type="dxa"/>
            <w:tcBorders>
              <w:top w:val="nil"/>
              <w:left w:val="nil"/>
              <w:bottom w:val="nil"/>
              <w:right w:val="nil"/>
            </w:tcBorders>
          </w:tcPr>
          <w:p w14:paraId="6EF211BC"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Niue</w:t>
            </w:r>
          </w:p>
        </w:tc>
        <w:tc>
          <w:tcPr>
            <w:tcW w:w="2071" w:type="dxa"/>
            <w:tcBorders>
              <w:top w:val="nil"/>
              <w:left w:val="nil"/>
              <w:bottom w:val="nil"/>
              <w:right w:val="nil"/>
            </w:tcBorders>
            <w:shd w:val="clear" w:color="auto" w:fill="auto"/>
          </w:tcPr>
          <w:p w14:paraId="579F49D7" w14:textId="77777777" w:rsidR="00892142" w:rsidRPr="004153B4" w:rsidRDefault="00892142" w:rsidP="00887556">
            <w:pPr>
              <w:suppressAutoHyphens w:val="0"/>
              <w:spacing w:line="240" w:lineRule="auto"/>
              <w:jc w:val="right"/>
              <w:rPr>
                <w:rFonts w:eastAsia="MS Mincho"/>
                <w:color w:val="000000"/>
                <w:sz w:val="18"/>
                <w:szCs w:val="18"/>
                <w:lang w:eastAsia="de-DE"/>
              </w:rPr>
            </w:pPr>
            <w:r w:rsidRPr="004153B4">
              <w:rPr>
                <w:sz w:val="18"/>
                <w:szCs w:val="18"/>
              </w:rPr>
              <w:t>0.000</w:t>
            </w:r>
          </w:p>
        </w:tc>
        <w:tc>
          <w:tcPr>
            <w:tcW w:w="2071" w:type="dxa"/>
            <w:tcBorders>
              <w:top w:val="nil"/>
              <w:left w:val="nil"/>
              <w:bottom w:val="nil"/>
              <w:right w:val="nil"/>
            </w:tcBorders>
            <w:shd w:val="clear" w:color="auto" w:fill="auto"/>
          </w:tcPr>
          <w:p w14:paraId="14E0905B"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47766B47" w14:textId="77777777" w:rsidTr="00770BD5">
        <w:trPr>
          <w:trHeight w:val="248"/>
          <w:jc w:val="center"/>
        </w:trPr>
        <w:tc>
          <w:tcPr>
            <w:tcW w:w="2662" w:type="dxa"/>
            <w:tcBorders>
              <w:top w:val="nil"/>
              <w:left w:val="nil"/>
              <w:bottom w:val="nil"/>
              <w:right w:val="nil"/>
            </w:tcBorders>
          </w:tcPr>
          <w:p w14:paraId="79F55480" w14:textId="77777777" w:rsidR="00892142" w:rsidRPr="004153B4" w:rsidRDefault="00892142" w:rsidP="00887556">
            <w:pPr>
              <w:suppressAutoHyphens w:val="0"/>
              <w:spacing w:line="240" w:lineRule="auto"/>
              <w:rPr>
                <w:rFonts w:eastAsia="Arial Unicode MS"/>
                <w:color w:val="000000"/>
                <w:sz w:val="18"/>
                <w:szCs w:val="18"/>
                <w:lang w:eastAsia="de-DE"/>
              </w:rPr>
            </w:pPr>
            <w:r w:rsidRPr="004153B4">
              <w:rPr>
                <w:rFonts w:eastAsia="MS Mincho"/>
                <w:color w:val="000000"/>
                <w:sz w:val="18"/>
                <w:szCs w:val="18"/>
                <w:lang w:eastAsia="de-DE"/>
              </w:rPr>
              <w:t>North Macedonia</w:t>
            </w:r>
          </w:p>
        </w:tc>
        <w:tc>
          <w:tcPr>
            <w:tcW w:w="2071" w:type="dxa"/>
            <w:tcBorders>
              <w:top w:val="nil"/>
              <w:left w:val="nil"/>
              <w:bottom w:val="nil"/>
              <w:right w:val="nil"/>
            </w:tcBorders>
            <w:shd w:val="clear" w:color="auto" w:fill="auto"/>
          </w:tcPr>
          <w:p w14:paraId="53B7AC7B"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0.007</w:t>
            </w:r>
          </w:p>
        </w:tc>
        <w:tc>
          <w:tcPr>
            <w:tcW w:w="2071" w:type="dxa"/>
            <w:tcBorders>
              <w:top w:val="nil"/>
              <w:left w:val="nil"/>
              <w:bottom w:val="nil"/>
              <w:right w:val="nil"/>
            </w:tcBorders>
            <w:shd w:val="clear" w:color="auto" w:fill="auto"/>
          </w:tcPr>
          <w:p w14:paraId="4860DFC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0.007</w:t>
            </w:r>
          </w:p>
        </w:tc>
      </w:tr>
      <w:tr w:rsidR="00892142" w:rsidRPr="004153B4" w14:paraId="79BF6F00" w14:textId="77777777" w:rsidTr="00770BD5">
        <w:trPr>
          <w:trHeight w:val="248"/>
          <w:jc w:val="center"/>
        </w:trPr>
        <w:tc>
          <w:tcPr>
            <w:tcW w:w="2662" w:type="dxa"/>
            <w:tcBorders>
              <w:top w:val="nil"/>
              <w:left w:val="nil"/>
              <w:bottom w:val="nil"/>
              <w:right w:val="nil"/>
            </w:tcBorders>
          </w:tcPr>
          <w:p w14:paraId="24FE584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Norway</w:t>
            </w:r>
          </w:p>
        </w:tc>
        <w:tc>
          <w:tcPr>
            <w:tcW w:w="2071" w:type="dxa"/>
            <w:tcBorders>
              <w:top w:val="nil"/>
              <w:left w:val="nil"/>
              <w:bottom w:val="nil"/>
              <w:right w:val="nil"/>
            </w:tcBorders>
            <w:shd w:val="clear" w:color="auto" w:fill="auto"/>
          </w:tcPr>
          <w:p w14:paraId="4C8DCC0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0.754</w:t>
            </w:r>
          </w:p>
        </w:tc>
        <w:tc>
          <w:tcPr>
            <w:tcW w:w="2071" w:type="dxa"/>
            <w:tcBorders>
              <w:top w:val="nil"/>
              <w:left w:val="nil"/>
              <w:bottom w:val="nil"/>
              <w:right w:val="nil"/>
            </w:tcBorders>
            <w:shd w:val="clear" w:color="auto" w:fill="auto"/>
          </w:tcPr>
          <w:p w14:paraId="76D8E46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0.735</w:t>
            </w:r>
          </w:p>
        </w:tc>
      </w:tr>
      <w:tr w:rsidR="00892142" w:rsidRPr="004153B4" w14:paraId="17B5A174" w14:textId="77777777" w:rsidTr="00770BD5">
        <w:trPr>
          <w:trHeight w:val="248"/>
          <w:jc w:val="center"/>
        </w:trPr>
        <w:tc>
          <w:tcPr>
            <w:tcW w:w="2662" w:type="dxa"/>
            <w:tcBorders>
              <w:top w:val="nil"/>
              <w:left w:val="nil"/>
              <w:bottom w:val="nil"/>
              <w:right w:val="nil"/>
            </w:tcBorders>
          </w:tcPr>
          <w:p w14:paraId="401251B4"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Oman</w:t>
            </w:r>
          </w:p>
        </w:tc>
        <w:tc>
          <w:tcPr>
            <w:tcW w:w="2071" w:type="dxa"/>
            <w:tcBorders>
              <w:top w:val="nil"/>
              <w:left w:val="nil"/>
              <w:bottom w:val="nil"/>
              <w:right w:val="nil"/>
            </w:tcBorders>
            <w:shd w:val="clear" w:color="auto" w:fill="auto"/>
          </w:tcPr>
          <w:p w14:paraId="19D5463A"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0.115</w:t>
            </w:r>
          </w:p>
        </w:tc>
        <w:tc>
          <w:tcPr>
            <w:tcW w:w="2071" w:type="dxa"/>
            <w:tcBorders>
              <w:top w:val="nil"/>
              <w:left w:val="nil"/>
              <w:bottom w:val="nil"/>
              <w:right w:val="nil"/>
            </w:tcBorders>
            <w:shd w:val="clear" w:color="auto" w:fill="auto"/>
          </w:tcPr>
          <w:p w14:paraId="25F3DEC3"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0.112</w:t>
            </w:r>
          </w:p>
        </w:tc>
      </w:tr>
      <w:tr w:rsidR="00892142" w:rsidRPr="004153B4" w14:paraId="4EF94A5D" w14:textId="77777777" w:rsidTr="00770BD5">
        <w:trPr>
          <w:trHeight w:val="248"/>
          <w:jc w:val="center"/>
        </w:trPr>
        <w:tc>
          <w:tcPr>
            <w:tcW w:w="2662" w:type="dxa"/>
            <w:tcBorders>
              <w:top w:val="nil"/>
              <w:left w:val="nil"/>
              <w:bottom w:val="nil"/>
              <w:right w:val="nil"/>
            </w:tcBorders>
          </w:tcPr>
          <w:p w14:paraId="2DFFA4F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Pakistan</w:t>
            </w:r>
          </w:p>
        </w:tc>
        <w:tc>
          <w:tcPr>
            <w:tcW w:w="2071" w:type="dxa"/>
            <w:tcBorders>
              <w:top w:val="nil"/>
              <w:left w:val="nil"/>
              <w:bottom w:val="nil"/>
              <w:right w:val="nil"/>
            </w:tcBorders>
            <w:shd w:val="clear" w:color="auto" w:fill="auto"/>
          </w:tcPr>
          <w:p w14:paraId="4368C963"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0.115</w:t>
            </w:r>
          </w:p>
        </w:tc>
        <w:tc>
          <w:tcPr>
            <w:tcW w:w="2071" w:type="dxa"/>
            <w:tcBorders>
              <w:top w:val="nil"/>
              <w:left w:val="nil"/>
              <w:bottom w:val="nil"/>
              <w:right w:val="nil"/>
            </w:tcBorders>
            <w:shd w:val="clear" w:color="auto" w:fill="auto"/>
          </w:tcPr>
          <w:p w14:paraId="2602A82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0.112</w:t>
            </w:r>
          </w:p>
        </w:tc>
      </w:tr>
      <w:tr w:rsidR="00892142" w:rsidRPr="004153B4" w14:paraId="71267486" w14:textId="77777777" w:rsidTr="00770BD5">
        <w:trPr>
          <w:trHeight w:val="248"/>
          <w:jc w:val="center"/>
        </w:trPr>
        <w:tc>
          <w:tcPr>
            <w:tcW w:w="2662" w:type="dxa"/>
            <w:tcBorders>
              <w:top w:val="nil"/>
              <w:left w:val="nil"/>
              <w:bottom w:val="nil"/>
              <w:right w:val="nil"/>
            </w:tcBorders>
          </w:tcPr>
          <w:p w14:paraId="4CA6B118"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Palau</w:t>
            </w:r>
          </w:p>
        </w:tc>
        <w:tc>
          <w:tcPr>
            <w:tcW w:w="2071" w:type="dxa"/>
            <w:tcBorders>
              <w:top w:val="nil"/>
              <w:left w:val="nil"/>
              <w:bottom w:val="nil"/>
              <w:right w:val="nil"/>
            </w:tcBorders>
            <w:shd w:val="clear" w:color="auto" w:fill="auto"/>
          </w:tcPr>
          <w:p w14:paraId="31E4C15B"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2FDA9F8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6A0DD0C9" w14:textId="77777777" w:rsidTr="00770BD5">
        <w:trPr>
          <w:trHeight w:val="248"/>
          <w:jc w:val="center"/>
        </w:trPr>
        <w:tc>
          <w:tcPr>
            <w:tcW w:w="2662" w:type="dxa"/>
            <w:tcBorders>
              <w:top w:val="nil"/>
              <w:left w:val="nil"/>
              <w:bottom w:val="nil"/>
              <w:right w:val="nil"/>
            </w:tcBorders>
          </w:tcPr>
          <w:p w14:paraId="6B513642"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Panama</w:t>
            </w:r>
          </w:p>
        </w:tc>
        <w:tc>
          <w:tcPr>
            <w:tcW w:w="2071" w:type="dxa"/>
            <w:tcBorders>
              <w:top w:val="nil"/>
              <w:left w:val="nil"/>
              <w:bottom w:val="nil"/>
              <w:right w:val="nil"/>
            </w:tcBorders>
            <w:shd w:val="clear" w:color="auto" w:fill="auto"/>
          </w:tcPr>
          <w:p w14:paraId="259B6C4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0.045</w:t>
            </w:r>
          </w:p>
        </w:tc>
        <w:tc>
          <w:tcPr>
            <w:tcW w:w="2071" w:type="dxa"/>
            <w:tcBorders>
              <w:top w:val="nil"/>
              <w:left w:val="nil"/>
              <w:bottom w:val="nil"/>
              <w:right w:val="nil"/>
            </w:tcBorders>
            <w:shd w:val="clear" w:color="auto" w:fill="auto"/>
          </w:tcPr>
          <w:p w14:paraId="5696963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0.044</w:t>
            </w:r>
          </w:p>
        </w:tc>
      </w:tr>
      <w:tr w:rsidR="00892142" w:rsidRPr="004153B4" w14:paraId="6069348B" w14:textId="77777777" w:rsidTr="00770BD5">
        <w:trPr>
          <w:trHeight w:val="248"/>
          <w:jc w:val="center"/>
        </w:trPr>
        <w:tc>
          <w:tcPr>
            <w:tcW w:w="2662" w:type="dxa"/>
            <w:tcBorders>
              <w:top w:val="nil"/>
              <w:left w:val="nil"/>
              <w:bottom w:val="nil"/>
              <w:right w:val="nil"/>
            </w:tcBorders>
          </w:tcPr>
          <w:p w14:paraId="2F0FA52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Papua New Guinea</w:t>
            </w:r>
          </w:p>
        </w:tc>
        <w:tc>
          <w:tcPr>
            <w:tcW w:w="2071" w:type="dxa"/>
            <w:tcBorders>
              <w:top w:val="nil"/>
              <w:left w:val="nil"/>
              <w:bottom w:val="nil"/>
              <w:right w:val="nil"/>
            </w:tcBorders>
            <w:shd w:val="clear" w:color="auto" w:fill="auto"/>
          </w:tcPr>
          <w:p w14:paraId="0640C0B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0.010</w:t>
            </w:r>
          </w:p>
        </w:tc>
        <w:tc>
          <w:tcPr>
            <w:tcW w:w="2071" w:type="dxa"/>
            <w:tcBorders>
              <w:top w:val="nil"/>
              <w:left w:val="nil"/>
              <w:bottom w:val="nil"/>
              <w:right w:val="nil"/>
            </w:tcBorders>
            <w:shd w:val="clear" w:color="auto" w:fill="auto"/>
          </w:tcPr>
          <w:p w14:paraId="7D2DC84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0.010</w:t>
            </w:r>
          </w:p>
        </w:tc>
      </w:tr>
      <w:tr w:rsidR="00892142" w:rsidRPr="004153B4" w14:paraId="073040CC" w14:textId="77777777" w:rsidTr="00770BD5">
        <w:trPr>
          <w:trHeight w:val="248"/>
          <w:jc w:val="center"/>
        </w:trPr>
        <w:tc>
          <w:tcPr>
            <w:tcW w:w="2662" w:type="dxa"/>
            <w:tcBorders>
              <w:top w:val="nil"/>
              <w:left w:val="nil"/>
              <w:bottom w:val="nil"/>
              <w:right w:val="nil"/>
            </w:tcBorders>
          </w:tcPr>
          <w:p w14:paraId="3F118FF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Paraguay</w:t>
            </w:r>
          </w:p>
        </w:tc>
        <w:tc>
          <w:tcPr>
            <w:tcW w:w="2071" w:type="dxa"/>
            <w:tcBorders>
              <w:top w:val="nil"/>
              <w:left w:val="nil"/>
              <w:bottom w:val="nil"/>
              <w:right w:val="nil"/>
            </w:tcBorders>
            <w:shd w:val="clear" w:color="auto" w:fill="auto"/>
          </w:tcPr>
          <w:p w14:paraId="1FCBC30E"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0.016</w:t>
            </w:r>
          </w:p>
        </w:tc>
        <w:tc>
          <w:tcPr>
            <w:tcW w:w="2071" w:type="dxa"/>
            <w:tcBorders>
              <w:top w:val="nil"/>
              <w:left w:val="nil"/>
              <w:bottom w:val="nil"/>
              <w:right w:val="nil"/>
            </w:tcBorders>
            <w:shd w:val="clear" w:color="auto" w:fill="auto"/>
          </w:tcPr>
          <w:p w14:paraId="6706B3E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0.016</w:t>
            </w:r>
          </w:p>
        </w:tc>
      </w:tr>
      <w:tr w:rsidR="00892142" w:rsidRPr="004153B4" w14:paraId="01941AED" w14:textId="77777777" w:rsidTr="00770BD5">
        <w:trPr>
          <w:trHeight w:val="248"/>
          <w:jc w:val="center"/>
        </w:trPr>
        <w:tc>
          <w:tcPr>
            <w:tcW w:w="2662" w:type="dxa"/>
            <w:tcBorders>
              <w:top w:val="nil"/>
              <w:left w:val="nil"/>
              <w:bottom w:val="nil"/>
              <w:right w:val="nil"/>
            </w:tcBorders>
          </w:tcPr>
          <w:p w14:paraId="6132751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Peru</w:t>
            </w:r>
          </w:p>
        </w:tc>
        <w:tc>
          <w:tcPr>
            <w:tcW w:w="2071" w:type="dxa"/>
            <w:tcBorders>
              <w:top w:val="nil"/>
              <w:left w:val="nil"/>
              <w:bottom w:val="nil"/>
              <w:right w:val="nil"/>
            </w:tcBorders>
            <w:shd w:val="clear" w:color="auto" w:fill="auto"/>
          </w:tcPr>
          <w:p w14:paraId="67C3399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0.152</w:t>
            </w:r>
          </w:p>
        </w:tc>
        <w:tc>
          <w:tcPr>
            <w:tcW w:w="2071" w:type="dxa"/>
            <w:tcBorders>
              <w:top w:val="nil"/>
              <w:left w:val="nil"/>
              <w:bottom w:val="nil"/>
              <w:right w:val="nil"/>
            </w:tcBorders>
            <w:shd w:val="clear" w:color="auto" w:fill="auto"/>
          </w:tcPr>
          <w:p w14:paraId="47862DB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0.148</w:t>
            </w:r>
          </w:p>
        </w:tc>
      </w:tr>
      <w:tr w:rsidR="00892142" w:rsidRPr="004153B4" w14:paraId="3B8F0DC7" w14:textId="77777777" w:rsidTr="00770BD5">
        <w:trPr>
          <w:trHeight w:val="248"/>
          <w:jc w:val="center"/>
        </w:trPr>
        <w:tc>
          <w:tcPr>
            <w:tcW w:w="2662" w:type="dxa"/>
            <w:tcBorders>
              <w:top w:val="nil"/>
              <w:left w:val="nil"/>
              <w:bottom w:val="nil"/>
              <w:right w:val="nil"/>
            </w:tcBorders>
          </w:tcPr>
          <w:p w14:paraId="29D9A2F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Philippines</w:t>
            </w:r>
          </w:p>
        </w:tc>
        <w:tc>
          <w:tcPr>
            <w:tcW w:w="2071" w:type="dxa"/>
            <w:tcBorders>
              <w:top w:val="nil"/>
              <w:left w:val="nil"/>
              <w:bottom w:val="nil"/>
              <w:right w:val="nil"/>
            </w:tcBorders>
            <w:shd w:val="clear" w:color="auto" w:fill="auto"/>
          </w:tcPr>
          <w:p w14:paraId="1D4E497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0.205</w:t>
            </w:r>
          </w:p>
        </w:tc>
        <w:tc>
          <w:tcPr>
            <w:tcW w:w="2071" w:type="dxa"/>
            <w:tcBorders>
              <w:top w:val="nil"/>
              <w:left w:val="nil"/>
              <w:bottom w:val="nil"/>
              <w:right w:val="nil"/>
            </w:tcBorders>
            <w:shd w:val="clear" w:color="auto" w:fill="auto"/>
          </w:tcPr>
          <w:p w14:paraId="5F64DD6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0.200</w:t>
            </w:r>
          </w:p>
        </w:tc>
      </w:tr>
      <w:tr w:rsidR="00892142" w:rsidRPr="004153B4" w14:paraId="22E9D824" w14:textId="77777777" w:rsidTr="00770BD5">
        <w:trPr>
          <w:trHeight w:val="248"/>
          <w:jc w:val="center"/>
        </w:trPr>
        <w:tc>
          <w:tcPr>
            <w:tcW w:w="2662" w:type="dxa"/>
            <w:tcBorders>
              <w:top w:val="nil"/>
              <w:left w:val="nil"/>
              <w:bottom w:val="nil"/>
              <w:right w:val="nil"/>
            </w:tcBorders>
          </w:tcPr>
          <w:p w14:paraId="7A105A6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Poland</w:t>
            </w:r>
          </w:p>
        </w:tc>
        <w:tc>
          <w:tcPr>
            <w:tcW w:w="2071" w:type="dxa"/>
            <w:tcBorders>
              <w:top w:val="nil"/>
              <w:left w:val="nil"/>
              <w:bottom w:val="nil"/>
              <w:right w:val="nil"/>
            </w:tcBorders>
            <w:shd w:val="clear" w:color="auto" w:fill="auto"/>
          </w:tcPr>
          <w:p w14:paraId="60698D84"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0.802</w:t>
            </w:r>
          </w:p>
        </w:tc>
        <w:tc>
          <w:tcPr>
            <w:tcW w:w="2071" w:type="dxa"/>
            <w:tcBorders>
              <w:top w:val="nil"/>
              <w:left w:val="nil"/>
              <w:bottom w:val="nil"/>
              <w:right w:val="nil"/>
            </w:tcBorders>
            <w:shd w:val="clear" w:color="auto" w:fill="auto"/>
          </w:tcPr>
          <w:p w14:paraId="4C66E84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0.782</w:t>
            </w:r>
          </w:p>
        </w:tc>
      </w:tr>
      <w:tr w:rsidR="00892142" w:rsidRPr="004153B4" w14:paraId="4A22AFBC" w14:textId="77777777" w:rsidTr="00770BD5">
        <w:trPr>
          <w:trHeight w:val="248"/>
          <w:jc w:val="center"/>
        </w:trPr>
        <w:tc>
          <w:tcPr>
            <w:tcW w:w="2662" w:type="dxa"/>
            <w:tcBorders>
              <w:top w:val="nil"/>
              <w:left w:val="nil"/>
              <w:bottom w:val="nil"/>
              <w:right w:val="nil"/>
            </w:tcBorders>
          </w:tcPr>
          <w:p w14:paraId="0015A99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Portugal</w:t>
            </w:r>
          </w:p>
        </w:tc>
        <w:tc>
          <w:tcPr>
            <w:tcW w:w="2071" w:type="dxa"/>
            <w:tcBorders>
              <w:top w:val="nil"/>
              <w:left w:val="nil"/>
              <w:bottom w:val="nil"/>
              <w:right w:val="nil"/>
            </w:tcBorders>
            <w:shd w:val="clear" w:color="auto" w:fill="auto"/>
          </w:tcPr>
          <w:p w14:paraId="5A177E1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0.350</w:t>
            </w:r>
          </w:p>
        </w:tc>
        <w:tc>
          <w:tcPr>
            <w:tcW w:w="2071" w:type="dxa"/>
            <w:tcBorders>
              <w:top w:val="nil"/>
              <w:left w:val="nil"/>
              <w:bottom w:val="nil"/>
              <w:right w:val="nil"/>
            </w:tcBorders>
            <w:shd w:val="clear" w:color="auto" w:fill="auto"/>
          </w:tcPr>
          <w:p w14:paraId="524C09D9"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0.341</w:t>
            </w:r>
          </w:p>
        </w:tc>
      </w:tr>
      <w:tr w:rsidR="00892142" w:rsidRPr="004153B4" w14:paraId="2D1D949B" w14:textId="77777777" w:rsidTr="00770BD5">
        <w:trPr>
          <w:trHeight w:val="248"/>
          <w:jc w:val="center"/>
        </w:trPr>
        <w:tc>
          <w:tcPr>
            <w:tcW w:w="2662" w:type="dxa"/>
            <w:tcBorders>
              <w:top w:val="nil"/>
              <w:left w:val="nil"/>
              <w:bottom w:val="nil"/>
              <w:right w:val="nil"/>
            </w:tcBorders>
          </w:tcPr>
          <w:p w14:paraId="2FBC9A5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Qatar</w:t>
            </w:r>
          </w:p>
        </w:tc>
        <w:tc>
          <w:tcPr>
            <w:tcW w:w="2071" w:type="dxa"/>
            <w:tcBorders>
              <w:top w:val="nil"/>
              <w:left w:val="nil"/>
              <w:bottom w:val="nil"/>
              <w:right w:val="nil"/>
            </w:tcBorders>
            <w:shd w:val="clear" w:color="auto" w:fill="auto"/>
          </w:tcPr>
          <w:p w14:paraId="7179A351"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0.282</w:t>
            </w:r>
          </w:p>
        </w:tc>
        <w:tc>
          <w:tcPr>
            <w:tcW w:w="2071" w:type="dxa"/>
            <w:tcBorders>
              <w:top w:val="nil"/>
              <w:left w:val="nil"/>
              <w:bottom w:val="nil"/>
              <w:right w:val="nil"/>
            </w:tcBorders>
            <w:shd w:val="clear" w:color="auto" w:fill="auto"/>
          </w:tcPr>
          <w:p w14:paraId="627B3E9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0.275</w:t>
            </w:r>
          </w:p>
        </w:tc>
      </w:tr>
      <w:tr w:rsidR="00892142" w:rsidRPr="004153B4" w14:paraId="5BC63090" w14:textId="77777777" w:rsidTr="00770BD5">
        <w:trPr>
          <w:trHeight w:val="248"/>
          <w:jc w:val="center"/>
        </w:trPr>
        <w:tc>
          <w:tcPr>
            <w:tcW w:w="2662" w:type="dxa"/>
            <w:tcBorders>
              <w:top w:val="nil"/>
              <w:left w:val="nil"/>
              <w:bottom w:val="nil"/>
              <w:right w:val="nil"/>
            </w:tcBorders>
          </w:tcPr>
          <w:p w14:paraId="62DABF0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Republic of Korea</w:t>
            </w:r>
          </w:p>
        </w:tc>
        <w:tc>
          <w:tcPr>
            <w:tcW w:w="2071" w:type="dxa"/>
            <w:tcBorders>
              <w:top w:val="nil"/>
              <w:left w:val="nil"/>
              <w:bottom w:val="nil"/>
              <w:right w:val="nil"/>
            </w:tcBorders>
            <w:shd w:val="clear" w:color="auto" w:fill="auto"/>
          </w:tcPr>
          <w:p w14:paraId="7CE006C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2.267</w:t>
            </w:r>
          </w:p>
        </w:tc>
        <w:tc>
          <w:tcPr>
            <w:tcW w:w="2071" w:type="dxa"/>
            <w:tcBorders>
              <w:top w:val="nil"/>
              <w:left w:val="nil"/>
              <w:bottom w:val="nil"/>
              <w:right w:val="nil"/>
            </w:tcBorders>
            <w:shd w:val="clear" w:color="auto" w:fill="auto"/>
          </w:tcPr>
          <w:p w14:paraId="3971BF5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2.210</w:t>
            </w:r>
          </w:p>
        </w:tc>
      </w:tr>
      <w:tr w:rsidR="00892142" w:rsidRPr="004153B4" w14:paraId="7B560805" w14:textId="77777777" w:rsidTr="00770BD5">
        <w:trPr>
          <w:trHeight w:val="248"/>
          <w:jc w:val="center"/>
        </w:trPr>
        <w:tc>
          <w:tcPr>
            <w:tcW w:w="2662" w:type="dxa"/>
            <w:tcBorders>
              <w:top w:val="nil"/>
              <w:left w:val="nil"/>
              <w:bottom w:val="nil"/>
              <w:right w:val="nil"/>
            </w:tcBorders>
          </w:tcPr>
          <w:p w14:paraId="5D41FAD9" w14:textId="77777777" w:rsidR="00892142" w:rsidRPr="004153B4" w:rsidRDefault="00892142" w:rsidP="00887556">
            <w:pPr>
              <w:suppressAutoHyphens w:val="0"/>
              <w:spacing w:line="240" w:lineRule="auto"/>
              <w:ind w:left="360" w:hanging="360"/>
              <w:rPr>
                <w:rFonts w:eastAsia="MS Mincho"/>
                <w:color w:val="000000"/>
                <w:sz w:val="18"/>
                <w:szCs w:val="18"/>
                <w:lang w:eastAsia="de-DE"/>
              </w:rPr>
            </w:pPr>
            <w:r w:rsidRPr="004153B4">
              <w:rPr>
                <w:rFonts w:eastAsia="MS Mincho"/>
                <w:color w:val="000000"/>
                <w:sz w:val="18"/>
                <w:szCs w:val="18"/>
                <w:lang w:eastAsia="de-DE"/>
              </w:rPr>
              <w:t>Republic of Moldova</w:t>
            </w:r>
          </w:p>
        </w:tc>
        <w:tc>
          <w:tcPr>
            <w:tcW w:w="2071" w:type="dxa"/>
            <w:tcBorders>
              <w:top w:val="nil"/>
              <w:left w:val="nil"/>
              <w:bottom w:val="nil"/>
              <w:right w:val="nil"/>
            </w:tcBorders>
            <w:shd w:val="clear" w:color="auto" w:fill="auto"/>
          </w:tcPr>
          <w:p w14:paraId="47413E4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0.003</w:t>
            </w:r>
          </w:p>
        </w:tc>
        <w:tc>
          <w:tcPr>
            <w:tcW w:w="2071" w:type="dxa"/>
            <w:tcBorders>
              <w:top w:val="nil"/>
              <w:left w:val="nil"/>
              <w:bottom w:val="nil"/>
              <w:right w:val="nil"/>
            </w:tcBorders>
            <w:shd w:val="clear" w:color="auto" w:fill="auto"/>
          </w:tcPr>
          <w:p w14:paraId="2D00309F"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0.003</w:t>
            </w:r>
          </w:p>
        </w:tc>
      </w:tr>
      <w:tr w:rsidR="00892142" w:rsidRPr="004153B4" w14:paraId="4F65F8EF" w14:textId="77777777" w:rsidTr="00770BD5">
        <w:trPr>
          <w:trHeight w:val="248"/>
          <w:jc w:val="center"/>
        </w:trPr>
        <w:tc>
          <w:tcPr>
            <w:tcW w:w="2662" w:type="dxa"/>
            <w:tcBorders>
              <w:top w:val="nil"/>
              <w:left w:val="nil"/>
              <w:bottom w:val="nil"/>
              <w:right w:val="nil"/>
            </w:tcBorders>
          </w:tcPr>
          <w:p w14:paraId="2E7E93D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Romania</w:t>
            </w:r>
          </w:p>
        </w:tc>
        <w:tc>
          <w:tcPr>
            <w:tcW w:w="2071" w:type="dxa"/>
            <w:tcBorders>
              <w:top w:val="nil"/>
              <w:left w:val="nil"/>
              <w:bottom w:val="nil"/>
              <w:right w:val="nil"/>
            </w:tcBorders>
            <w:shd w:val="clear" w:color="auto" w:fill="auto"/>
          </w:tcPr>
          <w:p w14:paraId="48FB5C6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0.198</w:t>
            </w:r>
          </w:p>
        </w:tc>
        <w:tc>
          <w:tcPr>
            <w:tcW w:w="2071" w:type="dxa"/>
            <w:tcBorders>
              <w:top w:val="nil"/>
              <w:left w:val="nil"/>
              <w:bottom w:val="nil"/>
              <w:right w:val="nil"/>
            </w:tcBorders>
            <w:shd w:val="clear" w:color="auto" w:fill="auto"/>
          </w:tcPr>
          <w:p w14:paraId="6E15A4F3"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0.193</w:t>
            </w:r>
          </w:p>
        </w:tc>
      </w:tr>
      <w:tr w:rsidR="00892142" w:rsidRPr="004153B4" w14:paraId="29AA9D04" w14:textId="77777777" w:rsidTr="00770BD5">
        <w:trPr>
          <w:trHeight w:val="248"/>
          <w:jc w:val="center"/>
        </w:trPr>
        <w:tc>
          <w:tcPr>
            <w:tcW w:w="2662" w:type="dxa"/>
            <w:tcBorders>
              <w:top w:val="nil"/>
              <w:left w:val="nil"/>
              <w:bottom w:val="nil"/>
              <w:right w:val="nil"/>
            </w:tcBorders>
          </w:tcPr>
          <w:p w14:paraId="160BD001"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Russian Federation</w:t>
            </w:r>
          </w:p>
        </w:tc>
        <w:tc>
          <w:tcPr>
            <w:tcW w:w="2071" w:type="dxa"/>
            <w:tcBorders>
              <w:top w:val="nil"/>
              <w:left w:val="nil"/>
              <w:bottom w:val="nil"/>
              <w:right w:val="nil"/>
            </w:tcBorders>
            <w:shd w:val="clear" w:color="auto" w:fill="auto"/>
          </w:tcPr>
          <w:p w14:paraId="5E376E68"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2.405</w:t>
            </w:r>
          </w:p>
        </w:tc>
        <w:tc>
          <w:tcPr>
            <w:tcW w:w="2071" w:type="dxa"/>
            <w:tcBorders>
              <w:top w:val="nil"/>
              <w:left w:val="nil"/>
              <w:bottom w:val="nil"/>
              <w:right w:val="nil"/>
            </w:tcBorders>
            <w:shd w:val="clear" w:color="auto" w:fill="auto"/>
          </w:tcPr>
          <w:p w14:paraId="0F9386E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2.345</w:t>
            </w:r>
          </w:p>
        </w:tc>
      </w:tr>
      <w:tr w:rsidR="00892142" w:rsidRPr="004153B4" w14:paraId="09DFD7AB" w14:textId="77777777" w:rsidTr="00770BD5">
        <w:trPr>
          <w:trHeight w:val="248"/>
          <w:jc w:val="center"/>
        </w:trPr>
        <w:tc>
          <w:tcPr>
            <w:tcW w:w="2662" w:type="dxa"/>
            <w:tcBorders>
              <w:top w:val="nil"/>
              <w:left w:val="nil"/>
              <w:bottom w:val="nil"/>
              <w:right w:val="nil"/>
            </w:tcBorders>
          </w:tcPr>
          <w:p w14:paraId="1156612C"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Rwanda</w:t>
            </w:r>
          </w:p>
        </w:tc>
        <w:tc>
          <w:tcPr>
            <w:tcW w:w="2071" w:type="dxa"/>
            <w:tcBorders>
              <w:top w:val="nil"/>
              <w:left w:val="nil"/>
              <w:bottom w:val="nil"/>
              <w:right w:val="nil"/>
            </w:tcBorders>
            <w:shd w:val="clear" w:color="auto" w:fill="auto"/>
          </w:tcPr>
          <w:p w14:paraId="39DA89B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0.003</w:t>
            </w:r>
          </w:p>
        </w:tc>
        <w:tc>
          <w:tcPr>
            <w:tcW w:w="2071" w:type="dxa"/>
            <w:tcBorders>
              <w:top w:val="nil"/>
              <w:left w:val="nil"/>
              <w:bottom w:val="nil"/>
              <w:right w:val="nil"/>
            </w:tcBorders>
            <w:shd w:val="clear" w:color="auto" w:fill="auto"/>
          </w:tcPr>
          <w:p w14:paraId="0FE2C65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0.003</w:t>
            </w:r>
          </w:p>
        </w:tc>
      </w:tr>
      <w:tr w:rsidR="00892142" w:rsidRPr="004153B4" w14:paraId="7AB8FE64" w14:textId="77777777" w:rsidTr="00770BD5">
        <w:trPr>
          <w:trHeight w:val="248"/>
          <w:jc w:val="center"/>
        </w:trPr>
        <w:tc>
          <w:tcPr>
            <w:tcW w:w="2662" w:type="dxa"/>
            <w:tcBorders>
              <w:top w:val="nil"/>
              <w:left w:val="nil"/>
              <w:bottom w:val="nil"/>
              <w:right w:val="nil"/>
            </w:tcBorders>
          </w:tcPr>
          <w:p w14:paraId="6B61695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Saint Kitts and Nevis</w:t>
            </w:r>
          </w:p>
        </w:tc>
        <w:tc>
          <w:tcPr>
            <w:tcW w:w="2071" w:type="dxa"/>
            <w:tcBorders>
              <w:top w:val="nil"/>
              <w:left w:val="nil"/>
              <w:bottom w:val="nil"/>
              <w:right w:val="nil"/>
            </w:tcBorders>
            <w:shd w:val="clear" w:color="auto" w:fill="auto"/>
          </w:tcPr>
          <w:p w14:paraId="13137E4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6DE163A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762538A2" w14:textId="77777777" w:rsidTr="00770BD5">
        <w:trPr>
          <w:trHeight w:val="248"/>
          <w:jc w:val="center"/>
        </w:trPr>
        <w:tc>
          <w:tcPr>
            <w:tcW w:w="2662" w:type="dxa"/>
            <w:tcBorders>
              <w:top w:val="nil"/>
              <w:left w:val="nil"/>
              <w:bottom w:val="nil"/>
              <w:right w:val="nil"/>
            </w:tcBorders>
          </w:tcPr>
          <w:p w14:paraId="260444EE"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Saint Lucia</w:t>
            </w:r>
          </w:p>
        </w:tc>
        <w:tc>
          <w:tcPr>
            <w:tcW w:w="2071" w:type="dxa"/>
            <w:tcBorders>
              <w:top w:val="nil"/>
              <w:left w:val="nil"/>
              <w:bottom w:val="nil"/>
              <w:right w:val="nil"/>
            </w:tcBorders>
            <w:shd w:val="clear" w:color="auto" w:fill="auto"/>
          </w:tcPr>
          <w:p w14:paraId="0CD5290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68934E06"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31DBF842" w14:textId="77777777" w:rsidTr="00770BD5">
        <w:trPr>
          <w:trHeight w:val="248"/>
          <w:jc w:val="center"/>
        </w:trPr>
        <w:tc>
          <w:tcPr>
            <w:tcW w:w="2662" w:type="dxa"/>
            <w:tcBorders>
              <w:top w:val="nil"/>
              <w:left w:val="nil"/>
              <w:bottom w:val="nil"/>
              <w:right w:val="nil"/>
            </w:tcBorders>
          </w:tcPr>
          <w:p w14:paraId="0CFA93BE"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Saint Vincent and the Grenadines</w:t>
            </w:r>
          </w:p>
        </w:tc>
        <w:tc>
          <w:tcPr>
            <w:tcW w:w="2071" w:type="dxa"/>
            <w:tcBorders>
              <w:top w:val="nil"/>
              <w:left w:val="nil"/>
              <w:bottom w:val="nil"/>
              <w:right w:val="nil"/>
            </w:tcBorders>
            <w:shd w:val="clear" w:color="auto" w:fill="auto"/>
          </w:tcPr>
          <w:p w14:paraId="0402A14A"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73F24F5F"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43A1DC5E" w14:textId="77777777" w:rsidTr="00770BD5">
        <w:trPr>
          <w:trHeight w:val="248"/>
          <w:jc w:val="center"/>
        </w:trPr>
        <w:tc>
          <w:tcPr>
            <w:tcW w:w="2662" w:type="dxa"/>
            <w:tcBorders>
              <w:top w:val="nil"/>
              <w:left w:val="nil"/>
              <w:bottom w:val="nil"/>
              <w:right w:val="nil"/>
            </w:tcBorders>
          </w:tcPr>
          <w:p w14:paraId="5ECFC27C"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Samoa</w:t>
            </w:r>
          </w:p>
        </w:tc>
        <w:tc>
          <w:tcPr>
            <w:tcW w:w="2071" w:type="dxa"/>
            <w:tcBorders>
              <w:top w:val="nil"/>
              <w:left w:val="nil"/>
              <w:bottom w:val="nil"/>
              <w:right w:val="nil"/>
            </w:tcBorders>
            <w:shd w:val="clear" w:color="auto" w:fill="auto"/>
          </w:tcPr>
          <w:p w14:paraId="6364E5F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30D7032F"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7FABF063" w14:textId="77777777" w:rsidTr="00770BD5">
        <w:trPr>
          <w:trHeight w:val="248"/>
          <w:jc w:val="center"/>
        </w:trPr>
        <w:tc>
          <w:tcPr>
            <w:tcW w:w="2662" w:type="dxa"/>
            <w:tcBorders>
              <w:top w:val="nil"/>
              <w:left w:val="nil"/>
              <w:bottom w:val="nil"/>
              <w:right w:val="nil"/>
            </w:tcBorders>
          </w:tcPr>
          <w:p w14:paraId="338FE82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San Marino</w:t>
            </w:r>
          </w:p>
        </w:tc>
        <w:tc>
          <w:tcPr>
            <w:tcW w:w="2071" w:type="dxa"/>
            <w:tcBorders>
              <w:top w:val="nil"/>
              <w:left w:val="nil"/>
              <w:bottom w:val="nil"/>
              <w:right w:val="nil"/>
            </w:tcBorders>
            <w:shd w:val="clear" w:color="auto" w:fill="auto"/>
          </w:tcPr>
          <w:p w14:paraId="32C8F5A2"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0.002</w:t>
            </w:r>
          </w:p>
        </w:tc>
        <w:tc>
          <w:tcPr>
            <w:tcW w:w="2071" w:type="dxa"/>
            <w:tcBorders>
              <w:top w:val="nil"/>
              <w:left w:val="nil"/>
              <w:bottom w:val="nil"/>
              <w:right w:val="nil"/>
            </w:tcBorders>
            <w:shd w:val="clear" w:color="auto" w:fill="auto"/>
          </w:tcPr>
          <w:p w14:paraId="628411C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0.002</w:t>
            </w:r>
          </w:p>
        </w:tc>
      </w:tr>
      <w:tr w:rsidR="00892142" w:rsidRPr="004153B4" w14:paraId="6B523A98" w14:textId="77777777" w:rsidTr="00770BD5">
        <w:trPr>
          <w:trHeight w:val="248"/>
          <w:jc w:val="center"/>
        </w:trPr>
        <w:tc>
          <w:tcPr>
            <w:tcW w:w="2662" w:type="dxa"/>
            <w:tcBorders>
              <w:top w:val="nil"/>
              <w:left w:val="nil"/>
              <w:bottom w:val="nil"/>
              <w:right w:val="nil"/>
            </w:tcBorders>
          </w:tcPr>
          <w:p w14:paraId="0231FD08"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Sao Tome and Principe</w:t>
            </w:r>
          </w:p>
        </w:tc>
        <w:tc>
          <w:tcPr>
            <w:tcW w:w="2071" w:type="dxa"/>
            <w:tcBorders>
              <w:top w:val="nil"/>
              <w:left w:val="nil"/>
              <w:bottom w:val="nil"/>
              <w:right w:val="nil"/>
            </w:tcBorders>
            <w:shd w:val="clear" w:color="auto" w:fill="auto"/>
          </w:tcPr>
          <w:p w14:paraId="52C4C12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61328CD9"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0736FBA6" w14:textId="77777777" w:rsidTr="00770BD5">
        <w:trPr>
          <w:trHeight w:val="248"/>
          <w:jc w:val="center"/>
        </w:trPr>
        <w:tc>
          <w:tcPr>
            <w:tcW w:w="2662" w:type="dxa"/>
            <w:tcBorders>
              <w:top w:val="nil"/>
              <w:left w:val="nil"/>
              <w:bottom w:val="nil"/>
              <w:right w:val="nil"/>
            </w:tcBorders>
          </w:tcPr>
          <w:p w14:paraId="4C9ECA4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Saudi Arabia</w:t>
            </w:r>
          </w:p>
        </w:tc>
        <w:tc>
          <w:tcPr>
            <w:tcW w:w="2071" w:type="dxa"/>
            <w:tcBorders>
              <w:top w:val="nil"/>
              <w:left w:val="nil"/>
              <w:bottom w:val="nil"/>
              <w:right w:val="nil"/>
            </w:tcBorders>
            <w:shd w:val="clear" w:color="auto" w:fill="auto"/>
          </w:tcPr>
          <w:p w14:paraId="02C3301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1.172</w:t>
            </w:r>
          </w:p>
        </w:tc>
        <w:tc>
          <w:tcPr>
            <w:tcW w:w="2071" w:type="dxa"/>
            <w:tcBorders>
              <w:top w:val="nil"/>
              <w:left w:val="nil"/>
              <w:bottom w:val="nil"/>
              <w:right w:val="nil"/>
            </w:tcBorders>
            <w:shd w:val="clear" w:color="auto" w:fill="auto"/>
          </w:tcPr>
          <w:p w14:paraId="151950A1"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1.143</w:t>
            </w:r>
          </w:p>
        </w:tc>
      </w:tr>
      <w:tr w:rsidR="00892142" w:rsidRPr="004153B4" w14:paraId="5F4AD333" w14:textId="77777777" w:rsidTr="00770BD5">
        <w:trPr>
          <w:trHeight w:val="248"/>
          <w:jc w:val="center"/>
        </w:trPr>
        <w:tc>
          <w:tcPr>
            <w:tcW w:w="2662" w:type="dxa"/>
            <w:tcBorders>
              <w:top w:val="nil"/>
              <w:left w:val="nil"/>
              <w:bottom w:val="nil"/>
              <w:right w:val="nil"/>
            </w:tcBorders>
          </w:tcPr>
          <w:p w14:paraId="6360BA8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Senegal</w:t>
            </w:r>
          </w:p>
        </w:tc>
        <w:tc>
          <w:tcPr>
            <w:tcW w:w="2071" w:type="dxa"/>
            <w:tcBorders>
              <w:top w:val="nil"/>
              <w:left w:val="nil"/>
              <w:bottom w:val="nil"/>
              <w:right w:val="nil"/>
            </w:tcBorders>
            <w:shd w:val="clear" w:color="auto" w:fill="auto"/>
          </w:tcPr>
          <w:p w14:paraId="10E1128F"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0.007</w:t>
            </w:r>
          </w:p>
        </w:tc>
        <w:tc>
          <w:tcPr>
            <w:tcW w:w="2071" w:type="dxa"/>
            <w:tcBorders>
              <w:top w:val="nil"/>
              <w:left w:val="nil"/>
              <w:bottom w:val="nil"/>
              <w:right w:val="nil"/>
            </w:tcBorders>
            <w:shd w:val="clear" w:color="auto" w:fill="auto"/>
          </w:tcPr>
          <w:p w14:paraId="2591A3EF"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0.007</w:t>
            </w:r>
          </w:p>
        </w:tc>
      </w:tr>
      <w:tr w:rsidR="00892142" w:rsidRPr="004153B4" w14:paraId="083F9259" w14:textId="77777777" w:rsidTr="00770BD5">
        <w:trPr>
          <w:trHeight w:val="248"/>
          <w:jc w:val="center"/>
        </w:trPr>
        <w:tc>
          <w:tcPr>
            <w:tcW w:w="2662" w:type="dxa"/>
            <w:tcBorders>
              <w:top w:val="nil"/>
              <w:left w:val="nil"/>
              <w:bottom w:val="nil"/>
              <w:right w:val="nil"/>
            </w:tcBorders>
          </w:tcPr>
          <w:p w14:paraId="54954163"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Serbia</w:t>
            </w:r>
          </w:p>
        </w:tc>
        <w:tc>
          <w:tcPr>
            <w:tcW w:w="2071" w:type="dxa"/>
            <w:tcBorders>
              <w:top w:val="nil"/>
              <w:left w:val="nil"/>
              <w:bottom w:val="nil"/>
              <w:right w:val="nil"/>
            </w:tcBorders>
            <w:shd w:val="clear" w:color="auto" w:fill="auto"/>
          </w:tcPr>
          <w:p w14:paraId="7CFA6873"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0.028</w:t>
            </w:r>
          </w:p>
        </w:tc>
        <w:tc>
          <w:tcPr>
            <w:tcW w:w="2071" w:type="dxa"/>
            <w:tcBorders>
              <w:top w:val="nil"/>
              <w:left w:val="nil"/>
              <w:bottom w:val="nil"/>
              <w:right w:val="nil"/>
            </w:tcBorders>
            <w:shd w:val="clear" w:color="auto" w:fill="auto"/>
          </w:tcPr>
          <w:p w14:paraId="2D85FCC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0.027</w:t>
            </w:r>
          </w:p>
        </w:tc>
      </w:tr>
      <w:tr w:rsidR="00892142" w:rsidRPr="004153B4" w14:paraId="3D3BB8BA" w14:textId="77777777" w:rsidTr="00770BD5">
        <w:trPr>
          <w:trHeight w:val="248"/>
          <w:jc w:val="center"/>
        </w:trPr>
        <w:tc>
          <w:tcPr>
            <w:tcW w:w="2662" w:type="dxa"/>
            <w:tcBorders>
              <w:top w:val="nil"/>
              <w:left w:val="nil"/>
              <w:bottom w:val="nil"/>
              <w:right w:val="nil"/>
            </w:tcBorders>
          </w:tcPr>
          <w:p w14:paraId="09DE2652"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Seychelles</w:t>
            </w:r>
          </w:p>
        </w:tc>
        <w:tc>
          <w:tcPr>
            <w:tcW w:w="2071" w:type="dxa"/>
            <w:tcBorders>
              <w:top w:val="nil"/>
              <w:left w:val="nil"/>
              <w:bottom w:val="nil"/>
              <w:right w:val="nil"/>
            </w:tcBorders>
            <w:shd w:val="clear" w:color="auto" w:fill="auto"/>
          </w:tcPr>
          <w:p w14:paraId="2A70BDEE"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0.002</w:t>
            </w:r>
          </w:p>
        </w:tc>
        <w:tc>
          <w:tcPr>
            <w:tcW w:w="2071" w:type="dxa"/>
            <w:tcBorders>
              <w:top w:val="nil"/>
              <w:left w:val="nil"/>
              <w:bottom w:val="nil"/>
              <w:right w:val="nil"/>
            </w:tcBorders>
            <w:shd w:val="clear" w:color="auto" w:fill="auto"/>
          </w:tcPr>
          <w:p w14:paraId="4233186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0.002</w:t>
            </w:r>
          </w:p>
        </w:tc>
      </w:tr>
      <w:tr w:rsidR="00892142" w:rsidRPr="004153B4" w14:paraId="2BE48665" w14:textId="77777777" w:rsidTr="00770BD5">
        <w:trPr>
          <w:trHeight w:val="248"/>
          <w:jc w:val="center"/>
        </w:trPr>
        <w:tc>
          <w:tcPr>
            <w:tcW w:w="2662" w:type="dxa"/>
            <w:tcBorders>
              <w:top w:val="nil"/>
              <w:left w:val="nil"/>
              <w:bottom w:val="nil"/>
              <w:right w:val="nil"/>
            </w:tcBorders>
          </w:tcPr>
          <w:p w14:paraId="372A8FD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Sierra Leone</w:t>
            </w:r>
          </w:p>
        </w:tc>
        <w:tc>
          <w:tcPr>
            <w:tcW w:w="2071" w:type="dxa"/>
            <w:tcBorders>
              <w:top w:val="nil"/>
              <w:left w:val="nil"/>
              <w:bottom w:val="nil"/>
              <w:right w:val="nil"/>
            </w:tcBorders>
            <w:shd w:val="clear" w:color="auto" w:fill="auto"/>
          </w:tcPr>
          <w:p w14:paraId="76DCDD87"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122B8D9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60873281" w14:textId="77777777" w:rsidTr="00770BD5">
        <w:trPr>
          <w:trHeight w:val="248"/>
          <w:jc w:val="center"/>
        </w:trPr>
        <w:tc>
          <w:tcPr>
            <w:tcW w:w="2662" w:type="dxa"/>
            <w:tcBorders>
              <w:top w:val="nil"/>
              <w:left w:val="nil"/>
              <w:bottom w:val="nil"/>
              <w:right w:val="nil"/>
            </w:tcBorders>
          </w:tcPr>
          <w:p w14:paraId="790499A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Singapore</w:t>
            </w:r>
          </w:p>
        </w:tc>
        <w:tc>
          <w:tcPr>
            <w:tcW w:w="2071" w:type="dxa"/>
            <w:tcBorders>
              <w:top w:val="nil"/>
              <w:left w:val="nil"/>
              <w:bottom w:val="nil"/>
              <w:right w:val="nil"/>
            </w:tcBorders>
            <w:shd w:val="clear" w:color="auto" w:fill="auto"/>
          </w:tcPr>
          <w:p w14:paraId="4088322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0.485</w:t>
            </w:r>
          </w:p>
        </w:tc>
        <w:tc>
          <w:tcPr>
            <w:tcW w:w="2071" w:type="dxa"/>
            <w:tcBorders>
              <w:top w:val="nil"/>
              <w:left w:val="nil"/>
              <w:bottom w:val="nil"/>
              <w:right w:val="nil"/>
            </w:tcBorders>
            <w:shd w:val="clear" w:color="auto" w:fill="auto"/>
          </w:tcPr>
          <w:p w14:paraId="43F9C85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0.473</w:t>
            </w:r>
          </w:p>
        </w:tc>
      </w:tr>
      <w:tr w:rsidR="00892142" w:rsidRPr="004153B4" w14:paraId="139169C6" w14:textId="77777777" w:rsidTr="00770BD5">
        <w:trPr>
          <w:trHeight w:val="248"/>
          <w:jc w:val="center"/>
        </w:trPr>
        <w:tc>
          <w:tcPr>
            <w:tcW w:w="2662" w:type="dxa"/>
            <w:tcBorders>
              <w:top w:val="nil"/>
              <w:left w:val="nil"/>
              <w:bottom w:val="nil"/>
              <w:right w:val="nil"/>
            </w:tcBorders>
          </w:tcPr>
          <w:p w14:paraId="3DA95F9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Slovakia</w:t>
            </w:r>
          </w:p>
        </w:tc>
        <w:tc>
          <w:tcPr>
            <w:tcW w:w="2071" w:type="dxa"/>
            <w:tcBorders>
              <w:top w:val="nil"/>
              <w:left w:val="nil"/>
              <w:bottom w:val="nil"/>
              <w:right w:val="nil"/>
            </w:tcBorders>
            <w:shd w:val="clear" w:color="auto" w:fill="auto"/>
          </w:tcPr>
          <w:p w14:paraId="25C5372B"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0.153</w:t>
            </w:r>
          </w:p>
        </w:tc>
        <w:tc>
          <w:tcPr>
            <w:tcW w:w="2071" w:type="dxa"/>
            <w:tcBorders>
              <w:top w:val="nil"/>
              <w:left w:val="nil"/>
              <w:bottom w:val="nil"/>
              <w:right w:val="nil"/>
            </w:tcBorders>
            <w:shd w:val="clear" w:color="auto" w:fill="auto"/>
          </w:tcPr>
          <w:p w14:paraId="19E2242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0.149</w:t>
            </w:r>
          </w:p>
        </w:tc>
      </w:tr>
      <w:tr w:rsidR="00892142" w:rsidRPr="004153B4" w14:paraId="52D62519" w14:textId="77777777" w:rsidTr="00770BD5">
        <w:trPr>
          <w:trHeight w:val="248"/>
          <w:jc w:val="center"/>
        </w:trPr>
        <w:tc>
          <w:tcPr>
            <w:tcW w:w="2662" w:type="dxa"/>
            <w:tcBorders>
              <w:top w:val="nil"/>
              <w:left w:val="nil"/>
              <w:bottom w:val="nil"/>
              <w:right w:val="nil"/>
            </w:tcBorders>
          </w:tcPr>
          <w:p w14:paraId="4C938B9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Slovenia</w:t>
            </w:r>
          </w:p>
        </w:tc>
        <w:tc>
          <w:tcPr>
            <w:tcW w:w="2071" w:type="dxa"/>
            <w:tcBorders>
              <w:top w:val="nil"/>
              <w:left w:val="nil"/>
              <w:bottom w:val="nil"/>
              <w:right w:val="nil"/>
            </w:tcBorders>
            <w:shd w:val="clear" w:color="auto" w:fill="auto"/>
          </w:tcPr>
          <w:p w14:paraId="535F4F0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0.076</w:t>
            </w:r>
          </w:p>
        </w:tc>
        <w:tc>
          <w:tcPr>
            <w:tcW w:w="2071" w:type="dxa"/>
            <w:tcBorders>
              <w:top w:val="nil"/>
              <w:left w:val="nil"/>
              <w:bottom w:val="nil"/>
              <w:right w:val="nil"/>
            </w:tcBorders>
            <w:shd w:val="clear" w:color="auto" w:fill="auto"/>
          </w:tcPr>
          <w:p w14:paraId="0A68000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0.074</w:t>
            </w:r>
          </w:p>
        </w:tc>
      </w:tr>
      <w:tr w:rsidR="00892142" w:rsidRPr="004153B4" w14:paraId="29CCBA4C" w14:textId="77777777" w:rsidTr="00770BD5">
        <w:trPr>
          <w:trHeight w:val="248"/>
          <w:jc w:val="center"/>
        </w:trPr>
        <w:tc>
          <w:tcPr>
            <w:tcW w:w="2662" w:type="dxa"/>
            <w:tcBorders>
              <w:top w:val="nil"/>
              <w:left w:val="nil"/>
              <w:bottom w:val="nil"/>
              <w:right w:val="nil"/>
            </w:tcBorders>
          </w:tcPr>
          <w:p w14:paraId="7C5A030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Solomon Islands</w:t>
            </w:r>
          </w:p>
        </w:tc>
        <w:tc>
          <w:tcPr>
            <w:tcW w:w="2071" w:type="dxa"/>
            <w:tcBorders>
              <w:top w:val="nil"/>
              <w:left w:val="nil"/>
              <w:bottom w:val="nil"/>
              <w:right w:val="nil"/>
            </w:tcBorders>
            <w:shd w:val="clear" w:color="auto" w:fill="auto"/>
          </w:tcPr>
          <w:p w14:paraId="2433004E"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539F8561"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2F8D32A7" w14:textId="77777777" w:rsidTr="00770BD5">
        <w:trPr>
          <w:trHeight w:val="248"/>
          <w:jc w:val="center"/>
        </w:trPr>
        <w:tc>
          <w:tcPr>
            <w:tcW w:w="2662" w:type="dxa"/>
            <w:tcBorders>
              <w:top w:val="nil"/>
              <w:left w:val="nil"/>
              <w:bottom w:val="nil"/>
              <w:right w:val="nil"/>
            </w:tcBorders>
          </w:tcPr>
          <w:p w14:paraId="2E13CA34" w14:textId="77777777" w:rsidR="00892142" w:rsidRPr="004153B4" w:rsidRDefault="00892142" w:rsidP="00887556">
            <w:pPr>
              <w:suppressAutoHyphens w:val="0"/>
              <w:spacing w:line="240" w:lineRule="auto"/>
              <w:ind w:left="360" w:hanging="360"/>
              <w:rPr>
                <w:rFonts w:eastAsia="MS Mincho"/>
                <w:color w:val="000000"/>
                <w:sz w:val="18"/>
                <w:szCs w:val="18"/>
                <w:lang w:eastAsia="de-DE"/>
              </w:rPr>
            </w:pPr>
            <w:r w:rsidRPr="004153B4">
              <w:rPr>
                <w:rFonts w:eastAsia="MS Mincho"/>
                <w:color w:val="000000"/>
                <w:sz w:val="18"/>
                <w:szCs w:val="18"/>
                <w:lang w:eastAsia="de-DE"/>
              </w:rPr>
              <w:t>Somalia</w:t>
            </w:r>
          </w:p>
        </w:tc>
        <w:tc>
          <w:tcPr>
            <w:tcW w:w="2071" w:type="dxa"/>
            <w:tcBorders>
              <w:top w:val="nil"/>
              <w:left w:val="nil"/>
              <w:bottom w:val="nil"/>
              <w:right w:val="nil"/>
            </w:tcBorders>
            <w:shd w:val="clear" w:color="auto" w:fill="auto"/>
          </w:tcPr>
          <w:p w14:paraId="4841098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021660D3"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1B3C62CF" w14:textId="77777777" w:rsidTr="00770BD5">
        <w:trPr>
          <w:trHeight w:val="248"/>
          <w:jc w:val="center"/>
        </w:trPr>
        <w:tc>
          <w:tcPr>
            <w:tcW w:w="2662" w:type="dxa"/>
            <w:tcBorders>
              <w:top w:val="nil"/>
              <w:left w:val="nil"/>
              <w:bottom w:val="nil"/>
              <w:right w:val="nil"/>
            </w:tcBorders>
          </w:tcPr>
          <w:p w14:paraId="56DD0CC2"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South Africa</w:t>
            </w:r>
          </w:p>
        </w:tc>
        <w:tc>
          <w:tcPr>
            <w:tcW w:w="2071" w:type="dxa"/>
            <w:tcBorders>
              <w:top w:val="nil"/>
              <w:left w:val="nil"/>
              <w:bottom w:val="nil"/>
              <w:right w:val="nil"/>
            </w:tcBorders>
            <w:shd w:val="clear" w:color="auto" w:fill="auto"/>
          </w:tcPr>
          <w:p w14:paraId="793F420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0.272</w:t>
            </w:r>
          </w:p>
        </w:tc>
        <w:tc>
          <w:tcPr>
            <w:tcW w:w="2071" w:type="dxa"/>
            <w:tcBorders>
              <w:top w:val="nil"/>
              <w:left w:val="nil"/>
              <w:bottom w:val="nil"/>
              <w:right w:val="nil"/>
            </w:tcBorders>
            <w:shd w:val="clear" w:color="auto" w:fill="auto"/>
          </w:tcPr>
          <w:p w14:paraId="0AD4A7F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0.265</w:t>
            </w:r>
          </w:p>
        </w:tc>
      </w:tr>
      <w:tr w:rsidR="00892142" w:rsidRPr="004153B4" w14:paraId="364D69CA" w14:textId="77777777" w:rsidTr="00770BD5">
        <w:trPr>
          <w:trHeight w:val="248"/>
          <w:jc w:val="center"/>
        </w:trPr>
        <w:tc>
          <w:tcPr>
            <w:tcW w:w="2662" w:type="dxa"/>
            <w:tcBorders>
              <w:top w:val="nil"/>
              <w:left w:val="nil"/>
              <w:bottom w:val="nil"/>
              <w:right w:val="nil"/>
            </w:tcBorders>
          </w:tcPr>
          <w:p w14:paraId="76A75BE3" w14:textId="77777777" w:rsidR="00892142" w:rsidRPr="004153B4" w:rsidRDefault="00892142" w:rsidP="00887556">
            <w:pPr>
              <w:suppressAutoHyphens w:val="0"/>
              <w:spacing w:line="240" w:lineRule="auto"/>
              <w:ind w:left="360" w:hanging="360"/>
              <w:rPr>
                <w:rFonts w:eastAsia="MS Mincho"/>
                <w:color w:val="000000"/>
                <w:sz w:val="18"/>
                <w:szCs w:val="18"/>
                <w:lang w:eastAsia="de-DE"/>
              </w:rPr>
            </w:pPr>
            <w:r w:rsidRPr="004153B4">
              <w:rPr>
                <w:rFonts w:eastAsia="MS Mincho"/>
                <w:color w:val="000000"/>
                <w:sz w:val="18"/>
                <w:szCs w:val="18"/>
                <w:lang w:eastAsia="de-DE"/>
              </w:rPr>
              <w:t>South Sudan</w:t>
            </w:r>
          </w:p>
        </w:tc>
        <w:tc>
          <w:tcPr>
            <w:tcW w:w="2071" w:type="dxa"/>
            <w:tcBorders>
              <w:top w:val="nil"/>
              <w:left w:val="nil"/>
              <w:bottom w:val="nil"/>
              <w:right w:val="nil"/>
            </w:tcBorders>
            <w:shd w:val="clear" w:color="auto" w:fill="auto"/>
          </w:tcPr>
          <w:p w14:paraId="0D7D189E"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0.006</w:t>
            </w:r>
          </w:p>
        </w:tc>
        <w:tc>
          <w:tcPr>
            <w:tcW w:w="2071" w:type="dxa"/>
            <w:tcBorders>
              <w:top w:val="nil"/>
              <w:left w:val="nil"/>
              <w:bottom w:val="nil"/>
              <w:right w:val="nil"/>
            </w:tcBorders>
            <w:shd w:val="clear" w:color="auto" w:fill="auto"/>
          </w:tcPr>
          <w:p w14:paraId="13261056"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0.006</w:t>
            </w:r>
          </w:p>
        </w:tc>
      </w:tr>
      <w:tr w:rsidR="00892142" w:rsidRPr="004153B4" w14:paraId="1C9BB10D" w14:textId="77777777" w:rsidTr="00770BD5">
        <w:trPr>
          <w:trHeight w:val="248"/>
          <w:jc w:val="center"/>
        </w:trPr>
        <w:tc>
          <w:tcPr>
            <w:tcW w:w="2662" w:type="dxa"/>
            <w:tcBorders>
              <w:top w:val="nil"/>
              <w:left w:val="nil"/>
              <w:bottom w:val="nil"/>
              <w:right w:val="nil"/>
            </w:tcBorders>
          </w:tcPr>
          <w:p w14:paraId="52E04D36"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Spain</w:t>
            </w:r>
          </w:p>
        </w:tc>
        <w:tc>
          <w:tcPr>
            <w:tcW w:w="2071" w:type="dxa"/>
            <w:tcBorders>
              <w:top w:val="nil"/>
              <w:left w:val="nil"/>
              <w:bottom w:val="nil"/>
              <w:right w:val="nil"/>
            </w:tcBorders>
            <w:shd w:val="clear" w:color="auto" w:fill="auto"/>
          </w:tcPr>
          <w:p w14:paraId="01FF00D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2.146</w:t>
            </w:r>
          </w:p>
        </w:tc>
        <w:tc>
          <w:tcPr>
            <w:tcW w:w="2071" w:type="dxa"/>
            <w:tcBorders>
              <w:top w:val="nil"/>
              <w:left w:val="nil"/>
              <w:bottom w:val="nil"/>
              <w:right w:val="nil"/>
            </w:tcBorders>
            <w:shd w:val="clear" w:color="auto" w:fill="auto"/>
          </w:tcPr>
          <w:p w14:paraId="2ED0D58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2.092</w:t>
            </w:r>
          </w:p>
        </w:tc>
      </w:tr>
      <w:tr w:rsidR="00892142" w:rsidRPr="004153B4" w14:paraId="3CC09A1B" w14:textId="77777777" w:rsidTr="00770BD5">
        <w:trPr>
          <w:trHeight w:val="248"/>
          <w:jc w:val="center"/>
        </w:trPr>
        <w:tc>
          <w:tcPr>
            <w:tcW w:w="2662" w:type="dxa"/>
            <w:tcBorders>
              <w:top w:val="nil"/>
              <w:left w:val="nil"/>
              <w:bottom w:val="nil"/>
              <w:right w:val="nil"/>
            </w:tcBorders>
          </w:tcPr>
          <w:p w14:paraId="1BE3FB8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Sri Lanka</w:t>
            </w:r>
          </w:p>
        </w:tc>
        <w:tc>
          <w:tcPr>
            <w:tcW w:w="2071" w:type="dxa"/>
            <w:tcBorders>
              <w:top w:val="nil"/>
              <w:left w:val="nil"/>
              <w:bottom w:val="nil"/>
              <w:right w:val="nil"/>
            </w:tcBorders>
            <w:shd w:val="clear" w:color="auto" w:fill="auto"/>
          </w:tcPr>
          <w:p w14:paraId="1434CED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0.044</w:t>
            </w:r>
          </w:p>
        </w:tc>
        <w:tc>
          <w:tcPr>
            <w:tcW w:w="2071" w:type="dxa"/>
            <w:tcBorders>
              <w:top w:val="nil"/>
              <w:left w:val="nil"/>
              <w:bottom w:val="nil"/>
              <w:right w:val="nil"/>
            </w:tcBorders>
            <w:shd w:val="clear" w:color="auto" w:fill="auto"/>
          </w:tcPr>
          <w:p w14:paraId="48F010C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0.043</w:t>
            </w:r>
          </w:p>
        </w:tc>
      </w:tr>
      <w:tr w:rsidR="00892142" w:rsidRPr="004153B4" w14:paraId="4BFBD80E" w14:textId="77777777" w:rsidTr="00770BD5">
        <w:trPr>
          <w:trHeight w:val="248"/>
          <w:jc w:val="center"/>
        </w:trPr>
        <w:tc>
          <w:tcPr>
            <w:tcW w:w="2662" w:type="dxa"/>
            <w:tcBorders>
              <w:top w:val="nil"/>
              <w:left w:val="nil"/>
              <w:bottom w:val="nil"/>
              <w:right w:val="nil"/>
            </w:tcBorders>
          </w:tcPr>
          <w:p w14:paraId="43E4C24B" w14:textId="77777777" w:rsidR="00892142" w:rsidRPr="004153B4" w:rsidRDefault="00892142" w:rsidP="00887556">
            <w:pPr>
              <w:suppressAutoHyphens w:val="0"/>
              <w:spacing w:line="240" w:lineRule="auto"/>
              <w:ind w:left="360" w:hanging="360"/>
              <w:rPr>
                <w:rFonts w:eastAsia="MS Mincho"/>
                <w:color w:val="000000"/>
                <w:sz w:val="18"/>
                <w:szCs w:val="18"/>
                <w:lang w:eastAsia="de-DE"/>
              </w:rPr>
            </w:pPr>
            <w:r w:rsidRPr="004153B4">
              <w:rPr>
                <w:rFonts w:eastAsia="MS Mincho"/>
                <w:color w:val="000000"/>
                <w:sz w:val="18"/>
                <w:szCs w:val="18"/>
                <w:lang w:eastAsia="de-DE"/>
              </w:rPr>
              <w:t>State of Palestine</w:t>
            </w:r>
          </w:p>
        </w:tc>
        <w:tc>
          <w:tcPr>
            <w:tcW w:w="2071" w:type="dxa"/>
            <w:tcBorders>
              <w:top w:val="nil"/>
              <w:left w:val="nil"/>
              <w:bottom w:val="nil"/>
              <w:right w:val="nil"/>
            </w:tcBorders>
            <w:shd w:val="clear" w:color="auto" w:fill="auto"/>
          </w:tcPr>
          <w:p w14:paraId="39FE91D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0.000</w:t>
            </w:r>
          </w:p>
        </w:tc>
        <w:tc>
          <w:tcPr>
            <w:tcW w:w="2071" w:type="dxa"/>
            <w:tcBorders>
              <w:top w:val="nil"/>
              <w:left w:val="nil"/>
              <w:bottom w:val="nil"/>
              <w:right w:val="nil"/>
            </w:tcBorders>
            <w:shd w:val="clear" w:color="auto" w:fill="auto"/>
          </w:tcPr>
          <w:p w14:paraId="762D895E"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0.008</w:t>
            </w:r>
          </w:p>
        </w:tc>
      </w:tr>
      <w:tr w:rsidR="00892142" w:rsidRPr="004153B4" w14:paraId="661AE524" w14:textId="77777777" w:rsidTr="00770BD5">
        <w:trPr>
          <w:trHeight w:val="248"/>
          <w:jc w:val="center"/>
        </w:trPr>
        <w:tc>
          <w:tcPr>
            <w:tcW w:w="2662" w:type="dxa"/>
            <w:tcBorders>
              <w:top w:val="nil"/>
              <w:left w:val="nil"/>
              <w:bottom w:val="nil"/>
              <w:right w:val="nil"/>
            </w:tcBorders>
          </w:tcPr>
          <w:p w14:paraId="179C6323"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Sudan</w:t>
            </w:r>
          </w:p>
        </w:tc>
        <w:tc>
          <w:tcPr>
            <w:tcW w:w="2071" w:type="dxa"/>
            <w:tcBorders>
              <w:top w:val="nil"/>
              <w:left w:val="nil"/>
              <w:bottom w:val="nil"/>
              <w:right w:val="nil"/>
            </w:tcBorders>
            <w:shd w:val="clear" w:color="auto" w:fill="auto"/>
          </w:tcPr>
          <w:p w14:paraId="6593E538"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0.010</w:t>
            </w:r>
          </w:p>
        </w:tc>
        <w:tc>
          <w:tcPr>
            <w:tcW w:w="2071" w:type="dxa"/>
            <w:tcBorders>
              <w:top w:val="nil"/>
              <w:left w:val="nil"/>
              <w:bottom w:val="nil"/>
              <w:right w:val="nil"/>
            </w:tcBorders>
            <w:shd w:val="clear" w:color="auto" w:fill="auto"/>
          </w:tcPr>
          <w:p w14:paraId="75CD7553"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0.010</w:t>
            </w:r>
          </w:p>
        </w:tc>
      </w:tr>
      <w:tr w:rsidR="00892142" w:rsidRPr="004153B4" w14:paraId="7BE5D5D7" w14:textId="77777777" w:rsidTr="00770BD5">
        <w:trPr>
          <w:trHeight w:val="248"/>
          <w:jc w:val="center"/>
        </w:trPr>
        <w:tc>
          <w:tcPr>
            <w:tcW w:w="2662" w:type="dxa"/>
            <w:tcBorders>
              <w:top w:val="nil"/>
              <w:left w:val="nil"/>
              <w:bottom w:val="nil"/>
              <w:right w:val="nil"/>
            </w:tcBorders>
          </w:tcPr>
          <w:p w14:paraId="30D576D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Suriname</w:t>
            </w:r>
          </w:p>
        </w:tc>
        <w:tc>
          <w:tcPr>
            <w:tcW w:w="2071" w:type="dxa"/>
            <w:tcBorders>
              <w:top w:val="nil"/>
              <w:left w:val="nil"/>
              <w:bottom w:val="nil"/>
              <w:right w:val="nil"/>
            </w:tcBorders>
            <w:shd w:val="clear" w:color="auto" w:fill="auto"/>
          </w:tcPr>
          <w:p w14:paraId="083BD02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0.005</w:t>
            </w:r>
          </w:p>
        </w:tc>
        <w:tc>
          <w:tcPr>
            <w:tcW w:w="2071" w:type="dxa"/>
            <w:tcBorders>
              <w:top w:val="nil"/>
              <w:left w:val="nil"/>
              <w:bottom w:val="nil"/>
              <w:right w:val="nil"/>
            </w:tcBorders>
            <w:shd w:val="clear" w:color="auto" w:fill="auto"/>
          </w:tcPr>
          <w:p w14:paraId="79ACF953"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0.005</w:t>
            </w:r>
          </w:p>
        </w:tc>
      </w:tr>
      <w:tr w:rsidR="00892142" w:rsidRPr="004153B4" w14:paraId="39646F80" w14:textId="77777777" w:rsidTr="00770BD5">
        <w:trPr>
          <w:trHeight w:val="248"/>
          <w:jc w:val="center"/>
        </w:trPr>
        <w:tc>
          <w:tcPr>
            <w:tcW w:w="2662" w:type="dxa"/>
            <w:tcBorders>
              <w:top w:val="nil"/>
              <w:left w:val="nil"/>
              <w:bottom w:val="nil"/>
              <w:right w:val="nil"/>
            </w:tcBorders>
          </w:tcPr>
          <w:p w14:paraId="3B49A08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Sweden</w:t>
            </w:r>
          </w:p>
        </w:tc>
        <w:tc>
          <w:tcPr>
            <w:tcW w:w="2071" w:type="dxa"/>
            <w:tcBorders>
              <w:top w:val="nil"/>
              <w:left w:val="nil"/>
              <w:bottom w:val="nil"/>
              <w:right w:val="nil"/>
            </w:tcBorders>
            <w:shd w:val="clear" w:color="auto" w:fill="auto"/>
          </w:tcPr>
          <w:p w14:paraId="129F310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0.906</w:t>
            </w:r>
          </w:p>
        </w:tc>
        <w:tc>
          <w:tcPr>
            <w:tcW w:w="2071" w:type="dxa"/>
            <w:tcBorders>
              <w:top w:val="nil"/>
              <w:left w:val="nil"/>
              <w:bottom w:val="nil"/>
              <w:right w:val="nil"/>
            </w:tcBorders>
            <w:shd w:val="clear" w:color="auto" w:fill="auto"/>
          </w:tcPr>
          <w:p w14:paraId="0028D44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0.883</w:t>
            </w:r>
          </w:p>
        </w:tc>
      </w:tr>
      <w:tr w:rsidR="00892142" w:rsidRPr="004153B4" w14:paraId="118E25AB" w14:textId="77777777" w:rsidTr="00770BD5">
        <w:trPr>
          <w:trHeight w:val="248"/>
          <w:jc w:val="center"/>
        </w:trPr>
        <w:tc>
          <w:tcPr>
            <w:tcW w:w="2662" w:type="dxa"/>
            <w:tcBorders>
              <w:top w:val="nil"/>
              <w:left w:val="nil"/>
              <w:bottom w:val="nil"/>
              <w:right w:val="nil"/>
            </w:tcBorders>
          </w:tcPr>
          <w:p w14:paraId="5D1654D2"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Switzerland</w:t>
            </w:r>
          </w:p>
        </w:tc>
        <w:tc>
          <w:tcPr>
            <w:tcW w:w="2071" w:type="dxa"/>
            <w:tcBorders>
              <w:top w:val="nil"/>
              <w:left w:val="nil"/>
              <w:bottom w:val="nil"/>
              <w:right w:val="nil"/>
            </w:tcBorders>
            <w:shd w:val="clear" w:color="auto" w:fill="auto"/>
          </w:tcPr>
          <w:p w14:paraId="3CC0E3EA" w14:textId="77777777" w:rsidR="00892142" w:rsidRPr="004153B4" w:rsidRDefault="00892142" w:rsidP="00887556">
            <w:pPr>
              <w:suppressAutoHyphens w:val="0"/>
              <w:spacing w:line="240" w:lineRule="auto"/>
              <w:jc w:val="right"/>
              <w:rPr>
                <w:rFonts w:eastAsia="MS Mincho"/>
                <w:color w:val="000000"/>
                <w:sz w:val="18"/>
                <w:szCs w:val="18"/>
                <w:lang w:eastAsia="de-DE"/>
              </w:rPr>
            </w:pPr>
            <w:r w:rsidRPr="004153B4">
              <w:rPr>
                <w:sz w:val="18"/>
                <w:szCs w:val="18"/>
              </w:rPr>
              <w:t>1.151</w:t>
            </w:r>
          </w:p>
        </w:tc>
        <w:tc>
          <w:tcPr>
            <w:tcW w:w="2071" w:type="dxa"/>
            <w:tcBorders>
              <w:top w:val="nil"/>
              <w:left w:val="nil"/>
              <w:bottom w:val="nil"/>
              <w:right w:val="nil"/>
            </w:tcBorders>
            <w:shd w:val="clear" w:color="auto" w:fill="auto"/>
          </w:tcPr>
          <w:p w14:paraId="4EF469D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1.122</w:t>
            </w:r>
          </w:p>
        </w:tc>
      </w:tr>
      <w:tr w:rsidR="00892142" w:rsidRPr="004153B4" w14:paraId="4AB1DDE4" w14:textId="77777777" w:rsidTr="00770BD5">
        <w:trPr>
          <w:trHeight w:val="248"/>
          <w:jc w:val="center"/>
        </w:trPr>
        <w:tc>
          <w:tcPr>
            <w:tcW w:w="2662" w:type="dxa"/>
            <w:tcBorders>
              <w:top w:val="nil"/>
              <w:left w:val="nil"/>
              <w:bottom w:val="nil"/>
              <w:right w:val="nil"/>
            </w:tcBorders>
          </w:tcPr>
          <w:p w14:paraId="1547D78E"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Syrian Arab Republic</w:t>
            </w:r>
          </w:p>
        </w:tc>
        <w:tc>
          <w:tcPr>
            <w:tcW w:w="2071" w:type="dxa"/>
            <w:tcBorders>
              <w:top w:val="nil"/>
              <w:left w:val="nil"/>
              <w:bottom w:val="nil"/>
              <w:right w:val="nil"/>
            </w:tcBorders>
            <w:shd w:val="clear" w:color="auto" w:fill="auto"/>
          </w:tcPr>
          <w:p w14:paraId="0025328A"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0.011</w:t>
            </w:r>
          </w:p>
        </w:tc>
        <w:tc>
          <w:tcPr>
            <w:tcW w:w="2071" w:type="dxa"/>
            <w:tcBorders>
              <w:top w:val="nil"/>
              <w:left w:val="nil"/>
              <w:bottom w:val="nil"/>
              <w:right w:val="nil"/>
            </w:tcBorders>
            <w:shd w:val="clear" w:color="auto" w:fill="auto"/>
          </w:tcPr>
          <w:p w14:paraId="2E10845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0.011</w:t>
            </w:r>
          </w:p>
        </w:tc>
      </w:tr>
      <w:tr w:rsidR="00892142" w:rsidRPr="004153B4" w14:paraId="33B8916F" w14:textId="77777777" w:rsidTr="00770BD5">
        <w:trPr>
          <w:trHeight w:val="248"/>
          <w:jc w:val="center"/>
        </w:trPr>
        <w:tc>
          <w:tcPr>
            <w:tcW w:w="2662" w:type="dxa"/>
            <w:tcBorders>
              <w:top w:val="nil"/>
              <w:left w:val="nil"/>
              <w:bottom w:val="nil"/>
              <w:right w:val="nil"/>
            </w:tcBorders>
          </w:tcPr>
          <w:p w14:paraId="249A455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Tajikistan</w:t>
            </w:r>
          </w:p>
        </w:tc>
        <w:tc>
          <w:tcPr>
            <w:tcW w:w="2071" w:type="dxa"/>
            <w:tcBorders>
              <w:top w:val="nil"/>
              <w:left w:val="nil"/>
              <w:bottom w:val="nil"/>
              <w:right w:val="nil"/>
            </w:tcBorders>
            <w:shd w:val="clear" w:color="auto" w:fill="auto"/>
          </w:tcPr>
          <w:p w14:paraId="4D63592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0.004</w:t>
            </w:r>
          </w:p>
        </w:tc>
        <w:tc>
          <w:tcPr>
            <w:tcW w:w="2071" w:type="dxa"/>
            <w:tcBorders>
              <w:top w:val="nil"/>
              <w:left w:val="nil"/>
              <w:bottom w:val="nil"/>
              <w:right w:val="nil"/>
            </w:tcBorders>
            <w:shd w:val="clear" w:color="auto" w:fill="auto"/>
          </w:tcPr>
          <w:p w14:paraId="775FDD4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0.004</w:t>
            </w:r>
          </w:p>
        </w:tc>
      </w:tr>
      <w:tr w:rsidR="00892142" w:rsidRPr="004153B4" w14:paraId="2890A72C" w14:textId="77777777" w:rsidTr="00770BD5">
        <w:trPr>
          <w:trHeight w:val="248"/>
          <w:jc w:val="center"/>
        </w:trPr>
        <w:tc>
          <w:tcPr>
            <w:tcW w:w="2662" w:type="dxa"/>
            <w:tcBorders>
              <w:top w:val="nil"/>
              <w:left w:val="nil"/>
              <w:bottom w:val="nil"/>
              <w:right w:val="nil"/>
            </w:tcBorders>
          </w:tcPr>
          <w:p w14:paraId="4AB0226B"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Thailand</w:t>
            </w:r>
          </w:p>
        </w:tc>
        <w:tc>
          <w:tcPr>
            <w:tcW w:w="2071" w:type="dxa"/>
            <w:tcBorders>
              <w:top w:val="nil"/>
              <w:left w:val="nil"/>
              <w:bottom w:val="nil"/>
              <w:right w:val="nil"/>
            </w:tcBorders>
            <w:shd w:val="clear" w:color="auto" w:fill="auto"/>
          </w:tcPr>
          <w:p w14:paraId="62254D91"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0.307</w:t>
            </w:r>
          </w:p>
        </w:tc>
        <w:tc>
          <w:tcPr>
            <w:tcW w:w="2071" w:type="dxa"/>
            <w:tcBorders>
              <w:top w:val="nil"/>
              <w:left w:val="nil"/>
              <w:bottom w:val="nil"/>
              <w:right w:val="nil"/>
            </w:tcBorders>
            <w:shd w:val="clear" w:color="auto" w:fill="auto"/>
          </w:tcPr>
          <w:p w14:paraId="4C1DA6B1"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0.299</w:t>
            </w:r>
          </w:p>
        </w:tc>
      </w:tr>
      <w:tr w:rsidR="00892142" w:rsidRPr="004153B4" w14:paraId="4294B8C6" w14:textId="77777777" w:rsidTr="00770BD5">
        <w:trPr>
          <w:trHeight w:val="248"/>
          <w:jc w:val="center"/>
        </w:trPr>
        <w:tc>
          <w:tcPr>
            <w:tcW w:w="2662" w:type="dxa"/>
            <w:tcBorders>
              <w:top w:val="nil"/>
              <w:left w:val="nil"/>
              <w:bottom w:val="nil"/>
              <w:right w:val="nil"/>
            </w:tcBorders>
          </w:tcPr>
          <w:p w14:paraId="506A18C7"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Timor-Leste</w:t>
            </w:r>
          </w:p>
        </w:tc>
        <w:tc>
          <w:tcPr>
            <w:tcW w:w="2071" w:type="dxa"/>
            <w:tcBorders>
              <w:top w:val="nil"/>
              <w:left w:val="nil"/>
              <w:bottom w:val="nil"/>
              <w:right w:val="nil"/>
            </w:tcBorders>
            <w:shd w:val="clear" w:color="auto" w:fill="auto"/>
          </w:tcPr>
          <w:p w14:paraId="1145635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0.002</w:t>
            </w:r>
          </w:p>
        </w:tc>
        <w:tc>
          <w:tcPr>
            <w:tcW w:w="2071" w:type="dxa"/>
            <w:tcBorders>
              <w:top w:val="nil"/>
              <w:left w:val="nil"/>
              <w:bottom w:val="nil"/>
              <w:right w:val="nil"/>
            </w:tcBorders>
            <w:shd w:val="clear" w:color="auto" w:fill="auto"/>
          </w:tcPr>
          <w:p w14:paraId="2DFF9F73"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0.002</w:t>
            </w:r>
          </w:p>
        </w:tc>
      </w:tr>
      <w:tr w:rsidR="00892142" w:rsidRPr="004153B4" w14:paraId="10BB2DDF" w14:textId="77777777" w:rsidTr="00770BD5">
        <w:trPr>
          <w:trHeight w:val="248"/>
          <w:jc w:val="center"/>
        </w:trPr>
        <w:tc>
          <w:tcPr>
            <w:tcW w:w="2662" w:type="dxa"/>
            <w:tcBorders>
              <w:top w:val="nil"/>
              <w:left w:val="nil"/>
              <w:bottom w:val="nil"/>
              <w:right w:val="nil"/>
            </w:tcBorders>
          </w:tcPr>
          <w:p w14:paraId="5E814E08"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Togo</w:t>
            </w:r>
          </w:p>
        </w:tc>
        <w:tc>
          <w:tcPr>
            <w:tcW w:w="2071" w:type="dxa"/>
            <w:tcBorders>
              <w:top w:val="nil"/>
              <w:left w:val="nil"/>
              <w:bottom w:val="nil"/>
              <w:right w:val="nil"/>
            </w:tcBorders>
            <w:shd w:val="clear" w:color="auto" w:fill="auto"/>
          </w:tcPr>
          <w:p w14:paraId="219B7B66"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0.002</w:t>
            </w:r>
          </w:p>
        </w:tc>
        <w:tc>
          <w:tcPr>
            <w:tcW w:w="2071" w:type="dxa"/>
            <w:tcBorders>
              <w:top w:val="nil"/>
              <w:left w:val="nil"/>
              <w:bottom w:val="nil"/>
              <w:right w:val="nil"/>
            </w:tcBorders>
            <w:shd w:val="clear" w:color="auto" w:fill="auto"/>
          </w:tcPr>
          <w:p w14:paraId="64D9C082"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0.002</w:t>
            </w:r>
          </w:p>
        </w:tc>
      </w:tr>
      <w:tr w:rsidR="00892142" w:rsidRPr="004153B4" w14:paraId="6320CFB6" w14:textId="77777777" w:rsidTr="00770BD5">
        <w:trPr>
          <w:trHeight w:val="248"/>
          <w:jc w:val="center"/>
        </w:trPr>
        <w:tc>
          <w:tcPr>
            <w:tcW w:w="2662" w:type="dxa"/>
            <w:tcBorders>
              <w:top w:val="nil"/>
              <w:left w:val="nil"/>
              <w:bottom w:val="nil"/>
              <w:right w:val="nil"/>
            </w:tcBorders>
          </w:tcPr>
          <w:p w14:paraId="77DB740A"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Tonga</w:t>
            </w:r>
          </w:p>
        </w:tc>
        <w:tc>
          <w:tcPr>
            <w:tcW w:w="2071" w:type="dxa"/>
            <w:tcBorders>
              <w:top w:val="nil"/>
              <w:left w:val="nil"/>
              <w:bottom w:val="nil"/>
              <w:right w:val="nil"/>
            </w:tcBorders>
            <w:shd w:val="clear" w:color="auto" w:fill="auto"/>
          </w:tcPr>
          <w:p w14:paraId="38FF8E08"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3EF8A00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2F7F7B46" w14:textId="77777777" w:rsidTr="00770BD5">
        <w:trPr>
          <w:trHeight w:val="248"/>
          <w:jc w:val="center"/>
        </w:trPr>
        <w:tc>
          <w:tcPr>
            <w:tcW w:w="2662" w:type="dxa"/>
            <w:tcBorders>
              <w:top w:val="nil"/>
              <w:left w:val="nil"/>
              <w:bottom w:val="nil"/>
              <w:right w:val="nil"/>
            </w:tcBorders>
          </w:tcPr>
          <w:p w14:paraId="7CCD73C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Trinidad and Tobago</w:t>
            </w:r>
          </w:p>
        </w:tc>
        <w:tc>
          <w:tcPr>
            <w:tcW w:w="2071" w:type="dxa"/>
            <w:tcBorders>
              <w:top w:val="nil"/>
              <w:left w:val="nil"/>
              <w:bottom w:val="nil"/>
              <w:right w:val="nil"/>
            </w:tcBorders>
            <w:shd w:val="clear" w:color="auto" w:fill="auto"/>
          </w:tcPr>
          <w:p w14:paraId="70DF5A07"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0.040</w:t>
            </w:r>
          </w:p>
        </w:tc>
        <w:tc>
          <w:tcPr>
            <w:tcW w:w="2071" w:type="dxa"/>
            <w:tcBorders>
              <w:top w:val="nil"/>
              <w:left w:val="nil"/>
              <w:bottom w:val="nil"/>
              <w:right w:val="nil"/>
            </w:tcBorders>
            <w:shd w:val="clear" w:color="auto" w:fill="auto"/>
          </w:tcPr>
          <w:p w14:paraId="438DBC59"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0.039</w:t>
            </w:r>
          </w:p>
        </w:tc>
      </w:tr>
      <w:tr w:rsidR="00892142" w:rsidRPr="004153B4" w14:paraId="1E544A32" w14:textId="77777777" w:rsidTr="00770BD5">
        <w:trPr>
          <w:trHeight w:val="248"/>
          <w:jc w:val="center"/>
        </w:trPr>
        <w:tc>
          <w:tcPr>
            <w:tcW w:w="2662" w:type="dxa"/>
            <w:tcBorders>
              <w:top w:val="nil"/>
              <w:left w:val="nil"/>
              <w:bottom w:val="nil"/>
              <w:right w:val="nil"/>
            </w:tcBorders>
          </w:tcPr>
          <w:p w14:paraId="48A8F73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Tunisia</w:t>
            </w:r>
          </w:p>
        </w:tc>
        <w:tc>
          <w:tcPr>
            <w:tcW w:w="2071" w:type="dxa"/>
            <w:tcBorders>
              <w:top w:val="nil"/>
              <w:left w:val="nil"/>
              <w:bottom w:val="nil"/>
              <w:right w:val="nil"/>
            </w:tcBorders>
            <w:shd w:val="clear" w:color="auto" w:fill="auto"/>
          </w:tcPr>
          <w:p w14:paraId="152090B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0.025</w:t>
            </w:r>
          </w:p>
        </w:tc>
        <w:tc>
          <w:tcPr>
            <w:tcW w:w="2071" w:type="dxa"/>
            <w:tcBorders>
              <w:top w:val="nil"/>
              <w:left w:val="nil"/>
              <w:bottom w:val="nil"/>
              <w:right w:val="nil"/>
            </w:tcBorders>
            <w:shd w:val="clear" w:color="auto" w:fill="auto"/>
          </w:tcPr>
          <w:p w14:paraId="1D5D460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0.024</w:t>
            </w:r>
          </w:p>
        </w:tc>
      </w:tr>
      <w:tr w:rsidR="00892142" w:rsidRPr="004153B4" w14:paraId="38EE3686" w14:textId="77777777" w:rsidTr="00770BD5">
        <w:trPr>
          <w:trHeight w:val="248"/>
          <w:jc w:val="center"/>
        </w:trPr>
        <w:tc>
          <w:tcPr>
            <w:tcW w:w="2662" w:type="dxa"/>
            <w:tcBorders>
              <w:top w:val="nil"/>
              <w:left w:val="nil"/>
              <w:bottom w:val="nil"/>
              <w:right w:val="nil"/>
            </w:tcBorders>
          </w:tcPr>
          <w:p w14:paraId="22AF16D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Turkey</w:t>
            </w:r>
          </w:p>
        </w:tc>
        <w:tc>
          <w:tcPr>
            <w:tcW w:w="2071" w:type="dxa"/>
            <w:tcBorders>
              <w:top w:val="nil"/>
              <w:left w:val="nil"/>
              <w:bottom w:val="nil"/>
              <w:right w:val="nil"/>
            </w:tcBorders>
            <w:shd w:val="clear" w:color="auto" w:fill="auto"/>
          </w:tcPr>
          <w:p w14:paraId="320CE6B1"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1.371</w:t>
            </w:r>
          </w:p>
        </w:tc>
        <w:tc>
          <w:tcPr>
            <w:tcW w:w="2071" w:type="dxa"/>
            <w:tcBorders>
              <w:top w:val="nil"/>
              <w:left w:val="nil"/>
              <w:bottom w:val="nil"/>
              <w:right w:val="nil"/>
            </w:tcBorders>
            <w:shd w:val="clear" w:color="auto" w:fill="auto"/>
          </w:tcPr>
          <w:p w14:paraId="33FAD5F0"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1.337</w:t>
            </w:r>
          </w:p>
        </w:tc>
      </w:tr>
      <w:tr w:rsidR="00892142" w:rsidRPr="004153B4" w14:paraId="6AFE718D" w14:textId="77777777" w:rsidTr="00770BD5">
        <w:trPr>
          <w:trHeight w:val="248"/>
          <w:jc w:val="center"/>
        </w:trPr>
        <w:tc>
          <w:tcPr>
            <w:tcW w:w="2662" w:type="dxa"/>
            <w:tcBorders>
              <w:top w:val="nil"/>
              <w:left w:val="nil"/>
              <w:bottom w:val="nil"/>
              <w:right w:val="nil"/>
            </w:tcBorders>
          </w:tcPr>
          <w:p w14:paraId="25AE807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Turkmenistan</w:t>
            </w:r>
          </w:p>
        </w:tc>
        <w:tc>
          <w:tcPr>
            <w:tcW w:w="2071" w:type="dxa"/>
            <w:tcBorders>
              <w:top w:val="nil"/>
              <w:left w:val="nil"/>
              <w:bottom w:val="nil"/>
              <w:right w:val="nil"/>
            </w:tcBorders>
            <w:shd w:val="clear" w:color="auto" w:fill="auto"/>
          </w:tcPr>
          <w:p w14:paraId="3282D0D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0.033</w:t>
            </w:r>
          </w:p>
        </w:tc>
        <w:tc>
          <w:tcPr>
            <w:tcW w:w="2071" w:type="dxa"/>
            <w:tcBorders>
              <w:top w:val="nil"/>
              <w:left w:val="nil"/>
              <w:bottom w:val="nil"/>
              <w:right w:val="nil"/>
            </w:tcBorders>
            <w:shd w:val="clear" w:color="auto" w:fill="auto"/>
          </w:tcPr>
          <w:p w14:paraId="5F9179E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0.032</w:t>
            </w:r>
          </w:p>
        </w:tc>
      </w:tr>
      <w:tr w:rsidR="00892142" w:rsidRPr="004153B4" w14:paraId="05CFD27B" w14:textId="77777777" w:rsidTr="00770BD5">
        <w:trPr>
          <w:trHeight w:val="248"/>
          <w:jc w:val="center"/>
        </w:trPr>
        <w:tc>
          <w:tcPr>
            <w:tcW w:w="2662" w:type="dxa"/>
            <w:tcBorders>
              <w:top w:val="nil"/>
              <w:left w:val="nil"/>
              <w:bottom w:val="nil"/>
              <w:right w:val="nil"/>
            </w:tcBorders>
          </w:tcPr>
          <w:p w14:paraId="3E5717D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Tuvalu</w:t>
            </w:r>
          </w:p>
        </w:tc>
        <w:tc>
          <w:tcPr>
            <w:tcW w:w="2071" w:type="dxa"/>
            <w:tcBorders>
              <w:top w:val="nil"/>
              <w:left w:val="nil"/>
              <w:bottom w:val="nil"/>
              <w:right w:val="nil"/>
            </w:tcBorders>
            <w:shd w:val="clear" w:color="auto" w:fill="auto"/>
          </w:tcPr>
          <w:p w14:paraId="2E3BA459" w14:textId="77777777" w:rsidR="00892142" w:rsidRPr="004153B4" w:rsidRDefault="00892142" w:rsidP="00887556">
            <w:pPr>
              <w:suppressAutoHyphens w:val="0"/>
              <w:spacing w:line="240" w:lineRule="auto"/>
              <w:jc w:val="right"/>
              <w:rPr>
                <w:rFonts w:eastAsia="MS Mincho"/>
                <w:color w:val="000000"/>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411CB81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3EA5CDCD" w14:textId="77777777" w:rsidTr="00770BD5">
        <w:trPr>
          <w:trHeight w:val="248"/>
          <w:jc w:val="center"/>
        </w:trPr>
        <w:tc>
          <w:tcPr>
            <w:tcW w:w="2662" w:type="dxa"/>
            <w:tcBorders>
              <w:top w:val="nil"/>
              <w:left w:val="nil"/>
              <w:bottom w:val="nil"/>
              <w:right w:val="nil"/>
            </w:tcBorders>
          </w:tcPr>
          <w:p w14:paraId="10CA7707"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Uganda</w:t>
            </w:r>
          </w:p>
        </w:tc>
        <w:tc>
          <w:tcPr>
            <w:tcW w:w="2071" w:type="dxa"/>
            <w:tcBorders>
              <w:top w:val="nil"/>
              <w:left w:val="nil"/>
              <w:bottom w:val="nil"/>
              <w:right w:val="nil"/>
            </w:tcBorders>
            <w:shd w:val="clear" w:color="auto" w:fill="auto"/>
          </w:tcPr>
          <w:p w14:paraId="4244FFD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0.008</w:t>
            </w:r>
          </w:p>
        </w:tc>
        <w:tc>
          <w:tcPr>
            <w:tcW w:w="2071" w:type="dxa"/>
            <w:tcBorders>
              <w:top w:val="nil"/>
              <w:left w:val="nil"/>
              <w:bottom w:val="nil"/>
              <w:right w:val="nil"/>
            </w:tcBorders>
            <w:shd w:val="clear" w:color="auto" w:fill="auto"/>
          </w:tcPr>
          <w:p w14:paraId="6C16B836"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0.008</w:t>
            </w:r>
          </w:p>
        </w:tc>
      </w:tr>
      <w:tr w:rsidR="00892142" w:rsidRPr="004153B4" w14:paraId="5E98F5E5" w14:textId="77777777" w:rsidTr="00770BD5">
        <w:trPr>
          <w:trHeight w:val="248"/>
          <w:jc w:val="center"/>
        </w:trPr>
        <w:tc>
          <w:tcPr>
            <w:tcW w:w="2662" w:type="dxa"/>
            <w:tcBorders>
              <w:top w:val="nil"/>
              <w:left w:val="nil"/>
              <w:bottom w:val="nil"/>
              <w:right w:val="nil"/>
            </w:tcBorders>
          </w:tcPr>
          <w:p w14:paraId="79D517B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Ukraine</w:t>
            </w:r>
          </w:p>
        </w:tc>
        <w:tc>
          <w:tcPr>
            <w:tcW w:w="2071" w:type="dxa"/>
            <w:tcBorders>
              <w:top w:val="nil"/>
              <w:left w:val="nil"/>
              <w:bottom w:val="nil"/>
              <w:right w:val="nil"/>
            </w:tcBorders>
            <w:shd w:val="clear" w:color="auto" w:fill="auto"/>
          </w:tcPr>
          <w:p w14:paraId="7EFCF843"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0.057</w:t>
            </w:r>
          </w:p>
        </w:tc>
        <w:tc>
          <w:tcPr>
            <w:tcW w:w="2071" w:type="dxa"/>
            <w:tcBorders>
              <w:top w:val="nil"/>
              <w:left w:val="nil"/>
              <w:bottom w:val="nil"/>
              <w:right w:val="nil"/>
            </w:tcBorders>
            <w:shd w:val="clear" w:color="auto" w:fill="auto"/>
          </w:tcPr>
          <w:p w14:paraId="49CD2889"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0.056</w:t>
            </w:r>
          </w:p>
        </w:tc>
      </w:tr>
      <w:tr w:rsidR="00892142" w:rsidRPr="004153B4" w14:paraId="41B2C393" w14:textId="77777777" w:rsidTr="00770BD5">
        <w:trPr>
          <w:trHeight w:val="248"/>
          <w:jc w:val="center"/>
        </w:trPr>
        <w:tc>
          <w:tcPr>
            <w:tcW w:w="2662" w:type="dxa"/>
            <w:tcBorders>
              <w:top w:val="nil"/>
              <w:left w:val="nil"/>
              <w:bottom w:val="nil"/>
              <w:right w:val="nil"/>
            </w:tcBorders>
          </w:tcPr>
          <w:p w14:paraId="2D1E4223"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United Arab Emirates</w:t>
            </w:r>
          </w:p>
        </w:tc>
        <w:tc>
          <w:tcPr>
            <w:tcW w:w="2071" w:type="dxa"/>
            <w:tcBorders>
              <w:top w:val="nil"/>
              <w:left w:val="nil"/>
              <w:bottom w:val="nil"/>
              <w:right w:val="nil"/>
            </w:tcBorders>
            <w:shd w:val="clear" w:color="auto" w:fill="auto"/>
          </w:tcPr>
          <w:p w14:paraId="7CDBFA6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0.616</w:t>
            </w:r>
          </w:p>
        </w:tc>
        <w:tc>
          <w:tcPr>
            <w:tcW w:w="2071" w:type="dxa"/>
            <w:tcBorders>
              <w:top w:val="nil"/>
              <w:left w:val="nil"/>
              <w:bottom w:val="nil"/>
              <w:right w:val="nil"/>
            </w:tcBorders>
            <w:shd w:val="clear" w:color="auto" w:fill="auto"/>
          </w:tcPr>
          <w:p w14:paraId="1E230CE7"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0.601</w:t>
            </w:r>
          </w:p>
        </w:tc>
      </w:tr>
      <w:tr w:rsidR="00892142" w:rsidRPr="004153B4" w14:paraId="28109D62" w14:textId="77777777" w:rsidTr="00770BD5">
        <w:trPr>
          <w:trHeight w:val="248"/>
          <w:jc w:val="center"/>
        </w:trPr>
        <w:tc>
          <w:tcPr>
            <w:tcW w:w="2662" w:type="dxa"/>
            <w:tcBorders>
              <w:top w:val="nil"/>
              <w:left w:val="nil"/>
              <w:bottom w:val="nil"/>
              <w:right w:val="nil"/>
            </w:tcBorders>
          </w:tcPr>
          <w:p w14:paraId="0205A716" w14:textId="77777777" w:rsidR="00892142" w:rsidRPr="004153B4" w:rsidRDefault="00892142" w:rsidP="00887556">
            <w:pPr>
              <w:suppressAutoHyphens w:val="0"/>
              <w:spacing w:line="240" w:lineRule="auto"/>
              <w:ind w:left="245" w:hanging="245"/>
              <w:rPr>
                <w:rFonts w:eastAsia="Arial Unicode MS"/>
                <w:color w:val="000000"/>
                <w:sz w:val="18"/>
                <w:szCs w:val="18"/>
                <w:lang w:eastAsia="de-DE"/>
              </w:rPr>
            </w:pPr>
            <w:r w:rsidRPr="004153B4">
              <w:rPr>
                <w:rFonts w:eastAsia="MS Mincho"/>
                <w:color w:val="000000"/>
                <w:sz w:val="18"/>
                <w:szCs w:val="18"/>
                <w:lang w:eastAsia="de-DE"/>
              </w:rPr>
              <w:t>United Kingdom of Great Britain and Northern Ireland</w:t>
            </w:r>
          </w:p>
        </w:tc>
        <w:tc>
          <w:tcPr>
            <w:tcW w:w="2071" w:type="dxa"/>
            <w:tcBorders>
              <w:top w:val="nil"/>
              <w:left w:val="nil"/>
              <w:bottom w:val="nil"/>
              <w:right w:val="nil"/>
            </w:tcBorders>
            <w:shd w:val="clear" w:color="auto" w:fill="auto"/>
          </w:tcPr>
          <w:p w14:paraId="2DE7B1D0"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4.567</w:t>
            </w:r>
          </w:p>
        </w:tc>
        <w:tc>
          <w:tcPr>
            <w:tcW w:w="2071" w:type="dxa"/>
            <w:tcBorders>
              <w:top w:val="nil"/>
              <w:left w:val="nil"/>
              <w:bottom w:val="nil"/>
              <w:right w:val="nil"/>
            </w:tcBorders>
            <w:shd w:val="clear" w:color="auto" w:fill="auto"/>
          </w:tcPr>
          <w:p w14:paraId="2C9D429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4.452</w:t>
            </w:r>
          </w:p>
        </w:tc>
      </w:tr>
      <w:tr w:rsidR="00892142" w:rsidRPr="004153B4" w14:paraId="23200363" w14:textId="77777777" w:rsidTr="00770BD5">
        <w:trPr>
          <w:trHeight w:val="248"/>
          <w:jc w:val="center"/>
        </w:trPr>
        <w:tc>
          <w:tcPr>
            <w:tcW w:w="2662" w:type="dxa"/>
            <w:tcBorders>
              <w:top w:val="nil"/>
              <w:left w:val="nil"/>
              <w:bottom w:val="nil"/>
              <w:right w:val="nil"/>
            </w:tcBorders>
          </w:tcPr>
          <w:p w14:paraId="20727C1D"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United Republic of Tanzania</w:t>
            </w:r>
          </w:p>
        </w:tc>
        <w:tc>
          <w:tcPr>
            <w:tcW w:w="2071" w:type="dxa"/>
            <w:tcBorders>
              <w:top w:val="nil"/>
              <w:left w:val="nil"/>
              <w:bottom w:val="nil"/>
              <w:right w:val="nil"/>
            </w:tcBorders>
            <w:shd w:val="clear" w:color="auto" w:fill="auto"/>
          </w:tcPr>
          <w:p w14:paraId="63103143"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0.010</w:t>
            </w:r>
          </w:p>
        </w:tc>
        <w:tc>
          <w:tcPr>
            <w:tcW w:w="2071" w:type="dxa"/>
            <w:tcBorders>
              <w:top w:val="nil"/>
              <w:left w:val="nil"/>
              <w:bottom w:val="nil"/>
              <w:right w:val="nil"/>
            </w:tcBorders>
            <w:shd w:val="clear" w:color="auto" w:fill="auto"/>
          </w:tcPr>
          <w:p w14:paraId="7F3EB12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0.010</w:t>
            </w:r>
          </w:p>
        </w:tc>
      </w:tr>
      <w:tr w:rsidR="00892142" w:rsidRPr="004153B4" w14:paraId="56606512" w14:textId="77777777" w:rsidTr="00770BD5">
        <w:trPr>
          <w:trHeight w:val="248"/>
          <w:jc w:val="center"/>
        </w:trPr>
        <w:tc>
          <w:tcPr>
            <w:tcW w:w="2662" w:type="dxa"/>
            <w:tcBorders>
              <w:top w:val="nil"/>
              <w:left w:val="nil"/>
              <w:bottom w:val="nil"/>
              <w:right w:val="nil"/>
            </w:tcBorders>
          </w:tcPr>
          <w:p w14:paraId="1E2EA025"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United States of America</w:t>
            </w:r>
          </w:p>
        </w:tc>
        <w:tc>
          <w:tcPr>
            <w:tcW w:w="2071" w:type="dxa"/>
            <w:tcBorders>
              <w:top w:val="nil"/>
              <w:left w:val="nil"/>
              <w:bottom w:val="nil"/>
              <w:right w:val="nil"/>
            </w:tcBorders>
            <w:shd w:val="clear" w:color="auto" w:fill="auto"/>
          </w:tcPr>
          <w:p w14:paraId="7DC2613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22.000</w:t>
            </w:r>
          </w:p>
        </w:tc>
        <w:tc>
          <w:tcPr>
            <w:tcW w:w="2071" w:type="dxa"/>
            <w:tcBorders>
              <w:top w:val="nil"/>
              <w:left w:val="nil"/>
              <w:bottom w:val="nil"/>
              <w:right w:val="nil"/>
            </w:tcBorders>
            <w:shd w:val="clear" w:color="auto" w:fill="auto"/>
          </w:tcPr>
          <w:p w14:paraId="25194B09"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21.448</w:t>
            </w:r>
          </w:p>
        </w:tc>
      </w:tr>
      <w:tr w:rsidR="00892142" w:rsidRPr="004153B4" w14:paraId="6328595A" w14:textId="77777777" w:rsidTr="00770BD5">
        <w:trPr>
          <w:trHeight w:val="248"/>
          <w:jc w:val="center"/>
        </w:trPr>
        <w:tc>
          <w:tcPr>
            <w:tcW w:w="2662" w:type="dxa"/>
            <w:tcBorders>
              <w:top w:val="nil"/>
              <w:left w:val="nil"/>
              <w:bottom w:val="nil"/>
              <w:right w:val="nil"/>
            </w:tcBorders>
          </w:tcPr>
          <w:p w14:paraId="4B124459"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Uruguay</w:t>
            </w:r>
          </w:p>
        </w:tc>
        <w:tc>
          <w:tcPr>
            <w:tcW w:w="2071" w:type="dxa"/>
            <w:tcBorders>
              <w:top w:val="nil"/>
              <w:left w:val="nil"/>
              <w:bottom w:val="nil"/>
              <w:right w:val="nil"/>
            </w:tcBorders>
            <w:shd w:val="clear" w:color="auto" w:fill="auto"/>
          </w:tcPr>
          <w:p w14:paraId="16D4D7E3"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0.087</w:t>
            </w:r>
          </w:p>
        </w:tc>
        <w:tc>
          <w:tcPr>
            <w:tcW w:w="2071" w:type="dxa"/>
            <w:tcBorders>
              <w:top w:val="nil"/>
              <w:left w:val="nil"/>
              <w:bottom w:val="nil"/>
              <w:right w:val="nil"/>
            </w:tcBorders>
            <w:shd w:val="clear" w:color="auto" w:fill="auto"/>
          </w:tcPr>
          <w:p w14:paraId="7E6AD2DD"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0.085</w:t>
            </w:r>
          </w:p>
        </w:tc>
      </w:tr>
      <w:tr w:rsidR="00892142" w:rsidRPr="004153B4" w14:paraId="24DE476B" w14:textId="77777777" w:rsidTr="00770BD5">
        <w:trPr>
          <w:trHeight w:val="248"/>
          <w:jc w:val="center"/>
        </w:trPr>
        <w:tc>
          <w:tcPr>
            <w:tcW w:w="2662" w:type="dxa"/>
            <w:tcBorders>
              <w:top w:val="nil"/>
              <w:left w:val="nil"/>
              <w:bottom w:val="nil"/>
              <w:right w:val="nil"/>
            </w:tcBorders>
          </w:tcPr>
          <w:p w14:paraId="1DF8AF48"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Uzbekistan</w:t>
            </w:r>
          </w:p>
        </w:tc>
        <w:tc>
          <w:tcPr>
            <w:tcW w:w="2071" w:type="dxa"/>
            <w:tcBorders>
              <w:top w:val="nil"/>
              <w:left w:val="nil"/>
              <w:bottom w:val="nil"/>
              <w:right w:val="nil"/>
            </w:tcBorders>
            <w:shd w:val="clear" w:color="auto" w:fill="auto"/>
          </w:tcPr>
          <w:p w14:paraId="686931F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0.032</w:t>
            </w:r>
          </w:p>
        </w:tc>
        <w:tc>
          <w:tcPr>
            <w:tcW w:w="2071" w:type="dxa"/>
            <w:tcBorders>
              <w:top w:val="nil"/>
              <w:left w:val="nil"/>
              <w:bottom w:val="nil"/>
              <w:right w:val="nil"/>
            </w:tcBorders>
            <w:shd w:val="clear" w:color="auto" w:fill="auto"/>
          </w:tcPr>
          <w:p w14:paraId="26AF0EFA"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0.031</w:t>
            </w:r>
          </w:p>
        </w:tc>
      </w:tr>
      <w:tr w:rsidR="00892142" w:rsidRPr="004153B4" w14:paraId="6AD54CCC" w14:textId="77777777" w:rsidTr="00770BD5">
        <w:trPr>
          <w:trHeight w:val="248"/>
          <w:jc w:val="center"/>
        </w:trPr>
        <w:tc>
          <w:tcPr>
            <w:tcW w:w="2662" w:type="dxa"/>
            <w:tcBorders>
              <w:top w:val="nil"/>
              <w:left w:val="nil"/>
              <w:bottom w:val="nil"/>
              <w:right w:val="nil"/>
            </w:tcBorders>
          </w:tcPr>
          <w:p w14:paraId="7E6688FE"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Vanuatu</w:t>
            </w:r>
          </w:p>
        </w:tc>
        <w:tc>
          <w:tcPr>
            <w:tcW w:w="2071" w:type="dxa"/>
            <w:tcBorders>
              <w:top w:val="nil"/>
              <w:left w:val="nil"/>
              <w:bottom w:val="nil"/>
              <w:right w:val="nil"/>
            </w:tcBorders>
            <w:shd w:val="clear" w:color="auto" w:fill="auto"/>
          </w:tcPr>
          <w:p w14:paraId="3EA27029"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0.001</w:t>
            </w:r>
          </w:p>
        </w:tc>
        <w:tc>
          <w:tcPr>
            <w:tcW w:w="2071" w:type="dxa"/>
            <w:tcBorders>
              <w:top w:val="nil"/>
              <w:left w:val="nil"/>
              <w:bottom w:val="nil"/>
              <w:right w:val="nil"/>
            </w:tcBorders>
            <w:shd w:val="clear" w:color="auto" w:fill="auto"/>
          </w:tcPr>
          <w:p w14:paraId="78B5A058"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0.001</w:t>
            </w:r>
          </w:p>
        </w:tc>
      </w:tr>
      <w:tr w:rsidR="00892142" w:rsidRPr="004153B4" w14:paraId="31D5A576" w14:textId="77777777" w:rsidTr="00770BD5">
        <w:trPr>
          <w:trHeight w:val="248"/>
          <w:jc w:val="center"/>
        </w:trPr>
        <w:tc>
          <w:tcPr>
            <w:tcW w:w="2662" w:type="dxa"/>
            <w:tcBorders>
              <w:top w:val="nil"/>
              <w:left w:val="nil"/>
              <w:bottom w:val="nil"/>
              <w:right w:val="nil"/>
            </w:tcBorders>
          </w:tcPr>
          <w:p w14:paraId="13F01FA1"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Venezuela (Bolivarian Republic of)</w:t>
            </w:r>
          </w:p>
        </w:tc>
        <w:tc>
          <w:tcPr>
            <w:tcW w:w="2071" w:type="dxa"/>
            <w:tcBorders>
              <w:top w:val="nil"/>
              <w:left w:val="nil"/>
              <w:bottom w:val="nil"/>
              <w:right w:val="nil"/>
            </w:tcBorders>
            <w:shd w:val="clear" w:color="auto" w:fill="auto"/>
          </w:tcPr>
          <w:p w14:paraId="7DFA1E27"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0.728</w:t>
            </w:r>
          </w:p>
        </w:tc>
        <w:tc>
          <w:tcPr>
            <w:tcW w:w="2071" w:type="dxa"/>
            <w:tcBorders>
              <w:top w:val="nil"/>
              <w:left w:val="nil"/>
              <w:bottom w:val="nil"/>
              <w:right w:val="nil"/>
            </w:tcBorders>
            <w:shd w:val="clear" w:color="auto" w:fill="auto"/>
          </w:tcPr>
          <w:p w14:paraId="7F63C6F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0.710</w:t>
            </w:r>
          </w:p>
        </w:tc>
      </w:tr>
      <w:tr w:rsidR="00892142" w:rsidRPr="004153B4" w14:paraId="2696C3F4" w14:textId="77777777" w:rsidTr="00770BD5">
        <w:trPr>
          <w:trHeight w:val="248"/>
          <w:jc w:val="center"/>
        </w:trPr>
        <w:tc>
          <w:tcPr>
            <w:tcW w:w="2662" w:type="dxa"/>
            <w:tcBorders>
              <w:top w:val="nil"/>
              <w:left w:val="nil"/>
              <w:bottom w:val="nil"/>
              <w:right w:val="nil"/>
            </w:tcBorders>
          </w:tcPr>
          <w:p w14:paraId="6C3979B4"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Viet Nam</w:t>
            </w:r>
          </w:p>
        </w:tc>
        <w:tc>
          <w:tcPr>
            <w:tcW w:w="2071" w:type="dxa"/>
            <w:tcBorders>
              <w:top w:val="nil"/>
              <w:left w:val="nil"/>
              <w:bottom w:val="nil"/>
              <w:right w:val="nil"/>
            </w:tcBorders>
            <w:shd w:val="clear" w:color="auto" w:fill="auto"/>
          </w:tcPr>
          <w:p w14:paraId="73FEE66C"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0.077</w:t>
            </w:r>
          </w:p>
        </w:tc>
        <w:tc>
          <w:tcPr>
            <w:tcW w:w="2071" w:type="dxa"/>
            <w:tcBorders>
              <w:top w:val="nil"/>
              <w:left w:val="nil"/>
              <w:bottom w:val="nil"/>
              <w:right w:val="nil"/>
            </w:tcBorders>
            <w:shd w:val="clear" w:color="auto" w:fill="auto"/>
          </w:tcPr>
          <w:p w14:paraId="14DABD2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0.075</w:t>
            </w:r>
          </w:p>
        </w:tc>
      </w:tr>
      <w:tr w:rsidR="00892142" w:rsidRPr="004153B4" w14:paraId="66236CE6" w14:textId="77777777" w:rsidTr="00770BD5">
        <w:trPr>
          <w:trHeight w:val="248"/>
          <w:jc w:val="center"/>
        </w:trPr>
        <w:tc>
          <w:tcPr>
            <w:tcW w:w="2662" w:type="dxa"/>
            <w:tcBorders>
              <w:top w:val="nil"/>
              <w:left w:val="nil"/>
              <w:bottom w:val="nil"/>
              <w:right w:val="nil"/>
            </w:tcBorders>
          </w:tcPr>
          <w:p w14:paraId="00E8322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Yemen</w:t>
            </w:r>
          </w:p>
        </w:tc>
        <w:tc>
          <w:tcPr>
            <w:tcW w:w="2071" w:type="dxa"/>
            <w:tcBorders>
              <w:top w:val="nil"/>
              <w:left w:val="nil"/>
              <w:bottom w:val="nil"/>
              <w:right w:val="nil"/>
            </w:tcBorders>
            <w:shd w:val="clear" w:color="auto" w:fill="auto"/>
          </w:tcPr>
          <w:p w14:paraId="66D797DD"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0.010</w:t>
            </w:r>
          </w:p>
        </w:tc>
        <w:tc>
          <w:tcPr>
            <w:tcW w:w="2071" w:type="dxa"/>
            <w:tcBorders>
              <w:top w:val="nil"/>
              <w:left w:val="nil"/>
              <w:bottom w:val="nil"/>
              <w:right w:val="nil"/>
            </w:tcBorders>
            <w:shd w:val="clear" w:color="auto" w:fill="auto"/>
          </w:tcPr>
          <w:p w14:paraId="77E9F9DC"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0.010</w:t>
            </w:r>
          </w:p>
        </w:tc>
      </w:tr>
      <w:tr w:rsidR="00892142" w:rsidRPr="004153B4" w14:paraId="644B7F88" w14:textId="77777777" w:rsidTr="00770BD5">
        <w:trPr>
          <w:trHeight w:val="248"/>
          <w:jc w:val="center"/>
        </w:trPr>
        <w:tc>
          <w:tcPr>
            <w:tcW w:w="2662" w:type="dxa"/>
            <w:tcBorders>
              <w:top w:val="nil"/>
              <w:left w:val="nil"/>
              <w:bottom w:val="nil"/>
              <w:right w:val="nil"/>
            </w:tcBorders>
          </w:tcPr>
          <w:p w14:paraId="781596AF"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Zambia</w:t>
            </w:r>
          </w:p>
        </w:tc>
        <w:tc>
          <w:tcPr>
            <w:tcW w:w="2071" w:type="dxa"/>
            <w:tcBorders>
              <w:top w:val="nil"/>
              <w:left w:val="nil"/>
              <w:bottom w:val="nil"/>
              <w:right w:val="nil"/>
            </w:tcBorders>
            <w:shd w:val="clear" w:color="auto" w:fill="auto"/>
          </w:tcPr>
          <w:p w14:paraId="6F429D53"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0.009</w:t>
            </w:r>
          </w:p>
        </w:tc>
        <w:tc>
          <w:tcPr>
            <w:tcW w:w="2071" w:type="dxa"/>
            <w:tcBorders>
              <w:top w:val="nil"/>
              <w:left w:val="nil"/>
              <w:bottom w:val="nil"/>
              <w:right w:val="nil"/>
            </w:tcBorders>
            <w:shd w:val="clear" w:color="auto" w:fill="auto"/>
          </w:tcPr>
          <w:p w14:paraId="699A6CC4"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0.009</w:t>
            </w:r>
          </w:p>
        </w:tc>
      </w:tr>
      <w:tr w:rsidR="00892142" w:rsidRPr="004153B4" w14:paraId="2CDC1157" w14:textId="77777777" w:rsidTr="00770BD5">
        <w:trPr>
          <w:trHeight w:val="263"/>
          <w:jc w:val="center"/>
        </w:trPr>
        <w:tc>
          <w:tcPr>
            <w:tcW w:w="2662" w:type="dxa"/>
            <w:tcBorders>
              <w:top w:val="nil"/>
              <w:left w:val="nil"/>
              <w:bottom w:val="single" w:sz="2" w:space="0" w:color="auto"/>
              <w:right w:val="nil"/>
            </w:tcBorders>
          </w:tcPr>
          <w:p w14:paraId="3F686690" w14:textId="77777777" w:rsidR="00892142" w:rsidRPr="004153B4" w:rsidRDefault="00892142" w:rsidP="00887556">
            <w:pPr>
              <w:suppressAutoHyphens w:val="0"/>
              <w:spacing w:line="240" w:lineRule="auto"/>
              <w:ind w:left="360" w:hanging="360"/>
              <w:rPr>
                <w:rFonts w:eastAsia="Arial Unicode MS"/>
                <w:color w:val="000000"/>
                <w:sz w:val="18"/>
                <w:szCs w:val="18"/>
                <w:lang w:eastAsia="de-DE"/>
              </w:rPr>
            </w:pPr>
            <w:r w:rsidRPr="004153B4">
              <w:rPr>
                <w:rFonts w:eastAsia="MS Mincho"/>
                <w:color w:val="000000"/>
                <w:sz w:val="18"/>
                <w:szCs w:val="18"/>
                <w:lang w:eastAsia="de-DE"/>
              </w:rPr>
              <w:t>Zimbabwe</w:t>
            </w:r>
          </w:p>
        </w:tc>
        <w:tc>
          <w:tcPr>
            <w:tcW w:w="2071" w:type="dxa"/>
            <w:tcBorders>
              <w:top w:val="nil"/>
              <w:left w:val="nil"/>
              <w:bottom w:val="single" w:sz="2" w:space="0" w:color="auto"/>
              <w:right w:val="nil"/>
            </w:tcBorders>
            <w:shd w:val="clear" w:color="auto" w:fill="auto"/>
          </w:tcPr>
          <w:p w14:paraId="23337A35" w14:textId="77777777" w:rsidR="00892142" w:rsidRPr="004153B4" w:rsidRDefault="00892142" w:rsidP="00887556">
            <w:pPr>
              <w:suppressAutoHyphens w:val="0"/>
              <w:spacing w:line="240" w:lineRule="auto"/>
              <w:jc w:val="right"/>
              <w:rPr>
                <w:rFonts w:eastAsia="MS Mincho"/>
                <w:sz w:val="18"/>
                <w:szCs w:val="18"/>
                <w:lang w:eastAsia="de-DE"/>
              </w:rPr>
            </w:pPr>
            <w:r w:rsidRPr="004153B4">
              <w:rPr>
                <w:sz w:val="18"/>
                <w:szCs w:val="18"/>
              </w:rPr>
              <w:t>0.005</w:t>
            </w:r>
          </w:p>
        </w:tc>
        <w:tc>
          <w:tcPr>
            <w:tcW w:w="2071" w:type="dxa"/>
            <w:tcBorders>
              <w:top w:val="nil"/>
              <w:left w:val="nil"/>
              <w:bottom w:val="single" w:sz="2" w:space="0" w:color="auto"/>
              <w:right w:val="nil"/>
            </w:tcBorders>
            <w:shd w:val="clear" w:color="auto" w:fill="auto"/>
          </w:tcPr>
          <w:p w14:paraId="08E3F935" w14:textId="77777777" w:rsidR="00892142" w:rsidRPr="004153B4" w:rsidRDefault="00892142" w:rsidP="00887556">
            <w:pPr>
              <w:suppressAutoHyphens w:val="0"/>
              <w:spacing w:line="240" w:lineRule="auto"/>
              <w:jc w:val="right"/>
              <w:rPr>
                <w:rFonts w:eastAsia="MS Mincho"/>
                <w:sz w:val="18"/>
                <w:szCs w:val="18"/>
                <w:lang w:eastAsia="de-DE"/>
              </w:rPr>
            </w:pPr>
            <w:r w:rsidRPr="004153B4">
              <w:rPr>
                <w:color w:val="000000"/>
                <w:sz w:val="18"/>
                <w:szCs w:val="18"/>
              </w:rPr>
              <w:t>0.005</w:t>
            </w:r>
          </w:p>
        </w:tc>
      </w:tr>
      <w:tr w:rsidR="00892142" w:rsidRPr="004153B4" w14:paraId="04E1540B" w14:textId="77777777" w:rsidTr="00B15566">
        <w:trPr>
          <w:trHeight w:val="263"/>
          <w:jc w:val="center"/>
        </w:trPr>
        <w:tc>
          <w:tcPr>
            <w:tcW w:w="2662" w:type="dxa"/>
            <w:tcBorders>
              <w:top w:val="single" w:sz="2" w:space="0" w:color="auto"/>
              <w:left w:val="nil"/>
              <w:bottom w:val="single" w:sz="12" w:space="0" w:color="auto"/>
              <w:right w:val="nil"/>
            </w:tcBorders>
            <w:vAlign w:val="center"/>
          </w:tcPr>
          <w:p w14:paraId="1191FB18" w14:textId="77777777" w:rsidR="00892142" w:rsidRPr="004153B4" w:rsidRDefault="00892142" w:rsidP="00CA2BA0">
            <w:pPr>
              <w:suppressAutoHyphens w:val="0"/>
              <w:autoSpaceDE w:val="0"/>
              <w:autoSpaceDN w:val="0"/>
              <w:adjustRightInd w:val="0"/>
              <w:spacing w:line="240" w:lineRule="auto"/>
              <w:ind w:left="-30" w:right="1999"/>
              <w:jc w:val="center"/>
              <w:rPr>
                <w:rFonts w:eastAsia="MS Mincho"/>
                <w:b/>
                <w:bCs/>
                <w:color w:val="000000"/>
                <w:sz w:val="18"/>
                <w:szCs w:val="18"/>
                <w:lang w:eastAsia="de-DE"/>
              </w:rPr>
            </w:pPr>
            <w:r w:rsidRPr="004153B4">
              <w:rPr>
                <w:rFonts w:eastAsia="MS Mincho"/>
                <w:b/>
                <w:bCs/>
                <w:color w:val="000000"/>
                <w:sz w:val="18"/>
                <w:szCs w:val="18"/>
                <w:lang w:eastAsia="de-DE"/>
              </w:rPr>
              <w:t>Total</w:t>
            </w:r>
          </w:p>
        </w:tc>
        <w:tc>
          <w:tcPr>
            <w:tcW w:w="2071" w:type="dxa"/>
            <w:tcBorders>
              <w:top w:val="single" w:sz="2" w:space="0" w:color="auto"/>
              <w:left w:val="nil"/>
              <w:bottom w:val="single" w:sz="12" w:space="0" w:color="auto"/>
              <w:right w:val="nil"/>
            </w:tcBorders>
            <w:shd w:val="clear" w:color="auto" w:fill="auto"/>
            <w:vAlign w:val="center"/>
          </w:tcPr>
          <w:p w14:paraId="285A7BF2" w14:textId="77777777" w:rsidR="00892142" w:rsidRPr="004153B4" w:rsidRDefault="00892142" w:rsidP="00887556">
            <w:pPr>
              <w:suppressAutoHyphens w:val="0"/>
              <w:autoSpaceDE w:val="0"/>
              <w:autoSpaceDN w:val="0"/>
              <w:adjustRightInd w:val="0"/>
              <w:spacing w:line="240" w:lineRule="auto"/>
              <w:ind w:left="187"/>
              <w:jc w:val="right"/>
              <w:rPr>
                <w:rFonts w:eastAsia="MS Mincho"/>
                <w:b/>
                <w:bCs/>
                <w:color w:val="000000"/>
                <w:sz w:val="18"/>
                <w:szCs w:val="18"/>
                <w:lang w:eastAsia="de-DE"/>
              </w:rPr>
            </w:pPr>
            <w:r w:rsidRPr="004153B4">
              <w:rPr>
                <w:rFonts w:eastAsia="MS Mincho"/>
                <w:b/>
                <w:bCs/>
                <w:color w:val="000000"/>
                <w:sz w:val="18"/>
                <w:szCs w:val="18"/>
                <w:lang w:eastAsia="de-DE"/>
              </w:rPr>
              <w:t>100.000</w:t>
            </w:r>
          </w:p>
        </w:tc>
        <w:tc>
          <w:tcPr>
            <w:tcW w:w="2071" w:type="dxa"/>
            <w:tcBorders>
              <w:top w:val="single" w:sz="2" w:space="0" w:color="auto"/>
              <w:left w:val="nil"/>
              <w:bottom w:val="single" w:sz="12" w:space="0" w:color="auto"/>
              <w:right w:val="nil"/>
            </w:tcBorders>
            <w:shd w:val="clear" w:color="auto" w:fill="auto"/>
            <w:vAlign w:val="center"/>
          </w:tcPr>
          <w:p w14:paraId="3251BD8B" w14:textId="77777777" w:rsidR="00892142" w:rsidRPr="004153B4" w:rsidRDefault="00892142" w:rsidP="00887556">
            <w:pPr>
              <w:suppressAutoHyphens w:val="0"/>
              <w:autoSpaceDE w:val="0"/>
              <w:autoSpaceDN w:val="0"/>
              <w:adjustRightInd w:val="0"/>
              <w:spacing w:line="240" w:lineRule="auto"/>
              <w:ind w:left="187"/>
              <w:jc w:val="right"/>
              <w:rPr>
                <w:rFonts w:eastAsia="MS Mincho"/>
                <w:b/>
                <w:bCs/>
                <w:color w:val="000000"/>
                <w:sz w:val="18"/>
                <w:szCs w:val="18"/>
                <w:lang w:eastAsia="de-DE"/>
              </w:rPr>
            </w:pPr>
            <w:r w:rsidRPr="004153B4">
              <w:rPr>
                <w:rFonts w:eastAsia="MS Mincho"/>
                <w:b/>
                <w:bCs/>
                <w:color w:val="000000"/>
                <w:sz w:val="18"/>
                <w:szCs w:val="18"/>
                <w:lang w:eastAsia="de-DE"/>
              </w:rPr>
              <w:t>100.000</w:t>
            </w:r>
          </w:p>
        </w:tc>
      </w:tr>
    </w:tbl>
    <w:p w14:paraId="62024B3F" w14:textId="13836187" w:rsidR="00A640C8" w:rsidRDefault="007740D2" w:rsidP="00CA2BA0">
      <w:pPr>
        <w:pStyle w:val="RegSingleTxtG2"/>
        <w:numPr>
          <w:ilvl w:val="0"/>
          <w:numId w:val="0"/>
        </w:numPr>
        <w:spacing w:before="120"/>
        <w:ind w:left="1701"/>
        <w:jc w:val="right"/>
        <w:rPr>
          <w:i/>
        </w:rPr>
      </w:pPr>
      <w:r w:rsidRPr="007740D2">
        <w:rPr>
          <w:i/>
        </w:rPr>
        <w:t>7</w:t>
      </w:r>
      <w:r w:rsidRPr="007740D2">
        <w:rPr>
          <w:i/>
          <w:vertAlign w:val="superscript"/>
        </w:rPr>
        <w:t>th</w:t>
      </w:r>
      <w:r w:rsidRPr="007740D2">
        <w:rPr>
          <w:i/>
        </w:rPr>
        <w:t xml:space="preserve"> plenary meeting</w:t>
      </w:r>
      <w:r w:rsidRPr="007740D2">
        <w:rPr>
          <w:i/>
        </w:rPr>
        <w:br/>
        <w:t>12 December 2019</w:t>
      </w:r>
    </w:p>
    <w:p w14:paraId="48FB5180" w14:textId="77777777" w:rsidR="007740D2" w:rsidRDefault="007740D2" w:rsidP="007740D2">
      <w:pPr>
        <w:pStyle w:val="RegSingleTxtG2"/>
        <w:numPr>
          <w:ilvl w:val="0"/>
          <w:numId w:val="0"/>
        </w:numPr>
        <w:ind w:left="1701"/>
        <w:jc w:val="left"/>
        <w:sectPr w:rsidR="007740D2" w:rsidSect="00C92FFD">
          <w:headerReference w:type="even" r:id="rId89"/>
          <w:headerReference w:type="default" r:id="rId90"/>
          <w:footerReference w:type="even" r:id="rId91"/>
          <w:footerReference w:type="default" r:id="rId92"/>
          <w:headerReference w:type="first" r:id="rId93"/>
          <w:footerReference w:type="first" r:id="rId94"/>
          <w:footnotePr>
            <w:numRestart w:val="eachSect"/>
          </w:footnotePr>
          <w:pgSz w:w="11906" w:h="16838" w:code="9"/>
          <w:pgMar w:top="1417" w:right="1134" w:bottom="1134" w:left="1134" w:header="850" w:footer="567" w:gutter="0"/>
          <w:cols w:space="708"/>
          <w:docGrid w:linePitch="360"/>
        </w:sectPr>
      </w:pPr>
    </w:p>
    <w:p w14:paraId="7A45199C" w14:textId="5C6899B8" w:rsidR="007501B5" w:rsidRDefault="007501B5" w:rsidP="007501B5">
      <w:pPr>
        <w:pStyle w:val="HChG"/>
      </w:pPr>
      <w:r>
        <w:tab/>
      </w:r>
      <w:r>
        <w:tab/>
      </w:r>
      <w:bookmarkStart w:id="34" w:name="D18"/>
      <w:r w:rsidRPr="00080873">
        <w:t xml:space="preserve">Decision </w:t>
      </w:r>
      <w:r w:rsidR="008233AF">
        <w:t>18</w:t>
      </w:r>
      <w:r w:rsidRPr="00080873">
        <w:t>/CP.25</w:t>
      </w:r>
      <w:bookmarkEnd w:id="34"/>
    </w:p>
    <w:p w14:paraId="47F47008" w14:textId="77777777" w:rsidR="007501B5" w:rsidRPr="003B1ED1" w:rsidRDefault="007501B5" w:rsidP="007501B5">
      <w:pPr>
        <w:pStyle w:val="HChG"/>
      </w:pPr>
      <w:r>
        <w:tab/>
      </w:r>
      <w:r>
        <w:tab/>
      </w:r>
      <w:r>
        <w:rPr>
          <w:b w:val="0"/>
        </w:rPr>
        <w:tab/>
      </w:r>
      <w:r w:rsidRPr="003B1ED1">
        <w:t>Administrative, financial and institutional matters</w:t>
      </w:r>
    </w:p>
    <w:p w14:paraId="077AAE37" w14:textId="77777777" w:rsidR="007501B5" w:rsidRPr="003B1ED1" w:rsidRDefault="007501B5" w:rsidP="00C83B8C">
      <w:pPr>
        <w:spacing w:before="120"/>
        <w:ind w:left="1134" w:right="1174" w:firstLine="567"/>
        <w:jc w:val="both"/>
        <w:rPr>
          <w:i/>
        </w:rPr>
      </w:pPr>
      <w:r w:rsidRPr="003B1ED1">
        <w:rPr>
          <w:i/>
        </w:rPr>
        <w:t>The Conference of the Parties</w:t>
      </w:r>
      <w:r w:rsidRPr="003B1ED1">
        <w:t>,</w:t>
      </w:r>
    </w:p>
    <w:p w14:paraId="087A1627" w14:textId="77777777" w:rsidR="007501B5" w:rsidRPr="003B1ED1" w:rsidRDefault="007501B5" w:rsidP="00C83B8C">
      <w:pPr>
        <w:spacing w:before="120"/>
        <w:ind w:left="1134" w:right="1174" w:firstLine="567"/>
        <w:jc w:val="both"/>
      </w:pPr>
      <w:r w:rsidRPr="003B1ED1">
        <w:rPr>
          <w:i/>
        </w:rPr>
        <w:t xml:space="preserve">Recalling </w:t>
      </w:r>
      <w:r w:rsidRPr="003B1ED1">
        <w:t>the financial procedures for the Conference of the Parties,</w:t>
      </w:r>
      <w:r w:rsidRPr="003B1ED1">
        <w:rPr>
          <w:sz w:val="18"/>
          <w:vertAlign w:val="superscript"/>
        </w:rPr>
        <w:footnoteReference w:id="57"/>
      </w:r>
    </w:p>
    <w:p w14:paraId="4EB0830D" w14:textId="77777777" w:rsidR="007501B5" w:rsidRPr="003B1ED1" w:rsidRDefault="007501B5" w:rsidP="00CA2BA0">
      <w:pPr>
        <w:spacing w:before="120"/>
        <w:ind w:left="1134" w:right="1174" w:firstLine="567"/>
        <w:jc w:val="both"/>
      </w:pPr>
      <w:r w:rsidRPr="003B1ED1">
        <w:rPr>
          <w:i/>
        </w:rPr>
        <w:t>Also recalling</w:t>
      </w:r>
      <w:r w:rsidRPr="003B1ED1">
        <w:t xml:space="preserve"> decision 18/CP.24, section III, on other budgetary matters,</w:t>
      </w:r>
    </w:p>
    <w:p w14:paraId="64A05BFE" w14:textId="77777777" w:rsidR="007501B5" w:rsidRPr="003B1ED1" w:rsidRDefault="007501B5" w:rsidP="00CA2BA0">
      <w:pPr>
        <w:spacing w:before="120"/>
        <w:ind w:left="1134" w:right="1174" w:firstLine="567"/>
        <w:jc w:val="both"/>
        <w:rPr>
          <w:rFonts w:eastAsia="Times New Roman"/>
          <w:lang w:val="en-US" w:eastAsia="en-US"/>
        </w:rPr>
      </w:pPr>
      <w:r w:rsidRPr="003B1ED1">
        <w:rPr>
          <w:i/>
        </w:rPr>
        <w:t>Having</w:t>
      </w:r>
      <w:r w:rsidRPr="003B1ED1">
        <w:rPr>
          <w:rFonts w:eastAsia="Times New Roman"/>
          <w:i/>
          <w:lang w:val="en-US" w:eastAsia="en-US"/>
        </w:rPr>
        <w:t xml:space="preserve"> </w:t>
      </w:r>
      <w:r w:rsidRPr="003B1ED1">
        <w:rPr>
          <w:i/>
        </w:rPr>
        <w:t>considered</w:t>
      </w:r>
      <w:r w:rsidRPr="003B1ED1">
        <w:rPr>
          <w:rFonts w:eastAsia="Times New Roman"/>
          <w:i/>
          <w:lang w:val="en-US" w:eastAsia="en-US"/>
        </w:rPr>
        <w:t xml:space="preserve"> </w:t>
      </w:r>
      <w:r w:rsidRPr="003B1ED1">
        <w:rPr>
          <w:rFonts w:eastAsia="Times New Roman"/>
          <w:lang w:val="en-US" w:eastAsia="en-US"/>
        </w:rPr>
        <w:t>the information contained in the documents prepared by the secretariat on administrative, financial and institutional matters,</w:t>
      </w:r>
      <w:r w:rsidRPr="003B1ED1">
        <w:rPr>
          <w:rFonts w:eastAsia="Times New Roman"/>
          <w:sz w:val="18"/>
          <w:vertAlign w:val="superscript"/>
          <w:lang w:val="en-US" w:eastAsia="en-US"/>
        </w:rPr>
        <w:footnoteReference w:id="58"/>
      </w:r>
    </w:p>
    <w:p w14:paraId="76F60A0B" w14:textId="77777777" w:rsidR="007501B5" w:rsidRPr="003B1ED1" w:rsidRDefault="007501B5" w:rsidP="00CA2BA0">
      <w:pPr>
        <w:spacing w:before="120"/>
        <w:ind w:left="1134" w:right="1174" w:firstLine="567"/>
        <w:jc w:val="both"/>
      </w:pPr>
      <w:r w:rsidRPr="003B1ED1">
        <w:rPr>
          <w:i/>
        </w:rPr>
        <w:t xml:space="preserve">Noting </w:t>
      </w:r>
      <w:r w:rsidRPr="003B1ED1">
        <w:t>that notifications to Parties of their contributions for 2020 were sent to them by 30 September 2019,</w:t>
      </w:r>
    </w:p>
    <w:p w14:paraId="57EC41FA" w14:textId="77777777" w:rsidR="007501B5" w:rsidRPr="003B1ED1" w:rsidRDefault="007501B5" w:rsidP="00CA2BA0">
      <w:pPr>
        <w:spacing w:before="120"/>
        <w:ind w:left="1134" w:right="1174" w:firstLine="567"/>
        <w:jc w:val="both"/>
        <w:rPr>
          <w:rFonts w:eastAsia="Times New Roman"/>
          <w:lang w:val="en-US" w:eastAsia="en-US"/>
        </w:rPr>
      </w:pPr>
      <w:r w:rsidRPr="003B1ED1">
        <w:rPr>
          <w:i/>
        </w:rPr>
        <w:t>Welcoming</w:t>
      </w:r>
      <w:r w:rsidRPr="003B1ED1">
        <w:t xml:space="preserve"> ongoing efforts to improve the efficiency and transparency of the UNFCCC budget process,</w:t>
      </w:r>
    </w:p>
    <w:p w14:paraId="1DAC08F0" w14:textId="02038561" w:rsidR="007501B5" w:rsidRPr="003B1ED1" w:rsidRDefault="002424D3" w:rsidP="000D6B56">
      <w:pPr>
        <w:pStyle w:val="RegHChG"/>
        <w:numPr>
          <w:ilvl w:val="0"/>
          <w:numId w:val="0"/>
        </w:numPr>
        <w:tabs>
          <w:tab w:val="left" w:pos="1135"/>
        </w:tabs>
        <w:ind w:left="1135" w:hanging="454"/>
      </w:pPr>
      <w:r w:rsidRPr="003B1ED1">
        <w:t>I.</w:t>
      </w:r>
      <w:r w:rsidRPr="003B1ED1">
        <w:tab/>
      </w:r>
      <w:r w:rsidR="007501B5" w:rsidRPr="003B1ED1">
        <w:t>Budget performance for the biennium 2018–2019</w:t>
      </w:r>
    </w:p>
    <w:p w14:paraId="6BDF8EFD" w14:textId="481FAB82" w:rsidR="007501B5" w:rsidRPr="008233AF" w:rsidRDefault="002424D3" w:rsidP="002424D3">
      <w:pPr>
        <w:pStyle w:val="RegSingleTxtG"/>
        <w:numPr>
          <w:ilvl w:val="0"/>
          <w:numId w:val="0"/>
        </w:numPr>
        <w:tabs>
          <w:tab w:val="left" w:pos="568"/>
        </w:tabs>
        <w:ind w:left="1134"/>
        <w:rPr>
          <w:rFonts w:eastAsia="Times New Roman"/>
          <w:lang w:eastAsia="en-US"/>
        </w:rPr>
      </w:pPr>
      <w:r w:rsidRPr="008233AF">
        <w:rPr>
          <w:rFonts w:eastAsia="Times New Roman"/>
          <w:lang w:eastAsia="en-US"/>
        </w:rPr>
        <w:t>1.</w:t>
      </w:r>
      <w:r w:rsidRPr="008233AF">
        <w:rPr>
          <w:rFonts w:eastAsia="Times New Roman"/>
          <w:lang w:eastAsia="en-US"/>
        </w:rPr>
        <w:tab/>
      </w:r>
      <w:r w:rsidR="007501B5" w:rsidRPr="008233AF">
        <w:rPr>
          <w:rFonts w:eastAsia="Times New Roman"/>
          <w:i/>
          <w:lang w:eastAsia="en-US"/>
        </w:rPr>
        <w:t>Takes note</w:t>
      </w:r>
      <w:r w:rsidR="007501B5" w:rsidRPr="008233AF">
        <w:rPr>
          <w:rFonts w:eastAsia="Times New Roman"/>
          <w:lang w:eastAsia="en-US"/>
        </w:rPr>
        <w:t xml:space="preserve"> of the information contained in the report on budget performance for the biennium 2018–2019 as at 30 June 2019</w:t>
      </w:r>
      <w:r w:rsidR="007501B5" w:rsidRPr="003B1ED1">
        <w:rPr>
          <w:sz w:val="18"/>
          <w:vertAlign w:val="superscript"/>
          <w:lang w:eastAsia="en-US"/>
        </w:rPr>
        <w:footnoteReference w:id="59"/>
      </w:r>
      <w:r w:rsidR="007501B5" w:rsidRPr="008233AF">
        <w:rPr>
          <w:rFonts w:eastAsia="Times New Roman"/>
          <w:lang w:eastAsia="en-US"/>
        </w:rPr>
        <w:t xml:space="preserve"> and the note </w:t>
      </w:r>
      <w:r w:rsidR="007501B5" w:rsidRPr="003B1ED1">
        <w:t>on</w:t>
      </w:r>
      <w:r w:rsidR="007501B5" w:rsidRPr="008233AF">
        <w:rPr>
          <w:rFonts w:eastAsia="Times New Roman"/>
          <w:lang w:eastAsia="en-US"/>
        </w:rPr>
        <w:t xml:space="preserve"> the status of contributions to the trust funds administered by the secretariat as at 15 November 2019;</w:t>
      </w:r>
      <w:r w:rsidR="007501B5" w:rsidRPr="003B1ED1">
        <w:rPr>
          <w:sz w:val="18"/>
          <w:vertAlign w:val="superscript"/>
          <w:lang w:eastAsia="en-US"/>
        </w:rPr>
        <w:footnoteReference w:id="60"/>
      </w:r>
    </w:p>
    <w:p w14:paraId="7A7D7BC3" w14:textId="4E02450C" w:rsidR="007501B5" w:rsidRPr="003B1ED1" w:rsidRDefault="002424D3" w:rsidP="002424D3">
      <w:pPr>
        <w:tabs>
          <w:tab w:val="left" w:pos="568"/>
          <w:tab w:val="left" w:pos="1701"/>
        </w:tabs>
        <w:spacing w:after="120"/>
        <w:ind w:left="1135" w:right="1134"/>
        <w:jc w:val="both"/>
      </w:pPr>
      <w:r w:rsidRPr="003B1ED1">
        <w:t>2.</w:t>
      </w:r>
      <w:r w:rsidRPr="003B1ED1">
        <w:tab/>
      </w:r>
      <w:r w:rsidR="007501B5" w:rsidRPr="003B1ED1">
        <w:rPr>
          <w:rFonts w:eastAsia="Times New Roman"/>
          <w:i/>
          <w:lang w:eastAsia="en-US"/>
        </w:rPr>
        <w:t xml:space="preserve">Expresses its </w:t>
      </w:r>
      <w:r w:rsidR="007501B5" w:rsidRPr="003B1ED1">
        <w:rPr>
          <w:i/>
        </w:rPr>
        <w:t>appreciation</w:t>
      </w:r>
      <w:r w:rsidR="007501B5" w:rsidRPr="003B1ED1">
        <w:t xml:space="preserve"> to Parties that made contributions to the core budget</w:t>
      </w:r>
      <w:bookmarkStart w:id="35" w:name="_Hlk26630697"/>
      <w:r w:rsidR="007501B5" w:rsidRPr="003B1ED1">
        <w:t xml:space="preserve">, in particular to Parties that made contributions </w:t>
      </w:r>
      <w:bookmarkEnd w:id="35"/>
      <w:r w:rsidR="007501B5" w:rsidRPr="003B1ED1">
        <w:t>in a timely manner;</w:t>
      </w:r>
    </w:p>
    <w:p w14:paraId="3B01F1C9" w14:textId="164E1EDA" w:rsidR="007501B5" w:rsidRPr="003B1ED1" w:rsidRDefault="002424D3" w:rsidP="002424D3">
      <w:pPr>
        <w:tabs>
          <w:tab w:val="left" w:pos="568"/>
          <w:tab w:val="left" w:pos="1701"/>
        </w:tabs>
        <w:spacing w:after="120"/>
        <w:ind w:left="1135" w:right="1134"/>
        <w:jc w:val="both"/>
      </w:pPr>
      <w:r w:rsidRPr="003B1ED1">
        <w:t>3.</w:t>
      </w:r>
      <w:r w:rsidRPr="003B1ED1">
        <w:tab/>
      </w:r>
      <w:r w:rsidR="007501B5" w:rsidRPr="003B1ED1">
        <w:rPr>
          <w:i/>
        </w:rPr>
        <w:t>Expresses concern</w:t>
      </w:r>
      <w:r w:rsidR="007501B5" w:rsidRPr="003B1ED1">
        <w:t xml:space="preserve"> regarding the high level of outstanding contributions to the core budget for the current and previous bienniums, which has resulted in difficulties with cash flow and the effective implementation of activities;</w:t>
      </w:r>
    </w:p>
    <w:p w14:paraId="54A56EEE" w14:textId="43790F56" w:rsidR="007501B5" w:rsidRPr="003B1ED1" w:rsidRDefault="002424D3" w:rsidP="002424D3">
      <w:pPr>
        <w:tabs>
          <w:tab w:val="left" w:pos="568"/>
          <w:tab w:val="left" w:pos="1701"/>
        </w:tabs>
        <w:spacing w:after="120"/>
        <w:ind w:left="1135" w:right="1134"/>
        <w:jc w:val="both"/>
      </w:pPr>
      <w:r w:rsidRPr="003B1ED1">
        <w:t>4.</w:t>
      </w:r>
      <w:r w:rsidRPr="003B1ED1">
        <w:tab/>
      </w:r>
      <w:r w:rsidR="007501B5" w:rsidRPr="003B1ED1">
        <w:rPr>
          <w:i/>
        </w:rPr>
        <w:t>Strongly urges</w:t>
      </w:r>
      <w:r w:rsidR="007501B5" w:rsidRPr="003B1ED1">
        <w:t xml:space="preserve"> Parties that have not made contributions in full to the core budget for the current and/or previous bienniums to do so without further delay;</w:t>
      </w:r>
    </w:p>
    <w:p w14:paraId="699D822A" w14:textId="2C89F497" w:rsidR="007501B5" w:rsidRPr="003B1ED1" w:rsidRDefault="002424D3" w:rsidP="002424D3">
      <w:pPr>
        <w:tabs>
          <w:tab w:val="left" w:pos="1701"/>
        </w:tabs>
        <w:spacing w:after="120"/>
        <w:ind w:left="1134" w:right="1134"/>
        <w:jc w:val="both"/>
      </w:pPr>
      <w:r w:rsidRPr="003B1ED1">
        <w:t>5.</w:t>
      </w:r>
      <w:r w:rsidRPr="003B1ED1">
        <w:tab/>
      </w:r>
      <w:r w:rsidR="007501B5" w:rsidRPr="003B1ED1">
        <w:rPr>
          <w:i/>
        </w:rPr>
        <w:t>Calls upon</w:t>
      </w:r>
      <w:r w:rsidR="007501B5" w:rsidRPr="003B1ED1">
        <w:t xml:space="preserve"> Parties to make their contributions to the core budget for 2020 in a timely manner, noting that letters requesting payment have already been sent by the secretariat to all Parties and bearing in mind that contributions are due on 1 January of each year in accordance with the financial procedures for the Conference of the Parties;</w:t>
      </w:r>
    </w:p>
    <w:p w14:paraId="5A978010" w14:textId="4FD80022" w:rsidR="007501B5" w:rsidRPr="003B1ED1" w:rsidRDefault="002424D3" w:rsidP="002424D3">
      <w:pPr>
        <w:tabs>
          <w:tab w:val="left" w:pos="568"/>
          <w:tab w:val="left" w:pos="1701"/>
        </w:tabs>
        <w:spacing w:after="120"/>
        <w:ind w:left="1135" w:right="1134"/>
        <w:jc w:val="both"/>
      </w:pPr>
      <w:r w:rsidRPr="003B1ED1">
        <w:t>6.</w:t>
      </w:r>
      <w:r w:rsidRPr="003B1ED1">
        <w:tab/>
      </w:r>
      <w:r w:rsidR="007501B5" w:rsidRPr="003B1ED1">
        <w:rPr>
          <w:i/>
        </w:rPr>
        <w:t>Expresses its appreciation</w:t>
      </w:r>
      <w:r w:rsidR="007501B5" w:rsidRPr="003B1ED1">
        <w:t xml:space="preserve"> for the contributions to the Trust Fund for Participation in the UNFCCC Process and to the Trust Fund for Supplementary Activities received from Parties, including those contributions that allow for greater flexibility in allocation;</w:t>
      </w:r>
    </w:p>
    <w:p w14:paraId="0118DADB" w14:textId="3D7F1867" w:rsidR="007501B5" w:rsidRPr="003B1ED1" w:rsidRDefault="002424D3" w:rsidP="002424D3">
      <w:pPr>
        <w:tabs>
          <w:tab w:val="left" w:pos="1701"/>
        </w:tabs>
        <w:spacing w:after="120"/>
        <w:ind w:left="1134" w:right="1134"/>
        <w:jc w:val="both"/>
      </w:pPr>
      <w:r w:rsidRPr="003B1ED1">
        <w:t>7.</w:t>
      </w:r>
      <w:r w:rsidRPr="003B1ED1">
        <w:tab/>
      </w:r>
      <w:r w:rsidR="007501B5" w:rsidRPr="003B1ED1">
        <w:rPr>
          <w:i/>
        </w:rPr>
        <w:t>Urges</w:t>
      </w:r>
      <w:r w:rsidR="007501B5" w:rsidRPr="003B1ED1">
        <w:t xml:space="preserve"> Parties to further contribute to the Trust Fund for Participation in the UNFCCC Process, in order to ensure the widest possible participation in the negotiations in 2020–2021, and to the Trust Fund for Supplementary Activities; </w:t>
      </w:r>
    </w:p>
    <w:p w14:paraId="3190AC65" w14:textId="2D4EA790" w:rsidR="007501B5" w:rsidRPr="003B1ED1" w:rsidRDefault="002424D3" w:rsidP="002424D3">
      <w:pPr>
        <w:tabs>
          <w:tab w:val="left" w:pos="568"/>
          <w:tab w:val="left" w:pos="1701"/>
        </w:tabs>
        <w:spacing w:after="120"/>
        <w:ind w:left="1135" w:right="1134"/>
        <w:jc w:val="both"/>
        <w:rPr>
          <w:rFonts w:eastAsia="Times New Roman"/>
          <w:lang w:eastAsia="en-US"/>
        </w:rPr>
      </w:pPr>
      <w:r w:rsidRPr="003B1ED1">
        <w:rPr>
          <w:rFonts w:eastAsia="Times New Roman"/>
          <w:lang w:eastAsia="en-US"/>
        </w:rPr>
        <w:t>8.</w:t>
      </w:r>
      <w:r w:rsidRPr="003B1ED1">
        <w:rPr>
          <w:rFonts w:eastAsia="Times New Roman"/>
          <w:lang w:eastAsia="en-US"/>
        </w:rPr>
        <w:tab/>
      </w:r>
      <w:r w:rsidR="007501B5" w:rsidRPr="003B1ED1">
        <w:rPr>
          <w:i/>
        </w:rPr>
        <w:t>Reiterates its appreciation</w:t>
      </w:r>
      <w:r w:rsidR="007501B5" w:rsidRPr="003B1ED1">
        <w:t xml:space="preserve"> to the Government of Germany for its annual voluntary contribution to the core budget of EUR 766,938 and its special contribution</w:t>
      </w:r>
      <w:r w:rsidR="007501B5" w:rsidRPr="003B1ED1">
        <w:rPr>
          <w:rFonts w:eastAsia="Times New Roman"/>
          <w:lang w:eastAsia="en-US"/>
        </w:rPr>
        <w:t xml:space="preserve"> of EUR 1,789,522 as Host Government of the secretariat;</w:t>
      </w:r>
    </w:p>
    <w:p w14:paraId="1632784F" w14:textId="2B63C378" w:rsidR="007501B5" w:rsidRPr="003B1ED1" w:rsidRDefault="002424D3" w:rsidP="002424D3">
      <w:pPr>
        <w:tabs>
          <w:tab w:val="left" w:pos="568"/>
          <w:tab w:val="left" w:pos="1701"/>
        </w:tabs>
        <w:spacing w:after="120"/>
        <w:ind w:left="1135" w:right="1134"/>
        <w:jc w:val="both"/>
        <w:rPr>
          <w:rFonts w:eastAsia="Times New Roman"/>
          <w:lang w:eastAsia="en-US"/>
        </w:rPr>
      </w:pPr>
      <w:r w:rsidRPr="003B1ED1">
        <w:rPr>
          <w:rFonts w:eastAsia="Times New Roman"/>
          <w:lang w:eastAsia="en-US"/>
        </w:rPr>
        <w:t>9.</w:t>
      </w:r>
      <w:r w:rsidRPr="003B1ED1">
        <w:rPr>
          <w:rFonts w:eastAsia="Times New Roman"/>
          <w:lang w:eastAsia="en-US"/>
        </w:rPr>
        <w:tab/>
      </w:r>
      <w:r w:rsidR="007501B5" w:rsidRPr="003B1ED1">
        <w:rPr>
          <w:rFonts w:eastAsia="Times New Roman"/>
          <w:i/>
          <w:lang w:eastAsia="en-US"/>
        </w:rPr>
        <w:t>Requests</w:t>
      </w:r>
      <w:r w:rsidR="007501B5" w:rsidRPr="003B1ED1">
        <w:rPr>
          <w:rFonts w:eastAsia="Times New Roman"/>
          <w:lang w:eastAsia="en-US"/>
        </w:rPr>
        <w:t xml:space="preserve"> the Executive Secretary to take further measures to recover outstanding contributions and </w:t>
      </w:r>
      <w:r w:rsidR="007501B5" w:rsidRPr="00CA2BA0">
        <w:rPr>
          <w:rFonts w:eastAsia="Times New Roman"/>
          <w:i/>
          <w:lang w:eastAsia="en-US"/>
        </w:rPr>
        <w:t>encourages</w:t>
      </w:r>
      <w:r w:rsidR="007501B5" w:rsidRPr="003B1ED1">
        <w:rPr>
          <w:rFonts w:eastAsia="Times New Roman"/>
          <w:lang w:eastAsia="en-US"/>
        </w:rPr>
        <w:t xml:space="preserve"> Parties to pay those outstanding contributions as soon as possible;</w:t>
      </w:r>
    </w:p>
    <w:p w14:paraId="293E36F8" w14:textId="3F93FD28" w:rsidR="007501B5" w:rsidRPr="003B1ED1" w:rsidRDefault="002424D3" w:rsidP="000D6B56">
      <w:pPr>
        <w:pStyle w:val="RegHChG"/>
        <w:numPr>
          <w:ilvl w:val="0"/>
          <w:numId w:val="0"/>
        </w:numPr>
        <w:tabs>
          <w:tab w:val="left" w:pos="1135"/>
        </w:tabs>
        <w:ind w:left="1135" w:hanging="454"/>
      </w:pPr>
      <w:r w:rsidRPr="003B1ED1">
        <w:t>II.</w:t>
      </w:r>
      <w:r w:rsidRPr="003B1ED1">
        <w:tab/>
      </w:r>
      <w:r w:rsidR="007501B5" w:rsidRPr="00DE7253">
        <w:t>Audit report and financial statements for 2018</w:t>
      </w:r>
    </w:p>
    <w:p w14:paraId="52CF9621" w14:textId="7720C78A" w:rsidR="007501B5" w:rsidRPr="003B1ED1" w:rsidRDefault="002424D3" w:rsidP="002424D3">
      <w:pPr>
        <w:tabs>
          <w:tab w:val="left" w:pos="568"/>
          <w:tab w:val="left" w:pos="1701"/>
        </w:tabs>
        <w:spacing w:after="120"/>
        <w:ind w:left="1135" w:right="1134"/>
        <w:jc w:val="both"/>
        <w:rPr>
          <w:rFonts w:eastAsia="Times New Roman"/>
          <w:lang w:eastAsia="en-US"/>
        </w:rPr>
      </w:pPr>
      <w:r w:rsidRPr="003B1ED1">
        <w:rPr>
          <w:rFonts w:eastAsia="Times New Roman"/>
          <w:lang w:eastAsia="en-US"/>
        </w:rPr>
        <w:t>10.</w:t>
      </w:r>
      <w:r w:rsidRPr="003B1ED1">
        <w:rPr>
          <w:rFonts w:eastAsia="Times New Roman"/>
          <w:lang w:eastAsia="en-US"/>
        </w:rPr>
        <w:tab/>
      </w:r>
      <w:r w:rsidR="007501B5" w:rsidRPr="003B1ED1">
        <w:rPr>
          <w:rFonts w:eastAsia="Times New Roman"/>
          <w:i/>
          <w:lang w:eastAsia="en-US"/>
        </w:rPr>
        <w:t>Takes note</w:t>
      </w:r>
      <w:r w:rsidR="007501B5" w:rsidRPr="003B1ED1">
        <w:rPr>
          <w:rFonts w:eastAsia="Times New Roman"/>
          <w:lang w:eastAsia="en-US"/>
        </w:rPr>
        <w:t xml:space="preserve"> of the information contained in the audit report of the United Nations Board of Auditors</w:t>
      </w:r>
      <w:r w:rsidR="007501B5" w:rsidRPr="003B1ED1">
        <w:rPr>
          <w:rFonts w:eastAsia="Times New Roman"/>
          <w:sz w:val="18"/>
          <w:vertAlign w:val="superscript"/>
          <w:lang w:eastAsia="en-US"/>
        </w:rPr>
        <w:footnoteReference w:id="61"/>
      </w:r>
      <w:r w:rsidR="007501B5" w:rsidRPr="003B1ED1">
        <w:rPr>
          <w:rFonts w:eastAsia="Times New Roman"/>
          <w:lang w:eastAsia="en-US"/>
        </w:rPr>
        <w:t xml:space="preserve"> and the financial statements for 2018, which include recommendations, and the comments of the secretariat thereon;</w:t>
      </w:r>
    </w:p>
    <w:p w14:paraId="00BF63DE" w14:textId="14B176A1" w:rsidR="007501B5" w:rsidRPr="003B1ED1" w:rsidRDefault="002424D3" w:rsidP="002424D3">
      <w:pPr>
        <w:tabs>
          <w:tab w:val="left" w:pos="568"/>
          <w:tab w:val="left" w:pos="1701"/>
        </w:tabs>
        <w:spacing w:after="120"/>
        <w:ind w:left="1135" w:right="1134"/>
        <w:jc w:val="both"/>
        <w:rPr>
          <w:rFonts w:eastAsia="Times New Roman"/>
          <w:lang w:eastAsia="en-US"/>
        </w:rPr>
      </w:pPr>
      <w:r w:rsidRPr="003B1ED1">
        <w:rPr>
          <w:rFonts w:eastAsia="Times New Roman"/>
          <w:lang w:eastAsia="en-US"/>
        </w:rPr>
        <w:t>11.</w:t>
      </w:r>
      <w:r w:rsidRPr="003B1ED1">
        <w:rPr>
          <w:rFonts w:eastAsia="Times New Roman"/>
          <w:lang w:eastAsia="en-US"/>
        </w:rPr>
        <w:tab/>
      </w:r>
      <w:r w:rsidR="007501B5" w:rsidRPr="003B1ED1">
        <w:rPr>
          <w:rFonts w:eastAsia="Times New Roman"/>
          <w:i/>
          <w:lang w:eastAsia="en-US"/>
        </w:rPr>
        <w:t>Expresses its appreciation</w:t>
      </w:r>
      <w:r w:rsidR="007501B5" w:rsidRPr="003B1ED1">
        <w:rPr>
          <w:rFonts w:eastAsia="Times New Roman"/>
          <w:lang w:eastAsia="en-US"/>
        </w:rPr>
        <w:t xml:space="preserve"> to the United Nations for arranging the audit of the accounts of the Convention;</w:t>
      </w:r>
    </w:p>
    <w:p w14:paraId="4966FEC9" w14:textId="059733F8" w:rsidR="007501B5" w:rsidRPr="003B1ED1" w:rsidRDefault="002424D3" w:rsidP="002424D3">
      <w:pPr>
        <w:tabs>
          <w:tab w:val="left" w:pos="568"/>
          <w:tab w:val="left" w:pos="1701"/>
        </w:tabs>
        <w:spacing w:after="120"/>
        <w:ind w:left="1135" w:right="1134"/>
        <w:jc w:val="both"/>
        <w:rPr>
          <w:rFonts w:eastAsia="Times New Roman"/>
          <w:lang w:eastAsia="en-US"/>
        </w:rPr>
      </w:pPr>
      <w:r w:rsidRPr="003B1ED1">
        <w:rPr>
          <w:rFonts w:eastAsia="Times New Roman"/>
          <w:lang w:eastAsia="en-US"/>
        </w:rPr>
        <w:t>12.</w:t>
      </w:r>
      <w:r w:rsidRPr="003B1ED1">
        <w:rPr>
          <w:rFonts w:eastAsia="Times New Roman"/>
          <w:lang w:eastAsia="en-US"/>
        </w:rPr>
        <w:tab/>
      </w:r>
      <w:r w:rsidR="007501B5" w:rsidRPr="003B1ED1">
        <w:rPr>
          <w:rFonts w:eastAsia="Times New Roman"/>
          <w:i/>
          <w:lang w:eastAsia="en-US"/>
        </w:rPr>
        <w:t>Also expresses its appreciation</w:t>
      </w:r>
      <w:r w:rsidR="007501B5" w:rsidRPr="003B1ED1">
        <w:rPr>
          <w:rFonts w:eastAsia="Times New Roman"/>
          <w:lang w:eastAsia="en-US"/>
        </w:rPr>
        <w:t xml:space="preserve"> to the auditors for the valuable observations and recommendations and the presentation made thereon to Parties;</w:t>
      </w:r>
    </w:p>
    <w:p w14:paraId="0F493546" w14:textId="0FAD475B" w:rsidR="007501B5" w:rsidRPr="003B1ED1" w:rsidRDefault="002424D3" w:rsidP="002424D3">
      <w:pPr>
        <w:tabs>
          <w:tab w:val="left" w:pos="568"/>
          <w:tab w:val="left" w:pos="1701"/>
        </w:tabs>
        <w:spacing w:after="120"/>
        <w:ind w:left="1135" w:right="1134"/>
        <w:jc w:val="both"/>
        <w:rPr>
          <w:rFonts w:eastAsia="Times New Roman"/>
          <w:lang w:eastAsia="en-US"/>
        </w:rPr>
      </w:pPr>
      <w:r w:rsidRPr="003B1ED1">
        <w:rPr>
          <w:rFonts w:eastAsia="Times New Roman"/>
          <w:lang w:eastAsia="en-US"/>
        </w:rPr>
        <w:t>13.</w:t>
      </w:r>
      <w:r w:rsidRPr="003B1ED1">
        <w:rPr>
          <w:rFonts w:eastAsia="Times New Roman"/>
          <w:lang w:eastAsia="en-US"/>
        </w:rPr>
        <w:tab/>
      </w:r>
      <w:r w:rsidR="007501B5" w:rsidRPr="003B1ED1">
        <w:rPr>
          <w:rFonts w:eastAsia="Times New Roman"/>
          <w:i/>
          <w:lang w:eastAsia="en-US"/>
        </w:rPr>
        <w:t>Urges</w:t>
      </w:r>
      <w:r w:rsidR="007501B5" w:rsidRPr="003B1ED1">
        <w:rPr>
          <w:rFonts w:eastAsia="Times New Roman"/>
          <w:lang w:eastAsia="en-US"/>
        </w:rPr>
        <w:t xml:space="preserve"> the Executive Secretary to implement the recommendations of the auditors, as appropriate, including those outstanding from the 2017 audit report, and to update Parties on progress in the next audit report;</w:t>
      </w:r>
    </w:p>
    <w:p w14:paraId="068D6B9E" w14:textId="75350FD5" w:rsidR="007501B5" w:rsidRPr="003B1ED1" w:rsidRDefault="002424D3" w:rsidP="002424D3">
      <w:pPr>
        <w:tabs>
          <w:tab w:val="left" w:pos="568"/>
          <w:tab w:val="left" w:pos="1701"/>
        </w:tabs>
        <w:spacing w:after="120"/>
        <w:ind w:left="1135" w:right="1134"/>
        <w:jc w:val="both"/>
        <w:rPr>
          <w:rFonts w:eastAsia="Times New Roman"/>
          <w:lang w:eastAsia="en-US"/>
        </w:rPr>
      </w:pPr>
      <w:r w:rsidRPr="003B1ED1">
        <w:rPr>
          <w:rFonts w:eastAsia="Times New Roman"/>
          <w:lang w:eastAsia="en-US"/>
        </w:rPr>
        <w:t>14.</w:t>
      </w:r>
      <w:r w:rsidRPr="003B1ED1">
        <w:rPr>
          <w:rFonts w:eastAsia="Times New Roman"/>
          <w:lang w:eastAsia="en-US"/>
        </w:rPr>
        <w:tab/>
      </w:r>
      <w:r w:rsidR="007501B5" w:rsidRPr="003B1ED1">
        <w:rPr>
          <w:rFonts w:eastAsia="Times New Roman"/>
          <w:i/>
          <w:lang w:eastAsia="en-US"/>
        </w:rPr>
        <w:t>Requests</w:t>
      </w:r>
      <w:r w:rsidR="007501B5" w:rsidRPr="003B1ED1">
        <w:rPr>
          <w:rFonts w:eastAsia="Times New Roman"/>
          <w:lang w:eastAsia="en-US"/>
        </w:rPr>
        <w:t xml:space="preserve"> the Executive Secretary in her update to Parties on progress towards implementing the recommendation of the auditors to provide expected timelines for the completion of audit recommendations that are under implementation;</w:t>
      </w:r>
    </w:p>
    <w:p w14:paraId="7A662DD0" w14:textId="0549A469" w:rsidR="007501B5" w:rsidRPr="003B1ED1" w:rsidRDefault="002424D3" w:rsidP="000D6B56">
      <w:pPr>
        <w:pStyle w:val="RegHChG"/>
        <w:numPr>
          <w:ilvl w:val="0"/>
          <w:numId w:val="0"/>
        </w:numPr>
        <w:tabs>
          <w:tab w:val="left" w:pos="1135"/>
        </w:tabs>
        <w:ind w:left="1135" w:hanging="454"/>
      </w:pPr>
      <w:r w:rsidRPr="003B1ED1">
        <w:t>III.</w:t>
      </w:r>
      <w:r w:rsidRPr="003B1ED1">
        <w:tab/>
      </w:r>
      <w:r w:rsidR="007501B5" w:rsidRPr="00DE7253">
        <w:t>Other budgetary matters</w:t>
      </w:r>
    </w:p>
    <w:p w14:paraId="3CF88537" w14:textId="100E07B0" w:rsidR="007501B5" w:rsidRPr="003B1ED1" w:rsidRDefault="002424D3" w:rsidP="002424D3">
      <w:pPr>
        <w:tabs>
          <w:tab w:val="left" w:pos="1701"/>
        </w:tabs>
        <w:spacing w:after="120"/>
        <w:ind w:left="1134" w:right="1134"/>
        <w:jc w:val="both"/>
        <w:rPr>
          <w:rFonts w:eastAsia="Times New Roman"/>
          <w:lang w:eastAsia="en-US"/>
        </w:rPr>
      </w:pPr>
      <w:r w:rsidRPr="003B1ED1">
        <w:rPr>
          <w:rFonts w:eastAsia="Times New Roman"/>
          <w:lang w:eastAsia="en-US"/>
        </w:rPr>
        <w:t>15.</w:t>
      </w:r>
      <w:r w:rsidRPr="003B1ED1">
        <w:rPr>
          <w:rFonts w:eastAsia="Times New Roman"/>
          <w:lang w:eastAsia="en-US"/>
        </w:rPr>
        <w:tab/>
      </w:r>
      <w:r w:rsidR="007501B5" w:rsidRPr="003B1ED1">
        <w:rPr>
          <w:rFonts w:eastAsia="Times New Roman"/>
          <w:i/>
          <w:lang w:eastAsia="en-US"/>
        </w:rPr>
        <w:t>Encourages</w:t>
      </w:r>
      <w:r w:rsidR="007501B5" w:rsidRPr="003B1ED1">
        <w:rPr>
          <w:rFonts w:eastAsia="Times New Roman"/>
          <w:lang w:eastAsia="en-US"/>
        </w:rPr>
        <w:t xml:space="preserve"> the secretariat to enhance its implementation of decision 18/CP.24 in order to continue to improve the transparency and efficiency of the UNFCCC budget with a view to reducing redundancies and increasing cost-efficiency; </w:t>
      </w:r>
    </w:p>
    <w:p w14:paraId="251B642D" w14:textId="47833827" w:rsidR="007501B5" w:rsidRPr="003B1ED1" w:rsidRDefault="002424D3" w:rsidP="002424D3">
      <w:pPr>
        <w:tabs>
          <w:tab w:val="left" w:pos="1701"/>
        </w:tabs>
        <w:spacing w:after="120"/>
        <w:ind w:left="1134" w:right="1134"/>
        <w:jc w:val="both"/>
        <w:rPr>
          <w:rFonts w:eastAsia="Times New Roman"/>
          <w:lang w:eastAsia="en-US"/>
        </w:rPr>
      </w:pPr>
      <w:r w:rsidRPr="003B1ED1">
        <w:rPr>
          <w:rFonts w:eastAsia="Times New Roman"/>
          <w:lang w:eastAsia="en-US"/>
        </w:rPr>
        <w:t>16.</w:t>
      </w:r>
      <w:r w:rsidRPr="003B1ED1">
        <w:rPr>
          <w:rFonts w:eastAsia="Times New Roman"/>
          <w:lang w:eastAsia="en-US"/>
        </w:rPr>
        <w:tab/>
      </w:r>
      <w:r w:rsidR="00460524">
        <w:rPr>
          <w:rFonts w:eastAsia="Times New Roman"/>
          <w:i/>
          <w:lang w:eastAsia="en-US"/>
        </w:rPr>
        <w:t>Also e</w:t>
      </w:r>
      <w:r w:rsidR="007501B5" w:rsidRPr="003B1ED1">
        <w:rPr>
          <w:rFonts w:eastAsia="Times New Roman"/>
          <w:i/>
          <w:lang w:eastAsia="en-US"/>
        </w:rPr>
        <w:t>ncourages</w:t>
      </w:r>
      <w:r w:rsidR="007501B5" w:rsidRPr="003B1ED1">
        <w:rPr>
          <w:rFonts w:eastAsia="Times New Roman"/>
          <w:lang w:eastAsia="en-US"/>
        </w:rPr>
        <w:t xml:space="preserve"> Parties to take into account the budgetary implications of decisions and conclusions in advance of decision-making;</w:t>
      </w:r>
    </w:p>
    <w:p w14:paraId="26DED9FB" w14:textId="47CABB60" w:rsidR="007501B5" w:rsidRPr="003B1ED1" w:rsidRDefault="002424D3" w:rsidP="002424D3">
      <w:pPr>
        <w:tabs>
          <w:tab w:val="left" w:pos="1701"/>
        </w:tabs>
        <w:spacing w:after="120"/>
        <w:ind w:left="1134" w:right="1134"/>
        <w:jc w:val="both"/>
        <w:rPr>
          <w:rFonts w:eastAsia="Times New Roman"/>
          <w:lang w:eastAsia="en-US"/>
        </w:rPr>
      </w:pPr>
      <w:r w:rsidRPr="003B1ED1">
        <w:rPr>
          <w:rFonts w:eastAsia="Times New Roman"/>
          <w:lang w:eastAsia="en-US"/>
        </w:rPr>
        <w:t>17.</w:t>
      </w:r>
      <w:r w:rsidRPr="003B1ED1">
        <w:rPr>
          <w:rFonts w:eastAsia="Times New Roman"/>
          <w:lang w:eastAsia="en-US"/>
        </w:rPr>
        <w:tab/>
      </w:r>
      <w:r w:rsidR="007501B5" w:rsidRPr="003B1ED1">
        <w:rPr>
          <w:rFonts w:eastAsia="Times New Roman"/>
          <w:i/>
          <w:lang w:eastAsia="en-US"/>
        </w:rPr>
        <w:t>Welcomes</w:t>
      </w:r>
      <w:r w:rsidR="007501B5" w:rsidRPr="003B1ED1">
        <w:rPr>
          <w:rFonts w:eastAsia="Times New Roman"/>
          <w:lang w:eastAsia="en-US"/>
        </w:rPr>
        <w:t xml:space="preserve"> the notes by the Executive Secretary on the budgetary implications of UNFCCC mandates</w:t>
      </w:r>
      <w:r w:rsidR="00665433">
        <w:rPr>
          <w:rFonts w:eastAsia="Times New Roman"/>
          <w:lang w:eastAsia="en-US"/>
        </w:rPr>
        <w:t>:</w:t>
      </w:r>
      <w:r w:rsidR="007501B5" w:rsidRPr="003B1ED1" w:rsidDel="00665433">
        <w:rPr>
          <w:rFonts w:eastAsia="Times New Roman"/>
          <w:lang w:eastAsia="en-US"/>
        </w:rPr>
        <w:t xml:space="preserve"> </w:t>
      </w:r>
      <w:r w:rsidR="007501B5" w:rsidRPr="003B1ED1">
        <w:rPr>
          <w:rFonts w:eastAsia="Times New Roman"/>
          <w:lang w:eastAsia="en-US"/>
        </w:rPr>
        <w:t xml:space="preserve">standard costs, prepared for consideration at the fiftieth and fifty-first sessions of the </w:t>
      </w:r>
      <w:r w:rsidR="007501B5" w:rsidRPr="003B1ED1">
        <w:t>Subsidiary Body for Implementation</w:t>
      </w:r>
      <w:r w:rsidR="007501B5" w:rsidRPr="003B1ED1">
        <w:rPr>
          <w:rFonts w:eastAsia="Times New Roman"/>
          <w:lang w:eastAsia="en-US"/>
        </w:rPr>
        <w:t>;</w:t>
      </w:r>
      <w:r w:rsidR="007501B5" w:rsidRPr="003B1ED1">
        <w:rPr>
          <w:rFonts w:eastAsia="Times New Roman"/>
          <w:sz w:val="18"/>
          <w:vertAlign w:val="superscript"/>
          <w:lang w:eastAsia="en-US"/>
        </w:rPr>
        <w:footnoteReference w:id="62"/>
      </w:r>
    </w:p>
    <w:p w14:paraId="4E5D3E89" w14:textId="18BEAF0C" w:rsidR="007501B5" w:rsidRPr="003B1ED1" w:rsidRDefault="002424D3" w:rsidP="002424D3">
      <w:pPr>
        <w:tabs>
          <w:tab w:val="left" w:pos="1701"/>
        </w:tabs>
        <w:spacing w:after="120"/>
        <w:ind w:left="1134" w:right="1134"/>
        <w:jc w:val="both"/>
        <w:rPr>
          <w:rFonts w:eastAsia="Times New Roman"/>
          <w:lang w:eastAsia="en-US"/>
        </w:rPr>
      </w:pPr>
      <w:r w:rsidRPr="003B1ED1">
        <w:rPr>
          <w:rFonts w:eastAsia="Times New Roman"/>
          <w:lang w:eastAsia="en-US"/>
        </w:rPr>
        <w:t>18.</w:t>
      </w:r>
      <w:r w:rsidRPr="003B1ED1">
        <w:rPr>
          <w:rFonts w:eastAsia="Times New Roman"/>
          <w:lang w:eastAsia="en-US"/>
        </w:rPr>
        <w:tab/>
      </w:r>
      <w:r w:rsidR="007501B5" w:rsidRPr="003B1ED1">
        <w:rPr>
          <w:rFonts w:eastAsia="Times New Roman"/>
          <w:i/>
          <w:lang w:eastAsia="en-US"/>
        </w:rPr>
        <w:t>Requests</w:t>
      </w:r>
      <w:r w:rsidR="007501B5" w:rsidRPr="003B1ED1">
        <w:rPr>
          <w:rFonts w:eastAsia="Times New Roman"/>
          <w:lang w:eastAsia="en-US"/>
        </w:rPr>
        <w:t xml:space="preserve"> the secretariat to implement the recommendations contained in document FCCC/SBI/2019/INF.4;</w:t>
      </w:r>
    </w:p>
    <w:p w14:paraId="6A34EB21" w14:textId="1007DD3A" w:rsidR="007501B5" w:rsidRDefault="002424D3" w:rsidP="002424D3">
      <w:pPr>
        <w:tabs>
          <w:tab w:val="left" w:pos="1701"/>
        </w:tabs>
        <w:spacing w:after="120"/>
        <w:ind w:left="1134" w:right="1134"/>
        <w:jc w:val="both"/>
        <w:rPr>
          <w:rFonts w:eastAsia="Times New Roman"/>
          <w:lang w:eastAsia="en-US"/>
        </w:rPr>
      </w:pPr>
      <w:r>
        <w:rPr>
          <w:rFonts w:eastAsia="Times New Roman"/>
          <w:lang w:eastAsia="en-US"/>
        </w:rPr>
        <w:t>19.</w:t>
      </w:r>
      <w:r>
        <w:rPr>
          <w:rFonts w:eastAsia="Times New Roman"/>
          <w:lang w:eastAsia="en-US"/>
        </w:rPr>
        <w:tab/>
      </w:r>
      <w:r w:rsidR="007501B5" w:rsidRPr="003B1ED1">
        <w:rPr>
          <w:rFonts w:eastAsia="Times New Roman"/>
          <w:i/>
          <w:lang w:eastAsia="en-US"/>
        </w:rPr>
        <w:t>Also requests</w:t>
      </w:r>
      <w:r w:rsidR="007501B5" w:rsidRPr="003B1ED1">
        <w:rPr>
          <w:rFonts w:eastAsia="Times New Roman"/>
          <w:lang w:eastAsia="en-US"/>
        </w:rPr>
        <w:t xml:space="preserve"> the secretariat to report on its efforts to further improve the efficiency and transparency of the UNFCCC budget process and documentation for consideration at the first session of the </w:t>
      </w:r>
      <w:r w:rsidR="007501B5" w:rsidRPr="003B1ED1">
        <w:t xml:space="preserve">Subsidiary Body for Implementation </w:t>
      </w:r>
      <w:r w:rsidR="007501B5" w:rsidRPr="003B1ED1">
        <w:rPr>
          <w:rFonts w:eastAsia="Times New Roman"/>
          <w:lang w:eastAsia="en-US"/>
        </w:rPr>
        <w:t>each year, including on its implementation of this decision, and on the provisions on other budgetary matters contained in decision 18/CP.24.</w:t>
      </w:r>
    </w:p>
    <w:p w14:paraId="3BA99D15" w14:textId="7878A163" w:rsidR="008233AF" w:rsidRDefault="008233AF" w:rsidP="008233AF">
      <w:pPr>
        <w:tabs>
          <w:tab w:val="left" w:pos="1701"/>
        </w:tabs>
        <w:spacing w:after="120"/>
        <w:ind w:left="1134" w:right="1134"/>
        <w:jc w:val="right"/>
        <w:rPr>
          <w:rFonts w:eastAsia="Times New Roman"/>
          <w:i/>
          <w:lang w:eastAsia="en-US"/>
        </w:rPr>
      </w:pPr>
      <w:r>
        <w:rPr>
          <w:rFonts w:eastAsia="Times New Roman"/>
          <w:i/>
          <w:lang w:eastAsia="en-US"/>
        </w:rPr>
        <w:t>7</w:t>
      </w:r>
      <w:r w:rsidRPr="008233AF">
        <w:rPr>
          <w:rFonts w:eastAsia="Times New Roman"/>
          <w:i/>
          <w:vertAlign w:val="superscript"/>
          <w:lang w:eastAsia="en-US"/>
        </w:rPr>
        <w:t>th</w:t>
      </w:r>
      <w:r>
        <w:rPr>
          <w:rFonts w:eastAsia="Times New Roman"/>
          <w:i/>
          <w:lang w:eastAsia="en-US"/>
        </w:rPr>
        <w:t xml:space="preserve"> plenary meeting</w:t>
      </w:r>
      <w:r>
        <w:rPr>
          <w:rFonts w:eastAsia="Times New Roman"/>
          <w:i/>
          <w:lang w:eastAsia="en-US"/>
        </w:rPr>
        <w:br/>
        <w:t>12 December 2019</w:t>
      </w:r>
    </w:p>
    <w:p w14:paraId="47323E5D" w14:textId="77777777" w:rsidR="000A3917" w:rsidRDefault="000A3917" w:rsidP="000A3917">
      <w:pPr>
        <w:tabs>
          <w:tab w:val="left" w:pos="1701"/>
        </w:tabs>
        <w:spacing w:after="120"/>
        <w:ind w:left="1134" w:right="1134"/>
        <w:rPr>
          <w:rFonts w:eastAsia="Times New Roman"/>
          <w:lang w:eastAsia="en-US"/>
        </w:rPr>
        <w:sectPr w:rsidR="000A3917" w:rsidSect="00C92FFD">
          <w:headerReference w:type="even" r:id="rId95"/>
          <w:headerReference w:type="default" r:id="rId96"/>
          <w:footerReference w:type="even" r:id="rId97"/>
          <w:footerReference w:type="default" r:id="rId98"/>
          <w:headerReference w:type="first" r:id="rId99"/>
          <w:footerReference w:type="first" r:id="rId100"/>
          <w:footnotePr>
            <w:numRestart w:val="eachSect"/>
          </w:footnotePr>
          <w:pgSz w:w="11906" w:h="16838" w:code="9"/>
          <w:pgMar w:top="1417" w:right="1134" w:bottom="1134" w:left="1134" w:header="850" w:footer="567" w:gutter="0"/>
          <w:cols w:space="708"/>
          <w:docGrid w:linePitch="360"/>
        </w:sectPr>
      </w:pPr>
    </w:p>
    <w:p w14:paraId="57C8FCB1" w14:textId="1A958A20" w:rsidR="00C9679E" w:rsidRPr="00B3193B" w:rsidRDefault="007501B5" w:rsidP="000A3917">
      <w:pPr>
        <w:pStyle w:val="HChG"/>
      </w:pPr>
      <w:r w:rsidRPr="000A3917">
        <w:rPr>
          <w:sz w:val="24"/>
          <w:szCs w:val="24"/>
        </w:rPr>
        <w:tab/>
      </w:r>
      <w:r w:rsidR="000A3917" w:rsidRPr="000A3917">
        <w:rPr>
          <w:sz w:val="24"/>
          <w:szCs w:val="24"/>
        </w:rPr>
        <w:tab/>
      </w:r>
      <w:r w:rsidR="000A3917" w:rsidRPr="000A3917">
        <w:rPr>
          <w:sz w:val="24"/>
          <w:szCs w:val="24"/>
        </w:rPr>
        <w:tab/>
      </w:r>
      <w:bookmarkStart w:id="36" w:name="R1"/>
      <w:r w:rsidR="00C9679E">
        <w:t>Resolution 1</w:t>
      </w:r>
      <w:r w:rsidR="00C9679E" w:rsidRPr="00B3193B">
        <w:t>/C</w:t>
      </w:r>
      <w:r w:rsidR="00C9679E">
        <w:t>P</w:t>
      </w:r>
      <w:r w:rsidR="00C9679E" w:rsidRPr="00B3193B">
        <w:t>.</w:t>
      </w:r>
      <w:r w:rsidR="00C9679E">
        <w:t>25</w:t>
      </w:r>
      <w:bookmarkEnd w:id="36"/>
    </w:p>
    <w:p w14:paraId="10737319" w14:textId="531723DA" w:rsidR="002E291B" w:rsidRDefault="00C9679E" w:rsidP="002E291B">
      <w:pPr>
        <w:pStyle w:val="HChG"/>
        <w:ind w:right="1088"/>
      </w:pPr>
      <w:r w:rsidRPr="00B3193B">
        <w:tab/>
      </w:r>
      <w:r w:rsidRPr="00B3193B">
        <w:tab/>
      </w:r>
      <w:r w:rsidR="002E291B">
        <w:t xml:space="preserve">Expression of gratitude to </w:t>
      </w:r>
      <w:bookmarkStart w:id="37" w:name="_Hlk27041015"/>
      <w:r w:rsidR="00F122B6">
        <w:t xml:space="preserve">the </w:t>
      </w:r>
      <w:r w:rsidR="002E291B" w:rsidRPr="00BE18F0">
        <w:t>Government of the Republic of Chile</w:t>
      </w:r>
      <w:bookmarkEnd w:id="37"/>
      <w:r w:rsidR="002E291B" w:rsidRPr="00BE18F0">
        <w:t>, the Government of the Kingdom of Spain and the people of the city of Madrid</w:t>
      </w:r>
    </w:p>
    <w:p w14:paraId="38133882" w14:textId="3766B0DB" w:rsidR="002E291B" w:rsidRDefault="002E291B" w:rsidP="002E291B">
      <w:pPr>
        <w:pStyle w:val="H1G"/>
      </w:pPr>
      <w:r>
        <w:tab/>
        <w:t>Resolution submitted by the United Kingdom of Great Britain and Northern Ireland</w:t>
      </w:r>
    </w:p>
    <w:p w14:paraId="546BB66E" w14:textId="35A98B5E" w:rsidR="002E291B" w:rsidRPr="00DB4D9E" w:rsidRDefault="002E291B" w:rsidP="00762752">
      <w:pPr>
        <w:pStyle w:val="RegSingleTxtG"/>
        <w:numPr>
          <w:ilvl w:val="0"/>
          <w:numId w:val="0"/>
        </w:numPr>
        <w:ind w:left="1134"/>
        <w:rPr>
          <w:b/>
        </w:rPr>
      </w:pPr>
      <w:r>
        <w:tab/>
      </w:r>
      <w:r w:rsidRPr="00762752">
        <w:rPr>
          <w:i/>
        </w:rPr>
        <w:t>The Conference of the Parties, the Conference of the Parties serving as the meeting of the Parties to the Kyoto Protocol and the Conference of the Parties serving as the meeting of the Parties to the Paris Agreement</w:t>
      </w:r>
      <w:r w:rsidDel="004F2EC6">
        <w:t>,</w:t>
      </w:r>
    </w:p>
    <w:p w14:paraId="434286AF" w14:textId="234136DA" w:rsidR="002E291B" w:rsidRPr="004308AA" w:rsidRDefault="00762752" w:rsidP="00762752">
      <w:pPr>
        <w:pStyle w:val="RegSingleTxtG"/>
        <w:numPr>
          <w:ilvl w:val="0"/>
          <w:numId w:val="0"/>
        </w:numPr>
        <w:ind w:left="1134"/>
        <w:rPr>
          <w:b/>
        </w:rPr>
      </w:pPr>
      <w:r>
        <w:rPr>
          <w:i/>
        </w:rPr>
        <w:tab/>
      </w:r>
      <w:r w:rsidR="002E291B" w:rsidRPr="00762752">
        <w:rPr>
          <w:i/>
        </w:rPr>
        <w:t>Having met</w:t>
      </w:r>
      <w:r w:rsidR="002E291B" w:rsidRPr="004308AA">
        <w:t xml:space="preserve"> </w:t>
      </w:r>
      <w:r w:rsidR="002E291B">
        <w:t>in Madrid</w:t>
      </w:r>
      <w:r w:rsidR="002E291B" w:rsidRPr="004308AA">
        <w:t xml:space="preserve"> from </w:t>
      </w:r>
      <w:r w:rsidR="002E291B">
        <w:t>2</w:t>
      </w:r>
      <w:r w:rsidR="002E291B" w:rsidRPr="004308AA">
        <w:t xml:space="preserve"> to 1</w:t>
      </w:r>
      <w:r>
        <w:t>5</w:t>
      </w:r>
      <w:r w:rsidR="002E291B" w:rsidRPr="004308AA">
        <w:t xml:space="preserve"> </w:t>
      </w:r>
      <w:r w:rsidR="002E291B">
        <w:t>December 2019</w:t>
      </w:r>
      <w:r w:rsidR="002E291B" w:rsidRPr="004308AA">
        <w:t>,</w:t>
      </w:r>
    </w:p>
    <w:p w14:paraId="6A35B08D" w14:textId="1DE44677" w:rsidR="002E291B" w:rsidRPr="004308AA" w:rsidRDefault="002424D3" w:rsidP="002424D3">
      <w:pPr>
        <w:pStyle w:val="RegSingleTxtG"/>
        <w:numPr>
          <w:ilvl w:val="0"/>
          <w:numId w:val="0"/>
        </w:numPr>
        <w:ind w:left="1134"/>
      </w:pPr>
      <w:bookmarkStart w:id="38" w:name="_Hlk27037402"/>
      <w:r w:rsidRPr="004308AA">
        <w:t>1.</w:t>
      </w:r>
      <w:r w:rsidRPr="004308AA">
        <w:tab/>
      </w:r>
      <w:r w:rsidR="002E291B" w:rsidRPr="00762752">
        <w:rPr>
          <w:i/>
        </w:rPr>
        <w:t xml:space="preserve">Express their profound gratitude </w:t>
      </w:r>
      <w:r w:rsidR="002E291B" w:rsidRPr="004308AA">
        <w:t xml:space="preserve">to the </w:t>
      </w:r>
      <w:bookmarkStart w:id="39" w:name="_Hlk27069105"/>
      <w:r w:rsidR="002E291B" w:rsidRPr="00BE18F0">
        <w:t>Government of the Republic of Chile</w:t>
      </w:r>
      <w:r w:rsidR="002E291B">
        <w:t xml:space="preserve"> </w:t>
      </w:r>
      <w:bookmarkEnd w:id="39"/>
      <w:r w:rsidR="002E291B">
        <w:t xml:space="preserve">and the </w:t>
      </w:r>
      <w:r w:rsidR="002E291B" w:rsidRPr="004308AA">
        <w:t xml:space="preserve">Government of </w:t>
      </w:r>
      <w:r w:rsidR="002E291B">
        <w:t xml:space="preserve">the Kingdom of Spain </w:t>
      </w:r>
      <w:r w:rsidR="002E291B" w:rsidRPr="004308AA">
        <w:t>for having made it possible for the twenty-</w:t>
      </w:r>
      <w:r w:rsidR="002E291B">
        <w:t xml:space="preserve">fifth </w:t>
      </w:r>
      <w:r w:rsidR="002E291B" w:rsidRPr="004308AA">
        <w:t xml:space="preserve">session of the Conference of the Parties, the </w:t>
      </w:r>
      <w:r w:rsidR="002E291B">
        <w:t xml:space="preserve">fifteenth </w:t>
      </w:r>
      <w:r w:rsidR="002E291B" w:rsidRPr="004308AA">
        <w:t xml:space="preserve">session of the Conference of the Parties serving as the meeting of the Parties to the Kyoto Protocol and the </w:t>
      </w:r>
      <w:r w:rsidR="002E291B">
        <w:t xml:space="preserve">second </w:t>
      </w:r>
      <w:r w:rsidR="002E291B" w:rsidRPr="004308AA">
        <w:t xml:space="preserve">session of the Conference of the Parties serving as the meeting of the Parties to the Paris Agreement to be held in </w:t>
      </w:r>
      <w:r w:rsidR="002E291B">
        <w:t>Madrid;</w:t>
      </w:r>
    </w:p>
    <w:bookmarkEnd w:id="38"/>
    <w:p w14:paraId="28C30E48" w14:textId="70879ECE" w:rsidR="002E291B" w:rsidRDefault="002424D3" w:rsidP="002424D3">
      <w:pPr>
        <w:pStyle w:val="RegSingleTxtG"/>
        <w:numPr>
          <w:ilvl w:val="0"/>
          <w:numId w:val="0"/>
        </w:numPr>
        <w:ind w:left="1134"/>
      </w:pPr>
      <w:r>
        <w:t>2.</w:t>
      </w:r>
      <w:r>
        <w:tab/>
      </w:r>
      <w:r w:rsidR="002E291B" w:rsidRPr="004308AA">
        <w:rPr>
          <w:i/>
        </w:rPr>
        <w:t xml:space="preserve">Request </w:t>
      </w:r>
      <w:r w:rsidR="002E291B" w:rsidRPr="004308AA">
        <w:t xml:space="preserve">the Government of </w:t>
      </w:r>
      <w:r w:rsidR="002E291B">
        <w:t>the Kingdom of Spain and the</w:t>
      </w:r>
      <w:r w:rsidR="002E291B" w:rsidRPr="005C2BCD">
        <w:t xml:space="preserve"> Government of the Republic of Chile</w:t>
      </w:r>
      <w:r w:rsidR="002E291B">
        <w:t xml:space="preserve"> </w:t>
      </w:r>
      <w:r w:rsidR="002E291B" w:rsidRPr="004308AA">
        <w:t xml:space="preserve">to convey to the city and people of </w:t>
      </w:r>
      <w:r w:rsidR="002E291B">
        <w:t>Madrid</w:t>
      </w:r>
      <w:r w:rsidR="002E291B" w:rsidRPr="004308AA">
        <w:t xml:space="preserve">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339A0BD2" w14:textId="481B123F" w:rsidR="0041360D" w:rsidRPr="004308AA" w:rsidRDefault="0041360D" w:rsidP="0041360D">
      <w:pPr>
        <w:pStyle w:val="RegSingleTxtG"/>
        <w:numPr>
          <w:ilvl w:val="0"/>
          <w:numId w:val="0"/>
        </w:numPr>
        <w:ind w:left="1134"/>
        <w:jc w:val="right"/>
      </w:pPr>
      <w:r>
        <w:rPr>
          <w:i/>
        </w:rPr>
        <w:t>10</w:t>
      </w:r>
      <w:r w:rsidRPr="0041360D">
        <w:rPr>
          <w:i/>
          <w:vertAlign w:val="superscript"/>
        </w:rPr>
        <w:t>th</w:t>
      </w:r>
      <w:r>
        <w:rPr>
          <w:i/>
        </w:rPr>
        <w:t xml:space="preserve"> plenary meeting</w:t>
      </w:r>
      <w:r>
        <w:rPr>
          <w:i/>
        </w:rPr>
        <w:br/>
        <w:t>15 December 2019</w:t>
      </w:r>
    </w:p>
    <w:p w14:paraId="6C09B2C4" w14:textId="74D14D72" w:rsidR="00B95781" w:rsidRPr="00C92FFD" w:rsidRDefault="00C9679E" w:rsidP="00C92FFD">
      <w:pPr>
        <w:spacing w:before="240"/>
        <w:ind w:left="1134" w:right="1134"/>
        <w:jc w:val="center"/>
        <w:rPr>
          <w:u w:val="single"/>
          <w:lang w:eastAsia="en-US"/>
        </w:rPr>
      </w:pPr>
      <w:r>
        <w:rPr>
          <w:sz w:val="24"/>
          <w:szCs w:val="24"/>
          <w:u w:val="single"/>
        </w:rPr>
        <w:tab/>
      </w:r>
      <w:r w:rsidR="00492678" w:rsidRPr="00CC40CD">
        <w:rPr>
          <w:sz w:val="24"/>
          <w:szCs w:val="24"/>
          <w:u w:val="single"/>
        </w:rPr>
        <w:tab/>
      </w:r>
      <w:r w:rsidR="00492678">
        <w:rPr>
          <w:sz w:val="24"/>
          <w:szCs w:val="24"/>
          <w:u w:val="single"/>
        </w:rPr>
        <w:tab/>
      </w:r>
      <w:r w:rsidR="00492678">
        <w:rPr>
          <w:u w:val="single"/>
          <w:lang w:eastAsia="en-US"/>
        </w:rPr>
        <w:tab/>
      </w:r>
    </w:p>
    <w:sectPr w:rsidR="00B95781" w:rsidRPr="00C92FFD" w:rsidSect="00C92FFD">
      <w:headerReference w:type="even" r:id="rId101"/>
      <w:headerReference w:type="default" r:id="rId102"/>
      <w:footerReference w:type="even" r:id="rId103"/>
      <w:footerReference w:type="default" r:id="rId104"/>
      <w:headerReference w:type="first" r:id="rId105"/>
      <w:footerReference w:type="first" r:id="rId106"/>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11B57" w14:textId="77777777" w:rsidR="006927B0" w:rsidRDefault="006927B0">
      <w:r>
        <w:separator/>
      </w:r>
    </w:p>
    <w:p w14:paraId="76A29093" w14:textId="77777777" w:rsidR="006927B0" w:rsidRDefault="006927B0"/>
  </w:endnote>
  <w:endnote w:type="continuationSeparator" w:id="0">
    <w:p w14:paraId="420BDBF4" w14:textId="77777777" w:rsidR="006927B0" w:rsidRDefault="006927B0">
      <w:r>
        <w:continuationSeparator/>
      </w:r>
    </w:p>
    <w:p w14:paraId="5C01EBEB" w14:textId="77777777" w:rsidR="006927B0" w:rsidRDefault="006927B0"/>
  </w:endnote>
  <w:endnote w:type="continuationNotice" w:id="1">
    <w:p w14:paraId="1A8D5F3E" w14:textId="77777777" w:rsidR="006927B0" w:rsidRDefault="006927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82FB" w14:textId="3A1F898F"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4</w:t>
    </w:r>
    <w:r w:rsidRPr="00C92FFD">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5D39" w14:textId="2FB3D437"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10</w:t>
    </w:r>
    <w:r w:rsidRPr="00C92FFD">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7EC36A10" w14:textId="77777777" w:rsidTr="2197FE05">
      <w:tc>
        <w:tcPr>
          <w:tcW w:w="3213" w:type="dxa"/>
        </w:tcPr>
        <w:p w14:paraId="4330AD1B" w14:textId="4DBE7144" w:rsidR="00801B35" w:rsidRDefault="00801B35" w:rsidP="2197FE05">
          <w:pPr>
            <w:ind w:left="-115"/>
          </w:pPr>
        </w:p>
      </w:tc>
      <w:tc>
        <w:tcPr>
          <w:tcW w:w="3213" w:type="dxa"/>
        </w:tcPr>
        <w:p w14:paraId="27AFC0D9" w14:textId="70FC1EC0" w:rsidR="00801B35" w:rsidRDefault="00801B35" w:rsidP="2197FE05">
          <w:pPr>
            <w:jc w:val="center"/>
          </w:pPr>
        </w:p>
      </w:tc>
      <w:tc>
        <w:tcPr>
          <w:tcW w:w="3213" w:type="dxa"/>
        </w:tcPr>
        <w:p w14:paraId="2420F87C" w14:textId="01AE058B" w:rsidR="00801B35" w:rsidRDefault="00801B35" w:rsidP="2197FE05">
          <w:pPr>
            <w:ind w:right="-115"/>
            <w:jc w:val="right"/>
          </w:pPr>
        </w:p>
      </w:tc>
    </w:tr>
  </w:tbl>
  <w:p w14:paraId="5B558749" w14:textId="57AB2FC6" w:rsidR="00801B35" w:rsidRDefault="00801B3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87EC" w14:textId="154B56BE"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10</w:t>
    </w:r>
    <w:r w:rsidRPr="00C92FFD">
      <w:rPr>
        <w:b/>
        <w:sz w:val="18"/>
      </w:rPr>
      <w:fldChar w:fldCharType="end"/>
    </w:r>
    <w:r>
      <w:rPr>
        <w:sz w:val="1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96A6" w14:textId="18160D18"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12</w:t>
    </w:r>
    <w:r w:rsidRPr="00C92FFD">
      <w:rPr>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665CF227" w14:textId="77777777" w:rsidTr="2197FE05">
      <w:tc>
        <w:tcPr>
          <w:tcW w:w="3213" w:type="dxa"/>
        </w:tcPr>
        <w:p w14:paraId="2778274C" w14:textId="2E39D018" w:rsidR="00801B35" w:rsidRDefault="00801B35" w:rsidP="2197FE05">
          <w:pPr>
            <w:ind w:left="-115"/>
          </w:pPr>
        </w:p>
      </w:tc>
      <w:tc>
        <w:tcPr>
          <w:tcW w:w="3213" w:type="dxa"/>
        </w:tcPr>
        <w:p w14:paraId="4457CEB4" w14:textId="5C5F9A43" w:rsidR="00801B35" w:rsidRDefault="00801B35" w:rsidP="2197FE05">
          <w:pPr>
            <w:jc w:val="center"/>
          </w:pPr>
        </w:p>
      </w:tc>
      <w:tc>
        <w:tcPr>
          <w:tcW w:w="3213" w:type="dxa"/>
        </w:tcPr>
        <w:p w14:paraId="1EB3D06F" w14:textId="6E7D79BC" w:rsidR="00801B35" w:rsidRDefault="00801B35" w:rsidP="2197FE05">
          <w:pPr>
            <w:ind w:right="-115"/>
            <w:jc w:val="right"/>
          </w:pPr>
        </w:p>
      </w:tc>
    </w:tr>
  </w:tbl>
  <w:p w14:paraId="1A228F6B" w14:textId="421C46D2" w:rsidR="00801B35" w:rsidRDefault="00801B3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3561" w14:textId="0F802742"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12</w:t>
    </w:r>
    <w:r w:rsidRPr="00C92FFD">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05BF" w14:textId="2EF8845F"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14</w:t>
    </w:r>
    <w:r w:rsidRPr="00C92FFD">
      <w:rPr>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0DDA4DEF" w14:textId="77777777" w:rsidTr="2197FE05">
      <w:tc>
        <w:tcPr>
          <w:tcW w:w="3213" w:type="dxa"/>
        </w:tcPr>
        <w:p w14:paraId="40968004" w14:textId="39006089" w:rsidR="00801B35" w:rsidRDefault="00801B35" w:rsidP="2197FE05">
          <w:pPr>
            <w:ind w:left="-115"/>
          </w:pPr>
        </w:p>
      </w:tc>
      <w:tc>
        <w:tcPr>
          <w:tcW w:w="3213" w:type="dxa"/>
        </w:tcPr>
        <w:p w14:paraId="027FEB4D" w14:textId="11794888" w:rsidR="00801B35" w:rsidRDefault="00801B35" w:rsidP="2197FE05">
          <w:pPr>
            <w:jc w:val="center"/>
          </w:pPr>
        </w:p>
      </w:tc>
      <w:tc>
        <w:tcPr>
          <w:tcW w:w="3213" w:type="dxa"/>
        </w:tcPr>
        <w:p w14:paraId="60D3BDD2" w14:textId="6150FF85" w:rsidR="00801B35" w:rsidRDefault="00801B35" w:rsidP="2197FE05">
          <w:pPr>
            <w:ind w:right="-115"/>
            <w:jc w:val="right"/>
          </w:pPr>
        </w:p>
      </w:tc>
    </w:tr>
  </w:tbl>
  <w:p w14:paraId="37F684E9" w14:textId="7EC27E2A" w:rsidR="00801B35" w:rsidRDefault="00801B35">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0D7F" w14:textId="78B43E90"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14</w:t>
    </w:r>
    <w:r w:rsidRPr="00C92FFD">
      <w:rPr>
        <w:b/>
        <w:sz w:val="18"/>
      </w:rPr>
      <w:fldChar w:fldCharType="end"/>
    </w:r>
    <w:r>
      <w:rPr>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24234" w14:textId="30803C76"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16</w:t>
    </w:r>
    <w:r w:rsidRPr="00C92FFD">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0D04" w14:textId="3018E728"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6</w:t>
    </w:r>
    <w:r w:rsidRPr="00C92FFD">
      <w:rPr>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2C9748BB" w14:textId="77777777" w:rsidTr="2197FE05">
      <w:tc>
        <w:tcPr>
          <w:tcW w:w="3213" w:type="dxa"/>
        </w:tcPr>
        <w:p w14:paraId="4D6BE800" w14:textId="07A7EECE" w:rsidR="00801B35" w:rsidRDefault="00801B35" w:rsidP="2197FE05">
          <w:pPr>
            <w:ind w:left="-115"/>
          </w:pPr>
        </w:p>
      </w:tc>
      <w:tc>
        <w:tcPr>
          <w:tcW w:w="3213" w:type="dxa"/>
        </w:tcPr>
        <w:p w14:paraId="17BDCDE4" w14:textId="55A3C724" w:rsidR="00801B35" w:rsidRDefault="00801B35" w:rsidP="2197FE05">
          <w:pPr>
            <w:jc w:val="center"/>
          </w:pPr>
        </w:p>
      </w:tc>
      <w:tc>
        <w:tcPr>
          <w:tcW w:w="3213" w:type="dxa"/>
        </w:tcPr>
        <w:p w14:paraId="293BAF00" w14:textId="054E044E" w:rsidR="00801B35" w:rsidRDefault="00801B35" w:rsidP="2197FE05">
          <w:pPr>
            <w:ind w:right="-115"/>
            <w:jc w:val="right"/>
          </w:pPr>
        </w:p>
      </w:tc>
    </w:tr>
  </w:tbl>
  <w:p w14:paraId="7D2F5A3A" w14:textId="4DFF7672" w:rsidR="00801B35" w:rsidRDefault="00801B35">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40C9" w14:textId="5ADC6903"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18</w:t>
    </w:r>
    <w:r w:rsidRPr="00C92FFD">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BD92" w14:textId="54897376"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18</w:t>
    </w:r>
    <w:r w:rsidRPr="00C92FFD">
      <w:rPr>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6E9D2A2E" w14:textId="77777777" w:rsidTr="2197FE05">
      <w:tc>
        <w:tcPr>
          <w:tcW w:w="3213" w:type="dxa"/>
        </w:tcPr>
        <w:p w14:paraId="591ACF05" w14:textId="08D88051" w:rsidR="00801B35" w:rsidRDefault="00801B35" w:rsidP="2197FE05">
          <w:pPr>
            <w:ind w:left="-115"/>
          </w:pPr>
        </w:p>
      </w:tc>
      <w:tc>
        <w:tcPr>
          <w:tcW w:w="3213" w:type="dxa"/>
        </w:tcPr>
        <w:p w14:paraId="3FFBCD98" w14:textId="22996139" w:rsidR="00801B35" w:rsidRDefault="00801B35" w:rsidP="2197FE05">
          <w:pPr>
            <w:jc w:val="center"/>
          </w:pPr>
        </w:p>
      </w:tc>
      <w:tc>
        <w:tcPr>
          <w:tcW w:w="3213" w:type="dxa"/>
        </w:tcPr>
        <w:p w14:paraId="115EDC38" w14:textId="7378F92A" w:rsidR="00801B35" w:rsidRDefault="00801B35" w:rsidP="2197FE05">
          <w:pPr>
            <w:ind w:right="-115"/>
            <w:jc w:val="right"/>
          </w:pPr>
        </w:p>
      </w:tc>
    </w:tr>
  </w:tbl>
  <w:p w14:paraId="78420B3C" w14:textId="18AFAF5D" w:rsidR="00801B35" w:rsidRDefault="00801B35">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87A0" w14:textId="448BAC83"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20</w:t>
    </w:r>
    <w:r w:rsidRPr="00C92FFD">
      <w:rPr>
        <w:b/>
        <w:sz w:val="18"/>
      </w:rPr>
      <w:fldChar w:fldCharType="end"/>
    </w:r>
    <w:r>
      <w:rPr>
        <w:sz w:val="18"/>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1E8F4" w14:textId="0E644B05"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22</w:t>
    </w:r>
    <w:r w:rsidRPr="00C92FFD">
      <w:rPr>
        <w:sz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6BCC2F3B" w14:textId="77777777" w:rsidTr="2197FE05">
      <w:tc>
        <w:tcPr>
          <w:tcW w:w="3213" w:type="dxa"/>
        </w:tcPr>
        <w:p w14:paraId="5C25B500" w14:textId="0B9CE26A" w:rsidR="00801B35" w:rsidRDefault="00801B35" w:rsidP="2197FE05">
          <w:pPr>
            <w:ind w:left="-115"/>
          </w:pPr>
        </w:p>
      </w:tc>
      <w:tc>
        <w:tcPr>
          <w:tcW w:w="3213" w:type="dxa"/>
        </w:tcPr>
        <w:p w14:paraId="4C1338D0" w14:textId="781E2924" w:rsidR="00801B35" w:rsidRDefault="00801B35" w:rsidP="2197FE05">
          <w:pPr>
            <w:jc w:val="center"/>
          </w:pPr>
        </w:p>
      </w:tc>
      <w:tc>
        <w:tcPr>
          <w:tcW w:w="3213" w:type="dxa"/>
        </w:tcPr>
        <w:p w14:paraId="2C03E270" w14:textId="6AA7C51C" w:rsidR="00801B35" w:rsidRDefault="00801B35" w:rsidP="2197FE05">
          <w:pPr>
            <w:ind w:right="-115"/>
            <w:jc w:val="right"/>
          </w:pPr>
        </w:p>
      </w:tc>
    </w:tr>
  </w:tbl>
  <w:p w14:paraId="1C8848ED" w14:textId="06872AC9" w:rsidR="00801B35" w:rsidRDefault="00801B35">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2188" w14:textId="74B4A76A"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22</w:t>
    </w:r>
    <w:r w:rsidRPr="00C92FFD">
      <w:rPr>
        <w:b/>
        <w:sz w:val="18"/>
      </w:rPr>
      <w:fldChar w:fldCharType="end"/>
    </w:r>
    <w:r>
      <w:rPr>
        <w:sz w:val="18"/>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FB3B" w14:textId="54AE1AF8"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24</w:t>
    </w:r>
    <w:r w:rsidRPr="00C92FFD">
      <w:rPr>
        <w:sz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1D391638" w14:textId="77777777" w:rsidTr="2197FE05">
      <w:tc>
        <w:tcPr>
          <w:tcW w:w="3213" w:type="dxa"/>
        </w:tcPr>
        <w:p w14:paraId="6DE9CBEA" w14:textId="582D43FC" w:rsidR="00801B35" w:rsidRDefault="00801B35" w:rsidP="2197FE05">
          <w:pPr>
            <w:ind w:left="-115"/>
          </w:pPr>
        </w:p>
      </w:tc>
      <w:tc>
        <w:tcPr>
          <w:tcW w:w="3213" w:type="dxa"/>
        </w:tcPr>
        <w:p w14:paraId="292D27E2" w14:textId="4CEF499F" w:rsidR="00801B35" w:rsidRDefault="00801B35" w:rsidP="2197FE05">
          <w:pPr>
            <w:jc w:val="center"/>
          </w:pPr>
        </w:p>
      </w:tc>
      <w:tc>
        <w:tcPr>
          <w:tcW w:w="3213" w:type="dxa"/>
        </w:tcPr>
        <w:p w14:paraId="76D085F7" w14:textId="6BCCF6E6" w:rsidR="00801B35" w:rsidRDefault="00801B35" w:rsidP="2197FE05">
          <w:pPr>
            <w:ind w:right="-115"/>
            <w:jc w:val="right"/>
          </w:pPr>
        </w:p>
      </w:tc>
    </w:tr>
  </w:tbl>
  <w:p w14:paraId="6EECDDCF" w14:textId="75325B2E" w:rsidR="00801B35" w:rsidRDefault="00801B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0BB2" w14:textId="580E6B8F"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6</w:t>
    </w:r>
    <w:r w:rsidRPr="00C92FFD">
      <w:rPr>
        <w:b/>
        <w:sz w:val="18"/>
      </w:rPr>
      <w:fldChar w:fldCharType="end"/>
    </w:r>
    <w:r>
      <w:rPr>
        <w:sz w:val="18"/>
      </w:rPr>
      <w:tab/>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F0F6" w14:textId="0F0E8CA5"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24</w:t>
    </w:r>
    <w:r w:rsidRPr="00C92FFD">
      <w:rPr>
        <w:b/>
        <w:sz w:val="18"/>
      </w:rPr>
      <w:fldChar w:fldCharType="end"/>
    </w:r>
    <w:r>
      <w:rPr>
        <w:sz w:val="18"/>
      </w:rPr>
      <w:tab/>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C4764" w14:textId="0B0FCF83"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26</w:t>
    </w:r>
    <w:r w:rsidRPr="00C92FFD">
      <w:rPr>
        <w:sz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76EE78A5" w14:textId="77777777" w:rsidTr="2197FE05">
      <w:tc>
        <w:tcPr>
          <w:tcW w:w="3213" w:type="dxa"/>
        </w:tcPr>
        <w:p w14:paraId="532432D8" w14:textId="214FE954" w:rsidR="00801B35" w:rsidRDefault="00801B35" w:rsidP="2197FE05">
          <w:pPr>
            <w:ind w:left="-115"/>
          </w:pPr>
        </w:p>
      </w:tc>
      <w:tc>
        <w:tcPr>
          <w:tcW w:w="3213" w:type="dxa"/>
        </w:tcPr>
        <w:p w14:paraId="15A3F6C6" w14:textId="37A0EB28" w:rsidR="00801B35" w:rsidRDefault="00801B35" w:rsidP="2197FE05">
          <w:pPr>
            <w:jc w:val="center"/>
          </w:pPr>
        </w:p>
      </w:tc>
      <w:tc>
        <w:tcPr>
          <w:tcW w:w="3213" w:type="dxa"/>
        </w:tcPr>
        <w:p w14:paraId="651D5BA4" w14:textId="55ACB4DF" w:rsidR="00801B35" w:rsidRDefault="00801B35" w:rsidP="2197FE05">
          <w:pPr>
            <w:ind w:right="-115"/>
            <w:jc w:val="right"/>
          </w:pPr>
        </w:p>
      </w:tc>
    </w:tr>
  </w:tbl>
  <w:p w14:paraId="7CD96BF2" w14:textId="4CFD7E36" w:rsidR="00801B35" w:rsidRDefault="00801B35">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12B4" w14:textId="2F6B36D9"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26</w:t>
    </w:r>
    <w:r w:rsidRPr="00C92FFD">
      <w:rPr>
        <w:b/>
        <w:sz w:val="18"/>
      </w:rPr>
      <w:fldChar w:fldCharType="end"/>
    </w:r>
    <w:r>
      <w:rPr>
        <w:sz w:val="18"/>
      </w:rPr>
      <w:tab/>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DEA07" w14:textId="625387A5"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28</w:t>
    </w:r>
    <w:r w:rsidRPr="00C92FFD">
      <w:rPr>
        <w:sz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6877557E" w14:textId="77777777" w:rsidTr="2197FE05">
      <w:tc>
        <w:tcPr>
          <w:tcW w:w="3213" w:type="dxa"/>
        </w:tcPr>
        <w:p w14:paraId="5539D13A" w14:textId="2C706976" w:rsidR="00801B35" w:rsidRDefault="00801B35" w:rsidP="2197FE05">
          <w:pPr>
            <w:ind w:left="-115"/>
          </w:pPr>
        </w:p>
      </w:tc>
      <w:tc>
        <w:tcPr>
          <w:tcW w:w="3213" w:type="dxa"/>
        </w:tcPr>
        <w:p w14:paraId="1DBB759F" w14:textId="34F7F619" w:rsidR="00801B35" w:rsidRDefault="00801B35" w:rsidP="2197FE05">
          <w:pPr>
            <w:jc w:val="center"/>
          </w:pPr>
        </w:p>
      </w:tc>
      <w:tc>
        <w:tcPr>
          <w:tcW w:w="3213" w:type="dxa"/>
        </w:tcPr>
        <w:p w14:paraId="33F355D6" w14:textId="29CF1C77" w:rsidR="00801B35" w:rsidRDefault="00801B35" w:rsidP="2197FE05">
          <w:pPr>
            <w:ind w:right="-115"/>
            <w:jc w:val="right"/>
          </w:pPr>
        </w:p>
      </w:tc>
    </w:tr>
  </w:tbl>
  <w:p w14:paraId="72E344D2" w14:textId="74E421F0" w:rsidR="00801B35" w:rsidRDefault="00801B35">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01FA4" w14:textId="055A21C5"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30</w:t>
    </w:r>
    <w:r w:rsidRPr="00C92FFD">
      <w:rPr>
        <w:b/>
        <w:sz w:val="18"/>
      </w:rPr>
      <w:fldChar w:fldCharType="end"/>
    </w:r>
    <w:r>
      <w:rPr>
        <w:sz w:val="18"/>
      </w:rPr>
      <w:tab/>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A2AD2" w14:textId="1A389E77"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34</w:t>
    </w:r>
    <w:r w:rsidRPr="00C92FFD">
      <w:rPr>
        <w:sz w:val="18"/>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19A5EF22" w14:textId="77777777" w:rsidTr="2197FE05">
      <w:tc>
        <w:tcPr>
          <w:tcW w:w="3213" w:type="dxa"/>
        </w:tcPr>
        <w:p w14:paraId="5F95E78D" w14:textId="350AC85B" w:rsidR="00801B35" w:rsidRDefault="00801B35" w:rsidP="2197FE05">
          <w:pPr>
            <w:ind w:left="-115"/>
          </w:pPr>
        </w:p>
      </w:tc>
      <w:tc>
        <w:tcPr>
          <w:tcW w:w="3213" w:type="dxa"/>
        </w:tcPr>
        <w:p w14:paraId="3617F488" w14:textId="54FC5D14" w:rsidR="00801B35" w:rsidRDefault="00801B35" w:rsidP="2197FE05">
          <w:pPr>
            <w:jc w:val="center"/>
          </w:pPr>
        </w:p>
      </w:tc>
      <w:tc>
        <w:tcPr>
          <w:tcW w:w="3213" w:type="dxa"/>
        </w:tcPr>
        <w:p w14:paraId="35234A1B" w14:textId="6363ED74" w:rsidR="00801B35" w:rsidRDefault="00801B35" w:rsidP="2197FE05">
          <w:pPr>
            <w:ind w:right="-115"/>
            <w:jc w:val="right"/>
          </w:pPr>
        </w:p>
      </w:tc>
    </w:tr>
  </w:tbl>
  <w:p w14:paraId="33A8C84D" w14:textId="7E9D4F5C" w:rsidR="00801B35" w:rsidRDefault="00801B35">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26A9" w14:textId="46DCEBF5"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34</w:t>
    </w:r>
    <w:r w:rsidRPr="00C92FFD">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7AD8" w14:textId="77777777" w:rsidR="00801B35" w:rsidRPr="009B15C5" w:rsidRDefault="00801B35" w:rsidP="00492678">
    <w:pPr>
      <w:pStyle w:val="Footer"/>
      <w:tabs>
        <w:tab w:val="right" w:pos="9638"/>
      </w:tabs>
      <w:rPr>
        <w:b/>
        <w:sz w:val="18"/>
      </w:rPr>
    </w:pPr>
    <w:r>
      <w:tab/>
    </w:r>
    <w:r w:rsidRPr="009B15C5">
      <w:rPr>
        <w:b/>
        <w:sz w:val="18"/>
      </w:rPr>
      <w:fldChar w:fldCharType="begin"/>
    </w:r>
    <w:r w:rsidRPr="009B15C5">
      <w:rPr>
        <w:b/>
        <w:sz w:val="18"/>
      </w:rPr>
      <w:instrText xml:space="preserve"> PAGE  \* MERGEFORMAT </w:instrText>
    </w:r>
    <w:r w:rsidRPr="009B15C5">
      <w:rPr>
        <w:b/>
        <w:sz w:val="18"/>
      </w:rPr>
      <w:fldChar w:fldCharType="separate"/>
    </w:r>
    <w:r>
      <w:rPr>
        <w:b/>
        <w:noProof/>
        <w:sz w:val="18"/>
      </w:rPr>
      <w:t>53</w:t>
    </w:r>
    <w:r w:rsidRPr="009B15C5">
      <w:rPr>
        <w:b/>
        <w:sz w:val="18"/>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C737" w14:textId="67AA9859"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38</w:t>
    </w:r>
    <w:r w:rsidRPr="00C92FFD">
      <w:rPr>
        <w:sz w:val="18"/>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4E1FECEA" w14:textId="77777777" w:rsidTr="2197FE05">
      <w:tc>
        <w:tcPr>
          <w:tcW w:w="3213" w:type="dxa"/>
        </w:tcPr>
        <w:p w14:paraId="404395B4" w14:textId="01F10CD8" w:rsidR="00801B35" w:rsidRDefault="00801B35" w:rsidP="2197FE05">
          <w:pPr>
            <w:ind w:left="-115"/>
          </w:pPr>
        </w:p>
      </w:tc>
      <w:tc>
        <w:tcPr>
          <w:tcW w:w="3213" w:type="dxa"/>
        </w:tcPr>
        <w:p w14:paraId="2E985E6C" w14:textId="6B2151D2" w:rsidR="00801B35" w:rsidRDefault="00801B35" w:rsidP="2197FE05">
          <w:pPr>
            <w:jc w:val="center"/>
          </w:pPr>
        </w:p>
      </w:tc>
      <w:tc>
        <w:tcPr>
          <w:tcW w:w="3213" w:type="dxa"/>
        </w:tcPr>
        <w:p w14:paraId="68620531" w14:textId="646B79D6" w:rsidR="00801B35" w:rsidRDefault="00801B35" w:rsidP="2197FE05">
          <w:pPr>
            <w:ind w:right="-115"/>
            <w:jc w:val="right"/>
          </w:pPr>
        </w:p>
      </w:tc>
    </w:tr>
  </w:tbl>
  <w:p w14:paraId="2667A134" w14:textId="49A25974" w:rsidR="00801B35" w:rsidRDefault="00801B35">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F11" w14:textId="5B6DC351"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38</w:t>
    </w:r>
    <w:r w:rsidRPr="00C92FFD">
      <w:rPr>
        <w:b/>
        <w:sz w:val="18"/>
      </w:rPr>
      <w:fldChar w:fldCharType="end"/>
    </w:r>
    <w:r>
      <w:rPr>
        <w:sz w:val="18"/>
      </w:rPr>
      <w:tab/>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8073" w14:textId="78E0BABC"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38</w:t>
    </w:r>
    <w:r w:rsidRPr="00C92FFD">
      <w:rPr>
        <w:sz w:val="18"/>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1EF5ED80" w14:textId="77777777" w:rsidTr="2197FE05">
      <w:tc>
        <w:tcPr>
          <w:tcW w:w="3213" w:type="dxa"/>
        </w:tcPr>
        <w:p w14:paraId="36DF3FE4" w14:textId="57009875" w:rsidR="00801B35" w:rsidRDefault="00801B35" w:rsidP="2197FE05">
          <w:pPr>
            <w:ind w:left="-115"/>
          </w:pPr>
        </w:p>
      </w:tc>
      <w:tc>
        <w:tcPr>
          <w:tcW w:w="3213" w:type="dxa"/>
        </w:tcPr>
        <w:p w14:paraId="3F136097" w14:textId="698BFD91" w:rsidR="00801B35" w:rsidRDefault="00801B35" w:rsidP="2197FE05">
          <w:pPr>
            <w:jc w:val="center"/>
          </w:pPr>
        </w:p>
      </w:tc>
      <w:tc>
        <w:tcPr>
          <w:tcW w:w="3213" w:type="dxa"/>
        </w:tcPr>
        <w:p w14:paraId="3D512D46" w14:textId="09C2D1F4" w:rsidR="00801B35" w:rsidRDefault="00801B35" w:rsidP="2197FE05">
          <w:pPr>
            <w:ind w:right="-115"/>
            <w:jc w:val="right"/>
          </w:pPr>
        </w:p>
      </w:tc>
    </w:tr>
  </w:tbl>
  <w:p w14:paraId="4AD09896" w14:textId="2415C294" w:rsidR="00801B35" w:rsidRDefault="00801B35">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1A7D" w14:textId="0316576F"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40</w:t>
    </w:r>
    <w:r w:rsidRPr="00C92FFD">
      <w:rPr>
        <w:b/>
        <w:sz w:val="18"/>
      </w:rPr>
      <w:fldChar w:fldCharType="end"/>
    </w:r>
    <w:r>
      <w:rPr>
        <w:sz w:val="18"/>
      </w:rPr>
      <w:tab/>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96FB" w14:textId="20D83570"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39</w:t>
    </w:r>
    <w:r w:rsidRPr="00C92FFD">
      <w:rPr>
        <w:sz w:val="18"/>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288FDD11" w14:textId="77777777" w:rsidTr="2197FE05">
      <w:tc>
        <w:tcPr>
          <w:tcW w:w="3213" w:type="dxa"/>
        </w:tcPr>
        <w:p w14:paraId="645B852D" w14:textId="7493E6DA" w:rsidR="00801B35" w:rsidRDefault="00801B35" w:rsidP="2197FE05">
          <w:pPr>
            <w:ind w:left="-115"/>
          </w:pPr>
        </w:p>
      </w:tc>
      <w:tc>
        <w:tcPr>
          <w:tcW w:w="3213" w:type="dxa"/>
        </w:tcPr>
        <w:p w14:paraId="378F014A" w14:textId="312340A6" w:rsidR="00801B35" w:rsidRDefault="00801B35" w:rsidP="2197FE05">
          <w:pPr>
            <w:jc w:val="center"/>
          </w:pPr>
        </w:p>
      </w:tc>
      <w:tc>
        <w:tcPr>
          <w:tcW w:w="3213" w:type="dxa"/>
        </w:tcPr>
        <w:p w14:paraId="6A03EB27" w14:textId="7BCB2FED" w:rsidR="00801B35" w:rsidRDefault="00801B35" w:rsidP="2197FE05">
          <w:pPr>
            <w:ind w:right="-115"/>
            <w:jc w:val="right"/>
          </w:pPr>
        </w:p>
      </w:tc>
    </w:tr>
  </w:tbl>
  <w:p w14:paraId="2E8AD71C" w14:textId="72325BBB" w:rsidR="00801B35" w:rsidRDefault="00801B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5819B245" w14:textId="77777777" w:rsidTr="2197FE05">
      <w:tc>
        <w:tcPr>
          <w:tcW w:w="3213" w:type="dxa"/>
        </w:tcPr>
        <w:p w14:paraId="56C75EA0" w14:textId="1E126002" w:rsidR="00801B35" w:rsidRDefault="00801B35" w:rsidP="2197FE05">
          <w:pPr>
            <w:ind w:left="-115"/>
          </w:pPr>
        </w:p>
      </w:tc>
      <w:tc>
        <w:tcPr>
          <w:tcW w:w="3213" w:type="dxa"/>
        </w:tcPr>
        <w:p w14:paraId="1AD32434" w14:textId="7116E5FE" w:rsidR="00801B35" w:rsidRDefault="00801B35" w:rsidP="2197FE05">
          <w:pPr>
            <w:jc w:val="center"/>
          </w:pPr>
        </w:p>
      </w:tc>
      <w:tc>
        <w:tcPr>
          <w:tcW w:w="3213" w:type="dxa"/>
        </w:tcPr>
        <w:p w14:paraId="0BE7BD3A" w14:textId="044F2859" w:rsidR="00801B35" w:rsidRDefault="00801B35" w:rsidP="2197FE05">
          <w:pPr>
            <w:ind w:right="-115"/>
            <w:jc w:val="right"/>
          </w:pPr>
        </w:p>
      </w:tc>
    </w:tr>
  </w:tbl>
  <w:p w14:paraId="7A19C09E" w14:textId="6F9C8CC4" w:rsidR="00801B35" w:rsidRDefault="00801B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DB10" w14:textId="5586D4DD" w:rsidR="00801B35" w:rsidRPr="00C92FFD" w:rsidRDefault="00801B35" w:rsidP="00B95781">
    <w:pPr>
      <w:pStyle w:val="Footer"/>
      <w:tabs>
        <w:tab w:val="right" w:pos="9638"/>
      </w:tabs>
    </w:pPr>
    <w:r w:rsidRPr="00C92FFD">
      <w:rPr>
        <w:b/>
        <w:sz w:val="18"/>
      </w:rPr>
      <w:fldChar w:fldCharType="begin"/>
    </w:r>
    <w:r w:rsidRPr="00C92FFD">
      <w:rPr>
        <w:b/>
        <w:sz w:val="18"/>
      </w:rPr>
      <w:instrText xml:space="preserve"> PAGE  \* MERGEFORMAT </w:instrText>
    </w:r>
    <w:r w:rsidRPr="00C92FFD">
      <w:rPr>
        <w:b/>
        <w:sz w:val="18"/>
      </w:rPr>
      <w:fldChar w:fldCharType="separate"/>
    </w:r>
    <w:r w:rsidRPr="00C92FFD">
      <w:rPr>
        <w:b/>
        <w:noProof/>
        <w:sz w:val="18"/>
      </w:rPr>
      <w:t>8</w:t>
    </w:r>
    <w:r w:rsidRPr="00C92FFD">
      <w:rPr>
        <w:b/>
        <w:sz w:val="18"/>
      </w:rPr>
      <w:fldChar w:fldCharType="end"/>
    </w:r>
    <w:r>
      <w:rPr>
        <w:sz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F10BE" w14:textId="2B654441" w:rsidR="00801B35" w:rsidRPr="00C92FFD" w:rsidRDefault="00801B35" w:rsidP="00B95781">
    <w:pPr>
      <w:pStyle w:val="Footer"/>
      <w:tabs>
        <w:tab w:val="right" w:pos="9638"/>
      </w:tabs>
      <w:rPr>
        <w:sz w:val="18"/>
      </w:rPr>
    </w:pPr>
    <w:r>
      <w:rPr>
        <w:b/>
        <w:sz w:val="18"/>
      </w:rPr>
      <w:tab/>
    </w:r>
    <w:r w:rsidRPr="00C92FFD">
      <w:rPr>
        <w:sz w:val="18"/>
      </w:rPr>
      <w:fldChar w:fldCharType="begin"/>
    </w:r>
    <w:r w:rsidRPr="00C92FFD">
      <w:rPr>
        <w:sz w:val="18"/>
      </w:rPr>
      <w:instrText xml:space="preserve"> PAGE  \* MERGEFORMAT </w:instrText>
    </w:r>
    <w:r w:rsidRPr="00C92FFD">
      <w:rPr>
        <w:sz w:val="18"/>
      </w:rPr>
      <w:fldChar w:fldCharType="separate"/>
    </w:r>
    <w:r w:rsidRPr="00C92FFD">
      <w:rPr>
        <w:noProof/>
        <w:sz w:val="18"/>
      </w:rPr>
      <w:t>8</w:t>
    </w:r>
    <w:r w:rsidRPr="00C92FFD">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27F243A0" w14:textId="77777777" w:rsidTr="2197FE05">
      <w:tc>
        <w:tcPr>
          <w:tcW w:w="3213" w:type="dxa"/>
        </w:tcPr>
        <w:p w14:paraId="32E8372E" w14:textId="3B0A0527" w:rsidR="00801B35" w:rsidRDefault="00801B35" w:rsidP="2197FE05">
          <w:pPr>
            <w:ind w:left="-115"/>
          </w:pPr>
        </w:p>
      </w:tc>
      <w:tc>
        <w:tcPr>
          <w:tcW w:w="3213" w:type="dxa"/>
        </w:tcPr>
        <w:p w14:paraId="3E00329B" w14:textId="35EE1D0E" w:rsidR="00801B35" w:rsidRDefault="00801B35" w:rsidP="2197FE05">
          <w:pPr>
            <w:jc w:val="center"/>
          </w:pPr>
        </w:p>
      </w:tc>
      <w:tc>
        <w:tcPr>
          <w:tcW w:w="3213" w:type="dxa"/>
        </w:tcPr>
        <w:p w14:paraId="15C518B7" w14:textId="1237D4CE" w:rsidR="00801B35" w:rsidRDefault="00801B35" w:rsidP="2197FE05">
          <w:pPr>
            <w:ind w:right="-115"/>
            <w:jc w:val="right"/>
          </w:pPr>
        </w:p>
      </w:tc>
    </w:tr>
  </w:tbl>
  <w:p w14:paraId="6CDCCAC3" w14:textId="47A062A1" w:rsidR="00801B35" w:rsidRDefault="00801B3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5453" w14:textId="14DA884F" w:rsidR="00801B35" w:rsidRPr="00B95781" w:rsidRDefault="00801B35" w:rsidP="00B95781">
    <w:pPr>
      <w:pStyle w:val="Footer"/>
      <w:tabs>
        <w:tab w:val="right" w:pos="9638"/>
      </w:tabs>
    </w:pPr>
    <w:r w:rsidRPr="00B95781">
      <w:rPr>
        <w:b/>
        <w:sz w:val="18"/>
      </w:rPr>
      <w:fldChar w:fldCharType="begin"/>
    </w:r>
    <w:r w:rsidRPr="00B95781">
      <w:rPr>
        <w:b/>
        <w:sz w:val="18"/>
      </w:rPr>
      <w:instrText xml:space="preserve"> PAGE  \* MERGEFORMAT </w:instrText>
    </w:r>
    <w:r w:rsidRPr="00B95781">
      <w:rPr>
        <w:b/>
        <w:sz w:val="18"/>
      </w:rPr>
      <w:fldChar w:fldCharType="separate"/>
    </w:r>
    <w:r w:rsidRPr="00B95781">
      <w:rPr>
        <w:b/>
        <w:noProof/>
        <w:sz w:val="18"/>
      </w:rPr>
      <w:t>9</w:t>
    </w:r>
    <w:r w:rsidRPr="00B95781">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E43A4" w14:textId="77777777" w:rsidR="006927B0" w:rsidRDefault="006927B0">
      <w:r>
        <w:separator/>
      </w:r>
    </w:p>
  </w:footnote>
  <w:footnote w:type="continuationSeparator" w:id="0">
    <w:p w14:paraId="77BAA4F9" w14:textId="77777777" w:rsidR="006927B0" w:rsidRDefault="006927B0">
      <w:r>
        <w:continuationSeparator/>
      </w:r>
    </w:p>
    <w:p w14:paraId="4E57D48D" w14:textId="77777777" w:rsidR="006927B0" w:rsidRDefault="006927B0"/>
  </w:footnote>
  <w:footnote w:type="continuationNotice" w:id="1">
    <w:p w14:paraId="069BEC14" w14:textId="77777777" w:rsidR="006927B0" w:rsidRDefault="006927B0">
      <w:pPr>
        <w:spacing w:line="240" w:lineRule="auto"/>
      </w:pPr>
    </w:p>
  </w:footnote>
  <w:footnote w:id="2">
    <w:p w14:paraId="0682F2C9" w14:textId="1FC3452A" w:rsidR="00801B35" w:rsidRPr="006730AE" w:rsidRDefault="00801B35" w:rsidP="0034729C">
      <w:pPr>
        <w:pStyle w:val="FootnoteText"/>
        <w:widowControl w:val="0"/>
        <w:tabs>
          <w:tab w:val="clear" w:pos="1021"/>
          <w:tab w:val="right" w:pos="1020"/>
        </w:tabs>
        <w:rPr>
          <w:lang w:val="en-US"/>
        </w:rPr>
      </w:pPr>
      <w:r w:rsidRPr="006730AE">
        <w:tab/>
      </w:r>
      <w:r w:rsidRPr="006730AE">
        <w:rPr>
          <w:rStyle w:val="FootnoteReference"/>
        </w:rPr>
        <w:footnoteRef/>
      </w:r>
      <w:r w:rsidRPr="006730AE">
        <w:tab/>
      </w:r>
      <w:r>
        <w:t xml:space="preserve">Available at </w:t>
      </w:r>
      <w:hyperlink r:id="rId1" w:history="1">
        <w:r w:rsidRPr="00BA1877">
          <w:rPr>
            <w:rStyle w:val="Hyperlink"/>
          </w:rPr>
          <w:t>https://www4.unfccc.int/sites/NAPC/Pages/national-adaptation-plans.aspx</w:t>
        </w:r>
      </w:hyperlink>
      <w:r w:rsidRPr="006730AE">
        <w:t>.</w:t>
      </w:r>
    </w:p>
  </w:footnote>
  <w:footnote w:id="3">
    <w:p w14:paraId="68A8C183" w14:textId="214118E1" w:rsidR="00801B35" w:rsidRPr="006730AE" w:rsidRDefault="00801B35" w:rsidP="0034729C">
      <w:pPr>
        <w:pStyle w:val="FootnoteText"/>
        <w:widowControl w:val="0"/>
        <w:tabs>
          <w:tab w:val="clear" w:pos="1021"/>
          <w:tab w:val="right" w:pos="1020"/>
        </w:tabs>
        <w:rPr>
          <w:lang w:val="en-US"/>
        </w:rPr>
      </w:pPr>
      <w:r w:rsidRPr="006730AE">
        <w:tab/>
      </w:r>
      <w:r w:rsidRPr="006730AE">
        <w:rPr>
          <w:rStyle w:val="FootnoteReference"/>
        </w:rPr>
        <w:footnoteRef/>
      </w:r>
      <w:r w:rsidRPr="006730AE">
        <w:tab/>
      </w:r>
      <w:r>
        <w:t xml:space="preserve">As per </w:t>
      </w:r>
      <w:r w:rsidRPr="00624E84">
        <w:t>decision 8/CP.24, paras</w:t>
      </w:r>
      <w:r>
        <w:t>.</w:t>
      </w:r>
      <w:r w:rsidRPr="00624E84">
        <w:t xml:space="preserve"> 17</w:t>
      </w:r>
      <w:r>
        <w:t>–</w:t>
      </w:r>
      <w:r w:rsidRPr="00624E84">
        <w:t>18</w:t>
      </w:r>
      <w:r w:rsidRPr="006730AE">
        <w:t>.</w:t>
      </w:r>
    </w:p>
  </w:footnote>
  <w:footnote w:id="4">
    <w:p w14:paraId="2D14BD25" w14:textId="59642131" w:rsidR="00801B35" w:rsidRPr="006730AE" w:rsidRDefault="00801B35" w:rsidP="0034729C">
      <w:pPr>
        <w:pStyle w:val="FootnoteText"/>
        <w:widowControl w:val="0"/>
        <w:tabs>
          <w:tab w:val="clear" w:pos="1021"/>
          <w:tab w:val="right" w:pos="1020"/>
        </w:tabs>
        <w:rPr>
          <w:lang w:val="en-US"/>
        </w:rPr>
      </w:pPr>
      <w:r w:rsidRPr="006730AE">
        <w:tab/>
      </w:r>
      <w:r w:rsidRPr="006730AE">
        <w:rPr>
          <w:rStyle w:val="FootnoteReference"/>
        </w:rPr>
        <w:footnoteRef/>
      </w:r>
      <w:r w:rsidRPr="006730AE">
        <w:tab/>
      </w:r>
      <w:r>
        <w:t>FCCC/SBI/2017/19, para. 73</w:t>
      </w:r>
      <w:r w:rsidRPr="006730AE">
        <w:t>.</w:t>
      </w:r>
    </w:p>
  </w:footnote>
  <w:footnote w:id="5">
    <w:p w14:paraId="11356E4F" w14:textId="77777777" w:rsidR="00801B35" w:rsidRDefault="00801B35" w:rsidP="007B13FC">
      <w:pPr>
        <w:pStyle w:val="FootnoteText"/>
        <w:widowControl w:val="0"/>
        <w:ind w:left="0" w:firstLine="0"/>
        <w:rPr>
          <w:lang w:val="en-US"/>
        </w:rPr>
      </w:pPr>
      <w:r>
        <w:tab/>
      </w:r>
      <w:r>
        <w:rPr>
          <w:rStyle w:val="FootnoteReference"/>
        </w:rPr>
        <w:footnoteRef/>
      </w:r>
      <w:r>
        <w:tab/>
        <w:t>FCCC/SBI/2019/13.</w:t>
      </w:r>
    </w:p>
  </w:footnote>
  <w:footnote w:id="6">
    <w:p w14:paraId="49D5947B" w14:textId="77777777" w:rsidR="00801B35" w:rsidRDefault="00801B35" w:rsidP="007B13FC">
      <w:pPr>
        <w:pStyle w:val="FootnoteText"/>
        <w:widowControl w:val="0"/>
        <w:rPr>
          <w:lang w:val="fr-FR"/>
        </w:rPr>
      </w:pPr>
      <w:r>
        <w:rPr>
          <w:lang w:val="fr-FR"/>
        </w:rPr>
        <w:tab/>
      </w:r>
      <w:r>
        <w:rPr>
          <w:rStyle w:val="FootnoteReference"/>
        </w:rPr>
        <w:footnoteRef/>
      </w:r>
      <w:r>
        <w:rPr>
          <w:lang w:val="fr-FR"/>
        </w:rPr>
        <w:tab/>
        <w:t>See document FCCC/SBI/2019/13, para. 38.</w:t>
      </w:r>
    </w:p>
  </w:footnote>
  <w:footnote w:id="7">
    <w:p w14:paraId="4533B6A1" w14:textId="77777777" w:rsidR="00801B35" w:rsidRPr="007C58CF" w:rsidRDefault="00801B35" w:rsidP="00CA35AF">
      <w:pPr>
        <w:pStyle w:val="FootnoteText"/>
        <w:rPr>
          <w:szCs w:val="18"/>
          <w:lang w:val="en-US"/>
        </w:rPr>
      </w:pPr>
      <w:r>
        <w:rPr>
          <w:szCs w:val="18"/>
        </w:rPr>
        <w:tab/>
      </w:r>
      <w:r w:rsidRPr="007C58CF">
        <w:rPr>
          <w:rStyle w:val="FootnoteReference"/>
          <w:szCs w:val="18"/>
        </w:rPr>
        <w:footnoteRef/>
      </w:r>
      <w:r w:rsidRPr="007C58CF">
        <w:rPr>
          <w:szCs w:val="18"/>
        </w:rPr>
        <w:t xml:space="preserve"> </w:t>
      </w:r>
      <w:r>
        <w:rPr>
          <w:szCs w:val="18"/>
        </w:rPr>
        <w:tab/>
      </w:r>
      <w:r w:rsidRPr="007C58CF">
        <w:rPr>
          <w:szCs w:val="18"/>
          <w:lang w:val="en-US"/>
        </w:rPr>
        <w:t>FCCC/SBI/2017/11, FCCC/SBI/2018/15 and FCCC/SBI/2019/</w:t>
      </w:r>
      <w:r>
        <w:rPr>
          <w:szCs w:val="18"/>
          <w:lang w:val="en-US"/>
        </w:rPr>
        <w:t>13</w:t>
      </w:r>
      <w:r w:rsidRPr="007C58CF">
        <w:rPr>
          <w:szCs w:val="18"/>
          <w:lang w:val="en-US"/>
        </w:rPr>
        <w:t xml:space="preserve">. </w:t>
      </w:r>
    </w:p>
  </w:footnote>
  <w:footnote w:id="8">
    <w:p w14:paraId="4BB1F02B" w14:textId="77777777" w:rsidR="00801B35" w:rsidRPr="00CA5091" w:rsidRDefault="00801B35" w:rsidP="00495190">
      <w:pPr>
        <w:pStyle w:val="FootnoteText"/>
        <w:rPr>
          <w:rFonts w:eastAsia="Malgun Gothic"/>
          <w:szCs w:val="18"/>
          <w:lang w:eastAsia="ko-KR"/>
        </w:rPr>
      </w:pPr>
      <w:r>
        <w:tab/>
      </w:r>
      <w:r>
        <w:rPr>
          <w:rStyle w:val="FootnoteReference"/>
        </w:rPr>
        <w:footnoteRef/>
      </w:r>
      <w:r>
        <w:tab/>
      </w:r>
      <w:r w:rsidRPr="00E544EE">
        <w:rPr>
          <w:rFonts w:eastAsia="Malgun Gothic"/>
          <w:szCs w:val="18"/>
          <w:lang w:eastAsia="ko-KR"/>
        </w:rPr>
        <w:t>FCCC/CP/2019/10−FCCC/PA/CMA/2019/3</w:t>
      </w:r>
      <w:r>
        <w:rPr>
          <w:rFonts w:eastAsia="Malgun Gothic"/>
          <w:szCs w:val="18"/>
          <w:lang w:eastAsia="ko-KR"/>
        </w:rPr>
        <w:t>.</w:t>
      </w:r>
    </w:p>
  </w:footnote>
  <w:footnote w:id="9">
    <w:p w14:paraId="04576D87" w14:textId="77777777" w:rsidR="00801B35" w:rsidRPr="006A30D1" w:rsidRDefault="00801B35" w:rsidP="00495190">
      <w:pPr>
        <w:pStyle w:val="FootnoteText"/>
        <w:widowControl w:val="0"/>
        <w:tabs>
          <w:tab w:val="clear" w:pos="1021"/>
          <w:tab w:val="right" w:pos="1020"/>
        </w:tabs>
        <w:rPr>
          <w:lang w:val="en-US"/>
        </w:rPr>
      </w:pPr>
      <w:r>
        <w:tab/>
      </w:r>
      <w:r>
        <w:rPr>
          <w:rStyle w:val="FootnoteReference"/>
        </w:rPr>
        <w:footnoteRef/>
      </w:r>
      <w:r>
        <w:tab/>
      </w:r>
      <w:r w:rsidRPr="00E544EE">
        <w:rPr>
          <w:rFonts w:eastAsia="Malgun Gothic"/>
          <w:szCs w:val="18"/>
          <w:lang w:eastAsia="ko-KR"/>
        </w:rPr>
        <w:t>FCCC/CP/2019/10−FCCC/PA/CMA/2019/3</w:t>
      </w:r>
      <w:r>
        <w:rPr>
          <w:rFonts w:eastAsia="Malgun Gothic"/>
          <w:szCs w:val="18"/>
          <w:lang w:eastAsia="ko-KR"/>
        </w:rPr>
        <w:t>, annex V.</w:t>
      </w:r>
    </w:p>
  </w:footnote>
  <w:footnote w:id="10">
    <w:p w14:paraId="29118798" w14:textId="77777777" w:rsidR="00801B35" w:rsidRPr="007C022D" w:rsidRDefault="00801B35" w:rsidP="00495190">
      <w:pPr>
        <w:pStyle w:val="FootnoteText"/>
        <w:rPr>
          <w:lang w:val="en-US"/>
        </w:rPr>
      </w:pPr>
      <w:r>
        <w:tab/>
      </w:r>
      <w:r>
        <w:rPr>
          <w:rStyle w:val="FootnoteReference"/>
        </w:rPr>
        <w:footnoteRef/>
      </w:r>
      <w:r>
        <w:t xml:space="preserve"> </w:t>
      </w:r>
      <w:r>
        <w:tab/>
      </w:r>
      <w:r w:rsidRPr="00E544EE">
        <w:rPr>
          <w:rFonts w:eastAsia="Malgun Gothic"/>
          <w:szCs w:val="18"/>
          <w:lang w:eastAsia="ko-KR"/>
        </w:rPr>
        <w:t>FCCC/CP/2019/10−FCCC/PA/CMA/2019/3</w:t>
      </w:r>
      <w:r>
        <w:rPr>
          <w:rFonts w:eastAsia="Malgun Gothic"/>
          <w:szCs w:val="18"/>
          <w:lang w:eastAsia="ko-KR"/>
        </w:rPr>
        <w:t>, annexes II and III, respectively.</w:t>
      </w:r>
    </w:p>
  </w:footnote>
  <w:footnote w:id="11">
    <w:p w14:paraId="208BAADC" w14:textId="77777777" w:rsidR="00801B35" w:rsidRPr="001D7F94" w:rsidRDefault="00801B35" w:rsidP="00495190">
      <w:pPr>
        <w:pStyle w:val="FootnoteText"/>
        <w:widowControl w:val="0"/>
        <w:tabs>
          <w:tab w:val="clear" w:pos="1021"/>
          <w:tab w:val="right" w:pos="1020"/>
        </w:tabs>
        <w:rPr>
          <w:lang w:val="en-US"/>
        </w:rPr>
      </w:pPr>
      <w:r>
        <w:tab/>
      </w:r>
      <w:r>
        <w:rPr>
          <w:rStyle w:val="FootnoteReference"/>
        </w:rPr>
        <w:footnoteRef/>
      </w:r>
      <w:r>
        <w:tab/>
      </w:r>
      <w:r w:rsidRPr="00E544EE">
        <w:rPr>
          <w:rFonts w:eastAsia="Malgun Gothic"/>
          <w:szCs w:val="18"/>
          <w:lang w:eastAsia="ko-KR"/>
        </w:rPr>
        <w:t>FCCC/CP/2019/10</w:t>
      </w:r>
      <w:r>
        <w:rPr>
          <w:rFonts w:eastAsia="Malgun Gothic"/>
          <w:szCs w:val="18"/>
          <w:lang w:eastAsia="ko-KR"/>
        </w:rPr>
        <w:t>/Add.1</w:t>
      </w:r>
      <w:r w:rsidRPr="00E544EE">
        <w:rPr>
          <w:rFonts w:eastAsia="Malgun Gothic"/>
          <w:szCs w:val="18"/>
          <w:lang w:eastAsia="ko-KR"/>
        </w:rPr>
        <w:t>−FCCC/PA/CMA/2019/3</w:t>
      </w:r>
      <w:r>
        <w:rPr>
          <w:rFonts w:eastAsia="Malgun Gothic"/>
          <w:szCs w:val="18"/>
          <w:lang w:eastAsia="ko-KR"/>
        </w:rPr>
        <w:t>/Add.1</w:t>
      </w:r>
      <w:r>
        <w:t>.</w:t>
      </w:r>
    </w:p>
  </w:footnote>
  <w:footnote w:id="12">
    <w:p w14:paraId="29268F31" w14:textId="77777777" w:rsidR="00801B35" w:rsidRPr="000659DA" w:rsidRDefault="00801B35" w:rsidP="00495190">
      <w:pPr>
        <w:pStyle w:val="FootnoteText"/>
        <w:widowControl w:val="0"/>
        <w:tabs>
          <w:tab w:val="clear" w:pos="1021"/>
          <w:tab w:val="right" w:pos="1020"/>
        </w:tabs>
        <w:rPr>
          <w:lang w:val="en-US"/>
        </w:rPr>
      </w:pPr>
      <w:r>
        <w:tab/>
      </w:r>
      <w:r>
        <w:rPr>
          <w:rStyle w:val="FootnoteReference"/>
        </w:rPr>
        <w:footnoteRef/>
      </w:r>
      <w:r>
        <w:tab/>
      </w:r>
      <w:r>
        <w:rPr>
          <w:rFonts w:eastAsia="Malgun Gothic"/>
          <w:szCs w:val="18"/>
          <w:lang w:eastAsia="ko-KR"/>
        </w:rPr>
        <w:t>FCCC/TP/2019/1.</w:t>
      </w:r>
    </w:p>
  </w:footnote>
  <w:footnote w:id="13">
    <w:p w14:paraId="47501967" w14:textId="77777777" w:rsidR="00801B35" w:rsidRPr="00000473" w:rsidRDefault="00801B35" w:rsidP="00495190">
      <w:pPr>
        <w:pStyle w:val="FootnoteText"/>
        <w:widowControl w:val="0"/>
        <w:tabs>
          <w:tab w:val="clear" w:pos="1021"/>
          <w:tab w:val="right" w:pos="1020"/>
        </w:tabs>
        <w:rPr>
          <w:lang w:val="en-US"/>
        </w:rPr>
      </w:pPr>
      <w:r>
        <w:tab/>
      </w:r>
      <w:r>
        <w:rPr>
          <w:rStyle w:val="FootnoteReference"/>
        </w:rPr>
        <w:footnoteRef/>
      </w:r>
      <w:r>
        <w:tab/>
      </w:r>
      <w:hyperlink r:id="rId2" w:history="1">
        <w:r w:rsidRPr="00F25DA3">
          <w:rPr>
            <w:rStyle w:val="Hyperlink"/>
          </w:rPr>
          <w:t>https://www4.unfccc.int/sites/submissionsstaging/Pages/Home.aspx</w:t>
        </w:r>
      </w:hyperlink>
      <w:r>
        <w:t>.</w:t>
      </w:r>
    </w:p>
  </w:footnote>
  <w:footnote w:id="14">
    <w:p w14:paraId="66EB4CA6" w14:textId="77777777" w:rsidR="00801B35" w:rsidRPr="006A30D1" w:rsidRDefault="00801B35" w:rsidP="00495190">
      <w:pPr>
        <w:pStyle w:val="FootnoteText"/>
        <w:widowControl w:val="0"/>
        <w:tabs>
          <w:tab w:val="clear" w:pos="1021"/>
          <w:tab w:val="right" w:pos="1020"/>
        </w:tabs>
        <w:rPr>
          <w:lang w:val="en-US"/>
        </w:rPr>
      </w:pPr>
      <w:r>
        <w:tab/>
      </w:r>
      <w:r>
        <w:rPr>
          <w:rStyle w:val="FootnoteReference"/>
        </w:rPr>
        <w:footnoteRef/>
      </w:r>
      <w:r>
        <w:tab/>
      </w:r>
      <w:r w:rsidRPr="00E544EE">
        <w:rPr>
          <w:rFonts w:eastAsia="Malgun Gothic"/>
          <w:szCs w:val="18"/>
          <w:lang w:eastAsia="ko-KR"/>
        </w:rPr>
        <w:t>FCCC/CP/2019/10−FCCC/PA/CMA/2019/3</w:t>
      </w:r>
      <w:r>
        <w:rPr>
          <w:rFonts w:eastAsia="Malgun Gothic"/>
          <w:szCs w:val="18"/>
          <w:lang w:eastAsia="ko-KR"/>
        </w:rPr>
        <w:t>, annex IV.</w:t>
      </w:r>
      <w:r>
        <w:t xml:space="preserve"> </w:t>
      </w:r>
    </w:p>
  </w:footnote>
  <w:footnote w:id="15">
    <w:p w14:paraId="6BE85A0A" w14:textId="77777777" w:rsidR="00801B35" w:rsidRPr="000659DA" w:rsidRDefault="00801B35" w:rsidP="00495190">
      <w:pPr>
        <w:pStyle w:val="FootnoteText"/>
        <w:widowControl w:val="0"/>
        <w:tabs>
          <w:tab w:val="clear" w:pos="1021"/>
          <w:tab w:val="right" w:pos="1020"/>
        </w:tabs>
        <w:rPr>
          <w:lang w:val="en-US"/>
        </w:rPr>
      </w:pPr>
      <w:r>
        <w:tab/>
      </w:r>
      <w:r>
        <w:rPr>
          <w:rStyle w:val="FootnoteReference"/>
        </w:rPr>
        <w:footnoteRef/>
      </w:r>
      <w:r>
        <w:tab/>
        <w:t>Pursuant to d</w:t>
      </w:r>
      <w:r w:rsidRPr="0044187D">
        <w:t>ecision 2/CP.17, annex VI, para</w:t>
      </w:r>
      <w:r>
        <w:t>.</w:t>
      </w:r>
      <w:r w:rsidRPr="0044187D">
        <w:t xml:space="preserve"> 10</w:t>
      </w:r>
      <w:r>
        <w:t>.</w:t>
      </w:r>
    </w:p>
  </w:footnote>
  <w:footnote w:id="16">
    <w:p w14:paraId="44659EC0" w14:textId="77777777" w:rsidR="00801B35" w:rsidRPr="008A690C" w:rsidRDefault="00801B35" w:rsidP="0024219D">
      <w:pPr>
        <w:pStyle w:val="FootnoteText"/>
        <w:widowControl w:val="0"/>
        <w:rPr>
          <w:lang w:val="en-US"/>
        </w:rPr>
      </w:pPr>
      <w:r>
        <w:tab/>
      </w:r>
      <w:r w:rsidRPr="00254550">
        <w:rPr>
          <w:rStyle w:val="FootnoteReference"/>
        </w:rPr>
        <w:footnoteRef/>
      </w:r>
      <w:r w:rsidRPr="00254550">
        <w:t xml:space="preserve"> </w:t>
      </w:r>
      <w:r>
        <w:tab/>
      </w:r>
      <w:r w:rsidRPr="007014EB">
        <w:rPr>
          <w:szCs w:val="18"/>
        </w:rPr>
        <w:t>FCCC/CP/2019/3 and Add.1.</w:t>
      </w:r>
    </w:p>
  </w:footnote>
  <w:footnote w:id="17">
    <w:p w14:paraId="09880538" w14:textId="7B0D8B2A" w:rsidR="00801B35" w:rsidRPr="008A690C" w:rsidRDefault="00801B35" w:rsidP="0024219D">
      <w:pPr>
        <w:pStyle w:val="FootnoteText"/>
        <w:widowControl w:val="0"/>
        <w:rPr>
          <w:lang w:val="en-US"/>
        </w:rPr>
      </w:pPr>
      <w:r>
        <w:tab/>
      </w:r>
      <w:r w:rsidRPr="00653BF2">
        <w:rPr>
          <w:rStyle w:val="FootnoteReference"/>
        </w:rPr>
        <w:footnoteRef/>
      </w:r>
      <w:r w:rsidRPr="00653BF2">
        <w:t xml:space="preserve"> </w:t>
      </w:r>
      <w:r>
        <w:tab/>
        <w:t xml:space="preserve">See Green Climate Fund Board document </w:t>
      </w:r>
      <w:r w:rsidRPr="00653BF2">
        <w:t>GCF/B.24/12</w:t>
      </w:r>
      <w:r>
        <w:t>,</w:t>
      </w:r>
      <w:r w:rsidRPr="00653BF2">
        <w:t xml:space="preserve"> para</w:t>
      </w:r>
      <w:r>
        <w:t>.</w:t>
      </w:r>
      <w:r w:rsidRPr="00653BF2">
        <w:t xml:space="preserve"> </w:t>
      </w:r>
      <w:r>
        <w:t>(</w:t>
      </w:r>
      <w:r w:rsidRPr="00653BF2">
        <w:t>d</w:t>
      </w:r>
      <w:r>
        <w:t>).</w:t>
      </w:r>
    </w:p>
  </w:footnote>
  <w:footnote w:id="18">
    <w:p w14:paraId="423CE42D" w14:textId="77777777" w:rsidR="00801B35" w:rsidRPr="007014EB" w:rsidRDefault="00801B35" w:rsidP="0024219D">
      <w:pPr>
        <w:pStyle w:val="FootnoteText"/>
        <w:widowControl w:val="0"/>
        <w:rPr>
          <w:lang w:val="en-US"/>
        </w:rPr>
      </w:pPr>
      <w:r>
        <w:tab/>
      </w:r>
      <w:r>
        <w:rPr>
          <w:rStyle w:val="FootnoteReference"/>
        </w:rPr>
        <w:footnoteRef/>
      </w:r>
      <w:r>
        <w:t xml:space="preserve"> </w:t>
      </w:r>
      <w:r>
        <w:tab/>
        <w:t xml:space="preserve">In accordance with </w:t>
      </w:r>
      <w:r w:rsidRPr="000C1A3F">
        <w:t xml:space="preserve">Green Climate Fund Board </w:t>
      </w:r>
      <w:r>
        <w:t>document</w:t>
      </w:r>
      <w:r w:rsidRPr="000C1A3F">
        <w:t xml:space="preserve"> GCF/B.</w:t>
      </w:r>
      <w:r>
        <w:t>24</w:t>
      </w:r>
      <w:r w:rsidRPr="000C1A3F">
        <w:t>/</w:t>
      </w:r>
      <w:r>
        <w:t>02</w:t>
      </w:r>
      <w:r w:rsidRPr="000C1A3F">
        <w:t>.</w:t>
      </w:r>
    </w:p>
  </w:footnote>
  <w:footnote w:id="19">
    <w:p w14:paraId="350A59FB" w14:textId="77777777" w:rsidR="00801B35" w:rsidRPr="008A690C" w:rsidRDefault="00801B35" w:rsidP="0024219D">
      <w:pPr>
        <w:pStyle w:val="FootnoteText"/>
        <w:widowControl w:val="0"/>
        <w:rPr>
          <w:lang w:val="en-US"/>
        </w:rPr>
      </w:pPr>
      <w:r>
        <w:tab/>
      </w:r>
      <w:r w:rsidRPr="00F93598">
        <w:rPr>
          <w:rStyle w:val="FootnoteReference"/>
        </w:rPr>
        <w:footnoteRef/>
      </w:r>
      <w:r w:rsidRPr="00F93598">
        <w:t xml:space="preserve"> </w:t>
      </w:r>
      <w:r>
        <w:tab/>
      </w:r>
      <w:hyperlink r:id="rId3" w:history="1">
        <w:r>
          <w:rPr>
            <w:rStyle w:val="Hyperlink"/>
          </w:rPr>
          <w:t>https://www4.unfccc.int/sites/submissionsstaging/Pages/Home.aspx</w:t>
        </w:r>
      </w:hyperlink>
      <w:r w:rsidRPr="00490F40">
        <w:rPr>
          <w:color w:val="000000" w:themeColor="text1"/>
        </w:rPr>
        <w:t>.</w:t>
      </w:r>
    </w:p>
  </w:footnote>
  <w:footnote w:id="20">
    <w:p w14:paraId="27DC6B22" w14:textId="77777777" w:rsidR="00801B35" w:rsidRPr="000D21BD" w:rsidRDefault="00801B35" w:rsidP="0024219D">
      <w:pPr>
        <w:pStyle w:val="FootnoteText"/>
        <w:widowControl w:val="0"/>
      </w:pPr>
      <w:r w:rsidRPr="006D1AC2">
        <w:rPr>
          <w:vertAlign w:val="superscript"/>
        </w:rPr>
        <w:tab/>
      </w:r>
      <w:r w:rsidRPr="006D1AC2">
        <w:rPr>
          <w:sz w:val="16"/>
          <w:vertAlign w:val="superscript"/>
        </w:rPr>
        <w:footnoteRef/>
      </w:r>
      <w:r>
        <w:t xml:space="preserve"> </w:t>
      </w:r>
      <w:bookmarkStart w:id="13" w:name="_Hlk27260639"/>
      <w:r>
        <w:tab/>
      </w:r>
      <w:r w:rsidRPr="00652504">
        <w:t>Green Climate Fund Board decision GCF/B.13/10</w:t>
      </w:r>
      <w:r>
        <w:t>.</w:t>
      </w:r>
      <w:bookmarkEnd w:id="13"/>
    </w:p>
  </w:footnote>
  <w:footnote w:id="21">
    <w:p w14:paraId="4E06B744" w14:textId="77777777" w:rsidR="00801B35" w:rsidRPr="006D1AC2" w:rsidRDefault="00801B35" w:rsidP="0024219D">
      <w:pPr>
        <w:pStyle w:val="FootnoteText"/>
        <w:widowControl w:val="0"/>
        <w:rPr>
          <w:lang w:val="en-US"/>
        </w:rPr>
      </w:pPr>
      <w:r>
        <w:tab/>
      </w:r>
      <w:r>
        <w:rPr>
          <w:rStyle w:val="FootnoteReference"/>
        </w:rPr>
        <w:footnoteRef/>
      </w:r>
      <w:r>
        <w:t xml:space="preserve"> </w:t>
      </w:r>
      <w:r>
        <w:tab/>
        <w:t>D</w:t>
      </w:r>
      <w:r w:rsidRPr="005072D4">
        <w:t>ecision 9/CMA.1, para</w:t>
      </w:r>
      <w:r>
        <w:t>.</w:t>
      </w:r>
      <w:r w:rsidRPr="005072D4">
        <w:t xml:space="preserve"> 21</w:t>
      </w:r>
      <w:r>
        <w:t>.</w:t>
      </w:r>
    </w:p>
  </w:footnote>
  <w:footnote w:id="22">
    <w:p w14:paraId="72B18337" w14:textId="77777777" w:rsidR="00801B35" w:rsidRPr="00AA56E7" w:rsidRDefault="00801B35" w:rsidP="0024219D">
      <w:pPr>
        <w:pStyle w:val="FootnoteText"/>
        <w:widowControl w:val="0"/>
        <w:rPr>
          <w:lang w:val="en-US"/>
        </w:rPr>
      </w:pPr>
      <w:r>
        <w:tab/>
      </w:r>
      <w:r>
        <w:rPr>
          <w:rStyle w:val="FootnoteReference"/>
        </w:rPr>
        <w:footnoteRef/>
      </w:r>
      <w:r>
        <w:t xml:space="preserve"> </w:t>
      </w:r>
      <w:r>
        <w:tab/>
        <w:t xml:space="preserve">Pursuant to </w:t>
      </w:r>
      <w:r w:rsidRPr="00213876">
        <w:t>Green Climate Fund Board document GCF/B.1</w:t>
      </w:r>
      <w:r>
        <w:t>7</w:t>
      </w:r>
      <w:r w:rsidRPr="00213876">
        <w:t>/10</w:t>
      </w:r>
      <w:r>
        <w:t>.</w:t>
      </w:r>
    </w:p>
  </w:footnote>
  <w:footnote w:id="23">
    <w:p w14:paraId="1F03DB2E" w14:textId="77777777" w:rsidR="00801B35" w:rsidRPr="00A80F8B" w:rsidRDefault="00801B35" w:rsidP="0024219D">
      <w:pPr>
        <w:pStyle w:val="FootnoteText"/>
        <w:widowControl w:val="0"/>
        <w:rPr>
          <w:lang w:val="en-US"/>
        </w:rPr>
      </w:pPr>
      <w:r>
        <w:tab/>
      </w:r>
      <w:r>
        <w:rPr>
          <w:rStyle w:val="FootnoteReference"/>
        </w:rPr>
        <w:footnoteRef/>
      </w:r>
      <w:r>
        <w:t xml:space="preserve"> </w:t>
      </w:r>
      <w:r>
        <w:tab/>
      </w:r>
      <w:r w:rsidRPr="00B020E2">
        <w:t>Green Climate Fund</w:t>
      </w:r>
      <w:r w:rsidRPr="00A80F8B">
        <w:rPr>
          <w:lang w:val="en-US"/>
        </w:rPr>
        <w:t xml:space="preserve"> Board decisions </w:t>
      </w:r>
      <w:r>
        <w:rPr>
          <w:lang w:val="en-US"/>
        </w:rPr>
        <w:t>GCF/</w:t>
      </w:r>
      <w:r w:rsidRPr="00A80F8B">
        <w:rPr>
          <w:lang w:val="en-US"/>
        </w:rPr>
        <w:t xml:space="preserve">B.22/10 and </w:t>
      </w:r>
      <w:r>
        <w:rPr>
          <w:lang w:val="en-US"/>
        </w:rPr>
        <w:t>GCF/</w:t>
      </w:r>
      <w:r w:rsidRPr="00A80F8B">
        <w:rPr>
          <w:lang w:val="en-US"/>
        </w:rPr>
        <w:t>B.22/11.</w:t>
      </w:r>
    </w:p>
  </w:footnote>
  <w:footnote w:id="24">
    <w:p w14:paraId="71FC3379" w14:textId="73222014" w:rsidR="00801B35" w:rsidRPr="00E315EA" w:rsidRDefault="00801B35" w:rsidP="0024219D">
      <w:pPr>
        <w:pStyle w:val="FootnoteText"/>
        <w:widowControl w:val="0"/>
        <w:rPr>
          <w:lang w:val="en-US"/>
        </w:rPr>
      </w:pPr>
      <w:r>
        <w:tab/>
      </w:r>
      <w:r>
        <w:rPr>
          <w:rStyle w:val="FootnoteReference"/>
        </w:rPr>
        <w:footnoteRef/>
      </w:r>
      <w:r>
        <w:t xml:space="preserve"> </w:t>
      </w:r>
      <w:r>
        <w:tab/>
        <w:t xml:space="preserve">See document </w:t>
      </w:r>
      <w:r w:rsidRPr="00E315EA">
        <w:t>FCCC/SB/2017/1/Add.1, annex</w:t>
      </w:r>
      <w:r>
        <w:t>.</w:t>
      </w:r>
    </w:p>
  </w:footnote>
  <w:footnote w:id="25">
    <w:p w14:paraId="328C4EE6" w14:textId="77777777" w:rsidR="00801B35" w:rsidRPr="00685C72" w:rsidRDefault="00801B35" w:rsidP="00C07533">
      <w:pPr>
        <w:pStyle w:val="FootnoteText"/>
        <w:rPr>
          <w:rFonts w:eastAsia="Malgun Gothic"/>
          <w:lang w:eastAsia="ko-KR"/>
        </w:rPr>
      </w:pPr>
      <w:r>
        <w:tab/>
      </w:r>
      <w:r>
        <w:rPr>
          <w:rStyle w:val="FootnoteReference"/>
        </w:rPr>
        <w:footnoteRef/>
      </w:r>
      <w:r>
        <w:t xml:space="preserve"> </w:t>
      </w:r>
      <w:r>
        <w:tab/>
        <w:t xml:space="preserve">FCCC/CP/2019/5 and Add.1. </w:t>
      </w:r>
    </w:p>
  </w:footnote>
  <w:footnote w:id="26">
    <w:p w14:paraId="4BBB9EED" w14:textId="77777777" w:rsidR="00801B35" w:rsidRPr="009A5FC3" w:rsidRDefault="00801B35" w:rsidP="00C07533">
      <w:pPr>
        <w:pStyle w:val="FootnoteText"/>
        <w:rPr>
          <w:rFonts w:eastAsia="Malgun Gothic"/>
          <w:lang w:eastAsia="ko-KR"/>
        </w:rPr>
      </w:pPr>
      <w:r>
        <w:tab/>
      </w:r>
      <w:r>
        <w:rPr>
          <w:rStyle w:val="FootnoteReference"/>
        </w:rPr>
        <w:footnoteRef/>
      </w:r>
      <w:r>
        <w:t xml:space="preserve"> </w:t>
      </w:r>
      <w:r>
        <w:tab/>
        <w:t xml:space="preserve">See </w:t>
      </w:r>
      <w:r w:rsidRPr="009246E5">
        <w:t>Global Environment Facility</w:t>
      </w:r>
      <w:r>
        <w:t xml:space="preserve"> document </w:t>
      </w:r>
      <w:r w:rsidRPr="009A5FC3">
        <w:t>GEF/C.55/09</w:t>
      </w:r>
      <w:r>
        <w:t>.</w:t>
      </w:r>
    </w:p>
  </w:footnote>
  <w:footnote w:id="27">
    <w:p w14:paraId="77CCCDF9" w14:textId="77777777" w:rsidR="00801B35" w:rsidRPr="009A5FC3" w:rsidRDefault="00801B35" w:rsidP="00C07533">
      <w:pPr>
        <w:pStyle w:val="FootnoteText"/>
        <w:rPr>
          <w:rFonts w:eastAsia="Malgun Gothic"/>
          <w:lang w:eastAsia="ko-KR"/>
        </w:rPr>
      </w:pPr>
      <w:r>
        <w:tab/>
      </w:r>
      <w:r>
        <w:rPr>
          <w:rStyle w:val="FootnoteReference"/>
        </w:rPr>
        <w:footnoteRef/>
      </w:r>
      <w:r>
        <w:t xml:space="preserve"> </w:t>
      </w:r>
      <w:r>
        <w:tab/>
        <w:t xml:space="preserve">See </w:t>
      </w:r>
      <w:r w:rsidRPr="009246E5">
        <w:t>Global Environment Facility</w:t>
      </w:r>
      <w:r>
        <w:t xml:space="preserve"> document </w:t>
      </w:r>
      <w:r w:rsidRPr="009A5FC3">
        <w:t>GEF/C.56/Inf.05</w:t>
      </w:r>
      <w:r>
        <w:t>.</w:t>
      </w:r>
    </w:p>
  </w:footnote>
  <w:footnote w:id="28">
    <w:p w14:paraId="0706CE89" w14:textId="77777777" w:rsidR="00801B35" w:rsidRPr="009A5FC3" w:rsidRDefault="00801B35" w:rsidP="00C07533">
      <w:pPr>
        <w:pStyle w:val="FootnoteText"/>
        <w:rPr>
          <w:rFonts w:eastAsia="Malgun Gothic"/>
          <w:lang w:eastAsia="ko-KR"/>
        </w:rPr>
      </w:pPr>
      <w:r>
        <w:tab/>
      </w:r>
      <w:r>
        <w:rPr>
          <w:rStyle w:val="FootnoteReference"/>
        </w:rPr>
        <w:footnoteRef/>
      </w:r>
      <w:r>
        <w:t xml:space="preserve"> </w:t>
      </w:r>
      <w:r>
        <w:tab/>
        <w:t xml:space="preserve">See </w:t>
      </w:r>
      <w:r w:rsidRPr="009246E5">
        <w:t>Global Environment Facility</w:t>
      </w:r>
      <w:r>
        <w:t xml:space="preserve"> document </w:t>
      </w:r>
      <w:r w:rsidRPr="009A5FC3">
        <w:t>GEF/C.53/04</w:t>
      </w:r>
      <w:r>
        <w:t>.</w:t>
      </w:r>
    </w:p>
  </w:footnote>
  <w:footnote w:id="29">
    <w:p w14:paraId="2B2E01A9" w14:textId="77777777" w:rsidR="00801B35" w:rsidRPr="009A5FC3" w:rsidRDefault="00801B35" w:rsidP="00C07533">
      <w:pPr>
        <w:pStyle w:val="FootnoteText"/>
        <w:rPr>
          <w:rFonts w:eastAsia="Malgun Gothic"/>
          <w:lang w:eastAsia="ko-KR"/>
        </w:rPr>
      </w:pPr>
      <w:r>
        <w:tab/>
      </w:r>
      <w:r>
        <w:rPr>
          <w:rStyle w:val="FootnoteReference"/>
        </w:rPr>
        <w:footnoteRef/>
      </w:r>
      <w:r>
        <w:t xml:space="preserve"> </w:t>
      </w:r>
      <w:r>
        <w:tab/>
        <w:t xml:space="preserve">See </w:t>
      </w:r>
      <w:r w:rsidRPr="009246E5">
        <w:t>Global Environment Facility</w:t>
      </w:r>
      <w:r>
        <w:t xml:space="preserve"> document </w:t>
      </w:r>
      <w:r w:rsidRPr="009A5FC3">
        <w:t>GEF/C.54/06</w:t>
      </w:r>
      <w:r>
        <w:t>.</w:t>
      </w:r>
    </w:p>
  </w:footnote>
  <w:footnote w:id="30">
    <w:p w14:paraId="1F028A76" w14:textId="77777777" w:rsidR="00801B35" w:rsidRPr="00820BC9" w:rsidRDefault="00801B35" w:rsidP="00C07533">
      <w:pPr>
        <w:pStyle w:val="FootnoteText"/>
        <w:rPr>
          <w:rFonts w:eastAsia="Malgun Gothic"/>
          <w:lang w:eastAsia="ko-KR"/>
        </w:rPr>
      </w:pPr>
      <w:r>
        <w:tab/>
      </w:r>
      <w:r>
        <w:rPr>
          <w:rStyle w:val="FootnoteReference"/>
        </w:rPr>
        <w:footnoteRef/>
      </w:r>
      <w:r>
        <w:t xml:space="preserve"> </w:t>
      </w:r>
      <w:r>
        <w:tab/>
        <w:t xml:space="preserve">See </w:t>
      </w:r>
      <w:r w:rsidRPr="009246E5">
        <w:t>Global Environment Facility</w:t>
      </w:r>
      <w:r>
        <w:t xml:space="preserve"> document GEF/C.56/03/Rev.01, annex I.</w:t>
      </w:r>
    </w:p>
  </w:footnote>
  <w:footnote w:id="31">
    <w:p w14:paraId="3F869115" w14:textId="77777777" w:rsidR="00801B35" w:rsidRPr="000601AC" w:rsidRDefault="00801B35" w:rsidP="00C07533">
      <w:pPr>
        <w:pStyle w:val="FootnoteText"/>
        <w:rPr>
          <w:rFonts w:eastAsia="Malgun Gothic"/>
          <w:lang w:eastAsia="ko-KR"/>
        </w:rPr>
      </w:pPr>
      <w:r>
        <w:tab/>
      </w:r>
      <w:r>
        <w:rPr>
          <w:rStyle w:val="FootnoteReference"/>
        </w:rPr>
        <w:footnoteRef/>
      </w:r>
      <w:r>
        <w:t xml:space="preserve"> </w:t>
      </w:r>
      <w:r>
        <w:tab/>
        <w:t xml:space="preserve">See </w:t>
      </w:r>
      <w:r w:rsidRPr="009246E5">
        <w:t>Global Environment Facility</w:t>
      </w:r>
      <w:r>
        <w:t xml:space="preserve"> document </w:t>
      </w:r>
      <w:r w:rsidRPr="000601AC">
        <w:t>GEF/ME/C.56/02/Rev.01</w:t>
      </w:r>
      <w:r>
        <w:t>, section 2.</w:t>
      </w:r>
    </w:p>
  </w:footnote>
  <w:footnote w:id="32">
    <w:p w14:paraId="28789FA8" w14:textId="77777777" w:rsidR="00801B35" w:rsidRPr="00FC13A1" w:rsidRDefault="00801B35" w:rsidP="00C07533">
      <w:pPr>
        <w:pStyle w:val="FootnoteText"/>
        <w:rPr>
          <w:rFonts w:eastAsia="Malgun Gothic"/>
          <w:lang w:eastAsia="ko-KR"/>
        </w:rPr>
      </w:pPr>
      <w:r>
        <w:tab/>
      </w:r>
      <w:r>
        <w:rPr>
          <w:rStyle w:val="FootnoteReference"/>
        </w:rPr>
        <w:footnoteRef/>
      </w:r>
      <w:r>
        <w:t xml:space="preserve"> </w:t>
      </w:r>
      <w:r>
        <w:tab/>
        <w:t>Contributions were made by Belgium, Canada, Denmark, Germany, the Netherlands, Sweden and Switzerland.</w:t>
      </w:r>
    </w:p>
  </w:footnote>
  <w:footnote w:id="33">
    <w:p w14:paraId="3691BF62" w14:textId="77777777" w:rsidR="00801B35" w:rsidRPr="0057306E" w:rsidRDefault="00801B35" w:rsidP="00C07533">
      <w:pPr>
        <w:pStyle w:val="FootnoteText"/>
        <w:rPr>
          <w:rFonts w:eastAsia="Malgun Gothic"/>
          <w:lang w:eastAsia="ko-KR"/>
        </w:rPr>
      </w:pPr>
      <w:r>
        <w:tab/>
      </w:r>
      <w:r>
        <w:rPr>
          <w:rStyle w:val="FootnoteReference"/>
        </w:rPr>
        <w:footnoteRef/>
      </w:r>
      <w:r>
        <w:tab/>
        <w:t xml:space="preserve">FCCC/SBI/2019/7. </w:t>
      </w:r>
    </w:p>
  </w:footnote>
  <w:footnote w:id="34">
    <w:p w14:paraId="1067D3CB" w14:textId="60B33F6A" w:rsidR="00801B35" w:rsidRPr="009C0B58" w:rsidRDefault="00801B35" w:rsidP="00C07533">
      <w:pPr>
        <w:pStyle w:val="FootnoteText"/>
        <w:rPr>
          <w:rFonts w:eastAsia="Malgun Gothic"/>
          <w:lang w:eastAsia="ko-KR"/>
        </w:rPr>
      </w:pPr>
      <w:r>
        <w:tab/>
      </w:r>
      <w:r>
        <w:rPr>
          <w:rStyle w:val="FootnoteReference"/>
        </w:rPr>
        <w:footnoteRef/>
      </w:r>
      <w:r>
        <w:t xml:space="preserve"> </w:t>
      </w:r>
      <w:r>
        <w:tab/>
        <w:t>As footnote 1 above.</w:t>
      </w:r>
    </w:p>
  </w:footnote>
  <w:footnote w:id="35">
    <w:p w14:paraId="7A34C745" w14:textId="7EABA8BB" w:rsidR="00801B35" w:rsidRPr="00D12E31" w:rsidRDefault="00801B35" w:rsidP="00C07533">
      <w:pPr>
        <w:pStyle w:val="FootnoteText"/>
        <w:rPr>
          <w:lang w:val="en-US"/>
        </w:rPr>
      </w:pPr>
      <w:r>
        <w:tab/>
      </w:r>
      <w:r>
        <w:rPr>
          <w:rStyle w:val="FootnoteReference"/>
        </w:rPr>
        <w:footnoteRef/>
      </w:r>
      <w:r>
        <w:tab/>
      </w:r>
      <w:hyperlink r:id="rId4" w:history="1">
        <w:r w:rsidRPr="00780CDC">
          <w:rPr>
            <w:rStyle w:val="Hyperlink"/>
          </w:rPr>
          <w:t>https://www4.unfccc.int/sites/submissionsstaging/Pages/Home.aspx</w:t>
        </w:r>
      </w:hyperlink>
      <w:r w:rsidRPr="009550B6">
        <w:rPr>
          <w:rStyle w:val="Hyperlink"/>
          <w:color w:val="auto"/>
          <w:u w:val="none"/>
        </w:rPr>
        <w:t>.</w:t>
      </w:r>
      <w:r w:rsidRPr="00780CDC">
        <w:t xml:space="preserve"> </w:t>
      </w:r>
    </w:p>
  </w:footnote>
  <w:footnote w:id="36">
    <w:p w14:paraId="13CA5C8A" w14:textId="77777777" w:rsidR="00801B35" w:rsidRPr="00F03C9B" w:rsidRDefault="00801B35" w:rsidP="00C17A02">
      <w:pPr>
        <w:pStyle w:val="FootnoteText"/>
        <w:rPr>
          <w:lang w:val="en-US"/>
        </w:rPr>
      </w:pPr>
      <w:r>
        <w:tab/>
      </w:r>
      <w:r>
        <w:rPr>
          <w:rStyle w:val="FootnoteReference"/>
        </w:rPr>
        <w:footnoteRef/>
      </w:r>
      <w:r>
        <w:tab/>
        <w:t>FCCC/SB/2019/4.</w:t>
      </w:r>
    </w:p>
  </w:footnote>
  <w:footnote w:id="37">
    <w:p w14:paraId="554CC571" w14:textId="77777777" w:rsidR="00801B35" w:rsidRPr="00EE06D1" w:rsidRDefault="00801B35" w:rsidP="00C17A02">
      <w:pPr>
        <w:pStyle w:val="FootnoteText"/>
        <w:widowControl w:val="0"/>
        <w:tabs>
          <w:tab w:val="clear" w:pos="1021"/>
          <w:tab w:val="right" w:pos="1020"/>
        </w:tabs>
        <w:rPr>
          <w:b/>
          <w:lang w:val="en-US"/>
        </w:rPr>
      </w:pPr>
      <w:r>
        <w:tab/>
      </w:r>
      <w:r>
        <w:rPr>
          <w:rStyle w:val="FootnoteReference"/>
        </w:rPr>
        <w:footnoteRef/>
      </w:r>
      <w:r>
        <w:tab/>
        <w:t xml:space="preserve">Available at </w:t>
      </w:r>
      <w:hyperlink r:id="rId5" w:history="1">
        <w:r w:rsidRPr="007A67D3">
          <w:rPr>
            <w:rStyle w:val="Hyperlink"/>
          </w:rPr>
          <w:t>https://bit.ly/36ESdPG</w:t>
        </w:r>
      </w:hyperlink>
      <w:r>
        <w:t>.</w:t>
      </w:r>
    </w:p>
  </w:footnote>
  <w:footnote w:id="38">
    <w:p w14:paraId="7D3F5970" w14:textId="77777777" w:rsidR="00801B35" w:rsidRPr="008C5776" w:rsidRDefault="00801B35" w:rsidP="00C17A02">
      <w:pPr>
        <w:pStyle w:val="FootnoteText"/>
        <w:rPr>
          <w:lang w:val="en-US"/>
        </w:rPr>
      </w:pPr>
      <w:r>
        <w:tab/>
      </w:r>
      <w:r>
        <w:rPr>
          <w:rStyle w:val="FootnoteReference"/>
        </w:rPr>
        <w:footnoteRef/>
      </w:r>
      <w:r>
        <w:tab/>
        <w:t xml:space="preserve">Contained in document FCCC/SB/2019/4. </w:t>
      </w:r>
    </w:p>
  </w:footnote>
  <w:footnote w:id="39">
    <w:p w14:paraId="02571248" w14:textId="77777777" w:rsidR="00801B35" w:rsidRPr="00DE12E3" w:rsidRDefault="00801B35" w:rsidP="00C17A02">
      <w:pPr>
        <w:pStyle w:val="FootnoteText"/>
        <w:rPr>
          <w:lang w:val="en-US"/>
        </w:rPr>
      </w:pPr>
      <w:r>
        <w:tab/>
      </w:r>
      <w:r>
        <w:rPr>
          <w:rStyle w:val="FootnoteReference"/>
        </w:rPr>
        <w:footnoteRef/>
      </w:r>
      <w:r>
        <w:tab/>
        <w:t xml:space="preserve">Pursuant to </w:t>
      </w:r>
      <w:r w:rsidRPr="00936C7C">
        <w:t>decision 21/CP.22, para</w:t>
      </w:r>
      <w:r>
        <w:t>.</w:t>
      </w:r>
      <w:r w:rsidRPr="00936C7C">
        <w:t xml:space="preserve"> 14</w:t>
      </w:r>
      <w:r>
        <w:t xml:space="preserve">. </w:t>
      </w:r>
    </w:p>
  </w:footnote>
  <w:footnote w:id="40">
    <w:p w14:paraId="6164F98B" w14:textId="77777777" w:rsidR="00801B35" w:rsidRPr="00542D26" w:rsidRDefault="00801B35" w:rsidP="00C17A02">
      <w:pPr>
        <w:pStyle w:val="FootnoteText"/>
        <w:rPr>
          <w:lang w:val="en-US"/>
        </w:rPr>
      </w:pPr>
      <w:r>
        <w:tab/>
      </w:r>
      <w:r>
        <w:rPr>
          <w:rStyle w:val="FootnoteReference"/>
        </w:rPr>
        <w:footnoteRef/>
      </w:r>
      <w:r>
        <w:tab/>
      </w:r>
      <w:r w:rsidRPr="00542D26">
        <w:t xml:space="preserve">Available at </w:t>
      </w:r>
      <w:hyperlink r:id="rId6" w:history="1">
        <w:r>
          <w:rPr>
            <w:rStyle w:val="Hyperlink"/>
          </w:rPr>
          <w:t>https://www.ctc-n.org/sites/www.ctc-n.org/files/ctcn_programme_of_work_2019-2022.pdf</w:t>
        </w:r>
      </w:hyperlink>
      <w:r>
        <w:t>.</w:t>
      </w:r>
    </w:p>
  </w:footnote>
  <w:footnote w:id="41">
    <w:p w14:paraId="79C63BD6" w14:textId="77777777" w:rsidR="00801B35" w:rsidRPr="00DD3B18" w:rsidRDefault="00801B35" w:rsidP="00C17A02">
      <w:pPr>
        <w:pStyle w:val="FootnoteText"/>
        <w:rPr>
          <w:lang w:val="en-US"/>
        </w:rPr>
      </w:pPr>
      <w:r>
        <w:tab/>
      </w:r>
      <w:r>
        <w:rPr>
          <w:rStyle w:val="FootnoteReference"/>
        </w:rPr>
        <w:footnoteRef/>
      </w:r>
      <w:r>
        <w:tab/>
        <w:t xml:space="preserve">Contained in document </w:t>
      </w:r>
      <w:r>
        <w:rPr>
          <w:lang w:val="en-US"/>
        </w:rPr>
        <w:t>FCCC/CP/2017/3.</w:t>
      </w:r>
    </w:p>
  </w:footnote>
  <w:footnote w:id="42">
    <w:p w14:paraId="18B0D0F6" w14:textId="77777777" w:rsidR="00801B35" w:rsidRPr="00E84B7F" w:rsidRDefault="00801B35" w:rsidP="00DB0E25">
      <w:pPr>
        <w:pStyle w:val="FootnoteText"/>
        <w:rPr>
          <w:lang w:val="en-US"/>
        </w:rPr>
      </w:pPr>
      <w:r>
        <w:tab/>
      </w:r>
      <w:r>
        <w:rPr>
          <w:rStyle w:val="FootnoteReference"/>
        </w:rPr>
        <w:footnoteRef/>
      </w:r>
      <w:r>
        <w:t xml:space="preserve"> </w:t>
      </w:r>
      <w:r>
        <w:tab/>
      </w:r>
      <w:hyperlink r:id="rId7" w:history="1">
        <w:r>
          <w:rPr>
            <w:rStyle w:val="Hyperlink"/>
          </w:rPr>
          <w:t>https://www4.unfccc.int/sites/submissionsstaging/Pages/Home.aspx</w:t>
        </w:r>
      </w:hyperlink>
      <w:r w:rsidRPr="00123D82">
        <w:rPr>
          <w:rStyle w:val="Hyperlink"/>
          <w:color w:val="auto"/>
          <w:u w:val="none"/>
        </w:rPr>
        <w:t>.</w:t>
      </w:r>
    </w:p>
  </w:footnote>
  <w:footnote w:id="43">
    <w:p w14:paraId="524D239D" w14:textId="77777777" w:rsidR="00801B35" w:rsidRPr="00E84B7F" w:rsidDel="0064603B" w:rsidRDefault="00801B35" w:rsidP="00DB0E25">
      <w:pPr>
        <w:pStyle w:val="FootnoteText"/>
        <w:rPr>
          <w:lang w:val="en-US"/>
        </w:rPr>
      </w:pPr>
      <w:r w:rsidDel="0064603B">
        <w:tab/>
      </w:r>
      <w:r w:rsidDel="0064603B">
        <w:rPr>
          <w:rStyle w:val="FootnoteReference"/>
        </w:rPr>
        <w:footnoteRef/>
      </w:r>
      <w:r w:rsidDel="0064603B">
        <w:t xml:space="preserve"> </w:t>
      </w:r>
      <w:r w:rsidDel="0064603B">
        <w:tab/>
      </w:r>
      <w:hyperlink r:id="rId8" w:history="1">
        <w:r w:rsidRPr="00901CBD" w:rsidDel="0064603B">
          <w:rPr>
            <w:szCs w:val="18"/>
          </w:rPr>
          <w:t>As</w:t>
        </w:r>
      </w:hyperlink>
      <w:r w:rsidRPr="00901CBD" w:rsidDel="0064603B">
        <w:rPr>
          <w:szCs w:val="18"/>
        </w:rPr>
        <w:t xml:space="preserve"> footnote 1 above.</w:t>
      </w:r>
    </w:p>
  </w:footnote>
  <w:footnote w:id="44">
    <w:p w14:paraId="745C2B5A" w14:textId="77777777" w:rsidR="00801B35" w:rsidRPr="00F30D2F" w:rsidRDefault="00801B35" w:rsidP="00DB0E25">
      <w:pPr>
        <w:pStyle w:val="FootnoteText"/>
        <w:rPr>
          <w:szCs w:val="18"/>
        </w:rPr>
      </w:pPr>
      <w:r>
        <w:tab/>
      </w:r>
      <w:r w:rsidRPr="00F30D2F">
        <w:rPr>
          <w:rStyle w:val="FootnoteReference"/>
        </w:rPr>
        <w:footnoteRef/>
      </w:r>
      <w:r w:rsidRPr="00F30D2F">
        <w:t xml:space="preserve"> </w:t>
      </w:r>
      <w:r>
        <w:tab/>
      </w:r>
      <w:r w:rsidRPr="00F30D2F">
        <w:rPr>
          <w:szCs w:val="18"/>
        </w:rPr>
        <w:t>Decision 15/CP.18, para</w:t>
      </w:r>
      <w:r>
        <w:rPr>
          <w:szCs w:val="18"/>
        </w:rPr>
        <w:t>s.</w:t>
      </w:r>
      <w:r w:rsidRPr="00F30D2F">
        <w:rPr>
          <w:szCs w:val="18"/>
        </w:rPr>
        <w:t xml:space="preserve"> 1</w:t>
      </w:r>
      <w:r>
        <w:rPr>
          <w:szCs w:val="18"/>
        </w:rPr>
        <w:t>–</w:t>
      </w:r>
      <w:r w:rsidRPr="00F30D2F">
        <w:rPr>
          <w:szCs w:val="18"/>
        </w:rPr>
        <w:t xml:space="preserve">2. </w:t>
      </w:r>
    </w:p>
  </w:footnote>
  <w:footnote w:id="45">
    <w:p w14:paraId="0EF81C6D" w14:textId="2CF82FD1" w:rsidR="00801B35" w:rsidRPr="000D75E5" w:rsidRDefault="00801B35" w:rsidP="00DB0E25">
      <w:pPr>
        <w:pStyle w:val="FootnoteText"/>
        <w:rPr>
          <w:lang w:val="en-US"/>
        </w:rPr>
      </w:pPr>
      <w:r>
        <w:tab/>
      </w:r>
      <w:r>
        <w:rPr>
          <w:rStyle w:val="FootnoteReference"/>
        </w:rPr>
        <w:footnoteRef/>
      </w:r>
      <w:r>
        <w:t xml:space="preserve"> </w:t>
      </w:r>
      <w:r>
        <w:tab/>
      </w:r>
      <w:r w:rsidDel="00D66916">
        <w:t xml:space="preserve">Reports </w:t>
      </w:r>
      <w:r>
        <w:t xml:space="preserve">available at </w:t>
      </w:r>
      <w:hyperlink r:id="rId9" w:history="1">
        <w:r w:rsidRPr="00192BE3">
          <w:rPr>
            <w:rStyle w:val="Hyperlink"/>
          </w:rPr>
          <w:t>https://unfccc.int/topics/education-and-outreach/the-big-picture/education-and-outreach-in-the-negotiations/negotiations-on-article-6-of-the-convention-decisions-and-reports</w:t>
        </w:r>
      </w:hyperlink>
      <w:r>
        <w:t>.</w:t>
      </w:r>
    </w:p>
  </w:footnote>
  <w:footnote w:id="46">
    <w:p w14:paraId="5F673778" w14:textId="77777777" w:rsidR="00801B35" w:rsidRPr="00F30D2F" w:rsidRDefault="00801B35" w:rsidP="00DB0E25">
      <w:pPr>
        <w:pStyle w:val="FootnoteText"/>
        <w:rPr>
          <w:szCs w:val="18"/>
        </w:rPr>
      </w:pPr>
      <w:r>
        <w:rPr>
          <w:szCs w:val="18"/>
        </w:rPr>
        <w:tab/>
      </w:r>
      <w:r w:rsidRPr="00F30D2F">
        <w:rPr>
          <w:rStyle w:val="FootnoteReference"/>
          <w:szCs w:val="18"/>
        </w:rPr>
        <w:footnoteRef/>
      </w:r>
      <w:r w:rsidRPr="00F30D2F">
        <w:rPr>
          <w:szCs w:val="18"/>
        </w:rPr>
        <w:t xml:space="preserve"> </w:t>
      </w:r>
      <w:r>
        <w:rPr>
          <w:szCs w:val="18"/>
        </w:rPr>
        <w:tab/>
      </w:r>
      <w:r w:rsidRPr="00F30D2F">
        <w:rPr>
          <w:szCs w:val="18"/>
        </w:rPr>
        <w:t>Decision 15/CP.18, annex, para</w:t>
      </w:r>
      <w:r>
        <w:rPr>
          <w:szCs w:val="18"/>
        </w:rPr>
        <w:t>.</w:t>
      </w:r>
      <w:r w:rsidRPr="00F30D2F">
        <w:rPr>
          <w:szCs w:val="18"/>
        </w:rPr>
        <w:t xml:space="preserve"> 35(a).</w:t>
      </w:r>
    </w:p>
  </w:footnote>
  <w:footnote w:id="47">
    <w:p w14:paraId="15C7E770" w14:textId="77777777" w:rsidR="00801B35" w:rsidRPr="00FC7023" w:rsidRDefault="00801B35" w:rsidP="00DB0E25">
      <w:pPr>
        <w:pStyle w:val="FootnoteText"/>
        <w:rPr>
          <w:lang w:val="en-US"/>
        </w:rPr>
      </w:pPr>
      <w:r>
        <w:tab/>
      </w:r>
      <w:r>
        <w:rPr>
          <w:rStyle w:val="FootnoteReference"/>
        </w:rPr>
        <w:footnoteRef/>
      </w:r>
      <w:r>
        <w:t xml:space="preserve"> </w:t>
      </w:r>
      <w:r>
        <w:tab/>
      </w:r>
      <w:r w:rsidRPr="00925ED6">
        <w:t>FCCC/SBI/2016/6</w:t>
      </w:r>
      <w:r>
        <w:t>.</w:t>
      </w:r>
    </w:p>
  </w:footnote>
  <w:footnote w:id="48">
    <w:p w14:paraId="66C4025E" w14:textId="77777777" w:rsidR="00801B35" w:rsidRPr="000D75E5" w:rsidRDefault="00801B35" w:rsidP="001B00ED">
      <w:pPr>
        <w:pStyle w:val="FootnoteText"/>
        <w:rPr>
          <w:lang w:val="en-US"/>
        </w:rPr>
      </w:pPr>
      <w:r>
        <w:tab/>
      </w:r>
      <w:r>
        <w:rPr>
          <w:rStyle w:val="FootnoteReference"/>
        </w:rPr>
        <w:footnoteRef/>
      </w:r>
      <w:r>
        <w:tab/>
        <w:t>D</w:t>
      </w:r>
      <w:r w:rsidRPr="0021586B">
        <w:t>ecision 17/CMA.</w:t>
      </w:r>
      <w:r>
        <w:t xml:space="preserve">1, </w:t>
      </w:r>
      <w:r w:rsidRPr="00F30D2F">
        <w:rPr>
          <w:szCs w:val="18"/>
        </w:rPr>
        <w:t>para</w:t>
      </w:r>
      <w:r>
        <w:rPr>
          <w:szCs w:val="18"/>
        </w:rPr>
        <w:t>. 2.</w:t>
      </w:r>
    </w:p>
  </w:footnote>
  <w:footnote w:id="49">
    <w:p w14:paraId="60DB2375" w14:textId="78870A0A" w:rsidR="00801B35" w:rsidRPr="00DC293D" w:rsidRDefault="00801B35" w:rsidP="00DB0E25">
      <w:pPr>
        <w:pStyle w:val="FootnoteText"/>
        <w:rPr>
          <w:lang w:val="en-US"/>
        </w:rPr>
      </w:pPr>
      <w:r>
        <w:tab/>
      </w:r>
      <w:r>
        <w:rPr>
          <w:rStyle w:val="FootnoteReference"/>
        </w:rPr>
        <w:footnoteRef/>
      </w:r>
      <w:r>
        <w:t xml:space="preserve"> </w:t>
      </w:r>
      <w:r>
        <w:tab/>
        <w:t xml:space="preserve">See </w:t>
      </w:r>
      <w:hyperlink r:id="rId10" w:history="1">
        <w:r w:rsidRPr="00553890">
          <w:rPr>
            <w:rStyle w:val="Hyperlink"/>
          </w:rPr>
          <w:t>https://unfccc.int/sites/default/files/resource/Action%20for%20Climate%20Empowerment%</w:t>
        </w:r>
        <w:r w:rsidRPr="00553890">
          <w:rPr>
            <w:rStyle w:val="Hyperlink"/>
          </w:rPr>
          <w:br/>
        </w:r>
        <w:r w:rsidRPr="00615985">
          <w:rPr>
            <w:rStyle w:val="Hyperlink"/>
          </w:rPr>
          <w:t>20Workshop%20outcomes.pdf</w:t>
        </w:r>
      </w:hyperlink>
      <w:r>
        <w:t xml:space="preserve">. </w:t>
      </w:r>
    </w:p>
  </w:footnote>
  <w:footnote w:id="50">
    <w:p w14:paraId="51EC3404" w14:textId="6DCE5BBE" w:rsidR="00801B35" w:rsidRPr="00083C93" w:rsidRDefault="00801B35" w:rsidP="00DB0E25">
      <w:pPr>
        <w:pStyle w:val="FootnoteText"/>
      </w:pPr>
      <w:r>
        <w:tab/>
      </w:r>
      <w:r>
        <w:rPr>
          <w:rStyle w:val="FootnoteReference"/>
        </w:rPr>
        <w:footnoteRef/>
      </w:r>
      <w:r>
        <w:t xml:space="preserve"> </w:t>
      </w:r>
      <w:r>
        <w:tab/>
        <w:t xml:space="preserve">See </w:t>
      </w:r>
      <w:hyperlink r:id="rId11" w:history="1">
        <w:r w:rsidRPr="00094880">
          <w:rPr>
            <w:rStyle w:val="Hyperlink"/>
          </w:rPr>
          <w:t>https://unfccc.int/sites/default/files/resource/180505_Outcomes%20AYF%20-%20Final.pdf</w:t>
        </w:r>
      </w:hyperlink>
      <w:r w:rsidRPr="00083C93">
        <w:t>.</w:t>
      </w:r>
    </w:p>
  </w:footnote>
  <w:footnote w:id="51">
    <w:p w14:paraId="6D946899" w14:textId="77777777" w:rsidR="00801B35" w:rsidRPr="00873E7B" w:rsidRDefault="00801B35" w:rsidP="00DB0E25">
      <w:pPr>
        <w:pStyle w:val="FootnoteText"/>
        <w:rPr>
          <w:lang w:val="en-US"/>
        </w:rPr>
      </w:pPr>
      <w:r>
        <w:tab/>
      </w:r>
      <w:r>
        <w:rPr>
          <w:rStyle w:val="FootnoteReference"/>
        </w:rPr>
        <w:footnoteRef/>
      </w:r>
      <w:r>
        <w:t xml:space="preserve"> </w:t>
      </w:r>
      <w:r>
        <w:tab/>
      </w:r>
      <w:r w:rsidRPr="002076BF">
        <w:rPr>
          <w:shd w:val="clear" w:color="auto" w:fill="FFFFFF" w:themeFill="background1"/>
          <w:lang w:val="en-US"/>
        </w:rPr>
        <w:t>Decision 17/CMA</w:t>
      </w:r>
      <w:r>
        <w:rPr>
          <w:shd w:val="clear" w:color="auto" w:fill="FFFFFF" w:themeFill="background1"/>
          <w:lang w:val="en-US"/>
        </w:rPr>
        <w:t>.</w:t>
      </w:r>
      <w:r w:rsidRPr="002076BF">
        <w:rPr>
          <w:shd w:val="clear" w:color="auto" w:fill="FFFFFF" w:themeFill="background1"/>
          <w:lang w:val="en-US"/>
        </w:rPr>
        <w:t>1, paras</w:t>
      </w:r>
      <w:r>
        <w:rPr>
          <w:shd w:val="clear" w:color="auto" w:fill="FFFFFF" w:themeFill="background1"/>
          <w:lang w:val="en-US"/>
        </w:rPr>
        <w:t>.</w:t>
      </w:r>
      <w:r>
        <w:rPr>
          <w:lang w:val="en-US"/>
        </w:rPr>
        <w:t xml:space="preserve"> 5–6.</w:t>
      </w:r>
    </w:p>
  </w:footnote>
  <w:footnote w:id="52">
    <w:p w14:paraId="5361D59A" w14:textId="77777777" w:rsidR="00801B35" w:rsidRPr="00CD1BF7" w:rsidRDefault="00801B35" w:rsidP="00892142">
      <w:pPr>
        <w:pStyle w:val="FootnoteText"/>
        <w:rPr>
          <w:lang w:val="it-IT"/>
        </w:rPr>
      </w:pPr>
      <w:r w:rsidRPr="00D02333">
        <w:rPr>
          <w:lang w:val="it-IT"/>
        </w:rPr>
        <w:tab/>
      </w:r>
      <w:r w:rsidRPr="00FC33E0">
        <w:rPr>
          <w:rStyle w:val="FootnoteReference"/>
        </w:rPr>
        <w:footnoteRef/>
      </w:r>
      <w:r w:rsidRPr="00D02333">
        <w:rPr>
          <w:lang w:val="it-IT"/>
        </w:rPr>
        <w:tab/>
      </w:r>
      <w:bookmarkStart w:id="24" w:name="_Hlk6999883"/>
      <w:r w:rsidRPr="00CD1BF7">
        <w:rPr>
          <w:lang w:val="it-IT"/>
        </w:rPr>
        <w:t>Decision 15/CP.1, annex I</w:t>
      </w:r>
      <w:r>
        <w:rPr>
          <w:lang w:val="it-IT"/>
        </w:rPr>
        <w:t>, as amended by decision 17/CP.4, para. 16</w:t>
      </w:r>
      <w:r w:rsidRPr="00CD1BF7">
        <w:rPr>
          <w:lang w:val="it-IT"/>
        </w:rPr>
        <w:t>.</w:t>
      </w:r>
      <w:bookmarkEnd w:id="24"/>
    </w:p>
  </w:footnote>
  <w:footnote w:id="53">
    <w:p w14:paraId="6B4C6A35" w14:textId="18FBE347" w:rsidR="00801B35" w:rsidRPr="005F2137" w:rsidRDefault="00801B35" w:rsidP="00892142">
      <w:pPr>
        <w:pStyle w:val="FootnoteText"/>
        <w:tabs>
          <w:tab w:val="left" w:pos="1440"/>
          <w:tab w:val="left" w:pos="2160"/>
          <w:tab w:val="left" w:pos="2880"/>
          <w:tab w:val="left" w:pos="4230"/>
        </w:tabs>
      </w:pPr>
      <w:r w:rsidRPr="00CD1BF7">
        <w:rPr>
          <w:lang w:val="it-IT"/>
        </w:rPr>
        <w:tab/>
      </w:r>
      <w:r w:rsidRPr="00CD1BF7">
        <w:rPr>
          <w:rStyle w:val="FootnoteReference"/>
        </w:rPr>
        <w:footnoteRef/>
      </w:r>
      <w:r>
        <w:tab/>
        <w:t>See document FCCC/SBI/2019</w:t>
      </w:r>
      <w:r w:rsidRPr="00CD1BF7">
        <w:t>/4</w:t>
      </w:r>
      <w:r>
        <w:t>, chap. III.D</w:t>
      </w:r>
      <w:r w:rsidRPr="00CD1BF7">
        <w:t>.</w:t>
      </w:r>
    </w:p>
  </w:footnote>
  <w:footnote w:id="54">
    <w:p w14:paraId="6D93575B" w14:textId="716D9100" w:rsidR="00801B35" w:rsidRPr="005F2137" w:rsidRDefault="00801B35" w:rsidP="00892142">
      <w:pPr>
        <w:pStyle w:val="FootnoteText"/>
        <w:tabs>
          <w:tab w:val="left" w:pos="1440"/>
          <w:tab w:val="left" w:pos="2160"/>
          <w:tab w:val="left" w:pos="2880"/>
          <w:tab w:val="left" w:pos="4230"/>
        </w:tabs>
      </w:pPr>
      <w:r w:rsidRPr="00CD1BF7">
        <w:rPr>
          <w:lang w:val="it-IT"/>
        </w:rPr>
        <w:tab/>
      </w:r>
      <w:r w:rsidRPr="00CD1BF7">
        <w:rPr>
          <w:rStyle w:val="FootnoteReference"/>
        </w:rPr>
        <w:footnoteRef/>
      </w:r>
      <w:r>
        <w:tab/>
        <w:t>FCCC/SBI/2019</w:t>
      </w:r>
      <w:r w:rsidRPr="00CD1BF7">
        <w:t>/4</w:t>
      </w:r>
      <w:r>
        <w:t xml:space="preserve"> and Add.1–2</w:t>
      </w:r>
      <w:r w:rsidRPr="00CD1BF7">
        <w:t>.</w:t>
      </w:r>
    </w:p>
  </w:footnote>
  <w:footnote w:id="55">
    <w:p w14:paraId="488B31AC" w14:textId="13609873" w:rsidR="00801B35" w:rsidRPr="007B5DE3" w:rsidRDefault="00801B35" w:rsidP="00892142">
      <w:pPr>
        <w:pStyle w:val="FootnoteText"/>
        <w:rPr>
          <w:lang w:val="en-US"/>
        </w:rPr>
      </w:pPr>
      <w:r>
        <w:tab/>
      </w:r>
      <w:r>
        <w:rPr>
          <w:rStyle w:val="FootnoteReference"/>
        </w:rPr>
        <w:footnoteRef/>
      </w:r>
      <w:r>
        <w:tab/>
      </w:r>
      <w:r>
        <w:tab/>
        <w:t>As footnote 1 above</w:t>
      </w:r>
      <w:r>
        <w:rPr>
          <w:lang w:val="it-IT"/>
        </w:rPr>
        <w:t>.</w:t>
      </w:r>
    </w:p>
  </w:footnote>
  <w:footnote w:id="56">
    <w:p w14:paraId="1EFD77D1" w14:textId="77777777" w:rsidR="00801B35" w:rsidRPr="002B65F7" w:rsidRDefault="00801B35" w:rsidP="00892142">
      <w:pPr>
        <w:pStyle w:val="FootnoteText"/>
      </w:pPr>
      <w:r>
        <w:tab/>
      </w:r>
      <w:r>
        <w:rPr>
          <w:rStyle w:val="FootnoteReference"/>
        </w:rPr>
        <w:footnoteRef/>
      </w:r>
      <w:r>
        <w:t xml:space="preserve"> </w:t>
      </w:r>
      <w:r>
        <w:tab/>
        <w:t>FCCC/SBI/2019/INF.5.</w:t>
      </w:r>
    </w:p>
  </w:footnote>
  <w:footnote w:id="57">
    <w:p w14:paraId="60AE0338" w14:textId="77777777" w:rsidR="00801B35" w:rsidRPr="000C7C5E" w:rsidRDefault="00801B35" w:rsidP="007501B5">
      <w:pPr>
        <w:pStyle w:val="FootnoteText"/>
        <w:rPr>
          <w:lang w:val="en-US"/>
        </w:rPr>
      </w:pPr>
      <w:r>
        <w:tab/>
      </w:r>
      <w:r>
        <w:rPr>
          <w:rStyle w:val="FootnoteReference"/>
        </w:rPr>
        <w:footnoteRef/>
      </w:r>
      <w:r>
        <w:rPr>
          <w:lang w:val="en-US"/>
        </w:rPr>
        <w:tab/>
      </w:r>
      <w:r w:rsidRPr="000C7C5E">
        <w:rPr>
          <w:lang w:val="en-US"/>
        </w:rPr>
        <w:t>Decision 15/CP.1, annex I</w:t>
      </w:r>
      <w:r>
        <w:rPr>
          <w:lang w:val="en-US"/>
        </w:rPr>
        <w:t>.</w:t>
      </w:r>
    </w:p>
  </w:footnote>
  <w:footnote w:id="58">
    <w:p w14:paraId="0EBE5B2E" w14:textId="77777777" w:rsidR="00801B35" w:rsidRPr="00126DD9" w:rsidRDefault="00801B35" w:rsidP="007501B5">
      <w:pPr>
        <w:pStyle w:val="FootnoteText"/>
        <w:widowControl w:val="0"/>
        <w:tabs>
          <w:tab w:val="clear" w:pos="1021"/>
          <w:tab w:val="right" w:pos="1020"/>
        </w:tabs>
        <w:rPr>
          <w:lang w:val="en-US"/>
        </w:rPr>
      </w:pPr>
      <w:r>
        <w:tab/>
      </w:r>
      <w:r>
        <w:rPr>
          <w:rStyle w:val="FootnoteReference"/>
        </w:rPr>
        <w:footnoteRef/>
      </w:r>
      <w:r>
        <w:tab/>
        <w:t>FCCC/SBI/2019/14 and Add.1–</w:t>
      </w:r>
      <w:r w:rsidRPr="00126DD9">
        <w:t>2</w:t>
      </w:r>
      <w:r>
        <w:t>,</w:t>
      </w:r>
      <w:r w:rsidRPr="00126DD9">
        <w:t xml:space="preserve"> FCCC/SBI/201</w:t>
      </w:r>
      <w:r>
        <w:t>9</w:t>
      </w:r>
      <w:r w:rsidRPr="00126DD9">
        <w:t>/INF.</w:t>
      </w:r>
      <w:r>
        <w:t>9</w:t>
      </w:r>
      <w:r w:rsidRPr="00126DD9">
        <w:t xml:space="preserve"> and Add.1</w:t>
      </w:r>
      <w:r>
        <w:t>,</w:t>
      </w:r>
      <w:r w:rsidRPr="00126DD9">
        <w:t xml:space="preserve"> FCCC/SBI/201</w:t>
      </w:r>
      <w:r>
        <w:t>9</w:t>
      </w:r>
      <w:r w:rsidRPr="00126DD9">
        <w:t>/INF.</w:t>
      </w:r>
      <w:r>
        <w:t>12</w:t>
      </w:r>
      <w:r w:rsidRPr="00126DD9">
        <w:t xml:space="preserve"> </w:t>
      </w:r>
      <w:r>
        <w:t xml:space="preserve">and </w:t>
      </w:r>
      <w:r w:rsidRPr="00126DD9">
        <w:t>FCCC/SBI/201</w:t>
      </w:r>
      <w:r>
        <w:t>9</w:t>
      </w:r>
      <w:r w:rsidRPr="00126DD9">
        <w:t>/INF.</w:t>
      </w:r>
      <w:r>
        <w:t>16</w:t>
      </w:r>
      <w:r w:rsidRPr="00BA0762">
        <w:t>.</w:t>
      </w:r>
    </w:p>
  </w:footnote>
  <w:footnote w:id="59">
    <w:p w14:paraId="37BCB367" w14:textId="77777777" w:rsidR="00801B35" w:rsidRPr="003F2A78" w:rsidRDefault="00801B35" w:rsidP="007501B5">
      <w:pPr>
        <w:pStyle w:val="FootnoteText"/>
        <w:widowControl w:val="0"/>
        <w:tabs>
          <w:tab w:val="clear" w:pos="1021"/>
          <w:tab w:val="right" w:pos="1020"/>
        </w:tabs>
        <w:rPr>
          <w:lang w:val="en-US"/>
        </w:rPr>
      </w:pPr>
      <w:r>
        <w:tab/>
      </w:r>
      <w:r>
        <w:rPr>
          <w:rStyle w:val="FootnoteReference"/>
        </w:rPr>
        <w:footnoteRef/>
      </w:r>
      <w:r>
        <w:tab/>
        <w:t>FCCC/SBI/2019/14 and Add.1–</w:t>
      </w:r>
      <w:r w:rsidRPr="00126DD9">
        <w:t>2</w:t>
      </w:r>
      <w:r>
        <w:t>.</w:t>
      </w:r>
    </w:p>
  </w:footnote>
  <w:footnote w:id="60">
    <w:p w14:paraId="5D3B3907" w14:textId="77777777" w:rsidR="00801B35" w:rsidRPr="00EB7221" w:rsidRDefault="00801B35" w:rsidP="007501B5">
      <w:pPr>
        <w:pStyle w:val="FootnoteText"/>
        <w:widowControl w:val="0"/>
        <w:tabs>
          <w:tab w:val="clear" w:pos="1021"/>
          <w:tab w:val="right" w:pos="1020"/>
        </w:tabs>
        <w:rPr>
          <w:lang w:val="en-US"/>
        </w:rPr>
      </w:pPr>
      <w:r>
        <w:tab/>
      </w:r>
      <w:r>
        <w:rPr>
          <w:rStyle w:val="FootnoteReference"/>
        </w:rPr>
        <w:footnoteRef/>
      </w:r>
      <w:r>
        <w:tab/>
        <w:t xml:space="preserve">FCCC/SBI/2019/INF.16. </w:t>
      </w:r>
    </w:p>
  </w:footnote>
  <w:footnote w:id="61">
    <w:p w14:paraId="4407ADBD" w14:textId="77777777" w:rsidR="00801B35" w:rsidRPr="00742DAC" w:rsidRDefault="00801B35" w:rsidP="007501B5">
      <w:pPr>
        <w:pStyle w:val="FootnoteText"/>
        <w:widowControl w:val="0"/>
        <w:tabs>
          <w:tab w:val="clear" w:pos="1021"/>
          <w:tab w:val="right" w:pos="1020"/>
        </w:tabs>
        <w:rPr>
          <w:lang w:val="en-US"/>
        </w:rPr>
      </w:pPr>
      <w:r>
        <w:tab/>
      </w:r>
      <w:r>
        <w:rPr>
          <w:rStyle w:val="FootnoteReference"/>
        </w:rPr>
        <w:footnoteRef/>
      </w:r>
      <w:r>
        <w:tab/>
        <w:t>FCCC/SBI/2019/INF.9 and Add.1.</w:t>
      </w:r>
    </w:p>
  </w:footnote>
  <w:footnote w:id="62">
    <w:p w14:paraId="75A11096" w14:textId="77777777" w:rsidR="00801B35" w:rsidRPr="00194572" w:rsidRDefault="00801B35" w:rsidP="007501B5">
      <w:pPr>
        <w:pStyle w:val="FootnoteText"/>
        <w:widowControl w:val="0"/>
        <w:rPr>
          <w:lang w:val="en-US"/>
        </w:rPr>
      </w:pPr>
      <w:r>
        <w:tab/>
      </w:r>
      <w:r>
        <w:rPr>
          <w:rStyle w:val="FootnoteReference"/>
        </w:rPr>
        <w:footnoteRef/>
      </w:r>
      <w:r>
        <w:tab/>
        <w:t>FCCC/SBI/2019/INF.4 and FCCC/SBI/2019/INF.12.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14F10" w14:textId="7D3707E1" w:rsidR="00801B35" w:rsidRPr="00C92FFD" w:rsidRDefault="00801B35" w:rsidP="00C92FFD">
    <w:pPr>
      <w:pStyle w:val="Header"/>
    </w:pPr>
    <w:r>
      <w:t>FCCC/CP/2019/13/Add.2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95A2" w14:textId="66F843BC" w:rsidR="00801B35" w:rsidRPr="00C92FFD" w:rsidRDefault="00801B35" w:rsidP="00C92FFD">
    <w:pPr>
      <w:pStyle w:val="Header"/>
      <w:jc w:val="right"/>
    </w:pPr>
    <w:r>
      <w:t>FCCC/CP/2019/13/Add.2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049ADD0C" w14:textId="77777777" w:rsidTr="2197FE05">
      <w:tc>
        <w:tcPr>
          <w:tcW w:w="3213" w:type="dxa"/>
        </w:tcPr>
        <w:p w14:paraId="6253053B" w14:textId="61730917" w:rsidR="00801B35" w:rsidRDefault="00801B35" w:rsidP="2197FE05">
          <w:pPr>
            <w:ind w:left="-115"/>
          </w:pPr>
        </w:p>
      </w:tc>
      <w:tc>
        <w:tcPr>
          <w:tcW w:w="3213" w:type="dxa"/>
        </w:tcPr>
        <w:p w14:paraId="10349EC1" w14:textId="24334D61" w:rsidR="00801B35" w:rsidRDefault="00801B35" w:rsidP="2197FE05">
          <w:pPr>
            <w:jc w:val="center"/>
          </w:pPr>
        </w:p>
      </w:tc>
      <w:tc>
        <w:tcPr>
          <w:tcW w:w="3213" w:type="dxa"/>
        </w:tcPr>
        <w:p w14:paraId="7F070C60" w14:textId="50659669" w:rsidR="00801B35" w:rsidRDefault="00801B35" w:rsidP="2197FE05">
          <w:pPr>
            <w:ind w:right="-115"/>
            <w:jc w:val="right"/>
          </w:pPr>
        </w:p>
      </w:tc>
    </w:tr>
  </w:tbl>
  <w:p w14:paraId="7D07FAC1" w14:textId="149603AD" w:rsidR="00801B35" w:rsidRDefault="00801B3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B78B" w14:textId="20E10FFC" w:rsidR="00801B35" w:rsidRPr="00C92FFD" w:rsidRDefault="00801B35" w:rsidP="00C92FFD">
    <w:pPr>
      <w:pStyle w:val="Header"/>
    </w:pPr>
    <w:r>
      <w:t>FCCC/CP/2019/13/Add.2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BD19" w14:textId="752EED64" w:rsidR="00801B35" w:rsidRPr="00C92FFD" w:rsidRDefault="00801B35" w:rsidP="00C92FFD">
    <w:pPr>
      <w:pStyle w:val="Header"/>
      <w:jc w:val="right"/>
    </w:pPr>
    <w:r>
      <w:t>FCCC/CP/2019/13/Add.2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1D9B028C" w14:textId="77777777" w:rsidTr="2197FE05">
      <w:tc>
        <w:tcPr>
          <w:tcW w:w="3213" w:type="dxa"/>
        </w:tcPr>
        <w:p w14:paraId="1AD526A4" w14:textId="32509EB0" w:rsidR="00801B35" w:rsidRDefault="00801B35" w:rsidP="2197FE05">
          <w:pPr>
            <w:ind w:left="-115"/>
          </w:pPr>
        </w:p>
      </w:tc>
      <w:tc>
        <w:tcPr>
          <w:tcW w:w="3213" w:type="dxa"/>
        </w:tcPr>
        <w:p w14:paraId="6EC2ED48" w14:textId="432E3767" w:rsidR="00801B35" w:rsidRDefault="00801B35" w:rsidP="2197FE05">
          <w:pPr>
            <w:jc w:val="center"/>
          </w:pPr>
        </w:p>
      </w:tc>
      <w:tc>
        <w:tcPr>
          <w:tcW w:w="3213" w:type="dxa"/>
        </w:tcPr>
        <w:p w14:paraId="3A06C4B9" w14:textId="344D1A7D" w:rsidR="00801B35" w:rsidRDefault="00801B35" w:rsidP="2197FE05">
          <w:pPr>
            <w:ind w:right="-115"/>
            <w:jc w:val="right"/>
          </w:pPr>
        </w:p>
      </w:tc>
    </w:tr>
  </w:tbl>
  <w:p w14:paraId="785095EE" w14:textId="05C2718D" w:rsidR="00801B35" w:rsidRDefault="00801B3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2E44" w14:textId="2101178E" w:rsidR="00801B35" w:rsidRPr="00C92FFD" w:rsidRDefault="00801B35" w:rsidP="00C92FFD">
    <w:pPr>
      <w:pStyle w:val="Header"/>
    </w:pPr>
    <w:r>
      <w:t>FCCC/CP/2019/13/Add.2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6FD0" w14:textId="41F16127" w:rsidR="00801B35" w:rsidRPr="00C92FFD" w:rsidRDefault="00801B35" w:rsidP="00C92FFD">
    <w:pPr>
      <w:pStyle w:val="Header"/>
      <w:jc w:val="right"/>
    </w:pPr>
    <w:r>
      <w:t>FCCC/CP/2019/13/Add.2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701C2568" w14:textId="77777777" w:rsidTr="2197FE05">
      <w:tc>
        <w:tcPr>
          <w:tcW w:w="3213" w:type="dxa"/>
        </w:tcPr>
        <w:p w14:paraId="7F6B5196" w14:textId="5682B404" w:rsidR="00801B35" w:rsidRDefault="00801B35" w:rsidP="2197FE05">
          <w:pPr>
            <w:ind w:left="-115"/>
          </w:pPr>
        </w:p>
      </w:tc>
      <w:tc>
        <w:tcPr>
          <w:tcW w:w="3213" w:type="dxa"/>
        </w:tcPr>
        <w:p w14:paraId="5409A277" w14:textId="3CF59A8E" w:rsidR="00801B35" w:rsidRDefault="00801B35" w:rsidP="2197FE05">
          <w:pPr>
            <w:jc w:val="center"/>
          </w:pPr>
        </w:p>
      </w:tc>
      <w:tc>
        <w:tcPr>
          <w:tcW w:w="3213" w:type="dxa"/>
        </w:tcPr>
        <w:p w14:paraId="244A5259" w14:textId="2CCF5796" w:rsidR="00801B35" w:rsidRDefault="00801B35" w:rsidP="2197FE05">
          <w:pPr>
            <w:ind w:right="-115"/>
            <w:jc w:val="right"/>
          </w:pPr>
        </w:p>
      </w:tc>
    </w:tr>
  </w:tbl>
  <w:p w14:paraId="18742A9B" w14:textId="14725E82" w:rsidR="00801B35" w:rsidRDefault="00801B3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F5E50" w14:textId="0EFB0FF9" w:rsidR="00801B35" w:rsidRPr="00C92FFD" w:rsidRDefault="00801B35" w:rsidP="00C92FFD">
    <w:pPr>
      <w:pStyle w:val="Header"/>
    </w:pPr>
    <w:r>
      <w:t>FCCC/CP/2019/13/Add.2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A290" w14:textId="50A086AB" w:rsidR="00801B35" w:rsidRPr="00C92FFD" w:rsidRDefault="00801B35" w:rsidP="00C92FFD">
    <w:pPr>
      <w:pStyle w:val="Header"/>
      <w:jc w:val="right"/>
    </w:pPr>
    <w:r>
      <w:t>FCCC/CP/2019/13/Add.2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6439" w14:textId="43363FCB" w:rsidR="00801B35" w:rsidRPr="00C92FFD" w:rsidRDefault="00801B35" w:rsidP="00C92FFD">
    <w:pPr>
      <w:pStyle w:val="Header"/>
      <w:jc w:val="right"/>
    </w:pPr>
    <w:r>
      <w:t>FCCC/CP/2019/13/Add.2</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17044C1C" w14:textId="77777777" w:rsidTr="2197FE05">
      <w:tc>
        <w:tcPr>
          <w:tcW w:w="3213" w:type="dxa"/>
        </w:tcPr>
        <w:p w14:paraId="547D6B96" w14:textId="0B8B0829" w:rsidR="00801B35" w:rsidRDefault="00801B35" w:rsidP="2197FE05">
          <w:pPr>
            <w:ind w:left="-115"/>
          </w:pPr>
        </w:p>
      </w:tc>
      <w:tc>
        <w:tcPr>
          <w:tcW w:w="3213" w:type="dxa"/>
        </w:tcPr>
        <w:p w14:paraId="1C759787" w14:textId="1611C4B7" w:rsidR="00801B35" w:rsidRDefault="00801B35" w:rsidP="2197FE05">
          <w:pPr>
            <w:jc w:val="center"/>
          </w:pPr>
        </w:p>
      </w:tc>
      <w:tc>
        <w:tcPr>
          <w:tcW w:w="3213" w:type="dxa"/>
        </w:tcPr>
        <w:p w14:paraId="54538080" w14:textId="3FC67051" w:rsidR="00801B35" w:rsidRDefault="00801B35" w:rsidP="2197FE05">
          <w:pPr>
            <w:ind w:right="-115"/>
            <w:jc w:val="right"/>
          </w:pPr>
        </w:p>
      </w:tc>
    </w:tr>
  </w:tbl>
  <w:p w14:paraId="05A05CC3" w14:textId="178B1259" w:rsidR="00801B35" w:rsidRDefault="00801B3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A1502" w14:textId="429C365C" w:rsidR="00801B35" w:rsidRPr="00C92FFD" w:rsidRDefault="00801B35" w:rsidP="00C92FFD">
    <w:pPr>
      <w:pStyle w:val="Header"/>
    </w:pPr>
    <w:r>
      <w:t>FCCC/CP/2019/13/Add.2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ABE2" w14:textId="7DDE49CD" w:rsidR="00801B35" w:rsidRPr="00C92FFD" w:rsidRDefault="00801B35" w:rsidP="00C92FFD">
    <w:pPr>
      <w:pStyle w:val="Header"/>
      <w:jc w:val="right"/>
    </w:pPr>
    <w:r>
      <w:t>FCCC/CP/2019/13/Add.2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7F214A52" w14:textId="77777777" w:rsidTr="2197FE05">
      <w:tc>
        <w:tcPr>
          <w:tcW w:w="3213" w:type="dxa"/>
        </w:tcPr>
        <w:p w14:paraId="15251360" w14:textId="3FC387EC" w:rsidR="00801B35" w:rsidRDefault="00801B35" w:rsidP="2197FE05">
          <w:pPr>
            <w:ind w:left="-115"/>
          </w:pPr>
        </w:p>
      </w:tc>
      <w:tc>
        <w:tcPr>
          <w:tcW w:w="3213" w:type="dxa"/>
        </w:tcPr>
        <w:p w14:paraId="4F36826D" w14:textId="13ECD29F" w:rsidR="00801B35" w:rsidRDefault="00801B35" w:rsidP="2197FE05">
          <w:pPr>
            <w:jc w:val="center"/>
          </w:pPr>
        </w:p>
      </w:tc>
      <w:tc>
        <w:tcPr>
          <w:tcW w:w="3213" w:type="dxa"/>
        </w:tcPr>
        <w:p w14:paraId="185E0005" w14:textId="1FB2DD85" w:rsidR="00801B35" w:rsidRDefault="00801B35" w:rsidP="2197FE05">
          <w:pPr>
            <w:ind w:right="-115"/>
            <w:jc w:val="right"/>
          </w:pPr>
        </w:p>
      </w:tc>
    </w:tr>
  </w:tbl>
  <w:p w14:paraId="12245493" w14:textId="5630B541" w:rsidR="00801B35" w:rsidRDefault="00801B35">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2954" w14:textId="381F5F5E" w:rsidR="00801B35" w:rsidRPr="00C92FFD" w:rsidRDefault="00801B35" w:rsidP="00C92FFD">
    <w:pPr>
      <w:pStyle w:val="Header"/>
    </w:pPr>
    <w:r>
      <w:t>FCCC/CP/2019/13/Add.2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FC7CC" w14:textId="269A6966" w:rsidR="00801B35" w:rsidRPr="00C92FFD" w:rsidRDefault="00801B35" w:rsidP="00C92FFD">
    <w:pPr>
      <w:pStyle w:val="Header"/>
      <w:jc w:val="right"/>
    </w:pPr>
    <w:r>
      <w:t>FCCC/CP/2019/13/Add.2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77314C54" w14:textId="77777777" w:rsidTr="2197FE05">
      <w:tc>
        <w:tcPr>
          <w:tcW w:w="3213" w:type="dxa"/>
        </w:tcPr>
        <w:p w14:paraId="4DD7A22D" w14:textId="0D81CF03" w:rsidR="00801B35" w:rsidRDefault="00801B35" w:rsidP="2197FE05">
          <w:pPr>
            <w:ind w:left="-115"/>
          </w:pPr>
        </w:p>
      </w:tc>
      <w:tc>
        <w:tcPr>
          <w:tcW w:w="3213" w:type="dxa"/>
        </w:tcPr>
        <w:p w14:paraId="0BD2D992" w14:textId="45A97241" w:rsidR="00801B35" w:rsidRDefault="00801B35" w:rsidP="2197FE05">
          <w:pPr>
            <w:jc w:val="center"/>
          </w:pPr>
        </w:p>
      </w:tc>
      <w:tc>
        <w:tcPr>
          <w:tcW w:w="3213" w:type="dxa"/>
        </w:tcPr>
        <w:p w14:paraId="1264963F" w14:textId="3033B0D9" w:rsidR="00801B35" w:rsidRDefault="00801B35" w:rsidP="2197FE05">
          <w:pPr>
            <w:ind w:right="-115"/>
            <w:jc w:val="right"/>
          </w:pPr>
        </w:p>
      </w:tc>
    </w:tr>
  </w:tbl>
  <w:p w14:paraId="6878FA7D" w14:textId="457D1E73" w:rsidR="00801B35" w:rsidRDefault="00801B35">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5671" w14:textId="389EC134" w:rsidR="00801B35" w:rsidRPr="00C92FFD" w:rsidRDefault="00801B35" w:rsidP="00C92FFD">
    <w:pPr>
      <w:pStyle w:val="Header"/>
    </w:pPr>
    <w:r>
      <w:t>FCCC/CP/2019/13/Add.2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90E97" w14:textId="3D66BF2F" w:rsidR="00801B35" w:rsidRPr="00C92FFD" w:rsidRDefault="00801B35" w:rsidP="00C92FFD">
    <w:pPr>
      <w:pStyle w:val="Header"/>
      <w:jc w:val="right"/>
    </w:pPr>
    <w:r>
      <w:t>FCCC/CP/2019/13/Add.2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4DE2822F" w14:textId="77777777" w:rsidTr="2197FE05">
      <w:tc>
        <w:tcPr>
          <w:tcW w:w="3213" w:type="dxa"/>
        </w:tcPr>
        <w:p w14:paraId="3CFFC9D7" w14:textId="4910DBBD" w:rsidR="00801B35" w:rsidRDefault="00801B35" w:rsidP="2197FE05">
          <w:pPr>
            <w:ind w:left="-115"/>
          </w:pPr>
        </w:p>
      </w:tc>
      <w:tc>
        <w:tcPr>
          <w:tcW w:w="3213" w:type="dxa"/>
        </w:tcPr>
        <w:p w14:paraId="5AD0B4EF" w14:textId="29CD938A" w:rsidR="00801B35" w:rsidRDefault="00801B35" w:rsidP="2197FE05">
          <w:pPr>
            <w:jc w:val="center"/>
          </w:pPr>
        </w:p>
      </w:tc>
      <w:tc>
        <w:tcPr>
          <w:tcW w:w="3213" w:type="dxa"/>
        </w:tcPr>
        <w:p w14:paraId="09B3A65E" w14:textId="2FDA69FE" w:rsidR="00801B35" w:rsidRDefault="00801B35" w:rsidP="2197FE05">
          <w:pPr>
            <w:ind w:right="-115"/>
            <w:jc w:val="right"/>
          </w:pPr>
        </w:p>
      </w:tc>
    </w:tr>
  </w:tbl>
  <w:p w14:paraId="65C5452F" w14:textId="63A99F99" w:rsidR="00801B35" w:rsidRDefault="00801B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8F92" w14:textId="4668C76B" w:rsidR="00801B35" w:rsidRPr="00C92FFD" w:rsidRDefault="00801B35" w:rsidP="00C92FFD">
    <w:pPr>
      <w:pStyle w:val="Header"/>
    </w:pPr>
    <w:r>
      <w:t>FCCC/CP/2019/13/Add.2</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83380" w14:textId="364D800D" w:rsidR="00801B35" w:rsidRPr="00C92FFD" w:rsidRDefault="00801B35" w:rsidP="00C92FFD">
    <w:pPr>
      <w:pStyle w:val="Header"/>
    </w:pPr>
    <w:r>
      <w:t>FCCC/CP/2019/13/Add.2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3EA7" w14:textId="56363209" w:rsidR="00801B35" w:rsidRPr="00C92FFD" w:rsidRDefault="00801B35" w:rsidP="00C92FFD">
    <w:pPr>
      <w:pStyle w:val="Header"/>
      <w:jc w:val="right"/>
    </w:pPr>
    <w:r>
      <w:t>FCCC/CP/2019/13/Add.2</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45755542" w14:textId="77777777" w:rsidTr="2197FE05">
      <w:tc>
        <w:tcPr>
          <w:tcW w:w="3213" w:type="dxa"/>
        </w:tcPr>
        <w:p w14:paraId="4055890B" w14:textId="59315F9C" w:rsidR="00801B35" w:rsidRDefault="00801B35" w:rsidP="2197FE05">
          <w:pPr>
            <w:ind w:left="-115"/>
          </w:pPr>
        </w:p>
      </w:tc>
      <w:tc>
        <w:tcPr>
          <w:tcW w:w="3213" w:type="dxa"/>
        </w:tcPr>
        <w:p w14:paraId="793B2D4A" w14:textId="10E0A23F" w:rsidR="00801B35" w:rsidRDefault="00801B35" w:rsidP="2197FE05">
          <w:pPr>
            <w:jc w:val="center"/>
          </w:pPr>
        </w:p>
      </w:tc>
      <w:tc>
        <w:tcPr>
          <w:tcW w:w="3213" w:type="dxa"/>
        </w:tcPr>
        <w:p w14:paraId="0016E01B" w14:textId="75A9CF8A" w:rsidR="00801B35" w:rsidRDefault="00801B35" w:rsidP="2197FE05">
          <w:pPr>
            <w:ind w:right="-115"/>
            <w:jc w:val="right"/>
          </w:pPr>
        </w:p>
      </w:tc>
    </w:tr>
  </w:tbl>
  <w:p w14:paraId="440E47A4" w14:textId="195D661A" w:rsidR="00801B35" w:rsidRDefault="00801B35">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835C0" w14:textId="0CC01BD6" w:rsidR="00801B35" w:rsidRPr="00C92FFD" w:rsidRDefault="00801B35" w:rsidP="00C92FFD">
    <w:pPr>
      <w:pStyle w:val="Header"/>
    </w:pPr>
    <w:r>
      <w:t>FCCC/CP/2019/13/Add.2</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A343" w14:textId="40F89DCF" w:rsidR="00801B35" w:rsidRPr="00C92FFD" w:rsidRDefault="00801B35" w:rsidP="00C92FFD">
    <w:pPr>
      <w:pStyle w:val="Header"/>
      <w:jc w:val="right"/>
    </w:pPr>
    <w:r>
      <w:t>FCCC/CP/2019/13/Add.2</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5E26663B" w14:textId="77777777" w:rsidTr="2197FE05">
      <w:tc>
        <w:tcPr>
          <w:tcW w:w="3213" w:type="dxa"/>
        </w:tcPr>
        <w:p w14:paraId="14BE544D" w14:textId="5C316C78" w:rsidR="00801B35" w:rsidRDefault="00801B35" w:rsidP="2197FE05">
          <w:pPr>
            <w:ind w:left="-115"/>
          </w:pPr>
        </w:p>
      </w:tc>
      <w:tc>
        <w:tcPr>
          <w:tcW w:w="3213" w:type="dxa"/>
        </w:tcPr>
        <w:p w14:paraId="4D8914E6" w14:textId="6B830739" w:rsidR="00801B35" w:rsidRDefault="00801B35" w:rsidP="2197FE05">
          <w:pPr>
            <w:jc w:val="center"/>
          </w:pPr>
        </w:p>
      </w:tc>
      <w:tc>
        <w:tcPr>
          <w:tcW w:w="3213" w:type="dxa"/>
        </w:tcPr>
        <w:p w14:paraId="270C898A" w14:textId="764E66C9" w:rsidR="00801B35" w:rsidRDefault="00801B35" w:rsidP="2197FE05">
          <w:pPr>
            <w:ind w:right="-115"/>
            <w:jc w:val="right"/>
          </w:pPr>
        </w:p>
      </w:tc>
    </w:tr>
  </w:tbl>
  <w:p w14:paraId="097B5D3C" w14:textId="27FC2B5B" w:rsidR="00801B35" w:rsidRDefault="00801B35">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48B7" w14:textId="3987C0E0" w:rsidR="00801B35" w:rsidRPr="00C92FFD" w:rsidRDefault="00801B35" w:rsidP="00C92FFD">
    <w:pPr>
      <w:pStyle w:val="Header"/>
    </w:pPr>
    <w:r>
      <w:t>FCCC/CP/2019/13/Add.2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12AF" w14:textId="27FF157D" w:rsidR="00801B35" w:rsidRPr="00C92FFD" w:rsidRDefault="00801B35" w:rsidP="00C92FFD">
    <w:pPr>
      <w:pStyle w:val="Header"/>
      <w:jc w:val="right"/>
    </w:pPr>
    <w:r>
      <w:t>FCCC/CP/2019/13/Add.2</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0D288EFC" w14:textId="77777777" w:rsidTr="2197FE05">
      <w:tc>
        <w:tcPr>
          <w:tcW w:w="3213" w:type="dxa"/>
        </w:tcPr>
        <w:p w14:paraId="23135882" w14:textId="1640B6B6" w:rsidR="00801B35" w:rsidRDefault="00801B35" w:rsidP="2197FE05">
          <w:pPr>
            <w:ind w:left="-115"/>
          </w:pPr>
        </w:p>
      </w:tc>
      <w:tc>
        <w:tcPr>
          <w:tcW w:w="3213" w:type="dxa"/>
        </w:tcPr>
        <w:p w14:paraId="793A869A" w14:textId="1ABF337B" w:rsidR="00801B35" w:rsidRDefault="00801B35" w:rsidP="2197FE05">
          <w:pPr>
            <w:jc w:val="center"/>
          </w:pPr>
        </w:p>
      </w:tc>
      <w:tc>
        <w:tcPr>
          <w:tcW w:w="3213" w:type="dxa"/>
        </w:tcPr>
        <w:p w14:paraId="1962072F" w14:textId="21F3ACB1" w:rsidR="00801B35" w:rsidRDefault="00801B35" w:rsidP="2197FE05">
          <w:pPr>
            <w:ind w:right="-115"/>
            <w:jc w:val="right"/>
          </w:pPr>
        </w:p>
      </w:tc>
    </w:tr>
  </w:tbl>
  <w:p w14:paraId="582EEC78" w14:textId="2670FF99" w:rsidR="00801B35" w:rsidRDefault="00801B35">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CCB25" w14:textId="0923FA19" w:rsidR="00801B35" w:rsidRPr="00C92FFD" w:rsidRDefault="00801B35" w:rsidP="00C92FFD">
    <w:pPr>
      <w:pStyle w:val="Header"/>
    </w:pPr>
    <w:r>
      <w:t>FCCC/CP/2019/13/Add.2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69D6" w14:textId="0A643D3D" w:rsidR="00801B35" w:rsidRPr="00C9679E" w:rsidRDefault="00801B35" w:rsidP="00C9679E">
    <w:pPr>
      <w:pStyle w:val="Header"/>
      <w:jc w:val="right"/>
    </w:pPr>
    <w:r>
      <w:t>FCCC/CP/2019/X/Add.2</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C184" w14:textId="443E53C5" w:rsidR="00801B35" w:rsidRPr="00C92FFD" w:rsidRDefault="00801B35" w:rsidP="00C92FFD">
    <w:pPr>
      <w:pStyle w:val="Header"/>
      <w:jc w:val="right"/>
    </w:pPr>
    <w:r>
      <w:t>FCCC/CP/2019/13/Add.2</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333E58D7" w14:textId="77777777" w:rsidTr="2197FE05">
      <w:tc>
        <w:tcPr>
          <w:tcW w:w="3213" w:type="dxa"/>
        </w:tcPr>
        <w:p w14:paraId="672CE6F7" w14:textId="063BE48B" w:rsidR="00801B35" w:rsidRDefault="00801B35" w:rsidP="2197FE05">
          <w:pPr>
            <w:ind w:left="-115"/>
          </w:pPr>
        </w:p>
      </w:tc>
      <w:tc>
        <w:tcPr>
          <w:tcW w:w="3213" w:type="dxa"/>
        </w:tcPr>
        <w:p w14:paraId="1239858B" w14:textId="5B43F923" w:rsidR="00801B35" w:rsidRDefault="00801B35" w:rsidP="2197FE05">
          <w:pPr>
            <w:jc w:val="center"/>
          </w:pPr>
        </w:p>
      </w:tc>
      <w:tc>
        <w:tcPr>
          <w:tcW w:w="3213" w:type="dxa"/>
        </w:tcPr>
        <w:p w14:paraId="21468064" w14:textId="2E8A1502" w:rsidR="00801B35" w:rsidRDefault="00801B35" w:rsidP="2197FE05">
          <w:pPr>
            <w:ind w:right="-115"/>
            <w:jc w:val="right"/>
          </w:pPr>
        </w:p>
      </w:tc>
    </w:tr>
  </w:tbl>
  <w:p w14:paraId="0DDA53E1" w14:textId="08531C87" w:rsidR="00801B35" w:rsidRDefault="00801B35">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7F13" w14:textId="16A37F67" w:rsidR="00801B35" w:rsidRPr="00C92FFD" w:rsidRDefault="00801B35" w:rsidP="00C92FFD">
    <w:pPr>
      <w:pStyle w:val="Header"/>
    </w:pPr>
    <w:r>
      <w:t>FCCC/CP/2019/13/Add.2</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789A" w14:textId="195B4991" w:rsidR="00801B35" w:rsidRPr="00C92FFD" w:rsidRDefault="00801B35" w:rsidP="00C92FFD">
    <w:pPr>
      <w:pStyle w:val="Header"/>
      <w:jc w:val="right"/>
    </w:pPr>
    <w:r>
      <w:t>FCCC/CP/2019/13/Add.2</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05C0A3B1" w14:textId="77777777" w:rsidTr="2197FE05">
      <w:tc>
        <w:tcPr>
          <w:tcW w:w="3213" w:type="dxa"/>
        </w:tcPr>
        <w:p w14:paraId="0AB6476F" w14:textId="6B048AFA" w:rsidR="00801B35" w:rsidRDefault="00801B35" w:rsidP="2197FE05">
          <w:pPr>
            <w:ind w:left="-115"/>
          </w:pPr>
        </w:p>
      </w:tc>
      <w:tc>
        <w:tcPr>
          <w:tcW w:w="3213" w:type="dxa"/>
        </w:tcPr>
        <w:p w14:paraId="3AD085D7" w14:textId="2BEDAC22" w:rsidR="00801B35" w:rsidRDefault="00801B35" w:rsidP="2197FE05">
          <w:pPr>
            <w:jc w:val="center"/>
          </w:pPr>
        </w:p>
      </w:tc>
      <w:tc>
        <w:tcPr>
          <w:tcW w:w="3213" w:type="dxa"/>
        </w:tcPr>
        <w:p w14:paraId="3D90C659" w14:textId="34F3B9D3" w:rsidR="00801B35" w:rsidRDefault="00801B35" w:rsidP="2197FE05">
          <w:pPr>
            <w:ind w:right="-115"/>
            <w:jc w:val="right"/>
          </w:pPr>
        </w:p>
      </w:tc>
    </w:tr>
  </w:tbl>
  <w:p w14:paraId="76E36685" w14:textId="25159F60" w:rsidR="00801B35" w:rsidRDefault="00801B35">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A208" w14:textId="6068A46C" w:rsidR="00801B35" w:rsidRPr="00C92FFD" w:rsidRDefault="00801B35" w:rsidP="00C92FFD">
    <w:pPr>
      <w:pStyle w:val="Header"/>
    </w:pPr>
    <w:r>
      <w:t>FCCC/CP/2019/13/Add.2</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55997" w14:textId="2978B341" w:rsidR="00801B35" w:rsidRPr="00C92FFD" w:rsidRDefault="00801B35" w:rsidP="00C92FFD">
    <w:pPr>
      <w:pStyle w:val="Header"/>
      <w:jc w:val="right"/>
    </w:pPr>
    <w:r>
      <w:t>FCCC/CP/2019/13/Add.2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49876FE5" w14:textId="77777777" w:rsidTr="2197FE05">
      <w:tc>
        <w:tcPr>
          <w:tcW w:w="3213" w:type="dxa"/>
        </w:tcPr>
        <w:p w14:paraId="7C6DF3A3" w14:textId="4570F356" w:rsidR="00801B35" w:rsidRDefault="00801B35" w:rsidP="2197FE05">
          <w:pPr>
            <w:ind w:left="-115"/>
          </w:pPr>
        </w:p>
      </w:tc>
      <w:tc>
        <w:tcPr>
          <w:tcW w:w="3213" w:type="dxa"/>
        </w:tcPr>
        <w:p w14:paraId="2A0EA487" w14:textId="311F31B4" w:rsidR="00801B35" w:rsidRDefault="00801B35" w:rsidP="2197FE05">
          <w:pPr>
            <w:jc w:val="center"/>
          </w:pPr>
        </w:p>
      </w:tc>
      <w:tc>
        <w:tcPr>
          <w:tcW w:w="3213" w:type="dxa"/>
        </w:tcPr>
        <w:p w14:paraId="71DCE8CB" w14:textId="618C964F" w:rsidR="00801B35" w:rsidRDefault="00801B35" w:rsidP="2197FE05">
          <w:pPr>
            <w:ind w:right="-115"/>
            <w:jc w:val="right"/>
          </w:pPr>
        </w:p>
      </w:tc>
    </w:tr>
  </w:tbl>
  <w:p w14:paraId="0FDFCC86" w14:textId="7013B016" w:rsidR="00801B35" w:rsidRDefault="00801B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22EDF38A" w14:textId="77777777" w:rsidTr="2197FE05">
      <w:tc>
        <w:tcPr>
          <w:tcW w:w="3213" w:type="dxa"/>
        </w:tcPr>
        <w:p w14:paraId="411CB105" w14:textId="5601271E" w:rsidR="00801B35" w:rsidRDefault="00801B35" w:rsidP="2197FE05">
          <w:pPr>
            <w:ind w:left="-115"/>
          </w:pPr>
        </w:p>
      </w:tc>
      <w:tc>
        <w:tcPr>
          <w:tcW w:w="3213" w:type="dxa"/>
        </w:tcPr>
        <w:p w14:paraId="50E7F5BD" w14:textId="67E05DFC" w:rsidR="00801B35" w:rsidRDefault="00801B35" w:rsidP="2197FE05">
          <w:pPr>
            <w:jc w:val="center"/>
          </w:pPr>
        </w:p>
      </w:tc>
      <w:tc>
        <w:tcPr>
          <w:tcW w:w="3213" w:type="dxa"/>
        </w:tcPr>
        <w:p w14:paraId="0B2EBED7" w14:textId="0E53289A" w:rsidR="00801B35" w:rsidRDefault="00801B35" w:rsidP="2197FE05">
          <w:pPr>
            <w:ind w:right="-115"/>
            <w:jc w:val="right"/>
          </w:pPr>
        </w:p>
      </w:tc>
    </w:tr>
  </w:tbl>
  <w:p w14:paraId="10B0CD7D" w14:textId="01365FE4" w:rsidR="00801B35" w:rsidRDefault="00801B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4475" w14:textId="3C412F68" w:rsidR="00801B35" w:rsidRPr="00C92FFD" w:rsidRDefault="00801B35" w:rsidP="00C92FFD">
    <w:pPr>
      <w:pStyle w:val="Header"/>
    </w:pPr>
    <w:r>
      <w:t>FCCC/CP/2019/13/Add.2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DE6C" w14:textId="2BC4762F" w:rsidR="00801B35" w:rsidRPr="00C92FFD" w:rsidRDefault="00801B35" w:rsidP="00C92FFD">
    <w:pPr>
      <w:pStyle w:val="Header"/>
      <w:jc w:val="right"/>
    </w:pPr>
    <w:r>
      <w:t>FCCC/CP/2019/13/Add.2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3"/>
      <w:gridCol w:w="3213"/>
      <w:gridCol w:w="3213"/>
    </w:tblGrid>
    <w:tr w:rsidR="00801B35" w14:paraId="79181839" w14:textId="77777777" w:rsidTr="2197FE05">
      <w:tc>
        <w:tcPr>
          <w:tcW w:w="3213" w:type="dxa"/>
        </w:tcPr>
        <w:p w14:paraId="38F42026" w14:textId="227E74C8" w:rsidR="00801B35" w:rsidRDefault="00801B35" w:rsidP="2197FE05">
          <w:pPr>
            <w:ind w:left="-115"/>
          </w:pPr>
        </w:p>
      </w:tc>
      <w:tc>
        <w:tcPr>
          <w:tcW w:w="3213" w:type="dxa"/>
        </w:tcPr>
        <w:p w14:paraId="658EA08B" w14:textId="11F1BE73" w:rsidR="00801B35" w:rsidRDefault="00801B35" w:rsidP="2197FE05">
          <w:pPr>
            <w:jc w:val="center"/>
          </w:pPr>
        </w:p>
      </w:tc>
      <w:tc>
        <w:tcPr>
          <w:tcW w:w="3213" w:type="dxa"/>
        </w:tcPr>
        <w:p w14:paraId="31AB6BD7" w14:textId="580E84A4" w:rsidR="00801B35" w:rsidRDefault="00801B35" w:rsidP="2197FE05">
          <w:pPr>
            <w:ind w:right="-115"/>
            <w:jc w:val="right"/>
          </w:pPr>
        </w:p>
      </w:tc>
    </w:tr>
  </w:tbl>
  <w:p w14:paraId="2539F886" w14:textId="46EC7FF2" w:rsidR="00801B35" w:rsidRDefault="00801B3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76598" w14:textId="77777777" w:rsidR="00801B35" w:rsidRPr="00CA35AF" w:rsidRDefault="00801B35" w:rsidP="00CA35AF">
    <w:pPr>
      <w:pStyle w:val="Header"/>
    </w:pPr>
    <w:r>
      <w:t>FCCC/CP/2019/X/Add.2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48BC98"/>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2AC888CE"/>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06B80D4A"/>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6AE42E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01847FF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hybridMultilevel"/>
    <w:tmpl w:val="2C623B86"/>
    <w:lvl w:ilvl="0" w:tplc="2A043184">
      <w:start w:val="1"/>
      <w:numFmt w:val="bullet"/>
      <w:lvlText w:val=""/>
      <w:lvlJc w:val="left"/>
      <w:pPr>
        <w:tabs>
          <w:tab w:val="num" w:pos="1209"/>
        </w:tabs>
        <w:ind w:left="1209" w:hanging="360"/>
      </w:pPr>
      <w:rPr>
        <w:rFonts w:ascii="Symbol" w:hAnsi="Symbol" w:hint="default"/>
      </w:rPr>
    </w:lvl>
    <w:lvl w:ilvl="1" w:tplc="DBE6BE12">
      <w:numFmt w:val="decimal"/>
      <w:lvlText w:val=""/>
      <w:lvlJc w:val="left"/>
    </w:lvl>
    <w:lvl w:ilvl="2" w:tplc="67E66722">
      <w:numFmt w:val="decimal"/>
      <w:lvlText w:val=""/>
      <w:lvlJc w:val="left"/>
    </w:lvl>
    <w:lvl w:ilvl="3" w:tplc="D9FC4BEC">
      <w:numFmt w:val="decimal"/>
      <w:lvlText w:val=""/>
      <w:lvlJc w:val="left"/>
    </w:lvl>
    <w:lvl w:ilvl="4" w:tplc="32C038B6">
      <w:numFmt w:val="decimal"/>
      <w:lvlText w:val=""/>
      <w:lvlJc w:val="left"/>
    </w:lvl>
    <w:lvl w:ilvl="5" w:tplc="2BFCCF2C">
      <w:numFmt w:val="decimal"/>
      <w:lvlText w:val=""/>
      <w:lvlJc w:val="left"/>
    </w:lvl>
    <w:lvl w:ilvl="6" w:tplc="65306660">
      <w:numFmt w:val="decimal"/>
      <w:lvlText w:val=""/>
      <w:lvlJc w:val="left"/>
    </w:lvl>
    <w:lvl w:ilvl="7" w:tplc="01CC5380">
      <w:numFmt w:val="decimal"/>
      <w:lvlText w:val=""/>
      <w:lvlJc w:val="left"/>
    </w:lvl>
    <w:lvl w:ilvl="8" w:tplc="E1FAB85C">
      <w:numFmt w:val="decimal"/>
      <w:lvlText w:val=""/>
      <w:lvlJc w:val="left"/>
    </w:lvl>
  </w:abstractNum>
  <w:abstractNum w:abstractNumId="6" w15:restartNumberingAfterBreak="0">
    <w:nsid w:val="FFFFFF82"/>
    <w:multiLevelType w:val="hybridMultilevel"/>
    <w:tmpl w:val="0BCC122A"/>
    <w:lvl w:ilvl="0" w:tplc="CCF8D0FE">
      <w:start w:val="1"/>
      <w:numFmt w:val="bullet"/>
      <w:lvlText w:val=""/>
      <w:lvlJc w:val="left"/>
      <w:pPr>
        <w:tabs>
          <w:tab w:val="num" w:pos="926"/>
        </w:tabs>
        <w:ind w:left="926" w:hanging="360"/>
      </w:pPr>
      <w:rPr>
        <w:rFonts w:ascii="Symbol" w:hAnsi="Symbol" w:hint="default"/>
      </w:rPr>
    </w:lvl>
    <w:lvl w:ilvl="1" w:tplc="45F8AC98">
      <w:numFmt w:val="decimal"/>
      <w:lvlText w:val=""/>
      <w:lvlJc w:val="left"/>
    </w:lvl>
    <w:lvl w:ilvl="2" w:tplc="BF1665AA">
      <w:numFmt w:val="decimal"/>
      <w:lvlText w:val=""/>
      <w:lvlJc w:val="left"/>
    </w:lvl>
    <w:lvl w:ilvl="3" w:tplc="B3E4C14E">
      <w:numFmt w:val="decimal"/>
      <w:lvlText w:val=""/>
      <w:lvlJc w:val="left"/>
    </w:lvl>
    <w:lvl w:ilvl="4" w:tplc="4E2AF79A">
      <w:numFmt w:val="decimal"/>
      <w:lvlText w:val=""/>
      <w:lvlJc w:val="left"/>
    </w:lvl>
    <w:lvl w:ilvl="5" w:tplc="8AB4A1EC">
      <w:numFmt w:val="decimal"/>
      <w:lvlText w:val=""/>
      <w:lvlJc w:val="left"/>
    </w:lvl>
    <w:lvl w:ilvl="6" w:tplc="6EE23A2E">
      <w:numFmt w:val="decimal"/>
      <w:lvlText w:val=""/>
      <w:lvlJc w:val="left"/>
    </w:lvl>
    <w:lvl w:ilvl="7" w:tplc="70166C90">
      <w:numFmt w:val="decimal"/>
      <w:lvlText w:val=""/>
      <w:lvlJc w:val="left"/>
    </w:lvl>
    <w:lvl w:ilvl="8" w:tplc="700A96A8">
      <w:numFmt w:val="decimal"/>
      <w:lvlText w:val=""/>
      <w:lvlJc w:val="left"/>
    </w:lvl>
  </w:abstractNum>
  <w:abstractNum w:abstractNumId="7" w15:restartNumberingAfterBreak="0">
    <w:nsid w:val="FFFFFF83"/>
    <w:multiLevelType w:val="multilevel"/>
    <w:tmpl w:val="2324A95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AD9018D2"/>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7020D8F0"/>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4DA4318"/>
    <w:multiLevelType w:val="hybridMultilevel"/>
    <w:tmpl w:val="86B2C390"/>
    <w:lvl w:ilvl="0" w:tplc="E7B252E2">
      <w:start w:val="1"/>
      <w:numFmt w:val="decimal"/>
      <w:lvlText w:val="%1."/>
      <w:lvlJc w:val="left"/>
      <w:pPr>
        <w:ind w:left="360" w:hanging="360"/>
      </w:pPr>
      <w:rPr>
        <w:rFonts w:hint="default"/>
        <w:i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067322EE"/>
    <w:multiLevelType w:val="multilevel"/>
    <w:tmpl w:val="3E98B2E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upperRoman"/>
      <w:lvlText w:val="%3."/>
      <w:lvlJc w:val="right"/>
      <w:pPr>
        <w:tabs>
          <w:tab w:val="num" w:pos="1135"/>
        </w:tabs>
        <w:ind w:left="1135" w:hanging="284"/>
      </w:pPr>
      <w:rPr>
        <w:rFonts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6" w15:restartNumberingAfterBreak="0">
    <w:nsid w:val="1023354E"/>
    <w:multiLevelType w:val="hybridMultilevel"/>
    <w:tmpl w:val="40B26C14"/>
    <w:lvl w:ilvl="0" w:tplc="E3C218C2">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tplc="156E7BF0">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tplc="038EB6FA">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tplc="29F88E8E">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tplc="413623B2">
      <w:start w:val="1"/>
      <w:numFmt w:val="lowerRoman"/>
      <w:pStyle w:val="RegH5G"/>
      <w:lvlText w:val="(%5)"/>
      <w:lvlJc w:val="right"/>
      <w:pPr>
        <w:tabs>
          <w:tab w:val="num" w:pos="1134"/>
        </w:tabs>
        <w:ind w:left="1135" w:hanging="284"/>
      </w:pPr>
      <w:rPr>
        <w:rFonts w:ascii="Times New Roman" w:hAnsi="Times New Roman" w:hint="default"/>
        <w:b w:val="0"/>
        <w:i/>
      </w:rPr>
    </w:lvl>
    <w:lvl w:ilvl="5" w:tplc="D98A2BE0">
      <w:start w:val="1"/>
      <w:numFmt w:val="decimal"/>
      <w:lvlRestart w:val="0"/>
      <w:pStyle w:val="RegSingleTxtG"/>
      <w:lvlText w:val="%6."/>
      <w:lvlJc w:val="left"/>
      <w:pPr>
        <w:ind w:left="1134" w:firstLine="0"/>
      </w:pPr>
      <w:rPr>
        <w:rFonts w:hint="default"/>
        <w:i w:val="0"/>
        <w:sz w:val="20"/>
      </w:rPr>
    </w:lvl>
    <w:lvl w:ilvl="6" w:tplc="8206C870">
      <w:start w:val="1"/>
      <w:numFmt w:val="lowerLetter"/>
      <w:pStyle w:val="RegSingleTxtG2"/>
      <w:lvlText w:val="(%7)"/>
      <w:lvlJc w:val="left"/>
      <w:pPr>
        <w:tabs>
          <w:tab w:val="num" w:pos="1702"/>
        </w:tabs>
        <w:ind w:left="1134" w:firstLine="567"/>
      </w:pPr>
      <w:rPr>
        <w:rFonts w:hint="default"/>
        <w:b w:val="0"/>
        <w:i w:val="0"/>
        <w:color w:val="auto"/>
        <w:sz w:val="20"/>
        <w:szCs w:val="28"/>
      </w:rPr>
    </w:lvl>
    <w:lvl w:ilvl="7" w:tplc="14E62C84">
      <w:start w:val="1"/>
      <w:numFmt w:val="lowerRoman"/>
      <w:pStyle w:val="RegSingleTxtG3"/>
      <w:lvlText w:val="(%8)"/>
      <w:lvlJc w:val="left"/>
      <w:pPr>
        <w:ind w:left="1701" w:firstLine="0"/>
      </w:pPr>
      <w:rPr>
        <w:rFonts w:hint="default"/>
        <w:sz w:val="20"/>
      </w:rPr>
    </w:lvl>
    <w:lvl w:ilvl="8" w:tplc="4F444D60">
      <w:start w:val="1"/>
      <w:numFmt w:val="lowerLetter"/>
      <w:lvlText w:val="%9."/>
      <w:lvlJc w:val="left"/>
      <w:pPr>
        <w:tabs>
          <w:tab w:val="num" w:pos="2268"/>
        </w:tabs>
        <w:ind w:left="2268" w:firstLine="0"/>
      </w:pPr>
      <w:rPr>
        <w:rFonts w:hint="default"/>
      </w:rPr>
    </w:lvl>
  </w:abstractNum>
  <w:abstractNum w:abstractNumId="17" w15:restartNumberingAfterBreak="0">
    <w:nsid w:val="1650370D"/>
    <w:multiLevelType w:val="multilevel"/>
    <w:tmpl w:val="1BE2FFB2"/>
    <w:lvl w:ilvl="0">
      <w:start w:val="1"/>
      <w:numFmt w:val="upperRoman"/>
      <w:suff w:val="space"/>
      <w:lvlText w:val="%1. "/>
      <w:lvlJc w:val="right"/>
      <w:pPr>
        <w:ind w:left="0" w:firstLine="244"/>
      </w:pPr>
      <w:rPr>
        <w:rFonts w:hint="default"/>
        <w:sz w:val="28"/>
      </w:rPr>
    </w:lvl>
    <w:lvl w:ilvl="1">
      <w:start w:val="1"/>
      <w:numFmt w:val="decimal"/>
      <w:suff w:val="space"/>
      <w:lvlText w:val="%2. "/>
      <w:lvlJc w:val="left"/>
      <w:pPr>
        <w:ind w:left="0" w:firstLine="0"/>
      </w:pPr>
      <w:rPr>
        <w:rFonts w:hint="default"/>
        <w:b/>
        <w:sz w:val="22"/>
        <w:u w:val="none"/>
      </w:rPr>
    </w:lvl>
    <w:lvl w:ilvl="2">
      <w:start w:val="1"/>
      <w:numFmt w:val="lowerLetter"/>
      <w:pStyle w:val="AnnoHead2"/>
      <w:lvlText w:val="(%3)"/>
      <w:lvlJc w:val="left"/>
      <w:pPr>
        <w:tabs>
          <w:tab w:val="num" w:pos="720"/>
        </w:tabs>
        <w:ind w:left="720" w:hanging="720"/>
      </w:pPr>
      <w:rPr>
        <w:rFonts w:ascii="Times New Roman" w:hAnsi="Times New Roman" w:hint="default"/>
        <w:b w:val="0"/>
        <w:sz w:val="22"/>
        <w:u w:val="none"/>
      </w:rPr>
    </w:lvl>
    <w:lvl w:ilvl="3">
      <w:start w:val="1"/>
      <w:numFmt w:val="lowerRoman"/>
      <w:lvlText w:val="(%4)"/>
      <w:lvlJc w:val="right"/>
      <w:pPr>
        <w:tabs>
          <w:tab w:val="num" w:pos="1440"/>
        </w:tabs>
        <w:ind w:left="1440" w:hanging="533"/>
      </w:pPr>
      <w:rPr>
        <w:rFonts w:ascii="Times New Roman" w:hAnsi="Times New Roman" w:hint="default"/>
        <w:b w:val="0"/>
        <w:sz w:val="22"/>
        <w:u w:val="none"/>
      </w:rPr>
    </w:lvl>
    <w:lvl w:ilvl="4">
      <w:start w:val="1"/>
      <w:numFmt w:val="decimal"/>
      <w:pStyle w:val="AnnoHead2"/>
      <w:lvlText w:val="%5."/>
      <w:lvlJc w:val="left"/>
      <w:pPr>
        <w:tabs>
          <w:tab w:val="num" w:pos="360"/>
        </w:tabs>
        <w:ind w:left="0" w:firstLine="0"/>
      </w:pPr>
      <w:rPr>
        <w:rFonts w:ascii="Times New Roman" w:hAnsi="Times New Roman" w:hint="default"/>
        <w:b w:val="0"/>
        <w:sz w:val="22"/>
        <w:u w:val="none"/>
      </w:rPr>
    </w:lvl>
    <w:lvl w:ilvl="5">
      <w:start w:val="1"/>
      <w:numFmt w:val="lowerLetter"/>
      <w:lvlText w:val="(%6)"/>
      <w:lvlJc w:val="left"/>
      <w:pPr>
        <w:tabs>
          <w:tab w:val="num" w:pos="1440"/>
        </w:tabs>
        <w:ind w:left="1440" w:hanging="720"/>
      </w:pPr>
      <w:rPr>
        <w:rFonts w:hint="default"/>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rFonts w:hint="default"/>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18" w15:restartNumberingAfterBreak="0">
    <w:nsid w:val="18AF3018"/>
    <w:multiLevelType w:val="multilevel"/>
    <w:tmpl w:val="4DB6CE0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9"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3"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577C63"/>
    <w:multiLevelType w:val="hybridMultilevel"/>
    <w:tmpl w:val="83806F6C"/>
    <w:lvl w:ilvl="0" w:tplc="E7B833C6">
      <w:start w:val="1"/>
      <w:numFmt w:val="lowerLetter"/>
      <w:lvlRestart w:val="0"/>
      <w:suff w:val="space"/>
      <w:lvlText w:val="%1  "/>
      <w:lvlJc w:val="left"/>
      <w:pPr>
        <w:ind w:left="1134" w:firstLine="170"/>
      </w:pPr>
      <w:rPr>
        <w:b w:val="0"/>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1768FC"/>
    <w:multiLevelType w:val="multilevel"/>
    <w:tmpl w:val="AEB0322A"/>
    <w:name w:val="Reg16"/>
    <w:lvl w:ilvl="0">
      <w:start w:val="1"/>
      <w:numFmt w:val="bullet"/>
      <w:lvlText w:val=""/>
      <w:lvlJc w:val="left"/>
      <w:pPr>
        <w:tabs>
          <w:tab w:val="num" w:pos="585"/>
        </w:tabs>
        <w:ind w:left="585" w:hanging="360"/>
      </w:pPr>
      <w:rPr>
        <w:rFonts w:ascii="Symbol" w:hAnsi="Symbol" w:hint="default"/>
      </w:rPr>
    </w:lvl>
    <w:lvl w:ilvl="1">
      <w:start w:val="1"/>
      <w:numFmt w:val="lowerLetter"/>
      <w:lvlRestart w:val="0"/>
      <w:suff w:val="space"/>
      <w:lvlText w:val="%2  "/>
      <w:lvlJc w:val="left"/>
      <w:pPr>
        <w:tabs>
          <w:tab w:val="num" w:pos="721"/>
        </w:tabs>
        <w:ind w:left="1135" w:firstLine="170"/>
      </w:pPr>
      <w:rPr>
        <w:rFonts w:cs="Times New Roman"/>
        <w:i/>
        <w:sz w:val="18"/>
        <w:vertAlign w:val="superscript"/>
      </w:rPr>
    </w:lvl>
    <w:lvl w:ilvl="2">
      <w:start w:val="60"/>
      <w:numFmt w:val="decimal"/>
      <w:lvlText w:val="%3"/>
      <w:lvlJc w:val="left"/>
      <w:pPr>
        <w:ind w:left="2385" w:hanging="360"/>
      </w:pPr>
    </w:lvl>
    <w:lvl w:ilvl="3">
      <w:start w:val="1"/>
      <w:numFmt w:val="bullet"/>
      <w:lvlText w:val=""/>
      <w:lvlJc w:val="left"/>
      <w:pPr>
        <w:tabs>
          <w:tab w:val="num" w:pos="3105"/>
        </w:tabs>
        <w:ind w:left="3105" w:hanging="360"/>
      </w:pPr>
      <w:rPr>
        <w:rFonts w:ascii="Symbol" w:hAnsi="Symbol" w:hint="default"/>
      </w:rPr>
    </w:lvl>
    <w:lvl w:ilvl="4">
      <w:start w:val="1"/>
      <w:numFmt w:val="bullet"/>
      <w:lvlText w:val="o"/>
      <w:lvlJc w:val="left"/>
      <w:pPr>
        <w:tabs>
          <w:tab w:val="num" w:pos="3825"/>
        </w:tabs>
        <w:ind w:left="3825" w:hanging="360"/>
      </w:pPr>
      <w:rPr>
        <w:rFonts w:ascii="Courier New" w:hAnsi="Courier New" w:cs="Times New Roman" w:hint="default"/>
      </w:rPr>
    </w:lvl>
    <w:lvl w:ilvl="5">
      <w:start w:val="1"/>
      <w:numFmt w:val="bullet"/>
      <w:lvlText w:val=""/>
      <w:lvlJc w:val="left"/>
      <w:pPr>
        <w:tabs>
          <w:tab w:val="num" w:pos="4545"/>
        </w:tabs>
        <w:ind w:left="4545" w:hanging="360"/>
      </w:pPr>
      <w:rPr>
        <w:rFonts w:ascii="Wingdings" w:hAnsi="Wingdings" w:hint="default"/>
      </w:rPr>
    </w:lvl>
    <w:lvl w:ilvl="6">
      <w:start w:val="1"/>
      <w:numFmt w:val="bullet"/>
      <w:lvlText w:val=""/>
      <w:lvlJc w:val="left"/>
      <w:pPr>
        <w:tabs>
          <w:tab w:val="num" w:pos="5265"/>
        </w:tabs>
        <w:ind w:left="5265" w:hanging="360"/>
      </w:pPr>
      <w:rPr>
        <w:rFonts w:ascii="Symbol" w:hAnsi="Symbol" w:hint="default"/>
      </w:rPr>
    </w:lvl>
    <w:lvl w:ilvl="7">
      <w:start w:val="1"/>
      <w:numFmt w:val="bullet"/>
      <w:lvlText w:val="o"/>
      <w:lvlJc w:val="left"/>
      <w:pPr>
        <w:tabs>
          <w:tab w:val="num" w:pos="5985"/>
        </w:tabs>
        <w:ind w:left="5985" w:hanging="360"/>
      </w:pPr>
      <w:rPr>
        <w:rFonts w:ascii="Courier New" w:hAnsi="Courier New" w:cs="Times New Roman" w:hint="default"/>
      </w:rPr>
    </w:lvl>
    <w:lvl w:ilvl="8">
      <w:start w:val="1"/>
      <w:numFmt w:val="bullet"/>
      <w:lvlText w:val=""/>
      <w:lvlJc w:val="left"/>
      <w:pPr>
        <w:tabs>
          <w:tab w:val="num" w:pos="6705"/>
        </w:tabs>
        <w:ind w:left="6705" w:hanging="360"/>
      </w:pPr>
      <w:rPr>
        <w:rFonts w:ascii="Wingdings" w:hAnsi="Wingdings" w:hint="default"/>
      </w:rPr>
    </w:lvl>
  </w:abstractNum>
  <w:abstractNum w:abstractNumId="28" w15:restartNumberingAfterBreak="0">
    <w:nsid w:val="42C966C7"/>
    <w:multiLevelType w:val="multilevel"/>
    <w:tmpl w:val="009C9844"/>
    <w:name w:val="Reg69"/>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9"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43A0C"/>
    <w:multiLevelType w:val="multilevel"/>
    <w:tmpl w:val="F992014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2"/>
      <w:numFmt w:val="upperRoman"/>
      <w:lvlText w:val="%3."/>
      <w:lvlJc w:val="right"/>
      <w:pPr>
        <w:tabs>
          <w:tab w:val="num" w:pos="1135"/>
        </w:tabs>
        <w:ind w:left="1135" w:hanging="284"/>
      </w:pPr>
      <w:rPr>
        <w:rFonts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1"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9266C8"/>
    <w:multiLevelType w:val="multilevel"/>
    <w:tmpl w:val="A840493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5" w15:restartNumberingAfterBreak="0">
    <w:nsid w:val="702C0792"/>
    <w:multiLevelType w:val="hybridMultilevel"/>
    <w:tmpl w:val="86864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3610E7"/>
    <w:multiLevelType w:val="hybridMultilevel"/>
    <w:tmpl w:val="38FEE854"/>
    <w:lvl w:ilvl="0" w:tplc="8A5EBFAA">
      <w:start w:val="1"/>
      <w:numFmt w:val="lowerLetter"/>
      <w:lvlRestart w:val="0"/>
      <w:suff w:val="space"/>
      <w:lvlText w:val="%1  "/>
      <w:lvlJc w:val="left"/>
      <w:pPr>
        <w:ind w:left="1134" w:firstLine="170"/>
      </w:pPr>
      <w:rPr>
        <w:i/>
        <w:sz w:val="18"/>
        <w:vertAlign w:val="superscrip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602551">
    <w:abstractNumId w:val="16"/>
  </w:num>
  <w:num w:numId="2" w16cid:durableId="675808020">
    <w:abstractNumId w:val="20"/>
  </w:num>
  <w:num w:numId="3" w16cid:durableId="154345369">
    <w:abstractNumId w:val="23"/>
  </w:num>
  <w:num w:numId="4" w16cid:durableId="1459765377">
    <w:abstractNumId w:val="11"/>
  </w:num>
  <w:num w:numId="5" w16cid:durableId="273904941">
    <w:abstractNumId w:val="10"/>
  </w:num>
  <w:num w:numId="6" w16cid:durableId="400643652">
    <w:abstractNumId w:val="33"/>
  </w:num>
  <w:num w:numId="7" w16cid:durableId="365058771">
    <w:abstractNumId w:val="22"/>
  </w:num>
  <w:num w:numId="8" w16cid:durableId="368144686">
    <w:abstractNumId w:val="16"/>
  </w:num>
  <w:num w:numId="9" w16cid:durableId="5769415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7579132">
    <w:abstractNumId w:val="15"/>
  </w:num>
  <w:num w:numId="11" w16cid:durableId="781606443">
    <w:abstractNumId w:val="13"/>
  </w:num>
  <w:num w:numId="12" w16cid:durableId="2031028903">
    <w:abstractNumId w:val="26"/>
  </w:num>
  <w:num w:numId="13" w16cid:durableId="1661612270">
    <w:abstractNumId w:val="17"/>
  </w:num>
  <w:num w:numId="14" w16cid:durableId="1216088175">
    <w:abstractNumId w:val="36"/>
  </w:num>
  <w:num w:numId="15" w16cid:durableId="116497789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6" w16cid:durableId="326978368">
    <w:abstractNumId w:val="12"/>
  </w:num>
  <w:num w:numId="17" w16cid:durableId="10724609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4877053">
    <w:abstractNumId w:val="35"/>
  </w:num>
  <w:num w:numId="19" w16cid:durableId="18656335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91288338">
    <w:abstractNumId w:val="34"/>
  </w:num>
  <w:num w:numId="21" w16cid:durableId="11483988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21227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55634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9203681">
    <w:abstractNumId w:val="30"/>
  </w:num>
  <w:num w:numId="25" w16cid:durableId="10677310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96770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453445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868007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42222000">
    <w:abstractNumId w:val="18"/>
  </w:num>
  <w:num w:numId="30" w16cid:durableId="8043911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9056938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63866129">
    <w:abstractNumId w:val="9"/>
  </w:num>
  <w:num w:numId="33" w16cid:durableId="1275285261">
    <w:abstractNumId w:val="7"/>
  </w:num>
  <w:num w:numId="34" w16cid:durableId="439489440">
    <w:abstractNumId w:val="6"/>
  </w:num>
  <w:num w:numId="35" w16cid:durableId="165246042">
    <w:abstractNumId w:val="5"/>
  </w:num>
  <w:num w:numId="36" w16cid:durableId="984814042">
    <w:abstractNumId w:val="4"/>
  </w:num>
  <w:num w:numId="37" w16cid:durableId="601038044">
    <w:abstractNumId w:val="8"/>
  </w:num>
  <w:num w:numId="38" w16cid:durableId="1725834008">
    <w:abstractNumId w:val="3"/>
  </w:num>
  <w:num w:numId="39" w16cid:durableId="1076901236">
    <w:abstractNumId w:val="2"/>
  </w:num>
  <w:num w:numId="40" w16cid:durableId="1640568678">
    <w:abstractNumId w:val="1"/>
  </w:num>
  <w:num w:numId="41" w16cid:durableId="1954704873">
    <w:abstractNumId w:val="0"/>
  </w:num>
  <w:num w:numId="42" w16cid:durableId="895972732">
    <w:abstractNumId w:val="14"/>
  </w:num>
  <w:num w:numId="43" w16cid:durableId="2811161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99170397">
    <w:abstractNumId w:val="16"/>
  </w:num>
  <w:num w:numId="45" w16cid:durableId="1750686536">
    <w:abstractNumId w:val="16"/>
  </w:num>
  <w:num w:numId="46" w16cid:durableId="523832754">
    <w:abstractNumId w:val="16"/>
  </w:num>
  <w:num w:numId="47" w16cid:durableId="7020526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12720738">
    <w:abstractNumId w:val="16"/>
  </w:num>
  <w:num w:numId="49" w16cid:durableId="802650434">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NotTrackFormatting/>
  <w:documentProtection w:formatting="1" w:enforcement="0"/>
  <w:defaultTabStop w:val="567"/>
  <w:evenAndOddHeaders/>
  <w:drawingGridHorizontalSpacing w:val="100"/>
  <w:displayHorizontalDrawingGridEvery w:val="2"/>
  <w:displayVerticalDrawingGridEvery w:val="2"/>
  <w:noPunctuationKerning/>
  <w:characterSpacingControl w:val="doNotCompress"/>
  <w:hdrShapeDefaults>
    <o:shapedefaults v:ext="edit" spidmax="4097"/>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432"/>
    <w:rsid w:val="00000C04"/>
    <w:rsid w:val="00002558"/>
    <w:rsid w:val="000047A4"/>
    <w:rsid w:val="00004A30"/>
    <w:rsid w:val="000061AA"/>
    <w:rsid w:val="000064A7"/>
    <w:rsid w:val="00007089"/>
    <w:rsid w:val="00015F3D"/>
    <w:rsid w:val="00021BB6"/>
    <w:rsid w:val="0002382B"/>
    <w:rsid w:val="0003060E"/>
    <w:rsid w:val="00032DDE"/>
    <w:rsid w:val="00034E74"/>
    <w:rsid w:val="000366D7"/>
    <w:rsid w:val="00036A5D"/>
    <w:rsid w:val="00037650"/>
    <w:rsid w:val="0003776D"/>
    <w:rsid w:val="000404F3"/>
    <w:rsid w:val="0004235B"/>
    <w:rsid w:val="000423A6"/>
    <w:rsid w:val="00051165"/>
    <w:rsid w:val="00052463"/>
    <w:rsid w:val="000555B3"/>
    <w:rsid w:val="000561BD"/>
    <w:rsid w:val="00056299"/>
    <w:rsid w:val="00056948"/>
    <w:rsid w:val="00062505"/>
    <w:rsid w:val="00062691"/>
    <w:rsid w:val="00062E74"/>
    <w:rsid w:val="00065FD4"/>
    <w:rsid w:val="0006715A"/>
    <w:rsid w:val="00074855"/>
    <w:rsid w:val="00074EC5"/>
    <w:rsid w:val="00074FC8"/>
    <w:rsid w:val="000758CC"/>
    <w:rsid w:val="00076113"/>
    <w:rsid w:val="000773C8"/>
    <w:rsid w:val="00081405"/>
    <w:rsid w:val="00081C44"/>
    <w:rsid w:val="000832FD"/>
    <w:rsid w:val="00083647"/>
    <w:rsid w:val="0008756E"/>
    <w:rsid w:val="00087BE9"/>
    <w:rsid w:val="00090016"/>
    <w:rsid w:val="000913E6"/>
    <w:rsid w:val="00092B2E"/>
    <w:rsid w:val="00092E29"/>
    <w:rsid w:val="00093044"/>
    <w:rsid w:val="0009345D"/>
    <w:rsid w:val="0009447F"/>
    <w:rsid w:val="00094880"/>
    <w:rsid w:val="000955B9"/>
    <w:rsid w:val="000A0CC1"/>
    <w:rsid w:val="000A14BB"/>
    <w:rsid w:val="000A2059"/>
    <w:rsid w:val="000A3917"/>
    <w:rsid w:val="000A399F"/>
    <w:rsid w:val="000A4C99"/>
    <w:rsid w:val="000A566F"/>
    <w:rsid w:val="000A7C2B"/>
    <w:rsid w:val="000B1721"/>
    <w:rsid w:val="000B1FD0"/>
    <w:rsid w:val="000B28B9"/>
    <w:rsid w:val="000C0E05"/>
    <w:rsid w:val="000C24E3"/>
    <w:rsid w:val="000C3DC2"/>
    <w:rsid w:val="000C5173"/>
    <w:rsid w:val="000C6891"/>
    <w:rsid w:val="000C7FAF"/>
    <w:rsid w:val="000D197F"/>
    <w:rsid w:val="000D25A9"/>
    <w:rsid w:val="000D5DED"/>
    <w:rsid w:val="000D6922"/>
    <w:rsid w:val="000D6B56"/>
    <w:rsid w:val="000D6D4A"/>
    <w:rsid w:val="000E01A9"/>
    <w:rsid w:val="000E343D"/>
    <w:rsid w:val="000E5A58"/>
    <w:rsid w:val="000E6AA3"/>
    <w:rsid w:val="000E6E68"/>
    <w:rsid w:val="000F0A91"/>
    <w:rsid w:val="000F11CA"/>
    <w:rsid w:val="000F13AC"/>
    <w:rsid w:val="000F379C"/>
    <w:rsid w:val="000F4528"/>
    <w:rsid w:val="000F46CF"/>
    <w:rsid w:val="000F5020"/>
    <w:rsid w:val="000F5B5D"/>
    <w:rsid w:val="000F7ECB"/>
    <w:rsid w:val="001007C9"/>
    <w:rsid w:val="00106384"/>
    <w:rsid w:val="00106E13"/>
    <w:rsid w:val="00107536"/>
    <w:rsid w:val="00107B0E"/>
    <w:rsid w:val="0011157B"/>
    <w:rsid w:val="00116153"/>
    <w:rsid w:val="001161E5"/>
    <w:rsid w:val="0011781E"/>
    <w:rsid w:val="00120826"/>
    <w:rsid w:val="00120901"/>
    <w:rsid w:val="001209A8"/>
    <w:rsid w:val="00120E84"/>
    <w:rsid w:val="0012191A"/>
    <w:rsid w:val="00121D00"/>
    <w:rsid w:val="00123C52"/>
    <w:rsid w:val="00123D82"/>
    <w:rsid w:val="00124496"/>
    <w:rsid w:val="0012630C"/>
    <w:rsid w:val="00127311"/>
    <w:rsid w:val="00131479"/>
    <w:rsid w:val="001328F9"/>
    <w:rsid w:val="001349EC"/>
    <w:rsid w:val="00134F15"/>
    <w:rsid w:val="00136D61"/>
    <w:rsid w:val="00141710"/>
    <w:rsid w:val="00142A35"/>
    <w:rsid w:val="001438DC"/>
    <w:rsid w:val="00146BEC"/>
    <w:rsid w:val="00146E56"/>
    <w:rsid w:val="00150BA6"/>
    <w:rsid w:val="00152A6E"/>
    <w:rsid w:val="00155EAD"/>
    <w:rsid w:val="00157E13"/>
    <w:rsid w:val="001600D9"/>
    <w:rsid w:val="0016127A"/>
    <w:rsid w:val="0017279C"/>
    <w:rsid w:val="00172CF0"/>
    <w:rsid w:val="001738F1"/>
    <w:rsid w:val="00174A05"/>
    <w:rsid w:val="00177074"/>
    <w:rsid w:val="001811D8"/>
    <w:rsid w:val="00183803"/>
    <w:rsid w:val="00184C03"/>
    <w:rsid w:val="00186A4F"/>
    <w:rsid w:val="00187C83"/>
    <w:rsid w:val="001906D0"/>
    <w:rsid w:val="001915EF"/>
    <w:rsid w:val="0019430F"/>
    <w:rsid w:val="001945C7"/>
    <w:rsid w:val="00194BFA"/>
    <w:rsid w:val="00194E11"/>
    <w:rsid w:val="00195018"/>
    <w:rsid w:val="00195DE5"/>
    <w:rsid w:val="0019648F"/>
    <w:rsid w:val="00196E77"/>
    <w:rsid w:val="001A1FC1"/>
    <w:rsid w:val="001A3E9A"/>
    <w:rsid w:val="001A594B"/>
    <w:rsid w:val="001A5FE8"/>
    <w:rsid w:val="001A6DE2"/>
    <w:rsid w:val="001A70E2"/>
    <w:rsid w:val="001B00ED"/>
    <w:rsid w:val="001B085A"/>
    <w:rsid w:val="001B1483"/>
    <w:rsid w:val="001B21E0"/>
    <w:rsid w:val="001B72FB"/>
    <w:rsid w:val="001C1659"/>
    <w:rsid w:val="001C3D7E"/>
    <w:rsid w:val="001C3DE7"/>
    <w:rsid w:val="001C40F0"/>
    <w:rsid w:val="001C4688"/>
    <w:rsid w:val="001C50AD"/>
    <w:rsid w:val="001C6106"/>
    <w:rsid w:val="001C7B87"/>
    <w:rsid w:val="001D012A"/>
    <w:rsid w:val="001D0689"/>
    <w:rsid w:val="001D0F0F"/>
    <w:rsid w:val="001D2FD8"/>
    <w:rsid w:val="001E0BFD"/>
    <w:rsid w:val="001E7D13"/>
    <w:rsid w:val="001F0C87"/>
    <w:rsid w:val="001F1D63"/>
    <w:rsid w:val="001F2BBF"/>
    <w:rsid w:val="001F2C9F"/>
    <w:rsid w:val="001F438E"/>
    <w:rsid w:val="001F4A09"/>
    <w:rsid w:val="001F7427"/>
    <w:rsid w:val="002008AA"/>
    <w:rsid w:val="00201B92"/>
    <w:rsid w:val="002025E1"/>
    <w:rsid w:val="00202C1D"/>
    <w:rsid w:val="002039B0"/>
    <w:rsid w:val="00206BCA"/>
    <w:rsid w:val="00207452"/>
    <w:rsid w:val="0021446A"/>
    <w:rsid w:val="00216589"/>
    <w:rsid w:val="002168DD"/>
    <w:rsid w:val="00216A6B"/>
    <w:rsid w:val="00220767"/>
    <w:rsid w:val="00223453"/>
    <w:rsid w:val="00224111"/>
    <w:rsid w:val="00224F46"/>
    <w:rsid w:val="00226090"/>
    <w:rsid w:val="00227E81"/>
    <w:rsid w:val="00230D0F"/>
    <w:rsid w:val="0023197A"/>
    <w:rsid w:val="00231FB5"/>
    <w:rsid w:val="00232479"/>
    <w:rsid w:val="00232DF0"/>
    <w:rsid w:val="00232EAA"/>
    <w:rsid w:val="0024066B"/>
    <w:rsid w:val="0024219D"/>
    <w:rsid w:val="002424D3"/>
    <w:rsid w:val="00243498"/>
    <w:rsid w:val="0024390B"/>
    <w:rsid w:val="0024447B"/>
    <w:rsid w:val="00244A69"/>
    <w:rsid w:val="00244DFC"/>
    <w:rsid w:val="00246888"/>
    <w:rsid w:val="002477D3"/>
    <w:rsid w:val="00247BF6"/>
    <w:rsid w:val="00250037"/>
    <w:rsid w:val="00251FF9"/>
    <w:rsid w:val="00252046"/>
    <w:rsid w:val="00253C66"/>
    <w:rsid w:val="00256CFB"/>
    <w:rsid w:val="00257AA3"/>
    <w:rsid w:val="00260BFA"/>
    <w:rsid w:val="0026176F"/>
    <w:rsid w:val="0026189C"/>
    <w:rsid w:val="00262A03"/>
    <w:rsid w:val="00264F17"/>
    <w:rsid w:val="00265EDA"/>
    <w:rsid w:val="00266D68"/>
    <w:rsid w:val="00267B98"/>
    <w:rsid w:val="0027097E"/>
    <w:rsid w:val="0027320B"/>
    <w:rsid w:val="00273E8E"/>
    <w:rsid w:val="0027419E"/>
    <w:rsid w:val="00275554"/>
    <w:rsid w:val="00276A17"/>
    <w:rsid w:val="00277215"/>
    <w:rsid w:val="002776B4"/>
    <w:rsid w:val="002779EB"/>
    <w:rsid w:val="00281523"/>
    <w:rsid w:val="002823A1"/>
    <w:rsid w:val="00283275"/>
    <w:rsid w:val="002859C9"/>
    <w:rsid w:val="002868C6"/>
    <w:rsid w:val="00287716"/>
    <w:rsid w:val="0029007C"/>
    <w:rsid w:val="00290409"/>
    <w:rsid w:val="0029099D"/>
    <w:rsid w:val="00292DC3"/>
    <w:rsid w:val="002933A4"/>
    <w:rsid w:val="00295070"/>
    <w:rsid w:val="002954CD"/>
    <w:rsid w:val="00295866"/>
    <w:rsid w:val="0029733B"/>
    <w:rsid w:val="00297432"/>
    <w:rsid w:val="00297C1E"/>
    <w:rsid w:val="002A07EE"/>
    <w:rsid w:val="002A2A10"/>
    <w:rsid w:val="002A5327"/>
    <w:rsid w:val="002A66E8"/>
    <w:rsid w:val="002A70D6"/>
    <w:rsid w:val="002A7610"/>
    <w:rsid w:val="002A7B52"/>
    <w:rsid w:val="002B00DA"/>
    <w:rsid w:val="002B0283"/>
    <w:rsid w:val="002B3984"/>
    <w:rsid w:val="002B446B"/>
    <w:rsid w:val="002B616B"/>
    <w:rsid w:val="002B71EA"/>
    <w:rsid w:val="002B72CE"/>
    <w:rsid w:val="002B73A7"/>
    <w:rsid w:val="002B74D3"/>
    <w:rsid w:val="002B7532"/>
    <w:rsid w:val="002C051E"/>
    <w:rsid w:val="002C1120"/>
    <w:rsid w:val="002C11F7"/>
    <w:rsid w:val="002C52A6"/>
    <w:rsid w:val="002C6D44"/>
    <w:rsid w:val="002D154A"/>
    <w:rsid w:val="002D1F6E"/>
    <w:rsid w:val="002D737B"/>
    <w:rsid w:val="002E09A5"/>
    <w:rsid w:val="002E291B"/>
    <w:rsid w:val="002E2E59"/>
    <w:rsid w:val="002E3ED8"/>
    <w:rsid w:val="002E4C6C"/>
    <w:rsid w:val="002E4DAF"/>
    <w:rsid w:val="002F2F75"/>
    <w:rsid w:val="002F304A"/>
    <w:rsid w:val="002F4717"/>
    <w:rsid w:val="002F5C1F"/>
    <w:rsid w:val="002F60E8"/>
    <w:rsid w:val="002F7B01"/>
    <w:rsid w:val="003012AF"/>
    <w:rsid w:val="00301B7E"/>
    <w:rsid w:val="00301E12"/>
    <w:rsid w:val="00304BA1"/>
    <w:rsid w:val="00306423"/>
    <w:rsid w:val="00307519"/>
    <w:rsid w:val="00311066"/>
    <w:rsid w:val="003132EC"/>
    <w:rsid w:val="00314454"/>
    <w:rsid w:val="003147E4"/>
    <w:rsid w:val="00317B8C"/>
    <w:rsid w:val="003212C2"/>
    <w:rsid w:val="00321D31"/>
    <w:rsid w:val="003239E5"/>
    <w:rsid w:val="003250E7"/>
    <w:rsid w:val="00327575"/>
    <w:rsid w:val="00327B89"/>
    <w:rsid w:val="00330787"/>
    <w:rsid w:val="00332592"/>
    <w:rsid w:val="00334C41"/>
    <w:rsid w:val="003354A0"/>
    <w:rsid w:val="00336DC3"/>
    <w:rsid w:val="00340554"/>
    <w:rsid w:val="00341289"/>
    <w:rsid w:val="003415A2"/>
    <w:rsid w:val="00344AD3"/>
    <w:rsid w:val="0034729C"/>
    <w:rsid w:val="003478F1"/>
    <w:rsid w:val="00350710"/>
    <w:rsid w:val="003517A4"/>
    <w:rsid w:val="00355B23"/>
    <w:rsid w:val="00357684"/>
    <w:rsid w:val="00357FD0"/>
    <w:rsid w:val="00361821"/>
    <w:rsid w:val="00361A9D"/>
    <w:rsid w:val="003643C9"/>
    <w:rsid w:val="00364B1A"/>
    <w:rsid w:val="00364B85"/>
    <w:rsid w:val="00365306"/>
    <w:rsid w:val="00367C93"/>
    <w:rsid w:val="00370931"/>
    <w:rsid w:val="003719B4"/>
    <w:rsid w:val="00371D3B"/>
    <w:rsid w:val="00371F45"/>
    <w:rsid w:val="003720AE"/>
    <w:rsid w:val="00375F53"/>
    <w:rsid w:val="003762C2"/>
    <w:rsid w:val="003778C1"/>
    <w:rsid w:val="00381632"/>
    <w:rsid w:val="00383494"/>
    <w:rsid w:val="00384F4E"/>
    <w:rsid w:val="003872C6"/>
    <w:rsid w:val="00397020"/>
    <w:rsid w:val="003A04B4"/>
    <w:rsid w:val="003A4936"/>
    <w:rsid w:val="003A5363"/>
    <w:rsid w:val="003B1229"/>
    <w:rsid w:val="003B2C11"/>
    <w:rsid w:val="003B3C25"/>
    <w:rsid w:val="003B4C6A"/>
    <w:rsid w:val="003B4D23"/>
    <w:rsid w:val="003C0934"/>
    <w:rsid w:val="003C3854"/>
    <w:rsid w:val="003C6213"/>
    <w:rsid w:val="003C75B9"/>
    <w:rsid w:val="003D1A53"/>
    <w:rsid w:val="003D36AD"/>
    <w:rsid w:val="003D6B47"/>
    <w:rsid w:val="003E05CD"/>
    <w:rsid w:val="003E3A52"/>
    <w:rsid w:val="003E6D04"/>
    <w:rsid w:val="003E760A"/>
    <w:rsid w:val="003E7CA8"/>
    <w:rsid w:val="003F0BC6"/>
    <w:rsid w:val="003F1E27"/>
    <w:rsid w:val="003F3102"/>
    <w:rsid w:val="003F3389"/>
    <w:rsid w:val="003F4371"/>
    <w:rsid w:val="003F5FEE"/>
    <w:rsid w:val="003F7301"/>
    <w:rsid w:val="00403E2E"/>
    <w:rsid w:val="004061BF"/>
    <w:rsid w:val="00406657"/>
    <w:rsid w:val="00410508"/>
    <w:rsid w:val="0041360D"/>
    <w:rsid w:val="004145DB"/>
    <w:rsid w:val="00415EFB"/>
    <w:rsid w:val="00417292"/>
    <w:rsid w:val="00422A48"/>
    <w:rsid w:val="00422A55"/>
    <w:rsid w:val="00424796"/>
    <w:rsid w:val="00424A10"/>
    <w:rsid w:val="00427DA2"/>
    <w:rsid w:val="00433F15"/>
    <w:rsid w:val="0043467B"/>
    <w:rsid w:val="00435262"/>
    <w:rsid w:val="00435C0D"/>
    <w:rsid w:val="0043729E"/>
    <w:rsid w:val="00437435"/>
    <w:rsid w:val="004408DB"/>
    <w:rsid w:val="00442AFD"/>
    <w:rsid w:val="00443C82"/>
    <w:rsid w:val="00443E3E"/>
    <w:rsid w:val="00444304"/>
    <w:rsid w:val="00444346"/>
    <w:rsid w:val="00445627"/>
    <w:rsid w:val="00447972"/>
    <w:rsid w:val="00450814"/>
    <w:rsid w:val="00451EC6"/>
    <w:rsid w:val="00455747"/>
    <w:rsid w:val="00456080"/>
    <w:rsid w:val="004578AD"/>
    <w:rsid w:val="00460524"/>
    <w:rsid w:val="00464BE9"/>
    <w:rsid w:val="004674FB"/>
    <w:rsid w:val="004710BA"/>
    <w:rsid w:val="004812E6"/>
    <w:rsid w:val="0048196D"/>
    <w:rsid w:val="00484B74"/>
    <w:rsid w:val="0048523B"/>
    <w:rsid w:val="00485971"/>
    <w:rsid w:val="00487DED"/>
    <w:rsid w:val="004903C5"/>
    <w:rsid w:val="004903D5"/>
    <w:rsid w:val="00492678"/>
    <w:rsid w:val="00493E66"/>
    <w:rsid w:val="00495190"/>
    <w:rsid w:val="00496088"/>
    <w:rsid w:val="00496903"/>
    <w:rsid w:val="004977C3"/>
    <w:rsid w:val="004A0388"/>
    <w:rsid w:val="004A32E3"/>
    <w:rsid w:val="004A36EC"/>
    <w:rsid w:val="004A67DD"/>
    <w:rsid w:val="004B1394"/>
    <w:rsid w:val="004B2869"/>
    <w:rsid w:val="004B2CFF"/>
    <w:rsid w:val="004B501A"/>
    <w:rsid w:val="004B6ADF"/>
    <w:rsid w:val="004C022A"/>
    <w:rsid w:val="004C1052"/>
    <w:rsid w:val="004D1BD9"/>
    <w:rsid w:val="004D26DD"/>
    <w:rsid w:val="004D72AF"/>
    <w:rsid w:val="004E05A7"/>
    <w:rsid w:val="004E18D2"/>
    <w:rsid w:val="004E2287"/>
    <w:rsid w:val="004E235B"/>
    <w:rsid w:val="004E4B8F"/>
    <w:rsid w:val="004E53C5"/>
    <w:rsid w:val="004E5A04"/>
    <w:rsid w:val="004E5E88"/>
    <w:rsid w:val="004E7437"/>
    <w:rsid w:val="004F0D45"/>
    <w:rsid w:val="004F12D3"/>
    <w:rsid w:val="004F2EC6"/>
    <w:rsid w:val="004F350C"/>
    <w:rsid w:val="004F615A"/>
    <w:rsid w:val="004F61DF"/>
    <w:rsid w:val="00500402"/>
    <w:rsid w:val="00502B43"/>
    <w:rsid w:val="005030B1"/>
    <w:rsid w:val="00503373"/>
    <w:rsid w:val="0050494C"/>
    <w:rsid w:val="0050507F"/>
    <w:rsid w:val="0051065C"/>
    <w:rsid w:val="00510F1D"/>
    <w:rsid w:val="00511211"/>
    <w:rsid w:val="0052000C"/>
    <w:rsid w:val="00521929"/>
    <w:rsid w:val="00524DA5"/>
    <w:rsid w:val="0052557D"/>
    <w:rsid w:val="005255F0"/>
    <w:rsid w:val="00527573"/>
    <w:rsid w:val="005279BE"/>
    <w:rsid w:val="005304E9"/>
    <w:rsid w:val="005324FA"/>
    <w:rsid w:val="00533AB8"/>
    <w:rsid w:val="005341E0"/>
    <w:rsid w:val="005359D3"/>
    <w:rsid w:val="00540B09"/>
    <w:rsid w:val="005416D2"/>
    <w:rsid w:val="00545616"/>
    <w:rsid w:val="005464AA"/>
    <w:rsid w:val="00546735"/>
    <w:rsid w:val="005474C8"/>
    <w:rsid w:val="00550359"/>
    <w:rsid w:val="00551989"/>
    <w:rsid w:val="00553890"/>
    <w:rsid w:val="005549B8"/>
    <w:rsid w:val="00556333"/>
    <w:rsid w:val="0055700C"/>
    <w:rsid w:val="00560047"/>
    <w:rsid w:val="0056212D"/>
    <w:rsid w:val="0056250B"/>
    <w:rsid w:val="005627AB"/>
    <w:rsid w:val="0056309B"/>
    <w:rsid w:val="005648FF"/>
    <w:rsid w:val="005653A9"/>
    <w:rsid w:val="00565AF2"/>
    <w:rsid w:val="0056758F"/>
    <w:rsid w:val="0057038E"/>
    <w:rsid w:val="00570F55"/>
    <w:rsid w:val="00573130"/>
    <w:rsid w:val="00576132"/>
    <w:rsid w:val="005763A9"/>
    <w:rsid w:val="00576F19"/>
    <w:rsid w:val="00577949"/>
    <w:rsid w:val="00580108"/>
    <w:rsid w:val="00580B33"/>
    <w:rsid w:val="00580C15"/>
    <w:rsid w:val="0058341F"/>
    <w:rsid w:val="00585769"/>
    <w:rsid w:val="005857A1"/>
    <w:rsid w:val="00587440"/>
    <w:rsid w:val="0059193B"/>
    <w:rsid w:val="00592405"/>
    <w:rsid w:val="005A0171"/>
    <w:rsid w:val="005A1844"/>
    <w:rsid w:val="005A30EA"/>
    <w:rsid w:val="005A3292"/>
    <w:rsid w:val="005A421C"/>
    <w:rsid w:val="005A77B0"/>
    <w:rsid w:val="005A7E61"/>
    <w:rsid w:val="005B1D36"/>
    <w:rsid w:val="005B47F8"/>
    <w:rsid w:val="005B739E"/>
    <w:rsid w:val="005C08EC"/>
    <w:rsid w:val="005C51B7"/>
    <w:rsid w:val="005C54FA"/>
    <w:rsid w:val="005C683F"/>
    <w:rsid w:val="005C6895"/>
    <w:rsid w:val="005C74EF"/>
    <w:rsid w:val="005D0682"/>
    <w:rsid w:val="005D660A"/>
    <w:rsid w:val="005D6C7A"/>
    <w:rsid w:val="005E432D"/>
    <w:rsid w:val="005E6DF9"/>
    <w:rsid w:val="005E7AEF"/>
    <w:rsid w:val="005F1187"/>
    <w:rsid w:val="005F3B0A"/>
    <w:rsid w:val="005F4F88"/>
    <w:rsid w:val="005F5CFF"/>
    <w:rsid w:val="005F7584"/>
    <w:rsid w:val="006002E5"/>
    <w:rsid w:val="00601526"/>
    <w:rsid w:val="00603D73"/>
    <w:rsid w:val="0060436D"/>
    <w:rsid w:val="00610236"/>
    <w:rsid w:val="0061173F"/>
    <w:rsid w:val="00611E89"/>
    <w:rsid w:val="006157EC"/>
    <w:rsid w:val="006158CC"/>
    <w:rsid w:val="00615985"/>
    <w:rsid w:val="00617B57"/>
    <w:rsid w:val="00622643"/>
    <w:rsid w:val="00622B9F"/>
    <w:rsid w:val="00622C04"/>
    <w:rsid w:val="00624D03"/>
    <w:rsid w:val="006272C4"/>
    <w:rsid w:val="00627977"/>
    <w:rsid w:val="0063045C"/>
    <w:rsid w:val="00631DBF"/>
    <w:rsid w:val="00631EE2"/>
    <w:rsid w:val="00633BD0"/>
    <w:rsid w:val="00633BF3"/>
    <w:rsid w:val="00634DBB"/>
    <w:rsid w:val="0063652F"/>
    <w:rsid w:val="0063667C"/>
    <w:rsid w:val="006379C7"/>
    <w:rsid w:val="00641F29"/>
    <w:rsid w:val="00642327"/>
    <w:rsid w:val="00644838"/>
    <w:rsid w:val="0064579B"/>
    <w:rsid w:val="0064603B"/>
    <w:rsid w:val="0064658C"/>
    <w:rsid w:val="006471C1"/>
    <w:rsid w:val="0065178A"/>
    <w:rsid w:val="00651BDB"/>
    <w:rsid w:val="0065390E"/>
    <w:rsid w:val="00653B2D"/>
    <w:rsid w:val="00655F79"/>
    <w:rsid w:val="00656FAE"/>
    <w:rsid w:val="0066159F"/>
    <w:rsid w:val="00664ABD"/>
    <w:rsid w:val="00664E65"/>
    <w:rsid w:val="00665433"/>
    <w:rsid w:val="0066779B"/>
    <w:rsid w:val="00667D9F"/>
    <w:rsid w:val="00671981"/>
    <w:rsid w:val="0067374A"/>
    <w:rsid w:val="0067393A"/>
    <w:rsid w:val="00674169"/>
    <w:rsid w:val="00675EF3"/>
    <w:rsid w:val="006771A4"/>
    <w:rsid w:val="006810D8"/>
    <w:rsid w:val="00684B15"/>
    <w:rsid w:val="0068552D"/>
    <w:rsid w:val="00687740"/>
    <w:rsid w:val="006902BA"/>
    <w:rsid w:val="006927B0"/>
    <w:rsid w:val="00692CCB"/>
    <w:rsid w:val="00693901"/>
    <w:rsid w:val="006973FA"/>
    <w:rsid w:val="006A0496"/>
    <w:rsid w:val="006A3385"/>
    <w:rsid w:val="006A4087"/>
    <w:rsid w:val="006A518E"/>
    <w:rsid w:val="006A56FD"/>
    <w:rsid w:val="006A6384"/>
    <w:rsid w:val="006A63F7"/>
    <w:rsid w:val="006B06DB"/>
    <w:rsid w:val="006B13CC"/>
    <w:rsid w:val="006B2D65"/>
    <w:rsid w:val="006B2FF6"/>
    <w:rsid w:val="006B2FFC"/>
    <w:rsid w:val="006B38EC"/>
    <w:rsid w:val="006B3C3A"/>
    <w:rsid w:val="006B62F2"/>
    <w:rsid w:val="006B6D3A"/>
    <w:rsid w:val="006C32B5"/>
    <w:rsid w:val="006C590B"/>
    <w:rsid w:val="006C6896"/>
    <w:rsid w:val="006C6F54"/>
    <w:rsid w:val="006D0BDC"/>
    <w:rsid w:val="006D1F1D"/>
    <w:rsid w:val="006D4AF5"/>
    <w:rsid w:val="006D59B8"/>
    <w:rsid w:val="006D5E5D"/>
    <w:rsid w:val="006E2336"/>
    <w:rsid w:val="006E4A88"/>
    <w:rsid w:val="006E62D7"/>
    <w:rsid w:val="006E6852"/>
    <w:rsid w:val="006F1BFA"/>
    <w:rsid w:val="006F2373"/>
    <w:rsid w:val="00700EEF"/>
    <w:rsid w:val="0070382F"/>
    <w:rsid w:val="007049EC"/>
    <w:rsid w:val="00706ACC"/>
    <w:rsid w:val="00710E60"/>
    <w:rsid w:val="007112BE"/>
    <w:rsid w:val="0071428F"/>
    <w:rsid w:val="00717BC5"/>
    <w:rsid w:val="00721FF8"/>
    <w:rsid w:val="00726562"/>
    <w:rsid w:val="00727158"/>
    <w:rsid w:val="00727B54"/>
    <w:rsid w:val="007334B2"/>
    <w:rsid w:val="007334C8"/>
    <w:rsid w:val="00733560"/>
    <w:rsid w:val="00735D4D"/>
    <w:rsid w:val="00735DAB"/>
    <w:rsid w:val="007367AC"/>
    <w:rsid w:val="00740984"/>
    <w:rsid w:val="00741FEC"/>
    <w:rsid w:val="00742F78"/>
    <w:rsid w:val="00744D9E"/>
    <w:rsid w:val="00745C1E"/>
    <w:rsid w:val="00746018"/>
    <w:rsid w:val="0074687B"/>
    <w:rsid w:val="007501B5"/>
    <w:rsid w:val="00750AE3"/>
    <w:rsid w:val="00750CCE"/>
    <w:rsid w:val="00752275"/>
    <w:rsid w:val="00752FEF"/>
    <w:rsid w:val="00754145"/>
    <w:rsid w:val="00756BC7"/>
    <w:rsid w:val="00756CAC"/>
    <w:rsid w:val="007626E6"/>
    <w:rsid w:val="00762752"/>
    <w:rsid w:val="007658FD"/>
    <w:rsid w:val="007662FB"/>
    <w:rsid w:val="00770BD5"/>
    <w:rsid w:val="007712B0"/>
    <w:rsid w:val="007719B7"/>
    <w:rsid w:val="007740D2"/>
    <w:rsid w:val="00774D1B"/>
    <w:rsid w:val="007760E2"/>
    <w:rsid w:val="00780CDC"/>
    <w:rsid w:val="0078246C"/>
    <w:rsid w:val="007833FF"/>
    <w:rsid w:val="00783616"/>
    <w:rsid w:val="0078549A"/>
    <w:rsid w:val="00785BA3"/>
    <w:rsid w:val="00787997"/>
    <w:rsid w:val="007903F0"/>
    <w:rsid w:val="0079347A"/>
    <w:rsid w:val="007965C4"/>
    <w:rsid w:val="00797C0F"/>
    <w:rsid w:val="007A0B61"/>
    <w:rsid w:val="007A2E6B"/>
    <w:rsid w:val="007A710E"/>
    <w:rsid w:val="007B07E9"/>
    <w:rsid w:val="007B0DFC"/>
    <w:rsid w:val="007B13FC"/>
    <w:rsid w:val="007B21F0"/>
    <w:rsid w:val="007B282F"/>
    <w:rsid w:val="007B2CE5"/>
    <w:rsid w:val="007B5F65"/>
    <w:rsid w:val="007C0017"/>
    <w:rsid w:val="007C186F"/>
    <w:rsid w:val="007C23B8"/>
    <w:rsid w:val="007C3CCB"/>
    <w:rsid w:val="007C4046"/>
    <w:rsid w:val="007C4282"/>
    <w:rsid w:val="007C43B0"/>
    <w:rsid w:val="007C60C6"/>
    <w:rsid w:val="007C615A"/>
    <w:rsid w:val="007C7131"/>
    <w:rsid w:val="007D0DEF"/>
    <w:rsid w:val="007D3A77"/>
    <w:rsid w:val="007D4677"/>
    <w:rsid w:val="007D46D9"/>
    <w:rsid w:val="007D55BB"/>
    <w:rsid w:val="007E2348"/>
    <w:rsid w:val="007E2A04"/>
    <w:rsid w:val="007E3CB1"/>
    <w:rsid w:val="007E5A0D"/>
    <w:rsid w:val="007E5C76"/>
    <w:rsid w:val="007F0C6B"/>
    <w:rsid w:val="007F11A7"/>
    <w:rsid w:val="007F23B0"/>
    <w:rsid w:val="007F4FC6"/>
    <w:rsid w:val="007F5855"/>
    <w:rsid w:val="007F6C8A"/>
    <w:rsid w:val="00801B35"/>
    <w:rsid w:val="00801C3F"/>
    <w:rsid w:val="00802646"/>
    <w:rsid w:val="0080266C"/>
    <w:rsid w:val="00805529"/>
    <w:rsid w:val="00806263"/>
    <w:rsid w:val="008071D5"/>
    <w:rsid w:val="00810726"/>
    <w:rsid w:val="0081743A"/>
    <w:rsid w:val="00820954"/>
    <w:rsid w:val="00821927"/>
    <w:rsid w:val="00822406"/>
    <w:rsid w:val="008230D2"/>
    <w:rsid w:val="008233AF"/>
    <w:rsid w:val="00824785"/>
    <w:rsid w:val="00824D92"/>
    <w:rsid w:val="008263F2"/>
    <w:rsid w:val="00826893"/>
    <w:rsid w:val="00826DB8"/>
    <w:rsid w:val="00827816"/>
    <w:rsid w:val="00831138"/>
    <w:rsid w:val="0083172F"/>
    <w:rsid w:val="00832C73"/>
    <w:rsid w:val="00834D5D"/>
    <w:rsid w:val="008355D2"/>
    <w:rsid w:val="008356BA"/>
    <w:rsid w:val="0083630B"/>
    <w:rsid w:val="008370E0"/>
    <w:rsid w:val="0084026C"/>
    <w:rsid w:val="00840B77"/>
    <w:rsid w:val="008419FD"/>
    <w:rsid w:val="00841F6A"/>
    <w:rsid w:val="008421F3"/>
    <w:rsid w:val="00842245"/>
    <w:rsid w:val="0084341D"/>
    <w:rsid w:val="00843A4A"/>
    <w:rsid w:val="00845317"/>
    <w:rsid w:val="00847A56"/>
    <w:rsid w:val="00850BA0"/>
    <w:rsid w:val="0085374D"/>
    <w:rsid w:val="00854822"/>
    <w:rsid w:val="00854F81"/>
    <w:rsid w:val="0085578F"/>
    <w:rsid w:val="00856D98"/>
    <w:rsid w:val="00857A55"/>
    <w:rsid w:val="0086015C"/>
    <w:rsid w:val="008605B6"/>
    <w:rsid w:val="00860C61"/>
    <w:rsid w:val="00861ECC"/>
    <w:rsid w:val="00862265"/>
    <w:rsid w:val="008627F8"/>
    <w:rsid w:val="00863B98"/>
    <w:rsid w:val="00871E36"/>
    <w:rsid w:val="00873C6F"/>
    <w:rsid w:val="00873FF2"/>
    <w:rsid w:val="00874CFC"/>
    <w:rsid w:val="00876603"/>
    <w:rsid w:val="00876FDD"/>
    <w:rsid w:val="00877791"/>
    <w:rsid w:val="00885EE0"/>
    <w:rsid w:val="00887556"/>
    <w:rsid w:val="00892142"/>
    <w:rsid w:val="00892684"/>
    <w:rsid w:val="008947F8"/>
    <w:rsid w:val="00894836"/>
    <w:rsid w:val="00895B02"/>
    <w:rsid w:val="008A096B"/>
    <w:rsid w:val="008A09EF"/>
    <w:rsid w:val="008A46DE"/>
    <w:rsid w:val="008A7864"/>
    <w:rsid w:val="008B0BDE"/>
    <w:rsid w:val="008B17FB"/>
    <w:rsid w:val="008B2230"/>
    <w:rsid w:val="008B4372"/>
    <w:rsid w:val="008B50A0"/>
    <w:rsid w:val="008B6FCD"/>
    <w:rsid w:val="008C05BD"/>
    <w:rsid w:val="008C1798"/>
    <w:rsid w:val="008C3312"/>
    <w:rsid w:val="008C42B4"/>
    <w:rsid w:val="008C485C"/>
    <w:rsid w:val="008C7890"/>
    <w:rsid w:val="008D1040"/>
    <w:rsid w:val="008D1D78"/>
    <w:rsid w:val="008D2969"/>
    <w:rsid w:val="008D3EE8"/>
    <w:rsid w:val="008D4009"/>
    <w:rsid w:val="008D49EA"/>
    <w:rsid w:val="008D5C0F"/>
    <w:rsid w:val="008D5FE5"/>
    <w:rsid w:val="008D7CC1"/>
    <w:rsid w:val="008E1038"/>
    <w:rsid w:val="008E2B17"/>
    <w:rsid w:val="008E4889"/>
    <w:rsid w:val="008E4AAA"/>
    <w:rsid w:val="008E4DBB"/>
    <w:rsid w:val="008E4FC9"/>
    <w:rsid w:val="008E64F0"/>
    <w:rsid w:val="008F0DA9"/>
    <w:rsid w:val="008F3424"/>
    <w:rsid w:val="008F37E3"/>
    <w:rsid w:val="008F4C57"/>
    <w:rsid w:val="008F6651"/>
    <w:rsid w:val="008F6BFD"/>
    <w:rsid w:val="008F6FD3"/>
    <w:rsid w:val="008F7B36"/>
    <w:rsid w:val="00901798"/>
    <w:rsid w:val="00901B42"/>
    <w:rsid w:val="009034BB"/>
    <w:rsid w:val="00904AE3"/>
    <w:rsid w:val="00905327"/>
    <w:rsid w:val="009054F6"/>
    <w:rsid w:val="00906948"/>
    <w:rsid w:val="00906FF4"/>
    <w:rsid w:val="0091113E"/>
    <w:rsid w:val="0091119B"/>
    <w:rsid w:val="00911715"/>
    <w:rsid w:val="00911C8D"/>
    <w:rsid w:val="00912467"/>
    <w:rsid w:val="009137D2"/>
    <w:rsid w:val="00917177"/>
    <w:rsid w:val="00917213"/>
    <w:rsid w:val="009179D6"/>
    <w:rsid w:val="009209EA"/>
    <w:rsid w:val="0092199A"/>
    <w:rsid w:val="00921A92"/>
    <w:rsid w:val="00921DB5"/>
    <w:rsid w:val="0092263E"/>
    <w:rsid w:val="00922BA4"/>
    <w:rsid w:val="009230A8"/>
    <w:rsid w:val="009252FD"/>
    <w:rsid w:val="00933228"/>
    <w:rsid w:val="009337D1"/>
    <w:rsid w:val="009406C0"/>
    <w:rsid w:val="00941BF8"/>
    <w:rsid w:val="0094334C"/>
    <w:rsid w:val="00943D40"/>
    <w:rsid w:val="00943D9B"/>
    <w:rsid w:val="0094674B"/>
    <w:rsid w:val="009476D3"/>
    <w:rsid w:val="00953A96"/>
    <w:rsid w:val="009550B6"/>
    <w:rsid w:val="00957A10"/>
    <w:rsid w:val="00960298"/>
    <w:rsid w:val="00961730"/>
    <w:rsid w:val="009617EB"/>
    <w:rsid w:val="0096262A"/>
    <w:rsid w:val="00963690"/>
    <w:rsid w:val="00965737"/>
    <w:rsid w:val="00970F53"/>
    <w:rsid w:val="00971B44"/>
    <w:rsid w:val="0097212F"/>
    <w:rsid w:val="0097343B"/>
    <w:rsid w:val="0097406E"/>
    <w:rsid w:val="009758AA"/>
    <w:rsid w:val="00976AA1"/>
    <w:rsid w:val="00980E44"/>
    <w:rsid w:val="00985B5F"/>
    <w:rsid w:val="009863D5"/>
    <w:rsid w:val="00987D80"/>
    <w:rsid w:val="009902A8"/>
    <w:rsid w:val="009929D4"/>
    <w:rsid w:val="0099472B"/>
    <w:rsid w:val="00995060"/>
    <w:rsid w:val="00996312"/>
    <w:rsid w:val="009979A7"/>
    <w:rsid w:val="009A0264"/>
    <w:rsid w:val="009A0D64"/>
    <w:rsid w:val="009A180C"/>
    <w:rsid w:val="009A1EFD"/>
    <w:rsid w:val="009A2813"/>
    <w:rsid w:val="009A38FD"/>
    <w:rsid w:val="009A57DC"/>
    <w:rsid w:val="009A5F2A"/>
    <w:rsid w:val="009A71AA"/>
    <w:rsid w:val="009B064C"/>
    <w:rsid w:val="009B1CB9"/>
    <w:rsid w:val="009B3244"/>
    <w:rsid w:val="009B6667"/>
    <w:rsid w:val="009B6F8F"/>
    <w:rsid w:val="009D186B"/>
    <w:rsid w:val="009D2FA4"/>
    <w:rsid w:val="009D48AF"/>
    <w:rsid w:val="009D48BF"/>
    <w:rsid w:val="009D7644"/>
    <w:rsid w:val="009D7985"/>
    <w:rsid w:val="009E3F82"/>
    <w:rsid w:val="009F0AFF"/>
    <w:rsid w:val="009F15D8"/>
    <w:rsid w:val="009F29D4"/>
    <w:rsid w:val="009F3514"/>
    <w:rsid w:val="009F3A00"/>
    <w:rsid w:val="009F4969"/>
    <w:rsid w:val="009F581F"/>
    <w:rsid w:val="009F65C0"/>
    <w:rsid w:val="009F7619"/>
    <w:rsid w:val="009F7990"/>
    <w:rsid w:val="009F7A41"/>
    <w:rsid w:val="00A00A82"/>
    <w:rsid w:val="00A029EC"/>
    <w:rsid w:val="00A02E12"/>
    <w:rsid w:val="00A04983"/>
    <w:rsid w:val="00A05C5E"/>
    <w:rsid w:val="00A060B4"/>
    <w:rsid w:val="00A0753F"/>
    <w:rsid w:val="00A078E1"/>
    <w:rsid w:val="00A07EF7"/>
    <w:rsid w:val="00A10FFD"/>
    <w:rsid w:val="00A11347"/>
    <w:rsid w:val="00A11818"/>
    <w:rsid w:val="00A1230D"/>
    <w:rsid w:val="00A158AB"/>
    <w:rsid w:val="00A23F8D"/>
    <w:rsid w:val="00A24FED"/>
    <w:rsid w:val="00A259D1"/>
    <w:rsid w:val="00A27121"/>
    <w:rsid w:val="00A30DE3"/>
    <w:rsid w:val="00A31DAA"/>
    <w:rsid w:val="00A32408"/>
    <w:rsid w:val="00A339FC"/>
    <w:rsid w:val="00A35DA3"/>
    <w:rsid w:val="00A36552"/>
    <w:rsid w:val="00A41DEF"/>
    <w:rsid w:val="00A46476"/>
    <w:rsid w:val="00A47AB3"/>
    <w:rsid w:val="00A51559"/>
    <w:rsid w:val="00A55AAA"/>
    <w:rsid w:val="00A60427"/>
    <w:rsid w:val="00A615FD"/>
    <w:rsid w:val="00A632A2"/>
    <w:rsid w:val="00A632C7"/>
    <w:rsid w:val="00A63C00"/>
    <w:rsid w:val="00A640C8"/>
    <w:rsid w:val="00A64947"/>
    <w:rsid w:val="00A66451"/>
    <w:rsid w:val="00A6657B"/>
    <w:rsid w:val="00A71AF4"/>
    <w:rsid w:val="00A71E13"/>
    <w:rsid w:val="00A72AC2"/>
    <w:rsid w:val="00A72AC5"/>
    <w:rsid w:val="00A72B5C"/>
    <w:rsid w:val="00A73BA9"/>
    <w:rsid w:val="00A74AF2"/>
    <w:rsid w:val="00A75907"/>
    <w:rsid w:val="00A76791"/>
    <w:rsid w:val="00A77684"/>
    <w:rsid w:val="00A7768C"/>
    <w:rsid w:val="00A77A82"/>
    <w:rsid w:val="00A77BFF"/>
    <w:rsid w:val="00A8007B"/>
    <w:rsid w:val="00A85038"/>
    <w:rsid w:val="00A866D7"/>
    <w:rsid w:val="00A86746"/>
    <w:rsid w:val="00A86EF7"/>
    <w:rsid w:val="00A8721A"/>
    <w:rsid w:val="00A877CA"/>
    <w:rsid w:val="00A87DD8"/>
    <w:rsid w:val="00A9001C"/>
    <w:rsid w:val="00A9402E"/>
    <w:rsid w:val="00A96A33"/>
    <w:rsid w:val="00A9709F"/>
    <w:rsid w:val="00AA040F"/>
    <w:rsid w:val="00AA6ADD"/>
    <w:rsid w:val="00AA6E65"/>
    <w:rsid w:val="00AA79D8"/>
    <w:rsid w:val="00AB075E"/>
    <w:rsid w:val="00AB1658"/>
    <w:rsid w:val="00AB17B9"/>
    <w:rsid w:val="00AB1C36"/>
    <w:rsid w:val="00AB24FC"/>
    <w:rsid w:val="00AB2A13"/>
    <w:rsid w:val="00AB2E3D"/>
    <w:rsid w:val="00AB70F8"/>
    <w:rsid w:val="00AC03D0"/>
    <w:rsid w:val="00AC1E68"/>
    <w:rsid w:val="00AC1F08"/>
    <w:rsid w:val="00AD1FBB"/>
    <w:rsid w:val="00AD40C4"/>
    <w:rsid w:val="00AD4D69"/>
    <w:rsid w:val="00AD4DA9"/>
    <w:rsid w:val="00AD5E7E"/>
    <w:rsid w:val="00AE03E0"/>
    <w:rsid w:val="00AE2044"/>
    <w:rsid w:val="00AE2F9B"/>
    <w:rsid w:val="00AE550C"/>
    <w:rsid w:val="00AE73B8"/>
    <w:rsid w:val="00AF38A2"/>
    <w:rsid w:val="00AF45B0"/>
    <w:rsid w:val="00AF5E13"/>
    <w:rsid w:val="00B016C6"/>
    <w:rsid w:val="00B03244"/>
    <w:rsid w:val="00B0750A"/>
    <w:rsid w:val="00B13218"/>
    <w:rsid w:val="00B148BA"/>
    <w:rsid w:val="00B15566"/>
    <w:rsid w:val="00B21482"/>
    <w:rsid w:val="00B217B4"/>
    <w:rsid w:val="00B24666"/>
    <w:rsid w:val="00B2560F"/>
    <w:rsid w:val="00B25713"/>
    <w:rsid w:val="00B2686F"/>
    <w:rsid w:val="00B27F33"/>
    <w:rsid w:val="00B30815"/>
    <w:rsid w:val="00B314CC"/>
    <w:rsid w:val="00B3241D"/>
    <w:rsid w:val="00B33E91"/>
    <w:rsid w:val="00B3411F"/>
    <w:rsid w:val="00B344FB"/>
    <w:rsid w:val="00B3501C"/>
    <w:rsid w:val="00B36296"/>
    <w:rsid w:val="00B37C98"/>
    <w:rsid w:val="00B40093"/>
    <w:rsid w:val="00B421AE"/>
    <w:rsid w:val="00B43CCA"/>
    <w:rsid w:val="00B44597"/>
    <w:rsid w:val="00B45136"/>
    <w:rsid w:val="00B465AB"/>
    <w:rsid w:val="00B50260"/>
    <w:rsid w:val="00B52E86"/>
    <w:rsid w:val="00B54A6F"/>
    <w:rsid w:val="00B629A2"/>
    <w:rsid w:val="00B62A21"/>
    <w:rsid w:val="00B64660"/>
    <w:rsid w:val="00B64B6E"/>
    <w:rsid w:val="00B64FBF"/>
    <w:rsid w:val="00B65699"/>
    <w:rsid w:val="00B67031"/>
    <w:rsid w:val="00B7185B"/>
    <w:rsid w:val="00B72999"/>
    <w:rsid w:val="00B736FC"/>
    <w:rsid w:val="00B73ACE"/>
    <w:rsid w:val="00B771ED"/>
    <w:rsid w:val="00B80855"/>
    <w:rsid w:val="00B827B6"/>
    <w:rsid w:val="00B82BB6"/>
    <w:rsid w:val="00B82F22"/>
    <w:rsid w:val="00B90BC9"/>
    <w:rsid w:val="00B90C0B"/>
    <w:rsid w:val="00B91CC2"/>
    <w:rsid w:val="00B946F3"/>
    <w:rsid w:val="00B955EC"/>
    <w:rsid w:val="00B95781"/>
    <w:rsid w:val="00B961E8"/>
    <w:rsid w:val="00BA03C9"/>
    <w:rsid w:val="00BA0582"/>
    <w:rsid w:val="00BA0BF9"/>
    <w:rsid w:val="00BA151F"/>
    <w:rsid w:val="00BA1877"/>
    <w:rsid w:val="00BA3D57"/>
    <w:rsid w:val="00BA47B4"/>
    <w:rsid w:val="00BA5F8A"/>
    <w:rsid w:val="00BA5FC9"/>
    <w:rsid w:val="00BA707B"/>
    <w:rsid w:val="00BA7377"/>
    <w:rsid w:val="00BB0700"/>
    <w:rsid w:val="00BB159D"/>
    <w:rsid w:val="00BB33FA"/>
    <w:rsid w:val="00BB4988"/>
    <w:rsid w:val="00BB5777"/>
    <w:rsid w:val="00BB60F0"/>
    <w:rsid w:val="00BB625C"/>
    <w:rsid w:val="00BB6C8A"/>
    <w:rsid w:val="00BB7CEE"/>
    <w:rsid w:val="00BC1129"/>
    <w:rsid w:val="00BC2618"/>
    <w:rsid w:val="00BC2A36"/>
    <w:rsid w:val="00BC36B3"/>
    <w:rsid w:val="00BC43C0"/>
    <w:rsid w:val="00BC5A44"/>
    <w:rsid w:val="00BD221F"/>
    <w:rsid w:val="00BD4436"/>
    <w:rsid w:val="00BD53CD"/>
    <w:rsid w:val="00BD658B"/>
    <w:rsid w:val="00BD7715"/>
    <w:rsid w:val="00BE0EAC"/>
    <w:rsid w:val="00BE2DE5"/>
    <w:rsid w:val="00BE47DB"/>
    <w:rsid w:val="00BE593C"/>
    <w:rsid w:val="00BE6757"/>
    <w:rsid w:val="00BF0D48"/>
    <w:rsid w:val="00BF0EE6"/>
    <w:rsid w:val="00BF4B0D"/>
    <w:rsid w:val="00BF4C9F"/>
    <w:rsid w:val="00BF5406"/>
    <w:rsid w:val="00BF6211"/>
    <w:rsid w:val="00C0105B"/>
    <w:rsid w:val="00C01DBD"/>
    <w:rsid w:val="00C050C1"/>
    <w:rsid w:val="00C061F1"/>
    <w:rsid w:val="00C070CC"/>
    <w:rsid w:val="00C073F7"/>
    <w:rsid w:val="00C07533"/>
    <w:rsid w:val="00C120C7"/>
    <w:rsid w:val="00C12633"/>
    <w:rsid w:val="00C12D57"/>
    <w:rsid w:val="00C132E2"/>
    <w:rsid w:val="00C13603"/>
    <w:rsid w:val="00C13F20"/>
    <w:rsid w:val="00C15432"/>
    <w:rsid w:val="00C15E9D"/>
    <w:rsid w:val="00C16295"/>
    <w:rsid w:val="00C17A02"/>
    <w:rsid w:val="00C200A6"/>
    <w:rsid w:val="00C20DA0"/>
    <w:rsid w:val="00C238D6"/>
    <w:rsid w:val="00C24427"/>
    <w:rsid w:val="00C248D8"/>
    <w:rsid w:val="00C251F3"/>
    <w:rsid w:val="00C27B1F"/>
    <w:rsid w:val="00C3075C"/>
    <w:rsid w:val="00C33B3E"/>
    <w:rsid w:val="00C33E96"/>
    <w:rsid w:val="00C34623"/>
    <w:rsid w:val="00C34795"/>
    <w:rsid w:val="00C348BD"/>
    <w:rsid w:val="00C34D9C"/>
    <w:rsid w:val="00C34FA0"/>
    <w:rsid w:val="00C36431"/>
    <w:rsid w:val="00C3697F"/>
    <w:rsid w:val="00C42D01"/>
    <w:rsid w:val="00C50FDB"/>
    <w:rsid w:val="00C52F52"/>
    <w:rsid w:val="00C54200"/>
    <w:rsid w:val="00C5621C"/>
    <w:rsid w:val="00C567D6"/>
    <w:rsid w:val="00C60CA3"/>
    <w:rsid w:val="00C61413"/>
    <w:rsid w:val="00C63038"/>
    <w:rsid w:val="00C631AC"/>
    <w:rsid w:val="00C6567C"/>
    <w:rsid w:val="00C67050"/>
    <w:rsid w:val="00C71E1B"/>
    <w:rsid w:val="00C722E5"/>
    <w:rsid w:val="00C72C22"/>
    <w:rsid w:val="00C737CA"/>
    <w:rsid w:val="00C77078"/>
    <w:rsid w:val="00C77A2E"/>
    <w:rsid w:val="00C80E9D"/>
    <w:rsid w:val="00C81781"/>
    <w:rsid w:val="00C83B8C"/>
    <w:rsid w:val="00C83DFC"/>
    <w:rsid w:val="00C85218"/>
    <w:rsid w:val="00C86001"/>
    <w:rsid w:val="00C87683"/>
    <w:rsid w:val="00C92138"/>
    <w:rsid w:val="00C92592"/>
    <w:rsid w:val="00C92FFD"/>
    <w:rsid w:val="00C930DC"/>
    <w:rsid w:val="00C94C11"/>
    <w:rsid w:val="00C9647A"/>
    <w:rsid w:val="00C9679E"/>
    <w:rsid w:val="00C970D7"/>
    <w:rsid w:val="00CA22E2"/>
    <w:rsid w:val="00CA2BA0"/>
    <w:rsid w:val="00CA35AF"/>
    <w:rsid w:val="00CA4E03"/>
    <w:rsid w:val="00CA64BF"/>
    <w:rsid w:val="00CA669C"/>
    <w:rsid w:val="00CA7918"/>
    <w:rsid w:val="00CA7E68"/>
    <w:rsid w:val="00CA7E96"/>
    <w:rsid w:val="00CB0F75"/>
    <w:rsid w:val="00CB3FFE"/>
    <w:rsid w:val="00CB5ECE"/>
    <w:rsid w:val="00CB6A6E"/>
    <w:rsid w:val="00CB75B9"/>
    <w:rsid w:val="00CB7ED6"/>
    <w:rsid w:val="00CC7923"/>
    <w:rsid w:val="00CD2376"/>
    <w:rsid w:val="00CD310E"/>
    <w:rsid w:val="00CD41F3"/>
    <w:rsid w:val="00CD5538"/>
    <w:rsid w:val="00CD570F"/>
    <w:rsid w:val="00CD7578"/>
    <w:rsid w:val="00CE1012"/>
    <w:rsid w:val="00CE1FA6"/>
    <w:rsid w:val="00CE2BA6"/>
    <w:rsid w:val="00CE2C4A"/>
    <w:rsid w:val="00CE37FF"/>
    <w:rsid w:val="00CE3E5B"/>
    <w:rsid w:val="00CE423A"/>
    <w:rsid w:val="00CE535A"/>
    <w:rsid w:val="00CE6000"/>
    <w:rsid w:val="00CE633F"/>
    <w:rsid w:val="00CE67D1"/>
    <w:rsid w:val="00CE6B16"/>
    <w:rsid w:val="00CF07DD"/>
    <w:rsid w:val="00CF0A1D"/>
    <w:rsid w:val="00CF1415"/>
    <w:rsid w:val="00CF170E"/>
    <w:rsid w:val="00CF31BB"/>
    <w:rsid w:val="00CF3297"/>
    <w:rsid w:val="00CF3733"/>
    <w:rsid w:val="00CF5E23"/>
    <w:rsid w:val="00CF747F"/>
    <w:rsid w:val="00D01EC6"/>
    <w:rsid w:val="00D0222E"/>
    <w:rsid w:val="00D02E98"/>
    <w:rsid w:val="00D07E3E"/>
    <w:rsid w:val="00D10569"/>
    <w:rsid w:val="00D11FDC"/>
    <w:rsid w:val="00D136DA"/>
    <w:rsid w:val="00D13BF4"/>
    <w:rsid w:val="00D1446B"/>
    <w:rsid w:val="00D14C72"/>
    <w:rsid w:val="00D1552C"/>
    <w:rsid w:val="00D20946"/>
    <w:rsid w:val="00D21910"/>
    <w:rsid w:val="00D25CFF"/>
    <w:rsid w:val="00D27BED"/>
    <w:rsid w:val="00D3235F"/>
    <w:rsid w:val="00D33395"/>
    <w:rsid w:val="00D3426A"/>
    <w:rsid w:val="00D35384"/>
    <w:rsid w:val="00D36031"/>
    <w:rsid w:val="00D364AB"/>
    <w:rsid w:val="00D36D42"/>
    <w:rsid w:val="00D37201"/>
    <w:rsid w:val="00D41489"/>
    <w:rsid w:val="00D41512"/>
    <w:rsid w:val="00D44A37"/>
    <w:rsid w:val="00D463CF"/>
    <w:rsid w:val="00D46E78"/>
    <w:rsid w:val="00D50E2F"/>
    <w:rsid w:val="00D53E9F"/>
    <w:rsid w:val="00D54D60"/>
    <w:rsid w:val="00D5509C"/>
    <w:rsid w:val="00D56153"/>
    <w:rsid w:val="00D574F2"/>
    <w:rsid w:val="00D578F6"/>
    <w:rsid w:val="00D61765"/>
    <w:rsid w:val="00D6462F"/>
    <w:rsid w:val="00D64B72"/>
    <w:rsid w:val="00D64E35"/>
    <w:rsid w:val="00D66916"/>
    <w:rsid w:val="00D74206"/>
    <w:rsid w:val="00D756F9"/>
    <w:rsid w:val="00D7598E"/>
    <w:rsid w:val="00D847A6"/>
    <w:rsid w:val="00D85EA8"/>
    <w:rsid w:val="00D8644D"/>
    <w:rsid w:val="00D8672A"/>
    <w:rsid w:val="00D87844"/>
    <w:rsid w:val="00D87C8B"/>
    <w:rsid w:val="00D92A81"/>
    <w:rsid w:val="00D92E7F"/>
    <w:rsid w:val="00D947EF"/>
    <w:rsid w:val="00D94CD8"/>
    <w:rsid w:val="00D94FDF"/>
    <w:rsid w:val="00D96472"/>
    <w:rsid w:val="00D97990"/>
    <w:rsid w:val="00D97FBC"/>
    <w:rsid w:val="00DA0633"/>
    <w:rsid w:val="00DA1D0C"/>
    <w:rsid w:val="00DA31E9"/>
    <w:rsid w:val="00DA36EB"/>
    <w:rsid w:val="00DA590C"/>
    <w:rsid w:val="00DA5A75"/>
    <w:rsid w:val="00DA6A25"/>
    <w:rsid w:val="00DB0E25"/>
    <w:rsid w:val="00DB2054"/>
    <w:rsid w:val="00DB3143"/>
    <w:rsid w:val="00DB41D1"/>
    <w:rsid w:val="00DB493A"/>
    <w:rsid w:val="00DB4D9E"/>
    <w:rsid w:val="00DB667C"/>
    <w:rsid w:val="00DB7929"/>
    <w:rsid w:val="00DB7EA6"/>
    <w:rsid w:val="00DC1377"/>
    <w:rsid w:val="00DC1A6A"/>
    <w:rsid w:val="00DC4C35"/>
    <w:rsid w:val="00DD0653"/>
    <w:rsid w:val="00DD319D"/>
    <w:rsid w:val="00DD5EB0"/>
    <w:rsid w:val="00DD75FC"/>
    <w:rsid w:val="00DE0F91"/>
    <w:rsid w:val="00DE2BF4"/>
    <w:rsid w:val="00DE60B1"/>
    <w:rsid w:val="00DE7253"/>
    <w:rsid w:val="00DE7DD2"/>
    <w:rsid w:val="00DF3196"/>
    <w:rsid w:val="00DF6678"/>
    <w:rsid w:val="00E005FA"/>
    <w:rsid w:val="00E0255E"/>
    <w:rsid w:val="00E03791"/>
    <w:rsid w:val="00E03ED0"/>
    <w:rsid w:val="00E10A1A"/>
    <w:rsid w:val="00E16AC9"/>
    <w:rsid w:val="00E17BB7"/>
    <w:rsid w:val="00E20EF4"/>
    <w:rsid w:val="00E2180E"/>
    <w:rsid w:val="00E21A35"/>
    <w:rsid w:val="00E21A8F"/>
    <w:rsid w:val="00E21DBF"/>
    <w:rsid w:val="00E26BE6"/>
    <w:rsid w:val="00E334DB"/>
    <w:rsid w:val="00E33BDC"/>
    <w:rsid w:val="00E34617"/>
    <w:rsid w:val="00E34EE4"/>
    <w:rsid w:val="00E37CB8"/>
    <w:rsid w:val="00E37FF5"/>
    <w:rsid w:val="00E4018F"/>
    <w:rsid w:val="00E4082B"/>
    <w:rsid w:val="00E42000"/>
    <w:rsid w:val="00E42EA9"/>
    <w:rsid w:val="00E43076"/>
    <w:rsid w:val="00E466BB"/>
    <w:rsid w:val="00E46AF1"/>
    <w:rsid w:val="00E46B95"/>
    <w:rsid w:val="00E5029B"/>
    <w:rsid w:val="00E50AEE"/>
    <w:rsid w:val="00E569BC"/>
    <w:rsid w:val="00E57B62"/>
    <w:rsid w:val="00E6392A"/>
    <w:rsid w:val="00E6745D"/>
    <w:rsid w:val="00E7000B"/>
    <w:rsid w:val="00E702C1"/>
    <w:rsid w:val="00E731A7"/>
    <w:rsid w:val="00E736D5"/>
    <w:rsid w:val="00E75D67"/>
    <w:rsid w:val="00E800F7"/>
    <w:rsid w:val="00E829AC"/>
    <w:rsid w:val="00E83BD5"/>
    <w:rsid w:val="00E8410C"/>
    <w:rsid w:val="00E847EA"/>
    <w:rsid w:val="00E85D4E"/>
    <w:rsid w:val="00E86C47"/>
    <w:rsid w:val="00E87FC3"/>
    <w:rsid w:val="00E91D48"/>
    <w:rsid w:val="00E967CB"/>
    <w:rsid w:val="00EA1029"/>
    <w:rsid w:val="00EA1875"/>
    <w:rsid w:val="00EA1B1F"/>
    <w:rsid w:val="00EA2634"/>
    <w:rsid w:val="00EA3D09"/>
    <w:rsid w:val="00EA536F"/>
    <w:rsid w:val="00EA5F63"/>
    <w:rsid w:val="00EB0442"/>
    <w:rsid w:val="00EB1254"/>
    <w:rsid w:val="00EB23D2"/>
    <w:rsid w:val="00EB2B07"/>
    <w:rsid w:val="00EB2E57"/>
    <w:rsid w:val="00EB48D6"/>
    <w:rsid w:val="00EB4A3D"/>
    <w:rsid w:val="00EB5BB3"/>
    <w:rsid w:val="00EB6EAA"/>
    <w:rsid w:val="00EC119F"/>
    <w:rsid w:val="00EC1C9C"/>
    <w:rsid w:val="00EC1E2B"/>
    <w:rsid w:val="00EC34AD"/>
    <w:rsid w:val="00EC3A3D"/>
    <w:rsid w:val="00EC3BBD"/>
    <w:rsid w:val="00EC640C"/>
    <w:rsid w:val="00ED2F8E"/>
    <w:rsid w:val="00ED5EE2"/>
    <w:rsid w:val="00EE25C4"/>
    <w:rsid w:val="00EE2749"/>
    <w:rsid w:val="00EE2DC5"/>
    <w:rsid w:val="00EE3626"/>
    <w:rsid w:val="00EE379D"/>
    <w:rsid w:val="00EE4C98"/>
    <w:rsid w:val="00EE7958"/>
    <w:rsid w:val="00EF28C1"/>
    <w:rsid w:val="00EF3D5F"/>
    <w:rsid w:val="00EF4682"/>
    <w:rsid w:val="00EF46BD"/>
    <w:rsid w:val="00EF6F93"/>
    <w:rsid w:val="00F03595"/>
    <w:rsid w:val="00F03B0A"/>
    <w:rsid w:val="00F03FA4"/>
    <w:rsid w:val="00F11AB2"/>
    <w:rsid w:val="00F122B6"/>
    <w:rsid w:val="00F12D8F"/>
    <w:rsid w:val="00F1380E"/>
    <w:rsid w:val="00F1390B"/>
    <w:rsid w:val="00F204B3"/>
    <w:rsid w:val="00F2239C"/>
    <w:rsid w:val="00F23960"/>
    <w:rsid w:val="00F23C6F"/>
    <w:rsid w:val="00F3393A"/>
    <w:rsid w:val="00F35394"/>
    <w:rsid w:val="00F4028E"/>
    <w:rsid w:val="00F40966"/>
    <w:rsid w:val="00F423A6"/>
    <w:rsid w:val="00F43434"/>
    <w:rsid w:val="00F44C6A"/>
    <w:rsid w:val="00F461C8"/>
    <w:rsid w:val="00F46395"/>
    <w:rsid w:val="00F46622"/>
    <w:rsid w:val="00F503CA"/>
    <w:rsid w:val="00F516A8"/>
    <w:rsid w:val="00F51990"/>
    <w:rsid w:val="00F530B7"/>
    <w:rsid w:val="00F54973"/>
    <w:rsid w:val="00F5595C"/>
    <w:rsid w:val="00F55BA0"/>
    <w:rsid w:val="00F576A9"/>
    <w:rsid w:val="00F62419"/>
    <w:rsid w:val="00F650DD"/>
    <w:rsid w:val="00F65221"/>
    <w:rsid w:val="00F6546F"/>
    <w:rsid w:val="00F67DFC"/>
    <w:rsid w:val="00F71266"/>
    <w:rsid w:val="00F71591"/>
    <w:rsid w:val="00F71D7E"/>
    <w:rsid w:val="00F71FB8"/>
    <w:rsid w:val="00F73B1E"/>
    <w:rsid w:val="00F74991"/>
    <w:rsid w:val="00F74E04"/>
    <w:rsid w:val="00F77E50"/>
    <w:rsid w:val="00F805CB"/>
    <w:rsid w:val="00F819FA"/>
    <w:rsid w:val="00F82445"/>
    <w:rsid w:val="00F82649"/>
    <w:rsid w:val="00F853DE"/>
    <w:rsid w:val="00F87228"/>
    <w:rsid w:val="00F87B82"/>
    <w:rsid w:val="00F92F21"/>
    <w:rsid w:val="00F93E30"/>
    <w:rsid w:val="00F954FE"/>
    <w:rsid w:val="00F9629C"/>
    <w:rsid w:val="00F96F63"/>
    <w:rsid w:val="00FA027B"/>
    <w:rsid w:val="00FA1A46"/>
    <w:rsid w:val="00FA3CE0"/>
    <w:rsid w:val="00FA4306"/>
    <w:rsid w:val="00FA503D"/>
    <w:rsid w:val="00FA6346"/>
    <w:rsid w:val="00FB3781"/>
    <w:rsid w:val="00FB3FA3"/>
    <w:rsid w:val="00FC024D"/>
    <w:rsid w:val="00FC11A7"/>
    <w:rsid w:val="00FC170B"/>
    <w:rsid w:val="00FC386E"/>
    <w:rsid w:val="00FC3E05"/>
    <w:rsid w:val="00FC5DA9"/>
    <w:rsid w:val="00FC7B0B"/>
    <w:rsid w:val="00FC7BEC"/>
    <w:rsid w:val="00FD0B71"/>
    <w:rsid w:val="00FD1D7B"/>
    <w:rsid w:val="00FD3B5A"/>
    <w:rsid w:val="00FD4BA4"/>
    <w:rsid w:val="00FD585C"/>
    <w:rsid w:val="00FD7128"/>
    <w:rsid w:val="00FE11D1"/>
    <w:rsid w:val="00FE2498"/>
    <w:rsid w:val="00FE447E"/>
    <w:rsid w:val="00FE59A0"/>
    <w:rsid w:val="00FE622D"/>
    <w:rsid w:val="00FE7456"/>
    <w:rsid w:val="00FE746E"/>
    <w:rsid w:val="00FF0798"/>
    <w:rsid w:val="00FF194A"/>
    <w:rsid w:val="00FF21B8"/>
    <w:rsid w:val="00FF2D2B"/>
    <w:rsid w:val="00FF4F82"/>
    <w:rsid w:val="00FF5CF1"/>
    <w:rsid w:val="00FF5D33"/>
    <w:rsid w:val="00FF64E3"/>
    <w:rsid w:val="00FF74E6"/>
    <w:rsid w:val="01E568BB"/>
    <w:rsid w:val="09718DA9"/>
    <w:rsid w:val="0F63F4BC"/>
    <w:rsid w:val="1CF50AAB"/>
    <w:rsid w:val="2197FE05"/>
    <w:rsid w:val="2B48A0A6"/>
    <w:rsid w:val="2F9A9A02"/>
    <w:rsid w:val="3F0CA596"/>
    <w:rsid w:val="465CE61E"/>
    <w:rsid w:val="51EFF39A"/>
    <w:rsid w:val="5CE9130B"/>
    <w:rsid w:val="5E18965E"/>
    <w:rsid w:val="676D3B77"/>
    <w:rsid w:val="7136ABF1"/>
    <w:rsid w:val="73040941"/>
    <w:rsid w:val="7B0A94F1"/>
    <w:rsid w:val="7E85151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C3EB1C"/>
  <w15:docId w15:val="{7482998E-C68F-49DB-B018-5FC859F0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2498"/>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3">
    <w:name w:val="heading 3"/>
    <w:basedOn w:val="Normal"/>
    <w:link w:val="Heading3Char"/>
    <w:qFormat/>
    <w:rsid w:val="00492678"/>
    <w:pPr>
      <w:tabs>
        <w:tab w:val="left" w:pos="720"/>
      </w:tabs>
      <w:suppressAutoHyphens w:val="0"/>
      <w:spacing w:after="240" w:line="240" w:lineRule="auto"/>
      <w:outlineLvl w:val="2"/>
    </w:pPr>
    <w:rPr>
      <w:rFonts w:eastAsia="Times New Roman"/>
      <w:sz w:val="22"/>
      <w:u w:val="dotDotDash"/>
      <w:lang w:eastAsia="de-DE"/>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492678"/>
    <w:pPr>
      <w:suppressAutoHyphens w:val="0"/>
      <w:spacing w:before="240" w:after="60" w:line="240" w:lineRule="auto"/>
      <w:outlineLvl w:val="5"/>
    </w:pPr>
    <w:rPr>
      <w:rFonts w:eastAsia="Times New Roman"/>
      <w:b/>
      <w:bCs/>
      <w:sz w:val="22"/>
      <w:szCs w:val="22"/>
      <w:u w:val="dotDotDash"/>
      <w:lang w:eastAsia="de-DE"/>
    </w:rPr>
  </w:style>
  <w:style w:type="paragraph" w:styleId="Heading7">
    <w:name w:val="heading 7"/>
    <w:basedOn w:val="Normal"/>
    <w:next w:val="Normal"/>
    <w:link w:val="Heading7Char"/>
    <w:qFormat/>
    <w:rsid w:val="00492678"/>
    <w:pPr>
      <w:suppressAutoHyphens w:val="0"/>
      <w:spacing w:before="240" w:after="60" w:line="240" w:lineRule="auto"/>
      <w:outlineLvl w:val="6"/>
    </w:pPr>
    <w:rPr>
      <w:rFonts w:eastAsia="Times New Roman"/>
      <w:sz w:val="24"/>
      <w:szCs w:val="24"/>
      <w:u w:val="dotDotDash"/>
      <w:lang w:eastAsia="de-DE"/>
    </w:rPr>
  </w:style>
  <w:style w:type="paragraph" w:styleId="Heading8">
    <w:name w:val="heading 8"/>
    <w:basedOn w:val="Normal"/>
    <w:next w:val="Normal"/>
    <w:link w:val="Heading8Char"/>
    <w:qFormat/>
    <w:rsid w:val="00492678"/>
    <w:pPr>
      <w:suppressAutoHyphens w:val="0"/>
      <w:spacing w:before="240" w:after="60" w:line="240" w:lineRule="auto"/>
      <w:outlineLvl w:val="7"/>
    </w:pPr>
    <w:rPr>
      <w:rFonts w:eastAsia="Times New Roman"/>
      <w:i/>
      <w:iCs/>
      <w:sz w:val="24"/>
      <w:szCs w:val="24"/>
      <w:u w:val="dotDotDash"/>
      <w:lang w:eastAsia="de-DE"/>
    </w:rPr>
  </w:style>
  <w:style w:type="paragraph" w:styleId="Heading9">
    <w:name w:val="heading 9"/>
    <w:basedOn w:val="Normal"/>
    <w:next w:val="Normal"/>
    <w:link w:val="Heading9Char"/>
    <w:qFormat/>
    <w:rsid w:val="00492678"/>
    <w:pPr>
      <w:suppressAutoHyphens w:val="0"/>
      <w:spacing w:before="240" w:after="60" w:line="240" w:lineRule="auto"/>
      <w:outlineLvl w:val="8"/>
    </w:pPr>
    <w:rPr>
      <w:rFonts w:ascii="Arial" w:eastAsia="Times New Roman" w:hAnsi="Arial" w:cs="Arial"/>
      <w:sz w:val="22"/>
      <w:szCs w:val="22"/>
      <w:u w:val="dotDotDash"/>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rsid w:val="00FA1A46"/>
    <w:pPr>
      <w:keepNext/>
      <w:keepLines/>
      <w:numPr>
        <w:numId w:val="8"/>
      </w:numPr>
      <w:spacing w:before="360" w:after="240" w:line="300" w:lineRule="exact"/>
      <w:ind w:right="1134"/>
    </w:pPr>
    <w:rPr>
      <w:b/>
      <w:sz w:val="28"/>
    </w:rPr>
  </w:style>
  <w:style w:type="paragraph" w:customStyle="1" w:styleId="RegH1G">
    <w:name w:val="Reg_H_1_G"/>
    <w:basedOn w:val="Normal"/>
    <w:next w:val="RegH23G"/>
    <w:link w:val="RegH1GChar"/>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8"/>
      </w:numPr>
      <w:tabs>
        <w:tab w:val="left" w:pos="1701"/>
      </w:tabs>
      <w:spacing w:after="120"/>
      <w:ind w:right="1134"/>
      <w:jc w:val="both"/>
    </w:pPr>
  </w:style>
  <w:style w:type="paragraph" w:styleId="TOC1">
    <w:name w:val="toc 1"/>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link w:val="ListParagraphChar"/>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unhideWhenUsed/>
    <w:rsid w:val="00FA1A46"/>
    <w:pPr>
      <w:ind w:left="600"/>
    </w:pPr>
  </w:style>
  <w:style w:type="paragraph" w:styleId="TOC5">
    <w:name w:val="toc 5"/>
    <w:basedOn w:val="Normal"/>
    <w:next w:val="Normal"/>
    <w:autoRedefine/>
    <w:unhideWhenUsed/>
    <w:rsid w:val="00FA1A46"/>
    <w:pPr>
      <w:ind w:left="800"/>
    </w:pPr>
  </w:style>
  <w:style w:type="paragraph" w:styleId="TOC6">
    <w:name w:val="toc 6"/>
    <w:basedOn w:val="Normal"/>
    <w:next w:val="Normal"/>
    <w:autoRedefine/>
    <w:unhideWhenUsed/>
    <w:rsid w:val="00FA1A46"/>
    <w:pPr>
      <w:ind w:left="1000"/>
    </w:pPr>
  </w:style>
  <w:style w:type="paragraph" w:styleId="TOC7">
    <w:name w:val="toc 7"/>
    <w:basedOn w:val="Normal"/>
    <w:next w:val="Normal"/>
    <w:autoRedefine/>
    <w:unhideWhenUsed/>
    <w:rsid w:val="00FA1A46"/>
    <w:pPr>
      <w:ind w:left="1200"/>
    </w:pPr>
  </w:style>
  <w:style w:type="paragraph" w:styleId="TOC8">
    <w:name w:val="toc 8"/>
    <w:basedOn w:val="Normal"/>
    <w:next w:val="Normal"/>
    <w:autoRedefine/>
    <w:unhideWhenUsed/>
    <w:rsid w:val="00FA1A46"/>
    <w:pPr>
      <w:ind w:left="1400"/>
    </w:pPr>
  </w:style>
  <w:style w:type="paragraph" w:styleId="TOC9">
    <w:name w:val="toc 9"/>
    <w:basedOn w:val="Normal"/>
    <w:next w:val="Normal"/>
    <w:autoRedefine/>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1C5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747F"/>
    <w:rPr>
      <w:sz w:val="16"/>
      <w:szCs w:val="16"/>
    </w:rPr>
  </w:style>
  <w:style w:type="paragraph" w:styleId="CommentText">
    <w:name w:val="annotation text"/>
    <w:basedOn w:val="Normal"/>
    <w:link w:val="CommentTextChar"/>
    <w:uiPriority w:val="99"/>
    <w:unhideWhenUsed/>
    <w:rsid w:val="00CF747F"/>
    <w:pPr>
      <w:spacing w:line="240" w:lineRule="auto"/>
    </w:pPr>
  </w:style>
  <w:style w:type="character" w:customStyle="1" w:styleId="CommentTextChar">
    <w:name w:val="Comment Text Char"/>
    <w:basedOn w:val="DefaultParagraphFont"/>
    <w:link w:val="CommentText"/>
    <w:uiPriority w:val="99"/>
    <w:rsid w:val="00CF747F"/>
    <w:rPr>
      <w:rFonts w:eastAsia="SimSun"/>
      <w:lang w:val="en-GB" w:eastAsia="zh-CN"/>
    </w:rPr>
  </w:style>
  <w:style w:type="paragraph" w:styleId="CommentSubject">
    <w:name w:val="annotation subject"/>
    <w:basedOn w:val="CommentText"/>
    <w:next w:val="CommentText"/>
    <w:link w:val="CommentSubjectChar"/>
    <w:unhideWhenUsed/>
    <w:rsid w:val="00CF747F"/>
    <w:rPr>
      <w:b/>
      <w:bCs/>
    </w:rPr>
  </w:style>
  <w:style w:type="character" w:customStyle="1" w:styleId="CommentSubjectChar">
    <w:name w:val="Comment Subject Char"/>
    <w:basedOn w:val="CommentTextChar"/>
    <w:link w:val="CommentSubject"/>
    <w:rsid w:val="00CF747F"/>
    <w:rPr>
      <w:rFonts w:eastAsia="SimSun"/>
      <w:b/>
      <w:bCs/>
      <w:lang w:val="en-GB" w:eastAsia="zh-CN"/>
    </w:rPr>
  </w:style>
  <w:style w:type="character" w:customStyle="1" w:styleId="Heading3Char">
    <w:name w:val="Heading 3 Char"/>
    <w:basedOn w:val="DefaultParagraphFont"/>
    <w:link w:val="Heading3"/>
    <w:rsid w:val="00492678"/>
    <w:rPr>
      <w:sz w:val="22"/>
      <w:u w:val="dotDotDash"/>
      <w:lang w:val="en-GB" w:eastAsia="de-DE"/>
    </w:rPr>
  </w:style>
  <w:style w:type="character" w:customStyle="1" w:styleId="Heading6Char">
    <w:name w:val="Heading 6 Char"/>
    <w:basedOn w:val="DefaultParagraphFont"/>
    <w:link w:val="Heading6"/>
    <w:rsid w:val="00492678"/>
    <w:rPr>
      <w:b/>
      <w:bCs/>
      <w:sz w:val="22"/>
      <w:szCs w:val="22"/>
      <w:u w:val="dotDotDash"/>
      <w:lang w:val="en-GB" w:eastAsia="de-DE"/>
    </w:rPr>
  </w:style>
  <w:style w:type="character" w:customStyle="1" w:styleId="Heading7Char">
    <w:name w:val="Heading 7 Char"/>
    <w:basedOn w:val="DefaultParagraphFont"/>
    <w:link w:val="Heading7"/>
    <w:rsid w:val="00492678"/>
    <w:rPr>
      <w:sz w:val="24"/>
      <w:szCs w:val="24"/>
      <w:u w:val="dotDotDash"/>
      <w:lang w:val="en-GB" w:eastAsia="de-DE"/>
    </w:rPr>
  </w:style>
  <w:style w:type="character" w:customStyle="1" w:styleId="Heading8Char">
    <w:name w:val="Heading 8 Char"/>
    <w:basedOn w:val="DefaultParagraphFont"/>
    <w:link w:val="Heading8"/>
    <w:rsid w:val="00492678"/>
    <w:rPr>
      <w:i/>
      <w:iCs/>
      <w:sz w:val="24"/>
      <w:szCs w:val="24"/>
      <w:u w:val="dotDotDash"/>
      <w:lang w:val="en-GB" w:eastAsia="de-DE"/>
    </w:rPr>
  </w:style>
  <w:style w:type="character" w:customStyle="1" w:styleId="Heading9Char">
    <w:name w:val="Heading 9 Char"/>
    <w:basedOn w:val="DefaultParagraphFont"/>
    <w:link w:val="Heading9"/>
    <w:rsid w:val="00492678"/>
    <w:rPr>
      <w:rFonts w:ascii="Arial" w:hAnsi="Arial" w:cs="Arial"/>
      <w:sz w:val="22"/>
      <w:szCs w:val="22"/>
      <w:u w:val="dotDotDash"/>
      <w:lang w:val="en-GB" w:eastAsia="de-DE"/>
    </w:rPr>
  </w:style>
  <w:style w:type="character" w:customStyle="1" w:styleId="SingleTxtGChar">
    <w:name w:val="_ Single Txt_G Char"/>
    <w:link w:val="SingleTxtG"/>
    <w:rsid w:val="00492678"/>
    <w:rPr>
      <w:lang w:val="en-GB"/>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locked/>
    <w:rsid w:val="00492678"/>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492678"/>
    <w:pPr>
      <w:suppressAutoHyphens w:val="0"/>
      <w:spacing w:after="160" w:line="240" w:lineRule="exact"/>
    </w:pPr>
    <w:rPr>
      <w:rFonts w:eastAsia="Times New Roman"/>
      <w:sz w:val="18"/>
      <w:vertAlign w:val="superscript"/>
      <w:lang w:val="en-US" w:eastAsia="en-US"/>
    </w:rPr>
  </w:style>
  <w:style w:type="character" w:customStyle="1" w:styleId="HChGChar">
    <w:name w:val="_ H _Ch_G Char"/>
    <w:link w:val="HChG"/>
    <w:locked/>
    <w:rsid w:val="00492678"/>
    <w:rPr>
      <w:rFonts w:eastAsia="SimSun"/>
      <w:b/>
      <w:sz w:val="28"/>
      <w:lang w:val="en-GB" w:eastAsia="zh-CN"/>
    </w:rPr>
  </w:style>
  <w:style w:type="character" w:customStyle="1" w:styleId="RegSingleTxtGChar">
    <w:name w:val="Reg_Single Txt_G Char"/>
    <w:link w:val="RegSingleTxtG"/>
    <w:rsid w:val="00492678"/>
    <w:rPr>
      <w:rFonts w:eastAsia="SimSun"/>
      <w:lang w:val="en-GB" w:eastAsia="zh-CN"/>
    </w:rPr>
  </w:style>
  <w:style w:type="character" w:styleId="Hyperlink">
    <w:name w:val="Hyperlink"/>
    <w:basedOn w:val="DefaultParagraphFont"/>
    <w:unhideWhenUsed/>
    <w:rsid w:val="00492678"/>
    <w:rPr>
      <w:color w:val="0000FF" w:themeColor="hyperlink"/>
      <w:u w:val="single"/>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rsid w:val="00492678"/>
    <w:pPr>
      <w:suppressAutoHyphens w:val="0"/>
      <w:spacing w:after="160" w:line="240" w:lineRule="exact"/>
      <w:jc w:val="both"/>
    </w:pPr>
    <w:rPr>
      <w:rFonts w:eastAsia="Times New Roman"/>
      <w:sz w:val="18"/>
      <w:vertAlign w:val="superscript"/>
      <w:lang w:val="en-US" w:eastAsia="en-US"/>
    </w:rPr>
  </w:style>
  <w:style w:type="character" w:styleId="Strong">
    <w:name w:val="Strong"/>
    <w:qFormat/>
    <w:rsid w:val="00492678"/>
    <w:rPr>
      <w:b/>
      <w:bCs/>
    </w:rPr>
  </w:style>
  <w:style w:type="paragraph" w:customStyle="1" w:styleId="Default">
    <w:name w:val="Default"/>
    <w:rsid w:val="00492678"/>
    <w:pPr>
      <w:autoSpaceDE w:val="0"/>
      <w:autoSpaceDN w:val="0"/>
      <w:adjustRightInd w:val="0"/>
    </w:pPr>
    <w:rPr>
      <w:color w:val="000000"/>
      <w:sz w:val="24"/>
      <w:szCs w:val="24"/>
      <w:lang w:val="fr-FR"/>
    </w:rPr>
  </w:style>
  <w:style w:type="character" w:customStyle="1" w:styleId="RegHChGCharChar">
    <w:name w:val="Reg_H__Ch_G Char Char"/>
    <w:link w:val="RegHChG"/>
    <w:rsid w:val="00492678"/>
    <w:rPr>
      <w:rFonts w:eastAsia="SimSun"/>
      <w:b/>
      <w:sz w:val="28"/>
      <w:lang w:val="en-GB" w:eastAsia="zh-CN"/>
    </w:rPr>
  </w:style>
  <w:style w:type="character" w:styleId="FollowedHyperlink">
    <w:name w:val="FollowedHyperlink"/>
    <w:basedOn w:val="DefaultParagraphFont"/>
    <w:unhideWhenUsed/>
    <w:rsid w:val="00492678"/>
    <w:rPr>
      <w:color w:val="800080" w:themeColor="followedHyperlink"/>
      <w:u w:val="single"/>
    </w:rPr>
  </w:style>
  <w:style w:type="character" w:customStyle="1" w:styleId="UnresolvedMention1">
    <w:name w:val="Unresolved Mention1"/>
    <w:basedOn w:val="DefaultParagraphFont"/>
    <w:uiPriority w:val="99"/>
    <w:semiHidden/>
    <w:unhideWhenUsed/>
    <w:rsid w:val="00492678"/>
    <w:rPr>
      <w:color w:val="808080"/>
      <w:shd w:val="clear" w:color="auto" w:fill="E6E6E6"/>
    </w:rPr>
  </w:style>
  <w:style w:type="character" w:styleId="Mention">
    <w:name w:val="Mention"/>
    <w:basedOn w:val="DefaultParagraphFont"/>
    <w:uiPriority w:val="99"/>
    <w:semiHidden/>
    <w:unhideWhenUsed/>
    <w:rsid w:val="00492678"/>
    <w:rPr>
      <w:color w:val="2B579A"/>
      <w:shd w:val="clear" w:color="auto" w:fill="E6E6E6"/>
    </w:rPr>
  </w:style>
  <w:style w:type="character" w:customStyle="1" w:styleId="H1GChar">
    <w:name w:val="_ H_1_G Char"/>
    <w:link w:val="H1G"/>
    <w:rsid w:val="00492678"/>
    <w:rPr>
      <w:rFonts w:eastAsia="SimSun"/>
      <w:b/>
      <w:sz w:val="24"/>
      <w:lang w:val="en-GB" w:eastAsia="zh-CN"/>
    </w:rPr>
  </w:style>
  <w:style w:type="paragraph" w:styleId="Revision">
    <w:name w:val="Revision"/>
    <w:hidden/>
    <w:uiPriority w:val="99"/>
    <w:semiHidden/>
    <w:rsid w:val="00492678"/>
    <w:rPr>
      <w:rFonts w:eastAsia="SimSun"/>
      <w:lang w:val="en-GB" w:eastAsia="zh-CN"/>
    </w:rPr>
  </w:style>
  <w:style w:type="character" w:customStyle="1" w:styleId="Heading1Char">
    <w:name w:val="Heading 1 Char"/>
    <w:aliases w:val="Table_G Char"/>
    <w:basedOn w:val="DefaultParagraphFont"/>
    <w:link w:val="Heading1"/>
    <w:rsid w:val="00492678"/>
    <w:rPr>
      <w:rFonts w:eastAsia="SimSun"/>
      <w:lang w:val="en-GB" w:eastAsia="zh-CN"/>
    </w:rPr>
  </w:style>
  <w:style w:type="character" w:customStyle="1" w:styleId="AnnoSingleTxtGChar">
    <w:name w:val="Anno_ Single Txt_G Char"/>
    <w:link w:val="AnnoSingleTxtG"/>
    <w:locked/>
    <w:rsid w:val="00492678"/>
    <w:rPr>
      <w:rFonts w:eastAsia="SimSun"/>
      <w:lang w:val="en-GB" w:eastAsia="zh-CN"/>
    </w:rPr>
  </w:style>
  <w:style w:type="character" w:customStyle="1" w:styleId="EndnoteTextChar">
    <w:name w:val="Endnote Text Char"/>
    <w:aliases w:val="2_G Char"/>
    <w:basedOn w:val="DefaultParagraphFont"/>
    <w:link w:val="EndnoteText"/>
    <w:rsid w:val="00492678"/>
    <w:rPr>
      <w:rFonts w:eastAsia="SimSun"/>
      <w:sz w:val="18"/>
      <w:lang w:val="en-GB" w:eastAsia="zh-CN"/>
    </w:rPr>
  </w:style>
  <w:style w:type="character" w:customStyle="1" w:styleId="FooterChar">
    <w:name w:val="Footer Char"/>
    <w:aliases w:val="3_G Char"/>
    <w:basedOn w:val="DefaultParagraphFont"/>
    <w:link w:val="Footer"/>
    <w:rsid w:val="00492678"/>
    <w:rPr>
      <w:rFonts w:eastAsia="SimSun"/>
      <w:sz w:val="16"/>
      <w:lang w:val="en-GB" w:eastAsia="zh-CN"/>
    </w:rPr>
  </w:style>
  <w:style w:type="character" w:customStyle="1" w:styleId="HeaderChar">
    <w:name w:val="Header Char"/>
    <w:aliases w:val="6_G Char"/>
    <w:basedOn w:val="DefaultParagraphFont"/>
    <w:link w:val="Header"/>
    <w:rsid w:val="00492678"/>
    <w:rPr>
      <w:rFonts w:eastAsia="SimSun"/>
      <w:b/>
      <w:sz w:val="18"/>
      <w:lang w:val="en-GB" w:eastAsia="zh-CN"/>
    </w:rPr>
  </w:style>
  <w:style w:type="character" w:customStyle="1" w:styleId="ListParagraphChar">
    <w:name w:val="List Paragraph Char"/>
    <w:link w:val="ListParagraph"/>
    <w:uiPriority w:val="34"/>
    <w:rsid w:val="00492678"/>
    <w:rPr>
      <w:rFonts w:eastAsia="SimSun"/>
      <w:lang w:val="en-GB" w:eastAsia="zh-CN"/>
    </w:rPr>
  </w:style>
  <w:style w:type="paragraph" w:customStyle="1" w:styleId="RegHead1">
    <w:name w:val="RegHead1"/>
    <w:basedOn w:val="Normal"/>
    <w:next w:val="RegHead2"/>
    <w:rsid w:val="00492678"/>
    <w:pPr>
      <w:keepNext/>
      <w:numPr>
        <w:numId w:val="10"/>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492678"/>
    <w:pPr>
      <w:keepNext/>
      <w:numPr>
        <w:ilvl w:val="1"/>
        <w:numId w:val="10"/>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492678"/>
    <w:pPr>
      <w:numPr>
        <w:ilvl w:val="2"/>
        <w:numId w:val="10"/>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link w:val="RegParaChar"/>
    <w:rsid w:val="00492678"/>
    <w:pPr>
      <w:numPr>
        <w:ilvl w:val="3"/>
        <w:numId w:val="10"/>
      </w:numPr>
      <w:suppressAutoHyphens w:val="0"/>
      <w:spacing w:before="180" w:line="240" w:lineRule="auto"/>
    </w:pPr>
    <w:rPr>
      <w:rFonts w:eastAsia="Times New Roman"/>
      <w:sz w:val="22"/>
      <w:lang w:eastAsia="de-DE"/>
    </w:rPr>
  </w:style>
  <w:style w:type="character" w:customStyle="1" w:styleId="Heading1Char1">
    <w:name w:val="Heading 1 Char1"/>
    <w:aliases w:val="Table_G Char1"/>
    <w:basedOn w:val="DefaultParagraphFont"/>
    <w:rsid w:val="00492678"/>
    <w:rPr>
      <w:rFonts w:asciiTheme="majorHAnsi" w:eastAsiaTheme="majorEastAsia" w:hAnsiTheme="majorHAnsi" w:cstheme="majorBidi"/>
      <w:b/>
      <w:bCs/>
      <w:color w:val="365F91" w:themeColor="accent1" w:themeShade="BF"/>
      <w:sz w:val="28"/>
      <w:szCs w:val="28"/>
      <w:lang w:val="en-GB" w:eastAsia="zh-CN"/>
    </w:rPr>
  </w:style>
  <w:style w:type="table" w:customStyle="1" w:styleId="TableGrid3">
    <w:name w:val="Table Grid3"/>
    <w:basedOn w:val="TableNormal"/>
    <w:next w:val="TableGrid"/>
    <w:rsid w:val="00492678"/>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Footer"/>
    <w:rsid w:val="00492678"/>
    <w:pPr>
      <w:suppressAutoHyphens w:val="0"/>
      <w:spacing w:line="240" w:lineRule="auto"/>
      <w:jc w:val="center"/>
    </w:pPr>
    <w:rPr>
      <w:rFonts w:eastAsia="Times New Roman"/>
      <w:b/>
      <w:sz w:val="24"/>
      <w:szCs w:val="24"/>
      <w:lang w:val="en-US" w:eastAsia="de-DE"/>
    </w:rPr>
  </w:style>
  <w:style w:type="character" w:customStyle="1" w:styleId="left">
    <w:name w:val="left"/>
    <w:basedOn w:val="DefaultParagraphFont"/>
    <w:rsid w:val="00492678"/>
  </w:style>
  <w:style w:type="numbering" w:customStyle="1" w:styleId="NoList1">
    <w:name w:val="No List1"/>
    <w:next w:val="NoList"/>
    <w:uiPriority w:val="99"/>
    <w:semiHidden/>
    <w:unhideWhenUsed/>
    <w:rsid w:val="00492678"/>
  </w:style>
  <w:style w:type="character" w:customStyle="1" w:styleId="RegH1GChar">
    <w:name w:val="Reg_H_1_G Char"/>
    <w:link w:val="RegH1G"/>
    <w:rsid w:val="00492678"/>
    <w:rPr>
      <w:rFonts w:eastAsia="SimSun"/>
      <w:b/>
      <w:sz w:val="24"/>
      <w:lang w:val="en-GB" w:eastAsia="zh-CN"/>
    </w:rPr>
  </w:style>
  <w:style w:type="character" w:customStyle="1" w:styleId="RegHChGChar">
    <w:name w:val="Reg_H__Ch_G Char"/>
    <w:rsid w:val="00492678"/>
    <w:rPr>
      <w:rFonts w:eastAsia="SimSun"/>
      <w:b/>
      <w:sz w:val="28"/>
      <w:lang w:val="en-GB" w:eastAsia="zh-CN"/>
    </w:rPr>
  </w:style>
  <w:style w:type="paragraph" w:customStyle="1" w:styleId="MainTitle">
    <w:name w:val="MainTitle"/>
    <w:basedOn w:val="Normal"/>
    <w:rsid w:val="00492678"/>
    <w:pPr>
      <w:suppressAutoHyphens w:val="0"/>
      <w:spacing w:line="240" w:lineRule="auto"/>
      <w:jc w:val="center"/>
    </w:pPr>
    <w:rPr>
      <w:rFonts w:eastAsia="Times New Roman"/>
      <w:b/>
      <w:sz w:val="28"/>
      <w:lang w:eastAsia="de-DE"/>
    </w:rPr>
  </w:style>
  <w:style w:type="character" w:customStyle="1" w:styleId="RegParaChar">
    <w:name w:val="RegPara Char"/>
    <w:link w:val="RegPara"/>
    <w:locked/>
    <w:rsid w:val="00492678"/>
    <w:rPr>
      <w:sz w:val="22"/>
      <w:lang w:val="en-GB" w:eastAsia="de-DE"/>
    </w:rPr>
  </w:style>
  <w:style w:type="character" w:customStyle="1" w:styleId="ft2">
    <w:name w:val="ft2"/>
    <w:rsid w:val="00492678"/>
  </w:style>
  <w:style w:type="character" w:customStyle="1" w:styleId="ft0">
    <w:name w:val="ft0"/>
    <w:rsid w:val="00492678"/>
  </w:style>
  <w:style w:type="character" w:customStyle="1" w:styleId="Caractresdenotedebasdepage">
    <w:name w:val="Caractères de note de bas de page"/>
    <w:rsid w:val="00492678"/>
    <w:rPr>
      <w:rFonts w:ascii="Times New Roman" w:hAnsi="Times New Roman"/>
      <w:sz w:val="18"/>
      <w:vertAlign w:val="superscript"/>
    </w:rPr>
  </w:style>
  <w:style w:type="paragraph" w:customStyle="1" w:styleId="AnnoHead1">
    <w:name w:val="AnnoHead1"/>
    <w:basedOn w:val="Normal"/>
    <w:next w:val="AnnoHead2"/>
    <w:rsid w:val="00492678"/>
    <w:pPr>
      <w:suppressAutoHyphens w:val="0"/>
      <w:spacing w:before="180" w:line="240" w:lineRule="auto"/>
      <w:ind w:firstLine="244"/>
      <w:jc w:val="center"/>
    </w:pPr>
    <w:rPr>
      <w:rFonts w:eastAsia="Times New Roman"/>
      <w:b/>
      <w:sz w:val="28"/>
      <w:lang w:eastAsia="de-DE"/>
    </w:rPr>
  </w:style>
  <w:style w:type="paragraph" w:customStyle="1" w:styleId="AnnoHead2">
    <w:name w:val="AnnoHead2"/>
    <w:basedOn w:val="Normal"/>
    <w:next w:val="AnnoHead3"/>
    <w:rsid w:val="00492678"/>
    <w:pPr>
      <w:numPr>
        <w:ilvl w:val="4"/>
        <w:numId w:val="13"/>
      </w:numPr>
      <w:tabs>
        <w:tab w:val="clear" w:pos="360"/>
      </w:tabs>
      <w:suppressAutoHyphens w:val="0"/>
      <w:spacing w:before="180" w:line="240" w:lineRule="auto"/>
      <w:jc w:val="center"/>
    </w:pPr>
    <w:rPr>
      <w:rFonts w:eastAsia="Times New Roman"/>
      <w:b/>
      <w:sz w:val="22"/>
      <w:lang w:eastAsia="de-DE"/>
    </w:rPr>
  </w:style>
  <w:style w:type="paragraph" w:customStyle="1" w:styleId="AnnoHead3">
    <w:name w:val="AnnoHead3"/>
    <w:basedOn w:val="Normal"/>
    <w:next w:val="AnnoPara"/>
    <w:rsid w:val="00492678"/>
    <w:pPr>
      <w:tabs>
        <w:tab w:val="num" w:pos="1135"/>
      </w:tabs>
      <w:suppressAutoHyphens w:val="0"/>
      <w:spacing w:before="180" w:line="240" w:lineRule="auto"/>
      <w:ind w:left="1135" w:hanging="284"/>
    </w:pPr>
    <w:rPr>
      <w:rFonts w:eastAsia="Times New Roman"/>
      <w:sz w:val="22"/>
      <w:u w:val="single"/>
      <w:lang w:eastAsia="de-DE"/>
    </w:rPr>
  </w:style>
  <w:style w:type="paragraph" w:customStyle="1" w:styleId="AnnoPara">
    <w:name w:val="AnnoPara"/>
    <w:basedOn w:val="Normal"/>
    <w:rsid w:val="00492678"/>
    <w:pPr>
      <w:tabs>
        <w:tab w:val="num" w:pos="2269"/>
      </w:tabs>
      <w:suppressAutoHyphens w:val="0"/>
      <w:spacing w:before="180" w:line="240" w:lineRule="auto"/>
      <w:ind w:left="1135" w:firstLine="567"/>
    </w:pPr>
    <w:rPr>
      <w:rFonts w:eastAsia="Times New Roman"/>
      <w:sz w:val="22"/>
      <w:lang w:eastAsia="de-DE"/>
    </w:rPr>
  </w:style>
  <w:style w:type="paragraph" w:customStyle="1" w:styleId="AnnexHead1">
    <w:name w:val="AnnexHead1"/>
    <w:basedOn w:val="Normal"/>
    <w:next w:val="Normal"/>
    <w:autoRedefine/>
    <w:rsid w:val="00492678"/>
    <w:pPr>
      <w:suppressAutoHyphens w:val="0"/>
      <w:spacing w:before="180" w:after="180" w:line="240" w:lineRule="auto"/>
      <w:jc w:val="center"/>
    </w:pPr>
    <w:rPr>
      <w:rFonts w:eastAsia="Times New Roman"/>
      <w:sz w:val="22"/>
      <w:u w:val="single"/>
      <w:lang w:val="en-US" w:eastAsia="en-US"/>
    </w:rPr>
  </w:style>
  <w:style w:type="paragraph" w:customStyle="1" w:styleId="StyleTOC5Before136cm">
    <w:name w:val="Style TOC 5 + Before:  1.36 cm"/>
    <w:basedOn w:val="TOC5"/>
    <w:rsid w:val="00492678"/>
    <w:pPr>
      <w:tabs>
        <w:tab w:val="left" w:leader="dot" w:pos="6803"/>
        <w:tab w:val="center" w:pos="7795"/>
        <w:tab w:val="center" w:pos="9071"/>
      </w:tabs>
      <w:suppressAutoHyphens w:val="0"/>
      <w:spacing w:before="180" w:line="240" w:lineRule="auto"/>
      <w:ind w:left="720"/>
    </w:pPr>
    <w:rPr>
      <w:rFonts w:eastAsia="Times New Roman"/>
      <w:sz w:val="22"/>
      <w:lang w:eastAsia="de-DE"/>
    </w:rPr>
  </w:style>
  <w:style w:type="paragraph" w:customStyle="1" w:styleId="DecPara">
    <w:name w:val="DecPara"/>
    <w:basedOn w:val="Normal"/>
    <w:rsid w:val="00492678"/>
    <w:pPr>
      <w:tabs>
        <w:tab w:val="num" w:pos="1440"/>
      </w:tabs>
      <w:suppressAutoHyphens w:val="0"/>
      <w:spacing w:before="180" w:line="240" w:lineRule="auto"/>
      <w:ind w:firstLine="720"/>
    </w:pPr>
    <w:rPr>
      <w:rFonts w:eastAsia="Times New Roman"/>
      <w:sz w:val="22"/>
      <w:lang w:eastAsia="de-DE"/>
    </w:rPr>
  </w:style>
  <w:style w:type="paragraph" w:customStyle="1" w:styleId="ProvHead1">
    <w:name w:val="ProvHead1"/>
    <w:basedOn w:val="Normal"/>
    <w:next w:val="ProvHead2"/>
    <w:rsid w:val="00492678"/>
    <w:pPr>
      <w:suppressAutoHyphens w:val="0"/>
      <w:spacing w:before="180" w:line="240" w:lineRule="auto"/>
      <w:jc w:val="center"/>
    </w:pPr>
    <w:rPr>
      <w:rFonts w:eastAsia="Times New Roman"/>
      <w:b/>
      <w:caps/>
      <w:sz w:val="22"/>
      <w:lang w:eastAsia="de-DE"/>
    </w:rPr>
  </w:style>
  <w:style w:type="paragraph" w:customStyle="1" w:styleId="ProvHead2">
    <w:name w:val="ProvHead2"/>
    <w:basedOn w:val="Normal"/>
    <w:next w:val="ProvHead3"/>
    <w:rsid w:val="00492678"/>
    <w:pPr>
      <w:suppressAutoHyphens w:val="0"/>
      <w:spacing w:before="180" w:line="240" w:lineRule="auto"/>
      <w:jc w:val="center"/>
    </w:pPr>
    <w:rPr>
      <w:rFonts w:eastAsia="Times New Roman"/>
      <w:b/>
      <w:sz w:val="22"/>
      <w:u w:val="single"/>
      <w:lang w:eastAsia="de-DE"/>
    </w:rPr>
  </w:style>
  <w:style w:type="paragraph" w:customStyle="1" w:styleId="ProvHead3">
    <w:name w:val="ProvHead3"/>
    <w:basedOn w:val="Normal"/>
    <w:next w:val="ProvPara"/>
    <w:rsid w:val="00492678"/>
    <w:pPr>
      <w:tabs>
        <w:tab w:val="num" w:pos="1135"/>
      </w:tabs>
      <w:suppressAutoHyphens w:val="0"/>
      <w:spacing w:before="180" w:line="240" w:lineRule="auto"/>
      <w:ind w:left="1135" w:hanging="284"/>
    </w:pPr>
    <w:rPr>
      <w:rFonts w:eastAsia="Times New Roman"/>
      <w:b/>
      <w:sz w:val="22"/>
      <w:u w:val="single"/>
      <w:lang w:eastAsia="de-DE"/>
    </w:rPr>
  </w:style>
  <w:style w:type="paragraph" w:customStyle="1" w:styleId="ProvPara">
    <w:name w:val="ProvPara"/>
    <w:basedOn w:val="Normal"/>
    <w:rsid w:val="00492678"/>
    <w:pPr>
      <w:tabs>
        <w:tab w:val="num" w:pos="568"/>
      </w:tabs>
      <w:suppressAutoHyphens w:val="0"/>
      <w:spacing w:before="180" w:line="240" w:lineRule="auto"/>
      <w:ind w:left="1135"/>
    </w:pPr>
    <w:rPr>
      <w:rFonts w:eastAsia="Times New Roman"/>
      <w:sz w:val="22"/>
      <w:lang w:eastAsia="de-DE"/>
    </w:rPr>
  </w:style>
  <w:style w:type="paragraph" w:customStyle="1" w:styleId="CUB">
    <w:name w:val="CUB"/>
    <w:basedOn w:val="Normal"/>
    <w:rsid w:val="00492678"/>
    <w:pPr>
      <w:suppressAutoHyphens w:val="0"/>
      <w:spacing w:line="240" w:lineRule="auto"/>
      <w:jc w:val="center"/>
    </w:pPr>
    <w:rPr>
      <w:rFonts w:eastAsia="Times New Roman"/>
      <w:b/>
      <w:sz w:val="22"/>
      <w:u w:val="single"/>
      <w:lang w:eastAsia="de-DE"/>
    </w:rPr>
  </w:style>
  <w:style w:type="paragraph" w:customStyle="1" w:styleId="NoteSecretariat">
    <w:name w:val="NoteSecretariat"/>
    <w:basedOn w:val="Normal"/>
    <w:rsid w:val="00492678"/>
    <w:pPr>
      <w:suppressAutoHyphens w:val="0"/>
      <w:spacing w:line="240" w:lineRule="auto"/>
      <w:jc w:val="center"/>
    </w:pPr>
    <w:rPr>
      <w:rFonts w:eastAsia="Times New Roman"/>
      <w:b/>
      <w:sz w:val="22"/>
      <w:lang w:eastAsia="de-DE"/>
    </w:rPr>
  </w:style>
  <w:style w:type="paragraph" w:customStyle="1" w:styleId="FootnoteTable0">
    <w:name w:val="FootnoteTable"/>
    <w:locked/>
    <w:rsid w:val="00492678"/>
    <w:rPr>
      <w:sz w:val="16"/>
      <w:lang w:val="en-GB"/>
    </w:rPr>
  </w:style>
  <w:style w:type="paragraph" w:customStyle="1" w:styleId="TableandFigure">
    <w:name w:val="Table and Figure"/>
    <w:basedOn w:val="Normal"/>
    <w:rsid w:val="00492678"/>
    <w:pPr>
      <w:suppressAutoHyphens w:val="0"/>
      <w:spacing w:before="180" w:after="120" w:line="240" w:lineRule="auto"/>
      <w:jc w:val="center"/>
    </w:pPr>
    <w:rPr>
      <w:rFonts w:eastAsia="Times New Roman"/>
      <w:b/>
      <w:sz w:val="22"/>
      <w:lang w:eastAsia="de-DE"/>
    </w:rPr>
  </w:style>
  <w:style w:type="paragraph" w:customStyle="1" w:styleId="AtxtChemicals">
    <w:name w:val="Atxt_Chemicals"/>
    <w:basedOn w:val="Normal"/>
    <w:rsid w:val="00492678"/>
    <w:pPr>
      <w:suppressAutoHyphens w:val="0"/>
      <w:spacing w:line="240" w:lineRule="auto"/>
    </w:pPr>
    <w:rPr>
      <w:rFonts w:eastAsia="Times New Roman"/>
      <w:sz w:val="24"/>
      <w:lang w:eastAsia="de-DE"/>
    </w:rPr>
  </w:style>
  <w:style w:type="paragraph" w:styleId="BodyText">
    <w:name w:val="Body Text"/>
    <w:basedOn w:val="Normal"/>
    <w:link w:val="BodyTextChar"/>
    <w:rsid w:val="00492678"/>
    <w:pPr>
      <w:suppressAutoHyphens w:val="0"/>
      <w:spacing w:line="240" w:lineRule="auto"/>
      <w:jc w:val="center"/>
    </w:pPr>
    <w:rPr>
      <w:rFonts w:eastAsia="Times New Roman"/>
      <w:b/>
      <w:bCs/>
      <w:color w:val="C0C0C0"/>
      <w:spacing w:val="22"/>
      <w:sz w:val="40"/>
      <w:lang w:eastAsia="en-US"/>
    </w:rPr>
  </w:style>
  <w:style w:type="character" w:customStyle="1" w:styleId="BodyTextChar">
    <w:name w:val="Body Text Char"/>
    <w:basedOn w:val="DefaultParagraphFont"/>
    <w:link w:val="BodyText"/>
    <w:rsid w:val="00492678"/>
    <w:rPr>
      <w:b/>
      <w:bCs/>
      <w:color w:val="C0C0C0"/>
      <w:spacing w:val="22"/>
      <w:sz w:val="40"/>
      <w:lang w:val="en-GB"/>
    </w:rPr>
  </w:style>
  <w:style w:type="paragraph" w:styleId="Title">
    <w:name w:val="Title"/>
    <w:basedOn w:val="Normal"/>
    <w:link w:val="TitleChar"/>
    <w:qFormat/>
    <w:rsid w:val="00492678"/>
    <w:pPr>
      <w:suppressAutoHyphens w:val="0"/>
      <w:spacing w:line="240" w:lineRule="auto"/>
      <w:jc w:val="center"/>
    </w:pPr>
    <w:rPr>
      <w:rFonts w:eastAsia="Times New Roman"/>
      <w:b/>
      <w:sz w:val="22"/>
      <w:lang w:eastAsia="en-US"/>
    </w:rPr>
  </w:style>
  <w:style w:type="character" w:customStyle="1" w:styleId="TitleChar">
    <w:name w:val="Title Char"/>
    <w:basedOn w:val="DefaultParagraphFont"/>
    <w:link w:val="Title"/>
    <w:rsid w:val="00492678"/>
    <w:rPr>
      <w:b/>
      <w:sz w:val="22"/>
      <w:lang w:val="en-GB"/>
    </w:rPr>
  </w:style>
  <w:style w:type="paragraph" w:customStyle="1" w:styleId="singleTxtG0">
    <w:name w:val="_single Txt_G"/>
    <w:basedOn w:val="Heading1"/>
    <w:rsid w:val="00492678"/>
    <w:pPr>
      <w:spacing w:after="120"/>
      <w:ind w:left="1100"/>
    </w:pPr>
    <w:rPr>
      <w:b/>
    </w:rPr>
  </w:style>
  <w:style w:type="paragraph" w:customStyle="1" w:styleId="HeadLevel3">
    <w:name w:val="HeadLevel3"/>
    <w:basedOn w:val="Normal"/>
    <w:autoRedefine/>
    <w:rsid w:val="00492678"/>
    <w:pPr>
      <w:suppressAutoHyphens w:val="0"/>
      <w:spacing w:line="240" w:lineRule="auto"/>
    </w:pPr>
    <w:rPr>
      <w:rFonts w:eastAsia="Times New Roman"/>
      <w:sz w:val="22"/>
      <w:lang w:eastAsia="de-DE"/>
    </w:rPr>
  </w:style>
  <w:style w:type="paragraph" w:customStyle="1" w:styleId="AgendaItem">
    <w:name w:val="AgendaItem"/>
    <w:basedOn w:val="Normal"/>
    <w:autoRedefine/>
    <w:rsid w:val="00492678"/>
    <w:pPr>
      <w:suppressAutoHyphens w:val="0"/>
      <w:spacing w:line="240" w:lineRule="auto"/>
    </w:pPr>
    <w:rPr>
      <w:rFonts w:eastAsia="Times New Roman"/>
      <w:b/>
      <w:lang w:eastAsia="de-DE"/>
    </w:rPr>
  </w:style>
  <w:style w:type="paragraph" w:styleId="BodyText2">
    <w:name w:val="Body Text 2"/>
    <w:basedOn w:val="Normal"/>
    <w:link w:val="BodyText2Char"/>
    <w:rsid w:val="00492678"/>
    <w:pPr>
      <w:suppressAutoHyphens w:val="0"/>
      <w:spacing w:line="240" w:lineRule="auto"/>
    </w:pPr>
    <w:rPr>
      <w:rFonts w:eastAsia="Times New Roman"/>
      <w:b/>
      <w:bCs/>
      <w:i/>
      <w:iCs/>
      <w:sz w:val="22"/>
      <w:szCs w:val="24"/>
      <w:lang w:val="en-US" w:eastAsia="en-US"/>
    </w:rPr>
  </w:style>
  <w:style w:type="character" w:customStyle="1" w:styleId="BodyText2Char">
    <w:name w:val="Body Text 2 Char"/>
    <w:basedOn w:val="DefaultParagraphFont"/>
    <w:link w:val="BodyText2"/>
    <w:rsid w:val="00492678"/>
    <w:rPr>
      <w:b/>
      <w:bCs/>
      <w:i/>
      <w:iCs/>
      <w:sz w:val="22"/>
      <w:szCs w:val="24"/>
    </w:rPr>
  </w:style>
  <w:style w:type="paragraph" w:customStyle="1" w:styleId="xl27">
    <w:name w:val="xl27"/>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28">
    <w:name w:val="xl28"/>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29">
    <w:name w:val="xl29"/>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30">
    <w:name w:val="xl30"/>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1">
    <w:name w:val="xl31"/>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2">
    <w:name w:val="xl32"/>
    <w:basedOn w:val="Normal"/>
    <w:rsid w:val="00492678"/>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3">
    <w:name w:val="xl33"/>
    <w:basedOn w:val="Normal"/>
    <w:rsid w:val="00492678"/>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34">
    <w:name w:val="xl34"/>
    <w:basedOn w:val="Normal"/>
    <w:rsid w:val="00492678"/>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5">
    <w:name w:val="xl35"/>
    <w:basedOn w:val="Normal"/>
    <w:rsid w:val="00492678"/>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6">
    <w:name w:val="xl36"/>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7">
    <w:name w:val="xl37"/>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38">
    <w:name w:val="xl38"/>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b/>
      <w:bCs/>
      <w:color w:val="800080"/>
      <w:sz w:val="24"/>
      <w:szCs w:val="24"/>
      <w:lang w:eastAsia="en-US"/>
    </w:rPr>
  </w:style>
  <w:style w:type="paragraph" w:customStyle="1" w:styleId="xl39">
    <w:name w:val="xl39"/>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center"/>
    </w:pPr>
    <w:rPr>
      <w:rFonts w:eastAsia="Arial Unicode MS"/>
      <w:b/>
      <w:bCs/>
      <w:color w:val="800080"/>
      <w:sz w:val="24"/>
      <w:szCs w:val="24"/>
      <w:lang w:eastAsia="en-US"/>
    </w:rPr>
  </w:style>
  <w:style w:type="paragraph" w:customStyle="1" w:styleId="xl40">
    <w:name w:val="xl40"/>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color w:val="800080"/>
      <w:sz w:val="24"/>
      <w:szCs w:val="24"/>
      <w:lang w:eastAsia="en-US"/>
    </w:rPr>
  </w:style>
  <w:style w:type="paragraph" w:customStyle="1" w:styleId="xl41">
    <w:name w:val="xl41"/>
    <w:basedOn w:val="Normal"/>
    <w:rsid w:val="00492678"/>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color w:val="800080"/>
      <w:sz w:val="24"/>
      <w:szCs w:val="24"/>
      <w:lang w:eastAsia="en-US"/>
    </w:rPr>
  </w:style>
  <w:style w:type="paragraph" w:customStyle="1" w:styleId="xl42">
    <w:name w:val="xl42"/>
    <w:basedOn w:val="Normal"/>
    <w:rsid w:val="00492678"/>
    <w:pPr>
      <w:pBdr>
        <w:top w:val="single" w:sz="4" w:space="0" w:color="auto"/>
        <w:left w:val="single" w:sz="4" w:space="0" w:color="auto"/>
        <w:bottom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3">
    <w:name w:val="xl43"/>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right"/>
      <w:textAlignment w:val="center"/>
    </w:pPr>
    <w:rPr>
      <w:rFonts w:eastAsia="Arial Unicode MS"/>
      <w:color w:val="800080"/>
      <w:sz w:val="24"/>
      <w:szCs w:val="24"/>
      <w:lang w:eastAsia="en-US"/>
    </w:rPr>
  </w:style>
  <w:style w:type="paragraph" w:customStyle="1" w:styleId="xl44">
    <w:name w:val="xl44"/>
    <w:basedOn w:val="Normal"/>
    <w:rsid w:val="00492678"/>
    <w:pPr>
      <w:pBdr>
        <w:top w:val="single" w:sz="4" w:space="0" w:color="auto"/>
        <w:left w:val="single" w:sz="4" w:space="0" w:color="auto"/>
        <w:bottom w:val="single" w:sz="4"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45">
    <w:name w:val="xl45"/>
    <w:basedOn w:val="Normal"/>
    <w:rsid w:val="00492678"/>
    <w:pPr>
      <w:pBdr>
        <w:top w:val="single" w:sz="4" w:space="0" w:color="auto"/>
        <w:left w:val="single" w:sz="4" w:space="0" w:color="auto"/>
        <w:bottom w:val="single" w:sz="4" w:space="0" w:color="auto"/>
      </w:pBdr>
      <w:suppressAutoHyphens w:val="0"/>
      <w:spacing w:before="100" w:beforeAutospacing="1" w:after="100" w:afterAutospacing="1" w:line="240" w:lineRule="auto"/>
      <w:jc w:val="center"/>
      <w:textAlignment w:val="center"/>
    </w:pPr>
    <w:rPr>
      <w:rFonts w:eastAsia="Arial Unicode MS"/>
      <w:sz w:val="24"/>
      <w:szCs w:val="24"/>
      <w:lang w:eastAsia="en-US"/>
    </w:rPr>
  </w:style>
  <w:style w:type="paragraph" w:customStyle="1" w:styleId="xl46">
    <w:name w:val="xl46"/>
    <w:basedOn w:val="Normal"/>
    <w:rsid w:val="00492678"/>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7">
    <w:name w:val="xl47"/>
    <w:basedOn w:val="Normal"/>
    <w:rsid w:val="00492678"/>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48">
    <w:name w:val="xl48"/>
    <w:basedOn w:val="Normal"/>
    <w:rsid w:val="00492678"/>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textAlignment w:val="center"/>
    </w:pPr>
    <w:rPr>
      <w:rFonts w:eastAsia="Arial Unicode MS"/>
      <w:b/>
      <w:bCs/>
      <w:sz w:val="24"/>
      <w:szCs w:val="24"/>
      <w:lang w:eastAsia="en-US"/>
    </w:rPr>
  </w:style>
  <w:style w:type="paragraph" w:customStyle="1" w:styleId="xl49">
    <w:name w:val="xl49"/>
    <w:basedOn w:val="Normal"/>
    <w:rsid w:val="00492678"/>
    <w:pPr>
      <w:pBdr>
        <w:top w:val="single" w:sz="4" w:space="0" w:color="auto"/>
        <w:left w:val="single" w:sz="4" w:space="0" w:color="auto"/>
      </w:pBdr>
      <w:suppressAutoHyphens w:val="0"/>
      <w:spacing w:before="100" w:beforeAutospacing="1" w:after="100" w:afterAutospacing="1" w:line="240" w:lineRule="auto"/>
      <w:jc w:val="center"/>
      <w:textAlignment w:val="top"/>
    </w:pPr>
    <w:rPr>
      <w:rFonts w:eastAsia="Arial Unicode MS"/>
      <w:b/>
      <w:bCs/>
      <w:sz w:val="24"/>
      <w:szCs w:val="24"/>
      <w:lang w:eastAsia="en-US"/>
    </w:rPr>
  </w:style>
  <w:style w:type="paragraph" w:customStyle="1" w:styleId="xl50">
    <w:name w:val="xl50"/>
    <w:basedOn w:val="Normal"/>
    <w:rsid w:val="00492678"/>
    <w:pPr>
      <w:pBdr>
        <w:top w:val="single" w:sz="4" w:space="0" w:color="auto"/>
        <w:left w:val="single" w:sz="4" w:space="0" w:color="auto"/>
        <w:bottom w:val="single" w:sz="4"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customStyle="1" w:styleId="xl51">
    <w:name w:val="xl51"/>
    <w:basedOn w:val="Normal"/>
    <w:rsid w:val="00492678"/>
    <w:pPr>
      <w:pBdr>
        <w:top w:val="single" w:sz="4" w:space="0" w:color="auto"/>
        <w:left w:val="single" w:sz="4" w:space="0" w:color="auto"/>
        <w:right w:val="single" w:sz="4" w:space="0" w:color="auto"/>
      </w:pBdr>
      <w:suppressAutoHyphens w:val="0"/>
      <w:spacing w:before="100" w:beforeAutospacing="1" w:after="100" w:afterAutospacing="1" w:line="240" w:lineRule="auto"/>
      <w:textAlignment w:val="center"/>
    </w:pPr>
    <w:rPr>
      <w:rFonts w:eastAsia="Arial Unicode MS"/>
      <w:sz w:val="24"/>
      <w:szCs w:val="24"/>
      <w:lang w:eastAsia="en-US"/>
    </w:rPr>
  </w:style>
  <w:style w:type="paragraph" w:customStyle="1" w:styleId="xl52">
    <w:name w:val="xl52"/>
    <w:basedOn w:val="Normal"/>
    <w:rsid w:val="00492678"/>
    <w:pPr>
      <w:pBdr>
        <w:top w:val="single" w:sz="4" w:space="0" w:color="auto"/>
        <w:left w:val="single" w:sz="4" w:space="0" w:color="auto"/>
      </w:pBdr>
      <w:suppressAutoHyphens w:val="0"/>
      <w:spacing w:before="100" w:beforeAutospacing="1" w:after="100" w:afterAutospacing="1" w:line="240" w:lineRule="auto"/>
      <w:jc w:val="center"/>
      <w:textAlignment w:val="center"/>
    </w:pPr>
    <w:rPr>
      <w:rFonts w:eastAsia="Arial Unicode MS"/>
      <w:sz w:val="24"/>
      <w:szCs w:val="24"/>
      <w:lang w:eastAsia="en-US"/>
    </w:rPr>
  </w:style>
  <w:style w:type="paragraph" w:customStyle="1" w:styleId="xl53">
    <w:name w:val="xl53"/>
    <w:basedOn w:val="Normal"/>
    <w:rsid w:val="00492678"/>
    <w:pPr>
      <w:pBdr>
        <w:top w:val="double" w:sz="6" w:space="0" w:color="auto"/>
        <w:left w:val="double" w:sz="6" w:space="0" w:color="auto"/>
        <w:bottom w:val="double" w:sz="6" w:space="0" w:color="auto"/>
        <w:right w:val="double" w:sz="6" w:space="0" w:color="auto"/>
      </w:pBdr>
      <w:suppressAutoHyphens w:val="0"/>
      <w:spacing w:before="100" w:beforeAutospacing="1" w:after="100" w:afterAutospacing="1" w:line="240" w:lineRule="auto"/>
      <w:jc w:val="center"/>
      <w:textAlignment w:val="center"/>
    </w:pPr>
    <w:rPr>
      <w:rFonts w:eastAsia="Arial Unicode MS"/>
      <w:b/>
      <w:bCs/>
      <w:sz w:val="24"/>
      <w:szCs w:val="24"/>
      <w:lang w:eastAsia="en-US"/>
    </w:rPr>
  </w:style>
  <w:style w:type="paragraph" w:styleId="BodyText3">
    <w:name w:val="Body Text 3"/>
    <w:basedOn w:val="Normal"/>
    <w:link w:val="BodyText3Char"/>
    <w:rsid w:val="00492678"/>
    <w:pPr>
      <w:suppressAutoHyphens w:val="0"/>
      <w:spacing w:line="240" w:lineRule="auto"/>
    </w:pPr>
    <w:rPr>
      <w:rFonts w:eastAsia="Times New Roman"/>
      <w:i/>
      <w:iCs/>
      <w:sz w:val="22"/>
      <w:lang w:val="en-US" w:eastAsia="de-DE"/>
    </w:rPr>
  </w:style>
  <w:style w:type="character" w:customStyle="1" w:styleId="BodyText3Char">
    <w:name w:val="Body Text 3 Char"/>
    <w:basedOn w:val="DefaultParagraphFont"/>
    <w:link w:val="BodyText3"/>
    <w:rsid w:val="00492678"/>
    <w:rPr>
      <w:i/>
      <w:iCs/>
      <w:sz w:val="22"/>
      <w:lang w:eastAsia="de-DE"/>
    </w:rPr>
  </w:style>
  <w:style w:type="paragraph" w:customStyle="1" w:styleId="xl24">
    <w:name w:val="xl24"/>
    <w:basedOn w:val="Normal"/>
    <w:rsid w:val="00492678"/>
    <w:pPr>
      <w:pBdr>
        <w:top w:val="double" w:sz="6" w:space="0" w:color="auto"/>
        <w:bottom w:val="single" w:sz="4" w:space="0" w:color="auto"/>
      </w:pBdr>
      <w:suppressAutoHyphens w:val="0"/>
      <w:spacing w:before="100" w:beforeAutospacing="1" w:after="100" w:afterAutospacing="1" w:line="240" w:lineRule="auto"/>
      <w:jc w:val="center"/>
    </w:pPr>
    <w:rPr>
      <w:rFonts w:eastAsia="Arial Unicode MS"/>
      <w:b/>
      <w:bCs/>
      <w:color w:val="000000"/>
      <w:sz w:val="24"/>
      <w:szCs w:val="24"/>
      <w:lang w:eastAsia="en-US"/>
    </w:rPr>
  </w:style>
  <w:style w:type="paragraph" w:customStyle="1" w:styleId="xl25">
    <w:name w:val="xl25"/>
    <w:basedOn w:val="Normal"/>
    <w:rsid w:val="00492678"/>
    <w:pPr>
      <w:pBdr>
        <w:top w:val="double" w:sz="6" w:space="0" w:color="auto"/>
        <w:bottom w:val="single" w:sz="4" w:space="0" w:color="auto"/>
        <w:right w:val="single" w:sz="4" w:space="0" w:color="000000"/>
      </w:pBdr>
      <w:suppressAutoHyphens w:val="0"/>
      <w:spacing w:before="100" w:beforeAutospacing="1" w:after="100" w:afterAutospacing="1" w:line="240" w:lineRule="auto"/>
      <w:jc w:val="center"/>
    </w:pPr>
    <w:rPr>
      <w:rFonts w:eastAsia="Arial Unicode MS"/>
      <w:b/>
      <w:bCs/>
      <w:color w:val="000000"/>
      <w:sz w:val="24"/>
      <w:szCs w:val="24"/>
      <w:lang w:eastAsia="en-US"/>
    </w:rPr>
  </w:style>
  <w:style w:type="paragraph" w:customStyle="1" w:styleId="xl26">
    <w:name w:val="xl26"/>
    <w:basedOn w:val="Normal"/>
    <w:rsid w:val="00492678"/>
    <w:pPr>
      <w:suppressAutoHyphens w:val="0"/>
      <w:spacing w:before="100" w:beforeAutospacing="1" w:after="100" w:afterAutospacing="1" w:line="240" w:lineRule="auto"/>
      <w:jc w:val="center"/>
    </w:pPr>
    <w:rPr>
      <w:rFonts w:eastAsia="Arial Unicode MS"/>
      <w:sz w:val="24"/>
      <w:szCs w:val="24"/>
      <w:lang w:eastAsia="en-US"/>
    </w:rPr>
  </w:style>
  <w:style w:type="paragraph" w:customStyle="1" w:styleId="xl54">
    <w:name w:val="xl54"/>
    <w:basedOn w:val="Normal"/>
    <w:rsid w:val="00492678"/>
    <w:pPr>
      <w:pBdr>
        <w:left w:val="double" w:sz="6" w:space="0" w:color="auto"/>
        <w:bottom w:val="single" w:sz="4" w:space="0" w:color="000000"/>
      </w:pBdr>
      <w:suppressAutoHyphens w:val="0"/>
      <w:spacing w:before="100" w:beforeAutospacing="1" w:after="100" w:afterAutospacing="1" w:line="240" w:lineRule="auto"/>
    </w:pPr>
    <w:rPr>
      <w:rFonts w:eastAsia="Arial Unicode MS"/>
      <w:b/>
      <w:bCs/>
      <w:color w:val="000000"/>
      <w:sz w:val="24"/>
      <w:szCs w:val="24"/>
      <w:lang w:eastAsia="en-US"/>
    </w:rPr>
  </w:style>
  <w:style w:type="paragraph" w:customStyle="1" w:styleId="xl55">
    <w:name w:val="xl55"/>
    <w:basedOn w:val="Normal"/>
    <w:rsid w:val="00492678"/>
    <w:pPr>
      <w:pBdr>
        <w:left w:val="double" w:sz="6" w:space="0" w:color="auto"/>
      </w:pBdr>
      <w:suppressAutoHyphens w:val="0"/>
      <w:spacing w:before="100" w:beforeAutospacing="1" w:after="100" w:afterAutospacing="1" w:line="240" w:lineRule="auto"/>
    </w:pPr>
    <w:rPr>
      <w:rFonts w:eastAsia="Arial Unicode MS"/>
      <w:b/>
      <w:bCs/>
      <w:sz w:val="19"/>
      <w:szCs w:val="19"/>
      <w:lang w:eastAsia="en-US"/>
    </w:rPr>
  </w:style>
  <w:style w:type="paragraph" w:customStyle="1" w:styleId="xl56">
    <w:name w:val="xl56"/>
    <w:basedOn w:val="Normal"/>
    <w:rsid w:val="00492678"/>
    <w:pPr>
      <w:pBdr>
        <w:left w:val="double" w:sz="6" w:space="0" w:color="auto"/>
        <w:bottom w:val="double" w:sz="6" w:space="0" w:color="auto"/>
      </w:pBdr>
      <w:suppressAutoHyphens w:val="0"/>
      <w:spacing w:before="100" w:beforeAutospacing="1" w:after="100" w:afterAutospacing="1" w:line="240" w:lineRule="auto"/>
    </w:pPr>
    <w:rPr>
      <w:rFonts w:eastAsia="Arial Unicode MS"/>
      <w:b/>
      <w:bCs/>
      <w:sz w:val="19"/>
      <w:szCs w:val="19"/>
      <w:lang w:eastAsia="en-US"/>
    </w:rPr>
  </w:style>
  <w:style w:type="paragraph" w:customStyle="1" w:styleId="xl57">
    <w:name w:val="xl57"/>
    <w:basedOn w:val="Normal"/>
    <w:rsid w:val="00492678"/>
    <w:pPr>
      <w:pBdr>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58">
    <w:name w:val="xl58"/>
    <w:basedOn w:val="Normal"/>
    <w:rsid w:val="00492678"/>
    <w:pPr>
      <w:pBdr>
        <w:left w:val="single" w:sz="4" w:space="0" w:color="000000"/>
        <w:bottom w:val="single" w:sz="4" w:space="0" w:color="auto"/>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59">
    <w:name w:val="xl59"/>
    <w:basedOn w:val="Normal"/>
    <w:rsid w:val="00492678"/>
    <w:pPr>
      <w:pBdr>
        <w:right w:val="single" w:sz="4"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60">
    <w:name w:val="xl60"/>
    <w:basedOn w:val="Normal"/>
    <w:rsid w:val="00492678"/>
    <w:pPr>
      <w:pBdr>
        <w:left w:val="single" w:sz="4" w:space="0" w:color="auto"/>
        <w:right w:val="double" w:sz="6" w:space="0" w:color="auto"/>
      </w:pBdr>
      <w:suppressAutoHyphens w:val="0"/>
      <w:spacing w:before="100" w:beforeAutospacing="1" w:after="100" w:afterAutospacing="1" w:line="240" w:lineRule="auto"/>
      <w:jc w:val="right"/>
    </w:pPr>
    <w:rPr>
      <w:rFonts w:eastAsia="Arial Unicode MS"/>
      <w:sz w:val="24"/>
      <w:szCs w:val="24"/>
      <w:lang w:eastAsia="en-US"/>
    </w:rPr>
  </w:style>
  <w:style w:type="paragraph" w:customStyle="1" w:styleId="xl61">
    <w:name w:val="xl61"/>
    <w:basedOn w:val="Normal"/>
    <w:rsid w:val="00492678"/>
    <w:pPr>
      <w:pBdr>
        <w:top w:val="single" w:sz="4" w:space="0" w:color="000000"/>
        <w:left w:val="single" w:sz="4" w:space="0" w:color="000000"/>
        <w:bottom w:val="single" w:sz="4" w:space="0" w:color="000000"/>
        <w:right w:val="double" w:sz="6" w:space="0" w:color="000000"/>
      </w:pBdr>
      <w:suppressAutoHyphens w:val="0"/>
      <w:spacing w:before="100" w:beforeAutospacing="1" w:after="100" w:afterAutospacing="1" w:line="240" w:lineRule="auto"/>
      <w:jc w:val="right"/>
    </w:pPr>
    <w:rPr>
      <w:rFonts w:eastAsia="Arial Unicode MS"/>
      <w:b/>
      <w:bCs/>
      <w:sz w:val="24"/>
      <w:szCs w:val="24"/>
      <w:lang w:eastAsia="en-US"/>
    </w:rPr>
  </w:style>
  <w:style w:type="paragraph" w:customStyle="1" w:styleId="MMTopic1">
    <w:name w:val="MM Topic 1"/>
    <w:basedOn w:val="Normal"/>
    <w:rsid w:val="00492678"/>
    <w:pPr>
      <w:suppressAutoHyphens w:val="0"/>
      <w:spacing w:line="240" w:lineRule="auto"/>
    </w:pPr>
    <w:rPr>
      <w:rFonts w:eastAsia="Times New Roman"/>
      <w:sz w:val="24"/>
      <w:szCs w:val="24"/>
      <w:lang w:eastAsia="en-US"/>
    </w:rPr>
  </w:style>
  <w:style w:type="paragraph" w:customStyle="1" w:styleId="MMTopic2">
    <w:name w:val="MM Topic 2"/>
    <w:basedOn w:val="Normal"/>
    <w:rsid w:val="00492678"/>
    <w:pPr>
      <w:suppressAutoHyphens w:val="0"/>
      <w:spacing w:line="240" w:lineRule="auto"/>
    </w:pPr>
    <w:rPr>
      <w:rFonts w:eastAsia="Times New Roman"/>
      <w:sz w:val="24"/>
      <w:szCs w:val="24"/>
      <w:lang w:eastAsia="en-US"/>
    </w:rPr>
  </w:style>
  <w:style w:type="paragraph" w:customStyle="1" w:styleId="MMTopic3">
    <w:name w:val="MM Topic 3"/>
    <w:basedOn w:val="Normal"/>
    <w:rsid w:val="00492678"/>
    <w:pPr>
      <w:suppressAutoHyphens w:val="0"/>
      <w:spacing w:line="240" w:lineRule="auto"/>
    </w:pPr>
    <w:rPr>
      <w:rFonts w:eastAsia="Times New Roman"/>
      <w:sz w:val="24"/>
      <w:szCs w:val="24"/>
      <w:lang w:eastAsia="en-US"/>
    </w:rPr>
  </w:style>
  <w:style w:type="paragraph" w:customStyle="1" w:styleId="MMTopic4">
    <w:name w:val="MM Topic 4"/>
    <w:basedOn w:val="Normal"/>
    <w:rsid w:val="00492678"/>
    <w:pPr>
      <w:suppressAutoHyphens w:val="0"/>
      <w:spacing w:line="240" w:lineRule="auto"/>
      <w:ind w:left="1440" w:hanging="533"/>
    </w:pPr>
    <w:rPr>
      <w:rFonts w:eastAsia="Times New Roman"/>
      <w:sz w:val="24"/>
      <w:szCs w:val="24"/>
      <w:lang w:eastAsia="en-US"/>
    </w:rPr>
  </w:style>
  <w:style w:type="paragraph" w:customStyle="1" w:styleId="MMTopic5">
    <w:name w:val="MM Topic 5"/>
    <w:basedOn w:val="Normal"/>
    <w:rsid w:val="00492678"/>
    <w:pPr>
      <w:suppressAutoHyphens w:val="0"/>
      <w:spacing w:line="240" w:lineRule="auto"/>
    </w:pPr>
    <w:rPr>
      <w:rFonts w:eastAsia="Times New Roman"/>
      <w:sz w:val="24"/>
      <w:szCs w:val="24"/>
      <w:lang w:eastAsia="en-US"/>
    </w:rPr>
  </w:style>
  <w:style w:type="character" w:customStyle="1" w:styleId="UnresolvedMention10">
    <w:name w:val="Unresolved Mention10"/>
    <w:basedOn w:val="DefaultParagraphFont"/>
    <w:uiPriority w:val="99"/>
    <w:semiHidden/>
    <w:unhideWhenUsed/>
    <w:rsid w:val="00492678"/>
    <w:rPr>
      <w:color w:val="808080"/>
      <w:shd w:val="clear" w:color="auto" w:fill="E6E6E6"/>
    </w:rPr>
  </w:style>
  <w:style w:type="character" w:customStyle="1" w:styleId="UnresolvedMention2">
    <w:name w:val="Unresolved Mention2"/>
    <w:basedOn w:val="DefaultParagraphFont"/>
    <w:uiPriority w:val="99"/>
    <w:semiHidden/>
    <w:unhideWhenUsed/>
    <w:rsid w:val="00492678"/>
    <w:rPr>
      <w:color w:val="808080"/>
      <w:shd w:val="clear" w:color="auto" w:fill="E6E6E6"/>
    </w:rPr>
  </w:style>
  <w:style w:type="character" w:customStyle="1" w:styleId="UnresolvedMention3">
    <w:name w:val="Unresolved Mention3"/>
    <w:basedOn w:val="DefaultParagraphFont"/>
    <w:uiPriority w:val="99"/>
    <w:semiHidden/>
    <w:unhideWhenUsed/>
    <w:rsid w:val="00492678"/>
    <w:rPr>
      <w:color w:val="808080"/>
      <w:shd w:val="clear" w:color="auto" w:fill="E6E6E6"/>
    </w:rPr>
  </w:style>
  <w:style w:type="character" w:styleId="Emphasis">
    <w:name w:val="Emphasis"/>
    <w:basedOn w:val="DefaultParagraphFont"/>
    <w:qFormat/>
    <w:rsid w:val="00492678"/>
    <w:rPr>
      <w:i/>
      <w:iCs/>
    </w:rPr>
  </w:style>
  <w:style w:type="character" w:customStyle="1" w:styleId="UnresolvedMention4">
    <w:name w:val="Unresolved Mention4"/>
    <w:basedOn w:val="DefaultParagraphFont"/>
    <w:uiPriority w:val="99"/>
    <w:semiHidden/>
    <w:unhideWhenUsed/>
    <w:rsid w:val="00492678"/>
    <w:rPr>
      <w:color w:val="808080"/>
      <w:shd w:val="clear" w:color="auto" w:fill="E6E6E6"/>
    </w:rPr>
  </w:style>
  <w:style w:type="numbering" w:customStyle="1" w:styleId="NoList2">
    <w:name w:val="No List2"/>
    <w:next w:val="NoList"/>
    <w:uiPriority w:val="99"/>
    <w:semiHidden/>
    <w:unhideWhenUsed/>
    <w:rsid w:val="00492678"/>
  </w:style>
  <w:style w:type="table" w:customStyle="1" w:styleId="TableGrid31">
    <w:name w:val="Table Grid31"/>
    <w:basedOn w:val="TableNormal"/>
    <w:next w:val="TableGrid"/>
    <w:rsid w:val="00492678"/>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492678"/>
    <w:rPr>
      <w:rFonts w:asci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492678"/>
  </w:style>
  <w:style w:type="table" w:customStyle="1" w:styleId="TableGrid32">
    <w:name w:val="Table Grid32"/>
    <w:basedOn w:val="TableNormal"/>
    <w:next w:val="TableGrid"/>
    <w:rsid w:val="00492678"/>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492678"/>
    <w:rPr>
      <w:rFonts w:asci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495190"/>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495190"/>
    <w:rPr>
      <w:rFonts w:ascii="Times New Roman" w:hAnsi="Times New Roman" w:cs="Times New Roman" w:hint="default"/>
      <w:b w:val="0"/>
      <w:bCs w:val="0"/>
      <w:i/>
      <w:iCs/>
      <w:color w:val="000000"/>
      <w:sz w:val="20"/>
      <w:szCs w:val="20"/>
    </w:rPr>
  </w:style>
  <w:style w:type="character" w:customStyle="1" w:styleId="fontstyle01">
    <w:name w:val="fontstyle01"/>
    <w:basedOn w:val="DefaultParagraphFont"/>
    <w:rsid w:val="00495190"/>
    <w:rPr>
      <w:rFonts w:ascii="Times New Roman" w:hAnsi="Times New Roman" w:cs="Times New Roman" w:hint="default"/>
      <w:b/>
      <w:bCs/>
      <w:i w:val="0"/>
      <w:iCs w:val="0"/>
      <w:color w:val="000000"/>
      <w:sz w:val="28"/>
      <w:szCs w:val="28"/>
    </w:rPr>
  </w:style>
  <w:style w:type="paragraph" w:customStyle="1" w:styleId="msonormal0">
    <w:name w:val="msonormal"/>
    <w:basedOn w:val="Normal"/>
    <w:rsid w:val="00892142"/>
    <w:pPr>
      <w:suppressAutoHyphens w:val="0"/>
      <w:spacing w:before="100" w:beforeAutospacing="1" w:after="100" w:afterAutospacing="1" w:line="240" w:lineRule="auto"/>
    </w:pPr>
    <w:rPr>
      <w:rFonts w:eastAsia="Times New Roman"/>
      <w:sz w:val="24"/>
      <w:szCs w:val="24"/>
      <w:lang w:val="en-US" w:eastAsia="en-US"/>
    </w:rPr>
  </w:style>
  <w:style w:type="character" w:customStyle="1" w:styleId="FootnoteTextChar1">
    <w:name w:val="Footnote Text Char1"/>
    <w:aliases w:val="5_G Char1,Geneva 9 Char1,Font: Geneva 9 Char1,Boston 10 Char1,f Char1,fn Char1,footnote text Char1,Footnotes Char1,Footnote ak Char1,Char Char1,Char Char Char Char Char1,Default Paragraph Font Char Char Char1,Footno Char1"/>
    <w:basedOn w:val="DefaultParagraphFont"/>
    <w:semiHidden/>
    <w:rsid w:val="00892142"/>
    <w:rPr>
      <w:rFonts w:eastAsia="SimSun"/>
      <w:lang w:eastAsia="zh-CN"/>
    </w:rPr>
  </w:style>
  <w:style w:type="character" w:customStyle="1" w:styleId="HeaderChar1">
    <w:name w:val="Header Char1"/>
    <w:aliases w:val="6_G Char1"/>
    <w:basedOn w:val="DefaultParagraphFont"/>
    <w:semiHidden/>
    <w:rsid w:val="00892142"/>
    <w:rPr>
      <w:rFonts w:eastAsia="SimSun"/>
      <w:lang w:eastAsia="zh-CN"/>
    </w:rPr>
  </w:style>
  <w:style w:type="character" w:customStyle="1" w:styleId="FooterChar1">
    <w:name w:val="Footer Char1"/>
    <w:aliases w:val="3_G Char1"/>
    <w:basedOn w:val="DefaultParagraphFont"/>
    <w:semiHidden/>
    <w:rsid w:val="00892142"/>
    <w:rPr>
      <w:rFonts w:eastAsia="SimSun"/>
      <w:lang w:eastAsia="zh-CN"/>
    </w:rPr>
  </w:style>
  <w:style w:type="character" w:customStyle="1" w:styleId="EndnoteTextChar1">
    <w:name w:val="Endnote Text Char1"/>
    <w:aliases w:val="2_G Char1"/>
    <w:basedOn w:val="DefaultParagraphFont"/>
    <w:semiHidden/>
    <w:rsid w:val="00892142"/>
    <w:rPr>
      <w:rFonts w:eastAsia="SimSun"/>
      <w:lang w:eastAsia="zh-CN"/>
    </w:rPr>
  </w:style>
  <w:style w:type="character" w:styleId="UnresolvedMention">
    <w:name w:val="Unresolved Mention"/>
    <w:basedOn w:val="DefaultParagraphFont"/>
    <w:uiPriority w:val="99"/>
    <w:semiHidden/>
    <w:unhideWhenUsed/>
    <w:rsid w:val="00BA1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5603">
      <w:bodyDiv w:val="1"/>
      <w:marLeft w:val="0"/>
      <w:marRight w:val="0"/>
      <w:marTop w:val="0"/>
      <w:marBottom w:val="0"/>
      <w:divBdr>
        <w:top w:val="none" w:sz="0" w:space="0" w:color="auto"/>
        <w:left w:val="none" w:sz="0" w:space="0" w:color="auto"/>
        <w:bottom w:val="none" w:sz="0" w:space="0" w:color="auto"/>
        <w:right w:val="none" w:sz="0" w:space="0" w:color="auto"/>
      </w:divBdr>
    </w:div>
    <w:div w:id="1313752898">
      <w:bodyDiv w:val="1"/>
      <w:marLeft w:val="0"/>
      <w:marRight w:val="0"/>
      <w:marTop w:val="0"/>
      <w:marBottom w:val="0"/>
      <w:divBdr>
        <w:top w:val="none" w:sz="0" w:space="0" w:color="auto"/>
        <w:left w:val="none" w:sz="0" w:space="0" w:color="auto"/>
        <w:bottom w:val="none" w:sz="0" w:space="0" w:color="auto"/>
        <w:right w:val="none" w:sz="0" w:space="0" w:color="auto"/>
      </w:divBdr>
    </w:div>
    <w:div w:id="137114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header" Target="header5.xml"/><Relationship Id="rId42" Type="http://schemas.openxmlformats.org/officeDocument/2006/relationships/header" Target="header16.xml"/><Relationship Id="rId47" Type="http://schemas.openxmlformats.org/officeDocument/2006/relationships/header" Target="header18.xml"/><Relationship Id="rId63" Type="http://schemas.openxmlformats.org/officeDocument/2006/relationships/header" Target="header26.xml"/><Relationship Id="rId68" Type="http://schemas.openxmlformats.org/officeDocument/2006/relationships/footer" Target="footer28.xml"/><Relationship Id="rId84" Type="http://schemas.openxmlformats.org/officeDocument/2006/relationships/header" Target="header37.xml"/><Relationship Id="rId89" Type="http://schemas.openxmlformats.org/officeDocument/2006/relationships/header" Target="header39.xml"/><Relationship Id="rId16" Type="http://schemas.openxmlformats.org/officeDocument/2006/relationships/footer" Target="footer2.xml"/><Relationship Id="rId107" Type="http://schemas.openxmlformats.org/officeDocument/2006/relationships/fontTable" Target="fontTable.xml"/><Relationship Id="rId11" Type="http://schemas.openxmlformats.org/officeDocument/2006/relationships/image" Target="media/image1.wmf"/><Relationship Id="rId32" Type="http://schemas.openxmlformats.org/officeDocument/2006/relationships/footer" Target="footer10.xml"/><Relationship Id="rId37" Type="http://schemas.openxmlformats.org/officeDocument/2006/relationships/footer" Target="footer12.xml"/><Relationship Id="rId53" Type="http://schemas.openxmlformats.org/officeDocument/2006/relationships/header" Target="header21.xml"/><Relationship Id="rId58" Type="http://schemas.openxmlformats.org/officeDocument/2006/relationships/footer" Target="footer23.xml"/><Relationship Id="rId74" Type="http://schemas.openxmlformats.org/officeDocument/2006/relationships/footer" Target="footer31.xml"/><Relationship Id="rId79" Type="http://schemas.openxmlformats.org/officeDocument/2006/relationships/footer" Target="footer33.xml"/><Relationship Id="rId102" Type="http://schemas.openxmlformats.org/officeDocument/2006/relationships/header" Target="header46.xml"/><Relationship Id="rId5" Type="http://schemas.openxmlformats.org/officeDocument/2006/relationships/numbering" Target="numbering.xml"/><Relationship Id="rId90" Type="http://schemas.openxmlformats.org/officeDocument/2006/relationships/header" Target="header40.xml"/><Relationship Id="rId95" Type="http://schemas.openxmlformats.org/officeDocument/2006/relationships/header" Target="header42.xml"/><Relationship Id="rId22" Type="http://schemas.openxmlformats.org/officeDocument/2006/relationships/footer" Target="footer5.xml"/><Relationship Id="rId27" Type="http://schemas.openxmlformats.org/officeDocument/2006/relationships/header" Target="header8.xml"/><Relationship Id="rId43" Type="http://schemas.openxmlformats.org/officeDocument/2006/relationships/footer" Target="footer15.xml"/><Relationship Id="rId48" Type="http://schemas.openxmlformats.org/officeDocument/2006/relationships/header" Target="header19.xml"/><Relationship Id="rId64" Type="http://schemas.openxmlformats.org/officeDocument/2006/relationships/footer" Target="footer26.xml"/><Relationship Id="rId69" Type="http://schemas.openxmlformats.org/officeDocument/2006/relationships/header" Target="header29.xml"/><Relationship Id="rId80" Type="http://schemas.openxmlformats.org/officeDocument/2006/relationships/footer" Target="footer34.xml"/><Relationship Id="rId85" Type="http://schemas.openxmlformats.org/officeDocument/2006/relationships/footer" Target="footer36.xml"/><Relationship Id="rId12" Type="http://schemas.openxmlformats.org/officeDocument/2006/relationships/image" Target="media/image2.png"/><Relationship Id="rId17" Type="http://schemas.openxmlformats.org/officeDocument/2006/relationships/header" Target="header3.xml"/><Relationship Id="rId33" Type="http://schemas.openxmlformats.org/officeDocument/2006/relationships/header" Target="header11.xml"/><Relationship Id="rId38" Type="http://schemas.openxmlformats.org/officeDocument/2006/relationships/footer" Target="footer13.xml"/><Relationship Id="rId59" Type="http://schemas.openxmlformats.org/officeDocument/2006/relationships/header" Target="header24.xml"/><Relationship Id="rId103" Type="http://schemas.openxmlformats.org/officeDocument/2006/relationships/footer" Target="footer45.xml"/><Relationship Id="rId108" Type="http://schemas.openxmlformats.org/officeDocument/2006/relationships/theme" Target="theme/theme1.xml"/><Relationship Id="rId20" Type="http://schemas.openxmlformats.org/officeDocument/2006/relationships/footer" Target="footer4.xml"/><Relationship Id="rId41" Type="http://schemas.openxmlformats.org/officeDocument/2006/relationships/header" Target="header15.xml"/><Relationship Id="rId54" Type="http://schemas.openxmlformats.org/officeDocument/2006/relationships/header" Target="header22.xml"/><Relationship Id="rId62" Type="http://schemas.openxmlformats.org/officeDocument/2006/relationships/footer" Target="footer25.xml"/><Relationship Id="rId70" Type="http://schemas.openxmlformats.org/officeDocument/2006/relationships/footer" Target="footer29.xml"/><Relationship Id="rId75" Type="http://schemas.openxmlformats.org/officeDocument/2006/relationships/header" Target="header32.xml"/><Relationship Id="rId83" Type="http://schemas.openxmlformats.org/officeDocument/2006/relationships/header" Target="header36.xml"/><Relationship Id="rId88" Type="http://schemas.openxmlformats.org/officeDocument/2006/relationships/footer" Target="footer38.xml"/><Relationship Id="rId91" Type="http://schemas.openxmlformats.org/officeDocument/2006/relationships/footer" Target="footer39.xml"/><Relationship Id="rId96" Type="http://schemas.openxmlformats.org/officeDocument/2006/relationships/header" Target="header4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header" Target="header13.xml"/><Relationship Id="rId49" Type="http://schemas.openxmlformats.org/officeDocument/2006/relationships/footer" Target="footer18.xml"/><Relationship Id="rId57" Type="http://schemas.openxmlformats.org/officeDocument/2006/relationships/header" Target="header23.xml"/><Relationship Id="rId106" Type="http://schemas.openxmlformats.org/officeDocument/2006/relationships/footer" Target="footer47.xml"/><Relationship Id="rId10" Type="http://schemas.openxmlformats.org/officeDocument/2006/relationships/endnotes" Target="endnotes.xml"/><Relationship Id="rId31" Type="http://schemas.openxmlformats.org/officeDocument/2006/relationships/footer" Target="footer9.xml"/><Relationship Id="rId44" Type="http://schemas.openxmlformats.org/officeDocument/2006/relationships/footer" Target="footer16.xml"/><Relationship Id="rId52" Type="http://schemas.openxmlformats.org/officeDocument/2006/relationships/footer" Target="footer20.xml"/><Relationship Id="rId60" Type="http://schemas.openxmlformats.org/officeDocument/2006/relationships/header" Target="header25.xml"/><Relationship Id="rId65" Type="http://schemas.openxmlformats.org/officeDocument/2006/relationships/header" Target="header27.xml"/><Relationship Id="rId73" Type="http://schemas.openxmlformats.org/officeDocument/2006/relationships/footer" Target="footer30.xml"/><Relationship Id="rId78" Type="http://schemas.openxmlformats.org/officeDocument/2006/relationships/header" Target="header34.xml"/><Relationship Id="rId81" Type="http://schemas.openxmlformats.org/officeDocument/2006/relationships/header" Target="header35.xml"/><Relationship Id="rId86" Type="http://schemas.openxmlformats.org/officeDocument/2006/relationships/footer" Target="footer37.xml"/><Relationship Id="rId94" Type="http://schemas.openxmlformats.org/officeDocument/2006/relationships/footer" Target="footer41.xml"/><Relationship Id="rId99" Type="http://schemas.openxmlformats.org/officeDocument/2006/relationships/header" Target="header44.xml"/><Relationship Id="rId101" Type="http://schemas.openxmlformats.org/officeDocument/2006/relationships/header" Target="header4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9" Type="http://schemas.openxmlformats.org/officeDocument/2006/relationships/header" Target="header14.xml"/><Relationship Id="rId34" Type="http://schemas.openxmlformats.org/officeDocument/2006/relationships/footer" Target="footer11.xml"/><Relationship Id="rId50" Type="http://schemas.openxmlformats.org/officeDocument/2006/relationships/footer" Target="footer19.xml"/><Relationship Id="rId55" Type="http://schemas.openxmlformats.org/officeDocument/2006/relationships/footer" Target="footer21.xml"/><Relationship Id="rId76" Type="http://schemas.openxmlformats.org/officeDocument/2006/relationships/footer" Target="footer32.xml"/><Relationship Id="rId97" Type="http://schemas.openxmlformats.org/officeDocument/2006/relationships/footer" Target="footer42.xml"/><Relationship Id="rId104" Type="http://schemas.openxmlformats.org/officeDocument/2006/relationships/footer" Target="footer46.xml"/><Relationship Id="rId7" Type="http://schemas.openxmlformats.org/officeDocument/2006/relationships/settings" Target="settings.xml"/><Relationship Id="rId71" Type="http://schemas.openxmlformats.org/officeDocument/2006/relationships/header" Target="header30.xml"/><Relationship Id="rId92" Type="http://schemas.openxmlformats.org/officeDocument/2006/relationships/footer" Target="footer40.xml"/><Relationship Id="rId2" Type="http://schemas.openxmlformats.org/officeDocument/2006/relationships/customXml" Target="../customXml/item2.xml"/><Relationship Id="rId29" Type="http://schemas.openxmlformats.org/officeDocument/2006/relationships/header" Target="header9.xml"/><Relationship Id="rId24" Type="http://schemas.openxmlformats.org/officeDocument/2006/relationships/header" Target="header7.xml"/><Relationship Id="rId40" Type="http://schemas.openxmlformats.org/officeDocument/2006/relationships/footer" Target="footer14.xml"/><Relationship Id="rId45" Type="http://schemas.openxmlformats.org/officeDocument/2006/relationships/header" Target="header17.xml"/><Relationship Id="rId66" Type="http://schemas.openxmlformats.org/officeDocument/2006/relationships/header" Target="header28.xml"/><Relationship Id="rId87" Type="http://schemas.openxmlformats.org/officeDocument/2006/relationships/header" Target="header38.xml"/><Relationship Id="rId61" Type="http://schemas.openxmlformats.org/officeDocument/2006/relationships/footer" Target="footer24.xml"/><Relationship Id="rId82" Type="http://schemas.openxmlformats.org/officeDocument/2006/relationships/footer" Target="footer35.xml"/><Relationship Id="rId19" Type="http://schemas.openxmlformats.org/officeDocument/2006/relationships/footer" Target="footer3.xml"/><Relationship Id="rId14" Type="http://schemas.openxmlformats.org/officeDocument/2006/relationships/header" Target="header2.xml"/><Relationship Id="rId30" Type="http://schemas.openxmlformats.org/officeDocument/2006/relationships/header" Target="header10.xml"/><Relationship Id="rId35" Type="http://schemas.openxmlformats.org/officeDocument/2006/relationships/header" Target="header12.xml"/><Relationship Id="rId56" Type="http://schemas.openxmlformats.org/officeDocument/2006/relationships/footer" Target="footer22.xml"/><Relationship Id="rId77" Type="http://schemas.openxmlformats.org/officeDocument/2006/relationships/header" Target="header33.xml"/><Relationship Id="rId100" Type="http://schemas.openxmlformats.org/officeDocument/2006/relationships/footer" Target="footer44.xml"/><Relationship Id="rId105" Type="http://schemas.openxmlformats.org/officeDocument/2006/relationships/header" Target="header47.xml"/><Relationship Id="rId8" Type="http://schemas.openxmlformats.org/officeDocument/2006/relationships/webSettings" Target="webSettings.xml"/><Relationship Id="rId51" Type="http://schemas.openxmlformats.org/officeDocument/2006/relationships/header" Target="header20.xml"/><Relationship Id="rId72" Type="http://schemas.openxmlformats.org/officeDocument/2006/relationships/header" Target="header31.xml"/><Relationship Id="rId93" Type="http://schemas.openxmlformats.org/officeDocument/2006/relationships/header" Target="header41.xml"/><Relationship Id="rId98" Type="http://schemas.openxmlformats.org/officeDocument/2006/relationships/footer" Target="footer43.xml"/><Relationship Id="rId3" Type="http://schemas.openxmlformats.org/officeDocument/2006/relationships/customXml" Target="../customXml/item3.xml"/><Relationship Id="rId25" Type="http://schemas.openxmlformats.org/officeDocument/2006/relationships/footer" Target="footer6.xml"/><Relationship Id="rId46" Type="http://schemas.openxmlformats.org/officeDocument/2006/relationships/footer" Target="footer17.xml"/><Relationship Id="rId67" Type="http://schemas.openxmlformats.org/officeDocument/2006/relationships/footer" Target="footer27.xml"/></Relationships>
</file>

<file path=word/_rels/footnotes.xml.rels><?xml version="1.0" encoding="UTF-8" standalone="yes"?>
<Relationships xmlns="http://schemas.openxmlformats.org/package/2006/relationships"><Relationship Id="rId8" Type="http://schemas.openxmlformats.org/officeDocument/2006/relationships/hyperlink" Target="https://www4.unfccc.int/sites/submissionsstaging/Pages/Home.aspx" TargetMode="External"/><Relationship Id="rId3" Type="http://schemas.openxmlformats.org/officeDocument/2006/relationships/hyperlink" Target="https://www4.unfccc.int/sites/submissionsstaging/Pages/Home.aspx" TargetMode="External"/><Relationship Id="rId7" Type="http://schemas.openxmlformats.org/officeDocument/2006/relationships/hyperlink" Target="https://www4.unfccc.int/sites/submissionsstaging/Pages/Home.aspx" TargetMode="External"/><Relationship Id="rId2" Type="http://schemas.openxmlformats.org/officeDocument/2006/relationships/hyperlink" Target="https://www4.unfccc.int/sites/submissionsstaging/Pages/Home.aspx" TargetMode="External"/><Relationship Id="rId1" Type="http://schemas.openxmlformats.org/officeDocument/2006/relationships/hyperlink" Target="https://www4.unfccc.int/sites/NAPC/Pages/national-adaptation-plans.aspx" TargetMode="External"/><Relationship Id="rId6" Type="http://schemas.openxmlformats.org/officeDocument/2006/relationships/hyperlink" Target="https://www.ctc-n.org/sites/www.ctc-n.org/files/ctcn_programme_of_work_2019-2022.pdf" TargetMode="External"/><Relationship Id="rId11" Type="http://schemas.openxmlformats.org/officeDocument/2006/relationships/hyperlink" Target="https://unfccc.int/sites/default/files/resource/180505_Outcomes%20AYF%20-%20Final.pdf" TargetMode="External"/><Relationship Id="rId5" Type="http://schemas.openxmlformats.org/officeDocument/2006/relationships/hyperlink" Target="https://bit.ly/36ESdPG" TargetMode="External"/><Relationship Id="rId10" Type="http://schemas.openxmlformats.org/officeDocument/2006/relationships/hyperlink" Target="https://unfccc.int/sites/default/files/resource/Action%20for%20Climate%20Empowerment%20Workshop%20outcomes.pdf" TargetMode="External"/><Relationship Id="rId4" Type="http://schemas.openxmlformats.org/officeDocument/2006/relationships/hyperlink" Target="https://www4.unfccc.int/sites/submissionsstaging/Pages/Home.aspx" TargetMode="External"/><Relationship Id="rId9" Type="http://schemas.openxmlformats.org/officeDocument/2006/relationships/hyperlink" Target="https://unfccc.int/topics/education-and-outreach/the-big-picture/education-and-outreach-in-the-negotiations/negotiations-on-article-6-of-the-convention-decisions-and-repor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Ann Joe</DisplayName>
        <AccountId>55</AccountId>
        <AccountType/>
      </UserInfo>
      <UserInfo>
        <DisplayName>Esmeralda Fratta di Rickli</DisplayName>
        <AccountId>56</AccountId>
        <AccountType/>
      </UserInfo>
      <UserInfo>
        <DisplayName>Ting Li</DisplayName>
        <AccountId>57</AccountId>
        <AccountType/>
      </UserInfo>
      <UserInfo>
        <DisplayName>Karen N Smith</DisplayName>
        <AccountId>58</AccountId>
        <AccountType/>
      </UserInfo>
      <UserInfo>
        <DisplayName>Marcela Main Sancha</DisplayName>
        <AccountId>92</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Props1.xml><?xml version="1.0" encoding="utf-8"?>
<ds:datastoreItem xmlns:ds="http://schemas.openxmlformats.org/officeDocument/2006/customXml" ds:itemID="{BDC30488-12C8-4504-B1B7-8428A12D71E8}">
  <ds:schemaRefs>
    <ds:schemaRef ds:uri="http://schemas.openxmlformats.org/officeDocument/2006/bibliography"/>
  </ds:schemaRefs>
</ds:datastoreItem>
</file>

<file path=customXml/itemProps2.xml><?xml version="1.0" encoding="utf-8"?>
<ds:datastoreItem xmlns:ds="http://schemas.openxmlformats.org/officeDocument/2006/customXml" ds:itemID="{BB099E30-CE25-410E-83E7-1DDD5ABE55A3}">
  <ds:schemaRefs>
    <ds:schemaRef ds:uri="http://schemas.microsoft.com/sharepoint/v3/contenttype/forms"/>
  </ds:schemaRefs>
</ds:datastoreItem>
</file>

<file path=customXml/itemProps3.xml><?xml version="1.0" encoding="utf-8"?>
<ds:datastoreItem xmlns:ds="http://schemas.openxmlformats.org/officeDocument/2006/customXml" ds:itemID="{9199CE6E-AC6F-4785-ABD4-5F834200B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9522c-9de1-4f2d-ac58-6f2cdd8b04ea"/>
    <ds:schemaRef ds:uri="13d80b15-5f07-43ab-b435-85767a7dac08"/>
    <ds:schemaRef ds:uri="eb4559c4-8463-4985-927f-f0d558bff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9B3352-9249-4984-BC1D-20AD31FD1C19}">
  <ds:schemaRefs>
    <ds:schemaRef ds:uri="http://schemas.microsoft.com/office/2006/metadata/properties"/>
    <ds:schemaRef ds:uri="http://schemas.microsoft.com/office/infopath/2007/PartnerControls"/>
    <ds:schemaRef ds:uri="21fd8bfc-cd85-4899-a616-986da4216f81"/>
    <ds:schemaRef ds:uri="13d80b15-5f07-43ab-b435-85767a7dac08"/>
    <ds:schemaRef ds:uri="eb4559c4-8463-4985-927f-f0d558bff8f0"/>
    <ds:schemaRef ds:uri="b819522c-9de1-4f2d-ac58-6f2cdd8b04ea"/>
  </ds:schemaRefs>
</ds:datastoreItem>
</file>

<file path=docProps/app.xml><?xml version="1.0" encoding="utf-8"?>
<Properties xmlns="http://schemas.openxmlformats.org/officeDocument/2006/extended-properties" xmlns:vt="http://schemas.openxmlformats.org/officeDocument/2006/docPropsVTypes">
  <Template>FCCC.dotm</Template>
  <TotalTime>3</TotalTime>
  <Pages>6</Pages>
  <Words>13174</Words>
  <Characters>75094</Characters>
  <Application>Microsoft Office Word</Application>
  <DocSecurity>0</DocSecurity>
  <Lines>625</Lines>
  <Paragraphs>176</Paragraphs>
  <ScaleCrop>false</ScaleCrop>
  <Company>UNFCCC</Company>
  <LinksUpToDate>false</LinksUpToDate>
  <CharactersWithSpaces>88092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twenty-fifth session, held in Santiago from 2 - 13 December 2019</dc:title>
  <dc:subject/>
  <dc:creator>Corinne Loeschner</dc:creator>
  <cp:keywords/>
  <dc:description/>
  <cp:lastModifiedBy>Aisulu</cp:lastModifiedBy>
  <cp:revision>9</cp:revision>
  <cp:lastPrinted>2020-03-05T06:42:00Z</cp:lastPrinted>
  <dcterms:created xsi:type="dcterms:W3CDTF">2020-03-18T09:27:00Z</dcterms:created>
  <dcterms:modified xsi:type="dcterms:W3CDTF">2024-10-22T04:24:00Z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dies">
    <vt:lpwstr>2;#SBI|3d0976b2-c8bc-40ac-9a53-09b0260e1ce9</vt:lpwstr>
  </property>
  <property fmtid="{D5CDD505-2E9C-101B-9397-08002B2CF9AE}" pid="3" name="_dlc_DocIdItemGuid">
    <vt:lpwstr>f78bbd81-8ef9-41d8-b94c-9860ffc4a7c1</vt:lpwstr>
  </property>
  <property fmtid="{D5CDD505-2E9C-101B-9397-08002B2CF9AE}" pid="4" name="LinkedUNFCCCDocumentTracker">
    <vt:lpwstr>366</vt:lpwstr>
  </property>
  <property fmtid="{D5CDD505-2E9C-101B-9397-08002B2CF9AE}" pid="5" name="fccc_body">
    <vt:lpwstr>10;#COP|c73e7bf0-e1b5-41ee-ac74-00f3478c6be0</vt:lpwstr>
  </property>
  <property fmtid="{D5CDD505-2E9C-101B-9397-08002B2CF9AE}" pid="6" name="fccc_substantive_topic">
    <vt:lpwstr>46;#Sessional proceedings|ff7bdb8c-f4ee-4fbb-ab88-7747669b7746</vt:lpwstr>
  </property>
  <property fmtid="{D5CDD505-2E9C-101B-9397-08002B2CF9AE}" pid="7" name="fccc_Keywords">
    <vt:lpwstr>137;#Conference of the Parties (COP)|5d088ddd-878c-49d1-a3a8-a7bb61b871f8;#105;#conferences|b310ccc6-61a0-4f83-a3b7-1510e8eef4cb</vt:lpwstr>
  </property>
  <property fmtid="{D5CDD505-2E9C-101B-9397-08002B2CF9AE}" pid="8" name="fccc_session">
    <vt:lpwstr>112;#COP 25|57561025-3767-4325-a7f5-57773403a4d7</vt:lpwstr>
  </property>
  <property fmtid="{D5CDD505-2E9C-101B-9397-08002B2CF9AE}" pid="9" name="fccc_responsible_substantive_clearance">
    <vt:lpwstr>92;#Marcela Main Sancha</vt:lpwstr>
  </property>
  <property fmtid="{D5CDD505-2E9C-101B-9397-08002B2CF9AE}" pid="10" name="fccc_body_focalpoint">
    <vt:lpwstr>58;#i:0#.f|membership|ksmith@unfccc.int</vt:lpwstr>
  </property>
  <property fmtid="{D5CDD505-2E9C-101B-9397-08002B2CF9AE}" pid="11" name="docSymbol1">
    <vt:lpwstr>FCCC/CP/2019/13/Add.2</vt:lpwstr>
  </property>
  <property fmtid="{D5CDD505-2E9C-101B-9397-08002B2CF9AE}" pid="12" name="docSymbol2">
    <vt:lpwstr/>
  </property>
  <property fmtid="{D5CDD505-2E9C-101B-9397-08002B2CF9AE}" pid="13" name="templateVersion">
    <vt:lpwstr>v.July2017</vt:lpwstr>
  </property>
  <property fmtid="{D5CDD505-2E9C-101B-9397-08002B2CF9AE}" pid="14" name="SharedWithUsers">
    <vt:lpwstr>55;#Ann Joe;#56;#Esmeralda Fratta di Rickli;#57;#Ting Li;#58;#Karen N Smith;#92;#Marcela Main Sancha</vt:lpwstr>
  </property>
  <property fmtid="{D5CDD505-2E9C-101B-9397-08002B2CF9AE}" pid="15" name="xd_Signature">
    <vt:bool>false</vt:bool>
  </property>
  <property fmtid="{D5CDD505-2E9C-101B-9397-08002B2CF9AE}" pid="16" name="xd_ProgID">
    <vt:lpwstr/>
  </property>
  <property fmtid="{D5CDD505-2E9C-101B-9397-08002B2CF9AE}" pid="17" name="ComplianceAssetId">
    <vt:lpwstr/>
  </property>
  <property fmtid="{D5CDD505-2E9C-101B-9397-08002B2CF9AE}" pid="18" name="TemplateUrl">
    <vt:lpwstr/>
  </property>
  <property fmtid="{D5CDD505-2E9C-101B-9397-08002B2CF9AE}" pid="19" name="ContentTypeId">
    <vt:lpwstr>0x0101002BEBFA4AD3D067488A4F8AE22F38BF68</vt:lpwstr>
  </property>
  <property fmtid="{D5CDD505-2E9C-101B-9397-08002B2CF9AE}" pid="20" name="MediaServiceImageTags">
    <vt:lpwstr/>
  </property>
</Properties>
</file>