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8E6FF2" w:rsidRPr="00B4036A" w14:paraId="02B9E285" w14:textId="77777777" w:rsidTr="00544241">
        <w:trPr>
          <w:cantSplit/>
          <w:trHeight w:hRule="exact" w:val="1134"/>
        </w:trPr>
        <w:tc>
          <w:tcPr>
            <w:tcW w:w="1242" w:type="dxa"/>
            <w:vAlign w:val="bottom"/>
          </w:tcPr>
          <w:p w14:paraId="2A792C0F" w14:textId="77777777" w:rsidR="008E6FF2" w:rsidRPr="00B4036A" w:rsidRDefault="008E6FF2" w:rsidP="00544241">
            <w:bookmarkStart w:id="0" w:name="_Hlk55297588"/>
            <w:bookmarkEnd w:id="0"/>
            <w:r w:rsidRPr="00B4036A">
              <w:rPr>
                <w:noProof/>
                <w:lang w:val="en-US" w:eastAsia="en-US"/>
              </w:rPr>
              <w:drawing>
                <wp:inline distT="0" distB="0" distL="0" distR="0" wp14:anchorId="4EF78349" wp14:editId="08745B5E">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059C0B54" w14:textId="77777777" w:rsidR="008E6FF2" w:rsidRPr="00B4036A" w:rsidRDefault="008E6FF2" w:rsidP="00544241">
            <w:pPr>
              <w:ind w:left="113"/>
              <w:rPr>
                <w:sz w:val="28"/>
                <w:szCs w:val="28"/>
              </w:rPr>
            </w:pPr>
            <w:r w:rsidRPr="00B4036A">
              <w:rPr>
                <w:sz w:val="28"/>
                <w:szCs w:val="28"/>
              </w:rPr>
              <w:t>United Nations</w:t>
            </w:r>
          </w:p>
        </w:tc>
        <w:tc>
          <w:tcPr>
            <w:tcW w:w="5845" w:type="dxa"/>
            <w:gridSpan w:val="3"/>
            <w:vAlign w:val="bottom"/>
          </w:tcPr>
          <w:p w14:paraId="4E6B3AC1" w14:textId="04455942" w:rsidR="008E6FF2" w:rsidRPr="00B4036A" w:rsidRDefault="001E1C7F" w:rsidP="001E1C7F">
            <w:pPr>
              <w:jc w:val="right"/>
            </w:pPr>
            <w:r w:rsidRPr="00B4036A">
              <w:rPr>
                <w:sz w:val="40"/>
              </w:rPr>
              <w:t>FCCC</w:t>
            </w:r>
            <w:r w:rsidRPr="00B4036A">
              <w:t>/CP/2022/</w:t>
            </w:r>
            <w:r w:rsidR="005B2E19">
              <w:t>10</w:t>
            </w:r>
            <w:r w:rsidRPr="00B4036A">
              <w:t>/Add.3</w:t>
            </w:r>
          </w:p>
        </w:tc>
      </w:tr>
      <w:tr w:rsidR="008E6FF2" w:rsidRPr="00B4036A" w14:paraId="22CDDF2D" w14:textId="77777777" w:rsidTr="00544241">
        <w:trPr>
          <w:cantSplit/>
          <w:trHeight w:hRule="exact" w:val="2552"/>
        </w:trPr>
        <w:tc>
          <w:tcPr>
            <w:tcW w:w="4511" w:type="dxa"/>
            <w:gridSpan w:val="3"/>
          </w:tcPr>
          <w:p w14:paraId="3033CB14" w14:textId="77777777" w:rsidR="008E6FF2" w:rsidRPr="00B4036A" w:rsidRDefault="008E6FF2" w:rsidP="00544241">
            <w:r w:rsidRPr="00B4036A">
              <w:rPr>
                <w:noProof/>
                <w:lang w:val="en-US" w:eastAsia="en-US"/>
              </w:rPr>
              <w:drawing>
                <wp:anchor distT="0" distB="0" distL="114300" distR="114300" simplePos="0" relativeHeight="251658240" behindDoc="1" locked="0" layoutInCell="1" allowOverlap="1" wp14:anchorId="72E1E270" wp14:editId="0BF0850A">
                  <wp:simplePos x="0" y="0"/>
                  <wp:positionH relativeFrom="column">
                    <wp:posOffset>-2540</wp:posOffset>
                  </wp:positionH>
                  <wp:positionV relativeFrom="paragraph">
                    <wp:posOffset>1270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79E03A" w14:textId="77777777" w:rsidR="008E6FF2" w:rsidRPr="00B4036A" w:rsidRDefault="008E6FF2" w:rsidP="00544241"/>
        </w:tc>
        <w:tc>
          <w:tcPr>
            <w:tcW w:w="2293" w:type="dxa"/>
          </w:tcPr>
          <w:p w14:paraId="389BE823" w14:textId="77777777" w:rsidR="008E6FF2" w:rsidRPr="00B4036A" w:rsidRDefault="008E6FF2" w:rsidP="00544241"/>
        </w:tc>
        <w:tc>
          <w:tcPr>
            <w:tcW w:w="2835" w:type="dxa"/>
          </w:tcPr>
          <w:p w14:paraId="7BA2C3A5" w14:textId="77777777" w:rsidR="008E6FF2" w:rsidRPr="00B4036A" w:rsidRDefault="001E1C7F" w:rsidP="001E1C7F">
            <w:pPr>
              <w:spacing w:before="240" w:line="240" w:lineRule="exact"/>
              <w:ind w:left="143"/>
            </w:pPr>
            <w:r w:rsidRPr="00B4036A">
              <w:t>Distr.: General</w:t>
            </w:r>
          </w:p>
          <w:p w14:paraId="0E83E25C" w14:textId="3BEB88C7" w:rsidR="005B2E19" w:rsidRDefault="005B2E19" w:rsidP="005B2E19">
            <w:pPr>
              <w:spacing w:line="240" w:lineRule="exact"/>
              <w:ind w:left="143"/>
            </w:pPr>
            <w:r>
              <w:t>1</w:t>
            </w:r>
            <w:r w:rsidR="00DE7610">
              <w:t>7</w:t>
            </w:r>
            <w:r>
              <w:t xml:space="preserve"> March 2023</w:t>
            </w:r>
          </w:p>
          <w:p w14:paraId="43A286F8" w14:textId="77777777" w:rsidR="001E1C7F" w:rsidRPr="00B4036A" w:rsidRDefault="001E1C7F" w:rsidP="001E1C7F">
            <w:pPr>
              <w:spacing w:line="240" w:lineRule="exact"/>
              <w:ind w:left="143"/>
            </w:pPr>
          </w:p>
          <w:p w14:paraId="4783B544" w14:textId="4D20A93E" w:rsidR="001E1C7F" w:rsidRPr="00B4036A" w:rsidRDefault="001E1C7F" w:rsidP="001E1C7F">
            <w:pPr>
              <w:spacing w:line="240" w:lineRule="exact"/>
              <w:ind w:left="143"/>
            </w:pPr>
            <w:r w:rsidRPr="00B4036A">
              <w:t>Original: English</w:t>
            </w:r>
          </w:p>
        </w:tc>
      </w:tr>
    </w:tbl>
    <w:p w14:paraId="2BC4E0AF" w14:textId="77777777" w:rsidR="00D832A3" w:rsidRPr="00B4036A" w:rsidRDefault="009E43EE" w:rsidP="008C1A24">
      <w:pPr>
        <w:spacing w:before="120"/>
        <w:rPr>
          <w:b/>
          <w:sz w:val="24"/>
          <w:szCs w:val="24"/>
        </w:rPr>
      </w:pPr>
      <w:r w:rsidRPr="00B4036A">
        <w:rPr>
          <w:b/>
          <w:sz w:val="24"/>
          <w:szCs w:val="24"/>
        </w:rPr>
        <w:t>Conference of the Parties</w:t>
      </w:r>
    </w:p>
    <w:p w14:paraId="3AEC63FB" w14:textId="208BEF04" w:rsidR="00A52283" w:rsidRPr="00B4036A" w:rsidRDefault="00A52283" w:rsidP="00A52283">
      <w:pPr>
        <w:pStyle w:val="HChG"/>
      </w:pPr>
      <w:r w:rsidRPr="00B4036A">
        <w:tab/>
      </w:r>
      <w:r w:rsidRPr="00B4036A">
        <w:tab/>
        <w:t>Report of the Conference of the Parties on its twenty-seventh session, held in Sharm el-Sheikh from 6</w:t>
      </w:r>
      <w:r w:rsidR="009C5218" w:rsidRPr="00B4036A">
        <w:t xml:space="preserve"> to </w:t>
      </w:r>
      <w:r w:rsidRPr="00B4036A">
        <w:t>20 November 202</w:t>
      </w:r>
      <w:r w:rsidR="006F43A3">
        <w:t>2</w:t>
      </w:r>
    </w:p>
    <w:p w14:paraId="19C455D3" w14:textId="77777777" w:rsidR="00A52283" w:rsidRPr="00B4036A" w:rsidRDefault="00A52283" w:rsidP="00A52283">
      <w:pPr>
        <w:pStyle w:val="H1G"/>
      </w:pPr>
      <w:r w:rsidRPr="00B4036A">
        <w:tab/>
      </w:r>
      <w:r w:rsidRPr="00B4036A">
        <w:tab/>
        <w:t>Addendum</w:t>
      </w:r>
    </w:p>
    <w:p w14:paraId="1C1D37A0" w14:textId="0994A8EE" w:rsidR="00A52283" w:rsidRPr="00B4036A" w:rsidRDefault="00A52283" w:rsidP="00A52283">
      <w:pPr>
        <w:pStyle w:val="H1G"/>
      </w:pPr>
      <w:r w:rsidRPr="00B4036A">
        <w:tab/>
        <w:t xml:space="preserve">Part </w:t>
      </w:r>
      <w:r w:rsidR="00EC0C73">
        <w:t>two</w:t>
      </w:r>
      <w:r w:rsidRPr="00B4036A">
        <w:t xml:space="preserve">: Action taken by the Conference of the Parties at its </w:t>
      </w:r>
      <w:r w:rsidR="009C5218" w:rsidRPr="00B4036A">
        <w:br/>
      </w:r>
      <w:r w:rsidRPr="00B4036A">
        <w:t>twenty-seventh session</w:t>
      </w:r>
    </w:p>
    <w:p w14:paraId="27EBC2E7" w14:textId="77777777" w:rsidR="00A52283" w:rsidRPr="00B4036A" w:rsidRDefault="00A52283" w:rsidP="00A52283">
      <w:pPr>
        <w:spacing w:after="120"/>
        <w:rPr>
          <w:sz w:val="28"/>
        </w:rPr>
      </w:pPr>
      <w:r w:rsidRPr="00B4036A">
        <w:rPr>
          <w:sz w:val="28"/>
        </w:rPr>
        <w:t>Contents</w:t>
      </w:r>
    </w:p>
    <w:p w14:paraId="1AA0E03A" w14:textId="77777777" w:rsidR="00A52283" w:rsidRPr="00B4036A" w:rsidRDefault="00A52283" w:rsidP="00A52283">
      <w:pPr>
        <w:pStyle w:val="HChG"/>
      </w:pPr>
      <w:r w:rsidRPr="00B4036A">
        <w:tab/>
      </w:r>
      <w:r w:rsidRPr="00B4036A">
        <w:tab/>
        <w:t xml:space="preserve">Decisions adopted by the Conference of the Parties </w:t>
      </w:r>
    </w:p>
    <w:p w14:paraId="28C6CF6A" w14:textId="77777777" w:rsidR="00A52283" w:rsidRPr="00B4036A" w:rsidRDefault="00A52283" w:rsidP="00A52283">
      <w:pPr>
        <w:tabs>
          <w:tab w:val="left" w:pos="1134"/>
          <w:tab w:val="right" w:pos="9638"/>
        </w:tabs>
        <w:spacing w:after="120"/>
        <w:ind w:left="283"/>
      </w:pPr>
      <w:r w:rsidRPr="00B4036A">
        <w:rPr>
          <w:i/>
          <w:sz w:val="18"/>
        </w:rPr>
        <w:tab/>
      </w:r>
      <w:r w:rsidRPr="00A80859">
        <w:rPr>
          <w:i/>
          <w:sz w:val="18"/>
          <w:szCs w:val="18"/>
        </w:rPr>
        <w:t>Decision</w:t>
      </w:r>
      <w:r w:rsidRPr="00B4036A">
        <w:rPr>
          <w:i/>
          <w:sz w:val="18"/>
        </w:rPr>
        <w:tab/>
        <w:t>Page</w:t>
      </w:r>
    </w:p>
    <w:p w14:paraId="6E0FCDC7" w14:textId="525DE98A" w:rsidR="000A16FA" w:rsidRPr="00B4036A" w:rsidRDefault="000A16FA" w:rsidP="00392448">
      <w:pPr>
        <w:pStyle w:val="TOC1"/>
      </w:pPr>
      <w:r w:rsidRPr="00B4036A">
        <w:tab/>
      </w:r>
      <w:r w:rsidRPr="00B4036A">
        <w:tab/>
      </w:r>
      <w:hyperlink w:anchor="Decision_24" w:history="1">
        <w:r w:rsidR="00F067A1" w:rsidRPr="00B4036A">
          <w:rPr>
            <w:rStyle w:val="Hyperlink"/>
          </w:rPr>
          <w:t>24</w:t>
        </w:r>
        <w:r w:rsidRPr="00B4036A">
          <w:rPr>
            <w:rStyle w:val="Hyperlink"/>
          </w:rPr>
          <w:t>/CP.27</w:t>
        </w:r>
      </w:hyperlink>
      <w:r w:rsidRPr="00B4036A">
        <w:tab/>
      </w:r>
      <w:r w:rsidR="00E530DB" w:rsidRPr="00B4036A">
        <w:t>Intermediate review of the implementation of the gender action plan</w:t>
      </w:r>
      <w:r w:rsidR="00E530DB" w:rsidRPr="00B4036A">
        <w:tab/>
      </w:r>
      <w:r w:rsidR="00251490" w:rsidRPr="00B4036A">
        <w:tab/>
        <w:t>2</w:t>
      </w:r>
    </w:p>
    <w:p w14:paraId="7238378B" w14:textId="6789E505" w:rsidR="0061545A" w:rsidRPr="00B4036A" w:rsidRDefault="0061545A" w:rsidP="00392448">
      <w:pPr>
        <w:pStyle w:val="TOC1"/>
      </w:pPr>
      <w:r w:rsidRPr="00B4036A">
        <w:tab/>
      </w:r>
      <w:r w:rsidRPr="00B4036A">
        <w:tab/>
      </w:r>
      <w:hyperlink w:anchor="Decision_25" w:history="1">
        <w:r w:rsidRPr="00B4036A">
          <w:rPr>
            <w:rStyle w:val="Hyperlink"/>
          </w:rPr>
          <w:t>25/CP.27</w:t>
        </w:r>
      </w:hyperlink>
      <w:r w:rsidRPr="00B4036A">
        <w:tab/>
      </w:r>
      <w:r w:rsidR="00330110" w:rsidRPr="00B4036A">
        <w:t>Dates and venues of future sessions</w:t>
      </w:r>
      <w:r w:rsidR="00330110" w:rsidRPr="00B4036A">
        <w:tab/>
      </w:r>
      <w:r w:rsidR="00251490" w:rsidRPr="00B4036A">
        <w:tab/>
        <w:t>7</w:t>
      </w:r>
    </w:p>
    <w:p w14:paraId="19696BB8" w14:textId="5151AFA8" w:rsidR="00330110" w:rsidRPr="00B4036A" w:rsidRDefault="00AD47D2" w:rsidP="00392448">
      <w:pPr>
        <w:pStyle w:val="TOC1"/>
      </w:pPr>
      <w:r w:rsidRPr="00B4036A">
        <w:tab/>
      </w:r>
      <w:r w:rsidRPr="00B4036A">
        <w:tab/>
      </w:r>
      <w:hyperlink w:anchor="Decision_26" w:history="1">
        <w:r w:rsidRPr="00B4036A">
          <w:rPr>
            <w:rStyle w:val="Hyperlink"/>
          </w:rPr>
          <w:t>26/CP.27</w:t>
        </w:r>
      </w:hyperlink>
      <w:r w:rsidRPr="00B4036A">
        <w:tab/>
        <w:t>Administrative, financial and institutional matters</w:t>
      </w:r>
      <w:r w:rsidRPr="00B4036A">
        <w:tab/>
      </w:r>
      <w:r w:rsidR="00251490" w:rsidRPr="00B4036A">
        <w:tab/>
        <w:t>9</w:t>
      </w:r>
    </w:p>
    <w:p w14:paraId="18CAB9FA" w14:textId="413DCBD2" w:rsidR="00AD47D2" w:rsidRPr="00B4036A" w:rsidRDefault="00AD47D2" w:rsidP="00392448">
      <w:pPr>
        <w:pStyle w:val="TOC1"/>
      </w:pPr>
      <w:r w:rsidRPr="00B4036A">
        <w:tab/>
      </w:r>
      <w:r w:rsidRPr="00B4036A">
        <w:tab/>
      </w:r>
      <w:hyperlink w:anchor="Decision_27" w:history="1">
        <w:r w:rsidRPr="00B4036A">
          <w:rPr>
            <w:rStyle w:val="Hyperlink"/>
          </w:rPr>
          <w:t>27/CP.27</w:t>
        </w:r>
      </w:hyperlink>
      <w:r w:rsidRPr="00B4036A">
        <w:tab/>
        <w:t>Administrative, financial and institutional matters</w:t>
      </w:r>
      <w:r w:rsidR="00F74E4E" w:rsidRPr="00B4036A">
        <w:tab/>
      </w:r>
      <w:r w:rsidR="00251490" w:rsidRPr="00B4036A">
        <w:tab/>
        <w:t>16</w:t>
      </w:r>
    </w:p>
    <w:p w14:paraId="10A1238C" w14:textId="033A8D35" w:rsidR="00AD47D2" w:rsidRPr="00B4036A" w:rsidRDefault="00AD47D2" w:rsidP="00F74E4E">
      <w:pPr>
        <w:tabs>
          <w:tab w:val="left" w:pos="1134"/>
          <w:tab w:val="right" w:pos="9638"/>
        </w:tabs>
        <w:spacing w:after="120"/>
        <w:ind w:left="283"/>
        <w:rPr>
          <w:i/>
          <w:sz w:val="18"/>
        </w:rPr>
      </w:pPr>
      <w:r w:rsidRPr="00B4036A">
        <w:rPr>
          <w:i/>
          <w:sz w:val="18"/>
        </w:rPr>
        <w:tab/>
      </w:r>
      <w:r w:rsidR="00F74E4E" w:rsidRPr="00B4036A">
        <w:rPr>
          <w:i/>
          <w:sz w:val="18"/>
        </w:rPr>
        <w:t>Resolution</w:t>
      </w:r>
      <w:r w:rsidRPr="00B4036A">
        <w:rPr>
          <w:i/>
          <w:sz w:val="18"/>
        </w:rPr>
        <w:tab/>
      </w:r>
    </w:p>
    <w:p w14:paraId="1C2832BC" w14:textId="6C036E3F" w:rsidR="00392448" w:rsidRPr="00B4036A" w:rsidRDefault="00392448" w:rsidP="00392448">
      <w:pPr>
        <w:pStyle w:val="TOC1"/>
      </w:pPr>
      <w:r w:rsidRPr="00B4036A">
        <w:rPr>
          <w:i/>
        </w:rPr>
        <w:tab/>
      </w:r>
      <w:r w:rsidRPr="00B4036A">
        <w:rPr>
          <w:i/>
        </w:rPr>
        <w:tab/>
      </w:r>
      <w:hyperlink w:anchor="Resolution" w:history="1">
        <w:r w:rsidRPr="00B4036A">
          <w:rPr>
            <w:rStyle w:val="Hyperlink"/>
          </w:rPr>
          <w:t>1/CP.27</w:t>
        </w:r>
      </w:hyperlink>
      <w:r w:rsidRPr="00B4036A">
        <w:tab/>
      </w:r>
      <w:r w:rsidR="005B28E9" w:rsidRPr="00B4036A">
        <w:t xml:space="preserve">Expression of gratitude to the Government of the Arab Republic of Egypt and </w:t>
      </w:r>
      <w:r w:rsidR="005B28E9" w:rsidRPr="00B4036A">
        <w:br/>
      </w:r>
      <w:r w:rsidR="005B28E9" w:rsidRPr="00B4036A">
        <w:tab/>
      </w:r>
      <w:r w:rsidR="005B28E9" w:rsidRPr="00B4036A">
        <w:tab/>
      </w:r>
      <w:r w:rsidR="005B28E9" w:rsidRPr="00B4036A">
        <w:tab/>
      </w:r>
      <w:r w:rsidR="005B28E9" w:rsidRPr="00B4036A">
        <w:tab/>
        <w:t>the people of the city of Sharm el-Sheikh</w:t>
      </w:r>
      <w:r w:rsidR="005B28E9" w:rsidRPr="00B4036A">
        <w:tab/>
      </w:r>
      <w:r w:rsidR="00251490" w:rsidRPr="00B4036A">
        <w:tab/>
        <w:t>18</w:t>
      </w:r>
    </w:p>
    <w:p w14:paraId="5E51E50F" w14:textId="77777777" w:rsidR="00E530DB" w:rsidRPr="00B4036A" w:rsidRDefault="00E530DB" w:rsidP="000A16FA">
      <w:pPr>
        <w:suppressAutoHyphens w:val="0"/>
        <w:spacing w:line="240" w:lineRule="auto"/>
      </w:pPr>
    </w:p>
    <w:p w14:paraId="55C079A2" w14:textId="77777777" w:rsidR="00365BEB" w:rsidRPr="00B4036A" w:rsidRDefault="00365BEB">
      <w:pPr>
        <w:suppressAutoHyphens w:val="0"/>
        <w:spacing w:line="240" w:lineRule="auto"/>
        <w:sectPr w:rsidR="00365BEB" w:rsidRPr="00B4036A" w:rsidSect="001E1C7F">
          <w:headerReference w:type="even" r:id="rId13"/>
          <w:headerReference w:type="default" r:id="rId14"/>
          <w:footerReference w:type="even" r:id="rId15"/>
          <w:footerReference w:type="default" r:id="rId16"/>
          <w:headerReference w:type="first" r:id="rId17"/>
          <w:footnotePr>
            <w:numRestart w:val="eachSect"/>
          </w:footnotePr>
          <w:pgSz w:w="11906" w:h="16838" w:code="9"/>
          <w:pgMar w:top="1417" w:right="1134" w:bottom="1134" w:left="1134" w:header="850" w:footer="567" w:gutter="0"/>
          <w:cols w:space="708"/>
          <w:titlePg/>
          <w:docGrid w:linePitch="360"/>
        </w:sectPr>
      </w:pPr>
    </w:p>
    <w:p w14:paraId="26237C82" w14:textId="1BCAF3F3" w:rsidR="00562C67" w:rsidRPr="00B4036A" w:rsidRDefault="00562C67" w:rsidP="00562C67">
      <w:pPr>
        <w:pStyle w:val="HChG"/>
      </w:pPr>
      <w:r w:rsidRPr="00B4036A">
        <w:lastRenderedPageBreak/>
        <w:tab/>
      </w:r>
      <w:r w:rsidRPr="00B4036A">
        <w:tab/>
      </w:r>
      <w:bookmarkStart w:id="1" w:name="Decision_24"/>
      <w:r w:rsidRPr="00B4036A">
        <w:t>Decision 24/CP.27</w:t>
      </w:r>
      <w:bookmarkEnd w:id="1"/>
    </w:p>
    <w:p w14:paraId="5E67FB95" w14:textId="3C5457D5" w:rsidR="008A2E39" w:rsidRPr="00B4036A" w:rsidRDefault="00562C67" w:rsidP="008A2E39">
      <w:pPr>
        <w:pStyle w:val="HChG"/>
      </w:pPr>
      <w:r w:rsidRPr="00B4036A">
        <w:tab/>
      </w:r>
      <w:r w:rsidRPr="00B4036A">
        <w:tab/>
      </w:r>
      <w:r w:rsidR="008A2E39" w:rsidRPr="00B4036A">
        <w:tab/>
        <w:t>Intermediate review of the implementation of the gender action plan</w:t>
      </w:r>
    </w:p>
    <w:p w14:paraId="562B79BD" w14:textId="69DB0280" w:rsidR="008A2E39" w:rsidRPr="00B4036A" w:rsidRDefault="00840E92" w:rsidP="000C0EEA">
      <w:pPr>
        <w:pStyle w:val="RegSingleTxtG"/>
        <w:numPr>
          <w:ilvl w:val="0"/>
          <w:numId w:val="0"/>
        </w:numPr>
        <w:tabs>
          <w:tab w:val="clear" w:pos="1701"/>
        </w:tabs>
        <w:ind w:left="1134" w:firstLine="567"/>
      </w:pPr>
      <w:r w:rsidRPr="00B4036A">
        <w:rPr>
          <w:i/>
        </w:rPr>
        <w:tab/>
      </w:r>
      <w:r w:rsidR="008A2E39" w:rsidRPr="00B4036A">
        <w:rPr>
          <w:i/>
        </w:rPr>
        <w:t>The Conference of the Parties</w:t>
      </w:r>
      <w:r w:rsidR="008A2E39" w:rsidRPr="00B4036A">
        <w:t>,</w:t>
      </w:r>
    </w:p>
    <w:p w14:paraId="5CEA361A" w14:textId="77777777" w:rsidR="008A2E39" w:rsidRPr="00B4036A" w:rsidRDefault="008A2E39" w:rsidP="000C0EEA">
      <w:pPr>
        <w:pStyle w:val="RegSingleTxtG"/>
        <w:numPr>
          <w:ilvl w:val="0"/>
          <w:numId w:val="0"/>
        </w:numPr>
        <w:tabs>
          <w:tab w:val="clear" w:pos="1701"/>
        </w:tabs>
        <w:ind w:left="1134" w:firstLine="567"/>
      </w:pPr>
      <w:r w:rsidRPr="00B4036A">
        <w:rPr>
          <w:i/>
        </w:rPr>
        <w:tab/>
      </w:r>
      <w:r w:rsidRPr="00B4036A">
        <w:rPr>
          <w:i/>
          <w:iCs/>
        </w:rPr>
        <w:t>Recalling</w:t>
      </w:r>
      <w:r w:rsidRPr="00B4036A">
        <w:t xml:space="preserve"> decisions 36/CP.7, 1/CP.16, 23/CP.18, 18/CP.20, 1/CP.21, 21/CP.22, 3/CP.23, 3/CP.25 and 20/CP.26, the Paris Agreement and the Katowice climate package,</w:t>
      </w:r>
    </w:p>
    <w:p w14:paraId="202A799C" w14:textId="3A69630E" w:rsidR="008A2E39" w:rsidRPr="00B4036A" w:rsidRDefault="008A2E39" w:rsidP="00EA7077">
      <w:pPr>
        <w:pStyle w:val="RegSingleTxtG"/>
        <w:numPr>
          <w:ilvl w:val="0"/>
          <w:numId w:val="0"/>
        </w:numPr>
        <w:tabs>
          <w:tab w:val="clear" w:pos="1701"/>
        </w:tabs>
        <w:ind w:left="1134" w:firstLine="567"/>
      </w:pPr>
      <w:r w:rsidRPr="00B4036A">
        <w:tab/>
      </w:r>
      <w:r w:rsidRPr="00B4036A">
        <w:rPr>
          <w:i/>
        </w:rPr>
        <w:t>Acknowledging</w:t>
      </w:r>
      <w:r w:rsidRPr="00B4036A">
        <w:t xml:space="preserve"> the important role of the enhanced Lima </w:t>
      </w:r>
      <w:r w:rsidRPr="00B4036A">
        <w:rPr>
          <w:lang w:val="en-US"/>
        </w:rPr>
        <w:t>work</w:t>
      </w:r>
      <w:r w:rsidRPr="00B4036A">
        <w:t xml:space="preserve"> programme on gender and its gender action plan</w:t>
      </w:r>
      <w:r w:rsidRPr="00B4036A">
        <w:rPr>
          <w:rStyle w:val="FootnoteReference"/>
        </w:rPr>
        <w:footnoteReference w:id="2"/>
      </w:r>
      <w:r w:rsidRPr="00B4036A">
        <w:t xml:space="preserve"> in advancing gender equality and the empowerment of women and girls in the UNFCCC process,</w:t>
      </w:r>
    </w:p>
    <w:p w14:paraId="18881A4F" w14:textId="7809DF82" w:rsidR="008A2E39" w:rsidRPr="00B4036A" w:rsidRDefault="008A2E39" w:rsidP="00EA7077">
      <w:pPr>
        <w:pStyle w:val="RegSingleTxtG"/>
        <w:numPr>
          <w:ilvl w:val="0"/>
          <w:numId w:val="0"/>
        </w:numPr>
        <w:tabs>
          <w:tab w:val="clear" w:pos="1701"/>
        </w:tabs>
        <w:ind w:left="1134" w:firstLine="567"/>
        <w:rPr>
          <w:iCs/>
        </w:rPr>
      </w:pPr>
      <w:r w:rsidRPr="00B4036A">
        <w:rPr>
          <w:i/>
        </w:rPr>
        <w:tab/>
        <w:t xml:space="preserve">Recognizing </w:t>
      </w:r>
      <w:r w:rsidRPr="00B4036A">
        <w:rPr>
          <w:iCs/>
        </w:rPr>
        <w:t xml:space="preserve">that the full, meaningful and equal participation and leadership of women in all aspects of the UNFCCC process and in </w:t>
      </w:r>
      <w:r w:rsidRPr="00B4036A">
        <w:t>national</w:t>
      </w:r>
      <w:r w:rsidRPr="00B4036A">
        <w:rPr>
          <w:iCs/>
        </w:rPr>
        <w:t xml:space="preserve">- and local-level climate policymaking and action is vital to achieving long-term climate goals, while noting the importance of mainstreaming a gender perspective in respective workstreams of the UNFCCC process, </w:t>
      </w:r>
    </w:p>
    <w:p w14:paraId="38660ADD" w14:textId="2DD06CBF" w:rsidR="008A2E39" w:rsidRPr="00B4036A" w:rsidRDefault="008A2E39" w:rsidP="0035303C">
      <w:pPr>
        <w:pStyle w:val="RegSingleTxtG"/>
        <w:numPr>
          <w:ilvl w:val="5"/>
          <w:numId w:val="0"/>
        </w:numPr>
        <w:tabs>
          <w:tab w:val="clear" w:pos="1701"/>
        </w:tabs>
        <w:ind w:left="1134" w:firstLine="567"/>
        <w:rPr>
          <w:iCs/>
        </w:rPr>
      </w:pPr>
      <w:r w:rsidRPr="00B4036A">
        <w:rPr>
          <w:i/>
        </w:rPr>
        <w:tab/>
        <w:t xml:space="preserve">Noting with appreciation </w:t>
      </w:r>
      <w:r w:rsidRPr="00B4036A">
        <w:t xml:space="preserve">the contributions received in support of the work </w:t>
      </w:r>
      <w:r w:rsidRPr="00B4036A">
        <w:rPr>
          <w:iCs/>
        </w:rPr>
        <w:t>undertaken</w:t>
      </w:r>
      <w:r w:rsidRPr="00B4036A">
        <w:t xml:space="preserve"> </w:t>
      </w:r>
      <w:r w:rsidRPr="00B4036A">
        <w:rPr>
          <w:iCs/>
        </w:rPr>
        <w:t>since implementation of the enhanced Lima work programme on gender and its gender action plan commenced,</w:t>
      </w:r>
    </w:p>
    <w:p w14:paraId="3DBB82AC" w14:textId="77777777" w:rsidR="008A2E39" w:rsidRPr="00B4036A" w:rsidRDefault="008A2E39" w:rsidP="00EA7077">
      <w:pPr>
        <w:pStyle w:val="RegSingleTxtG"/>
        <w:rPr>
          <w:i/>
        </w:rPr>
      </w:pPr>
      <w:r w:rsidRPr="00B4036A">
        <w:rPr>
          <w:i/>
        </w:rPr>
        <w:t>Notes with appreciation</w:t>
      </w:r>
      <w:r w:rsidRPr="00B4036A">
        <w:t xml:space="preserve"> the efforts of the secretariat to follow an inclusive approach to responding to the challenges arising from the coronavirus disease 2019 pandemic through frequent communication with Parties and national gender and climate change focal points and the organization of online workshops fulfilling mandated activities; </w:t>
      </w:r>
    </w:p>
    <w:p w14:paraId="5D90D7C6" w14:textId="77777777" w:rsidR="008A2E39" w:rsidRPr="00B4036A" w:rsidRDefault="008A2E39" w:rsidP="007C05B6">
      <w:pPr>
        <w:pStyle w:val="RegSingleTxtG"/>
        <w:rPr>
          <w:rFonts w:eastAsia="Times New Roman"/>
          <w:i/>
          <w:iCs/>
        </w:rPr>
      </w:pPr>
      <w:r w:rsidRPr="00B4036A">
        <w:rPr>
          <w:i/>
        </w:rPr>
        <w:t>Recognizes with concern</w:t>
      </w:r>
      <w:r w:rsidRPr="00B4036A">
        <w:t xml:space="preserve"> the unprecedented crisis caused by the</w:t>
      </w:r>
      <w:r w:rsidRPr="00B4036A" w:rsidDel="0002750F">
        <w:t xml:space="preserve"> coronavirus disease 2019</w:t>
      </w:r>
      <w:r w:rsidRPr="00B4036A">
        <w:t xml:space="preserve"> pandemic, the uneven nature of the global response to</w:t>
      </w:r>
      <w:r w:rsidRPr="00B4036A" w:rsidDel="00812F9F">
        <w:t xml:space="preserve"> the pandemic</w:t>
      </w:r>
      <w:r w:rsidRPr="00B4036A">
        <w:t xml:space="preserve"> and the pandemic’s multifaceted effects on all spheres of society, including the deepening of pre-existing inequalities, including gender inequality, and resulting vulnerabilities, which negatively </w:t>
      </w:r>
      <w:r w:rsidRPr="00B4036A" w:rsidDel="00D53569">
        <w:t>impacted</w:t>
      </w:r>
      <w:r w:rsidRPr="00B4036A">
        <w:t xml:space="preserve"> the implementation of the gender action plan, which has negatively </w:t>
      </w:r>
      <w:r w:rsidRPr="00B4036A" w:rsidDel="00D417D4">
        <w:t>impacted</w:t>
      </w:r>
      <w:r w:rsidRPr="00B4036A">
        <w:t xml:space="preserve"> the implementation of effective gender-responsive climate action, and </w:t>
      </w:r>
      <w:r w:rsidRPr="00B4036A">
        <w:rPr>
          <w:i/>
        </w:rPr>
        <w:t>urges</w:t>
      </w:r>
      <w:r w:rsidRPr="00B4036A">
        <w:t xml:space="preserve"> Parties to accelerate their efforts to advance implementation of the enhanced Lima work programme on gender and its gender action plan;</w:t>
      </w:r>
    </w:p>
    <w:p w14:paraId="18B2B839" w14:textId="77777777" w:rsidR="008A2E39" w:rsidRPr="00B4036A" w:rsidRDefault="008A2E39" w:rsidP="007C05B6">
      <w:pPr>
        <w:pStyle w:val="RegSingleTxtG"/>
      </w:pPr>
      <w:r w:rsidRPr="00B4036A">
        <w:rPr>
          <w:i/>
          <w:iCs/>
        </w:rPr>
        <w:t>Notes</w:t>
      </w:r>
      <w:r w:rsidRPr="00B4036A">
        <w:rPr>
          <w:i/>
        </w:rPr>
        <w:t xml:space="preserve"> </w:t>
      </w:r>
      <w:r w:rsidRPr="00B4036A">
        <w:t>the compilation and synthesis report by the secretariat on good practices for integrating gender into the work of the UNFCCC constituted bodies</w:t>
      </w:r>
      <w:r w:rsidRPr="00B4036A">
        <w:rPr>
          <w:rStyle w:val="FootnoteReference"/>
        </w:rPr>
        <w:footnoteReference w:id="3"/>
      </w:r>
      <w:r w:rsidRPr="00B4036A">
        <w:rPr>
          <w:iCs/>
        </w:rPr>
        <w:t xml:space="preserve"> </w:t>
      </w:r>
      <w:r w:rsidRPr="00B4036A">
        <w:t>and</w:t>
      </w:r>
      <w:r w:rsidRPr="00B4036A">
        <w:rPr>
          <w:i/>
        </w:rPr>
        <w:t xml:space="preserve"> notes with appreciation</w:t>
      </w:r>
      <w:r w:rsidRPr="00B4036A">
        <w:t xml:space="preserve"> the work of</w:t>
      </w:r>
      <w:r w:rsidRPr="00B4036A">
        <w:rPr>
          <w:szCs w:val="18"/>
        </w:rPr>
        <w:t xml:space="preserve"> </w:t>
      </w:r>
      <w:r w:rsidRPr="00B4036A">
        <w:t xml:space="preserve">the constituted bodies </w:t>
      </w:r>
      <w:r w:rsidRPr="00B4036A">
        <w:rPr>
          <w:szCs w:val="18"/>
        </w:rPr>
        <w:t xml:space="preserve">in advancing gender equality and the empowerment of </w:t>
      </w:r>
      <w:r w:rsidRPr="00B4036A">
        <w:t>women</w:t>
      </w:r>
      <w:r w:rsidRPr="00B4036A">
        <w:rPr>
          <w:szCs w:val="18"/>
        </w:rPr>
        <w:t xml:space="preserve"> and contributing to the implementation of the gender action plan, including at the national level;</w:t>
      </w:r>
    </w:p>
    <w:p w14:paraId="1B522EC3" w14:textId="2203B793" w:rsidR="008A2E39" w:rsidRPr="00B4036A" w:rsidRDefault="008C14A2" w:rsidP="007C05B6">
      <w:pPr>
        <w:pStyle w:val="RegSingleTxtG"/>
        <w:rPr>
          <w:i/>
        </w:rPr>
      </w:pPr>
      <w:r w:rsidRPr="00B4036A">
        <w:rPr>
          <w:i/>
        </w:rPr>
        <w:t>N</w:t>
      </w:r>
      <w:r w:rsidR="008A2E39" w:rsidRPr="00B4036A">
        <w:rPr>
          <w:i/>
        </w:rPr>
        <w:t xml:space="preserve">otes </w:t>
      </w:r>
      <w:r w:rsidR="008A2E39" w:rsidRPr="00B4036A">
        <w:rPr>
          <w:iCs/>
        </w:rPr>
        <w:t>the</w:t>
      </w:r>
      <w:r w:rsidR="008A2E39" w:rsidRPr="00B4036A">
        <w:t xml:space="preserve"> synthesis report by the secretariat on dimensions and examples of the gender-differentiated impacts of climate change, the role of women as agents of change and opportunities for women</w:t>
      </w:r>
      <w:r w:rsidR="008A2E39" w:rsidRPr="00B4036A">
        <w:rPr>
          <w:rStyle w:val="FootnoteReference"/>
        </w:rPr>
        <w:footnoteReference w:id="4"/>
      </w:r>
      <w:r w:rsidR="008A2E39" w:rsidRPr="00B4036A">
        <w:t xml:space="preserve"> and </w:t>
      </w:r>
      <w:r w:rsidR="008A2E39" w:rsidRPr="00B4036A">
        <w:rPr>
          <w:i/>
        </w:rPr>
        <w:t>encourages</w:t>
      </w:r>
      <w:r w:rsidR="008A2E39" w:rsidRPr="00B4036A">
        <w:t xml:space="preserve"> Parties and relevant organizations to strengthen the use of sex-disaggregated data and gender analysis in implementing climate policies, plans, strategies and action;</w:t>
      </w:r>
    </w:p>
    <w:p w14:paraId="3AD8B054" w14:textId="5944AADC" w:rsidR="008A2E39" w:rsidRPr="00B4036A" w:rsidRDefault="008A2E39" w:rsidP="007C05B6">
      <w:pPr>
        <w:pStyle w:val="RegSingleTxtG"/>
        <w:rPr>
          <w:i/>
        </w:rPr>
      </w:pPr>
      <w:r w:rsidRPr="00B4036A">
        <w:rPr>
          <w:i/>
          <w:iCs/>
        </w:rPr>
        <w:t xml:space="preserve">Notes with appreciation </w:t>
      </w:r>
      <w:r w:rsidRPr="00B4036A">
        <w:rPr>
          <w:iCs/>
        </w:rPr>
        <w:t>the</w:t>
      </w:r>
      <w:r w:rsidRPr="00B4036A">
        <w:t xml:space="preserve"> informal report by the secretariat on the in-session workshop on the role of national gender and climate change focal points</w:t>
      </w:r>
      <w:r w:rsidRPr="00B4036A">
        <w:rPr>
          <w:rStyle w:val="FootnoteReference"/>
          <w:rFonts w:eastAsia="Times New Roman"/>
          <w:color w:val="000000"/>
        </w:rPr>
        <w:footnoteReference w:id="5"/>
      </w:r>
      <w:r w:rsidRPr="00B4036A">
        <w:t xml:space="preserve"> and, </w:t>
      </w:r>
      <w:r w:rsidRPr="00B4036A">
        <w:rPr>
          <w:iCs/>
        </w:rPr>
        <w:t>taking into account the evolving and Party-</w:t>
      </w:r>
      <w:r w:rsidRPr="00B4036A">
        <w:t>driven</w:t>
      </w:r>
      <w:r w:rsidRPr="00B4036A">
        <w:rPr>
          <w:iCs/>
        </w:rPr>
        <w:t xml:space="preserve"> </w:t>
      </w:r>
      <w:r w:rsidRPr="00B4036A">
        <w:t>nature</w:t>
      </w:r>
      <w:r w:rsidRPr="00B4036A">
        <w:rPr>
          <w:iCs/>
        </w:rPr>
        <w:t xml:space="preserve"> of the </w:t>
      </w:r>
      <w:r w:rsidRPr="00B4036A">
        <w:t>work</w:t>
      </w:r>
      <w:r w:rsidRPr="00B4036A">
        <w:rPr>
          <w:iCs/>
        </w:rPr>
        <w:t xml:space="preserve"> and role of such focal points, </w:t>
      </w:r>
      <w:r w:rsidRPr="00B4036A">
        <w:rPr>
          <w:i/>
          <w:iCs/>
        </w:rPr>
        <w:t>also notes with appreciation</w:t>
      </w:r>
      <w:r w:rsidRPr="00B4036A">
        <w:rPr>
          <w:iCs/>
        </w:rPr>
        <w:t xml:space="preserve"> the identification of enablers to facilitate the national gender and climate change focal points</w:t>
      </w:r>
      <w:r w:rsidR="0060697A" w:rsidRPr="00B4036A">
        <w:rPr>
          <w:iCs/>
        </w:rPr>
        <w:t xml:space="preserve"> in</w:t>
      </w:r>
      <w:r w:rsidRPr="00B4036A">
        <w:rPr>
          <w:iCs/>
        </w:rPr>
        <w:t xml:space="preserve"> </w:t>
      </w:r>
      <w:r w:rsidR="00BB3213" w:rsidRPr="00B4036A">
        <w:rPr>
          <w:iCs/>
        </w:rPr>
        <w:t xml:space="preserve">carrying </w:t>
      </w:r>
      <w:r w:rsidRPr="00B4036A">
        <w:rPr>
          <w:iCs/>
        </w:rPr>
        <w:t>out their role, according to national circumstances;</w:t>
      </w:r>
    </w:p>
    <w:p w14:paraId="25F156EA" w14:textId="77777777" w:rsidR="008A2E39" w:rsidRPr="00B4036A" w:rsidRDefault="008A2E39" w:rsidP="007C05B6">
      <w:pPr>
        <w:pStyle w:val="RegSingleTxtG"/>
      </w:pPr>
      <w:r w:rsidRPr="00B4036A">
        <w:rPr>
          <w:i/>
          <w:iCs/>
        </w:rPr>
        <w:lastRenderedPageBreak/>
        <w:t xml:space="preserve">Further notes with appreciation </w:t>
      </w:r>
      <w:r w:rsidRPr="00B4036A">
        <w:rPr>
          <w:iCs/>
        </w:rPr>
        <w:t>the</w:t>
      </w:r>
      <w:r w:rsidRPr="00B4036A">
        <w:t xml:space="preserve"> synthesis report by the secretariat on the implementation of the activities contained in the gender action plan,</w:t>
      </w:r>
      <w:r w:rsidRPr="00B4036A">
        <w:rPr>
          <w:szCs w:val="18"/>
        </w:rPr>
        <w:t xml:space="preserve"> </w:t>
      </w:r>
      <w:r w:rsidRPr="00B4036A">
        <w:t>areas for improvement and further work to be undertaken;</w:t>
      </w:r>
      <w:r w:rsidRPr="00B4036A">
        <w:rPr>
          <w:rStyle w:val="FootnoteReference"/>
        </w:rPr>
        <w:footnoteReference w:id="6"/>
      </w:r>
    </w:p>
    <w:p w14:paraId="36A02507" w14:textId="383F3A9F" w:rsidR="008A2E39" w:rsidRPr="00B4036A" w:rsidRDefault="008A2E39" w:rsidP="007C05B6">
      <w:pPr>
        <w:pStyle w:val="RegSingleTxtG"/>
      </w:pPr>
      <w:bookmarkStart w:id="2" w:name="_Ref119015266"/>
      <w:r w:rsidRPr="00B4036A">
        <w:rPr>
          <w:i/>
          <w:iCs/>
        </w:rPr>
        <w:t xml:space="preserve">Notes </w:t>
      </w:r>
      <w:r w:rsidRPr="00B4036A">
        <w:t>the technical paper prepared by the International Labour Organization exploring linkages between gender-responsive climate action and just transition for promoting inclusive opportunities for all in a low-emission economy</w:t>
      </w:r>
      <w:r w:rsidRPr="00B4036A">
        <w:rPr>
          <w:vertAlign w:val="superscript"/>
        </w:rPr>
        <w:footnoteReference w:id="7"/>
      </w:r>
      <w:r w:rsidRPr="00B4036A">
        <w:t xml:space="preserve"> and </w:t>
      </w:r>
      <w:r w:rsidRPr="00B4036A">
        <w:rPr>
          <w:i/>
        </w:rPr>
        <w:t>invites</w:t>
      </w:r>
      <w:r w:rsidRPr="00B4036A">
        <w:t xml:space="preserve"> the International Labour Organization to consider organizing a workshop or dialogue focused on the same topic;</w:t>
      </w:r>
      <w:bookmarkEnd w:id="2"/>
    </w:p>
    <w:p w14:paraId="38B9451A" w14:textId="77777777" w:rsidR="008A2E39" w:rsidRPr="00B4036A" w:rsidRDefault="008A2E39" w:rsidP="007C05B6">
      <w:pPr>
        <w:pStyle w:val="RegSingleTxtG"/>
        <w:rPr>
          <w:lang w:eastAsia="es-MX"/>
        </w:rPr>
      </w:pPr>
      <w:r w:rsidRPr="00B4036A">
        <w:rPr>
          <w:i/>
        </w:rPr>
        <w:t>Welcomes</w:t>
      </w:r>
      <w:r w:rsidRPr="00B4036A">
        <w:t xml:space="preserve"> the contributions related to gender of Working Group II</w:t>
      </w:r>
      <w:r w:rsidRPr="00B4036A">
        <w:rPr>
          <w:rStyle w:val="FootnoteReference"/>
        </w:rPr>
        <w:footnoteReference w:id="8"/>
      </w:r>
      <w:r w:rsidRPr="00B4036A">
        <w:t xml:space="preserve"> and Working Group III</w:t>
      </w:r>
      <w:r w:rsidRPr="00B4036A">
        <w:rPr>
          <w:rStyle w:val="FootnoteReference"/>
        </w:rPr>
        <w:footnoteReference w:id="9"/>
      </w:r>
      <w:r w:rsidRPr="00B4036A">
        <w:t xml:space="preserve"> to the</w:t>
      </w:r>
      <w:r w:rsidRPr="00B4036A">
        <w:rPr>
          <w:iCs/>
        </w:rPr>
        <w:t xml:space="preserve"> Sixth Assessment </w:t>
      </w:r>
      <w:r w:rsidRPr="00B4036A">
        <w:t>Report</w:t>
      </w:r>
      <w:r w:rsidRPr="00B4036A">
        <w:rPr>
          <w:iCs/>
        </w:rPr>
        <w:t xml:space="preserve"> of the </w:t>
      </w:r>
      <w:r w:rsidRPr="00B4036A">
        <w:t>Intergovernmental</w:t>
      </w:r>
      <w:r w:rsidRPr="00B4036A">
        <w:rPr>
          <w:iCs/>
        </w:rPr>
        <w:t xml:space="preserve"> Panel on Climate Change;</w:t>
      </w:r>
      <w:r w:rsidRPr="00B4036A">
        <w:rPr>
          <w:rStyle w:val="FootnoteReference"/>
        </w:rPr>
        <w:t xml:space="preserve"> </w:t>
      </w:r>
    </w:p>
    <w:p w14:paraId="369CBBD4" w14:textId="77777777" w:rsidR="008A2E39" w:rsidRPr="00B4036A" w:rsidRDefault="008A2E39" w:rsidP="007C05B6">
      <w:pPr>
        <w:pStyle w:val="RegSingleTxtG"/>
      </w:pPr>
      <w:r w:rsidRPr="00B4036A">
        <w:tab/>
      </w:r>
      <w:r w:rsidRPr="00B4036A">
        <w:rPr>
          <w:i/>
          <w:iCs/>
        </w:rPr>
        <w:t xml:space="preserve">Underscores </w:t>
      </w:r>
      <w:r w:rsidRPr="00B4036A">
        <w:t>the need to promote efforts towards gender balance and improve inclusivity in the UNFCCC process by:</w:t>
      </w:r>
    </w:p>
    <w:p w14:paraId="35DE9580" w14:textId="77777777" w:rsidR="008A2E39" w:rsidRPr="00B4036A" w:rsidRDefault="008A2E39" w:rsidP="00483884">
      <w:pPr>
        <w:pStyle w:val="RegSingleTxtG2"/>
        <w:rPr>
          <w:rFonts w:ascii="Times New Roman,SimSun" w:eastAsia="Times New Roman,SimSun" w:hAnsi="Times New Roman,SimSun" w:cs="Times New Roman,SimSun"/>
        </w:rPr>
      </w:pPr>
      <w:r w:rsidRPr="00B4036A">
        <w:t>Inviting future Presidencies of the Conference of the Parties to nominate women as high-level climate champions;</w:t>
      </w:r>
    </w:p>
    <w:p w14:paraId="371A0F0A" w14:textId="77777777" w:rsidR="008A2E39" w:rsidRPr="00B4036A" w:rsidRDefault="008A2E39" w:rsidP="00483884">
      <w:pPr>
        <w:pStyle w:val="RegSingleTxtG2"/>
        <w:rPr>
          <w:rFonts w:ascii="Times New Roman,SimSun" w:eastAsia="Times New Roman,SimSun" w:hAnsi="Times New Roman,SimSun" w:cs="Times New Roman,SimSun"/>
          <w:i/>
          <w:iCs/>
        </w:rPr>
      </w:pPr>
      <w:r w:rsidRPr="00B4036A">
        <w:t xml:space="preserve">Inviting Parties to promote greater gender balance in national delegations in negotiation meetings under the UNFCCC, including in meetings on gender and climate change; </w:t>
      </w:r>
    </w:p>
    <w:p w14:paraId="7DBFCDAB" w14:textId="77777777" w:rsidR="008A2E39" w:rsidRPr="00B4036A" w:rsidRDefault="008A2E39" w:rsidP="00483884">
      <w:pPr>
        <w:pStyle w:val="RegSingleTxtG2"/>
        <w:rPr>
          <w:rFonts w:ascii="Times New Roman,SimSun" w:eastAsia="Times New Roman,SimSun" w:hAnsi="Times New Roman,SimSun" w:cs="Times New Roman,SimSun"/>
          <w:i/>
          <w:iCs/>
        </w:rPr>
      </w:pPr>
      <w:r w:rsidRPr="00B4036A">
        <w:t>Inviting the secretariat, relevant presiding officers and event organizers to promote gender-balanced events;</w:t>
      </w:r>
    </w:p>
    <w:p w14:paraId="42420D8F" w14:textId="77777777" w:rsidR="008A2E39" w:rsidRPr="00B4036A" w:rsidRDefault="008A2E39" w:rsidP="007C05B6">
      <w:pPr>
        <w:pStyle w:val="RegSingleTxtG"/>
      </w:pPr>
      <w:r w:rsidRPr="00B4036A">
        <w:rPr>
          <w:i/>
        </w:rPr>
        <w:t xml:space="preserve">Notes with appreciation </w:t>
      </w:r>
      <w:r w:rsidRPr="00B4036A">
        <w:t xml:space="preserve">the regional focus of the activities undertaken, including workshops and other initiatives that facilitate experience-sharing and knowledge exchange, in </w:t>
      </w:r>
      <w:r w:rsidRPr="00B4036A" w:rsidDel="00254EF6">
        <w:t xml:space="preserve">the </w:t>
      </w:r>
      <w:r w:rsidRPr="00B4036A">
        <w:t>two years since implementation of the gender action plan began;</w:t>
      </w:r>
    </w:p>
    <w:p w14:paraId="7B0F0B46" w14:textId="77777777" w:rsidR="008A2E39" w:rsidRPr="00B4036A" w:rsidRDefault="008A2E39" w:rsidP="007C05B6">
      <w:pPr>
        <w:pStyle w:val="RegSingleTxtG"/>
      </w:pPr>
      <w:r w:rsidRPr="00B4036A">
        <w:rPr>
          <w:i/>
        </w:rPr>
        <w:t>Encourages</w:t>
      </w:r>
      <w:r w:rsidRPr="00B4036A">
        <w:t xml:space="preserve"> </w:t>
      </w:r>
      <w:r w:rsidRPr="00B4036A" w:rsidDel="00254EF6">
        <w:t>Parties</w:t>
      </w:r>
      <w:r w:rsidRPr="00B4036A">
        <w:t>, the secretariat and relevant organizations to continue conducting activities under the gender action plan in a regionally focused manner, as appropriate, including by holding events during regional climate weeks and engaging other relevant stakeholders;</w:t>
      </w:r>
    </w:p>
    <w:p w14:paraId="0B3084F4" w14:textId="6CB8A96B" w:rsidR="008A2E39" w:rsidRPr="00B4036A" w:rsidRDefault="008A2E39" w:rsidP="007C05B6">
      <w:pPr>
        <w:pStyle w:val="RegSingleTxtG"/>
      </w:pPr>
      <w:r w:rsidRPr="00B4036A">
        <w:rPr>
          <w:i/>
          <w:iCs/>
        </w:rPr>
        <w:t>Also encourages</w:t>
      </w:r>
      <w:r w:rsidRPr="00B4036A">
        <w:t xml:space="preserve"> Parties and relevant public and private entities to strengthen the gender responsiveness of climate finance with a view to further building the capacity of women and for implementation work under the gender action plan, and in order to facilitate simplified access to climate finance for grass-roots women’s organizations as well as for indigenous peoples, especially women, and local communities</w:t>
      </w:r>
      <w:r w:rsidRPr="00B4036A" w:rsidDel="00635816">
        <w:t>;</w:t>
      </w:r>
    </w:p>
    <w:p w14:paraId="5F693651" w14:textId="77777777" w:rsidR="008A2E39" w:rsidRPr="00B4036A" w:rsidRDefault="008A2E39" w:rsidP="007C05B6">
      <w:pPr>
        <w:pStyle w:val="RegSingleTxtG"/>
      </w:pPr>
      <w:r w:rsidRPr="00B4036A">
        <w:rPr>
          <w:i/>
          <w:iCs/>
        </w:rPr>
        <w:t>Emphasizes</w:t>
      </w:r>
      <w:r w:rsidRPr="00B4036A">
        <w:t xml:space="preserve"> the urgency of scaled-up support for developing country Parties to implement the gender action plan, consistent with relevant provisions of the Convention and the Paris Agreement, including in relation to the UNFCCC gender action plan;</w:t>
      </w:r>
    </w:p>
    <w:p w14:paraId="6255ABAC" w14:textId="77777777" w:rsidR="008A2E39" w:rsidRPr="00B4036A" w:rsidRDefault="008A2E39" w:rsidP="007C05B6">
      <w:pPr>
        <w:pStyle w:val="RegSingleTxtG"/>
      </w:pPr>
      <w:r w:rsidRPr="00B4036A">
        <w:rPr>
          <w:i/>
        </w:rPr>
        <w:t>Encourages</w:t>
      </w:r>
      <w:r w:rsidRPr="00B4036A">
        <w:t xml:space="preserve"> Parties, the secretariat and relevant organizations, in implementing the gender action plan, to fully engage men and boys as agents and beneficiaries of change and as strategic partners and allies in achieving gender equality and the empowerment of all women and girls in the context of climate change;</w:t>
      </w:r>
    </w:p>
    <w:p w14:paraId="0BA7D50E" w14:textId="77777777" w:rsidR="008A2E39" w:rsidRPr="00B4036A" w:rsidRDefault="008A2E39" w:rsidP="007C05B6">
      <w:pPr>
        <w:pStyle w:val="RegSingleTxtG"/>
      </w:pPr>
      <w:r w:rsidRPr="00B4036A">
        <w:rPr>
          <w:i/>
          <w:iCs/>
        </w:rPr>
        <w:lastRenderedPageBreak/>
        <w:t>Also encourages</w:t>
      </w:r>
      <w:r w:rsidRPr="00B4036A">
        <w:t xml:space="preserve"> Parties to integrate the work of nominated national gender and climate change focal points into relevant national policymaking and decision-making structures and to consider the suggestions in the informal report referred to in paragraph 5 above with a view to strengthening their role;</w:t>
      </w:r>
    </w:p>
    <w:p w14:paraId="40A53F52" w14:textId="77777777" w:rsidR="008A2E39" w:rsidRPr="00B4036A" w:rsidRDefault="008A2E39" w:rsidP="007C05B6">
      <w:pPr>
        <w:pStyle w:val="RegSingleTxtG"/>
      </w:pPr>
      <w:bookmarkStart w:id="3" w:name="_Ref119015278"/>
      <w:r w:rsidRPr="00B4036A">
        <w:rPr>
          <w:i/>
        </w:rPr>
        <w:t xml:space="preserve">Requests </w:t>
      </w:r>
      <w:r w:rsidRPr="00B4036A">
        <w:t>the secretariat to support the attendance of national gender and climate change focal points at relevant mandated UNFCCC meetings, upon request and subject to available resources;</w:t>
      </w:r>
      <w:bookmarkEnd w:id="3"/>
    </w:p>
    <w:p w14:paraId="1E7B0056" w14:textId="77777777" w:rsidR="008A2E39" w:rsidRPr="00B4036A" w:rsidRDefault="008A2E39" w:rsidP="007C05B6">
      <w:pPr>
        <w:pStyle w:val="RegSingleTxtG"/>
      </w:pPr>
      <w:r w:rsidRPr="00B4036A">
        <w:rPr>
          <w:i/>
          <w:iCs/>
        </w:rPr>
        <w:t xml:space="preserve">Invites </w:t>
      </w:r>
      <w:r w:rsidRPr="00B4036A">
        <w:t>Parties, United Nations entities, constituted bodies, implementing entities and other relevant stakeholders to enhance implementation of</w:t>
      </w:r>
      <w:r w:rsidRPr="00B4036A" w:rsidDel="000D0715">
        <w:t xml:space="preserve"> the</w:t>
      </w:r>
      <w:r w:rsidRPr="00B4036A">
        <w:t xml:space="preserve"> gender action plan, including the amendments contained in the annex;</w:t>
      </w:r>
    </w:p>
    <w:p w14:paraId="6FC8AB05" w14:textId="77777777" w:rsidR="008A2E39" w:rsidRPr="00B4036A" w:rsidRDefault="008A2E39" w:rsidP="007C05B6">
      <w:pPr>
        <w:pStyle w:val="RegSingleTxtG"/>
      </w:pPr>
      <w:r w:rsidRPr="00B4036A">
        <w:rPr>
          <w:i/>
        </w:rPr>
        <w:t>Encourages</w:t>
      </w:r>
      <w:r w:rsidRPr="00B4036A">
        <w:t xml:space="preserve"> United Nations entities to cooperate with Parties on mainstreaming gender- and age-disaggregated data in their existing policies, enabling mechanisms and programmes, across all levels of governance, and to support Parties in directly applying the best available science in the collection and analysis of data sets, including on the impacts of extreme weather and slow onset events;</w:t>
      </w:r>
    </w:p>
    <w:p w14:paraId="0055DF79" w14:textId="77777777" w:rsidR="008A2E39" w:rsidRPr="00B4036A" w:rsidRDefault="008A2E39" w:rsidP="007C05B6">
      <w:pPr>
        <w:pStyle w:val="RegSingleTxtG"/>
      </w:pPr>
      <w:r w:rsidRPr="00B4036A">
        <w:rPr>
          <w:i/>
        </w:rPr>
        <w:t xml:space="preserve">Recalls </w:t>
      </w:r>
      <w:r w:rsidRPr="00B4036A">
        <w:t>the open call for submissions under activity D.5 of the gender action plan</w:t>
      </w:r>
      <w:r w:rsidRPr="00B4036A">
        <w:rPr>
          <w:rStyle w:val="FootnoteReference"/>
        </w:rPr>
        <w:footnoteReference w:id="10"/>
      </w:r>
      <w:r w:rsidRPr="00B4036A">
        <w:t xml:space="preserve"> and </w:t>
      </w:r>
      <w:r w:rsidRPr="00B4036A">
        <w:rPr>
          <w:i/>
        </w:rPr>
        <w:t>calls for</w:t>
      </w:r>
      <w:r w:rsidRPr="00B4036A">
        <w:t xml:space="preserve"> Parties and relevant organizations to continue to share experience in engaging women’s groups and national women and gender institutions in the process of developing, implementing and updating climate policies, plans, strategies and action, as appropriate, at all levels of governance;</w:t>
      </w:r>
    </w:p>
    <w:p w14:paraId="796AD3C9" w14:textId="77777777" w:rsidR="008A2E39" w:rsidRPr="00B4036A" w:rsidRDefault="008A2E39" w:rsidP="007C05B6">
      <w:pPr>
        <w:pStyle w:val="RegSingleTxtG"/>
      </w:pPr>
      <w:r w:rsidRPr="00B4036A">
        <w:rPr>
          <w:i/>
          <w:iCs/>
        </w:rPr>
        <w:t>Adopts</w:t>
      </w:r>
      <w:r w:rsidRPr="00B4036A">
        <w:t xml:space="preserve"> the amendments to the gender action plan contained in the annex;</w:t>
      </w:r>
    </w:p>
    <w:p w14:paraId="124BB405" w14:textId="4E20C3D4" w:rsidR="008A2E39" w:rsidRPr="00B4036A" w:rsidRDefault="008A2E39" w:rsidP="007C05B6">
      <w:pPr>
        <w:pStyle w:val="RegSingleTxtG"/>
      </w:pPr>
      <w:r w:rsidRPr="00B4036A">
        <w:rPr>
          <w:i/>
          <w:iCs/>
        </w:rPr>
        <w:t>Takes note</w:t>
      </w:r>
      <w:r w:rsidRPr="00B4036A">
        <w:t xml:space="preserve"> of the estimated budgetary implications of the activities to be undertaken by the secretariat referred to in paragraph 16 above and paragraphs 1, 6 and 7 </w:t>
      </w:r>
      <w:r w:rsidR="00267DC2" w:rsidRPr="00B4036A">
        <w:t>of</w:t>
      </w:r>
      <w:r w:rsidRPr="00B4036A">
        <w:t xml:space="preserve"> the annex;</w:t>
      </w:r>
    </w:p>
    <w:p w14:paraId="4EEB6C55" w14:textId="77777777" w:rsidR="008A2E39" w:rsidRPr="00B4036A" w:rsidRDefault="008A2E39" w:rsidP="007C05B6">
      <w:pPr>
        <w:pStyle w:val="RegSingleTxtG"/>
      </w:pPr>
      <w:r w:rsidRPr="00B4036A">
        <w:rPr>
          <w:i/>
        </w:rPr>
        <w:t>Requests</w:t>
      </w:r>
      <w:r w:rsidRPr="00B4036A">
        <w:t xml:space="preserve"> that the actions of the secretariat called for in this decision be undertaken subject to the availability of financial resources.</w:t>
      </w:r>
    </w:p>
    <w:p w14:paraId="7D45D830" w14:textId="3D3FAD62" w:rsidR="00A26D95" w:rsidRPr="00B4036A" w:rsidRDefault="00A26D95" w:rsidP="007C05B6">
      <w:pPr>
        <w:pStyle w:val="RegSingleTxtG"/>
        <w:sectPr w:rsidR="00A26D95" w:rsidRPr="00B4036A" w:rsidSect="005B2E19">
          <w:headerReference w:type="even" r:id="rId18"/>
          <w:headerReference w:type="default" r:id="rId19"/>
          <w:footerReference w:type="even" r:id="rId20"/>
          <w:footerReference w:type="default" r:id="rId21"/>
          <w:headerReference w:type="first" r:id="rId22"/>
          <w:footerReference w:type="first" r:id="rId23"/>
          <w:footnotePr>
            <w:numRestart w:val="eachSect"/>
          </w:footnotePr>
          <w:pgSz w:w="11906" w:h="16838" w:code="9"/>
          <w:pgMar w:top="1417" w:right="1134" w:bottom="1134" w:left="1134" w:header="850" w:footer="567" w:gutter="0"/>
          <w:cols w:space="708"/>
          <w:docGrid w:linePitch="360"/>
        </w:sectPr>
      </w:pPr>
    </w:p>
    <w:p w14:paraId="260FBBF5" w14:textId="7365E169" w:rsidR="00107EF4" w:rsidRPr="00B4036A" w:rsidRDefault="00107EF4" w:rsidP="006E275D">
      <w:pPr>
        <w:pStyle w:val="HChG"/>
      </w:pPr>
      <w:r w:rsidRPr="00B4036A">
        <w:lastRenderedPageBreak/>
        <w:t>Annex</w:t>
      </w:r>
    </w:p>
    <w:p w14:paraId="44AA671E" w14:textId="16C38373" w:rsidR="00107EF4" w:rsidRPr="00B4036A" w:rsidRDefault="00107EF4" w:rsidP="00780AEB">
      <w:pPr>
        <w:pStyle w:val="HChG"/>
        <w:tabs>
          <w:tab w:val="clear" w:pos="851"/>
        </w:tabs>
        <w:ind w:firstLine="0"/>
      </w:pPr>
      <w:r w:rsidRPr="00B4036A">
        <w:t>Amendments to the activities under the gender action plan</w:t>
      </w:r>
    </w:p>
    <w:p w14:paraId="77278A50" w14:textId="77777777" w:rsidR="008A2E39" w:rsidRPr="00B4036A" w:rsidDel="00FE6552" w:rsidRDefault="008A2E39" w:rsidP="00080E62">
      <w:pPr>
        <w:pStyle w:val="RegH1G"/>
        <w:numPr>
          <w:ilvl w:val="1"/>
          <w:numId w:val="10"/>
        </w:numPr>
      </w:pPr>
      <w:r w:rsidRPr="00B4036A">
        <w:t>C</w:t>
      </w:r>
      <w:r w:rsidRPr="00B4036A" w:rsidDel="00FE6552">
        <w:t>apacity-building, knowledge management and communication</w:t>
      </w:r>
    </w:p>
    <w:p w14:paraId="42F20C02" w14:textId="365170F6" w:rsidR="008A2E39" w:rsidRPr="00B4036A" w:rsidRDefault="008A2E39" w:rsidP="00080E62">
      <w:pPr>
        <w:pStyle w:val="RegSingleTxtG"/>
        <w:numPr>
          <w:ilvl w:val="5"/>
          <w:numId w:val="10"/>
        </w:numPr>
      </w:pPr>
      <w:r w:rsidRPr="00B4036A">
        <w:t>Under activity A.2 in table 1,</w:t>
      </w:r>
      <w:r w:rsidRPr="00B4036A">
        <w:rPr>
          <w:rStyle w:val="FootnoteReference"/>
          <w:sz w:val="20"/>
        </w:rPr>
        <w:footnoteReference w:id="11"/>
      </w:r>
      <w:r w:rsidRPr="00B4036A">
        <w:t xml:space="preserve"> add “leading: secretariat” and “contributing: United Nations Entity for Gender Equality and the Empowerment of Women, national gender and climate focal points” to the “responsibilities” column. The timeline is “prior to COP 28 (November–December 2023)”. The new deliverable/output is “dialogue with the United Nations Entity for Gender Equality and the Empowerment of Women, national gender and climate change focal points and other relevant stakeholders on how their work contributes to the achievement of the objectives of the gender action plan”. Level of implementation is “international”. </w:t>
      </w:r>
    </w:p>
    <w:p w14:paraId="5AC386C3" w14:textId="77777777" w:rsidR="008A2E39" w:rsidRPr="00B4036A" w:rsidDel="00841085" w:rsidRDefault="008A2E39" w:rsidP="00080E62">
      <w:pPr>
        <w:pStyle w:val="RegH1G"/>
        <w:numPr>
          <w:ilvl w:val="1"/>
          <w:numId w:val="10"/>
        </w:numPr>
      </w:pPr>
      <w:r w:rsidRPr="00B4036A">
        <w:t>G</w:t>
      </w:r>
      <w:r w:rsidRPr="00B4036A" w:rsidDel="00841085">
        <w:t>ender balance, participation and women’s leadership</w:t>
      </w:r>
    </w:p>
    <w:p w14:paraId="1A15BF1C" w14:textId="77777777" w:rsidR="008A2E39" w:rsidRPr="00B4036A" w:rsidRDefault="008A2E39" w:rsidP="00080E62">
      <w:pPr>
        <w:pStyle w:val="RegSingleTxtG"/>
        <w:numPr>
          <w:ilvl w:val="5"/>
          <w:numId w:val="10"/>
        </w:numPr>
        <w:rPr>
          <w:rFonts w:eastAsia="Times New Roman"/>
        </w:rPr>
      </w:pPr>
      <w:r w:rsidRPr="00B4036A">
        <w:t>Under activity B.1 in table 2,</w:t>
      </w:r>
      <w:r w:rsidRPr="00B4036A">
        <w:rPr>
          <w:rStyle w:val="FootnoteReference"/>
        </w:rPr>
        <w:footnoteReference w:id="12"/>
      </w:r>
      <w:r w:rsidRPr="00B4036A">
        <w:t xml:space="preserve"> add “including young women, indigenous women and women from local communities” after “women delegates” in the description of the activity. </w:t>
      </w:r>
    </w:p>
    <w:p w14:paraId="4F514799" w14:textId="77777777" w:rsidR="008A2E39" w:rsidRPr="00B4036A" w:rsidDel="00063961" w:rsidRDefault="008A2E39" w:rsidP="00080E62">
      <w:pPr>
        <w:pStyle w:val="RegH1G"/>
        <w:numPr>
          <w:ilvl w:val="1"/>
          <w:numId w:val="10"/>
        </w:numPr>
      </w:pPr>
      <w:r w:rsidRPr="00B4036A">
        <w:t>C</w:t>
      </w:r>
      <w:r w:rsidRPr="00B4036A" w:rsidDel="00063961">
        <w:t>oherence</w:t>
      </w:r>
    </w:p>
    <w:p w14:paraId="7C349BC9" w14:textId="77777777" w:rsidR="008A2E39" w:rsidRPr="00B4036A" w:rsidRDefault="008A2E39" w:rsidP="00080E62">
      <w:pPr>
        <w:pStyle w:val="RegSingleTxtG"/>
        <w:numPr>
          <w:ilvl w:val="5"/>
          <w:numId w:val="10"/>
        </w:numPr>
      </w:pPr>
      <w:r w:rsidRPr="00B4036A">
        <w:rPr>
          <w:iCs/>
        </w:rPr>
        <w:t xml:space="preserve">Under activity </w:t>
      </w:r>
      <w:r w:rsidRPr="00B4036A">
        <w:t>C.1 in table 3,</w:t>
      </w:r>
      <w:r w:rsidRPr="00B4036A">
        <w:rPr>
          <w:rStyle w:val="FootnoteReference"/>
        </w:rPr>
        <w:footnoteReference w:id="13"/>
      </w:r>
      <w:r w:rsidRPr="00B4036A">
        <w:t xml:space="preserve"> include “and existing” after “new” in the “deliverables/outputs” column.</w:t>
      </w:r>
    </w:p>
    <w:p w14:paraId="09495ABF" w14:textId="449F6441" w:rsidR="008A2E39" w:rsidRPr="00B4036A" w:rsidRDefault="008A2E39" w:rsidP="00080E62">
      <w:pPr>
        <w:pStyle w:val="RegSingleTxtG"/>
        <w:numPr>
          <w:ilvl w:val="5"/>
          <w:numId w:val="10"/>
        </w:numPr>
        <w:rPr>
          <w:iCs/>
        </w:rPr>
      </w:pPr>
      <w:r w:rsidRPr="00B4036A">
        <w:rPr>
          <w:iCs/>
        </w:rPr>
        <w:t xml:space="preserve">Add a new activity in table 3: “C.4 Encourage Parties and relevant UNFCCC constituted bodies, in line with their respective mandates, to support action and implementation of the enhanced </w:t>
      </w:r>
      <w:r w:rsidR="009E6C82" w:rsidRPr="00B4036A">
        <w:rPr>
          <w:iCs/>
        </w:rPr>
        <w:t>Lima work programme on gender</w:t>
      </w:r>
      <w:r w:rsidRPr="00B4036A">
        <w:rPr>
          <w:iCs/>
        </w:rPr>
        <w:t xml:space="preserve"> and </w:t>
      </w:r>
      <w:r w:rsidR="009E6C82" w:rsidRPr="00B4036A">
        <w:rPr>
          <w:iCs/>
        </w:rPr>
        <w:t>its gender action plan</w:t>
      </w:r>
      <w:r w:rsidRPr="00B4036A">
        <w:rPr>
          <w:iCs/>
        </w:rPr>
        <w:t xml:space="preserve">”. Add “Parties and constituted bodies” to the “responsibilities” column. The timeline is “ongoing to COP 29 (2024)”. The deliverable/output is “inputs to the Standing Committee on Finance for preparing the draft guidance to the operating entities of the Financial Mechanism”. Level of implementation is “international”. </w:t>
      </w:r>
    </w:p>
    <w:p w14:paraId="5E2AF414" w14:textId="77777777" w:rsidR="008A2E39" w:rsidRPr="00B4036A" w:rsidDel="00B514F7" w:rsidRDefault="008A2E39" w:rsidP="00080E62">
      <w:pPr>
        <w:pStyle w:val="RegH1G"/>
        <w:numPr>
          <w:ilvl w:val="1"/>
          <w:numId w:val="10"/>
        </w:numPr>
      </w:pPr>
      <w:r w:rsidRPr="00B4036A">
        <w:t>G</w:t>
      </w:r>
      <w:r w:rsidRPr="00B4036A" w:rsidDel="00B514F7">
        <w:t>ender-responsive implementation and means of implementation</w:t>
      </w:r>
    </w:p>
    <w:p w14:paraId="30E280ED" w14:textId="77777777" w:rsidR="008A2E39" w:rsidRPr="00B4036A" w:rsidRDefault="008A2E39" w:rsidP="00080E62">
      <w:pPr>
        <w:pStyle w:val="RegSingleTxtG"/>
        <w:numPr>
          <w:ilvl w:val="5"/>
          <w:numId w:val="10"/>
        </w:numPr>
        <w:rPr>
          <w:rFonts w:eastAsia="Times New Roman"/>
        </w:rPr>
      </w:pPr>
      <w:r w:rsidRPr="00B4036A">
        <w:rPr>
          <w:iCs/>
        </w:rPr>
        <w:t xml:space="preserve">Under </w:t>
      </w:r>
      <w:r w:rsidRPr="00B4036A">
        <w:t>activity D.1 in table 4,</w:t>
      </w:r>
      <w:r w:rsidRPr="00B4036A">
        <w:rPr>
          <w:rStyle w:val="FootnoteReference"/>
        </w:rPr>
        <w:footnoteReference w:id="14"/>
      </w:r>
      <w:r w:rsidRPr="00B4036A">
        <w:t xml:space="preserve"> change the timeline for the expert group meeting deliverable/output from 2022 to 2023 and add “to be delivered in a hybrid or virtual format, without creating any precedent” as a deliverable/output.</w:t>
      </w:r>
    </w:p>
    <w:p w14:paraId="7C78DFE2" w14:textId="77777777" w:rsidR="008A2E39" w:rsidRPr="00B4036A" w:rsidRDefault="008A2E39" w:rsidP="00080E62">
      <w:pPr>
        <w:pStyle w:val="RegH1G"/>
        <w:numPr>
          <w:ilvl w:val="1"/>
          <w:numId w:val="10"/>
        </w:numPr>
      </w:pPr>
      <w:r w:rsidRPr="00B4036A">
        <w:lastRenderedPageBreak/>
        <w:t>Monitoring and reporting</w:t>
      </w:r>
    </w:p>
    <w:p w14:paraId="4431CE7F" w14:textId="0A1483D5" w:rsidR="008A2E39" w:rsidRPr="00B4036A" w:rsidRDefault="008A2E39" w:rsidP="00080E62">
      <w:pPr>
        <w:pStyle w:val="RegSingleTxtG"/>
        <w:numPr>
          <w:ilvl w:val="5"/>
          <w:numId w:val="10"/>
        </w:numPr>
      </w:pPr>
      <w:r w:rsidRPr="00B4036A">
        <w:rPr>
          <w:iCs/>
        </w:rPr>
        <w:t>Add a</w:t>
      </w:r>
      <w:r w:rsidRPr="00B4036A">
        <w:t xml:space="preserve"> new activity </w:t>
      </w:r>
      <w:r w:rsidRPr="00B4036A">
        <w:rPr>
          <w:iCs/>
        </w:rPr>
        <w:t>in table 5: “</w:t>
      </w:r>
      <w:r w:rsidRPr="00B4036A">
        <w:t xml:space="preserve">E.3 Support the review of the Lima work programme on gender and its gender action plan”. Add “Parties and relevant organizations” </w:t>
      </w:r>
      <w:r w:rsidRPr="00B4036A">
        <w:rPr>
          <w:iCs/>
        </w:rPr>
        <w:t>to</w:t>
      </w:r>
      <w:r w:rsidRPr="00B4036A">
        <w:t xml:space="preserve"> the “responsibilities” column. Add “by 31 July 2024” as the timeline. </w:t>
      </w:r>
      <w:r w:rsidRPr="00B4036A">
        <w:rPr>
          <w:iCs/>
        </w:rPr>
        <w:t xml:space="preserve">Add “submissions to the UNFCCC on identifying progress in implementing the gender action plan, categorized by deliverable/output for each gender action plan activity, and further work to be undertaken” as a deliverable/output. </w:t>
      </w:r>
      <w:r w:rsidRPr="00B4036A">
        <w:t>The level of implementation is “national</w:t>
      </w:r>
      <w:r w:rsidRPr="00B4036A">
        <w:rPr>
          <w:iCs/>
        </w:rPr>
        <w:t>”. Also under this activity, add</w:t>
      </w:r>
      <w:r w:rsidRPr="00B4036A">
        <w:t xml:space="preserve"> “secretariat” </w:t>
      </w:r>
      <w:r w:rsidRPr="00B4036A">
        <w:rPr>
          <w:iCs/>
        </w:rPr>
        <w:t>to</w:t>
      </w:r>
      <w:r w:rsidRPr="00B4036A">
        <w:t xml:space="preserve"> the “responsibilities” column. Add “SB 61 (2024)” as the timeline.</w:t>
      </w:r>
      <w:r w:rsidRPr="00B4036A">
        <w:rPr>
          <w:iCs/>
        </w:rPr>
        <w:t xml:space="preserve"> Add “synthesis report on the submissions” as a deliverable/output. Level of implementation is “international”.</w:t>
      </w:r>
    </w:p>
    <w:p w14:paraId="45CBBF78" w14:textId="3F71C0D7" w:rsidR="008A2E39" w:rsidRPr="00B4036A" w:rsidRDefault="008A2E39" w:rsidP="00080E62">
      <w:pPr>
        <w:pStyle w:val="RegSingleTxtG"/>
        <w:numPr>
          <w:ilvl w:val="5"/>
          <w:numId w:val="10"/>
        </w:numPr>
      </w:pPr>
      <w:r w:rsidRPr="00B4036A">
        <w:t xml:space="preserve">Add another new activity in table 5: “E.4 Raise awareness of the support available to developing country Parties for reporting on the implementation of the gender action plan”. Add “leading: secretariat” and “contributing: relevant organizations” to the “responsibilities” column. Add </w:t>
      </w:r>
      <w:r w:rsidRPr="00B4036A">
        <w:rPr>
          <w:iCs/>
        </w:rPr>
        <w:t>“ongoing to COP 29 (2024)” as the timeline. Add “</w:t>
      </w:r>
      <w:r w:rsidRPr="00B4036A">
        <w:t xml:space="preserve">communication of such information on the gender web pages on the UNFCCC website” as </w:t>
      </w:r>
      <w:r w:rsidR="00C75EEB" w:rsidRPr="00B4036A">
        <w:t>the</w:t>
      </w:r>
      <w:r w:rsidRPr="00B4036A">
        <w:t xml:space="preserve"> deliverable/output. </w:t>
      </w:r>
      <w:r w:rsidRPr="00B4036A">
        <w:rPr>
          <w:iCs/>
        </w:rPr>
        <w:t>The level of implementation is “international”</w:t>
      </w:r>
      <w:r w:rsidRPr="00B4036A">
        <w:t>.</w:t>
      </w:r>
    </w:p>
    <w:p w14:paraId="5EBE4B7C" w14:textId="77777777" w:rsidR="00682B3F" w:rsidRPr="00B4036A" w:rsidRDefault="00682B3F" w:rsidP="00682B3F">
      <w:pPr>
        <w:ind w:right="1133"/>
        <w:jc w:val="right"/>
        <w:rPr>
          <w:i/>
        </w:rPr>
      </w:pPr>
      <w:r w:rsidRPr="00B4036A">
        <w:rPr>
          <w:i/>
        </w:rPr>
        <w:t>10</w:t>
      </w:r>
      <w:r w:rsidRPr="00B4036A">
        <w:rPr>
          <w:i/>
          <w:vertAlign w:val="superscript"/>
        </w:rPr>
        <w:t>th</w:t>
      </w:r>
      <w:r w:rsidRPr="00B4036A">
        <w:rPr>
          <w:i/>
        </w:rPr>
        <w:t xml:space="preserve"> plenary meeting</w:t>
      </w:r>
    </w:p>
    <w:p w14:paraId="4562CEC8" w14:textId="77777777" w:rsidR="00682B3F" w:rsidRPr="00B4036A" w:rsidRDefault="00682B3F" w:rsidP="00682B3F">
      <w:pPr>
        <w:ind w:right="1133"/>
        <w:jc w:val="right"/>
        <w:rPr>
          <w:lang w:val="en-US"/>
        </w:rPr>
      </w:pPr>
      <w:r w:rsidRPr="00B4036A">
        <w:rPr>
          <w:i/>
        </w:rPr>
        <w:t>20 November 2022</w:t>
      </w:r>
    </w:p>
    <w:p w14:paraId="65EB0F81" w14:textId="57394973" w:rsidR="008C1A24" w:rsidRPr="00B4036A" w:rsidRDefault="008C1A24" w:rsidP="0080496A"/>
    <w:p w14:paraId="448283E9" w14:textId="77777777" w:rsidR="00107EF4" w:rsidRPr="00B4036A" w:rsidRDefault="00107EF4" w:rsidP="0080496A">
      <w:pPr>
        <w:sectPr w:rsidR="00107EF4" w:rsidRPr="00B4036A" w:rsidSect="0061545A">
          <w:headerReference w:type="even" r:id="rId24"/>
          <w:headerReference w:type="default" r:id="rId25"/>
          <w:footerReference w:type="even" r:id="rId26"/>
          <w:footerReference w:type="default" r:id="rId27"/>
          <w:footnotePr>
            <w:numRestart w:val="eachSect"/>
          </w:footnotePr>
          <w:pgSz w:w="11906" w:h="16838" w:code="9"/>
          <w:pgMar w:top="1417" w:right="1134" w:bottom="1134" w:left="1134" w:header="850" w:footer="567" w:gutter="0"/>
          <w:cols w:space="708"/>
          <w:docGrid w:linePitch="360"/>
        </w:sectPr>
      </w:pPr>
    </w:p>
    <w:p w14:paraId="45050F06" w14:textId="164C081A" w:rsidR="00107EF4" w:rsidRPr="00B4036A" w:rsidRDefault="00107EF4" w:rsidP="00107EF4">
      <w:pPr>
        <w:pStyle w:val="HChG"/>
      </w:pPr>
      <w:r w:rsidRPr="00B4036A">
        <w:lastRenderedPageBreak/>
        <w:tab/>
      </w:r>
      <w:r w:rsidRPr="00B4036A">
        <w:tab/>
      </w:r>
      <w:bookmarkStart w:id="4" w:name="Decision_25"/>
      <w:r w:rsidRPr="00B4036A">
        <w:t>Decision 2</w:t>
      </w:r>
      <w:r w:rsidR="00487405" w:rsidRPr="00B4036A">
        <w:t>5</w:t>
      </w:r>
      <w:r w:rsidRPr="00B4036A">
        <w:t>/CP.27</w:t>
      </w:r>
      <w:bookmarkEnd w:id="4"/>
    </w:p>
    <w:p w14:paraId="74005E9C" w14:textId="0B1819EB" w:rsidR="00D5373D" w:rsidRPr="00B4036A" w:rsidRDefault="00D5373D" w:rsidP="00D5373D">
      <w:pPr>
        <w:pStyle w:val="HChG"/>
      </w:pPr>
      <w:r w:rsidRPr="00B4036A">
        <w:tab/>
      </w:r>
      <w:r w:rsidRPr="00B4036A">
        <w:tab/>
        <w:t>Dates and venues of future sessions</w:t>
      </w:r>
    </w:p>
    <w:p w14:paraId="4D3A8DEB" w14:textId="77777777" w:rsidR="00D5373D" w:rsidRPr="00B4036A" w:rsidRDefault="00D5373D" w:rsidP="00D5373D">
      <w:pPr>
        <w:pStyle w:val="RegSingleTxtG"/>
        <w:numPr>
          <w:ilvl w:val="0"/>
          <w:numId w:val="0"/>
        </w:numPr>
        <w:tabs>
          <w:tab w:val="clear" w:pos="1701"/>
        </w:tabs>
        <w:ind w:left="1134" w:firstLine="567"/>
      </w:pPr>
      <w:r w:rsidRPr="00B4036A" w:rsidDel="00673F06">
        <w:rPr>
          <w:i/>
        </w:rPr>
        <w:t>The Conference of the Parties</w:t>
      </w:r>
      <w:r w:rsidRPr="00B4036A" w:rsidDel="00673F06">
        <w:t>,</w:t>
      </w:r>
    </w:p>
    <w:p w14:paraId="5A6344F7" w14:textId="77777777" w:rsidR="00D5373D" w:rsidRPr="00B4036A" w:rsidRDefault="00D5373D" w:rsidP="00D5373D">
      <w:pPr>
        <w:pStyle w:val="RegSingleTxtG"/>
        <w:numPr>
          <w:ilvl w:val="0"/>
          <w:numId w:val="0"/>
        </w:numPr>
        <w:tabs>
          <w:tab w:val="clear" w:pos="1701"/>
        </w:tabs>
        <w:ind w:left="1134" w:firstLine="567"/>
      </w:pPr>
      <w:r w:rsidRPr="00B4036A">
        <w:rPr>
          <w:i/>
        </w:rPr>
        <w:tab/>
        <w:t>Recalling</w:t>
      </w:r>
      <w:r w:rsidRPr="00B4036A">
        <w:t xml:space="preserve"> Article 7, paragraph 4, of the Convention,</w:t>
      </w:r>
    </w:p>
    <w:p w14:paraId="2D599458" w14:textId="77777777" w:rsidR="00D5373D" w:rsidRPr="00B4036A" w:rsidRDefault="00D5373D" w:rsidP="00D5373D">
      <w:pPr>
        <w:pStyle w:val="RegSingleTxtG"/>
        <w:numPr>
          <w:ilvl w:val="0"/>
          <w:numId w:val="0"/>
        </w:numPr>
        <w:tabs>
          <w:tab w:val="clear" w:pos="1701"/>
        </w:tabs>
        <w:ind w:left="1134" w:firstLine="567"/>
      </w:pPr>
      <w:r w:rsidRPr="00B4036A">
        <w:rPr>
          <w:i/>
        </w:rPr>
        <w:tab/>
        <w:t>Also recalling</w:t>
      </w:r>
      <w:r w:rsidRPr="00B4036A">
        <w:t xml:space="preserve"> United Nations General Assembly resolution 40/243 of 18 December 1985 on the pattern of conferences,</w:t>
      </w:r>
    </w:p>
    <w:p w14:paraId="609CBAED" w14:textId="77777777" w:rsidR="00D5373D" w:rsidRPr="00B4036A" w:rsidRDefault="00D5373D" w:rsidP="00D5373D">
      <w:pPr>
        <w:pStyle w:val="RegSingleTxtG"/>
        <w:numPr>
          <w:ilvl w:val="0"/>
          <w:numId w:val="0"/>
        </w:numPr>
        <w:tabs>
          <w:tab w:val="clear" w:pos="1701"/>
        </w:tabs>
        <w:ind w:left="1134" w:firstLine="567"/>
      </w:pPr>
      <w:r w:rsidRPr="00B4036A">
        <w:rPr>
          <w:i/>
        </w:rPr>
        <w:tab/>
        <w:t>Further recalling</w:t>
      </w:r>
      <w:r w:rsidRPr="00B4036A">
        <w:t xml:space="preserve"> rule 22, paragraph 1, of the draft rules of procedure being applied regarding the rotation of the office of President among the five United Nations regional groups, </w:t>
      </w:r>
    </w:p>
    <w:p w14:paraId="77BBF075" w14:textId="77777777" w:rsidR="00D5373D" w:rsidRPr="00B4036A" w:rsidRDefault="00D5373D" w:rsidP="00D5373D">
      <w:pPr>
        <w:pStyle w:val="RegSingleTxtG"/>
        <w:numPr>
          <w:ilvl w:val="0"/>
          <w:numId w:val="0"/>
        </w:numPr>
        <w:tabs>
          <w:tab w:val="clear" w:pos="1701"/>
        </w:tabs>
        <w:ind w:left="1134" w:firstLine="567"/>
      </w:pPr>
      <w:r w:rsidRPr="00B4036A">
        <w:rPr>
          <w:i/>
        </w:rPr>
        <w:t xml:space="preserve">Recalling </w:t>
      </w:r>
      <w:r w:rsidRPr="00B4036A">
        <w:t>decision 21/CP.26,</w:t>
      </w:r>
    </w:p>
    <w:p w14:paraId="0004BAF5" w14:textId="77777777" w:rsidR="00D5373D" w:rsidRPr="00B4036A" w:rsidRDefault="00D5373D" w:rsidP="006017CC">
      <w:pPr>
        <w:pStyle w:val="RegHChG"/>
        <w:numPr>
          <w:ilvl w:val="0"/>
          <w:numId w:val="24"/>
        </w:numPr>
      </w:pPr>
      <w:r w:rsidRPr="00B4036A">
        <w:t>2023</w:t>
      </w:r>
    </w:p>
    <w:p w14:paraId="5085059F" w14:textId="77777777" w:rsidR="00D5373D" w:rsidRPr="00B4036A" w:rsidRDefault="00D5373D" w:rsidP="006017CC">
      <w:pPr>
        <w:pStyle w:val="RegSingleTxtG"/>
        <w:numPr>
          <w:ilvl w:val="5"/>
          <w:numId w:val="24"/>
        </w:numPr>
      </w:pPr>
      <w:r w:rsidRPr="00B4036A">
        <w:rPr>
          <w:i/>
        </w:rPr>
        <w:t>Reiterates its appreciation</w:t>
      </w:r>
      <w:r w:rsidRPr="00B4036A">
        <w:t xml:space="preserve"> for the offer of the Government of the United Arab Emirates to host the twenty-eighth session of the Conference of the Parties, the eighteenth session of the Conference of the Parties serving as the meeting of the Parties to the Kyoto Protocol and the fifth session of the Conference of the Parties serving as the meeting of the Parties to the Paris Agreement;</w:t>
      </w:r>
      <w:r w:rsidRPr="00B4036A">
        <w:rPr>
          <w:rStyle w:val="FootnoteReference"/>
          <w:iCs/>
        </w:rPr>
        <w:footnoteReference w:id="15"/>
      </w:r>
    </w:p>
    <w:p w14:paraId="1A357C95" w14:textId="77777777" w:rsidR="00D5373D" w:rsidRPr="00B4036A" w:rsidRDefault="00D5373D" w:rsidP="006017CC">
      <w:pPr>
        <w:pStyle w:val="RegSingleTxtG"/>
        <w:numPr>
          <w:ilvl w:val="5"/>
          <w:numId w:val="24"/>
        </w:numPr>
      </w:pPr>
      <w:r w:rsidRPr="00B4036A">
        <w:rPr>
          <w:i/>
          <w:iCs/>
        </w:rPr>
        <w:t>Decides</w:t>
      </w:r>
      <w:r w:rsidRPr="00B4036A">
        <w:t xml:space="preserve"> to revise the dates for the second sessional period in 2023 from Monday, 6 November, to Friday, 17 November, to the following dates: Thursday, 30 November, to Tuesday, 12 December;</w:t>
      </w:r>
    </w:p>
    <w:p w14:paraId="10F91CF9" w14:textId="77777777" w:rsidR="00D5373D" w:rsidRPr="00B4036A" w:rsidRDefault="00D5373D" w:rsidP="006017CC">
      <w:pPr>
        <w:pStyle w:val="RegSingleTxtG"/>
        <w:numPr>
          <w:ilvl w:val="5"/>
          <w:numId w:val="24"/>
        </w:numPr>
      </w:pPr>
      <w:r w:rsidRPr="00B4036A">
        <w:rPr>
          <w:i/>
          <w:iCs/>
        </w:rPr>
        <w:t>Requests</w:t>
      </w:r>
      <w:r w:rsidRPr="00B4036A">
        <w:t xml:space="preserve"> the Executive Secretary to continue consultations with the Government of the United Arab Emirates and to conclude a Host Country Agreement for convening the sessions, pursuant to United Nations General Assembly resolution 40/243 and the provisions of United Nations administrative instruction ST/AI/342, including its annex, containing the model conference agreement, with a view to signing the Host Country Agreement as soon as possible, preferably before the fifty-eighth sessions of the subsidiary bodies (June 2023), so as to allow for its prompt implementation;</w:t>
      </w:r>
    </w:p>
    <w:p w14:paraId="3FD942D1" w14:textId="77777777" w:rsidR="00D5373D" w:rsidRPr="00B4036A" w:rsidRDefault="00D5373D" w:rsidP="006017CC">
      <w:pPr>
        <w:pStyle w:val="RegHChG"/>
        <w:numPr>
          <w:ilvl w:val="0"/>
          <w:numId w:val="24"/>
        </w:numPr>
      </w:pPr>
      <w:r w:rsidRPr="00B4036A">
        <w:t>2024</w:t>
      </w:r>
    </w:p>
    <w:p w14:paraId="0CE514E9" w14:textId="77777777" w:rsidR="00D5373D" w:rsidRPr="00B4036A" w:rsidRDefault="00D5373D" w:rsidP="006017CC">
      <w:pPr>
        <w:pStyle w:val="RegSingleTxtG"/>
        <w:numPr>
          <w:ilvl w:val="5"/>
          <w:numId w:val="24"/>
        </w:numPr>
      </w:pPr>
      <w:bookmarkStart w:id="5" w:name="_Ref119423342"/>
      <w:r w:rsidRPr="00B4036A">
        <w:rPr>
          <w:i/>
        </w:rPr>
        <w:t>Notes</w:t>
      </w:r>
      <w:r w:rsidRPr="00B4036A">
        <w:t xml:space="preserve"> that, in keeping with the principle of rotation among the United Nations regional groups, the President of the twenty-ninth session of the Conference of the Parties, the nineteenth session of the Conference of the Parties serving as the meeting of the Parties to the Kyoto Protocol and the sixth session of the Conference of the Parties serving as the meeting of the Parties to the Paris Agreement (November 2024) would come from the Eastern European States;</w:t>
      </w:r>
      <w:bookmarkEnd w:id="5"/>
    </w:p>
    <w:p w14:paraId="4B5FDEF9" w14:textId="77777777" w:rsidR="00D5373D" w:rsidRPr="00B4036A" w:rsidRDefault="00D5373D" w:rsidP="006017CC">
      <w:pPr>
        <w:pStyle w:val="RegSingleTxtG"/>
        <w:numPr>
          <w:ilvl w:val="5"/>
          <w:numId w:val="24"/>
        </w:numPr>
      </w:pPr>
      <w:r w:rsidRPr="00B4036A">
        <w:rPr>
          <w:i/>
        </w:rPr>
        <w:t xml:space="preserve">Invites </w:t>
      </w:r>
      <w:r w:rsidRPr="00B4036A">
        <w:t>Parties to come forward with offers to host the sessions referred to in paragraph 4 above, which will be held from Monday, 11 November, to Friday, 22 November 2024, noting the logistical and financial risks associated with delays in selecting a host country and the need for the secretariat to conduct fact-finding missions to the host country in a timely manner;</w:t>
      </w:r>
    </w:p>
    <w:p w14:paraId="37F9D65E" w14:textId="77777777" w:rsidR="00D5373D" w:rsidRPr="00B4036A" w:rsidRDefault="00D5373D" w:rsidP="006017CC">
      <w:pPr>
        <w:pStyle w:val="RegSingleTxtG"/>
        <w:numPr>
          <w:ilvl w:val="5"/>
          <w:numId w:val="24"/>
        </w:numPr>
      </w:pPr>
      <w:r w:rsidRPr="00B4036A">
        <w:rPr>
          <w:i/>
        </w:rPr>
        <w:t xml:space="preserve">Requests </w:t>
      </w:r>
      <w:r w:rsidRPr="00B4036A">
        <w:t>the Subsidiary Body for Implementation, at its fifty-eighth session, to consider the issue of the host of the sessions referred to in paragraph 4 above and to recommend a draft decision on the matter for consideration and adoption by the Conference of the Parties at its twenty-eighth session;</w:t>
      </w:r>
    </w:p>
    <w:p w14:paraId="06A19ACF" w14:textId="77777777" w:rsidR="00D5373D" w:rsidRPr="00B4036A" w:rsidRDefault="00D5373D" w:rsidP="006017CC">
      <w:pPr>
        <w:pStyle w:val="RegHChG"/>
        <w:numPr>
          <w:ilvl w:val="0"/>
          <w:numId w:val="24"/>
        </w:numPr>
      </w:pPr>
      <w:r w:rsidRPr="00B4036A">
        <w:lastRenderedPageBreak/>
        <w:t>2025</w:t>
      </w:r>
    </w:p>
    <w:p w14:paraId="00BCB5B2" w14:textId="77777777" w:rsidR="00D5373D" w:rsidRPr="00B4036A" w:rsidRDefault="00D5373D" w:rsidP="006017CC">
      <w:pPr>
        <w:pStyle w:val="RegSingleTxtG"/>
        <w:numPr>
          <w:ilvl w:val="5"/>
          <w:numId w:val="24"/>
        </w:numPr>
      </w:pPr>
      <w:bookmarkStart w:id="6" w:name="_Ref119423532"/>
      <w:r w:rsidRPr="00B4036A">
        <w:rPr>
          <w:i/>
        </w:rPr>
        <w:t>Notes</w:t>
      </w:r>
      <w:r w:rsidRPr="00B4036A">
        <w:t xml:space="preserve"> that, in keeping with the principle of rotation among the United Nations regional groups, the President of the thirtieth session of the Conference of the Parties, the twentieth session of the Conference of the Parties serving as the meeting of the Parties to the Kyoto Protocol and the seventh session of the Conference of the Parties serving as the meeting of the Parties to the Paris Agreement (November 2025) would come from the Latin American and Caribbean States;</w:t>
      </w:r>
      <w:bookmarkEnd w:id="6"/>
    </w:p>
    <w:p w14:paraId="62930D82" w14:textId="77777777" w:rsidR="00D5373D" w:rsidRPr="00B4036A" w:rsidRDefault="00D5373D" w:rsidP="006017CC">
      <w:pPr>
        <w:pStyle w:val="RegSingleTxtG"/>
        <w:numPr>
          <w:ilvl w:val="5"/>
          <w:numId w:val="24"/>
        </w:numPr>
      </w:pPr>
      <w:r w:rsidRPr="00B4036A">
        <w:rPr>
          <w:i/>
        </w:rPr>
        <w:t>Invites</w:t>
      </w:r>
      <w:r w:rsidRPr="00B4036A">
        <w:t xml:space="preserve"> Parties to come forward with offers to host the sessions referred to in paragraph 7 above, which will be held from Monday, 10 November, to Friday, 21 November 2025, noting the logistical and financial risks associated with delays in selecting a host country and the need for the secretariat to conduct fact-finding missions to the host country in a timely manner;</w:t>
      </w:r>
    </w:p>
    <w:p w14:paraId="3E7A15A3" w14:textId="77777777" w:rsidR="00D5373D" w:rsidRPr="00B4036A" w:rsidRDefault="00D5373D" w:rsidP="006017CC">
      <w:pPr>
        <w:pStyle w:val="RegSingleTxtG"/>
        <w:numPr>
          <w:ilvl w:val="5"/>
          <w:numId w:val="24"/>
        </w:numPr>
      </w:pPr>
      <w:r w:rsidRPr="00B4036A">
        <w:rPr>
          <w:i/>
        </w:rPr>
        <w:t>Requests</w:t>
      </w:r>
      <w:r w:rsidRPr="00B4036A">
        <w:t xml:space="preserve"> the Subsidiary Body for Implementation, at its fifty-eighth session, to consider the issue of the host of the sessions referred to in paragraph 7 above and to recommend a draft decision on the matter for consideration and adoption by the Conference of the Parties at its twenty-eighth session;</w:t>
      </w:r>
    </w:p>
    <w:p w14:paraId="6C9CD23F" w14:textId="77777777" w:rsidR="00D5373D" w:rsidRPr="00B4036A" w:rsidRDefault="00D5373D" w:rsidP="006017CC">
      <w:pPr>
        <w:pStyle w:val="RegHChG"/>
        <w:numPr>
          <w:ilvl w:val="0"/>
          <w:numId w:val="24"/>
        </w:numPr>
      </w:pPr>
      <w:r w:rsidRPr="00B4036A">
        <w:t>Calendar of meetings of the Convention, Kyoto Protocol and Paris Agreement bodies</w:t>
      </w:r>
    </w:p>
    <w:p w14:paraId="573AB864" w14:textId="77777777" w:rsidR="00D5373D" w:rsidRPr="00B4036A" w:rsidRDefault="00D5373D" w:rsidP="006017CC">
      <w:pPr>
        <w:pStyle w:val="RegSingleTxtG"/>
        <w:numPr>
          <w:ilvl w:val="5"/>
          <w:numId w:val="24"/>
        </w:numPr>
      </w:pPr>
      <w:r w:rsidRPr="00B4036A">
        <w:rPr>
          <w:i/>
          <w:iCs/>
        </w:rPr>
        <w:t>Adopts</w:t>
      </w:r>
      <w:r w:rsidRPr="00B4036A">
        <w:t xml:space="preserve"> the following dates for the sessional periods in 2025: </w:t>
      </w:r>
    </w:p>
    <w:p w14:paraId="02C0B7C3" w14:textId="77777777" w:rsidR="00D5373D" w:rsidRPr="00B4036A" w:rsidRDefault="00D5373D" w:rsidP="006017CC">
      <w:pPr>
        <w:pStyle w:val="RegSingleTxtG2"/>
        <w:numPr>
          <w:ilvl w:val="6"/>
          <w:numId w:val="24"/>
        </w:numPr>
      </w:pPr>
      <w:r w:rsidRPr="00B4036A">
        <w:t xml:space="preserve">First sessional period: Monday, 16 June, to Thursday, 26 June; </w:t>
      </w:r>
    </w:p>
    <w:p w14:paraId="365668BD" w14:textId="77777777" w:rsidR="00D5373D" w:rsidRPr="00B4036A" w:rsidRDefault="00D5373D" w:rsidP="006017CC">
      <w:pPr>
        <w:pStyle w:val="RegSingleTxtG2"/>
        <w:numPr>
          <w:ilvl w:val="6"/>
          <w:numId w:val="24"/>
        </w:numPr>
      </w:pPr>
      <w:r w:rsidRPr="00B4036A">
        <w:t>Second sessional period: Monday, 10 November, to Friday, 21 November.</w:t>
      </w:r>
    </w:p>
    <w:p w14:paraId="4F830B88" w14:textId="3C7B1203" w:rsidR="00682B3F" w:rsidRPr="00B4036A" w:rsidRDefault="00682B3F" w:rsidP="00682B3F">
      <w:pPr>
        <w:ind w:right="1133"/>
        <w:jc w:val="right"/>
        <w:rPr>
          <w:i/>
        </w:rPr>
      </w:pPr>
      <w:r w:rsidRPr="00B4036A">
        <w:rPr>
          <w:i/>
        </w:rPr>
        <w:t>9</w:t>
      </w:r>
      <w:r w:rsidRPr="00B4036A">
        <w:rPr>
          <w:i/>
          <w:vertAlign w:val="superscript"/>
        </w:rPr>
        <w:t>th</w:t>
      </w:r>
      <w:r w:rsidRPr="00B4036A">
        <w:rPr>
          <w:i/>
        </w:rPr>
        <w:t xml:space="preserve"> plenary meeting</w:t>
      </w:r>
    </w:p>
    <w:p w14:paraId="715E40FC" w14:textId="10F9188A" w:rsidR="00682B3F" w:rsidRPr="00B4036A" w:rsidRDefault="00682B3F" w:rsidP="00682B3F">
      <w:pPr>
        <w:ind w:right="1133"/>
        <w:jc w:val="right"/>
        <w:rPr>
          <w:lang w:val="en-US"/>
        </w:rPr>
      </w:pPr>
      <w:r w:rsidRPr="00B4036A">
        <w:rPr>
          <w:i/>
        </w:rPr>
        <w:t>17 November 2022</w:t>
      </w:r>
    </w:p>
    <w:p w14:paraId="7E669B25" w14:textId="415ACCA2" w:rsidR="002F7FB0" w:rsidRPr="00B4036A" w:rsidRDefault="002F7FB0" w:rsidP="0080496A"/>
    <w:p w14:paraId="2104D2E8" w14:textId="77777777" w:rsidR="002F7FB0" w:rsidRPr="00B4036A" w:rsidRDefault="002F7FB0" w:rsidP="0080496A">
      <w:pPr>
        <w:sectPr w:rsidR="002F7FB0" w:rsidRPr="00B4036A" w:rsidSect="00107EF4">
          <w:headerReference w:type="even" r:id="rId28"/>
          <w:headerReference w:type="default" r:id="rId29"/>
          <w:footerReference w:type="even" r:id="rId30"/>
          <w:footerReference w:type="default" r:id="rId31"/>
          <w:footnotePr>
            <w:numRestart w:val="eachSect"/>
          </w:footnotePr>
          <w:pgSz w:w="11906" w:h="16838" w:code="9"/>
          <w:pgMar w:top="1417" w:right="1134" w:bottom="1134" w:left="1134" w:header="850" w:footer="567" w:gutter="0"/>
          <w:cols w:space="708"/>
          <w:docGrid w:linePitch="360"/>
        </w:sectPr>
      </w:pPr>
    </w:p>
    <w:p w14:paraId="357CAC41" w14:textId="17C2FDAC" w:rsidR="002F7FB0" w:rsidRPr="00B4036A" w:rsidRDefault="00487405" w:rsidP="002F7FB0">
      <w:pPr>
        <w:pStyle w:val="HChG"/>
      </w:pPr>
      <w:r w:rsidRPr="00B4036A">
        <w:lastRenderedPageBreak/>
        <w:tab/>
      </w:r>
      <w:r w:rsidRPr="00B4036A">
        <w:tab/>
      </w:r>
      <w:bookmarkStart w:id="7" w:name="Decision_26"/>
      <w:r w:rsidR="002F7FB0" w:rsidRPr="00B4036A">
        <w:t>Decision 2</w:t>
      </w:r>
      <w:r w:rsidRPr="00B4036A">
        <w:t>6</w:t>
      </w:r>
      <w:r w:rsidR="002F7FB0" w:rsidRPr="00B4036A">
        <w:t>/CP.27</w:t>
      </w:r>
      <w:bookmarkEnd w:id="7"/>
    </w:p>
    <w:p w14:paraId="4336B9B5" w14:textId="20DC7CB8" w:rsidR="002D6030" w:rsidRPr="00B4036A" w:rsidRDefault="002D6030" w:rsidP="002D6030">
      <w:pPr>
        <w:pStyle w:val="HChG"/>
      </w:pPr>
      <w:r w:rsidRPr="00B4036A">
        <w:tab/>
      </w:r>
      <w:r w:rsidRPr="00B4036A">
        <w:tab/>
        <w:t>Administrative, financial and institutional matters</w:t>
      </w:r>
    </w:p>
    <w:p w14:paraId="257F2647" w14:textId="77777777" w:rsidR="002D6030" w:rsidRPr="00B4036A" w:rsidRDefault="002D6030" w:rsidP="002D6030">
      <w:pPr>
        <w:spacing w:before="120"/>
        <w:ind w:left="1134" w:right="1174" w:firstLine="567"/>
        <w:jc w:val="both"/>
        <w:rPr>
          <w:i/>
        </w:rPr>
      </w:pPr>
      <w:r w:rsidRPr="00B4036A">
        <w:rPr>
          <w:i/>
        </w:rPr>
        <w:t>The Conference of the Parties</w:t>
      </w:r>
      <w:r w:rsidRPr="00B4036A">
        <w:t>,</w:t>
      </w:r>
    </w:p>
    <w:p w14:paraId="19EC3D40" w14:textId="77777777" w:rsidR="002D6030" w:rsidRPr="00B4036A" w:rsidRDefault="002D6030" w:rsidP="002D6030">
      <w:pPr>
        <w:spacing w:before="120"/>
        <w:ind w:left="1134" w:right="1174" w:firstLine="567"/>
        <w:jc w:val="both"/>
      </w:pPr>
      <w:r w:rsidRPr="00B4036A">
        <w:rPr>
          <w:i/>
        </w:rPr>
        <w:t xml:space="preserve">Recalling </w:t>
      </w:r>
      <w:r w:rsidRPr="00B4036A">
        <w:t>the financial procedures for the Conference of the Parties,</w:t>
      </w:r>
      <w:r w:rsidRPr="00B4036A">
        <w:rPr>
          <w:sz w:val="18"/>
          <w:vertAlign w:val="superscript"/>
        </w:rPr>
        <w:footnoteReference w:id="16"/>
      </w:r>
    </w:p>
    <w:p w14:paraId="16F6705B" w14:textId="77777777" w:rsidR="002D6030" w:rsidRPr="00B4036A" w:rsidRDefault="002D6030" w:rsidP="002D6030">
      <w:pPr>
        <w:spacing w:before="120" w:after="120"/>
        <w:ind w:left="1134" w:right="1174" w:firstLine="567"/>
        <w:jc w:val="both"/>
        <w:rPr>
          <w:rFonts w:eastAsia="Times New Roman"/>
          <w:lang w:val="en-US" w:eastAsia="en-US"/>
        </w:rPr>
      </w:pPr>
      <w:r w:rsidRPr="00B4036A">
        <w:rPr>
          <w:i/>
        </w:rPr>
        <w:t>Having</w:t>
      </w:r>
      <w:r w:rsidRPr="00B4036A">
        <w:rPr>
          <w:rFonts w:eastAsia="Times New Roman"/>
          <w:i/>
          <w:lang w:val="en-US" w:eastAsia="en-US"/>
        </w:rPr>
        <w:t xml:space="preserve"> </w:t>
      </w:r>
      <w:r w:rsidRPr="00B4036A">
        <w:rPr>
          <w:i/>
        </w:rPr>
        <w:t>considered</w:t>
      </w:r>
      <w:r w:rsidRPr="00B4036A">
        <w:rPr>
          <w:rFonts w:eastAsia="Times New Roman"/>
          <w:i/>
          <w:lang w:val="en-US" w:eastAsia="en-US"/>
        </w:rPr>
        <w:t xml:space="preserve"> </w:t>
      </w:r>
      <w:r w:rsidRPr="00B4036A">
        <w:rPr>
          <w:rFonts w:eastAsia="Times New Roman"/>
          <w:lang w:val="en-US" w:eastAsia="en-US"/>
        </w:rPr>
        <w:t>the information contained in the documents prepared by the secretariat on administrative, financial and institutional matters,</w:t>
      </w:r>
      <w:r w:rsidRPr="00B4036A">
        <w:rPr>
          <w:rFonts w:eastAsia="Times New Roman"/>
          <w:sz w:val="18"/>
          <w:vertAlign w:val="superscript"/>
          <w:lang w:val="en-US" w:eastAsia="en-US"/>
        </w:rPr>
        <w:footnoteReference w:id="17"/>
      </w:r>
    </w:p>
    <w:p w14:paraId="07411E11" w14:textId="77777777" w:rsidR="002D6030" w:rsidRPr="00B4036A" w:rsidRDefault="002D6030" w:rsidP="006017CC">
      <w:pPr>
        <w:pStyle w:val="RegHChG"/>
        <w:numPr>
          <w:ilvl w:val="0"/>
          <w:numId w:val="25"/>
        </w:numPr>
      </w:pPr>
      <w:r w:rsidRPr="00B4036A">
        <w:rPr>
          <w:lang w:eastAsia="en-US"/>
        </w:rPr>
        <w:t>Budget</w:t>
      </w:r>
      <w:r w:rsidRPr="00B4036A">
        <w:t xml:space="preserve"> performance for the biennium 2020–2021</w:t>
      </w:r>
    </w:p>
    <w:p w14:paraId="682B1ED5" w14:textId="77777777" w:rsidR="002D6030" w:rsidRPr="00B4036A" w:rsidRDefault="002D6030" w:rsidP="006017CC">
      <w:pPr>
        <w:pStyle w:val="RegSingleTxtG"/>
        <w:numPr>
          <w:ilvl w:val="5"/>
          <w:numId w:val="25"/>
        </w:numPr>
        <w:rPr>
          <w:lang w:eastAsia="en-US"/>
        </w:rPr>
      </w:pPr>
      <w:r w:rsidRPr="00B4036A">
        <w:rPr>
          <w:i/>
          <w:lang w:eastAsia="en-US"/>
        </w:rPr>
        <w:t>Takes note</w:t>
      </w:r>
      <w:r w:rsidRPr="00B4036A">
        <w:rPr>
          <w:lang w:eastAsia="en-US"/>
        </w:rPr>
        <w:t xml:space="preserve"> of the information contained in the reports on budget performance for the biennium 2020–2021 as at 31 December 2021</w:t>
      </w:r>
      <w:r w:rsidRPr="00B4036A">
        <w:rPr>
          <w:sz w:val="18"/>
          <w:vertAlign w:val="superscript"/>
          <w:lang w:eastAsia="en-US"/>
        </w:rPr>
        <w:footnoteReference w:id="18"/>
      </w:r>
      <w:r w:rsidRPr="00B4036A">
        <w:rPr>
          <w:lang w:eastAsia="en-US"/>
        </w:rPr>
        <w:t xml:space="preserve"> and the note </w:t>
      </w:r>
      <w:r w:rsidRPr="00B4036A">
        <w:t>on</w:t>
      </w:r>
      <w:r w:rsidRPr="00B4036A">
        <w:rPr>
          <w:lang w:eastAsia="en-US"/>
        </w:rPr>
        <w:t xml:space="preserve"> the status of contributions to the trust funds administered by the secretariat as at 23 May 2022;</w:t>
      </w:r>
      <w:r w:rsidRPr="00B4036A">
        <w:rPr>
          <w:sz w:val="18"/>
          <w:vertAlign w:val="superscript"/>
          <w:lang w:eastAsia="en-US"/>
        </w:rPr>
        <w:footnoteReference w:id="19"/>
      </w:r>
    </w:p>
    <w:p w14:paraId="594AB51B" w14:textId="77777777" w:rsidR="002D6030" w:rsidRPr="00B4036A" w:rsidRDefault="002D6030" w:rsidP="006017CC">
      <w:pPr>
        <w:pStyle w:val="RegSingleTxtG"/>
        <w:numPr>
          <w:ilvl w:val="5"/>
          <w:numId w:val="25"/>
        </w:numPr>
      </w:pPr>
      <w:r w:rsidRPr="00B4036A">
        <w:rPr>
          <w:rFonts w:eastAsia="Times New Roman"/>
          <w:i/>
          <w:lang w:eastAsia="en-US"/>
        </w:rPr>
        <w:t xml:space="preserve">Expresses its </w:t>
      </w:r>
      <w:r w:rsidRPr="00B4036A">
        <w:rPr>
          <w:i/>
        </w:rPr>
        <w:t>appreciation</w:t>
      </w:r>
      <w:r w:rsidRPr="00B4036A">
        <w:t xml:space="preserve"> to Parties that made contributions to the core budget in a timely manner;</w:t>
      </w:r>
    </w:p>
    <w:p w14:paraId="2212C3F2" w14:textId="3BAB1BBF" w:rsidR="002D6030" w:rsidRPr="00B4036A" w:rsidRDefault="002D6030" w:rsidP="006017CC">
      <w:pPr>
        <w:pStyle w:val="RegSingleTxtG"/>
        <w:numPr>
          <w:ilvl w:val="5"/>
          <w:numId w:val="25"/>
        </w:numPr>
      </w:pPr>
      <w:r w:rsidRPr="00B4036A">
        <w:rPr>
          <w:i/>
        </w:rPr>
        <w:t>Expresses concern</w:t>
      </w:r>
      <w:r w:rsidRPr="00B4036A">
        <w:t xml:space="preserve"> regarding the high level of outstanding contributions to the core budget for the current and previous bienniums, which has </w:t>
      </w:r>
      <w:r w:rsidRPr="00B4036A">
        <w:rPr>
          <w:lang w:eastAsia="en-US"/>
        </w:rPr>
        <w:t>resulted</w:t>
      </w:r>
      <w:r w:rsidRPr="00B4036A">
        <w:t xml:space="preserve"> in difficulties with cash flow and the effective implementation of activities;</w:t>
      </w:r>
    </w:p>
    <w:p w14:paraId="44F3ED69" w14:textId="77777777" w:rsidR="002D6030" w:rsidRPr="00B4036A" w:rsidRDefault="002D6030" w:rsidP="006017CC">
      <w:pPr>
        <w:pStyle w:val="RegSingleTxtG"/>
        <w:numPr>
          <w:ilvl w:val="5"/>
          <w:numId w:val="25"/>
        </w:numPr>
      </w:pPr>
      <w:r w:rsidRPr="00B4036A">
        <w:rPr>
          <w:i/>
        </w:rPr>
        <w:t>Strongly urges</w:t>
      </w:r>
      <w:r w:rsidRPr="00B4036A">
        <w:t xml:space="preserve"> Parties that have not made contributions in full to the core budget for the current and/or previous bienniums to do so without further </w:t>
      </w:r>
      <w:r w:rsidRPr="00B4036A">
        <w:rPr>
          <w:lang w:eastAsia="en-US"/>
        </w:rPr>
        <w:t>delay</w:t>
      </w:r>
      <w:r w:rsidRPr="00B4036A">
        <w:t>;</w:t>
      </w:r>
    </w:p>
    <w:p w14:paraId="5CE7AE75" w14:textId="77777777" w:rsidR="002D6030" w:rsidRPr="00B4036A" w:rsidRDefault="002D6030" w:rsidP="006017CC">
      <w:pPr>
        <w:pStyle w:val="RegSingleTxtG"/>
        <w:numPr>
          <w:ilvl w:val="5"/>
          <w:numId w:val="25"/>
        </w:numPr>
      </w:pPr>
      <w:r w:rsidRPr="00B4036A">
        <w:rPr>
          <w:i/>
        </w:rPr>
        <w:t>Expresses its appreciation</w:t>
      </w:r>
      <w:r w:rsidRPr="00B4036A">
        <w:t xml:space="preserve"> for the contributions to the Trust Fund for Participation in the UNFCCC Process and to the Trust Fund for </w:t>
      </w:r>
      <w:r w:rsidRPr="00B4036A">
        <w:rPr>
          <w:lang w:eastAsia="en-US"/>
        </w:rPr>
        <w:t>Supplementary</w:t>
      </w:r>
      <w:r w:rsidRPr="00B4036A">
        <w:t xml:space="preserve"> Activities received from Parties, including those contributions that allow for greater flexibility in allocation;</w:t>
      </w:r>
    </w:p>
    <w:p w14:paraId="3F1CAC20" w14:textId="77777777" w:rsidR="002D6030" w:rsidRPr="00B4036A" w:rsidRDefault="002D6030" w:rsidP="006017CC">
      <w:pPr>
        <w:pStyle w:val="RegSingleTxtG"/>
        <w:numPr>
          <w:ilvl w:val="5"/>
          <w:numId w:val="25"/>
        </w:numPr>
      </w:pPr>
      <w:r w:rsidRPr="00B4036A">
        <w:rPr>
          <w:i/>
        </w:rPr>
        <w:t>Urges</w:t>
      </w:r>
      <w:r w:rsidRPr="00B4036A">
        <w:t xml:space="preserve"> Parties to further contribute to the Trust Fund </w:t>
      </w:r>
      <w:r w:rsidRPr="00B4036A">
        <w:rPr>
          <w:lang w:eastAsia="en-US"/>
        </w:rPr>
        <w:t>for</w:t>
      </w:r>
      <w:r w:rsidRPr="00B4036A">
        <w:t xml:space="preserve"> Participation in the UNFCCC Process in order to ensure the widest possible participation in the process in 2022–2023, and to the Trust Fund for Supplementary Activities to ensure a high level of implementation of the UNFCCC work programme; </w:t>
      </w:r>
    </w:p>
    <w:p w14:paraId="4A041780" w14:textId="77777777" w:rsidR="002D6030" w:rsidRPr="00B4036A" w:rsidRDefault="002D6030" w:rsidP="006017CC">
      <w:pPr>
        <w:pStyle w:val="RegSingleTxtG"/>
        <w:numPr>
          <w:ilvl w:val="5"/>
          <w:numId w:val="25"/>
        </w:numPr>
        <w:rPr>
          <w:rFonts w:eastAsia="Times New Roman"/>
          <w:lang w:eastAsia="en-US"/>
        </w:rPr>
      </w:pPr>
      <w:r w:rsidRPr="00B4036A">
        <w:rPr>
          <w:i/>
        </w:rPr>
        <w:t>Reiterates its appreciation</w:t>
      </w:r>
      <w:r w:rsidRPr="00B4036A">
        <w:t xml:space="preserve"> to the Government of Germany for its annual voluntary contribution to the core budget of EUR 766,938 and its special contribution</w:t>
      </w:r>
      <w:r w:rsidRPr="00B4036A">
        <w:rPr>
          <w:rFonts w:eastAsia="Times New Roman"/>
          <w:lang w:eastAsia="en-US"/>
        </w:rPr>
        <w:t xml:space="preserve"> of EUR 1,789,522 as Host Government of the secretariat;</w:t>
      </w:r>
    </w:p>
    <w:p w14:paraId="1A06551B" w14:textId="77777777" w:rsidR="002D6030" w:rsidRPr="00B4036A" w:rsidRDefault="002D6030" w:rsidP="006017CC">
      <w:pPr>
        <w:pStyle w:val="RegSingleTxtG"/>
        <w:numPr>
          <w:ilvl w:val="5"/>
          <w:numId w:val="25"/>
        </w:numPr>
        <w:rPr>
          <w:rFonts w:eastAsia="Times New Roman"/>
          <w:lang w:eastAsia="en-US"/>
        </w:rPr>
      </w:pPr>
      <w:r w:rsidRPr="00B4036A">
        <w:rPr>
          <w:i/>
          <w:lang w:eastAsia="en-US"/>
        </w:rPr>
        <w:t>Requests</w:t>
      </w:r>
      <w:r w:rsidRPr="00B4036A">
        <w:rPr>
          <w:lang w:eastAsia="en-US"/>
        </w:rPr>
        <w:t xml:space="preserve"> the Executive Secretary </w:t>
      </w:r>
      <w:r w:rsidRPr="00B4036A">
        <w:t xml:space="preserve">to </w:t>
      </w:r>
      <w:r w:rsidRPr="00B4036A">
        <w:rPr>
          <w:lang w:eastAsia="en-US"/>
        </w:rPr>
        <w:t xml:space="preserve">take further measures to </w:t>
      </w:r>
      <w:r w:rsidRPr="00B4036A">
        <w:rPr>
          <w:rFonts w:eastAsia="Times New Roman"/>
          <w:lang w:eastAsia="en-US"/>
        </w:rPr>
        <w:t>reduce Parties’ outstanding contributions;</w:t>
      </w:r>
    </w:p>
    <w:p w14:paraId="7FFBAAD8" w14:textId="77777777" w:rsidR="002D6030" w:rsidRPr="00B4036A" w:rsidRDefault="002D6030" w:rsidP="006017CC">
      <w:pPr>
        <w:pStyle w:val="RegHChG"/>
        <w:numPr>
          <w:ilvl w:val="0"/>
          <w:numId w:val="25"/>
        </w:numPr>
        <w:rPr>
          <w:b w:val="0"/>
        </w:rPr>
      </w:pPr>
      <w:r w:rsidRPr="00B4036A">
        <w:t>Other budgetary matters</w:t>
      </w:r>
    </w:p>
    <w:p w14:paraId="74D62FF4" w14:textId="77777777" w:rsidR="002D6030" w:rsidRPr="00B4036A" w:rsidRDefault="002D6030" w:rsidP="006017CC">
      <w:pPr>
        <w:pStyle w:val="RegSingleTxtG"/>
        <w:numPr>
          <w:ilvl w:val="5"/>
          <w:numId w:val="25"/>
        </w:numPr>
      </w:pPr>
      <w:r w:rsidRPr="00B4036A">
        <w:rPr>
          <w:i/>
          <w:iCs/>
        </w:rPr>
        <w:t>Takes note</w:t>
      </w:r>
      <w:r w:rsidRPr="00B4036A">
        <w:t xml:space="preserve"> of the information contained in the document prepared by the secretariat on efforts to further improve the efficiency and </w:t>
      </w:r>
      <w:r w:rsidRPr="00B4036A">
        <w:rPr>
          <w:lang w:eastAsia="en-US"/>
        </w:rPr>
        <w:t>transparency</w:t>
      </w:r>
      <w:r w:rsidRPr="00B4036A">
        <w:t xml:space="preserve"> of the UNFCCC budget process;</w:t>
      </w:r>
      <w:r w:rsidRPr="00B4036A">
        <w:rPr>
          <w:sz w:val="18"/>
          <w:vertAlign w:val="superscript"/>
        </w:rPr>
        <w:footnoteReference w:id="20"/>
      </w:r>
      <w:r w:rsidRPr="00B4036A">
        <w:t xml:space="preserve"> </w:t>
      </w:r>
    </w:p>
    <w:p w14:paraId="57FA9DD9" w14:textId="77777777" w:rsidR="002D6030" w:rsidRPr="00B4036A" w:rsidRDefault="002D6030" w:rsidP="006017CC">
      <w:pPr>
        <w:pStyle w:val="RegSingleTxtG"/>
        <w:numPr>
          <w:ilvl w:val="5"/>
          <w:numId w:val="25"/>
        </w:numPr>
      </w:pPr>
      <w:r w:rsidRPr="00B4036A">
        <w:rPr>
          <w:i/>
          <w:iCs/>
        </w:rPr>
        <w:t>Also takes note</w:t>
      </w:r>
      <w:r w:rsidRPr="00B4036A">
        <w:t xml:space="preserve"> of the information contained in the note by the secretariat on the revised scales of indicative contributions for 2022–2023;</w:t>
      </w:r>
      <w:r w:rsidRPr="00B4036A">
        <w:rPr>
          <w:sz w:val="18"/>
          <w:vertAlign w:val="superscript"/>
        </w:rPr>
        <w:footnoteReference w:id="21"/>
      </w:r>
    </w:p>
    <w:p w14:paraId="44867190" w14:textId="77777777" w:rsidR="002D6030" w:rsidRPr="00B4036A" w:rsidRDefault="002D6030" w:rsidP="006017CC">
      <w:pPr>
        <w:pStyle w:val="RegSingleTxtG"/>
        <w:numPr>
          <w:ilvl w:val="5"/>
          <w:numId w:val="25"/>
        </w:numPr>
      </w:pPr>
      <w:r w:rsidRPr="00B4036A">
        <w:rPr>
          <w:i/>
          <w:iCs/>
        </w:rPr>
        <w:t>Adopts</w:t>
      </w:r>
      <w:r w:rsidRPr="00B4036A">
        <w:t xml:space="preserve"> the indicative scale of </w:t>
      </w:r>
      <w:r w:rsidRPr="00B4036A">
        <w:rPr>
          <w:lang w:eastAsia="en-US"/>
        </w:rPr>
        <w:t>contributions</w:t>
      </w:r>
      <w:r w:rsidRPr="00B4036A">
        <w:t xml:space="preserve"> contained in the annex;</w:t>
      </w:r>
    </w:p>
    <w:p w14:paraId="74BF7215" w14:textId="77777777" w:rsidR="002D6030" w:rsidRPr="00B4036A" w:rsidRDefault="002D6030" w:rsidP="006017CC">
      <w:pPr>
        <w:pStyle w:val="RegSingleTxtG"/>
        <w:numPr>
          <w:ilvl w:val="5"/>
          <w:numId w:val="25"/>
        </w:numPr>
      </w:pPr>
      <w:r w:rsidRPr="00B4036A">
        <w:rPr>
          <w:i/>
          <w:iCs/>
        </w:rPr>
        <w:lastRenderedPageBreak/>
        <w:t>Decides</w:t>
      </w:r>
      <w:r w:rsidRPr="00B4036A">
        <w:t xml:space="preserve"> that the scale of contributions contained in the annex shall also be applicable for 2022, covering 89 per cent of the contributions </w:t>
      </w:r>
      <w:r w:rsidRPr="00B4036A">
        <w:rPr>
          <w:lang w:eastAsia="en-US"/>
        </w:rPr>
        <w:t>specified</w:t>
      </w:r>
      <w:r w:rsidRPr="00B4036A">
        <w:t xml:space="preserve"> in table 1 in decision 22/CP.26;</w:t>
      </w:r>
    </w:p>
    <w:p w14:paraId="6F88887C" w14:textId="77777777" w:rsidR="002D6030" w:rsidRPr="00B4036A" w:rsidRDefault="002D6030" w:rsidP="006017CC">
      <w:pPr>
        <w:pStyle w:val="RegSingleTxtG"/>
        <w:numPr>
          <w:ilvl w:val="5"/>
          <w:numId w:val="25"/>
        </w:numPr>
      </w:pPr>
      <w:r w:rsidRPr="00B4036A">
        <w:rPr>
          <w:i/>
          <w:iCs/>
        </w:rPr>
        <w:t>Takes note</w:t>
      </w:r>
      <w:r w:rsidRPr="00B4036A">
        <w:t xml:space="preserve"> of the information contained in the note </w:t>
      </w:r>
      <w:r w:rsidRPr="00B4036A">
        <w:rPr>
          <w:lang w:eastAsia="en-US"/>
        </w:rPr>
        <w:t>on</w:t>
      </w:r>
      <w:r w:rsidRPr="00B4036A">
        <w:t xml:space="preserve"> the updated work programme of the secretariat for the biennium 2022–2023;</w:t>
      </w:r>
      <w:r w:rsidRPr="00B4036A">
        <w:rPr>
          <w:sz w:val="18"/>
          <w:vertAlign w:val="superscript"/>
        </w:rPr>
        <w:footnoteReference w:id="22"/>
      </w:r>
    </w:p>
    <w:p w14:paraId="63E8FCCC" w14:textId="77777777" w:rsidR="002D6030" w:rsidRPr="00B4036A" w:rsidRDefault="002D6030" w:rsidP="006017CC">
      <w:pPr>
        <w:pStyle w:val="RegSingleTxtG"/>
        <w:numPr>
          <w:ilvl w:val="5"/>
          <w:numId w:val="25"/>
        </w:numPr>
      </w:pPr>
      <w:r w:rsidRPr="00B4036A">
        <w:rPr>
          <w:i/>
          <w:iCs/>
        </w:rPr>
        <w:t>Also takes note</w:t>
      </w:r>
      <w:r w:rsidRPr="00B4036A">
        <w:t xml:space="preserve"> of the information contained in the note on possible long-term financing strategies for secretariat employee benefit </w:t>
      </w:r>
      <w:r w:rsidRPr="00B4036A">
        <w:rPr>
          <w:lang w:eastAsia="en-US"/>
        </w:rPr>
        <w:t>liabilities</w:t>
      </w:r>
      <w:r w:rsidRPr="00B4036A">
        <w:t>;</w:t>
      </w:r>
      <w:r w:rsidRPr="00B4036A">
        <w:rPr>
          <w:sz w:val="18"/>
          <w:vertAlign w:val="superscript"/>
        </w:rPr>
        <w:footnoteReference w:id="23"/>
      </w:r>
    </w:p>
    <w:p w14:paraId="7C3712C5" w14:textId="77777777" w:rsidR="002D6030" w:rsidRPr="00B4036A" w:rsidRDefault="002D6030" w:rsidP="006017CC">
      <w:pPr>
        <w:pStyle w:val="RegSingleTxtG"/>
        <w:numPr>
          <w:ilvl w:val="5"/>
          <w:numId w:val="25"/>
        </w:numPr>
      </w:pPr>
      <w:r w:rsidRPr="00B4036A">
        <w:rPr>
          <w:i/>
          <w:iCs/>
        </w:rPr>
        <w:t>Further takes note</w:t>
      </w:r>
      <w:r w:rsidRPr="00B4036A">
        <w:t xml:space="preserve"> of the mechanisms currently in place for funding employee benefits, as summarized in section III of the note </w:t>
      </w:r>
      <w:r w:rsidRPr="00B4036A">
        <w:rPr>
          <w:lang w:eastAsia="en-US"/>
        </w:rPr>
        <w:t>referred</w:t>
      </w:r>
      <w:r w:rsidRPr="00B4036A">
        <w:t xml:space="preserve"> to in paragraph 14 above;</w:t>
      </w:r>
    </w:p>
    <w:p w14:paraId="67D808A6" w14:textId="77777777" w:rsidR="002D6030" w:rsidRPr="00B4036A" w:rsidRDefault="002D6030" w:rsidP="006017CC">
      <w:pPr>
        <w:pStyle w:val="RegSingleTxtG"/>
        <w:numPr>
          <w:ilvl w:val="5"/>
          <w:numId w:val="25"/>
        </w:numPr>
      </w:pPr>
      <w:r w:rsidRPr="00B4036A">
        <w:rPr>
          <w:i/>
          <w:iCs/>
        </w:rPr>
        <w:t xml:space="preserve">Requests </w:t>
      </w:r>
      <w:r w:rsidRPr="00B4036A">
        <w:t xml:space="preserve">the secretariat to continue </w:t>
      </w:r>
      <w:r w:rsidRPr="00B4036A">
        <w:rPr>
          <w:lang w:eastAsia="en-US"/>
        </w:rPr>
        <w:t>implementing</w:t>
      </w:r>
      <w:r w:rsidRPr="00B4036A">
        <w:t xml:space="preserve"> the mechanisms referred to in paragraph 15 above;</w:t>
      </w:r>
    </w:p>
    <w:p w14:paraId="65D0B686" w14:textId="77777777" w:rsidR="002D6030" w:rsidRPr="00B4036A" w:rsidRDefault="002D6030" w:rsidP="006017CC">
      <w:pPr>
        <w:pStyle w:val="RegSingleTxtG"/>
        <w:numPr>
          <w:ilvl w:val="5"/>
          <w:numId w:val="25"/>
        </w:numPr>
      </w:pPr>
      <w:r w:rsidRPr="00B4036A">
        <w:rPr>
          <w:i/>
          <w:iCs/>
        </w:rPr>
        <w:t xml:space="preserve">Also requests </w:t>
      </w:r>
      <w:r w:rsidRPr="00B4036A">
        <w:t>the secretariat to inform the Subsidiary Body for Implementation of any relevant developments with regard to the funding of employee benefits, including any relevant resolutions adopted by the United Nations General Assembly;</w:t>
      </w:r>
    </w:p>
    <w:p w14:paraId="12F713F1" w14:textId="77777777" w:rsidR="002D6030" w:rsidRPr="00B4036A" w:rsidRDefault="002D6030" w:rsidP="006017CC">
      <w:pPr>
        <w:pStyle w:val="RegSingleTxtG"/>
        <w:numPr>
          <w:ilvl w:val="5"/>
          <w:numId w:val="25"/>
        </w:numPr>
      </w:pPr>
      <w:r w:rsidRPr="00B4036A">
        <w:rPr>
          <w:i/>
          <w:iCs/>
        </w:rPr>
        <w:t xml:space="preserve">Strongly urges </w:t>
      </w:r>
      <w:r w:rsidRPr="00B4036A">
        <w:t xml:space="preserve">the secretariat to publish </w:t>
      </w:r>
      <w:r w:rsidRPr="00B4036A">
        <w:rPr>
          <w:lang w:eastAsia="en-US"/>
        </w:rPr>
        <w:t>documents</w:t>
      </w:r>
      <w:r w:rsidRPr="00B4036A">
        <w:t xml:space="preserve"> on budgetary matters in a timely manner;</w:t>
      </w:r>
    </w:p>
    <w:p w14:paraId="2BC4AF30" w14:textId="77777777" w:rsidR="002D6030" w:rsidRPr="00B4036A" w:rsidRDefault="002D6030" w:rsidP="006017CC">
      <w:pPr>
        <w:pStyle w:val="RegHChG"/>
        <w:numPr>
          <w:ilvl w:val="0"/>
          <w:numId w:val="25"/>
        </w:numPr>
      </w:pPr>
      <w:r w:rsidRPr="00B4036A">
        <w:rPr>
          <w:lang w:eastAsia="en-US"/>
        </w:rPr>
        <w:t xml:space="preserve">UNFCCC </w:t>
      </w:r>
      <w:r w:rsidRPr="00B4036A">
        <w:t>annual</w:t>
      </w:r>
      <w:r w:rsidRPr="00B4036A">
        <w:rPr>
          <w:lang w:eastAsia="en-US"/>
        </w:rPr>
        <w:t xml:space="preserve"> report</w:t>
      </w:r>
    </w:p>
    <w:p w14:paraId="3381857A" w14:textId="77777777" w:rsidR="002D6030" w:rsidRPr="00B4036A" w:rsidRDefault="002D6030" w:rsidP="006017CC">
      <w:pPr>
        <w:pStyle w:val="RegSingleTxtG"/>
        <w:numPr>
          <w:ilvl w:val="5"/>
          <w:numId w:val="25"/>
        </w:numPr>
      </w:pPr>
      <w:r w:rsidRPr="00B4036A">
        <w:rPr>
          <w:lang w:eastAsia="en-US"/>
        </w:rPr>
        <w:tab/>
      </w:r>
      <w:r w:rsidRPr="00B4036A">
        <w:rPr>
          <w:i/>
          <w:iCs/>
        </w:rPr>
        <w:t>Takes note</w:t>
      </w:r>
      <w:r w:rsidRPr="00B4036A">
        <w:t xml:space="preserve"> of the information contained in the annual report on 2021 secretariat activities, programme delivery highlights and financial performance.</w:t>
      </w:r>
      <w:r w:rsidRPr="00B4036A">
        <w:rPr>
          <w:sz w:val="18"/>
          <w:vertAlign w:val="superscript"/>
        </w:rPr>
        <w:footnoteReference w:id="24"/>
      </w:r>
    </w:p>
    <w:p w14:paraId="5D6253CF" w14:textId="77777777" w:rsidR="002D6030" w:rsidRPr="00B4036A" w:rsidRDefault="002D6030" w:rsidP="002D6030">
      <w:pPr>
        <w:suppressAutoHyphens w:val="0"/>
        <w:spacing w:line="240" w:lineRule="auto"/>
      </w:pPr>
      <w:r w:rsidRPr="00B4036A">
        <w:br w:type="page"/>
      </w:r>
    </w:p>
    <w:p w14:paraId="0FDC7794" w14:textId="2F11B37B" w:rsidR="002D6030" w:rsidRPr="00B4036A" w:rsidRDefault="002D6030" w:rsidP="00B4354F">
      <w:pPr>
        <w:pStyle w:val="HChG"/>
      </w:pPr>
      <w:r w:rsidRPr="00B4036A">
        <w:lastRenderedPageBreak/>
        <w:t>Annex</w:t>
      </w:r>
    </w:p>
    <w:p w14:paraId="563EA086" w14:textId="19A2529E" w:rsidR="002D6030" w:rsidRPr="00B4036A" w:rsidRDefault="002D6030" w:rsidP="002D6030">
      <w:pPr>
        <w:pStyle w:val="HChG"/>
        <w:tabs>
          <w:tab w:val="clear" w:pos="851"/>
        </w:tabs>
        <w:ind w:firstLine="0"/>
      </w:pPr>
      <w:r w:rsidRPr="00B4036A">
        <w:tab/>
        <w:t>Indicative scale of contributions from Parties to the Convention for 2022–2023</w:t>
      </w:r>
    </w:p>
    <w:tbl>
      <w:tblPr>
        <w:tblStyle w:val="TableGrid"/>
        <w:tblW w:w="7371" w:type="dxa"/>
        <w:tblInd w:w="1134"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10"/>
        <w:gridCol w:w="2410"/>
        <w:gridCol w:w="2551"/>
      </w:tblGrid>
      <w:tr w:rsidR="002D6030" w:rsidRPr="00B4036A" w14:paraId="4FAD17FF" w14:textId="77777777" w:rsidTr="007B02BD">
        <w:trPr>
          <w:trHeight w:val="255"/>
          <w:tblHeader/>
        </w:trPr>
        <w:tc>
          <w:tcPr>
            <w:tcW w:w="2410" w:type="dxa"/>
            <w:tcBorders>
              <w:top w:val="single" w:sz="4" w:space="0" w:color="auto"/>
              <w:left w:val="nil"/>
              <w:bottom w:val="single" w:sz="12" w:space="0" w:color="auto"/>
              <w:right w:val="nil"/>
            </w:tcBorders>
            <w:noWrap/>
            <w:vAlign w:val="bottom"/>
            <w:hideMark/>
          </w:tcPr>
          <w:p w14:paraId="3BA11EB4" w14:textId="77777777" w:rsidR="002D6030" w:rsidRPr="00B4036A" w:rsidRDefault="002D6030" w:rsidP="007B02BD">
            <w:pPr>
              <w:suppressAutoHyphens w:val="0"/>
              <w:spacing w:before="40" w:after="40" w:line="180" w:lineRule="exact"/>
              <w:rPr>
                <w:i/>
                <w:sz w:val="16"/>
              </w:rPr>
            </w:pPr>
            <w:r w:rsidRPr="00B4036A">
              <w:rPr>
                <w:i/>
                <w:sz w:val="16"/>
              </w:rPr>
              <w:t>Party</w:t>
            </w:r>
          </w:p>
        </w:tc>
        <w:tc>
          <w:tcPr>
            <w:tcW w:w="2410" w:type="dxa"/>
            <w:tcBorders>
              <w:top w:val="single" w:sz="4" w:space="0" w:color="auto"/>
              <w:left w:val="nil"/>
              <w:bottom w:val="single" w:sz="12" w:space="0" w:color="auto"/>
              <w:right w:val="nil"/>
            </w:tcBorders>
            <w:noWrap/>
            <w:vAlign w:val="bottom"/>
            <w:hideMark/>
          </w:tcPr>
          <w:p w14:paraId="2F23BA0E" w14:textId="77777777" w:rsidR="002D6030" w:rsidRPr="00B4036A" w:rsidRDefault="002D6030" w:rsidP="007B02BD">
            <w:pPr>
              <w:suppressAutoHyphens w:val="0"/>
              <w:spacing w:before="40" w:after="40" w:line="180" w:lineRule="exact"/>
              <w:ind w:left="113" w:right="57"/>
              <w:jc w:val="right"/>
              <w:rPr>
                <w:i/>
                <w:sz w:val="16"/>
              </w:rPr>
            </w:pPr>
            <w:r w:rsidRPr="00B4036A">
              <w:rPr>
                <w:i/>
                <w:sz w:val="16"/>
              </w:rPr>
              <w:t>United Nations scale of assessments for 2022–2024 (%)</w:t>
            </w:r>
          </w:p>
        </w:tc>
        <w:tc>
          <w:tcPr>
            <w:tcW w:w="2551" w:type="dxa"/>
            <w:tcBorders>
              <w:top w:val="single" w:sz="4" w:space="0" w:color="auto"/>
              <w:left w:val="nil"/>
              <w:bottom w:val="single" w:sz="12" w:space="0" w:color="auto"/>
              <w:right w:val="nil"/>
            </w:tcBorders>
            <w:noWrap/>
            <w:vAlign w:val="bottom"/>
            <w:hideMark/>
          </w:tcPr>
          <w:p w14:paraId="08A57CB0" w14:textId="77777777" w:rsidR="002D6030" w:rsidRPr="00B4036A" w:rsidRDefault="002D6030" w:rsidP="007B02BD">
            <w:pPr>
              <w:suppressAutoHyphens w:val="0"/>
              <w:spacing w:before="40" w:after="40" w:line="180" w:lineRule="exact"/>
              <w:ind w:left="113" w:right="57"/>
              <w:jc w:val="right"/>
              <w:rPr>
                <w:i/>
                <w:sz w:val="16"/>
              </w:rPr>
            </w:pPr>
            <w:r w:rsidRPr="00B4036A">
              <w:rPr>
                <w:i/>
                <w:sz w:val="16"/>
              </w:rPr>
              <w:t>UNFCCC revised indicative scale of contributions for 2022–2023 (%)</w:t>
            </w:r>
          </w:p>
        </w:tc>
      </w:tr>
      <w:tr w:rsidR="002D6030" w:rsidRPr="00B4036A" w14:paraId="565B50B5" w14:textId="77777777" w:rsidTr="007B02BD">
        <w:trPr>
          <w:trHeight w:val="255"/>
        </w:trPr>
        <w:tc>
          <w:tcPr>
            <w:tcW w:w="2410" w:type="dxa"/>
            <w:tcBorders>
              <w:top w:val="single" w:sz="12" w:space="0" w:color="auto"/>
              <w:left w:val="nil"/>
              <w:bottom w:val="nil"/>
              <w:right w:val="nil"/>
            </w:tcBorders>
            <w:noWrap/>
            <w:tcMar>
              <w:top w:w="0" w:type="dxa"/>
              <w:left w:w="108" w:type="dxa"/>
              <w:bottom w:w="0" w:type="dxa"/>
              <w:right w:w="108" w:type="dxa"/>
            </w:tcMar>
            <w:hideMark/>
          </w:tcPr>
          <w:p w14:paraId="3E7E63FC" w14:textId="77777777" w:rsidR="002D6030" w:rsidRPr="00B4036A" w:rsidRDefault="002D6030" w:rsidP="007B02BD">
            <w:pPr>
              <w:suppressAutoHyphens w:val="0"/>
              <w:spacing w:before="40" w:after="40" w:line="200" w:lineRule="exact"/>
              <w:ind w:left="-108"/>
              <w:rPr>
                <w:sz w:val="18"/>
              </w:rPr>
            </w:pPr>
            <w:r w:rsidRPr="00B4036A">
              <w:rPr>
                <w:rFonts w:eastAsia="MS Mincho"/>
                <w:color w:val="000000"/>
                <w:sz w:val="18"/>
                <w:szCs w:val="18"/>
                <w:lang w:eastAsia="de-DE"/>
              </w:rPr>
              <w:t>Afghanistan</w:t>
            </w:r>
          </w:p>
        </w:tc>
        <w:tc>
          <w:tcPr>
            <w:tcW w:w="2410" w:type="dxa"/>
            <w:tcBorders>
              <w:top w:val="single" w:sz="12" w:space="0" w:color="auto"/>
              <w:left w:val="nil"/>
              <w:bottom w:val="nil"/>
              <w:right w:val="nil"/>
            </w:tcBorders>
            <w:shd w:val="clear" w:color="auto" w:fill="FFFFFF"/>
            <w:noWrap/>
            <w:tcMar>
              <w:top w:w="0" w:type="dxa"/>
              <w:left w:w="108" w:type="dxa"/>
              <w:bottom w:w="0" w:type="dxa"/>
              <w:right w:w="108" w:type="dxa"/>
            </w:tcMar>
            <w:vAlign w:val="bottom"/>
            <w:hideMark/>
          </w:tcPr>
          <w:p w14:paraId="11CE85E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0.006</w:t>
            </w:r>
          </w:p>
        </w:tc>
        <w:tc>
          <w:tcPr>
            <w:tcW w:w="2551" w:type="dxa"/>
            <w:tcBorders>
              <w:top w:val="single" w:sz="12" w:space="0" w:color="auto"/>
              <w:left w:val="nil"/>
              <w:bottom w:val="nil"/>
              <w:right w:val="nil"/>
            </w:tcBorders>
            <w:shd w:val="clear" w:color="auto" w:fill="FFFFFF"/>
            <w:noWrap/>
            <w:tcMar>
              <w:top w:w="0" w:type="dxa"/>
              <w:left w:w="108" w:type="dxa"/>
              <w:bottom w:w="0" w:type="dxa"/>
              <w:right w:w="108" w:type="dxa"/>
            </w:tcMar>
            <w:vAlign w:val="bottom"/>
            <w:hideMark/>
          </w:tcPr>
          <w:p w14:paraId="3AF4A4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0.006</w:t>
            </w:r>
          </w:p>
        </w:tc>
      </w:tr>
      <w:tr w:rsidR="002D6030" w:rsidRPr="00B4036A" w14:paraId="725A181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834026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Albania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E4CEA4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C597B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0190702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55B885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Algeria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38B5FC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E6492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0.106</w:t>
            </w:r>
          </w:p>
        </w:tc>
      </w:tr>
      <w:tr w:rsidR="002D6030" w:rsidRPr="00B4036A" w14:paraId="30847C2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D2B30A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Andorra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F56DA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7B700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24B63F5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59C366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Angola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DF04A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C1B7D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006E0BD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EA7F79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Antigua and Barbuda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D15A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67C7A5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0C15212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8C9CFD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Argentina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381C1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0.719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09981C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0.701</w:t>
            </w:r>
          </w:p>
        </w:tc>
      </w:tr>
      <w:tr w:rsidR="002D6030" w:rsidRPr="00B4036A" w14:paraId="2AFF7D8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1A498B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Armenia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8261C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EDFC9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34E6FF6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67E792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Australia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F9DAD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4CC9C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2.058</w:t>
            </w:r>
          </w:p>
        </w:tc>
      </w:tr>
      <w:tr w:rsidR="002D6030" w:rsidRPr="00B4036A" w14:paraId="2027928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E0561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Austria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53F4D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E3D9C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0.662</w:t>
            </w:r>
          </w:p>
        </w:tc>
      </w:tr>
      <w:tr w:rsidR="002D6030" w:rsidRPr="00B4036A" w14:paraId="3D9642E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92DCF1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Azerbaijan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6F65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599852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0.029</w:t>
            </w:r>
          </w:p>
        </w:tc>
      </w:tr>
      <w:tr w:rsidR="002D6030" w:rsidRPr="00B4036A" w14:paraId="6A302F1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892271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Bahamas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F2382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6217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r>
      <w:tr w:rsidR="002D6030" w:rsidRPr="00B4036A" w14:paraId="33280A3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58B250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Bahrain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619373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6739F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0.053</w:t>
            </w:r>
          </w:p>
        </w:tc>
      </w:tr>
      <w:tr w:rsidR="002D6030" w:rsidRPr="00B4036A" w14:paraId="743B3E2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21D4E2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Bangladesh</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94CFEE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9DB7C4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0A27174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FCD3FC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Barbados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13AF4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36DF7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6097D50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8B4796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Belarus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EA214E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08830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0.040</w:t>
            </w:r>
          </w:p>
        </w:tc>
      </w:tr>
      <w:tr w:rsidR="002D6030" w:rsidRPr="00B4036A" w14:paraId="47CC679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BD512F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Belgium</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454CE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5A3CBC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0.807</w:t>
            </w:r>
          </w:p>
        </w:tc>
      </w:tr>
      <w:tr w:rsidR="002D6030" w:rsidRPr="00B4036A" w14:paraId="5A013D4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7AE890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Belize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CAEF5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D4BA4E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1FBE711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C97C7A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Benin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D2E76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04019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6B74215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804B09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Bhutan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F807D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450D12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A67816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1305A4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Bolivia (Plurinational State of)</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0434E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6D627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r>
      <w:tr w:rsidR="002D6030" w:rsidRPr="00B4036A" w14:paraId="50C5D9E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FDCA7F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Bosnia and Herzegovina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2443C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49516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0.012</w:t>
            </w:r>
          </w:p>
        </w:tc>
      </w:tr>
      <w:tr w:rsidR="002D6030" w:rsidRPr="00B4036A" w14:paraId="14CBF0B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1445C5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Botswana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963F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01B00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0.015</w:t>
            </w:r>
          </w:p>
        </w:tc>
      </w:tr>
      <w:tr w:rsidR="002D6030" w:rsidRPr="00B4036A" w14:paraId="72D398F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EDE57F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Brazil</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E1CDD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A2779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1.962</w:t>
            </w:r>
          </w:p>
        </w:tc>
      </w:tr>
      <w:tr w:rsidR="002D6030" w:rsidRPr="00B4036A" w14:paraId="5A934B1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A9F971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Brunei Darussalam</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742E1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18EEF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0.020</w:t>
            </w:r>
          </w:p>
        </w:tc>
      </w:tr>
      <w:tr w:rsidR="002D6030" w:rsidRPr="00B4036A" w14:paraId="46728A5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FB3E23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Bulgaria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FAD27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B6901B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0.055</w:t>
            </w:r>
          </w:p>
        </w:tc>
      </w:tr>
      <w:tr w:rsidR="002D6030" w:rsidRPr="00B4036A" w14:paraId="569FD0E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331F76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Burkina Faso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EE304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BEA3D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23457D2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C1E4CC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Burundi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173D80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33D37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B30CC7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BDE84E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Cabo Verde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9E507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E80B87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73955C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A22114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Cambodia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FED02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5833FF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08E66F2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D9D4B0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Cameroon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531B4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D4B9D8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r>
      <w:tr w:rsidR="002D6030" w:rsidRPr="00B4036A" w14:paraId="616C11E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B42E67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Canada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8F242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2.628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6B320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2.562</w:t>
            </w:r>
          </w:p>
        </w:tc>
      </w:tr>
      <w:tr w:rsidR="002D6030" w:rsidRPr="00B4036A" w14:paraId="26FF9BF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9F7F4C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Central African Republic</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766E0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67E66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F7DF93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70E5D2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Chad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1914A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3B64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1E72283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ECDC28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Chile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AC032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0.420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0156F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0.409</w:t>
            </w:r>
          </w:p>
        </w:tc>
      </w:tr>
      <w:tr w:rsidR="002D6030" w:rsidRPr="00B4036A" w14:paraId="3002BC4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7E4BD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China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30E40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15.254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A8C7B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14.871</w:t>
            </w:r>
          </w:p>
        </w:tc>
      </w:tr>
      <w:tr w:rsidR="002D6030" w:rsidRPr="00B4036A" w14:paraId="342CBED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3FCDE5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Colombia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EB339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0.246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27A68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0.240</w:t>
            </w:r>
          </w:p>
        </w:tc>
      </w:tr>
      <w:tr w:rsidR="002D6030" w:rsidRPr="00B4036A" w14:paraId="568238F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3A14B1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Comoros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CA922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5622C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BCFAEE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CD0269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Congo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8650D9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C6AC6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3E4D87C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975871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Cook Islands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CC7FE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C52C49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89DC00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F5E1DA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Costa Rica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A56DE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D75507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0.067</w:t>
            </w:r>
          </w:p>
        </w:tc>
      </w:tr>
      <w:tr w:rsidR="002D6030" w:rsidRPr="00B4036A" w14:paraId="4CD14EC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6DB8BC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Côte d’Ivoire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F8D371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874E3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0.021</w:t>
            </w:r>
          </w:p>
        </w:tc>
      </w:tr>
      <w:tr w:rsidR="002D6030" w:rsidRPr="00B4036A" w14:paraId="400AFED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4C71EB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Croatia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F28C8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05F16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0.089</w:t>
            </w:r>
          </w:p>
        </w:tc>
      </w:tr>
      <w:tr w:rsidR="002D6030" w:rsidRPr="00B4036A" w14:paraId="6729CE0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0E06D8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lastRenderedPageBreak/>
              <w:t>Cuba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CD7B16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BEC8C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0.093</w:t>
            </w:r>
          </w:p>
        </w:tc>
      </w:tr>
      <w:tr w:rsidR="002D6030" w:rsidRPr="00B4036A" w14:paraId="5F6471C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9D23B9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Cyprus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45B1A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BE2A2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0.035</w:t>
            </w:r>
          </w:p>
        </w:tc>
      </w:tr>
      <w:tr w:rsidR="002D6030" w:rsidRPr="00B4036A" w14:paraId="623FD6D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B6F094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Czechia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C31AD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0.340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EA941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0.331</w:t>
            </w:r>
          </w:p>
        </w:tc>
      </w:tr>
      <w:tr w:rsidR="002D6030" w:rsidRPr="00B4036A" w14:paraId="1DC2103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62322C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Democratic People’s Republic of Korea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F9BFC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3EF17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27C6708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8F5BBD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Democratic Republic of the Congo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3506F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B59315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7273536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2D7E58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Denmark</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8E2B6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0.553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C2354A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0.539</w:t>
            </w:r>
          </w:p>
        </w:tc>
      </w:tr>
      <w:tr w:rsidR="002D6030" w:rsidRPr="00B4036A" w14:paraId="098C94C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D543E7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Djibouti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3ED01D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6B9DA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08074D3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1350A4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Dominica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D7700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5F08AB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E3297E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B2A785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Dominican Republic</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58A73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1470A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0.065</w:t>
            </w:r>
          </w:p>
        </w:tc>
      </w:tr>
      <w:tr w:rsidR="002D6030" w:rsidRPr="00B4036A" w14:paraId="5133E05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5FB301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Ecuador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70F02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B8A23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0.075</w:t>
            </w:r>
          </w:p>
        </w:tc>
      </w:tr>
      <w:tr w:rsidR="002D6030" w:rsidRPr="00B4036A" w14:paraId="0E49803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E33209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Egypt</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76506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0.139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F7F39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0.136</w:t>
            </w:r>
          </w:p>
        </w:tc>
      </w:tr>
      <w:tr w:rsidR="002D6030" w:rsidRPr="00B4036A" w14:paraId="26A4726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4C9727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El Salvador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38EB9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B2C7B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r>
      <w:tr w:rsidR="002D6030" w:rsidRPr="00B4036A" w14:paraId="34EB7D4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DC49DE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Equatorial Guinea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E95B6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564BE7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0.012</w:t>
            </w:r>
          </w:p>
        </w:tc>
      </w:tr>
      <w:tr w:rsidR="002D6030" w:rsidRPr="00B4036A" w14:paraId="42633EF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930C5B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Eritrea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1D993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8B41A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6EBB267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473A7F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Estonia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0013A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1FE2AC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0.043</w:t>
            </w:r>
          </w:p>
        </w:tc>
      </w:tr>
      <w:tr w:rsidR="002D6030" w:rsidRPr="00B4036A" w14:paraId="17B5C9F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BED8A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Eswatini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8B490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7D65C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66FABCB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412310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Ethiopia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8EF654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0E4F0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4C6F0BD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C27D93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European Union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C5913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60AA3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2.500</w:t>
            </w:r>
          </w:p>
        </w:tc>
      </w:tr>
      <w:tr w:rsidR="002D6030" w:rsidRPr="00B4036A" w14:paraId="3F699BA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B27489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Fiji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17EBB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9BAD42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41F4927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18469E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Finland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E054E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0.417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C27124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0.407</w:t>
            </w:r>
          </w:p>
        </w:tc>
      </w:tr>
      <w:tr w:rsidR="002D6030" w:rsidRPr="00B4036A" w14:paraId="060DF2D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EA2EDC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France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89381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4.318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38F4A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4.209</w:t>
            </w:r>
          </w:p>
        </w:tc>
      </w:tr>
      <w:tr w:rsidR="002D6030" w:rsidRPr="00B4036A" w14:paraId="155B558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02A3C4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Gabon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58757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A057F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0.013</w:t>
            </w:r>
          </w:p>
        </w:tc>
      </w:tr>
      <w:tr w:rsidR="002D6030" w:rsidRPr="00B4036A" w14:paraId="4ABDA31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EC073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Gambia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DE6CA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FC07A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61A0F1C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825E5D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Georgia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EF766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9ED6B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26049BB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667D5A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Germany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7B4AC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6.111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CF033E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5.957</w:t>
            </w:r>
          </w:p>
        </w:tc>
      </w:tr>
      <w:tr w:rsidR="002D6030" w:rsidRPr="00B4036A" w14:paraId="7332779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9D73B5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Ghana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10D1DD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3FF1F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0.023</w:t>
            </w:r>
          </w:p>
        </w:tc>
      </w:tr>
      <w:tr w:rsidR="002D6030" w:rsidRPr="00B4036A" w14:paraId="41F34FF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2235E3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Greece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1E1FC7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0.325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9FE3C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0.317</w:t>
            </w:r>
          </w:p>
        </w:tc>
      </w:tr>
      <w:tr w:rsidR="002D6030" w:rsidRPr="00B4036A" w14:paraId="7CF76DF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E4FB9C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Grenada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396FB9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3E596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110804F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B42C8D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Guatemala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1FC2C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807B5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0.040</w:t>
            </w:r>
          </w:p>
        </w:tc>
      </w:tr>
      <w:tr w:rsidR="002D6030" w:rsidRPr="00B4036A" w14:paraId="504E42F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BB3E54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Guinea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6EC0C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E7A91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32E88EB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56C3B1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Guinea-Bissau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42321F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DAE74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7F9FF44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EB844E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Guyana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38D2E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0082A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26C3F0A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66A9AC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Haiti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BFFE6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8EE3C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0.006</w:t>
            </w:r>
          </w:p>
        </w:tc>
      </w:tr>
      <w:tr w:rsidR="002D6030" w:rsidRPr="00B4036A" w14:paraId="57F7D04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5F4F1F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Honduras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F377C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461DF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r>
      <w:tr w:rsidR="002D6030" w:rsidRPr="00B4036A" w14:paraId="41997BE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8FD843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Hungary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C5FEB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C93F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0.222</w:t>
            </w:r>
          </w:p>
        </w:tc>
      </w:tr>
      <w:tr w:rsidR="002D6030" w:rsidRPr="00B4036A" w14:paraId="11AF74B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832B33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Iceland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12399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3761C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0.035</w:t>
            </w:r>
          </w:p>
        </w:tc>
      </w:tr>
      <w:tr w:rsidR="002D6030" w:rsidRPr="00B4036A" w14:paraId="11ACA1F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31DBE1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India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124CD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1.044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1C030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1.018</w:t>
            </w:r>
          </w:p>
        </w:tc>
      </w:tr>
      <w:tr w:rsidR="002D6030" w:rsidRPr="00B4036A" w14:paraId="1F3F3B8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6CE880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Indonesia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46363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0.549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9A872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0.535</w:t>
            </w:r>
          </w:p>
        </w:tc>
      </w:tr>
      <w:tr w:rsidR="002D6030" w:rsidRPr="00B4036A" w14:paraId="5BFBADB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7DBA6D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Iran (Islamic Republic of)</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9DAA6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0.371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9E1E4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0.362</w:t>
            </w:r>
          </w:p>
        </w:tc>
      </w:tr>
      <w:tr w:rsidR="002D6030" w:rsidRPr="00B4036A" w14:paraId="5D3D300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143C98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Iraq</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97128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EAF117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0.125</w:t>
            </w:r>
          </w:p>
        </w:tc>
      </w:tr>
      <w:tr w:rsidR="002D6030" w:rsidRPr="00B4036A" w14:paraId="64B08F3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F68A49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Ireland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C7FB84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0.439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CC8FA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0.428</w:t>
            </w:r>
          </w:p>
        </w:tc>
      </w:tr>
      <w:tr w:rsidR="002D6030" w:rsidRPr="00B4036A" w14:paraId="4F14B52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4728FE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Israel</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08C00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0.561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BCB91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0.547</w:t>
            </w:r>
          </w:p>
        </w:tc>
      </w:tr>
      <w:tr w:rsidR="002D6030" w:rsidRPr="00B4036A" w14:paraId="464B14B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876ECF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Italy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6E92D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3.189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E04B97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3.109</w:t>
            </w:r>
          </w:p>
        </w:tc>
      </w:tr>
      <w:tr w:rsidR="002D6030" w:rsidRPr="00B4036A" w14:paraId="23D4E96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9679E0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Jamaica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27618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D5DEE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505E992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A0A278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Japan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9C029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8.033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1D62A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7.831</w:t>
            </w:r>
          </w:p>
        </w:tc>
      </w:tr>
      <w:tr w:rsidR="002D6030" w:rsidRPr="00B4036A" w14:paraId="18F8B6C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8264A0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Jordan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F1E43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CD531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0.021</w:t>
            </w:r>
          </w:p>
        </w:tc>
      </w:tr>
      <w:tr w:rsidR="002D6030" w:rsidRPr="00B4036A" w14:paraId="7270A37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887BC1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Kazakhstan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A479E1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0.133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899D9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0.130</w:t>
            </w:r>
          </w:p>
        </w:tc>
      </w:tr>
      <w:tr w:rsidR="002D6030" w:rsidRPr="00B4036A" w14:paraId="4C213B3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63D049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lastRenderedPageBreak/>
              <w:t>Kenya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E623B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F618C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0.029</w:t>
            </w:r>
          </w:p>
        </w:tc>
      </w:tr>
      <w:tr w:rsidR="002D6030" w:rsidRPr="00B4036A" w14:paraId="5915652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1E9C4A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Kiribati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0296D4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51B18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54869F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4D5AD4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Kuwait</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667D6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E599C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0.228</w:t>
            </w:r>
          </w:p>
        </w:tc>
      </w:tr>
      <w:tr w:rsidR="002D6030" w:rsidRPr="00B4036A" w14:paraId="2326FDB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614FA7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Kyrgyzstan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D8D49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604AE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30B15F7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9DF9E2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Lao People’s Democratic Republic</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2C448F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30080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45D7236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FA773E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Latvia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16367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33588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0.049</w:t>
            </w:r>
          </w:p>
        </w:tc>
      </w:tr>
      <w:tr w:rsidR="002D6030" w:rsidRPr="00B4036A" w14:paraId="22684F6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9761EC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Lebanon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386A10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DBD43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0.035</w:t>
            </w:r>
          </w:p>
        </w:tc>
      </w:tr>
      <w:tr w:rsidR="002D6030" w:rsidRPr="00B4036A" w14:paraId="739E7C8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6BB79C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Lesotho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13B090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0D62D8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1A3C7EC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21BF5A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Liberia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5ABBA8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204D2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F395DA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DD949B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Libya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3ED3FF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BB4B0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0.018</w:t>
            </w:r>
          </w:p>
        </w:tc>
      </w:tr>
      <w:tr w:rsidR="002D6030" w:rsidRPr="00B4036A" w14:paraId="2A1463F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6C98B0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Liechtenstein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E8805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8F49F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66CAB5E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4BC42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Lithuania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B1330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FFA78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0.075</w:t>
            </w:r>
          </w:p>
        </w:tc>
      </w:tr>
      <w:tr w:rsidR="002D6030" w:rsidRPr="00B4036A" w14:paraId="4ABF002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9B1C3F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Luxembourg</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B80BD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ABE00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0.066</w:t>
            </w:r>
          </w:p>
        </w:tc>
      </w:tr>
      <w:tr w:rsidR="002D6030" w:rsidRPr="00B4036A" w14:paraId="10C2BE7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74CEA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Madagascar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2990C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DA3D22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43579D4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A10FAF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Malawi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78067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9C89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0B2AB0E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3399FD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Malaysia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B49B1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0.348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ADD75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0.339</w:t>
            </w:r>
          </w:p>
        </w:tc>
      </w:tr>
      <w:tr w:rsidR="002D6030" w:rsidRPr="00B4036A" w14:paraId="75CCEC9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FD112E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Maldives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D0618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3B021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7DE4D91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19D902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Mali</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B041F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E0A9F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5974B24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F6862C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Malta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A3359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A4C3AB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r>
      <w:tr w:rsidR="002D6030" w:rsidRPr="00B4036A" w14:paraId="65F42DE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CE8321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Marshall Islands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2D7B16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BE2DE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4D9582B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391736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Mauritania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E04D54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A774B6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27A4E54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BC58D7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Mauritius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D0CAE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059EA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r>
      <w:tr w:rsidR="002D6030" w:rsidRPr="00B4036A" w14:paraId="3466DBB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BFCC8D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Mexico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B2614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1.221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54A09C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1.190</w:t>
            </w:r>
          </w:p>
        </w:tc>
      </w:tr>
      <w:tr w:rsidR="002D6030" w:rsidRPr="00B4036A" w14:paraId="68958A2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9088240"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Micronesia (Federated States of)</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79D1F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793FE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66BBFDA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BE3244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Monaco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3F3DDF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D97E1B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0.011</w:t>
            </w:r>
          </w:p>
        </w:tc>
      </w:tr>
      <w:tr w:rsidR="002D6030" w:rsidRPr="00B4036A" w14:paraId="01B2BE7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4FEE26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Mongolia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13FA6F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F511A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61CC8DD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1416E5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Montenegro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32BF4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3E1A03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6F0C0A9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F6A307E"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 xml:space="preserve">Morocco </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D3453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140B8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0.054</w:t>
            </w:r>
          </w:p>
        </w:tc>
      </w:tr>
      <w:tr w:rsidR="002D6030" w:rsidRPr="00B4036A" w14:paraId="0BD83C5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C004CE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Mozambique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931D5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D9BA9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0.004</w:t>
            </w:r>
          </w:p>
        </w:tc>
      </w:tr>
      <w:tr w:rsidR="002D6030" w:rsidRPr="00B4036A" w14:paraId="4FA9643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190081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Myanmar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93011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9DCC0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6565230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075E27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Namibia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7E360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5EB0D2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r>
      <w:tr w:rsidR="002D6030" w:rsidRPr="00B4036A" w14:paraId="76B28B7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3FDBFC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Nauru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8B2EEE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38454B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0170CF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A9CC9F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Nepal</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FCE71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3944F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5652D1C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F58849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Netherlands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E4800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1.377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6109C8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1.342</w:t>
            </w:r>
          </w:p>
        </w:tc>
      </w:tr>
      <w:tr w:rsidR="002D6030" w:rsidRPr="00B4036A" w14:paraId="0725AB1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24658C5"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New Zealand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C84E1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69927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0.301</w:t>
            </w:r>
          </w:p>
        </w:tc>
      </w:tr>
      <w:tr w:rsidR="002D6030" w:rsidRPr="00B4036A" w14:paraId="3862FE4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B21577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Nicaragua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92630D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2CD7E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51A7BFB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8C0AE7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Niger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2F22DE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D7B78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4CB49D2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B734A0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Nigeria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EC4B1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0.182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40847B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0.177</w:t>
            </w:r>
          </w:p>
        </w:tc>
      </w:tr>
      <w:tr w:rsidR="002D6030" w:rsidRPr="00B4036A" w14:paraId="7A739A6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7FD22A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Niue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526966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4653A1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4AC4609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FF6D41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North Macedonia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B32F6E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D35F9F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5EE7C3F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ABB2AB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Norway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61C95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756D1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0.662</w:t>
            </w:r>
          </w:p>
        </w:tc>
      </w:tr>
      <w:tr w:rsidR="002D6030" w:rsidRPr="00B4036A" w14:paraId="6A376E5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C55605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Oman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5E281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34308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0.108</w:t>
            </w:r>
          </w:p>
        </w:tc>
      </w:tr>
      <w:tr w:rsidR="002D6030" w:rsidRPr="00B4036A" w14:paraId="314E0AD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9190C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Pakistan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6C9FA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0.114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4349BE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0.111</w:t>
            </w:r>
          </w:p>
        </w:tc>
      </w:tr>
      <w:tr w:rsidR="002D6030" w:rsidRPr="00B4036A" w14:paraId="1E285B8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A03BC9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Palau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66D3C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D875B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8F66AA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D4B009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Panama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615D9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505C6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0.088</w:t>
            </w:r>
          </w:p>
        </w:tc>
      </w:tr>
      <w:tr w:rsidR="002D6030" w:rsidRPr="00B4036A" w14:paraId="152F97E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0669D8E"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Papua New Guinea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BB700F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ADD0C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69FCA77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DE3F79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Paraguay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9E91A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45C0A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0.025</w:t>
            </w:r>
          </w:p>
        </w:tc>
      </w:tr>
      <w:tr w:rsidR="002D6030" w:rsidRPr="00B4036A" w14:paraId="35D5E42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B1C0E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lastRenderedPageBreak/>
              <w:t>Peru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4104C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0.163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6110F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0.159</w:t>
            </w:r>
          </w:p>
        </w:tc>
      </w:tr>
      <w:tr w:rsidR="002D6030" w:rsidRPr="00B4036A" w14:paraId="224AE17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99E53A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Philippines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9FC234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E347E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0.207</w:t>
            </w:r>
          </w:p>
        </w:tc>
      </w:tr>
      <w:tr w:rsidR="002D6030" w:rsidRPr="00B4036A" w14:paraId="3FC6B49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DB80C3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Poland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BA459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0.837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D0DA6D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0.816</w:t>
            </w:r>
          </w:p>
        </w:tc>
      </w:tr>
      <w:tr w:rsidR="002D6030" w:rsidRPr="00B4036A" w14:paraId="6E65F88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50BC68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Portugal</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CBD43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0.353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9989A5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0.344</w:t>
            </w:r>
          </w:p>
        </w:tc>
      </w:tr>
      <w:tr w:rsidR="002D6030" w:rsidRPr="00B4036A" w14:paraId="6134E18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8FB8BA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Qatar</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528C2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0.269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AD5F7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0.262</w:t>
            </w:r>
          </w:p>
        </w:tc>
      </w:tr>
      <w:tr w:rsidR="002D6030" w:rsidRPr="00B4036A" w14:paraId="1AC8B795"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4BDBF54"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Republic of Korea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E61E2F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2.574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4C00D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2.509</w:t>
            </w:r>
          </w:p>
        </w:tc>
      </w:tr>
      <w:tr w:rsidR="002D6030" w:rsidRPr="00B4036A" w14:paraId="123DBC6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1379E8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Republic of Moldova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DCA75B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13D0C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0.005</w:t>
            </w:r>
          </w:p>
        </w:tc>
      </w:tr>
      <w:tr w:rsidR="002D6030" w:rsidRPr="00B4036A" w14:paraId="40645C2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571D89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Romania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90026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EB8536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0.304</w:t>
            </w:r>
          </w:p>
        </w:tc>
      </w:tr>
      <w:tr w:rsidR="002D6030" w:rsidRPr="00B4036A" w14:paraId="045D0BB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531084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Russian Federation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518900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1.866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59068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1.819</w:t>
            </w:r>
          </w:p>
        </w:tc>
      </w:tr>
      <w:tr w:rsidR="002D6030" w:rsidRPr="00B4036A" w14:paraId="2F9E879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0964F2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Rwanda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68754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68B96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6AB161D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FC581AD"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Saint Kitts and Nevis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0CBC6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A4FE0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5CA3FA4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203BAD8"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Saint Lucia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23B15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57D56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6CBF069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9C693A0" w14:textId="77777777" w:rsidR="002D6030" w:rsidRPr="00B4036A" w:rsidRDefault="002D6030" w:rsidP="007B02BD">
            <w:pPr>
              <w:suppressAutoHyphens w:val="0"/>
              <w:spacing w:before="40" w:after="40" w:line="200" w:lineRule="exact"/>
              <w:ind w:left="-105"/>
              <w:rPr>
                <w:sz w:val="18"/>
              </w:rPr>
            </w:pPr>
            <w:r w:rsidRPr="00B4036A">
              <w:rPr>
                <w:color w:val="000000"/>
                <w:sz w:val="18"/>
                <w:szCs w:val="18"/>
              </w:rPr>
              <w:t>Saint Vincent and the Grenadines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1A1C5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EBD3C4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6AADEC8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76D176F"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Samoa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29074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08A4F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8E4516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D57CB7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San Marino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26491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CEA03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32316B7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A1432A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Sao Tome and Principe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E77CF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B2033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3F71CB2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CF5311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Saudi Arabia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56A00C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1.184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EAD751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1.154</w:t>
            </w:r>
          </w:p>
        </w:tc>
      </w:tr>
      <w:tr w:rsidR="002D6030" w:rsidRPr="00B4036A" w14:paraId="72153B8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B8C2C5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Senegal</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8D681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DED81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1A9B2E3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39A95D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Serbia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726E0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F4137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0.031</w:t>
            </w:r>
          </w:p>
        </w:tc>
      </w:tr>
      <w:tr w:rsidR="002D6030" w:rsidRPr="00B4036A" w14:paraId="0B2D0BF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E48F57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Seychelles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FD5E8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2100E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63D131F4"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A30DF5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Sierra Leone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F4F9E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24D37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84A316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76408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Singapore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970BB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0.504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A8F84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0.491</w:t>
            </w:r>
          </w:p>
        </w:tc>
      </w:tr>
      <w:tr w:rsidR="002D6030" w:rsidRPr="00B4036A" w14:paraId="5910AE1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1564CA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Slovakia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6C795C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0.155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1C90D5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0.151</w:t>
            </w:r>
          </w:p>
        </w:tc>
      </w:tr>
      <w:tr w:rsidR="002D6030" w:rsidRPr="00B4036A" w14:paraId="0852C51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FF3CE7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Slovenia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44C62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73C4D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0.077</w:t>
            </w:r>
          </w:p>
        </w:tc>
      </w:tr>
      <w:tr w:rsidR="002D6030" w:rsidRPr="00B4036A" w14:paraId="4C0DC49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A5F050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Solomon Islands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50ADF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2DCC9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C67FD5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73BE6F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Somalia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18733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508C48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ABAB94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C6F5A2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South Africa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E1AE8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F16BA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0.238</w:t>
            </w:r>
          </w:p>
        </w:tc>
      </w:tr>
      <w:tr w:rsidR="002D6030" w:rsidRPr="00B4036A" w14:paraId="4FE8765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861F48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South Sudan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0EF2AA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43037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73D020C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410FBD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Spain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993F5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2.134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1FD23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2.080</w:t>
            </w:r>
          </w:p>
        </w:tc>
      </w:tr>
      <w:tr w:rsidR="002D6030" w:rsidRPr="00B4036A" w14:paraId="3B4240A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286773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Sri Lanka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B985BC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07047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0.044</w:t>
            </w:r>
          </w:p>
        </w:tc>
      </w:tr>
      <w:tr w:rsidR="002D6030" w:rsidRPr="00B4036A" w14:paraId="61D4B12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7B6820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State of Palestine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A75E6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DE364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0.011</w:t>
            </w:r>
          </w:p>
        </w:tc>
      </w:tr>
      <w:tr w:rsidR="002D6030" w:rsidRPr="00B4036A" w14:paraId="67E2949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79D3F4C"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Sudan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92127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DA25A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420C469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A6C1FE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Suriname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11BF9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0EF93F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3A25BED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FD033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Sweden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71588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0.871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B5F17E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0.849</w:t>
            </w:r>
          </w:p>
        </w:tc>
      </w:tr>
      <w:tr w:rsidR="002D6030" w:rsidRPr="00B4036A" w14:paraId="6EC3F13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517B6C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Switzerland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CC5E6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1.134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4EEC1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1.105</w:t>
            </w:r>
          </w:p>
        </w:tc>
      </w:tr>
      <w:tr w:rsidR="002D6030" w:rsidRPr="00B4036A" w14:paraId="6D218C0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E08BF8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Syrian Arab Republic</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A8F8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450D7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0.009</w:t>
            </w:r>
          </w:p>
        </w:tc>
      </w:tr>
      <w:tr w:rsidR="002D6030" w:rsidRPr="00B4036A" w14:paraId="2F8A128B"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B04E80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Tajikistan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46B43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7C104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0.003</w:t>
            </w:r>
          </w:p>
        </w:tc>
      </w:tr>
      <w:tr w:rsidR="002D6030" w:rsidRPr="00B4036A" w14:paraId="6E0BC3A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EF63DA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Thailand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A823B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0.368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6FA4A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0.359</w:t>
            </w:r>
          </w:p>
        </w:tc>
      </w:tr>
      <w:tr w:rsidR="002D6030" w:rsidRPr="00B4036A" w14:paraId="53710618"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45EA22E"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Timor-Leste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80B2ED"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5CFD5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131DB46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203A5B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Togo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0F9B6B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E2BA9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0.002</w:t>
            </w:r>
          </w:p>
        </w:tc>
      </w:tr>
      <w:tr w:rsidR="002D6030" w:rsidRPr="00B4036A" w14:paraId="7C84F5B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59DF8E7"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Tonga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62A5F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84B0F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0B58CB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3D2C04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Trinidad and Tobago</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280F9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EA972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0.036</w:t>
            </w:r>
          </w:p>
        </w:tc>
      </w:tr>
      <w:tr w:rsidR="002D6030" w:rsidRPr="00B4036A" w14:paraId="1A56EDC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FE3D7FD"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Tunisia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E1F5C1"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9DB5D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0.019</w:t>
            </w:r>
          </w:p>
        </w:tc>
      </w:tr>
      <w:tr w:rsidR="002D6030" w:rsidRPr="00B4036A" w14:paraId="0C853C72"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3ED976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Türkiye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D55BA4"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0.845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02953E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0.824</w:t>
            </w:r>
          </w:p>
        </w:tc>
      </w:tr>
      <w:tr w:rsidR="002D6030" w:rsidRPr="00B4036A" w14:paraId="59512CE6"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E6CA9F1"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Turkmenistan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9C07C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68033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0.033</w:t>
            </w:r>
          </w:p>
        </w:tc>
      </w:tr>
      <w:tr w:rsidR="002D6030" w:rsidRPr="00B4036A" w14:paraId="0D65D26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A34696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Tuvalu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BCFCF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42954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2C8352EF"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645C52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Uganda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A98685"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B9A60E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1FDE7E9C"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4511615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Ukraine</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6CFD0C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D89F09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0.055</w:t>
            </w:r>
          </w:p>
        </w:tc>
      </w:tr>
      <w:tr w:rsidR="002D6030" w:rsidRPr="00B4036A" w14:paraId="5092EF3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5ABE649"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lastRenderedPageBreak/>
              <w:t>United Arab Emirates</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AE608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0.635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2B9E50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0.619</w:t>
            </w:r>
          </w:p>
        </w:tc>
      </w:tr>
      <w:tr w:rsidR="002D6030" w:rsidRPr="00B4036A" w14:paraId="72463A2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2FEEFB80"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United Kingdom of Great Britain and Northern Ireland</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332906"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4.375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B9CEF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4.265</w:t>
            </w:r>
          </w:p>
        </w:tc>
      </w:tr>
      <w:tr w:rsidR="002D6030" w:rsidRPr="00B4036A" w14:paraId="3EAF6D8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0B315172"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United Republic of Tanzania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0E3849"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292395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0.010</w:t>
            </w:r>
          </w:p>
        </w:tc>
      </w:tr>
      <w:tr w:rsidR="002D6030" w:rsidRPr="00B4036A" w14:paraId="64BE3BA0"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B0A2F4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United States of America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C4E06F"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22.000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E2BECB"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21.447</w:t>
            </w:r>
          </w:p>
        </w:tc>
      </w:tr>
      <w:tr w:rsidR="002D6030" w:rsidRPr="00B4036A" w14:paraId="2B6B78A3"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71025236"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Uruguay</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18C52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4F187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0.090</w:t>
            </w:r>
          </w:p>
        </w:tc>
      </w:tr>
      <w:tr w:rsidR="002D6030" w:rsidRPr="00B4036A" w14:paraId="3F0AE1C9"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4FFC28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Uzbekistan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D72EF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431A16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0.026</w:t>
            </w:r>
          </w:p>
        </w:tc>
      </w:tr>
      <w:tr w:rsidR="002D6030" w:rsidRPr="00B4036A" w14:paraId="18C324DD"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F84BA4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Vanuatu</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1EB22F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4A92A28"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0.001</w:t>
            </w:r>
          </w:p>
        </w:tc>
      </w:tr>
      <w:tr w:rsidR="002D6030" w:rsidRPr="00B4036A" w14:paraId="5DDB271E"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1169EE28"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Venezuela (Bolivarian Republic of)</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E22D0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0.175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AE63DBC"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0.171</w:t>
            </w:r>
          </w:p>
        </w:tc>
      </w:tr>
      <w:tr w:rsidR="002D6030" w:rsidRPr="00B4036A" w14:paraId="68E2DACA"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3B78913A"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Viet Nam</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68240E"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3BF99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0.091</w:t>
            </w:r>
          </w:p>
        </w:tc>
      </w:tr>
      <w:tr w:rsidR="002D6030" w:rsidRPr="00B4036A" w14:paraId="55FFE511"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61F0556B"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Yemen</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09C223"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D69918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34A541C7" w14:textId="77777777" w:rsidTr="007B02BD">
        <w:trPr>
          <w:trHeight w:val="255"/>
        </w:trPr>
        <w:tc>
          <w:tcPr>
            <w:tcW w:w="2410" w:type="dxa"/>
            <w:tcBorders>
              <w:top w:val="nil"/>
              <w:left w:val="nil"/>
              <w:bottom w:val="nil"/>
              <w:right w:val="nil"/>
            </w:tcBorders>
            <w:noWrap/>
            <w:tcMar>
              <w:top w:w="0" w:type="dxa"/>
              <w:left w:w="108" w:type="dxa"/>
              <w:bottom w:w="0" w:type="dxa"/>
              <w:right w:w="108" w:type="dxa"/>
            </w:tcMar>
            <w:hideMark/>
          </w:tcPr>
          <w:p w14:paraId="5503A9E5"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Zambia</w:t>
            </w:r>
          </w:p>
        </w:tc>
        <w:tc>
          <w:tcPr>
            <w:tcW w:w="2410"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99A58A"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704F77"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0.008</w:t>
            </w:r>
          </w:p>
        </w:tc>
      </w:tr>
      <w:tr w:rsidR="002D6030" w:rsidRPr="00B4036A" w14:paraId="7844055A" w14:textId="77777777" w:rsidTr="007B02BD">
        <w:trPr>
          <w:trHeight w:val="255"/>
        </w:trPr>
        <w:tc>
          <w:tcPr>
            <w:tcW w:w="2410" w:type="dxa"/>
            <w:tcBorders>
              <w:top w:val="nil"/>
              <w:left w:val="nil"/>
              <w:bottom w:val="single" w:sz="2" w:space="0" w:color="auto"/>
              <w:right w:val="nil"/>
            </w:tcBorders>
            <w:noWrap/>
            <w:tcMar>
              <w:top w:w="0" w:type="dxa"/>
              <w:left w:w="108" w:type="dxa"/>
              <w:bottom w:w="0" w:type="dxa"/>
              <w:right w:w="108" w:type="dxa"/>
            </w:tcMar>
            <w:hideMark/>
          </w:tcPr>
          <w:p w14:paraId="42D935F3" w14:textId="77777777" w:rsidR="002D6030" w:rsidRPr="00B4036A" w:rsidRDefault="002D6030" w:rsidP="007B02BD">
            <w:pPr>
              <w:suppressAutoHyphens w:val="0"/>
              <w:spacing w:before="40" w:after="40" w:line="200" w:lineRule="exact"/>
              <w:ind w:left="-105"/>
              <w:rPr>
                <w:sz w:val="18"/>
              </w:rPr>
            </w:pPr>
            <w:r w:rsidRPr="00B4036A">
              <w:rPr>
                <w:rFonts w:eastAsia="MS Mincho"/>
                <w:color w:val="000000"/>
                <w:sz w:val="18"/>
                <w:szCs w:val="18"/>
                <w:lang w:eastAsia="de-DE"/>
              </w:rPr>
              <w:t>Zimbabwe</w:t>
            </w:r>
          </w:p>
        </w:tc>
        <w:tc>
          <w:tcPr>
            <w:tcW w:w="2410" w:type="dxa"/>
            <w:tcBorders>
              <w:top w:val="nil"/>
              <w:left w:val="nil"/>
              <w:bottom w:val="single" w:sz="2" w:space="0" w:color="auto"/>
              <w:right w:val="nil"/>
            </w:tcBorders>
            <w:shd w:val="clear" w:color="auto" w:fill="FFFFFF"/>
            <w:noWrap/>
            <w:tcMar>
              <w:top w:w="0" w:type="dxa"/>
              <w:left w:w="108" w:type="dxa"/>
              <w:bottom w:w="0" w:type="dxa"/>
              <w:right w:w="108" w:type="dxa"/>
            </w:tcMar>
            <w:vAlign w:val="bottom"/>
            <w:hideMark/>
          </w:tcPr>
          <w:p w14:paraId="21F79022"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c>
          <w:tcPr>
            <w:tcW w:w="2551" w:type="dxa"/>
            <w:tcBorders>
              <w:top w:val="nil"/>
              <w:left w:val="nil"/>
              <w:bottom w:val="single" w:sz="2" w:space="0" w:color="auto"/>
              <w:right w:val="nil"/>
            </w:tcBorders>
            <w:shd w:val="clear" w:color="auto" w:fill="FFFFFF"/>
            <w:noWrap/>
            <w:tcMar>
              <w:top w:w="0" w:type="dxa"/>
              <w:left w:w="108" w:type="dxa"/>
              <w:bottom w:w="0" w:type="dxa"/>
              <w:right w:w="108" w:type="dxa"/>
            </w:tcMar>
            <w:vAlign w:val="bottom"/>
            <w:hideMark/>
          </w:tcPr>
          <w:p w14:paraId="31612E90" w14:textId="77777777" w:rsidR="002D6030" w:rsidRPr="00B4036A" w:rsidRDefault="002D6030" w:rsidP="007B02BD">
            <w:pPr>
              <w:suppressAutoHyphens w:val="0"/>
              <w:spacing w:before="40" w:after="40" w:line="200" w:lineRule="exact"/>
              <w:ind w:left="113"/>
              <w:jc w:val="right"/>
              <w:rPr>
                <w:sz w:val="18"/>
                <w:szCs w:val="18"/>
              </w:rPr>
            </w:pPr>
            <w:r w:rsidRPr="00B4036A">
              <w:rPr>
                <w:color w:val="000000"/>
                <w:sz w:val="18"/>
                <w:szCs w:val="18"/>
              </w:rPr>
              <w:t>0.007</w:t>
            </w:r>
          </w:p>
        </w:tc>
      </w:tr>
      <w:tr w:rsidR="002D6030" w:rsidRPr="00B4036A" w14:paraId="44EE28C5" w14:textId="77777777" w:rsidTr="007B02BD">
        <w:trPr>
          <w:trHeight w:val="61"/>
        </w:trPr>
        <w:tc>
          <w:tcPr>
            <w:tcW w:w="2410" w:type="dxa"/>
            <w:tcBorders>
              <w:top w:val="single" w:sz="2" w:space="0" w:color="auto"/>
              <w:left w:val="nil"/>
              <w:bottom w:val="single" w:sz="12" w:space="0" w:color="auto"/>
              <w:right w:val="nil"/>
            </w:tcBorders>
            <w:noWrap/>
            <w:tcMar>
              <w:top w:w="0" w:type="dxa"/>
              <w:left w:w="108" w:type="dxa"/>
              <w:bottom w:w="0" w:type="dxa"/>
              <w:right w:w="108" w:type="dxa"/>
            </w:tcMar>
            <w:hideMark/>
          </w:tcPr>
          <w:p w14:paraId="648E52FE" w14:textId="77777777" w:rsidR="002D6030" w:rsidRPr="00B4036A" w:rsidRDefault="002D6030" w:rsidP="007B02BD">
            <w:pPr>
              <w:suppressAutoHyphens w:val="0"/>
              <w:spacing w:before="40" w:after="40" w:line="200" w:lineRule="exact"/>
              <w:ind w:left="179"/>
              <w:rPr>
                <w:sz w:val="18"/>
              </w:rPr>
            </w:pPr>
            <w:r w:rsidRPr="00B4036A">
              <w:rPr>
                <w:rFonts w:eastAsia="MS Mincho"/>
                <w:b/>
                <w:bCs/>
                <w:color w:val="000000"/>
                <w:sz w:val="18"/>
                <w:szCs w:val="18"/>
                <w:lang w:eastAsia="de-DE"/>
              </w:rPr>
              <w:t>Total</w:t>
            </w:r>
          </w:p>
        </w:tc>
        <w:tc>
          <w:tcPr>
            <w:tcW w:w="2410" w:type="dxa"/>
            <w:tcBorders>
              <w:top w:val="single" w:sz="2" w:space="0" w:color="auto"/>
              <w:left w:val="nil"/>
              <w:bottom w:val="single" w:sz="12" w:space="0" w:color="auto"/>
              <w:right w:val="nil"/>
            </w:tcBorders>
            <w:shd w:val="clear" w:color="auto" w:fill="FFFFFF"/>
            <w:noWrap/>
            <w:tcMar>
              <w:top w:w="0" w:type="dxa"/>
              <w:left w:w="108" w:type="dxa"/>
              <w:bottom w:w="0" w:type="dxa"/>
              <w:right w:w="108" w:type="dxa"/>
            </w:tcMar>
            <w:vAlign w:val="bottom"/>
            <w:hideMark/>
          </w:tcPr>
          <w:p w14:paraId="4312B982" w14:textId="77777777" w:rsidR="002D6030" w:rsidRPr="00B4036A" w:rsidRDefault="002D6030" w:rsidP="007B02BD">
            <w:pPr>
              <w:suppressAutoHyphens w:val="0"/>
              <w:spacing w:before="40" w:after="40" w:line="200" w:lineRule="exact"/>
              <w:ind w:left="113"/>
              <w:jc w:val="right"/>
              <w:rPr>
                <w:sz w:val="18"/>
                <w:szCs w:val="18"/>
              </w:rPr>
            </w:pPr>
            <w:r w:rsidRPr="00B4036A">
              <w:rPr>
                <w:b/>
                <w:bCs/>
                <w:color w:val="000000"/>
                <w:sz w:val="18"/>
                <w:szCs w:val="18"/>
              </w:rPr>
              <w:t>100.000</w:t>
            </w:r>
          </w:p>
        </w:tc>
        <w:tc>
          <w:tcPr>
            <w:tcW w:w="2551" w:type="dxa"/>
            <w:tcBorders>
              <w:top w:val="single" w:sz="2" w:space="0" w:color="auto"/>
              <w:left w:val="nil"/>
              <w:bottom w:val="single" w:sz="12" w:space="0" w:color="auto"/>
              <w:right w:val="nil"/>
            </w:tcBorders>
            <w:shd w:val="clear" w:color="auto" w:fill="FFFFFF"/>
            <w:noWrap/>
            <w:tcMar>
              <w:top w:w="0" w:type="dxa"/>
              <w:left w:w="108" w:type="dxa"/>
              <w:bottom w:w="0" w:type="dxa"/>
              <w:right w:w="108" w:type="dxa"/>
            </w:tcMar>
            <w:vAlign w:val="bottom"/>
            <w:hideMark/>
          </w:tcPr>
          <w:p w14:paraId="406384E5" w14:textId="77777777" w:rsidR="002D6030" w:rsidRPr="00B4036A" w:rsidRDefault="002D6030" w:rsidP="007B02BD">
            <w:pPr>
              <w:suppressAutoHyphens w:val="0"/>
              <w:spacing w:before="40" w:after="40" w:line="200" w:lineRule="exact"/>
              <w:ind w:left="113"/>
              <w:jc w:val="right"/>
              <w:rPr>
                <w:sz w:val="18"/>
                <w:szCs w:val="18"/>
              </w:rPr>
            </w:pPr>
            <w:r w:rsidRPr="00B4036A">
              <w:rPr>
                <w:b/>
                <w:bCs/>
                <w:color w:val="000000"/>
                <w:sz w:val="18"/>
                <w:szCs w:val="18"/>
              </w:rPr>
              <w:t>100.000</w:t>
            </w:r>
          </w:p>
        </w:tc>
      </w:tr>
    </w:tbl>
    <w:p w14:paraId="1E6BA93C" w14:textId="77777777" w:rsidR="00A239BC" w:rsidRPr="00B4036A" w:rsidRDefault="00A239BC" w:rsidP="00A239BC">
      <w:pPr>
        <w:ind w:right="1133"/>
        <w:jc w:val="right"/>
        <w:rPr>
          <w:i/>
        </w:rPr>
      </w:pPr>
      <w:r w:rsidRPr="00B4036A">
        <w:rPr>
          <w:i/>
        </w:rPr>
        <w:t>9</w:t>
      </w:r>
      <w:r w:rsidRPr="00B4036A">
        <w:rPr>
          <w:i/>
          <w:vertAlign w:val="superscript"/>
        </w:rPr>
        <w:t>th</w:t>
      </w:r>
      <w:r w:rsidRPr="00B4036A">
        <w:rPr>
          <w:i/>
        </w:rPr>
        <w:t xml:space="preserve"> plenary meeting</w:t>
      </w:r>
    </w:p>
    <w:p w14:paraId="234837FE" w14:textId="77777777" w:rsidR="00A239BC" w:rsidRPr="00B4036A" w:rsidRDefault="00A239BC" w:rsidP="00A239BC">
      <w:pPr>
        <w:ind w:right="1133"/>
        <w:jc w:val="right"/>
        <w:rPr>
          <w:lang w:val="en-US"/>
        </w:rPr>
      </w:pPr>
      <w:r w:rsidRPr="00B4036A">
        <w:rPr>
          <w:i/>
        </w:rPr>
        <w:t>17 November 2022</w:t>
      </w:r>
    </w:p>
    <w:p w14:paraId="49B363CD" w14:textId="02089C0C" w:rsidR="00F9388A" w:rsidRPr="00B4036A" w:rsidRDefault="00F9388A" w:rsidP="0080496A"/>
    <w:p w14:paraId="3114D3DC" w14:textId="77777777" w:rsidR="00F9388A" w:rsidRPr="00B4036A" w:rsidRDefault="00F9388A" w:rsidP="00B4036A">
      <w:pPr>
        <w:pStyle w:val="RegHChG"/>
        <w:numPr>
          <w:ilvl w:val="0"/>
          <w:numId w:val="25"/>
        </w:numPr>
        <w:sectPr w:rsidR="00F9388A" w:rsidRPr="00B4036A" w:rsidSect="00107EF4">
          <w:headerReference w:type="even" r:id="rId32"/>
          <w:headerReference w:type="default" r:id="rId33"/>
          <w:footerReference w:type="even" r:id="rId34"/>
          <w:footerReference w:type="default" r:id="rId35"/>
          <w:headerReference w:type="first" r:id="rId36"/>
          <w:footerReference w:type="first" r:id="rId37"/>
          <w:footnotePr>
            <w:numRestart w:val="eachSect"/>
          </w:footnotePr>
          <w:pgSz w:w="11906" w:h="16838" w:code="9"/>
          <w:pgMar w:top="1417" w:right="1134" w:bottom="1134" w:left="1134" w:header="850" w:footer="567" w:gutter="0"/>
          <w:cols w:space="708"/>
          <w:docGrid w:linePitch="360"/>
        </w:sectPr>
      </w:pPr>
    </w:p>
    <w:p w14:paraId="413DF6A3" w14:textId="4FE3A360" w:rsidR="00BC69CA" w:rsidRPr="00B4036A" w:rsidRDefault="00BC69CA" w:rsidP="00BC69CA">
      <w:pPr>
        <w:pStyle w:val="HChG"/>
      </w:pPr>
      <w:r w:rsidRPr="00B4036A">
        <w:lastRenderedPageBreak/>
        <w:tab/>
      </w:r>
      <w:r w:rsidRPr="00B4036A">
        <w:tab/>
      </w:r>
      <w:bookmarkStart w:id="8" w:name="Decision_27"/>
      <w:r w:rsidRPr="00B4036A">
        <w:t>Decision 27/CP.27</w:t>
      </w:r>
      <w:bookmarkEnd w:id="8"/>
    </w:p>
    <w:p w14:paraId="4B39E8B1" w14:textId="79B30D82" w:rsidR="00510691" w:rsidRPr="00B4036A" w:rsidRDefault="00510691" w:rsidP="00510691">
      <w:pPr>
        <w:pStyle w:val="HChG"/>
      </w:pPr>
      <w:r w:rsidRPr="00B4036A">
        <w:tab/>
      </w:r>
      <w:r w:rsidRPr="00B4036A">
        <w:tab/>
      </w:r>
      <w:r w:rsidRPr="00B4036A">
        <w:tab/>
        <w:t>Administrative, financial and institutional matters</w:t>
      </w:r>
    </w:p>
    <w:p w14:paraId="07A0A73F" w14:textId="77777777" w:rsidR="00510691" w:rsidRPr="00B4036A" w:rsidRDefault="00510691" w:rsidP="00510691">
      <w:pPr>
        <w:spacing w:before="120"/>
        <w:ind w:left="1134" w:right="1174" w:firstLine="567"/>
        <w:jc w:val="both"/>
        <w:rPr>
          <w:i/>
        </w:rPr>
      </w:pPr>
      <w:r w:rsidRPr="00B4036A">
        <w:rPr>
          <w:i/>
        </w:rPr>
        <w:t>The Conference of the Parties</w:t>
      </w:r>
      <w:r w:rsidRPr="00B4036A">
        <w:t>,</w:t>
      </w:r>
    </w:p>
    <w:p w14:paraId="393CC04D" w14:textId="77777777" w:rsidR="00510691" w:rsidRPr="00B4036A" w:rsidRDefault="00510691" w:rsidP="00510691">
      <w:pPr>
        <w:spacing w:before="120"/>
        <w:ind w:left="1134" w:right="1174" w:firstLine="567"/>
        <w:jc w:val="both"/>
      </w:pPr>
      <w:r w:rsidRPr="00B4036A">
        <w:rPr>
          <w:i/>
        </w:rPr>
        <w:t xml:space="preserve">Recalling </w:t>
      </w:r>
      <w:r w:rsidRPr="00B4036A">
        <w:t>the financial procedures for the Conference of the Parties,</w:t>
      </w:r>
      <w:r w:rsidRPr="00B4036A">
        <w:rPr>
          <w:rStyle w:val="FootnoteReference"/>
        </w:rPr>
        <w:footnoteReference w:id="25"/>
      </w:r>
    </w:p>
    <w:p w14:paraId="6AAA2E73" w14:textId="77777777" w:rsidR="00510691" w:rsidRPr="00B4036A" w:rsidRDefault="00510691" w:rsidP="00510691">
      <w:pPr>
        <w:spacing w:before="120"/>
        <w:ind w:left="1134" w:right="1174" w:firstLine="567"/>
        <w:rPr>
          <w:rFonts w:eastAsia="Times New Roman"/>
          <w:lang w:val="en-US" w:eastAsia="en-US"/>
        </w:rPr>
      </w:pPr>
      <w:r w:rsidRPr="00B4036A">
        <w:rPr>
          <w:i/>
        </w:rPr>
        <w:t>Having</w:t>
      </w:r>
      <w:r w:rsidRPr="00B4036A">
        <w:rPr>
          <w:rFonts w:eastAsia="Times New Roman"/>
          <w:i/>
          <w:lang w:val="en-US" w:eastAsia="en-US"/>
        </w:rPr>
        <w:t xml:space="preserve"> </w:t>
      </w:r>
      <w:r w:rsidRPr="00B4036A">
        <w:rPr>
          <w:i/>
        </w:rPr>
        <w:t>considered</w:t>
      </w:r>
      <w:r w:rsidRPr="00B4036A">
        <w:rPr>
          <w:rFonts w:eastAsia="Times New Roman"/>
          <w:i/>
          <w:lang w:val="en-US" w:eastAsia="en-US"/>
        </w:rPr>
        <w:t xml:space="preserve"> </w:t>
      </w:r>
      <w:r w:rsidRPr="00B4036A">
        <w:rPr>
          <w:rFonts w:eastAsia="Times New Roman"/>
          <w:lang w:val="en-US" w:eastAsia="en-US"/>
        </w:rPr>
        <w:t>the information contained in the documents prepared by the secretariat on administrative, financial and institutional matters for this session,</w:t>
      </w:r>
      <w:r w:rsidRPr="00B4036A">
        <w:rPr>
          <w:rStyle w:val="FootnoteReference"/>
          <w:rFonts w:eastAsia="Times New Roman"/>
          <w:lang w:val="en-US" w:eastAsia="en-US"/>
        </w:rPr>
        <w:footnoteReference w:id="26"/>
      </w:r>
    </w:p>
    <w:p w14:paraId="1DC4E1DF" w14:textId="77777777" w:rsidR="00510691" w:rsidRPr="00B4036A" w:rsidRDefault="00510691" w:rsidP="006017CC">
      <w:pPr>
        <w:pStyle w:val="RegHChG"/>
        <w:numPr>
          <w:ilvl w:val="0"/>
          <w:numId w:val="26"/>
        </w:numPr>
      </w:pPr>
      <w:r w:rsidRPr="00B4036A">
        <w:t>Audit report and financial statements for 2021</w:t>
      </w:r>
    </w:p>
    <w:p w14:paraId="2519F7AA" w14:textId="77777777" w:rsidR="00510691" w:rsidRPr="00B4036A" w:rsidRDefault="00510691" w:rsidP="006017CC">
      <w:pPr>
        <w:pStyle w:val="RegSingleTxtG"/>
        <w:numPr>
          <w:ilvl w:val="5"/>
          <w:numId w:val="26"/>
        </w:numPr>
        <w:rPr>
          <w:lang w:eastAsia="en-US"/>
        </w:rPr>
      </w:pPr>
      <w:r w:rsidRPr="00B4036A">
        <w:rPr>
          <w:i/>
          <w:lang w:eastAsia="en-US"/>
        </w:rPr>
        <w:t>Takes note</w:t>
      </w:r>
      <w:r w:rsidRPr="00B4036A">
        <w:rPr>
          <w:lang w:eastAsia="en-US"/>
        </w:rPr>
        <w:t xml:space="preserve"> of the financial report and audited financial statements for 2021 and the report of the United Nations Board of Auditors, which include recommendations, and the comments of the secretariat thereon;</w:t>
      </w:r>
    </w:p>
    <w:p w14:paraId="703EEB74" w14:textId="77777777" w:rsidR="00510691" w:rsidRPr="00B4036A" w:rsidRDefault="00510691" w:rsidP="006017CC">
      <w:pPr>
        <w:pStyle w:val="RegSingleTxtG"/>
        <w:numPr>
          <w:ilvl w:val="5"/>
          <w:numId w:val="26"/>
        </w:numPr>
        <w:rPr>
          <w:rFonts w:eastAsia="Times New Roman"/>
          <w:lang w:eastAsia="en-US"/>
        </w:rPr>
      </w:pPr>
      <w:r w:rsidRPr="00B4036A">
        <w:rPr>
          <w:rFonts w:eastAsia="Times New Roman"/>
          <w:i/>
          <w:lang w:eastAsia="en-US"/>
        </w:rPr>
        <w:t>Expresses its appreciation</w:t>
      </w:r>
      <w:r w:rsidRPr="00B4036A">
        <w:rPr>
          <w:rFonts w:eastAsia="Times New Roman"/>
          <w:lang w:eastAsia="en-US"/>
        </w:rPr>
        <w:t xml:space="preserve"> to the </w:t>
      </w:r>
      <w:r w:rsidRPr="00B4036A">
        <w:rPr>
          <w:lang w:eastAsia="en-US"/>
        </w:rPr>
        <w:t>United</w:t>
      </w:r>
      <w:r w:rsidRPr="00B4036A">
        <w:rPr>
          <w:rFonts w:eastAsia="Times New Roman"/>
          <w:lang w:eastAsia="en-US"/>
        </w:rPr>
        <w:t xml:space="preserve"> Nations for arranging the audit of the accounts of the Convention;</w:t>
      </w:r>
    </w:p>
    <w:p w14:paraId="38DBB1E9" w14:textId="77777777" w:rsidR="00510691" w:rsidRPr="00B4036A" w:rsidRDefault="00510691" w:rsidP="006017CC">
      <w:pPr>
        <w:pStyle w:val="RegSingleTxtG"/>
        <w:numPr>
          <w:ilvl w:val="5"/>
          <w:numId w:val="26"/>
        </w:numPr>
        <w:rPr>
          <w:rFonts w:eastAsia="Times New Roman"/>
          <w:lang w:eastAsia="en-US"/>
        </w:rPr>
      </w:pPr>
      <w:r w:rsidRPr="00B4036A">
        <w:rPr>
          <w:rFonts w:eastAsia="Times New Roman"/>
          <w:i/>
          <w:lang w:eastAsia="en-US"/>
        </w:rPr>
        <w:t>Also expresses its appreciation</w:t>
      </w:r>
      <w:r w:rsidRPr="00B4036A">
        <w:rPr>
          <w:rFonts w:eastAsia="Times New Roman"/>
          <w:lang w:eastAsia="en-US"/>
        </w:rPr>
        <w:t xml:space="preserve"> to the </w:t>
      </w:r>
      <w:r w:rsidRPr="00B4036A">
        <w:rPr>
          <w:lang w:eastAsia="en-US"/>
        </w:rPr>
        <w:t>auditors</w:t>
      </w:r>
      <w:r w:rsidRPr="00B4036A">
        <w:rPr>
          <w:rFonts w:eastAsia="Times New Roman"/>
          <w:lang w:eastAsia="en-US"/>
        </w:rPr>
        <w:t xml:space="preserve"> for their valuable observations and recommendations;</w:t>
      </w:r>
    </w:p>
    <w:p w14:paraId="5F44F95B" w14:textId="77777777" w:rsidR="00510691" w:rsidRPr="00B4036A" w:rsidRDefault="00510691" w:rsidP="006017CC">
      <w:pPr>
        <w:pStyle w:val="RegSingleTxtG"/>
        <w:numPr>
          <w:ilvl w:val="5"/>
          <w:numId w:val="26"/>
        </w:numPr>
        <w:rPr>
          <w:rFonts w:eastAsia="Times New Roman"/>
          <w:lang w:eastAsia="en-US"/>
        </w:rPr>
      </w:pPr>
      <w:r w:rsidRPr="00B4036A">
        <w:rPr>
          <w:rFonts w:eastAsia="Times New Roman"/>
          <w:i/>
          <w:iCs/>
          <w:lang w:eastAsia="en-US"/>
        </w:rPr>
        <w:t>Expresses</w:t>
      </w:r>
      <w:r w:rsidRPr="00B4036A">
        <w:rPr>
          <w:rFonts w:eastAsia="Times New Roman"/>
          <w:lang w:eastAsia="en-US"/>
        </w:rPr>
        <w:t xml:space="preserve"> </w:t>
      </w:r>
      <w:r w:rsidRPr="00B4036A">
        <w:rPr>
          <w:rFonts w:eastAsia="Times New Roman"/>
          <w:i/>
          <w:lang w:eastAsia="en-US"/>
        </w:rPr>
        <w:t>concern</w:t>
      </w:r>
      <w:r w:rsidRPr="00B4036A">
        <w:rPr>
          <w:rFonts w:eastAsia="Times New Roman"/>
          <w:lang w:eastAsia="en-US"/>
        </w:rPr>
        <w:t xml:space="preserve"> about the high number of recommendations from the United Nations Board of Auditors not yet implemented by </w:t>
      </w:r>
      <w:r w:rsidRPr="00B4036A">
        <w:rPr>
          <w:lang w:eastAsia="en-US"/>
        </w:rPr>
        <w:t>the</w:t>
      </w:r>
      <w:r w:rsidRPr="00B4036A">
        <w:rPr>
          <w:rFonts w:eastAsia="Times New Roman"/>
          <w:lang w:eastAsia="en-US"/>
        </w:rPr>
        <w:t xml:space="preserve"> secretariat;</w:t>
      </w:r>
    </w:p>
    <w:p w14:paraId="741EFD5C" w14:textId="77777777" w:rsidR="00510691" w:rsidRPr="00B4036A" w:rsidRDefault="00510691" w:rsidP="006017CC">
      <w:pPr>
        <w:pStyle w:val="RegSingleTxtG"/>
        <w:numPr>
          <w:ilvl w:val="5"/>
          <w:numId w:val="26"/>
        </w:numPr>
        <w:rPr>
          <w:rFonts w:eastAsia="Times New Roman"/>
          <w:lang w:eastAsia="en-US"/>
        </w:rPr>
      </w:pPr>
      <w:r w:rsidRPr="00B4036A">
        <w:rPr>
          <w:rFonts w:eastAsia="Times New Roman"/>
          <w:i/>
          <w:lang w:eastAsia="en-US"/>
        </w:rPr>
        <w:t>Urges</w:t>
      </w:r>
      <w:r w:rsidRPr="00B4036A">
        <w:rPr>
          <w:rFonts w:eastAsia="Times New Roman"/>
          <w:lang w:eastAsia="en-US"/>
        </w:rPr>
        <w:t xml:space="preserve"> the Executive Secretary to implement </w:t>
      </w:r>
      <w:r w:rsidRPr="00B4036A">
        <w:rPr>
          <w:lang w:eastAsia="en-US"/>
        </w:rPr>
        <w:t>the</w:t>
      </w:r>
      <w:r w:rsidRPr="00B4036A">
        <w:rPr>
          <w:rFonts w:eastAsia="Times New Roman"/>
          <w:lang w:eastAsia="en-US"/>
        </w:rPr>
        <w:t xml:space="preserve"> recommendations of the auditors</w:t>
      </w:r>
      <w:r w:rsidRPr="00B4036A" w:rsidDel="00AD369F">
        <w:rPr>
          <w:rFonts w:eastAsia="Times New Roman"/>
          <w:lang w:eastAsia="en-US"/>
        </w:rPr>
        <w:t>,</w:t>
      </w:r>
      <w:r w:rsidRPr="00B4036A">
        <w:rPr>
          <w:rFonts w:eastAsia="Times New Roman"/>
          <w:lang w:eastAsia="en-US"/>
        </w:rPr>
        <w:t xml:space="preserve"> as appropriate, and to update Parties on progress;</w:t>
      </w:r>
    </w:p>
    <w:p w14:paraId="63EAA270" w14:textId="77777777" w:rsidR="00510691" w:rsidRPr="00B4036A" w:rsidRDefault="00510691" w:rsidP="006017CC">
      <w:pPr>
        <w:pStyle w:val="RegHChG"/>
        <w:numPr>
          <w:ilvl w:val="0"/>
          <w:numId w:val="26"/>
        </w:numPr>
        <w:rPr>
          <w:rFonts w:eastAsiaTheme="minorHAnsi"/>
        </w:rPr>
      </w:pPr>
      <w:r w:rsidRPr="00B4036A">
        <w:t>Other financial and budgetary matters</w:t>
      </w:r>
    </w:p>
    <w:p w14:paraId="3B6691CF" w14:textId="77777777" w:rsidR="00510691" w:rsidRPr="00B4036A" w:rsidRDefault="00510691" w:rsidP="006017CC">
      <w:pPr>
        <w:pStyle w:val="RegSingleTxtG"/>
        <w:numPr>
          <w:ilvl w:val="5"/>
          <w:numId w:val="26"/>
        </w:numPr>
      </w:pPr>
      <w:r w:rsidRPr="00B4036A">
        <w:rPr>
          <w:i/>
          <w:iCs/>
        </w:rPr>
        <w:t>Takes note</w:t>
      </w:r>
      <w:r w:rsidRPr="00B4036A">
        <w:t xml:space="preserve"> of the information contained in the note on the updated work programme of the secretariat for the biennium 2022–2023;</w:t>
      </w:r>
      <w:r w:rsidRPr="00B4036A">
        <w:rPr>
          <w:sz w:val="18"/>
          <w:vertAlign w:val="superscript"/>
        </w:rPr>
        <w:footnoteReference w:id="27"/>
      </w:r>
    </w:p>
    <w:p w14:paraId="68F473FC" w14:textId="77777777" w:rsidR="00510691" w:rsidRPr="00B4036A" w:rsidRDefault="00510691" w:rsidP="006017CC">
      <w:pPr>
        <w:pStyle w:val="RegSingleTxtG"/>
        <w:numPr>
          <w:ilvl w:val="5"/>
          <w:numId w:val="26"/>
        </w:numPr>
      </w:pPr>
      <w:r w:rsidRPr="00B4036A">
        <w:rPr>
          <w:i/>
          <w:iCs/>
        </w:rPr>
        <w:t>Also takes note</w:t>
      </w:r>
      <w:r w:rsidRPr="00B4036A">
        <w:t xml:space="preserve"> of the information contained in the note on </w:t>
      </w:r>
      <w:r w:rsidRPr="00B4036A">
        <w:rPr>
          <w:rFonts w:eastAsia="Times New Roman"/>
          <w:lang w:eastAsia="en-US"/>
        </w:rPr>
        <w:t xml:space="preserve">the status of contributions to the trust funds administered by the secretariat as at 21 </w:t>
      </w:r>
      <w:r w:rsidRPr="00B4036A">
        <w:rPr>
          <w:lang w:eastAsia="en-US"/>
        </w:rPr>
        <w:t>October</w:t>
      </w:r>
      <w:r w:rsidRPr="00B4036A">
        <w:rPr>
          <w:rFonts w:eastAsia="Times New Roman"/>
          <w:lang w:eastAsia="en-US"/>
        </w:rPr>
        <w:t xml:space="preserve"> </w:t>
      </w:r>
      <w:r w:rsidRPr="00B4036A">
        <w:t>2022;</w:t>
      </w:r>
      <w:r w:rsidRPr="00B4036A">
        <w:rPr>
          <w:sz w:val="18"/>
          <w:vertAlign w:val="superscript"/>
        </w:rPr>
        <w:footnoteReference w:id="28"/>
      </w:r>
    </w:p>
    <w:p w14:paraId="051276D2" w14:textId="77777777" w:rsidR="00510691" w:rsidRPr="00B4036A" w:rsidRDefault="00510691" w:rsidP="006017CC">
      <w:pPr>
        <w:pStyle w:val="RegSingleTxtG"/>
        <w:numPr>
          <w:ilvl w:val="5"/>
          <w:numId w:val="26"/>
        </w:numPr>
      </w:pPr>
      <w:r w:rsidRPr="00B4036A">
        <w:rPr>
          <w:rFonts w:eastAsia="Times New Roman"/>
          <w:i/>
          <w:lang w:eastAsia="en-US"/>
        </w:rPr>
        <w:t xml:space="preserve">Expresses its </w:t>
      </w:r>
      <w:r w:rsidRPr="00B4036A">
        <w:rPr>
          <w:i/>
        </w:rPr>
        <w:t>appreciation</w:t>
      </w:r>
      <w:r w:rsidRPr="00B4036A">
        <w:t xml:space="preserve"> to Parties that made </w:t>
      </w:r>
      <w:r w:rsidRPr="00B4036A">
        <w:rPr>
          <w:lang w:eastAsia="en-US"/>
        </w:rPr>
        <w:t>contributions</w:t>
      </w:r>
      <w:r w:rsidRPr="00B4036A">
        <w:t xml:space="preserve"> to the core budget in a timely manner;</w:t>
      </w:r>
    </w:p>
    <w:p w14:paraId="30651BD3" w14:textId="77777777" w:rsidR="00510691" w:rsidRPr="00B4036A" w:rsidRDefault="00510691" w:rsidP="006017CC">
      <w:pPr>
        <w:pStyle w:val="RegSingleTxtG"/>
        <w:numPr>
          <w:ilvl w:val="5"/>
          <w:numId w:val="26"/>
        </w:numPr>
      </w:pPr>
      <w:r w:rsidRPr="00B4036A">
        <w:rPr>
          <w:i/>
        </w:rPr>
        <w:t>Expresses concern</w:t>
      </w:r>
      <w:r w:rsidRPr="00B4036A">
        <w:t xml:space="preserve"> regarding the high level of outstanding contributions to the core budget for the current and previous bienniums, which has </w:t>
      </w:r>
      <w:r w:rsidRPr="00B4036A">
        <w:rPr>
          <w:lang w:eastAsia="en-US"/>
        </w:rPr>
        <w:t>resulted</w:t>
      </w:r>
      <w:r w:rsidRPr="00B4036A">
        <w:t xml:space="preserve"> in difficulties with cash flow and the effective implementation of activities;</w:t>
      </w:r>
    </w:p>
    <w:p w14:paraId="31E936B5" w14:textId="77777777" w:rsidR="00510691" w:rsidRPr="00B4036A" w:rsidRDefault="00510691" w:rsidP="006017CC">
      <w:pPr>
        <w:pStyle w:val="RegSingleTxtG"/>
        <w:numPr>
          <w:ilvl w:val="5"/>
          <w:numId w:val="26"/>
        </w:numPr>
      </w:pPr>
      <w:r w:rsidRPr="00B4036A">
        <w:rPr>
          <w:i/>
        </w:rPr>
        <w:t>Strongly urges</w:t>
      </w:r>
      <w:r w:rsidRPr="00B4036A">
        <w:t xml:space="preserve"> Parties that have not made </w:t>
      </w:r>
      <w:r w:rsidRPr="00B4036A">
        <w:rPr>
          <w:lang w:eastAsia="en-US"/>
        </w:rPr>
        <w:t>contributions</w:t>
      </w:r>
      <w:r w:rsidRPr="00B4036A">
        <w:t xml:space="preserve"> in full to the core budget for the current and/or previous bienniums to do so without further delay;</w:t>
      </w:r>
    </w:p>
    <w:p w14:paraId="5AE49B6A" w14:textId="77777777" w:rsidR="00510691" w:rsidRPr="00B4036A" w:rsidRDefault="00510691" w:rsidP="006017CC">
      <w:pPr>
        <w:pStyle w:val="RegSingleTxtG"/>
        <w:numPr>
          <w:ilvl w:val="5"/>
          <w:numId w:val="26"/>
        </w:numPr>
      </w:pPr>
      <w:r w:rsidRPr="00B4036A">
        <w:rPr>
          <w:i/>
        </w:rPr>
        <w:t>Expresses its appreciation</w:t>
      </w:r>
      <w:r w:rsidRPr="00B4036A">
        <w:t xml:space="preserve"> for the contributions to the Trust Fund for Participation in the UNFCCC Process and to the Trust Fund for </w:t>
      </w:r>
      <w:r w:rsidRPr="00B4036A">
        <w:rPr>
          <w:lang w:eastAsia="en-US"/>
        </w:rPr>
        <w:t>Supplementary</w:t>
      </w:r>
      <w:r w:rsidRPr="00B4036A">
        <w:t xml:space="preserve"> Activities received from Parties, including those contributions that allow for greater flexibility in allocation;</w:t>
      </w:r>
    </w:p>
    <w:p w14:paraId="0F2B0D4C" w14:textId="77777777" w:rsidR="00510691" w:rsidRPr="00B4036A" w:rsidRDefault="00510691" w:rsidP="006017CC">
      <w:pPr>
        <w:pStyle w:val="RegSingleTxtG"/>
        <w:numPr>
          <w:ilvl w:val="5"/>
          <w:numId w:val="26"/>
        </w:numPr>
      </w:pPr>
      <w:r w:rsidRPr="00B4036A">
        <w:rPr>
          <w:i/>
        </w:rPr>
        <w:t>Urges</w:t>
      </w:r>
      <w:r w:rsidRPr="00B4036A">
        <w:t xml:space="preserve"> Parties to further contribute to the Trust Fund for Participation in the UNFCCC Process in order to ensure the widest possible participation in the process in 2022–2023, and to the Trust Fund for Supplementary Activities to ensure a high level of implementation of the UNFCCC work programme; </w:t>
      </w:r>
    </w:p>
    <w:p w14:paraId="01A9E3A5" w14:textId="77777777" w:rsidR="00510691" w:rsidRPr="00B4036A" w:rsidRDefault="00510691" w:rsidP="006017CC">
      <w:pPr>
        <w:pStyle w:val="RegSingleTxtG"/>
        <w:numPr>
          <w:ilvl w:val="5"/>
          <w:numId w:val="26"/>
        </w:numPr>
        <w:rPr>
          <w:rFonts w:eastAsia="Times New Roman"/>
          <w:lang w:eastAsia="en-US"/>
        </w:rPr>
      </w:pPr>
      <w:r w:rsidRPr="00B4036A">
        <w:rPr>
          <w:i/>
        </w:rPr>
        <w:lastRenderedPageBreak/>
        <w:t>Reiterates its appreciation</w:t>
      </w:r>
      <w:r w:rsidRPr="00B4036A">
        <w:t xml:space="preserve"> to the Government of Germany for its annual voluntary contribution to the core budget of EUR 766,938 </w:t>
      </w:r>
      <w:r w:rsidRPr="00B4036A">
        <w:rPr>
          <w:lang w:eastAsia="en-US"/>
        </w:rPr>
        <w:t>and</w:t>
      </w:r>
      <w:r w:rsidRPr="00B4036A">
        <w:t xml:space="preserve"> its special contribution</w:t>
      </w:r>
      <w:r w:rsidRPr="00B4036A">
        <w:rPr>
          <w:rFonts w:eastAsia="Times New Roman"/>
          <w:lang w:eastAsia="en-US"/>
        </w:rPr>
        <w:t xml:space="preserve"> of EUR 1,789,522 as Host Government of the secretariat;</w:t>
      </w:r>
    </w:p>
    <w:p w14:paraId="6D8EEBE8" w14:textId="77777777" w:rsidR="00510691" w:rsidRPr="00B4036A" w:rsidRDefault="00510691" w:rsidP="006017CC">
      <w:pPr>
        <w:pStyle w:val="RegSingleTxtG"/>
        <w:numPr>
          <w:ilvl w:val="5"/>
          <w:numId w:val="26"/>
        </w:numPr>
        <w:rPr>
          <w:rFonts w:eastAsia="Times New Roman"/>
          <w:lang w:eastAsia="en-US"/>
        </w:rPr>
      </w:pPr>
      <w:r w:rsidRPr="00B4036A">
        <w:rPr>
          <w:i/>
          <w:lang w:eastAsia="en-US"/>
        </w:rPr>
        <w:t>Requests</w:t>
      </w:r>
      <w:r w:rsidRPr="00B4036A">
        <w:rPr>
          <w:lang w:eastAsia="en-US"/>
        </w:rPr>
        <w:t xml:space="preserve"> the Executive Secretary </w:t>
      </w:r>
      <w:r w:rsidRPr="00B4036A">
        <w:t xml:space="preserve">to </w:t>
      </w:r>
      <w:r w:rsidRPr="00B4036A">
        <w:rPr>
          <w:lang w:eastAsia="en-US"/>
        </w:rPr>
        <w:t xml:space="preserve">take further measures to </w:t>
      </w:r>
      <w:r w:rsidRPr="00B4036A">
        <w:rPr>
          <w:rFonts w:eastAsia="Times New Roman"/>
          <w:lang w:eastAsia="en-US"/>
        </w:rPr>
        <w:t>reduce Parties’ outstanding contributions.</w:t>
      </w:r>
    </w:p>
    <w:p w14:paraId="25F88AD6" w14:textId="77777777" w:rsidR="00A239BC" w:rsidRPr="00B4036A" w:rsidRDefault="00A239BC" w:rsidP="00A239BC">
      <w:pPr>
        <w:ind w:right="1133"/>
        <w:jc w:val="right"/>
        <w:rPr>
          <w:i/>
        </w:rPr>
      </w:pPr>
      <w:r w:rsidRPr="00B4036A">
        <w:rPr>
          <w:i/>
        </w:rPr>
        <w:t>9</w:t>
      </w:r>
      <w:r w:rsidRPr="00B4036A">
        <w:rPr>
          <w:i/>
          <w:vertAlign w:val="superscript"/>
        </w:rPr>
        <w:t>th</w:t>
      </w:r>
      <w:r w:rsidRPr="00B4036A">
        <w:rPr>
          <w:i/>
        </w:rPr>
        <w:t xml:space="preserve"> plenary meeting</w:t>
      </w:r>
    </w:p>
    <w:p w14:paraId="4AF2E964" w14:textId="77777777" w:rsidR="00A239BC" w:rsidRPr="00B4036A" w:rsidRDefault="00A239BC" w:rsidP="00A239BC">
      <w:pPr>
        <w:ind w:right="1133"/>
        <w:jc w:val="right"/>
        <w:rPr>
          <w:lang w:val="en-US"/>
        </w:rPr>
      </w:pPr>
      <w:r w:rsidRPr="00B4036A">
        <w:rPr>
          <w:i/>
        </w:rPr>
        <w:t>17 November 2022</w:t>
      </w:r>
    </w:p>
    <w:p w14:paraId="2949BFA8" w14:textId="0D4A6321" w:rsidR="00510691" w:rsidRPr="00B4036A" w:rsidRDefault="00510691" w:rsidP="0080496A"/>
    <w:p w14:paraId="495052C8" w14:textId="77777777" w:rsidR="00510691" w:rsidRPr="00B4036A" w:rsidRDefault="00510691" w:rsidP="0080496A">
      <w:pPr>
        <w:sectPr w:rsidR="00510691" w:rsidRPr="00B4036A" w:rsidSect="00107EF4">
          <w:headerReference w:type="even" r:id="rId38"/>
          <w:headerReference w:type="default" r:id="rId39"/>
          <w:footerReference w:type="even" r:id="rId40"/>
          <w:footerReference w:type="default" r:id="rId41"/>
          <w:footnotePr>
            <w:numRestart w:val="eachSect"/>
          </w:footnotePr>
          <w:pgSz w:w="11906" w:h="16838" w:code="9"/>
          <w:pgMar w:top="1417" w:right="1134" w:bottom="1134" w:left="1134" w:header="850" w:footer="567" w:gutter="0"/>
          <w:cols w:space="708"/>
          <w:docGrid w:linePitch="360"/>
        </w:sectPr>
      </w:pPr>
    </w:p>
    <w:p w14:paraId="1F2D1C4E" w14:textId="4307F8EF" w:rsidR="00D57B06" w:rsidRPr="00B4036A" w:rsidRDefault="00D57B06" w:rsidP="00D57B06">
      <w:pPr>
        <w:pStyle w:val="RegHChG"/>
        <w:numPr>
          <w:ilvl w:val="0"/>
          <w:numId w:val="0"/>
        </w:numPr>
        <w:ind w:left="1135"/>
      </w:pPr>
      <w:bookmarkStart w:id="9" w:name="Resolution"/>
      <w:r w:rsidRPr="00B4036A">
        <w:t>Resolution 1/C</w:t>
      </w:r>
      <w:r w:rsidR="007C05B6" w:rsidRPr="00B4036A">
        <w:t>P</w:t>
      </w:r>
      <w:r w:rsidRPr="00B4036A">
        <w:t>.</w:t>
      </w:r>
      <w:r w:rsidR="007C05B6" w:rsidRPr="00B4036A">
        <w:t>2</w:t>
      </w:r>
      <w:r w:rsidRPr="00B4036A">
        <w:t>7</w:t>
      </w:r>
      <w:bookmarkEnd w:id="9"/>
    </w:p>
    <w:p w14:paraId="20A3A398" w14:textId="4CA6672B" w:rsidR="00D57B06" w:rsidRPr="00B4036A" w:rsidRDefault="00D57B06" w:rsidP="00D57B06">
      <w:pPr>
        <w:pStyle w:val="RegHChG"/>
        <w:numPr>
          <w:ilvl w:val="0"/>
          <w:numId w:val="0"/>
        </w:numPr>
        <w:ind w:left="1135"/>
      </w:pPr>
      <w:r w:rsidRPr="00B4036A">
        <w:t>Expression of gratitude to the Government of the Arab Republic of Egypt and the people of the city of Sharm</w:t>
      </w:r>
      <w:r w:rsidR="00A57E25" w:rsidRPr="00B4036A">
        <w:t> </w:t>
      </w:r>
      <w:r w:rsidRPr="00B4036A">
        <w:t>el</w:t>
      </w:r>
      <w:r w:rsidR="00A57E25" w:rsidRPr="00B4036A">
        <w:noBreakHyphen/>
      </w:r>
      <w:r w:rsidRPr="00B4036A">
        <w:t>Sheikh</w:t>
      </w:r>
    </w:p>
    <w:p w14:paraId="7A140C31" w14:textId="3DF948CB" w:rsidR="004A4EA6" w:rsidRPr="00B4036A" w:rsidRDefault="00CA2105" w:rsidP="00B81BE1">
      <w:pPr>
        <w:pStyle w:val="H1G"/>
      </w:pPr>
      <w:r w:rsidRPr="00B4036A">
        <w:tab/>
      </w:r>
      <w:r w:rsidRPr="00B4036A">
        <w:tab/>
        <w:t xml:space="preserve">Resolution submitted by </w:t>
      </w:r>
      <w:r w:rsidR="00A42609" w:rsidRPr="00B4036A">
        <w:t>the United Arab Emirates</w:t>
      </w:r>
    </w:p>
    <w:p w14:paraId="40C7CE18" w14:textId="77777777" w:rsidR="00D57B06" w:rsidRPr="00B4036A" w:rsidRDefault="00D57B06" w:rsidP="00D57B06">
      <w:pPr>
        <w:pStyle w:val="RegSingleTxtG"/>
        <w:numPr>
          <w:ilvl w:val="0"/>
          <w:numId w:val="0"/>
        </w:numPr>
        <w:tabs>
          <w:tab w:val="clear" w:pos="1701"/>
        </w:tabs>
        <w:ind w:left="1134" w:firstLine="567"/>
        <w:rPr>
          <w:i/>
        </w:rPr>
      </w:pPr>
      <w:r w:rsidRPr="00B4036A">
        <w:tab/>
      </w:r>
      <w:r w:rsidRPr="00B4036A">
        <w:rPr>
          <w:i/>
        </w:rPr>
        <w:t>The Conference of the Parties, the Conference of the Parties serving as the meeting of the Parties to the Kyoto Protocol and the Conference of the Parties serving as the meeting of the Parties to the Paris Agreement</w:t>
      </w:r>
      <w:r w:rsidRPr="00B4036A">
        <w:rPr>
          <w:iCs/>
        </w:rPr>
        <w:t>,</w:t>
      </w:r>
    </w:p>
    <w:p w14:paraId="4C3A3A52" w14:textId="77777777" w:rsidR="00D57B06" w:rsidRPr="00B4036A" w:rsidRDefault="00D57B06" w:rsidP="00D57B06">
      <w:pPr>
        <w:pStyle w:val="RegSingleTxtG"/>
        <w:numPr>
          <w:ilvl w:val="0"/>
          <w:numId w:val="0"/>
        </w:numPr>
        <w:tabs>
          <w:tab w:val="clear" w:pos="1701"/>
        </w:tabs>
        <w:ind w:left="1134" w:firstLine="567"/>
      </w:pPr>
      <w:r w:rsidRPr="00B4036A">
        <w:rPr>
          <w:i/>
        </w:rPr>
        <w:tab/>
        <w:t>Having met</w:t>
      </w:r>
      <w:r w:rsidRPr="00B4036A">
        <w:t xml:space="preserve"> in Sharm el-Sheikh from 6 to 20 November 2022,</w:t>
      </w:r>
    </w:p>
    <w:p w14:paraId="70DC4031" w14:textId="77777777" w:rsidR="00D57B06" w:rsidRPr="00B4036A" w:rsidRDefault="00D57B06" w:rsidP="00080E62">
      <w:pPr>
        <w:pStyle w:val="RegSingleTxtG"/>
        <w:numPr>
          <w:ilvl w:val="5"/>
          <w:numId w:val="9"/>
        </w:numPr>
      </w:pPr>
      <w:bookmarkStart w:id="10" w:name="_Hlk27037402"/>
      <w:r w:rsidRPr="00B4036A">
        <w:rPr>
          <w:i/>
        </w:rPr>
        <w:t xml:space="preserve">Express their profound gratitude </w:t>
      </w:r>
      <w:r w:rsidRPr="00B4036A">
        <w:t xml:space="preserve">to the </w:t>
      </w:r>
      <w:bookmarkStart w:id="11" w:name="_Hlk27069105"/>
      <w:r w:rsidRPr="00B4036A">
        <w:t xml:space="preserve">Government of the Arab Republic of Egypt </w:t>
      </w:r>
      <w:bookmarkEnd w:id="11"/>
      <w:r w:rsidRPr="00B4036A">
        <w:t>for having made it possible for the twenty-seventh session of the Conference of the Parties, the seventeenth session of the Conference of the Parties serving as the meeting of the Parties to the Kyoto Protocol and the fourth session of the Conference of the Parties serving as the meeting of the Parties to the Paris Agreement to be held in Sharm el-Sheikh;</w:t>
      </w:r>
    </w:p>
    <w:bookmarkEnd w:id="10"/>
    <w:p w14:paraId="4C9780ED" w14:textId="77777777" w:rsidR="00D57B06" w:rsidRPr="00B4036A" w:rsidRDefault="00D57B06" w:rsidP="00080E62">
      <w:pPr>
        <w:pStyle w:val="RegSingleTxtG"/>
        <w:numPr>
          <w:ilvl w:val="5"/>
          <w:numId w:val="9"/>
        </w:numPr>
      </w:pPr>
      <w:r w:rsidRPr="00B4036A">
        <w:rPr>
          <w:i/>
        </w:rPr>
        <w:t xml:space="preserve">Request </w:t>
      </w:r>
      <w:r w:rsidRPr="00B4036A">
        <w:t>the Government of the Arab Republic of Egypt to convey to the city and people of Sharm el-Sheikh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6B39D7F1" w14:textId="77777777" w:rsidR="00D57B06" w:rsidRPr="00B4036A" w:rsidRDefault="00D57B06" w:rsidP="00D57B06">
      <w:pPr>
        <w:ind w:right="1133"/>
        <w:jc w:val="right"/>
        <w:rPr>
          <w:i/>
        </w:rPr>
      </w:pPr>
      <w:r w:rsidRPr="00B4036A">
        <w:rPr>
          <w:i/>
        </w:rPr>
        <w:t>10</w:t>
      </w:r>
      <w:r w:rsidRPr="00B4036A">
        <w:rPr>
          <w:i/>
          <w:vertAlign w:val="superscript"/>
        </w:rPr>
        <w:t>th</w:t>
      </w:r>
      <w:r w:rsidRPr="00B4036A">
        <w:rPr>
          <w:i/>
        </w:rPr>
        <w:t xml:space="preserve"> plenary meeting</w:t>
      </w:r>
    </w:p>
    <w:p w14:paraId="251E1C35" w14:textId="77777777" w:rsidR="00D57B06" w:rsidRPr="00831D97" w:rsidRDefault="00D57B06" w:rsidP="00D57B06">
      <w:pPr>
        <w:ind w:right="1133"/>
        <w:jc w:val="right"/>
        <w:rPr>
          <w:i/>
        </w:rPr>
      </w:pPr>
      <w:r w:rsidRPr="00B4036A">
        <w:rPr>
          <w:i/>
        </w:rPr>
        <w:t>20 November 2022</w:t>
      </w:r>
    </w:p>
    <w:p w14:paraId="50544D9E" w14:textId="08C464F3" w:rsidR="008C1A24" w:rsidRPr="00F83839" w:rsidRDefault="00442CD9" w:rsidP="00F10CC5">
      <w:pPr>
        <w:spacing w:before="240"/>
        <w:ind w:left="1134" w:right="1134"/>
        <w:jc w:val="center"/>
        <w:rPr>
          <w:u w:val="single"/>
        </w:rPr>
      </w:pPr>
      <w:r>
        <w:rPr>
          <w:u w:val="single"/>
        </w:rPr>
        <w:tab/>
      </w:r>
      <w:r>
        <w:rPr>
          <w:u w:val="single"/>
        </w:rPr>
        <w:tab/>
      </w:r>
      <w:r>
        <w:rPr>
          <w:u w:val="single"/>
        </w:rPr>
        <w:tab/>
      </w:r>
      <w:r>
        <w:rPr>
          <w:u w:val="single"/>
        </w:rPr>
        <w:tab/>
      </w:r>
    </w:p>
    <w:sectPr w:rsidR="008C1A24" w:rsidRPr="00F83839" w:rsidSect="00B077AF">
      <w:headerReference w:type="even" r:id="rId42"/>
      <w:headerReference w:type="default" r:id="rId43"/>
      <w:footerReference w:type="even" r:id="rId44"/>
      <w:footerReference w:type="default" r:id="rId45"/>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94016" w14:textId="77777777" w:rsidR="00947D04" w:rsidRDefault="00947D04" w:rsidP="00C45173">
      <w:pPr>
        <w:spacing w:line="14" w:lineRule="exact"/>
      </w:pPr>
      <w:r>
        <w:separator/>
      </w:r>
    </w:p>
    <w:p w14:paraId="5D3C6B00" w14:textId="77777777" w:rsidR="00947D04" w:rsidRPr="00C45173" w:rsidRDefault="00947D04" w:rsidP="00C45173">
      <w:pPr>
        <w:spacing w:line="14" w:lineRule="atLeast"/>
        <w:rPr>
          <w:sz w:val="2"/>
          <w:szCs w:val="2"/>
        </w:rPr>
      </w:pPr>
    </w:p>
  </w:endnote>
  <w:endnote w:type="continuationSeparator" w:id="0">
    <w:p w14:paraId="7D544C91" w14:textId="77777777" w:rsidR="00947D04" w:rsidRDefault="00947D04">
      <w:r>
        <w:continuationSeparator/>
      </w:r>
    </w:p>
    <w:p w14:paraId="260A3EE7" w14:textId="77777777" w:rsidR="00947D04" w:rsidRDefault="00947D04"/>
  </w:endnote>
  <w:endnote w:type="continuationNotice" w:id="1">
    <w:p w14:paraId="34F46365" w14:textId="77777777" w:rsidR="00947D04" w:rsidRDefault="00947D0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SimSun">
    <w:altName w:val="Times New Roman"/>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8E241" w14:textId="46B59646" w:rsidR="001E1C7F" w:rsidRPr="001E1C7F" w:rsidRDefault="001E1C7F" w:rsidP="001E1C7F">
    <w:pPr>
      <w:pStyle w:val="Footer"/>
      <w:tabs>
        <w:tab w:val="right" w:pos="9638"/>
      </w:tabs>
    </w:pPr>
    <w:r w:rsidRPr="001E1C7F">
      <w:rPr>
        <w:b/>
        <w:sz w:val="18"/>
      </w:rPr>
      <w:fldChar w:fldCharType="begin"/>
    </w:r>
    <w:r w:rsidRPr="001E1C7F">
      <w:rPr>
        <w:b/>
        <w:sz w:val="18"/>
      </w:rPr>
      <w:instrText xml:space="preserve"> PAGE  \* MERGEFORMAT </w:instrText>
    </w:r>
    <w:r w:rsidRPr="001E1C7F">
      <w:rPr>
        <w:b/>
        <w:sz w:val="18"/>
      </w:rPr>
      <w:fldChar w:fldCharType="separate"/>
    </w:r>
    <w:r w:rsidRPr="001E1C7F">
      <w:rPr>
        <w:b/>
        <w:noProof/>
        <w:sz w:val="18"/>
      </w:rPr>
      <w:t>4</w:t>
    </w:r>
    <w:r w:rsidRPr="001E1C7F">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A0972" w14:textId="60DB9CF3" w:rsidR="002D6030" w:rsidRDefault="002D6030" w:rsidP="00551526">
    <w:pPr>
      <w:pStyle w:val="Footer"/>
      <w:tabs>
        <w:tab w:val="right" w:pos="9638"/>
      </w:tabs>
    </w:pPr>
    <w:r w:rsidRPr="00551526">
      <w:rPr>
        <w:b/>
        <w:sz w:val="18"/>
      </w:rPr>
      <w:fldChar w:fldCharType="begin"/>
    </w:r>
    <w:r w:rsidRPr="00551526">
      <w:rPr>
        <w:b/>
        <w:sz w:val="18"/>
      </w:rPr>
      <w:instrText xml:space="preserve"> PAGE  \* MERGEFORMAT </w:instrText>
    </w:r>
    <w:r w:rsidRPr="00551526">
      <w:rPr>
        <w:b/>
        <w:sz w:val="18"/>
      </w:rPr>
      <w:fldChar w:fldCharType="separate"/>
    </w:r>
    <w:r w:rsidRPr="00551526">
      <w:rPr>
        <w:b/>
        <w:noProof/>
        <w:sz w:val="18"/>
      </w:rPr>
      <w:t>8</w:t>
    </w:r>
    <w:r w:rsidRPr="00551526">
      <w:rPr>
        <w:b/>
        <w:sz w:val="18"/>
      </w:rPr>
      <w:fldChar w:fldCharType="end"/>
    </w:r>
    <w:r>
      <w:rPr>
        <w:sz w:val="18"/>
      </w:rPr>
      <w:tab/>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59BA2" w14:textId="288F9C1A" w:rsidR="002D6030" w:rsidRPr="00551526" w:rsidRDefault="002D6030" w:rsidP="00551526">
    <w:pPr>
      <w:pStyle w:val="Footer"/>
      <w:tabs>
        <w:tab w:val="right" w:pos="9638"/>
      </w:tabs>
      <w:rPr>
        <w:b/>
        <w:sz w:val="18"/>
      </w:rPr>
    </w:pPr>
    <w:r>
      <w:tab/>
    </w:r>
    <w:r w:rsidRPr="00551526">
      <w:rPr>
        <w:b/>
        <w:sz w:val="18"/>
      </w:rPr>
      <w:fldChar w:fldCharType="begin"/>
    </w:r>
    <w:r w:rsidRPr="00551526">
      <w:rPr>
        <w:b/>
        <w:sz w:val="18"/>
      </w:rPr>
      <w:instrText xml:space="preserve"> PAGE  \* MERGEFORMAT </w:instrText>
    </w:r>
    <w:r w:rsidRPr="00551526">
      <w:rPr>
        <w:b/>
        <w:sz w:val="18"/>
      </w:rPr>
      <w:fldChar w:fldCharType="separate"/>
    </w:r>
    <w:r w:rsidRPr="00551526">
      <w:rPr>
        <w:b/>
        <w:noProof/>
        <w:sz w:val="18"/>
      </w:rPr>
      <w:t>8</w:t>
    </w:r>
    <w:r w:rsidRPr="00551526">
      <w:rPr>
        <w:b/>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E684" w14:textId="77777777" w:rsidR="002D6030" w:rsidRDefault="002D6030">
    <w:pPr>
      <w:pStyle w:val="Footer"/>
    </w:pPr>
    <w:r w:rsidRPr="00AC0660">
      <w:rPr>
        <w:noProof/>
        <w:sz w:val="24"/>
        <w:szCs w:val="24"/>
        <w:lang w:val="en-US" w:eastAsia="en-US"/>
      </w:rPr>
      <w:drawing>
        <wp:anchor distT="0" distB="0" distL="114300" distR="114300" simplePos="0" relativeHeight="251658240" behindDoc="0" locked="1" layoutInCell="1" allowOverlap="1" wp14:anchorId="791BEBF2" wp14:editId="3F37976E">
          <wp:simplePos x="0" y="0"/>
          <wp:positionH relativeFrom="margin">
            <wp:align>right</wp:align>
          </wp:positionH>
          <wp:positionV relativeFrom="page">
            <wp:posOffset>10027285</wp:posOffset>
          </wp:positionV>
          <wp:extent cx="929005" cy="230505"/>
          <wp:effectExtent l="0" t="0" r="4445" b="0"/>
          <wp:wrapNone/>
          <wp:docPr id="6" name="Picture 2" descr="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F2A01" w14:textId="4D919D33" w:rsidR="00F376EE" w:rsidRDefault="005B2E19" w:rsidP="005B2E19">
    <w:pPr>
      <w:pStyle w:val="Footer"/>
      <w:tabs>
        <w:tab w:val="right" w:pos="9638"/>
      </w:tabs>
    </w:pP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17</w:t>
    </w:r>
    <w:r w:rsidRPr="005B2E19">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125C" w14:textId="05B1D2F8" w:rsidR="00F376EE" w:rsidRPr="005B2E19" w:rsidRDefault="005B2E19" w:rsidP="005B2E19">
    <w:pPr>
      <w:pStyle w:val="Footer"/>
      <w:tabs>
        <w:tab w:val="right" w:pos="9638"/>
      </w:tabs>
      <w:rPr>
        <w:b/>
        <w:sz w:val="18"/>
      </w:rPr>
    </w:pPr>
    <w:r>
      <w:tab/>
    </w: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18</w:t>
    </w:r>
    <w:r w:rsidRPr="005B2E19">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8179F" w14:textId="240CB0D0" w:rsidR="00F376EE" w:rsidRDefault="005B2E19" w:rsidP="005B2E19">
    <w:pPr>
      <w:pStyle w:val="Footer"/>
      <w:tabs>
        <w:tab w:val="right" w:pos="9638"/>
      </w:tabs>
    </w:pP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20</w:t>
    </w:r>
    <w:r w:rsidRPr="005B2E19">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63C3" w14:textId="77777777" w:rsidR="00F376EE" w:rsidRPr="005B2E19" w:rsidRDefault="005B2E19" w:rsidP="005B2E19">
    <w:pPr>
      <w:pStyle w:val="Footer"/>
      <w:tabs>
        <w:tab w:val="right" w:pos="9638"/>
      </w:tabs>
      <w:rPr>
        <w:b/>
        <w:sz w:val="18"/>
      </w:rPr>
    </w:pPr>
    <w:r>
      <w:tab/>
    </w: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16</w:t>
    </w:r>
    <w:r w:rsidRPr="005B2E19">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E8179" w14:textId="43DA9E16" w:rsidR="001E1C7F" w:rsidRPr="001E1C7F" w:rsidRDefault="001E1C7F" w:rsidP="001E1C7F">
    <w:pPr>
      <w:pStyle w:val="Footer"/>
      <w:tabs>
        <w:tab w:val="right" w:pos="9638"/>
      </w:tabs>
      <w:rPr>
        <w:b/>
        <w:sz w:val="18"/>
      </w:rPr>
    </w:pPr>
    <w:r>
      <w:tab/>
    </w:r>
    <w:r w:rsidRPr="001E1C7F">
      <w:rPr>
        <w:b/>
        <w:sz w:val="18"/>
      </w:rPr>
      <w:fldChar w:fldCharType="begin"/>
    </w:r>
    <w:r w:rsidRPr="001E1C7F">
      <w:rPr>
        <w:b/>
        <w:sz w:val="18"/>
      </w:rPr>
      <w:instrText xml:space="preserve"> PAGE  \* MERGEFORMAT </w:instrText>
    </w:r>
    <w:r w:rsidRPr="001E1C7F">
      <w:rPr>
        <w:b/>
        <w:sz w:val="18"/>
      </w:rPr>
      <w:fldChar w:fldCharType="separate"/>
    </w:r>
    <w:r w:rsidRPr="001E1C7F">
      <w:rPr>
        <w:b/>
        <w:noProof/>
        <w:sz w:val="18"/>
      </w:rPr>
      <w:t>3</w:t>
    </w:r>
    <w:r w:rsidRPr="001E1C7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A603E" w14:textId="13EC2FCC" w:rsidR="008A2E39" w:rsidRDefault="008A2E39" w:rsidP="00D42E69">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Pr>
        <w:b/>
        <w:noProof/>
        <w:sz w:val="18"/>
      </w:rPr>
      <w:t>2</w:t>
    </w:r>
    <w:r w:rsidRPr="00F51990">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9C8" w14:textId="4D0C8578" w:rsidR="008A2E39" w:rsidRPr="00D42E69" w:rsidRDefault="005B2E19" w:rsidP="005B2E19">
    <w:pPr>
      <w:pStyle w:val="Footer"/>
      <w:tabs>
        <w:tab w:val="right" w:pos="9638"/>
      </w:tabs>
      <w:rPr>
        <w:b/>
        <w:sz w:val="18"/>
      </w:rPr>
    </w:pPr>
    <w:r>
      <w:tab/>
    </w:r>
    <w:r w:rsidR="008A2E39" w:rsidRPr="00F51990">
      <w:rPr>
        <w:b/>
        <w:sz w:val="18"/>
      </w:rPr>
      <w:fldChar w:fldCharType="begin"/>
    </w:r>
    <w:r w:rsidR="008A2E39" w:rsidRPr="00F51990">
      <w:rPr>
        <w:b/>
        <w:sz w:val="18"/>
      </w:rPr>
      <w:instrText xml:space="preserve"> PAGE  \* MERGEFORMAT </w:instrText>
    </w:r>
    <w:r w:rsidR="008A2E39" w:rsidRPr="00F51990">
      <w:rPr>
        <w:b/>
        <w:sz w:val="18"/>
      </w:rPr>
      <w:fldChar w:fldCharType="separate"/>
    </w:r>
    <w:r w:rsidR="008A2E39">
      <w:rPr>
        <w:b/>
        <w:noProof/>
        <w:sz w:val="18"/>
      </w:rPr>
      <w:t>3</w:t>
    </w:r>
    <w:r w:rsidR="008A2E39" w:rsidRPr="00F51990">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F8E6" w14:textId="77777777" w:rsidR="008A2E39" w:rsidRPr="00D42E69" w:rsidRDefault="008A2E39" w:rsidP="00D42E69">
    <w:pPr>
      <w:pStyle w:val="Footer"/>
      <w:tabs>
        <w:tab w:val="right" w:pos="9638"/>
      </w:tabs>
      <w:rPr>
        <w:b/>
        <w:sz w:val="18"/>
      </w:rPr>
    </w:pPr>
    <w:r w:rsidRPr="00F51990">
      <w:rPr>
        <w:b/>
        <w:sz w:val="18"/>
      </w:rPr>
      <w:fldChar w:fldCharType="begin"/>
    </w:r>
    <w:r w:rsidRPr="00F51990">
      <w:rPr>
        <w:b/>
        <w:sz w:val="18"/>
      </w:rPr>
      <w:instrText xml:space="preserve"> PAGE  \* MERGEFORMAT </w:instrText>
    </w:r>
    <w:r w:rsidRPr="00F51990">
      <w:rPr>
        <w:b/>
        <w:sz w:val="18"/>
      </w:rPr>
      <w:fldChar w:fldCharType="separate"/>
    </w:r>
    <w:r>
      <w:rPr>
        <w:b/>
        <w:sz w:val="18"/>
      </w:rPr>
      <w:t>3</w:t>
    </w:r>
    <w:r w:rsidRPr="00F51990">
      <w:rPr>
        <w:b/>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793E" w14:textId="5EE7F268" w:rsidR="00F376EE" w:rsidRDefault="005B2E19" w:rsidP="005B2E19">
    <w:pPr>
      <w:pStyle w:val="Footer"/>
      <w:tabs>
        <w:tab w:val="right" w:pos="9638"/>
      </w:tabs>
    </w:pP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7</w:t>
    </w:r>
    <w:r w:rsidRPr="005B2E19">
      <w:rPr>
        <w:b/>
        <w:sz w:val="18"/>
      </w:rPr>
      <w:fldChar w:fldCharType="end"/>
    </w:r>
    <w:r>
      <w:rPr>
        <w:sz w:val="18"/>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BC93" w14:textId="6F1F8609" w:rsidR="00F376EE" w:rsidRPr="005B2E19" w:rsidRDefault="005B2E19" w:rsidP="005B2E19">
    <w:pPr>
      <w:pStyle w:val="Footer"/>
      <w:tabs>
        <w:tab w:val="right" w:pos="9638"/>
      </w:tabs>
      <w:rPr>
        <w:b/>
        <w:sz w:val="18"/>
      </w:rPr>
    </w:pPr>
    <w:r>
      <w:tab/>
    </w: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6</w:t>
    </w:r>
    <w:r w:rsidRPr="005B2E19">
      <w:rPr>
        <w:b/>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B1FB" w14:textId="77777777" w:rsidR="00F376EE" w:rsidRDefault="005B2E19" w:rsidP="005B2E19">
    <w:pPr>
      <w:pStyle w:val="Footer"/>
      <w:tabs>
        <w:tab w:val="right" w:pos="9638"/>
      </w:tabs>
    </w:pP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5</w:t>
    </w:r>
    <w:r w:rsidRPr="005B2E19">
      <w:rPr>
        <w:b/>
        <w:sz w:val="18"/>
      </w:rPr>
      <w:fldChar w:fldCharType="end"/>
    </w:r>
    <w:r>
      <w:rPr>
        <w:sz w:val="18"/>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D8027" w14:textId="77777777" w:rsidR="00F376EE" w:rsidRPr="005B2E19" w:rsidRDefault="005B2E19" w:rsidP="005B2E19">
    <w:pPr>
      <w:pStyle w:val="Footer"/>
      <w:tabs>
        <w:tab w:val="right" w:pos="9638"/>
      </w:tabs>
      <w:rPr>
        <w:b/>
        <w:sz w:val="18"/>
      </w:rPr>
    </w:pPr>
    <w:r>
      <w:tab/>
    </w:r>
    <w:r w:rsidRPr="005B2E19">
      <w:rPr>
        <w:b/>
        <w:sz w:val="18"/>
      </w:rPr>
      <w:fldChar w:fldCharType="begin"/>
    </w:r>
    <w:r w:rsidRPr="005B2E19">
      <w:rPr>
        <w:b/>
        <w:sz w:val="18"/>
      </w:rPr>
      <w:instrText xml:space="preserve"> PAGE  \* MERGEFORMAT </w:instrText>
    </w:r>
    <w:r w:rsidRPr="005B2E19">
      <w:rPr>
        <w:b/>
        <w:sz w:val="18"/>
      </w:rPr>
      <w:fldChar w:fldCharType="separate"/>
    </w:r>
    <w:r w:rsidRPr="005B2E19">
      <w:rPr>
        <w:b/>
        <w:noProof/>
        <w:sz w:val="18"/>
      </w:rPr>
      <w:t>4</w:t>
    </w:r>
    <w:r w:rsidRPr="005B2E19">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4AA06" w14:textId="77777777" w:rsidR="00947D04" w:rsidRDefault="00947D04">
      <w:r>
        <w:separator/>
      </w:r>
    </w:p>
  </w:footnote>
  <w:footnote w:type="continuationSeparator" w:id="0">
    <w:p w14:paraId="4AE060B3" w14:textId="77777777" w:rsidR="00947D04" w:rsidRDefault="00947D04">
      <w:r>
        <w:continuationSeparator/>
      </w:r>
    </w:p>
    <w:p w14:paraId="1CEA7DE2" w14:textId="77777777" w:rsidR="00947D04" w:rsidRDefault="00947D04"/>
  </w:footnote>
  <w:footnote w:type="continuationNotice" w:id="1">
    <w:p w14:paraId="7C9C530B" w14:textId="77777777" w:rsidR="00947D04" w:rsidRDefault="00947D04">
      <w:pPr>
        <w:spacing w:line="240" w:lineRule="auto"/>
      </w:pPr>
    </w:p>
  </w:footnote>
  <w:footnote w:id="2">
    <w:p w14:paraId="347D3690" w14:textId="77777777" w:rsidR="008A2E39" w:rsidRPr="00CA5C65" w:rsidRDefault="008A2E39" w:rsidP="008A2E39">
      <w:pPr>
        <w:pStyle w:val="FootnoteText"/>
        <w:widowControl w:val="0"/>
      </w:pPr>
      <w:r w:rsidRPr="00CA5C65">
        <w:tab/>
      </w:r>
      <w:r w:rsidRPr="00CA5C65">
        <w:rPr>
          <w:rStyle w:val="FootnoteReference"/>
        </w:rPr>
        <w:footnoteRef/>
      </w:r>
      <w:r w:rsidRPr="00CA5C65">
        <w:tab/>
        <w:t>Decision 3/CP.25.</w:t>
      </w:r>
    </w:p>
  </w:footnote>
  <w:footnote w:id="3">
    <w:p w14:paraId="42A2EF3B" w14:textId="26E848D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FCCC/SBI/2022/INF.5.</w:t>
      </w:r>
    </w:p>
  </w:footnote>
  <w:footnote w:id="4">
    <w:p w14:paraId="7FC077C2" w14:textId="7777777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FCCC/SBI/2022/7.</w:t>
      </w:r>
    </w:p>
  </w:footnote>
  <w:footnote w:id="5">
    <w:p w14:paraId="15BF38B4" w14:textId="77777777" w:rsidR="008A2E39" w:rsidRPr="00CA5C65" w:rsidRDefault="008A2E39" w:rsidP="008A2E39">
      <w:pPr>
        <w:pStyle w:val="FootnoteText"/>
        <w:widowControl w:val="0"/>
      </w:pPr>
      <w:r w:rsidRPr="00CA5C65">
        <w:tab/>
      </w:r>
      <w:r w:rsidRPr="00CA5C65">
        <w:rPr>
          <w:rStyle w:val="FootnoteReference"/>
        </w:rPr>
        <w:footnoteRef/>
      </w:r>
      <w:r w:rsidRPr="00CA5C65">
        <w:tab/>
        <w:t xml:space="preserve">Available at </w:t>
      </w:r>
      <w:hyperlink r:id="rId1" w:history="1">
        <w:r w:rsidRPr="00CA5C65">
          <w:rPr>
            <w:rStyle w:val="Hyperlink"/>
          </w:rPr>
          <w:t>https://unfccc.int/documents/470342</w:t>
        </w:r>
      </w:hyperlink>
      <w:r w:rsidRPr="00CA5C65">
        <w:t xml:space="preserve">. </w:t>
      </w:r>
    </w:p>
  </w:footnote>
  <w:footnote w:id="6">
    <w:p w14:paraId="63EF022B" w14:textId="77777777" w:rsidR="008A2E39" w:rsidRPr="00CA5C65" w:rsidRDefault="008A2E39" w:rsidP="008A2E39">
      <w:pPr>
        <w:pStyle w:val="FootnoteText"/>
        <w:widowControl w:val="0"/>
        <w:tabs>
          <w:tab w:val="clear" w:pos="1021"/>
          <w:tab w:val="right" w:pos="1020"/>
        </w:tabs>
      </w:pPr>
      <w:r w:rsidRPr="00CA5C65">
        <w:tab/>
      </w:r>
      <w:r w:rsidRPr="00CA5C65">
        <w:rPr>
          <w:rStyle w:val="FootnoteReference"/>
        </w:rPr>
        <w:footnoteRef/>
      </w:r>
      <w:r w:rsidRPr="00CA5C65">
        <w:tab/>
        <w:t xml:space="preserve">FCCC/SBI/2022/8. </w:t>
      </w:r>
    </w:p>
  </w:footnote>
  <w:footnote w:id="7">
    <w:p w14:paraId="63330EF9" w14:textId="77777777" w:rsidR="008A2E39" w:rsidRPr="00CA5C65" w:rsidRDefault="008A2E39" w:rsidP="008A2E39">
      <w:pPr>
        <w:pStyle w:val="FootnoteText"/>
        <w:widowControl w:val="0"/>
        <w:tabs>
          <w:tab w:val="clear" w:pos="1021"/>
          <w:tab w:val="right" w:pos="1020"/>
        </w:tabs>
      </w:pPr>
      <w:r w:rsidRPr="00CA5C65">
        <w:tab/>
      </w:r>
      <w:r w:rsidRPr="00CA5C65">
        <w:rPr>
          <w:rStyle w:val="FootnoteReference"/>
        </w:rPr>
        <w:footnoteRef/>
      </w:r>
      <w:r w:rsidRPr="00CA5C65">
        <w:tab/>
        <w:t xml:space="preserve">International Labour Organization. 2022. </w:t>
      </w:r>
      <w:r w:rsidRPr="00CA5C65">
        <w:rPr>
          <w:i/>
        </w:rPr>
        <w:t xml:space="preserve">Just </w:t>
      </w:r>
      <w:r w:rsidRPr="00CA5C65">
        <w:rPr>
          <w:i/>
          <w:iCs/>
        </w:rPr>
        <w:t>t</w:t>
      </w:r>
      <w:r w:rsidRPr="00CA5C65">
        <w:rPr>
          <w:i/>
        </w:rPr>
        <w:t xml:space="preserve">ransition: An </w:t>
      </w:r>
      <w:r w:rsidRPr="00CA5C65">
        <w:rPr>
          <w:i/>
          <w:iCs/>
        </w:rPr>
        <w:t>essential p</w:t>
      </w:r>
      <w:r w:rsidRPr="00CA5C65">
        <w:rPr>
          <w:i/>
        </w:rPr>
        <w:t xml:space="preserve">athway to </w:t>
      </w:r>
      <w:r w:rsidRPr="00CA5C65">
        <w:rPr>
          <w:i/>
          <w:iCs/>
        </w:rPr>
        <w:t>achieving gender e</w:t>
      </w:r>
      <w:r w:rsidRPr="00CA5C65">
        <w:rPr>
          <w:i/>
        </w:rPr>
        <w:t xml:space="preserve">quality and </w:t>
      </w:r>
      <w:r w:rsidRPr="00CA5C65">
        <w:rPr>
          <w:i/>
          <w:iCs/>
        </w:rPr>
        <w:t>social justice.</w:t>
      </w:r>
      <w:r w:rsidRPr="00CA5C65">
        <w:t xml:space="preserve"> Geneva: International Labour Organization. Available at </w:t>
      </w:r>
      <w:hyperlink r:id="rId2" w:history="1">
        <w:r w:rsidRPr="00CA5C65">
          <w:rPr>
            <w:rStyle w:val="Hyperlink"/>
          </w:rPr>
          <w:t>https://www4.unfccc.int/sites/SubmissionsStaging/Documents/202204141910---ILO%20submission%20-%20Just%20transition%20-%20An%20essential%20pathway%20to%20achieving%20gender%20equality%20and%20social%20justice.pdf</w:t>
        </w:r>
      </w:hyperlink>
      <w:r w:rsidRPr="00CA5C65">
        <w:t>.</w:t>
      </w:r>
    </w:p>
  </w:footnote>
  <w:footnote w:id="8">
    <w:p w14:paraId="38D2611E" w14:textId="03486EE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r>
      <w:r w:rsidRPr="00CA5C65">
        <w:tab/>
        <w:t xml:space="preserve">Intergovernmental Panel on Climate Change. 2022. </w:t>
      </w:r>
      <w:r w:rsidRPr="00CA5C65">
        <w:rPr>
          <w:i/>
          <w:iCs/>
        </w:rPr>
        <w:t>Climate Change 2022: Impacts, Adaptation, and Vulnerability. Contribution of Working Group II to the Sixth Assessment Report of the Intergovernmental Panel on Climate Change.</w:t>
      </w:r>
      <w:r w:rsidRPr="00CA5C65">
        <w:t xml:space="preserve"> H Pörtner, D Roberts, M Tignor, et al. (eds.). Cambridge: Cambridge University Press. Available at </w:t>
      </w:r>
      <w:hyperlink r:id="rId3" w:history="1">
        <w:r w:rsidRPr="00CA5C65">
          <w:rPr>
            <w:rStyle w:val="Hyperlink"/>
          </w:rPr>
          <w:t>https://www.ipcc.ch/report/ar6/wg2</w:t>
        </w:r>
      </w:hyperlink>
      <w:r w:rsidRPr="00CA5C65">
        <w:t xml:space="preserve">. </w:t>
      </w:r>
    </w:p>
  </w:footnote>
  <w:footnote w:id="9">
    <w:p w14:paraId="79E47CA2" w14:textId="77777777" w:rsidR="008A2E39" w:rsidRPr="00CA5C65" w:rsidRDefault="008A2E39" w:rsidP="008A2E39">
      <w:pPr>
        <w:pStyle w:val="FootnoteText"/>
        <w:widowControl w:val="0"/>
      </w:pPr>
      <w:r w:rsidRPr="00CA5C65">
        <w:tab/>
      </w:r>
      <w:r w:rsidRPr="00CA5C65">
        <w:rPr>
          <w:rStyle w:val="FootnoteReference"/>
        </w:rPr>
        <w:footnoteRef/>
      </w:r>
      <w:r w:rsidRPr="00CA5C65">
        <w:tab/>
        <w:t xml:space="preserve">Intergovernmental Panel on Climate Change. 2022. </w:t>
      </w:r>
      <w:r w:rsidRPr="00CA5C65">
        <w:rPr>
          <w:i/>
        </w:rPr>
        <w:t>Climate Change 2022: Mitigation of Climate Change. Contribution of Working Group III to the Sixth Assessment Report of the Intergovernmental Panel on Climate Change</w:t>
      </w:r>
      <w:r w:rsidRPr="00CA5C65">
        <w:t xml:space="preserve">. PR Shukla, J Skea, R Slade, et al. (eds.). Cambridge and New York: Cambridge University Press. Available at </w:t>
      </w:r>
      <w:hyperlink r:id="rId4" w:history="1">
        <w:r w:rsidRPr="00CA5C65">
          <w:rPr>
            <w:rStyle w:val="Hyperlink"/>
          </w:rPr>
          <w:t>https://www.ipcc.ch/report/ar6/wg3/</w:t>
        </w:r>
      </w:hyperlink>
      <w:r w:rsidRPr="00CA5C65">
        <w:t>.</w:t>
      </w:r>
    </w:p>
  </w:footnote>
  <w:footnote w:id="10">
    <w:p w14:paraId="4D8E50A8" w14:textId="7777777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Decision 3/CP.25, annex, table 4.</w:t>
      </w:r>
    </w:p>
  </w:footnote>
  <w:footnote w:id="11">
    <w:p w14:paraId="67B915F8" w14:textId="7777777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r>
      <w:r w:rsidRPr="00CA5C65">
        <w:tab/>
        <w:t>Decision 3/CP.25, annex, table 1. The aim of activity A.2 is to discuss and clarify the role and the work of the national gender and climate change focal points, including through providing capacity-building, tools and resources, sharing experience and best practices, workshops, knowledge exchange, peer-to-peer learning, mentoring and coaching.</w:t>
      </w:r>
    </w:p>
  </w:footnote>
  <w:footnote w:id="12">
    <w:p w14:paraId="428CBC3C" w14:textId="7777777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Decision 3/CP.25, annex, table 2. The aim of activity B.1 is to promote initiatives for capacity-building in leadership, negotiation and facilitation of negotiation for women delegates, including through webinars and in-session training to enhance women’s participation in the UNFCCC process.</w:t>
      </w:r>
    </w:p>
  </w:footnote>
  <w:footnote w:id="13">
    <w:p w14:paraId="2C1E2E47" w14:textId="77777777"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Decision 3/CP.25, annex, table 3. The aim of activity C.1 is to ensure that new members of constituted bodies are introduced to gender-related mandates and to the relevance of gender in the context of their work in a consistent and systematic manner.</w:t>
      </w:r>
    </w:p>
  </w:footnote>
  <w:footnote w:id="14">
    <w:p w14:paraId="1CE22386" w14:textId="0C58B728" w:rsidR="008A2E39" w:rsidRPr="00CA5C65" w:rsidRDefault="008A2E39" w:rsidP="008A2E39">
      <w:pPr>
        <w:pStyle w:val="FootnoteText"/>
      </w:pPr>
      <w:r w:rsidRPr="00CA5C65">
        <w:tab/>
      </w:r>
      <w:r w:rsidRPr="00CA5C65">
        <w:rPr>
          <w:rStyle w:val="FootnoteReference"/>
        </w:rPr>
        <w:footnoteRef/>
      </w:r>
      <w:r w:rsidRPr="00CA5C65">
        <w:t xml:space="preserve"> </w:t>
      </w:r>
      <w:r w:rsidRPr="00CA5C65">
        <w:tab/>
        <w:t>Decision 3/CP.25, annex, table 4. The aim of activity D.1 is to share experience and support capacity-building on gender budgeting, including on the integration of gender-responsive budgeting into national budgets to advance gender-responsive climate policies, plans, strategies and action, as appropriate.</w:t>
      </w:r>
    </w:p>
  </w:footnote>
  <w:footnote w:id="15">
    <w:p w14:paraId="2BFCFDA5" w14:textId="77777777" w:rsidR="00D5373D" w:rsidRPr="00CA5C65" w:rsidRDefault="00D5373D" w:rsidP="00D5373D">
      <w:pPr>
        <w:pStyle w:val="FootnoteText"/>
        <w:widowControl w:val="0"/>
      </w:pPr>
      <w:r w:rsidRPr="00CA5C65">
        <w:tab/>
      </w:r>
      <w:r w:rsidRPr="00CA5C65">
        <w:rPr>
          <w:rStyle w:val="FootnoteReference"/>
        </w:rPr>
        <w:footnoteRef/>
      </w:r>
      <w:r w:rsidRPr="00CA5C65">
        <w:tab/>
        <w:t>Decision 21/CP.26, para. 4.</w:t>
      </w:r>
    </w:p>
  </w:footnote>
  <w:footnote w:id="16">
    <w:p w14:paraId="106D97F2" w14:textId="77777777" w:rsidR="002D6030" w:rsidRPr="00CA5C65" w:rsidRDefault="002D6030" w:rsidP="002D6030">
      <w:pPr>
        <w:pStyle w:val="FootnoteText"/>
      </w:pPr>
      <w:r w:rsidRPr="00CA5C65">
        <w:tab/>
      </w:r>
      <w:r w:rsidRPr="00CA5C65">
        <w:rPr>
          <w:rStyle w:val="FootnoteReference"/>
        </w:rPr>
        <w:footnoteRef/>
      </w:r>
      <w:r w:rsidRPr="00CA5C65">
        <w:tab/>
        <w:t>Decision 15/CP.1, annex I.</w:t>
      </w:r>
    </w:p>
  </w:footnote>
  <w:footnote w:id="17">
    <w:p w14:paraId="576AD131" w14:textId="77777777" w:rsidR="002D6030" w:rsidRPr="00CA5C65" w:rsidRDefault="002D6030" w:rsidP="002D6030">
      <w:pPr>
        <w:pStyle w:val="FootnoteText"/>
        <w:widowControl w:val="0"/>
      </w:pPr>
      <w:r w:rsidRPr="00CA5C65">
        <w:tab/>
      </w:r>
      <w:r w:rsidRPr="00CA5C65">
        <w:rPr>
          <w:rStyle w:val="FootnoteReference"/>
        </w:rPr>
        <w:footnoteRef/>
      </w:r>
      <w:r w:rsidRPr="00CA5C65">
        <w:tab/>
        <w:t>FCCC/SBI/2022/3 and Add.1, FCCC/SBI/2022/9, FCCC/SBI/2022/INF.1, FCCC/SBI/2022/INF.2, FCCC/SBI/2022/INF.3, FCCC/SBI/2022/INF.7 and FCCC/SBI/2022/INF.9.</w:t>
      </w:r>
    </w:p>
  </w:footnote>
  <w:footnote w:id="18">
    <w:p w14:paraId="37E81A12" w14:textId="77777777" w:rsidR="002D6030" w:rsidRPr="00CA5C65" w:rsidRDefault="002D6030" w:rsidP="002D6030">
      <w:pPr>
        <w:pStyle w:val="FootnoteText"/>
        <w:widowControl w:val="0"/>
      </w:pPr>
      <w:r w:rsidRPr="00CA5C65">
        <w:tab/>
      </w:r>
      <w:r w:rsidRPr="00CA5C65">
        <w:rPr>
          <w:rStyle w:val="FootnoteReference"/>
        </w:rPr>
        <w:footnoteRef/>
      </w:r>
      <w:r w:rsidRPr="00CA5C65">
        <w:tab/>
        <w:t>FCCC/SBI/2022/3 and Add.1.</w:t>
      </w:r>
    </w:p>
  </w:footnote>
  <w:footnote w:id="19">
    <w:p w14:paraId="5E3CF323" w14:textId="77777777" w:rsidR="002D6030" w:rsidRPr="00CA5C65" w:rsidRDefault="002D6030" w:rsidP="002D6030">
      <w:pPr>
        <w:pStyle w:val="FootnoteText"/>
        <w:widowControl w:val="0"/>
      </w:pPr>
      <w:r w:rsidRPr="00CA5C65">
        <w:tab/>
      </w:r>
      <w:r w:rsidRPr="00CA5C65">
        <w:rPr>
          <w:rStyle w:val="FootnoteReference"/>
        </w:rPr>
        <w:footnoteRef/>
      </w:r>
      <w:r w:rsidRPr="00CA5C65">
        <w:tab/>
        <w:t>FCCC/SBI/2022/INF.9.</w:t>
      </w:r>
    </w:p>
  </w:footnote>
  <w:footnote w:id="20">
    <w:p w14:paraId="6348744F" w14:textId="77777777" w:rsidR="002D6030" w:rsidRPr="00CA5C65" w:rsidRDefault="002D6030" w:rsidP="002D6030">
      <w:pPr>
        <w:pStyle w:val="FootnoteText"/>
        <w:widowControl w:val="0"/>
      </w:pPr>
      <w:r w:rsidRPr="00CA5C65">
        <w:tab/>
      </w:r>
      <w:r w:rsidRPr="00CA5C65">
        <w:rPr>
          <w:rStyle w:val="FootnoteReference"/>
        </w:rPr>
        <w:footnoteRef/>
      </w:r>
      <w:r w:rsidRPr="00CA5C65">
        <w:tab/>
        <w:t xml:space="preserve">FCCC/SBI/2022/INF.2. </w:t>
      </w:r>
    </w:p>
  </w:footnote>
  <w:footnote w:id="21">
    <w:p w14:paraId="6DA2D86F" w14:textId="77777777" w:rsidR="002D6030" w:rsidRPr="00CA5C65" w:rsidRDefault="002D6030" w:rsidP="002D6030">
      <w:pPr>
        <w:pStyle w:val="FootnoteText"/>
        <w:widowControl w:val="0"/>
        <w:tabs>
          <w:tab w:val="clear" w:pos="1021"/>
          <w:tab w:val="right" w:pos="1020"/>
        </w:tabs>
      </w:pPr>
      <w:r w:rsidRPr="00CA5C65">
        <w:tab/>
      </w:r>
      <w:r w:rsidRPr="00CA5C65">
        <w:rPr>
          <w:rStyle w:val="FootnoteReference"/>
        </w:rPr>
        <w:footnoteRef/>
      </w:r>
      <w:r w:rsidRPr="00CA5C65">
        <w:tab/>
        <w:t>FCCC/SBI/2022/INF.1.</w:t>
      </w:r>
    </w:p>
  </w:footnote>
  <w:footnote w:id="22">
    <w:p w14:paraId="1B55FD15" w14:textId="77777777" w:rsidR="002D6030" w:rsidRPr="00CA5C65" w:rsidRDefault="002D6030" w:rsidP="002D6030">
      <w:pPr>
        <w:pStyle w:val="FootnoteText"/>
        <w:widowControl w:val="0"/>
      </w:pPr>
      <w:r w:rsidRPr="00CA5C65">
        <w:tab/>
      </w:r>
      <w:r w:rsidRPr="00CA5C65">
        <w:rPr>
          <w:rStyle w:val="FootnoteReference"/>
        </w:rPr>
        <w:footnoteRef/>
      </w:r>
      <w:r w:rsidRPr="00CA5C65">
        <w:tab/>
        <w:t xml:space="preserve">FCCC/SBI/2022/INF.3. </w:t>
      </w:r>
    </w:p>
  </w:footnote>
  <w:footnote w:id="23">
    <w:p w14:paraId="4CDAD1B0" w14:textId="77777777" w:rsidR="002D6030" w:rsidRPr="00CA5C65" w:rsidRDefault="002D6030" w:rsidP="002D6030">
      <w:pPr>
        <w:pStyle w:val="FootnoteText"/>
        <w:widowControl w:val="0"/>
      </w:pPr>
      <w:r w:rsidRPr="00CA5C65">
        <w:tab/>
      </w:r>
      <w:r w:rsidRPr="00CA5C65">
        <w:rPr>
          <w:rStyle w:val="FootnoteReference"/>
        </w:rPr>
        <w:footnoteRef/>
      </w:r>
      <w:r w:rsidRPr="00CA5C65">
        <w:tab/>
        <w:t>FCCC/SBI/2022/INF.7.</w:t>
      </w:r>
    </w:p>
  </w:footnote>
  <w:footnote w:id="24">
    <w:p w14:paraId="01AB3C96" w14:textId="77777777" w:rsidR="002D6030" w:rsidRPr="00CA5C65" w:rsidRDefault="002D6030" w:rsidP="002D6030">
      <w:pPr>
        <w:pStyle w:val="FootnoteText"/>
        <w:widowControl w:val="0"/>
      </w:pPr>
      <w:r w:rsidRPr="00CA5C65">
        <w:tab/>
      </w:r>
      <w:r w:rsidRPr="00CA5C65">
        <w:rPr>
          <w:rStyle w:val="FootnoteReference"/>
        </w:rPr>
        <w:footnoteRef/>
      </w:r>
      <w:r w:rsidRPr="00CA5C65">
        <w:tab/>
        <w:t>FCCC/SBI/2022/9.</w:t>
      </w:r>
    </w:p>
  </w:footnote>
  <w:footnote w:id="25">
    <w:p w14:paraId="1EFD219D" w14:textId="77777777" w:rsidR="00510691" w:rsidRPr="00CA5C65" w:rsidRDefault="00510691" w:rsidP="00510691">
      <w:pPr>
        <w:pStyle w:val="FootnoteText"/>
      </w:pPr>
      <w:r w:rsidRPr="00CA5C65">
        <w:tab/>
      </w:r>
      <w:r w:rsidRPr="00CA5C65">
        <w:rPr>
          <w:rStyle w:val="FootnoteReference"/>
        </w:rPr>
        <w:footnoteRef/>
      </w:r>
      <w:r w:rsidRPr="00CA5C65">
        <w:tab/>
        <w:t>Decision 15/CP.1, annex I.</w:t>
      </w:r>
    </w:p>
  </w:footnote>
  <w:footnote w:id="26">
    <w:p w14:paraId="6FFF4C7D" w14:textId="77777777" w:rsidR="00510691" w:rsidRPr="00CA5C65" w:rsidRDefault="00510691" w:rsidP="00510691">
      <w:pPr>
        <w:pStyle w:val="FootnoteText"/>
        <w:widowControl w:val="0"/>
        <w:tabs>
          <w:tab w:val="clear" w:pos="1021"/>
          <w:tab w:val="right" w:pos="1020"/>
        </w:tabs>
      </w:pPr>
      <w:r w:rsidRPr="00CA5C65">
        <w:tab/>
      </w:r>
      <w:r w:rsidRPr="00CA5C65">
        <w:rPr>
          <w:rStyle w:val="FootnoteReference"/>
        </w:rPr>
        <w:footnoteRef/>
      </w:r>
      <w:r w:rsidRPr="00CA5C65">
        <w:tab/>
        <w:t>FCCC/SBI/2022/INF.10 and Add.1, FCCC/SBI/2022/INF.11 and FCCC/SBI/2022/INF.16.</w:t>
      </w:r>
    </w:p>
  </w:footnote>
  <w:footnote w:id="27">
    <w:p w14:paraId="30264A0D" w14:textId="77777777" w:rsidR="00510691" w:rsidRPr="00CA5C65" w:rsidRDefault="00510691" w:rsidP="00510691">
      <w:pPr>
        <w:pStyle w:val="FootnoteText"/>
        <w:widowControl w:val="0"/>
      </w:pPr>
      <w:r w:rsidRPr="00CA5C65">
        <w:tab/>
      </w:r>
      <w:r w:rsidRPr="00CA5C65">
        <w:rPr>
          <w:rStyle w:val="FootnoteReference"/>
        </w:rPr>
        <w:footnoteRef/>
      </w:r>
      <w:r w:rsidRPr="00CA5C65">
        <w:tab/>
        <w:t>FCCC/SBI/2022/INF.11.</w:t>
      </w:r>
    </w:p>
  </w:footnote>
  <w:footnote w:id="28">
    <w:p w14:paraId="47F3AB44" w14:textId="77777777" w:rsidR="00510691" w:rsidRPr="00CA5C65" w:rsidRDefault="00510691" w:rsidP="00510691">
      <w:pPr>
        <w:pStyle w:val="FootnoteText"/>
        <w:widowControl w:val="0"/>
      </w:pPr>
      <w:r w:rsidRPr="00CA5C65">
        <w:tab/>
      </w:r>
      <w:r w:rsidRPr="00CA5C65">
        <w:rPr>
          <w:rStyle w:val="FootnoteReference"/>
        </w:rPr>
        <w:footnoteRef/>
      </w:r>
      <w:r w:rsidRPr="00CA5C65">
        <w:tab/>
        <w:t>FCCC/SBI/2022/INF.16.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E2303" w14:textId="22CC4A5E" w:rsidR="00914508" w:rsidRPr="001E1C7F" w:rsidRDefault="001E1C7F" w:rsidP="001E1C7F">
    <w:pPr>
      <w:pStyle w:val="Header"/>
    </w:pPr>
    <w:r>
      <w:t>FCCC/CP/2022/X/Add.3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9BCEA" w14:textId="565922BA" w:rsidR="00107EF4" w:rsidRPr="00107EF4" w:rsidRDefault="00107EF4" w:rsidP="00107EF4">
    <w:pPr>
      <w:pStyle w:val="Header"/>
      <w:jc w:val="right"/>
    </w:pPr>
    <w:r>
      <w:t>FCCC/CP/2022/</w:t>
    </w:r>
    <w:r w:rsidR="005B2E19">
      <w:t>10</w:t>
    </w:r>
    <w:r>
      <w:t>/Add.3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EC55" w14:textId="22A9EC00" w:rsidR="002D6030" w:rsidRPr="00C35B8F" w:rsidRDefault="00C35B8F" w:rsidP="00C35B8F">
    <w:pPr>
      <w:pStyle w:val="Header"/>
    </w:pPr>
    <w:r>
      <w:t>FCCC/CP/2022/</w:t>
    </w:r>
    <w:r w:rsidR="005B2E19">
      <w:t>10</w:t>
    </w:r>
    <w:r>
      <w:t>/Add.3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B77F" w14:textId="346309C0" w:rsidR="002D6030" w:rsidRPr="002D6030" w:rsidRDefault="002D6030" w:rsidP="002D6030">
    <w:pPr>
      <w:pStyle w:val="Header"/>
      <w:jc w:val="right"/>
    </w:pPr>
    <w:r>
      <w:t>FCCC/CP/2022/</w:t>
    </w:r>
    <w:r w:rsidR="005B2E19">
      <w:t>10</w:t>
    </w:r>
    <w:r>
      <w:t>/Add.3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095A" w14:textId="77777777" w:rsidR="002D6030" w:rsidRDefault="002D6030" w:rsidP="000114DD">
    <w:pPr>
      <w:pStyle w:val="Header"/>
      <w:pBdr>
        <w:bottom w:val="none" w:sz="0" w:space="0" w:color="auto"/>
      </w:pBd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682D" w14:textId="04E92BFF" w:rsidR="00F376EE" w:rsidRDefault="005B2E19">
    <w:pPr>
      <w:pStyle w:val="Header"/>
    </w:pPr>
    <w:r>
      <w:t>FCCC/CP/2022/10/Add.3</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50531" w14:textId="57C0A3CC" w:rsidR="00F376EE" w:rsidRDefault="005B2E19" w:rsidP="005B2E19">
    <w:pPr>
      <w:pStyle w:val="Header"/>
      <w:jc w:val="right"/>
    </w:pPr>
    <w:r>
      <w:t>FCCC/CP/2022/10/Add.3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B2DE" w14:textId="7659A07C" w:rsidR="00F376EE" w:rsidRDefault="005B2E19">
    <w:pPr>
      <w:pStyle w:val="Header"/>
    </w:pPr>
    <w:r>
      <w:t>FCCC/CP/2022/10/Add.3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4FEF" w14:textId="39E0EDEF" w:rsidR="00F376EE" w:rsidRDefault="005B2E19" w:rsidP="005B2E19">
    <w:pPr>
      <w:pStyle w:val="Header"/>
      <w:jc w:val="right"/>
    </w:pPr>
    <w:r>
      <w:t>FCCC/CP/2022/10/Add.3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4E8F" w14:textId="508165B9" w:rsidR="001E1C7F" w:rsidRPr="001E1C7F" w:rsidRDefault="001E1C7F" w:rsidP="001E1C7F">
    <w:pPr>
      <w:pStyle w:val="Header"/>
      <w:jc w:val="right"/>
    </w:pPr>
    <w:r>
      <w:t>FCCC/CP/2022/X/Add.3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4D24" w14:textId="77777777" w:rsidR="004B2FF3" w:rsidRDefault="004B2FF3" w:rsidP="004B2FF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C294" w14:textId="259DD3C5" w:rsidR="008A2E39" w:rsidRPr="00483884" w:rsidRDefault="00483884" w:rsidP="00483884">
    <w:pPr>
      <w:pStyle w:val="Header"/>
    </w:pPr>
    <w:r>
      <w:t>FCCC/CP/2022/</w:t>
    </w:r>
    <w:r w:rsidR="005B2E19">
      <w:t>10</w:t>
    </w:r>
    <w:r>
      <w:t>/Add.3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1C3A0" w14:textId="3A905D89" w:rsidR="008A2E39" w:rsidRPr="0061545A" w:rsidRDefault="0061545A" w:rsidP="0061545A">
    <w:pPr>
      <w:pStyle w:val="Header"/>
      <w:jc w:val="right"/>
    </w:pPr>
    <w:r>
      <w:t>FCCC/CP/2022/</w:t>
    </w:r>
    <w:r w:rsidR="005B2E19">
      <w:t>10</w:t>
    </w:r>
    <w:r>
      <w:t>/Add.3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04CE" w14:textId="77777777" w:rsidR="008A2E39" w:rsidRPr="00D42E69" w:rsidRDefault="008A2E39" w:rsidP="00D42E69">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81DF" w14:textId="164FA6BE" w:rsidR="00365BEB" w:rsidRPr="00365BEB" w:rsidRDefault="00365BEB" w:rsidP="00365BEB">
    <w:pPr>
      <w:pStyle w:val="Header"/>
    </w:pPr>
    <w:r>
      <w:t>FCCC/CP/2022/</w:t>
    </w:r>
    <w:r w:rsidR="005B2E19">
      <w:t>10</w:t>
    </w:r>
    <w:r>
      <w:t>/Add.3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3675" w14:textId="4182A504" w:rsidR="0061545A" w:rsidRPr="0061545A" w:rsidRDefault="0061545A" w:rsidP="0061545A">
    <w:pPr>
      <w:pStyle w:val="Header"/>
      <w:jc w:val="right"/>
    </w:pPr>
    <w:r>
      <w:t>FCCC/CP/2022/</w:t>
    </w:r>
    <w:r w:rsidR="005B2E19">
      <w:t>10</w:t>
    </w:r>
    <w:r>
      <w:t>/Add.3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BD8A" w14:textId="0AA6FFF6" w:rsidR="00F376EE" w:rsidRDefault="005B2E19">
    <w:pPr>
      <w:pStyle w:val="Header"/>
    </w:pPr>
    <w:r>
      <w:t>FCCC/CP/2022/10/Add.3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1AA0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9A7D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F8B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C5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E8A3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42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D89E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1214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D40B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A86B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A6CEC"/>
    <w:multiLevelType w:val="multilevel"/>
    <w:tmpl w:val="68981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418258A5"/>
    <w:multiLevelType w:val="multilevel"/>
    <w:tmpl w:val="68981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431B82"/>
    <w:multiLevelType w:val="multilevel"/>
    <w:tmpl w:val="68981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5"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C35670"/>
    <w:multiLevelType w:val="multilevel"/>
    <w:tmpl w:val="68981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433091586">
    <w:abstractNumId w:val="13"/>
  </w:num>
  <w:num w:numId="2" w16cid:durableId="1531184068">
    <w:abstractNumId w:val="10"/>
  </w:num>
  <w:num w:numId="3" w16cid:durableId="1142574709">
    <w:abstractNumId w:val="26"/>
  </w:num>
  <w:num w:numId="4" w16cid:durableId="1482848817">
    <w:abstractNumId w:val="17"/>
  </w:num>
  <w:num w:numId="5" w16cid:durableId="968247720">
    <w:abstractNumId w:val="15"/>
  </w:num>
  <w:num w:numId="6" w16cid:durableId="1988364002">
    <w:abstractNumId w:val="18"/>
  </w:num>
  <w:num w:numId="7" w16cid:durableId="510266451">
    <w:abstractNumId w:val="17"/>
  </w:num>
  <w:num w:numId="8" w16cid:durableId="1748186831">
    <w:abstractNumId w:val="13"/>
  </w:num>
  <w:num w:numId="9" w16cid:durableId="1504110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560069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491149">
    <w:abstractNumId w:val="11"/>
  </w:num>
  <w:num w:numId="12" w16cid:durableId="793719729">
    <w:abstractNumId w:val="12"/>
  </w:num>
  <w:num w:numId="13" w16cid:durableId="323973138">
    <w:abstractNumId w:val="27"/>
  </w:num>
  <w:num w:numId="14" w16cid:durableId="1830487185">
    <w:abstractNumId w:val="9"/>
  </w:num>
  <w:num w:numId="15" w16cid:durableId="1973360634">
    <w:abstractNumId w:val="7"/>
  </w:num>
  <w:num w:numId="16" w16cid:durableId="179465757">
    <w:abstractNumId w:val="6"/>
  </w:num>
  <w:num w:numId="17" w16cid:durableId="796021695">
    <w:abstractNumId w:val="5"/>
  </w:num>
  <w:num w:numId="18" w16cid:durableId="873231291">
    <w:abstractNumId w:val="4"/>
  </w:num>
  <w:num w:numId="19" w16cid:durableId="1589845775">
    <w:abstractNumId w:val="8"/>
  </w:num>
  <w:num w:numId="20" w16cid:durableId="717095493">
    <w:abstractNumId w:val="3"/>
  </w:num>
  <w:num w:numId="21" w16cid:durableId="1172989522">
    <w:abstractNumId w:val="2"/>
  </w:num>
  <w:num w:numId="22" w16cid:durableId="1054742622">
    <w:abstractNumId w:val="1"/>
  </w:num>
  <w:num w:numId="23" w16cid:durableId="1594505849">
    <w:abstractNumId w:val="0"/>
  </w:num>
  <w:num w:numId="24" w16cid:durableId="1215853063">
    <w:abstractNumId w:val="22"/>
  </w:num>
  <w:num w:numId="25" w16cid:durableId="2124030834">
    <w:abstractNumId w:val="24"/>
  </w:num>
  <w:num w:numId="26" w16cid:durableId="857888953">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trackRevisions/>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558"/>
    <w:rsid w:val="00004A30"/>
    <w:rsid w:val="00007089"/>
    <w:rsid w:val="00012070"/>
    <w:rsid w:val="00020E4F"/>
    <w:rsid w:val="00021BB6"/>
    <w:rsid w:val="0002382B"/>
    <w:rsid w:val="00024129"/>
    <w:rsid w:val="00027F7F"/>
    <w:rsid w:val="00031360"/>
    <w:rsid w:val="00032DDE"/>
    <w:rsid w:val="00037650"/>
    <w:rsid w:val="0003776D"/>
    <w:rsid w:val="000423A6"/>
    <w:rsid w:val="00043A6A"/>
    <w:rsid w:val="00047E57"/>
    <w:rsid w:val="00050B6A"/>
    <w:rsid w:val="00052463"/>
    <w:rsid w:val="000555B3"/>
    <w:rsid w:val="000561BD"/>
    <w:rsid w:val="00062505"/>
    <w:rsid w:val="0006371B"/>
    <w:rsid w:val="000675DC"/>
    <w:rsid w:val="00074855"/>
    <w:rsid w:val="00074EC5"/>
    <w:rsid w:val="00074FC8"/>
    <w:rsid w:val="00076113"/>
    <w:rsid w:val="000773C8"/>
    <w:rsid w:val="00080E62"/>
    <w:rsid w:val="00081C44"/>
    <w:rsid w:val="00083647"/>
    <w:rsid w:val="0008756E"/>
    <w:rsid w:val="00087BE9"/>
    <w:rsid w:val="00090016"/>
    <w:rsid w:val="000913E6"/>
    <w:rsid w:val="00092E29"/>
    <w:rsid w:val="00093044"/>
    <w:rsid w:val="00096BE7"/>
    <w:rsid w:val="000A02B3"/>
    <w:rsid w:val="000A16FA"/>
    <w:rsid w:val="000A399F"/>
    <w:rsid w:val="000A48AD"/>
    <w:rsid w:val="000A4C99"/>
    <w:rsid w:val="000A566F"/>
    <w:rsid w:val="000A63B3"/>
    <w:rsid w:val="000A7C2B"/>
    <w:rsid w:val="000B1FD0"/>
    <w:rsid w:val="000C0E05"/>
    <w:rsid w:val="000C0EEA"/>
    <w:rsid w:val="000C1768"/>
    <w:rsid w:val="000C24E3"/>
    <w:rsid w:val="000C5173"/>
    <w:rsid w:val="000C7FAF"/>
    <w:rsid w:val="000D3711"/>
    <w:rsid w:val="000D5DED"/>
    <w:rsid w:val="000D5FFD"/>
    <w:rsid w:val="000D6922"/>
    <w:rsid w:val="000D6D4A"/>
    <w:rsid w:val="000D7B93"/>
    <w:rsid w:val="000E343D"/>
    <w:rsid w:val="000E48DA"/>
    <w:rsid w:val="000E5A58"/>
    <w:rsid w:val="000E65F2"/>
    <w:rsid w:val="000E6E68"/>
    <w:rsid w:val="000F13AC"/>
    <w:rsid w:val="000F1A98"/>
    <w:rsid w:val="000F379C"/>
    <w:rsid w:val="000F4528"/>
    <w:rsid w:val="000F4B6E"/>
    <w:rsid w:val="000F5020"/>
    <w:rsid w:val="001007C9"/>
    <w:rsid w:val="00106384"/>
    <w:rsid w:val="00107536"/>
    <w:rsid w:val="00107B0E"/>
    <w:rsid w:val="00107EF4"/>
    <w:rsid w:val="0011157B"/>
    <w:rsid w:val="001161E5"/>
    <w:rsid w:val="0011781E"/>
    <w:rsid w:val="00120826"/>
    <w:rsid w:val="00120901"/>
    <w:rsid w:val="001209A8"/>
    <w:rsid w:val="00120E84"/>
    <w:rsid w:val="00121614"/>
    <w:rsid w:val="00123C52"/>
    <w:rsid w:val="00124496"/>
    <w:rsid w:val="00125B15"/>
    <w:rsid w:val="00127311"/>
    <w:rsid w:val="001328F9"/>
    <w:rsid w:val="001349EC"/>
    <w:rsid w:val="00134F15"/>
    <w:rsid w:val="00135364"/>
    <w:rsid w:val="00136D61"/>
    <w:rsid w:val="00141368"/>
    <w:rsid w:val="00141710"/>
    <w:rsid w:val="00142A35"/>
    <w:rsid w:val="0015183D"/>
    <w:rsid w:val="00152A6E"/>
    <w:rsid w:val="001600D9"/>
    <w:rsid w:val="00165846"/>
    <w:rsid w:val="00172CF0"/>
    <w:rsid w:val="001738F1"/>
    <w:rsid w:val="00174691"/>
    <w:rsid w:val="00174A05"/>
    <w:rsid w:val="00175D73"/>
    <w:rsid w:val="001769B2"/>
    <w:rsid w:val="00176D28"/>
    <w:rsid w:val="00177074"/>
    <w:rsid w:val="00184C03"/>
    <w:rsid w:val="00184D61"/>
    <w:rsid w:val="00184D65"/>
    <w:rsid w:val="00186A4F"/>
    <w:rsid w:val="001906D0"/>
    <w:rsid w:val="001915EF"/>
    <w:rsid w:val="001929EB"/>
    <w:rsid w:val="0019430F"/>
    <w:rsid w:val="001945C7"/>
    <w:rsid w:val="00194BFA"/>
    <w:rsid w:val="00194E11"/>
    <w:rsid w:val="00195018"/>
    <w:rsid w:val="00195FF4"/>
    <w:rsid w:val="00196E77"/>
    <w:rsid w:val="001A0A3A"/>
    <w:rsid w:val="001A1FC1"/>
    <w:rsid w:val="001A3E9A"/>
    <w:rsid w:val="001A594B"/>
    <w:rsid w:val="001A5FE8"/>
    <w:rsid w:val="001A70E2"/>
    <w:rsid w:val="001B085A"/>
    <w:rsid w:val="001B1483"/>
    <w:rsid w:val="001C3DE7"/>
    <w:rsid w:val="001C40F0"/>
    <w:rsid w:val="001C4688"/>
    <w:rsid w:val="001C6EFB"/>
    <w:rsid w:val="001C7B87"/>
    <w:rsid w:val="001D012A"/>
    <w:rsid w:val="001D0F0F"/>
    <w:rsid w:val="001D1D9A"/>
    <w:rsid w:val="001D2FD8"/>
    <w:rsid w:val="001E1C7F"/>
    <w:rsid w:val="001E38E4"/>
    <w:rsid w:val="001E6BB9"/>
    <w:rsid w:val="001E7D13"/>
    <w:rsid w:val="001F0C87"/>
    <w:rsid w:val="001F2BBF"/>
    <w:rsid w:val="002008AA"/>
    <w:rsid w:val="00201B92"/>
    <w:rsid w:val="002025E1"/>
    <w:rsid w:val="00202C1D"/>
    <w:rsid w:val="00207452"/>
    <w:rsid w:val="0021446A"/>
    <w:rsid w:val="00216589"/>
    <w:rsid w:val="00220F2D"/>
    <w:rsid w:val="00223453"/>
    <w:rsid w:val="00223776"/>
    <w:rsid w:val="00224111"/>
    <w:rsid w:val="002269ED"/>
    <w:rsid w:val="00230D0F"/>
    <w:rsid w:val="00231FB5"/>
    <w:rsid w:val="00232479"/>
    <w:rsid w:val="00232EAA"/>
    <w:rsid w:val="002373EB"/>
    <w:rsid w:val="0024447B"/>
    <w:rsid w:val="00246888"/>
    <w:rsid w:val="00247BF6"/>
    <w:rsid w:val="00250037"/>
    <w:rsid w:val="00251490"/>
    <w:rsid w:val="00251FF9"/>
    <w:rsid w:val="00253D17"/>
    <w:rsid w:val="00256CFB"/>
    <w:rsid w:val="00257AA3"/>
    <w:rsid w:val="00260BFA"/>
    <w:rsid w:val="00264F17"/>
    <w:rsid w:val="00266D68"/>
    <w:rsid w:val="0026761A"/>
    <w:rsid w:val="00267B98"/>
    <w:rsid w:val="00267DC2"/>
    <w:rsid w:val="00272CE0"/>
    <w:rsid w:val="00273E8E"/>
    <w:rsid w:val="0027419E"/>
    <w:rsid w:val="00276A17"/>
    <w:rsid w:val="002776B4"/>
    <w:rsid w:val="002779EB"/>
    <w:rsid w:val="002823A1"/>
    <w:rsid w:val="00283275"/>
    <w:rsid w:val="002859C9"/>
    <w:rsid w:val="0029007C"/>
    <w:rsid w:val="00290409"/>
    <w:rsid w:val="00292DC3"/>
    <w:rsid w:val="002933A4"/>
    <w:rsid w:val="00293FA2"/>
    <w:rsid w:val="002951E2"/>
    <w:rsid w:val="002954CD"/>
    <w:rsid w:val="00295866"/>
    <w:rsid w:val="0029733B"/>
    <w:rsid w:val="00297C1E"/>
    <w:rsid w:val="002A7B52"/>
    <w:rsid w:val="002B00DA"/>
    <w:rsid w:val="002B0283"/>
    <w:rsid w:val="002B3984"/>
    <w:rsid w:val="002B446B"/>
    <w:rsid w:val="002B71EA"/>
    <w:rsid w:val="002B72CE"/>
    <w:rsid w:val="002B7532"/>
    <w:rsid w:val="002C051E"/>
    <w:rsid w:val="002C11F7"/>
    <w:rsid w:val="002C3336"/>
    <w:rsid w:val="002C52A6"/>
    <w:rsid w:val="002C5632"/>
    <w:rsid w:val="002D154A"/>
    <w:rsid w:val="002D1F6E"/>
    <w:rsid w:val="002D2B64"/>
    <w:rsid w:val="002D3C0C"/>
    <w:rsid w:val="002D47D4"/>
    <w:rsid w:val="002D6030"/>
    <w:rsid w:val="002D66A2"/>
    <w:rsid w:val="002D737B"/>
    <w:rsid w:val="002E3ED8"/>
    <w:rsid w:val="002F062B"/>
    <w:rsid w:val="002F260D"/>
    <w:rsid w:val="002F304A"/>
    <w:rsid w:val="002F60E8"/>
    <w:rsid w:val="002F6177"/>
    <w:rsid w:val="002F7B01"/>
    <w:rsid w:val="002F7FB0"/>
    <w:rsid w:val="003012AF"/>
    <w:rsid w:val="00304BA1"/>
    <w:rsid w:val="00306423"/>
    <w:rsid w:val="003132EC"/>
    <w:rsid w:val="003147E4"/>
    <w:rsid w:val="00316770"/>
    <w:rsid w:val="00317B8C"/>
    <w:rsid w:val="00321A14"/>
    <w:rsid w:val="003250E7"/>
    <w:rsid w:val="00326A30"/>
    <w:rsid w:val="00327575"/>
    <w:rsid w:val="00327B89"/>
    <w:rsid w:val="00327FE5"/>
    <w:rsid w:val="00330110"/>
    <w:rsid w:val="00332592"/>
    <w:rsid w:val="003341DF"/>
    <w:rsid w:val="003354A0"/>
    <w:rsid w:val="00336DC3"/>
    <w:rsid w:val="0034005C"/>
    <w:rsid w:val="00340554"/>
    <w:rsid w:val="00341289"/>
    <w:rsid w:val="003415A2"/>
    <w:rsid w:val="00344AD3"/>
    <w:rsid w:val="003477E2"/>
    <w:rsid w:val="0035045C"/>
    <w:rsid w:val="00350710"/>
    <w:rsid w:val="0035099D"/>
    <w:rsid w:val="0035303C"/>
    <w:rsid w:val="00355B23"/>
    <w:rsid w:val="00357684"/>
    <w:rsid w:val="00361821"/>
    <w:rsid w:val="00361A9D"/>
    <w:rsid w:val="003643C9"/>
    <w:rsid w:val="00364B85"/>
    <w:rsid w:val="00365BEB"/>
    <w:rsid w:val="00375F53"/>
    <w:rsid w:val="003762C2"/>
    <w:rsid w:val="00381632"/>
    <w:rsid w:val="00383494"/>
    <w:rsid w:val="0038385F"/>
    <w:rsid w:val="003847B9"/>
    <w:rsid w:val="00384C45"/>
    <w:rsid w:val="00385E56"/>
    <w:rsid w:val="00392448"/>
    <w:rsid w:val="00392D37"/>
    <w:rsid w:val="00396B88"/>
    <w:rsid w:val="003A04B4"/>
    <w:rsid w:val="003A4936"/>
    <w:rsid w:val="003B1229"/>
    <w:rsid w:val="003B2C11"/>
    <w:rsid w:val="003B3C25"/>
    <w:rsid w:val="003B4C6A"/>
    <w:rsid w:val="003B4D23"/>
    <w:rsid w:val="003B714F"/>
    <w:rsid w:val="003C3854"/>
    <w:rsid w:val="003C75B9"/>
    <w:rsid w:val="003D1A53"/>
    <w:rsid w:val="003D210E"/>
    <w:rsid w:val="003D36AD"/>
    <w:rsid w:val="003D6B47"/>
    <w:rsid w:val="003E05CD"/>
    <w:rsid w:val="003E3A52"/>
    <w:rsid w:val="003E7CA8"/>
    <w:rsid w:val="003F0BC6"/>
    <w:rsid w:val="003F1E27"/>
    <w:rsid w:val="003F20C4"/>
    <w:rsid w:val="003F3102"/>
    <w:rsid w:val="003F3389"/>
    <w:rsid w:val="003F5FEE"/>
    <w:rsid w:val="003F7301"/>
    <w:rsid w:val="00400B35"/>
    <w:rsid w:val="004035FF"/>
    <w:rsid w:val="00403E2E"/>
    <w:rsid w:val="004061BF"/>
    <w:rsid w:val="00410508"/>
    <w:rsid w:val="00413A5D"/>
    <w:rsid w:val="00415EFB"/>
    <w:rsid w:val="004160CA"/>
    <w:rsid w:val="00417292"/>
    <w:rsid w:val="004215DD"/>
    <w:rsid w:val="00422A48"/>
    <w:rsid w:val="00422A55"/>
    <w:rsid w:val="00423699"/>
    <w:rsid w:val="0042776C"/>
    <w:rsid w:val="00427DA2"/>
    <w:rsid w:val="0043729E"/>
    <w:rsid w:val="00437435"/>
    <w:rsid w:val="00442AFD"/>
    <w:rsid w:val="00442CD9"/>
    <w:rsid w:val="00442F4A"/>
    <w:rsid w:val="00445627"/>
    <w:rsid w:val="00455747"/>
    <w:rsid w:val="00456080"/>
    <w:rsid w:val="004578AD"/>
    <w:rsid w:val="00464BE9"/>
    <w:rsid w:val="004732FC"/>
    <w:rsid w:val="004812E6"/>
    <w:rsid w:val="0048196D"/>
    <w:rsid w:val="00483884"/>
    <w:rsid w:val="00484B74"/>
    <w:rsid w:val="0048523B"/>
    <w:rsid w:val="00485971"/>
    <w:rsid w:val="00487405"/>
    <w:rsid w:val="00487DED"/>
    <w:rsid w:val="004903C5"/>
    <w:rsid w:val="00490900"/>
    <w:rsid w:val="00495476"/>
    <w:rsid w:val="004977C3"/>
    <w:rsid w:val="004A36EC"/>
    <w:rsid w:val="004A4EA6"/>
    <w:rsid w:val="004A67DD"/>
    <w:rsid w:val="004B02E4"/>
    <w:rsid w:val="004B2317"/>
    <w:rsid w:val="004B2869"/>
    <w:rsid w:val="004B2FF3"/>
    <w:rsid w:val="004B501A"/>
    <w:rsid w:val="004B6DE3"/>
    <w:rsid w:val="004C022A"/>
    <w:rsid w:val="004C1052"/>
    <w:rsid w:val="004C5B8D"/>
    <w:rsid w:val="004D1BD9"/>
    <w:rsid w:val="004D26DD"/>
    <w:rsid w:val="004D42DC"/>
    <w:rsid w:val="004D72AF"/>
    <w:rsid w:val="004E2287"/>
    <w:rsid w:val="004E2CAD"/>
    <w:rsid w:val="004E4B8F"/>
    <w:rsid w:val="004E5A04"/>
    <w:rsid w:val="004E729D"/>
    <w:rsid w:val="004E7437"/>
    <w:rsid w:val="004F0D45"/>
    <w:rsid w:val="004F615A"/>
    <w:rsid w:val="005030B1"/>
    <w:rsid w:val="00503373"/>
    <w:rsid w:val="00510691"/>
    <w:rsid w:val="005120CF"/>
    <w:rsid w:val="0051452E"/>
    <w:rsid w:val="00521929"/>
    <w:rsid w:val="00522037"/>
    <w:rsid w:val="005255F0"/>
    <w:rsid w:val="00527573"/>
    <w:rsid w:val="005279BE"/>
    <w:rsid w:val="005324FA"/>
    <w:rsid w:val="00533AB8"/>
    <w:rsid w:val="005416D2"/>
    <w:rsid w:val="00545616"/>
    <w:rsid w:val="005464AA"/>
    <w:rsid w:val="00546735"/>
    <w:rsid w:val="005474C8"/>
    <w:rsid w:val="005549B8"/>
    <w:rsid w:val="00556333"/>
    <w:rsid w:val="0055700C"/>
    <w:rsid w:val="0056212D"/>
    <w:rsid w:val="0056250B"/>
    <w:rsid w:val="005627AB"/>
    <w:rsid w:val="00562C67"/>
    <w:rsid w:val="005653A9"/>
    <w:rsid w:val="00565AF2"/>
    <w:rsid w:val="0056758F"/>
    <w:rsid w:val="0057038E"/>
    <w:rsid w:val="00570F55"/>
    <w:rsid w:val="00573130"/>
    <w:rsid w:val="00576132"/>
    <w:rsid w:val="00576F19"/>
    <w:rsid w:val="00577949"/>
    <w:rsid w:val="00581F88"/>
    <w:rsid w:val="0058341F"/>
    <w:rsid w:val="00583E49"/>
    <w:rsid w:val="005857A1"/>
    <w:rsid w:val="0059193B"/>
    <w:rsid w:val="00592405"/>
    <w:rsid w:val="00593981"/>
    <w:rsid w:val="0059498A"/>
    <w:rsid w:val="005A0171"/>
    <w:rsid w:val="005A1844"/>
    <w:rsid w:val="005A30EA"/>
    <w:rsid w:val="005A3292"/>
    <w:rsid w:val="005B1D36"/>
    <w:rsid w:val="005B28E9"/>
    <w:rsid w:val="005B2E19"/>
    <w:rsid w:val="005B46C2"/>
    <w:rsid w:val="005B47F8"/>
    <w:rsid w:val="005C08EC"/>
    <w:rsid w:val="005C683F"/>
    <w:rsid w:val="005C6895"/>
    <w:rsid w:val="005D6C7A"/>
    <w:rsid w:val="005E432D"/>
    <w:rsid w:val="005F16C2"/>
    <w:rsid w:val="005F7584"/>
    <w:rsid w:val="005F7683"/>
    <w:rsid w:val="006002E5"/>
    <w:rsid w:val="00601526"/>
    <w:rsid w:val="006017CC"/>
    <w:rsid w:val="006037E0"/>
    <w:rsid w:val="00603D73"/>
    <w:rsid w:val="0060436D"/>
    <w:rsid w:val="0060697A"/>
    <w:rsid w:val="0061173F"/>
    <w:rsid w:val="00611E89"/>
    <w:rsid w:val="0061545A"/>
    <w:rsid w:val="00617B57"/>
    <w:rsid w:val="00622643"/>
    <w:rsid w:val="00622B9F"/>
    <w:rsid w:val="00624D03"/>
    <w:rsid w:val="00631EE2"/>
    <w:rsid w:val="00633BF3"/>
    <w:rsid w:val="00634DBB"/>
    <w:rsid w:val="0063550D"/>
    <w:rsid w:val="0063652F"/>
    <w:rsid w:val="0063667C"/>
    <w:rsid w:val="006379C7"/>
    <w:rsid w:val="00641F29"/>
    <w:rsid w:val="00642415"/>
    <w:rsid w:val="006448E0"/>
    <w:rsid w:val="0064579B"/>
    <w:rsid w:val="00651BDB"/>
    <w:rsid w:val="00655F79"/>
    <w:rsid w:val="0066159F"/>
    <w:rsid w:val="006621E8"/>
    <w:rsid w:val="006645F0"/>
    <w:rsid w:val="00664ABD"/>
    <w:rsid w:val="00664E65"/>
    <w:rsid w:val="0066779B"/>
    <w:rsid w:val="00671981"/>
    <w:rsid w:val="00671E26"/>
    <w:rsid w:val="006771A4"/>
    <w:rsid w:val="006810D8"/>
    <w:rsid w:val="00681425"/>
    <w:rsid w:val="00682B3F"/>
    <w:rsid w:val="0068552D"/>
    <w:rsid w:val="00687740"/>
    <w:rsid w:val="00693901"/>
    <w:rsid w:val="006973FA"/>
    <w:rsid w:val="006A3385"/>
    <w:rsid w:val="006A56FD"/>
    <w:rsid w:val="006A63F7"/>
    <w:rsid w:val="006A69B8"/>
    <w:rsid w:val="006B06DB"/>
    <w:rsid w:val="006B13CC"/>
    <w:rsid w:val="006B2FFC"/>
    <w:rsid w:val="006B62F2"/>
    <w:rsid w:val="006B6D3A"/>
    <w:rsid w:val="006C590B"/>
    <w:rsid w:val="006C59FB"/>
    <w:rsid w:val="006C6896"/>
    <w:rsid w:val="006C6D44"/>
    <w:rsid w:val="006D0BDC"/>
    <w:rsid w:val="006D4298"/>
    <w:rsid w:val="006D4EFD"/>
    <w:rsid w:val="006D59B8"/>
    <w:rsid w:val="006E1AC4"/>
    <w:rsid w:val="006E2336"/>
    <w:rsid w:val="006E275D"/>
    <w:rsid w:val="006E4DC5"/>
    <w:rsid w:val="006E62D7"/>
    <w:rsid w:val="006E6852"/>
    <w:rsid w:val="006F0C13"/>
    <w:rsid w:val="006F1BFA"/>
    <w:rsid w:val="006F2373"/>
    <w:rsid w:val="006F43A3"/>
    <w:rsid w:val="006F4A87"/>
    <w:rsid w:val="00700BD0"/>
    <w:rsid w:val="00700EEF"/>
    <w:rsid w:val="00706ACC"/>
    <w:rsid w:val="00710E60"/>
    <w:rsid w:val="007112BE"/>
    <w:rsid w:val="00711E19"/>
    <w:rsid w:val="0071428F"/>
    <w:rsid w:val="00717BC5"/>
    <w:rsid w:val="00721FF8"/>
    <w:rsid w:val="00726562"/>
    <w:rsid w:val="007334B2"/>
    <w:rsid w:val="007334C8"/>
    <w:rsid w:val="00733560"/>
    <w:rsid w:val="0073470C"/>
    <w:rsid w:val="00735196"/>
    <w:rsid w:val="007367AC"/>
    <w:rsid w:val="00740984"/>
    <w:rsid w:val="00741FEC"/>
    <w:rsid w:val="00742F78"/>
    <w:rsid w:val="00744A97"/>
    <w:rsid w:val="00746018"/>
    <w:rsid w:val="00750AE3"/>
    <w:rsid w:val="00750CCE"/>
    <w:rsid w:val="00752275"/>
    <w:rsid w:val="00752FEF"/>
    <w:rsid w:val="00754145"/>
    <w:rsid w:val="00756BC7"/>
    <w:rsid w:val="00756CAC"/>
    <w:rsid w:val="007626E6"/>
    <w:rsid w:val="007658FD"/>
    <w:rsid w:val="007662FB"/>
    <w:rsid w:val="00770C29"/>
    <w:rsid w:val="007712B0"/>
    <w:rsid w:val="007719B7"/>
    <w:rsid w:val="00774D1B"/>
    <w:rsid w:val="007760E2"/>
    <w:rsid w:val="00780AEB"/>
    <w:rsid w:val="007827C2"/>
    <w:rsid w:val="00783616"/>
    <w:rsid w:val="0078549A"/>
    <w:rsid w:val="007854DE"/>
    <w:rsid w:val="00791787"/>
    <w:rsid w:val="00794A93"/>
    <w:rsid w:val="00795BB4"/>
    <w:rsid w:val="007965C4"/>
    <w:rsid w:val="007A1225"/>
    <w:rsid w:val="007B07E9"/>
    <w:rsid w:val="007B0DFC"/>
    <w:rsid w:val="007B282F"/>
    <w:rsid w:val="007B2CE5"/>
    <w:rsid w:val="007B6EDC"/>
    <w:rsid w:val="007B7B51"/>
    <w:rsid w:val="007C018E"/>
    <w:rsid w:val="007C05B6"/>
    <w:rsid w:val="007C169C"/>
    <w:rsid w:val="007C186F"/>
    <w:rsid w:val="007C1B0C"/>
    <w:rsid w:val="007C23B8"/>
    <w:rsid w:val="007C370C"/>
    <w:rsid w:val="007C4046"/>
    <w:rsid w:val="007C4282"/>
    <w:rsid w:val="007C43B0"/>
    <w:rsid w:val="007C60C6"/>
    <w:rsid w:val="007D0DEF"/>
    <w:rsid w:val="007D3A77"/>
    <w:rsid w:val="007D46D9"/>
    <w:rsid w:val="007D653D"/>
    <w:rsid w:val="007E2A04"/>
    <w:rsid w:val="007E4210"/>
    <w:rsid w:val="007E4293"/>
    <w:rsid w:val="007E45C4"/>
    <w:rsid w:val="007E5A0D"/>
    <w:rsid w:val="007E5C76"/>
    <w:rsid w:val="007F0C6B"/>
    <w:rsid w:val="007F11A7"/>
    <w:rsid w:val="007F5855"/>
    <w:rsid w:val="007F6C8A"/>
    <w:rsid w:val="00802646"/>
    <w:rsid w:val="0080496A"/>
    <w:rsid w:val="00805529"/>
    <w:rsid w:val="008071D5"/>
    <w:rsid w:val="00810443"/>
    <w:rsid w:val="00810726"/>
    <w:rsid w:val="0081743A"/>
    <w:rsid w:val="00820954"/>
    <w:rsid w:val="00821927"/>
    <w:rsid w:val="00822406"/>
    <w:rsid w:val="00824785"/>
    <w:rsid w:val="00824D92"/>
    <w:rsid w:val="008263F2"/>
    <w:rsid w:val="00826893"/>
    <w:rsid w:val="00827816"/>
    <w:rsid w:val="0083172F"/>
    <w:rsid w:val="00834E6B"/>
    <w:rsid w:val="008355D2"/>
    <w:rsid w:val="008370E0"/>
    <w:rsid w:val="0084026C"/>
    <w:rsid w:val="00840B77"/>
    <w:rsid w:val="00840E92"/>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672A0"/>
    <w:rsid w:val="00871E36"/>
    <w:rsid w:val="00873FF2"/>
    <w:rsid w:val="00876FDD"/>
    <w:rsid w:val="00877791"/>
    <w:rsid w:val="00880741"/>
    <w:rsid w:val="008818AB"/>
    <w:rsid w:val="00885EE0"/>
    <w:rsid w:val="00886C88"/>
    <w:rsid w:val="00892684"/>
    <w:rsid w:val="008947F8"/>
    <w:rsid w:val="00895DDF"/>
    <w:rsid w:val="008A2E39"/>
    <w:rsid w:val="008A7864"/>
    <w:rsid w:val="008B0BDE"/>
    <w:rsid w:val="008B17FB"/>
    <w:rsid w:val="008B2230"/>
    <w:rsid w:val="008B4372"/>
    <w:rsid w:val="008C05BD"/>
    <w:rsid w:val="008C14A2"/>
    <w:rsid w:val="008C1A24"/>
    <w:rsid w:val="008C3312"/>
    <w:rsid w:val="008C3DB3"/>
    <w:rsid w:val="008C42B4"/>
    <w:rsid w:val="008C485C"/>
    <w:rsid w:val="008D1D78"/>
    <w:rsid w:val="008D2969"/>
    <w:rsid w:val="008D3EE8"/>
    <w:rsid w:val="008D4009"/>
    <w:rsid w:val="008D49EA"/>
    <w:rsid w:val="008D6F17"/>
    <w:rsid w:val="008D7CC1"/>
    <w:rsid w:val="008E2B17"/>
    <w:rsid w:val="008E4889"/>
    <w:rsid w:val="008E4AAA"/>
    <w:rsid w:val="008E64F0"/>
    <w:rsid w:val="008E6FF2"/>
    <w:rsid w:val="008F0DA9"/>
    <w:rsid w:val="008F2081"/>
    <w:rsid w:val="008F4C57"/>
    <w:rsid w:val="008F6651"/>
    <w:rsid w:val="008F7B36"/>
    <w:rsid w:val="009034BB"/>
    <w:rsid w:val="00906948"/>
    <w:rsid w:val="0091113E"/>
    <w:rsid w:val="0091119B"/>
    <w:rsid w:val="009137D2"/>
    <w:rsid w:val="00914508"/>
    <w:rsid w:val="00917177"/>
    <w:rsid w:val="00917213"/>
    <w:rsid w:val="009179D6"/>
    <w:rsid w:val="009211CC"/>
    <w:rsid w:val="00921DB5"/>
    <w:rsid w:val="0092236C"/>
    <w:rsid w:val="0092263E"/>
    <w:rsid w:val="009230A8"/>
    <w:rsid w:val="00925084"/>
    <w:rsid w:val="009252FD"/>
    <w:rsid w:val="00925EFA"/>
    <w:rsid w:val="00933228"/>
    <w:rsid w:val="00937376"/>
    <w:rsid w:val="00937A73"/>
    <w:rsid w:val="0094334C"/>
    <w:rsid w:val="0094674B"/>
    <w:rsid w:val="009476D3"/>
    <w:rsid w:val="00947D04"/>
    <w:rsid w:val="00957A10"/>
    <w:rsid w:val="00960298"/>
    <w:rsid w:val="009617EB"/>
    <w:rsid w:val="0096262A"/>
    <w:rsid w:val="00963690"/>
    <w:rsid w:val="00965737"/>
    <w:rsid w:val="00970F53"/>
    <w:rsid w:val="00971B44"/>
    <w:rsid w:val="00980E44"/>
    <w:rsid w:val="00990A74"/>
    <w:rsid w:val="009929D4"/>
    <w:rsid w:val="00992EC3"/>
    <w:rsid w:val="00996312"/>
    <w:rsid w:val="009979A7"/>
    <w:rsid w:val="009A180C"/>
    <w:rsid w:val="009A1EFD"/>
    <w:rsid w:val="009A2813"/>
    <w:rsid w:val="009A38FD"/>
    <w:rsid w:val="009A71AA"/>
    <w:rsid w:val="009B064C"/>
    <w:rsid w:val="009B1CB9"/>
    <w:rsid w:val="009B6667"/>
    <w:rsid w:val="009C41C2"/>
    <w:rsid w:val="009C42C3"/>
    <w:rsid w:val="009C49C2"/>
    <w:rsid w:val="009C4C00"/>
    <w:rsid w:val="009C5218"/>
    <w:rsid w:val="009D186B"/>
    <w:rsid w:val="009D4DA8"/>
    <w:rsid w:val="009D7644"/>
    <w:rsid w:val="009D7985"/>
    <w:rsid w:val="009E3F82"/>
    <w:rsid w:val="009E43EE"/>
    <w:rsid w:val="009E6C82"/>
    <w:rsid w:val="009F29D4"/>
    <w:rsid w:val="009F3514"/>
    <w:rsid w:val="009F3A00"/>
    <w:rsid w:val="009F4969"/>
    <w:rsid w:val="009F65C0"/>
    <w:rsid w:val="009F7619"/>
    <w:rsid w:val="009F7990"/>
    <w:rsid w:val="009F7A41"/>
    <w:rsid w:val="00A0072D"/>
    <w:rsid w:val="00A00E69"/>
    <w:rsid w:val="00A0156B"/>
    <w:rsid w:val="00A029EC"/>
    <w:rsid w:val="00A02E12"/>
    <w:rsid w:val="00A04983"/>
    <w:rsid w:val="00A05C5E"/>
    <w:rsid w:val="00A060B4"/>
    <w:rsid w:val="00A0753F"/>
    <w:rsid w:val="00A078E1"/>
    <w:rsid w:val="00A10121"/>
    <w:rsid w:val="00A10FFD"/>
    <w:rsid w:val="00A11347"/>
    <w:rsid w:val="00A11818"/>
    <w:rsid w:val="00A222C0"/>
    <w:rsid w:val="00A239BC"/>
    <w:rsid w:val="00A26D95"/>
    <w:rsid w:val="00A30DE3"/>
    <w:rsid w:val="00A31DAA"/>
    <w:rsid w:val="00A32408"/>
    <w:rsid w:val="00A35DA3"/>
    <w:rsid w:val="00A36552"/>
    <w:rsid w:val="00A41DEF"/>
    <w:rsid w:val="00A42609"/>
    <w:rsid w:val="00A44AA9"/>
    <w:rsid w:val="00A46476"/>
    <w:rsid w:val="00A47AB3"/>
    <w:rsid w:val="00A47DA0"/>
    <w:rsid w:val="00A51559"/>
    <w:rsid w:val="00A52283"/>
    <w:rsid w:val="00A55AAA"/>
    <w:rsid w:val="00A57E25"/>
    <w:rsid w:val="00A60427"/>
    <w:rsid w:val="00A620EA"/>
    <w:rsid w:val="00A63C00"/>
    <w:rsid w:val="00A6486B"/>
    <w:rsid w:val="00A64947"/>
    <w:rsid w:val="00A66451"/>
    <w:rsid w:val="00A71AF4"/>
    <w:rsid w:val="00A72AC2"/>
    <w:rsid w:val="00A72AC5"/>
    <w:rsid w:val="00A72B5C"/>
    <w:rsid w:val="00A730BB"/>
    <w:rsid w:val="00A73BA9"/>
    <w:rsid w:val="00A76791"/>
    <w:rsid w:val="00A767B5"/>
    <w:rsid w:val="00A77684"/>
    <w:rsid w:val="00A7768C"/>
    <w:rsid w:val="00A77BFF"/>
    <w:rsid w:val="00A80859"/>
    <w:rsid w:val="00A85038"/>
    <w:rsid w:val="00A866D7"/>
    <w:rsid w:val="00A86746"/>
    <w:rsid w:val="00A86B87"/>
    <w:rsid w:val="00A86EF7"/>
    <w:rsid w:val="00A9001C"/>
    <w:rsid w:val="00A91C6A"/>
    <w:rsid w:val="00A91D88"/>
    <w:rsid w:val="00A9402E"/>
    <w:rsid w:val="00A977BE"/>
    <w:rsid w:val="00AA79D8"/>
    <w:rsid w:val="00AB075E"/>
    <w:rsid w:val="00AB1658"/>
    <w:rsid w:val="00AB29C2"/>
    <w:rsid w:val="00AB2E3D"/>
    <w:rsid w:val="00AC1F08"/>
    <w:rsid w:val="00AD40C4"/>
    <w:rsid w:val="00AD45FC"/>
    <w:rsid w:val="00AD47D2"/>
    <w:rsid w:val="00AD4D69"/>
    <w:rsid w:val="00AE03E0"/>
    <w:rsid w:val="00AE2044"/>
    <w:rsid w:val="00AE550C"/>
    <w:rsid w:val="00AE73B8"/>
    <w:rsid w:val="00AE75E9"/>
    <w:rsid w:val="00AF3570"/>
    <w:rsid w:val="00AF45B0"/>
    <w:rsid w:val="00B03244"/>
    <w:rsid w:val="00B077AF"/>
    <w:rsid w:val="00B13218"/>
    <w:rsid w:val="00B14678"/>
    <w:rsid w:val="00B210F0"/>
    <w:rsid w:val="00B21243"/>
    <w:rsid w:val="00B217B4"/>
    <w:rsid w:val="00B24666"/>
    <w:rsid w:val="00B2560F"/>
    <w:rsid w:val="00B27F33"/>
    <w:rsid w:val="00B30815"/>
    <w:rsid w:val="00B314CC"/>
    <w:rsid w:val="00B33E91"/>
    <w:rsid w:val="00B3411F"/>
    <w:rsid w:val="00B37C98"/>
    <w:rsid w:val="00B40093"/>
    <w:rsid w:val="00B4036A"/>
    <w:rsid w:val="00B4354F"/>
    <w:rsid w:val="00B43B0A"/>
    <w:rsid w:val="00B43CCA"/>
    <w:rsid w:val="00B44597"/>
    <w:rsid w:val="00B465AB"/>
    <w:rsid w:val="00B52E86"/>
    <w:rsid w:val="00B62A21"/>
    <w:rsid w:val="00B6406F"/>
    <w:rsid w:val="00B64660"/>
    <w:rsid w:val="00B64FBF"/>
    <w:rsid w:val="00B67031"/>
    <w:rsid w:val="00B70FF2"/>
    <w:rsid w:val="00B7108A"/>
    <w:rsid w:val="00B7185B"/>
    <w:rsid w:val="00B73ACE"/>
    <w:rsid w:val="00B763E5"/>
    <w:rsid w:val="00B771ED"/>
    <w:rsid w:val="00B81BE1"/>
    <w:rsid w:val="00B82BB6"/>
    <w:rsid w:val="00B82BDC"/>
    <w:rsid w:val="00B82F22"/>
    <w:rsid w:val="00B84535"/>
    <w:rsid w:val="00B87869"/>
    <w:rsid w:val="00B90BC9"/>
    <w:rsid w:val="00B91CC2"/>
    <w:rsid w:val="00B944FB"/>
    <w:rsid w:val="00B946F3"/>
    <w:rsid w:val="00B955EC"/>
    <w:rsid w:val="00B961E8"/>
    <w:rsid w:val="00BA0582"/>
    <w:rsid w:val="00BA0BF9"/>
    <w:rsid w:val="00BA151F"/>
    <w:rsid w:val="00BA5F8A"/>
    <w:rsid w:val="00BA6BAF"/>
    <w:rsid w:val="00BA707B"/>
    <w:rsid w:val="00BA7377"/>
    <w:rsid w:val="00BB0700"/>
    <w:rsid w:val="00BB3213"/>
    <w:rsid w:val="00BB4988"/>
    <w:rsid w:val="00BB7CEE"/>
    <w:rsid w:val="00BC1129"/>
    <w:rsid w:val="00BC36B3"/>
    <w:rsid w:val="00BC42E0"/>
    <w:rsid w:val="00BC43C0"/>
    <w:rsid w:val="00BC5A44"/>
    <w:rsid w:val="00BC69CA"/>
    <w:rsid w:val="00BD1275"/>
    <w:rsid w:val="00BD4436"/>
    <w:rsid w:val="00BD7715"/>
    <w:rsid w:val="00BE0EAC"/>
    <w:rsid w:val="00BE141A"/>
    <w:rsid w:val="00BE2DE5"/>
    <w:rsid w:val="00BE330A"/>
    <w:rsid w:val="00BE6757"/>
    <w:rsid w:val="00BF0EE6"/>
    <w:rsid w:val="00BF2B68"/>
    <w:rsid w:val="00C0105B"/>
    <w:rsid w:val="00C03162"/>
    <w:rsid w:val="00C05F3E"/>
    <w:rsid w:val="00C073F7"/>
    <w:rsid w:val="00C120C7"/>
    <w:rsid w:val="00C12D57"/>
    <w:rsid w:val="00C136E5"/>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5B8F"/>
    <w:rsid w:val="00C35DAB"/>
    <w:rsid w:val="00C3697F"/>
    <w:rsid w:val="00C45173"/>
    <w:rsid w:val="00C458F5"/>
    <w:rsid w:val="00C47B28"/>
    <w:rsid w:val="00C537A2"/>
    <w:rsid w:val="00C54200"/>
    <w:rsid w:val="00C631AC"/>
    <w:rsid w:val="00C6567C"/>
    <w:rsid w:val="00C67050"/>
    <w:rsid w:val="00C72C22"/>
    <w:rsid w:val="00C72FF4"/>
    <w:rsid w:val="00C737CA"/>
    <w:rsid w:val="00C73F7F"/>
    <w:rsid w:val="00C75EEB"/>
    <w:rsid w:val="00C77A2E"/>
    <w:rsid w:val="00C80E9D"/>
    <w:rsid w:val="00C83DFC"/>
    <w:rsid w:val="00C87683"/>
    <w:rsid w:val="00C92592"/>
    <w:rsid w:val="00C9553A"/>
    <w:rsid w:val="00C970D7"/>
    <w:rsid w:val="00CA2105"/>
    <w:rsid w:val="00CA22E2"/>
    <w:rsid w:val="00CA5C65"/>
    <w:rsid w:val="00CA64BF"/>
    <w:rsid w:val="00CA7918"/>
    <w:rsid w:val="00CA7E68"/>
    <w:rsid w:val="00CA7E96"/>
    <w:rsid w:val="00CB0F75"/>
    <w:rsid w:val="00CB3FFE"/>
    <w:rsid w:val="00CB50A8"/>
    <w:rsid w:val="00CB5ECE"/>
    <w:rsid w:val="00CB6A6E"/>
    <w:rsid w:val="00CB7B7C"/>
    <w:rsid w:val="00CB7ED6"/>
    <w:rsid w:val="00CC5F03"/>
    <w:rsid w:val="00CC7923"/>
    <w:rsid w:val="00CD0B75"/>
    <w:rsid w:val="00CD2376"/>
    <w:rsid w:val="00CD310E"/>
    <w:rsid w:val="00CD41F3"/>
    <w:rsid w:val="00CD5538"/>
    <w:rsid w:val="00CD67D0"/>
    <w:rsid w:val="00CD7578"/>
    <w:rsid w:val="00CE3E5B"/>
    <w:rsid w:val="00CE535A"/>
    <w:rsid w:val="00CF07DD"/>
    <w:rsid w:val="00CF0A1D"/>
    <w:rsid w:val="00CF170E"/>
    <w:rsid w:val="00CF31BB"/>
    <w:rsid w:val="00CF3297"/>
    <w:rsid w:val="00CF3733"/>
    <w:rsid w:val="00CF5E23"/>
    <w:rsid w:val="00D0193B"/>
    <w:rsid w:val="00D01EC6"/>
    <w:rsid w:val="00D02E98"/>
    <w:rsid w:val="00D07E3E"/>
    <w:rsid w:val="00D10569"/>
    <w:rsid w:val="00D11D6B"/>
    <w:rsid w:val="00D11FDC"/>
    <w:rsid w:val="00D136DA"/>
    <w:rsid w:val="00D1446B"/>
    <w:rsid w:val="00D14C72"/>
    <w:rsid w:val="00D16AEB"/>
    <w:rsid w:val="00D21910"/>
    <w:rsid w:val="00D25110"/>
    <w:rsid w:val="00D33395"/>
    <w:rsid w:val="00D3426A"/>
    <w:rsid w:val="00D351E8"/>
    <w:rsid w:val="00D35384"/>
    <w:rsid w:val="00D41489"/>
    <w:rsid w:val="00D44A37"/>
    <w:rsid w:val="00D463CF"/>
    <w:rsid w:val="00D50E2F"/>
    <w:rsid w:val="00D5373D"/>
    <w:rsid w:val="00D54D60"/>
    <w:rsid w:val="00D56153"/>
    <w:rsid w:val="00D574F2"/>
    <w:rsid w:val="00D57B06"/>
    <w:rsid w:val="00D61765"/>
    <w:rsid w:val="00D64256"/>
    <w:rsid w:val="00D6462F"/>
    <w:rsid w:val="00D64B72"/>
    <w:rsid w:val="00D74206"/>
    <w:rsid w:val="00D756F9"/>
    <w:rsid w:val="00D7598E"/>
    <w:rsid w:val="00D832A3"/>
    <w:rsid w:val="00D83E4F"/>
    <w:rsid w:val="00D85EA8"/>
    <w:rsid w:val="00D87844"/>
    <w:rsid w:val="00D87C8B"/>
    <w:rsid w:val="00D91173"/>
    <w:rsid w:val="00D94016"/>
    <w:rsid w:val="00D94BD3"/>
    <w:rsid w:val="00D94CD8"/>
    <w:rsid w:val="00D94FDF"/>
    <w:rsid w:val="00D96472"/>
    <w:rsid w:val="00D97990"/>
    <w:rsid w:val="00D97FBC"/>
    <w:rsid w:val="00DA0633"/>
    <w:rsid w:val="00DA31E9"/>
    <w:rsid w:val="00DA5A75"/>
    <w:rsid w:val="00DA6A25"/>
    <w:rsid w:val="00DB2054"/>
    <w:rsid w:val="00DB3143"/>
    <w:rsid w:val="00DB41D1"/>
    <w:rsid w:val="00DB7EA6"/>
    <w:rsid w:val="00DC0148"/>
    <w:rsid w:val="00DD75FC"/>
    <w:rsid w:val="00DE0F91"/>
    <w:rsid w:val="00DE1189"/>
    <w:rsid w:val="00DE2BF4"/>
    <w:rsid w:val="00DE7610"/>
    <w:rsid w:val="00DF7591"/>
    <w:rsid w:val="00DF7C54"/>
    <w:rsid w:val="00E03ED0"/>
    <w:rsid w:val="00E10A1A"/>
    <w:rsid w:val="00E12F3E"/>
    <w:rsid w:val="00E17BB7"/>
    <w:rsid w:val="00E21A8F"/>
    <w:rsid w:val="00E21DBF"/>
    <w:rsid w:val="00E26BE6"/>
    <w:rsid w:val="00E27520"/>
    <w:rsid w:val="00E3155A"/>
    <w:rsid w:val="00E3181D"/>
    <w:rsid w:val="00E33BDC"/>
    <w:rsid w:val="00E34EE4"/>
    <w:rsid w:val="00E37CB8"/>
    <w:rsid w:val="00E4082B"/>
    <w:rsid w:val="00E42000"/>
    <w:rsid w:val="00E42EA9"/>
    <w:rsid w:val="00E43076"/>
    <w:rsid w:val="00E46104"/>
    <w:rsid w:val="00E466BB"/>
    <w:rsid w:val="00E50AEE"/>
    <w:rsid w:val="00E530DB"/>
    <w:rsid w:val="00E54543"/>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97C3E"/>
    <w:rsid w:val="00EA1029"/>
    <w:rsid w:val="00EA2634"/>
    <w:rsid w:val="00EA3D09"/>
    <w:rsid w:val="00EA5F63"/>
    <w:rsid w:val="00EA7077"/>
    <w:rsid w:val="00EB0442"/>
    <w:rsid w:val="00EB1254"/>
    <w:rsid w:val="00EB46CD"/>
    <w:rsid w:val="00EB5BB3"/>
    <w:rsid w:val="00EC0C6E"/>
    <w:rsid w:val="00EC0C73"/>
    <w:rsid w:val="00EC1E2B"/>
    <w:rsid w:val="00EC3A3D"/>
    <w:rsid w:val="00EC3BBD"/>
    <w:rsid w:val="00ED2F8E"/>
    <w:rsid w:val="00ED4A5B"/>
    <w:rsid w:val="00EE25C4"/>
    <w:rsid w:val="00EE2DC5"/>
    <w:rsid w:val="00EE379D"/>
    <w:rsid w:val="00EE4C98"/>
    <w:rsid w:val="00EE5B73"/>
    <w:rsid w:val="00EE7958"/>
    <w:rsid w:val="00EF28C1"/>
    <w:rsid w:val="00EF3D5F"/>
    <w:rsid w:val="00EF4682"/>
    <w:rsid w:val="00EF6F93"/>
    <w:rsid w:val="00F03595"/>
    <w:rsid w:val="00F067A1"/>
    <w:rsid w:val="00F12D8F"/>
    <w:rsid w:val="00F1380E"/>
    <w:rsid w:val="00F1390B"/>
    <w:rsid w:val="00F204B3"/>
    <w:rsid w:val="00F24327"/>
    <w:rsid w:val="00F3124B"/>
    <w:rsid w:val="00F3393A"/>
    <w:rsid w:val="00F36846"/>
    <w:rsid w:val="00F376EE"/>
    <w:rsid w:val="00F43434"/>
    <w:rsid w:val="00F44C6A"/>
    <w:rsid w:val="00F516A8"/>
    <w:rsid w:val="00F51990"/>
    <w:rsid w:val="00F530B7"/>
    <w:rsid w:val="00F54973"/>
    <w:rsid w:val="00F5595C"/>
    <w:rsid w:val="00F55BA0"/>
    <w:rsid w:val="00F576A9"/>
    <w:rsid w:val="00F62419"/>
    <w:rsid w:val="00F6311B"/>
    <w:rsid w:val="00F650DD"/>
    <w:rsid w:val="00F6546F"/>
    <w:rsid w:val="00F71266"/>
    <w:rsid w:val="00F71D7E"/>
    <w:rsid w:val="00F71FB8"/>
    <w:rsid w:val="00F73B1E"/>
    <w:rsid w:val="00F74E04"/>
    <w:rsid w:val="00F74E4E"/>
    <w:rsid w:val="00F77A89"/>
    <w:rsid w:val="00F805CB"/>
    <w:rsid w:val="00F819FA"/>
    <w:rsid w:val="00F81BEE"/>
    <w:rsid w:val="00F82445"/>
    <w:rsid w:val="00F83839"/>
    <w:rsid w:val="00F87228"/>
    <w:rsid w:val="00F87B82"/>
    <w:rsid w:val="00F917D5"/>
    <w:rsid w:val="00F9388A"/>
    <w:rsid w:val="00F93E30"/>
    <w:rsid w:val="00F954FE"/>
    <w:rsid w:val="00F9629C"/>
    <w:rsid w:val="00FA1989"/>
    <w:rsid w:val="00FA1A46"/>
    <w:rsid w:val="00FA3CE0"/>
    <w:rsid w:val="00FA4306"/>
    <w:rsid w:val="00FA6D9A"/>
    <w:rsid w:val="00FB3781"/>
    <w:rsid w:val="00FB3FA3"/>
    <w:rsid w:val="00FB5F95"/>
    <w:rsid w:val="00FB7CD1"/>
    <w:rsid w:val="00FC024D"/>
    <w:rsid w:val="00FC386E"/>
    <w:rsid w:val="00FC3E05"/>
    <w:rsid w:val="00FC5DA9"/>
    <w:rsid w:val="00FC7B0B"/>
    <w:rsid w:val="00FD1D7B"/>
    <w:rsid w:val="00FD3B5A"/>
    <w:rsid w:val="00FD4BA4"/>
    <w:rsid w:val="00FE11D1"/>
    <w:rsid w:val="00FE447E"/>
    <w:rsid w:val="00FE59A0"/>
    <w:rsid w:val="00FE622D"/>
    <w:rsid w:val="00FE6440"/>
    <w:rsid w:val="00FE7456"/>
    <w:rsid w:val="00FE746E"/>
    <w:rsid w:val="00FF1924"/>
    <w:rsid w:val="00FF194A"/>
    <w:rsid w:val="00FF21B8"/>
    <w:rsid w:val="00FF2D2B"/>
    <w:rsid w:val="00FF5C33"/>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C6220F"/>
  <w15:docId w15:val="{F99618F5-BCF6-4E42-A07F-5B4BF031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155A"/>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E3155A"/>
    <w:pPr>
      <w:ind w:left="1134"/>
      <w:outlineLvl w:val="0"/>
    </w:pPr>
  </w:style>
  <w:style w:type="paragraph" w:styleId="Heading2">
    <w:name w:val="heading 2"/>
    <w:basedOn w:val="Normal"/>
    <w:next w:val="Normal"/>
    <w:link w:val="Heading2Char"/>
    <w:qFormat/>
    <w:rsid w:val="00E3155A"/>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E3155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E3155A"/>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rsid w:val="00E315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155A"/>
  </w:style>
  <w:style w:type="paragraph" w:customStyle="1" w:styleId="HMG">
    <w:name w:val="_ H __M_G"/>
    <w:basedOn w:val="Normal"/>
    <w:next w:val="Normal"/>
    <w:rsid w:val="00E3155A"/>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E3155A"/>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E3155A"/>
    <w:pPr>
      <w:keepNext/>
      <w:keepLines/>
      <w:spacing w:before="360" w:after="240" w:line="270" w:lineRule="exact"/>
      <w:ind w:left="1134" w:right="1134" w:hanging="1134"/>
    </w:pPr>
    <w:rPr>
      <w:b/>
      <w:sz w:val="24"/>
    </w:rPr>
  </w:style>
  <w:style w:type="paragraph" w:customStyle="1" w:styleId="H23G">
    <w:name w:val="_ H_2/3_G"/>
    <w:basedOn w:val="Normal"/>
    <w:next w:val="Normal"/>
    <w:rsid w:val="00E3155A"/>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E3155A"/>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E3155A"/>
    <w:pPr>
      <w:keepNext/>
      <w:keepLines/>
      <w:tabs>
        <w:tab w:val="right" w:pos="851"/>
      </w:tabs>
      <w:spacing w:before="240" w:after="120" w:line="240" w:lineRule="exact"/>
      <w:ind w:left="1134" w:right="1134" w:hanging="1134"/>
    </w:pPr>
  </w:style>
  <w:style w:type="paragraph" w:customStyle="1" w:styleId="SingleTxtG">
    <w:name w:val="_ Single Txt_G"/>
    <w:basedOn w:val="Normal"/>
    <w:rsid w:val="00E3155A"/>
    <w:pPr>
      <w:spacing w:after="120"/>
      <w:ind w:left="1134" w:right="1134"/>
      <w:jc w:val="both"/>
    </w:pPr>
    <w:rPr>
      <w:rFonts w:eastAsia="Times New Roman"/>
      <w:lang w:eastAsia="en-US"/>
    </w:rPr>
  </w:style>
  <w:style w:type="paragraph" w:customStyle="1" w:styleId="SLG">
    <w:name w:val="__S_L_G"/>
    <w:basedOn w:val="Normal"/>
    <w:next w:val="Normal"/>
    <w:rsid w:val="00E3155A"/>
    <w:pPr>
      <w:keepNext/>
      <w:keepLines/>
      <w:spacing w:before="240" w:after="240" w:line="580" w:lineRule="exact"/>
      <w:ind w:left="1134" w:right="1134"/>
    </w:pPr>
    <w:rPr>
      <w:b/>
      <w:sz w:val="56"/>
    </w:rPr>
  </w:style>
  <w:style w:type="paragraph" w:customStyle="1" w:styleId="SMG">
    <w:name w:val="__S_M_G"/>
    <w:basedOn w:val="Normal"/>
    <w:next w:val="Normal"/>
    <w:rsid w:val="00E3155A"/>
    <w:pPr>
      <w:keepNext/>
      <w:keepLines/>
      <w:spacing w:before="240" w:after="240" w:line="420" w:lineRule="exact"/>
      <w:ind w:left="1134" w:right="1134"/>
    </w:pPr>
    <w:rPr>
      <w:b/>
      <w:sz w:val="40"/>
    </w:rPr>
  </w:style>
  <w:style w:type="paragraph" w:customStyle="1" w:styleId="SSG">
    <w:name w:val="__S_S_G"/>
    <w:basedOn w:val="Normal"/>
    <w:next w:val="Normal"/>
    <w:rsid w:val="00E3155A"/>
    <w:pPr>
      <w:keepNext/>
      <w:keepLines/>
      <w:spacing w:before="240" w:after="240" w:line="300" w:lineRule="exact"/>
      <w:ind w:left="1134" w:right="1134"/>
    </w:pPr>
    <w:rPr>
      <w:b/>
      <w:sz w:val="28"/>
    </w:rPr>
  </w:style>
  <w:style w:type="paragraph" w:customStyle="1" w:styleId="XLargeG">
    <w:name w:val="__XLarge_G"/>
    <w:basedOn w:val="Normal"/>
    <w:next w:val="Normal"/>
    <w:rsid w:val="00E3155A"/>
    <w:pPr>
      <w:keepNext/>
      <w:keepLines/>
      <w:spacing w:before="240" w:after="240" w:line="420" w:lineRule="exact"/>
      <w:ind w:left="1134" w:right="1134"/>
    </w:pPr>
    <w:rPr>
      <w:b/>
      <w:sz w:val="40"/>
    </w:rPr>
  </w:style>
  <w:style w:type="paragraph" w:customStyle="1" w:styleId="Bullet1G">
    <w:name w:val="_Bullet 1_G"/>
    <w:basedOn w:val="Normal"/>
    <w:rsid w:val="00E3155A"/>
    <w:pPr>
      <w:numPr>
        <w:numId w:val="2"/>
      </w:numPr>
      <w:spacing w:after="120"/>
      <w:ind w:right="1134"/>
      <w:jc w:val="both"/>
    </w:pPr>
  </w:style>
  <w:style w:type="paragraph" w:customStyle="1" w:styleId="Bullet2G">
    <w:name w:val="_Bullet 2_G"/>
    <w:basedOn w:val="Normal"/>
    <w:rsid w:val="00E3155A"/>
    <w:pPr>
      <w:numPr>
        <w:numId w:val="3"/>
      </w:numPr>
      <w:spacing w:after="120"/>
      <w:ind w:right="1134"/>
      <w:jc w:val="both"/>
    </w:pPr>
  </w:style>
  <w:style w:type="paragraph" w:customStyle="1" w:styleId="AnnoHCHG">
    <w:name w:val="Anno _ H_CH_G"/>
    <w:basedOn w:val="Normal"/>
    <w:next w:val="AnnoH1G"/>
    <w:rsid w:val="00E3155A"/>
    <w:pPr>
      <w:keepNext/>
      <w:keepLines/>
      <w:numPr>
        <w:numId w:val="4"/>
      </w:numPr>
      <w:spacing w:before="360" w:after="240" w:line="300" w:lineRule="exact"/>
      <w:ind w:right="1134"/>
    </w:pPr>
    <w:rPr>
      <w:b/>
      <w:sz w:val="28"/>
    </w:rPr>
  </w:style>
  <w:style w:type="paragraph" w:customStyle="1" w:styleId="AnnoH1G">
    <w:name w:val="Anno_ H_1_G"/>
    <w:basedOn w:val="Normal"/>
    <w:next w:val="AnnoH23G"/>
    <w:autoRedefine/>
    <w:rsid w:val="00E3155A"/>
    <w:pPr>
      <w:keepNext/>
      <w:keepLines/>
      <w:numPr>
        <w:ilvl w:val="1"/>
        <w:numId w:val="4"/>
      </w:numPr>
      <w:spacing w:before="360" w:after="240" w:line="270" w:lineRule="exact"/>
      <w:ind w:right="1134"/>
    </w:pPr>
    <w:rPr>
      <w:b/>
      <w:sz w:val="24"/>
    </w:rPr>
  </w:style>
  <w:style w:type="paragraph" w:customStyle="1" w:styleId="AnnoH23G">
    <w:name w:val="Anno_ H_2/3_G"/>
    <w:basedOn w:val="Normal"/>
    <w:next w:val="AnnoSingleTxtG"/>
    <w:autoRedefine/>
    <w:rsid w:val="00E3155A"/>
    <w:pPr>
      <w:keepNext/>
      <w:keepLines/>
      <w:numPr>
        <w:ilvl w:val="2"/>
        <w:numId w:val="4"/>
      </w:numPr>
      <w:spacing w:before="240" w:after="120" w:line="240" w:lineRule="exact"/>
      <w:ind w:right="1134"/>
    </w:pPr>
    <w:rPr>
      <w:u w:val="single"/>
    </w:rPr>
  </w:style>
  <w:style w:type="paragraph" w:customStyle="1" w:styleId="AnnoSingleTxtG">
    <w:name w:val="Anno_ Single Txt_G"/>
    <w:basedOn w:val="Normal"/>
    <w:rsid w:val="00E3155A"/>
    <w:pPr>
      <w:numPr>
        <w:ilvl w:val="3"/>
        <w:numId w:val="4"/>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rsid w:val="00E3155A"/>
    <w:rPr>
      <w:rFonts w:ascii="Times New Roman" w:hAnsi="Times New Roman"/>
      <w:sz w:val="18"/>
      <w:vertAlign w:val="superscript"/>
    </w:rPr>
  </w:style>
  <w:style w:type="character" w:styleId="EndnoteReference">
    <w:name w:val="endnote reference"/>
    <w:aliases w:val="1_G"/>
    <w:rsid w:val="00E3155A"/>
    <w:rPr>
      <w:rFonts w:ascii="Times New Roman" w:hAnsi="Times New Roman"/>
      <w:i/>
      <w:sz w:val="18"/>
      <w:vertAlign w:val="superscript"/>
    </w:rPr>
  </w:style>
  <w:style w:type="paragraph" w:styleId="EndnoteText">
    <w:name w:val="endnote text"/>
    <w:aliases w:val="2_G"/>
    <w:basedOn w:val="FootnoteText"/>
    <w:link w:val="EndnoteTextChar"/>
    <w:rsid w:val="00E3155A"/>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E3155A"/>
    <w:pPr>
      <w:tabs>
        <w:tab w:val="right" w:pos="1021"/>
      </w:tabs>
      <w:spacing w:line="220" w:lineRule="exact"/>
      <w:ind w:left="1134" w:right="1134" w:hanging="1134"/>
    </w:pPr>
    <w:rPr>
      <w:sz w:val="18"/>
    </w:rPr>
  </w:style>
  <w:style w:type="paragraph" w:styleId="Footer">
    <w:name w:val="footer"/>
    <w:aliases w:val="3_G"/>
    <w:basedOn w:val="Normal"/>
    <w:link w:val="FooterChar"/>
    <w:rsid w:val="00E3155A"/>
    <w:rPr>
      <w:sz w:val="16"/>
    </w:rPr>
  </w:style>
  <w:style w:type="paragraph" w:customStyle="1" w:styleId="FootnoteTable">
    <w:name w:val="Footnote Table"/>
    <w:basedOn w:val="Normal"/>
    <w:rsid w:val="00E3155A"/>
    <w:pPr>
      <w:spacing w:before="60" w:line="220" w:lineRule="atLeast"/>
      <w:contextualSpacing/>
      <w:jc w:val="both"/>
    </w:pPr>
    <w:rPr>
      <w:sz w:val="18"/>
    </w:rPr>
  </w:style>
  <w:style w:type="paragraph" w:styleId="Header">
    <w:name w:val="header"/>
    <w:aliases w:val="6_G"/>
    <w:basedOn w:val="Normal"/>
    <w:link w:val="HeaderChar"/>
    <w:rsid w:val="00E3155A"/>
    <w:pPr>
      <w:pBdr>
        <w:bottom w:val="single" w:sz="4" w:space="4" w:color="auto"/>
      </w:pBdr>
    </w:pPr>
    <w:rPr>
      <w:b/>
      <w:sz w:val="18"/>
    </w:rPr>
  </w:style>
  <w:style w:type="character" w:styleId="PageNumber">
    <w:name w:val="page number"/>
    <w:aliases w:val="7_G"/>
    <w:rsid w:val="00E3155A"/>
    <w:rPr>
      <w:rFonts w:ascii="Times New Roman" w:hAnsi="Times New Roman"/>
      <w:b/>
      <w:sz w:val="18"/>
    </w:rPr>
  </w:style>
  <w:style w:type="paragraph" w:customStyle="1" w:styleId="RegHChG">
    <w:name w:val="Reg_H__Ch_G"/>
    <w:basedOn w:val="Normal"/>
    <w:next w:val="RegH1G"/>
    <w:rsid w:val="00E3155A"/>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E3155A"/>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E3155A"/>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rsid w:val="00E3155A"/>
    <w:pPr>
      <w:numPr>
        <w:ilvl w:val="5"/>
        <w:numId w:val="1"/>
      </w:numPr>
      <w:tabs>
        <w:tab w:val="left" w:pos="1701"/>
      </w:tabs>
      <w:spacing w:after="120"/>
      <w:ind w:right="1134"/>
      <w:jc w:val="both"/>
    </w:pPr>
  </w:style>
  <w:style w:type="paragraph" w:styleId="TOC1">
    <w:name w:val="toc 1"/>
    <w:basedOn w:val="Normal"/>
    <w:next w:val="Normal"/>
    <w:autoRedefine/>
    <w:uiPriority w:val="39"/>
    <w:rsid w:val="00E3155A"/>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E3155A"/>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E3155A"/>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E3155A"/>
    <w:pPr>
      <w:spacing w:line="240" w:lineRule="auto"/>
    </w:pPr>
    <w:rPr>
      <w:rFonts w:ascii="Tahoma" w:hAnsi="Tahoma" w:cs="Tahoma"/>
      <w:sz w:val="16"/>
      <w:szCs w:val="16"/>
    </w:rPr>
  </w:style>
  <w:style w:type="character" w:customStyle="1" w:styleId="BalloonTextChar">
    <w:name w:val="Balloon Text Char"/>
    <w:link w:val="BalloonText"/>
    <w:rsid w:val="00E3155A"/>
    <w:rPr>
      <w:rFonts w:ascii="Tahoma" w:eastAsia="SimSun" w:hAnsi="Tahoma" w:cs="Tahoma"/>
      <w:sz w:val="16"/>
      <w:szCs w:val="16"/>
      <w:lang w:val="en-GB" w:eastAsia="zh-CN"/>
    </w:rPr>
  </w:style>
  <w:style w:type="paragraph" w:styleId="ListParagraph">
    <w:name w:val="List Paragraph"/>
    <w:basedOn w:val="Normal"/>
    <w:uiPriority w:val="34"/>
    <w:qFormat/>
    <w:rsid w:val="00E3155A"/>
    <w:pPr>
      <w:ind w:left="720"/>
      <w:contextualSpacing/>
    </w:pPr>
  </w:style>
  <w:style w:type="character" w:customStyle="1" w:styleId="Heading2Char">
    <w:name w:val="Heading 2 Char"/>
    <w:link w:val="Heading2"/>
    <w:rsid w:val="00E3155A"/>
    <w:rPr>
      <w:rFonts w:ascii="Cambria" w:hAnsi="Cambria"/>
      <w:b/>
      <w:bCs/>
      <w:color w:val="4F81BD"/>
      <w:sz w:val="26"/>
      <w:szCs w:val="26"/>
      <w:lang w:val="en-GB" w:eastAsia="zh-CN"/>
    </w:rPr>
  </w:style>
  <w:style w:type="character" w:customStyle="1" w:styleId="Heading4Char">
    <w:name w:val="Heading 4 Char"/>
    <w:link w:val="Heading4"/>
    <w:rsid w:val="00E3155A"/>
    <w:rPr>
      <w:rFonts w:ascii="Cambria" w:hAnsi="Cambria"/>
      <w:b/>
      <w:bCs/>
      <w:i/>
      <w:iCs/>
      <w:color w:val="4F81BD"/>
      <w:lang w:val="en-GB" w:eastAsia="zh-CN"/>
    </w:rPr>
  </w:style>
  <w:style w:type="character" w:customStyle="1" w:styleId="Heading5Char">
    <w:name w:val="Heading 5 Char"/>
    <w:link w:val="Heading5"/>
    <w:rsid w:val="00E3155A"/>
    <w:rPr>
      <w:rFonts w:ascii="Cambria" w:hAnsi="Cambria"/>
      <w:color w:val="243F60"/>
      <w:lang w:val="en-GB" w:eastAsia="zh-CN"/>
    </w:rPr>
  </w:style>
  <w:style w:type="paragraph" w:customStyle="1" w:styleId="ListParagraphforAnnexes">
    <w:name w:val="List Paragraph for Annexes"/>
    <w:basedOn w:val="ListParagraph"/>
    <w:qFormat/>
    <w:rsid w:val="00E3155A"/>
    <w:pPr>
      <w:spacing w:before="120" w:after="120" w:line="240" w:lineRule="exact"/>
      <w:contextualSpacing w:val="0"/>
    </w:pPr>
  </w:style>
  <w:style w:type="paragraph" w:customStyle="1" w:styleId="RegH4G">
    <w:name w:val="Reg_H_4_G"/>
    <w:basedOn w:val="RegH23G"/>
    <w:next w:val="RegH5G"/>
    <w:qFormat/>
    <w:rsid w:val="00E3155A"/>
    <w:pPr>
      <w:numPr>
        <w:ilvl w:val="3"/>
      </w:numPr>
    </w:pPr>
  </w:style>
  <w:style w:type="paragraph" w:customStyle="1" w:styleId="RegH5G">
    <w:name w:val="Reg_H_5_G"/>
    <w:basedOn w:val="RegH4G"/>
    <w:qFormat/>
    <w:rsid w:val="00E3155A"/>
    <w:pPr>
      <w:numPr>
        <w:ilvl w:val="4"/>
      </w:numPr>
    </w:pPr>
    <w:rPr>
      <w:b w:val="0"/>
      <w:i/>
    </w:rPr>
  </w:style>
  <w:style w:type="paragraph" w:customStyle="1" w:styleId="TableFootnote">
    <w:name w:val="TableFootnote"/>
    <w:basedOn w:val="FootnoteTable"/>
    <w:qFormat/>
    <w:rsid w:val="00E3155A"/>
    <w:pPr>
      <w:ind w:left="1134" w:right="1134" w:firstLine="170"/>
      <w:jc w:val="left"/>
    </w:pPr>
  </w:style>
  <w:style w:type="paragraph" w:customStyle="1" w:styleId="RegSingleTxtG2">
    <w:name w:val="Reg_Single Txt_G2"/>
    <w:basedOn w:val="RegSingleTxtG"/>
    <w:qFormat/>
    <w:rsid w:val="00E3155A"/>
    <w:pPr>
      <w:numPr>
        <w:ilvl w:val="6"/>
      </w:numPr>
      <w:tabs>
        <w:tab w:val="clear" w:pos="1702"/>
      </w:tabs>
    </w:pPr>
  </w:style>
  <w:style w:type="paragraph" w:customStyle="1" w:styleId="RegSingleTxtG3">
    <w:name w:val="Reg_Single Txt_G3"/>
    <w:basedOn w:val="RegSingleTxtG"/>
    <w:qFormat/>
    <w:rsid w:val="00E3155A"/>
    <w:pPr>
      <w:numPr>
        <w:ilvl w:val="7"/>
      </w:numPr>
    </w:pPr>
  </w:style>
  <w:style w:type="paragraph" w:customStyle="1" w:styleId="AtxtHdgs">
    <w:name w:val="Atxt_Hdgs"/>
    <w:basedOn w:val="Normal"/>
    <w:rsid w:val="00E3155A"/>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E3155A"/>
    <w:rPr>
      <w:b/>
      <w:bCs/>
    </w:rPr>
  </w:style>
  <w:style w:type="paragraph" w:styleId="TOC4">
    <w:name w:val="toc 4"/>
    <w:basedOn w:val="Normal"/>
    <w:next w:val="Normal"/>
    <w:autoRedefine/>
    <w:semiHidden/>
    <w:unhideWhenUsed/>
    <w:rsid w:val="00E3155A"/>
    <w:pPr>
      <w:ind w:left="600"/>
    </w:pPr>
  </w:style>
  <w:style w:type="paragraph" w:styleId="TOC5">
    <w:name w:val="toc 5"/>
    <w:basedOn w:val="Normal"/>
    <w:next w:val="Normal"/>
    <w:autoRedefine/>
    <w:semiHidden/>
    <w:unhideWhenUsed/>
    <w:rsid w:val="00E3155A"/>
    <w:pPr>
      <w:ind w:left="800"/>
    </w:pPr>
  </w:style>
  <w:style w:type="paragraph" w:styleId="TOC6">
    <w:name w:val="toc 6"/>
    <w:basedOn w:val="Normal"/>
    <w:next w:val="Normal"/>
    <w:autoRedefine/>
    <w:semiHidden/>
    <w:unhideWhenUsed/>
    <w:rsid w:val="00E3155A"/>
    <w:pPr>
      <w:ind w:left="1000"/>
    </w:pPr>
  </w:style>
  <w:style w:type="paragraph" w:styleId="TOC7">
    <w:name w:val="toc 7"/>
    <w:basedOn w:val="Normal"/>
    <w:next w:val="Normal"/>
    <w:autoRedefine/>
    <w:semiHidden/>
    <w:unhideWhenUsed/>
    <w:rsid w:val="00E3155A"/>
    <w:pPr>
      <w:ind w:left="1200"/>
    </w:pPr>
  </w:style>
  <w:style w:type="paragraph" w:styleId="TOC8">
    <w:name w:val="toc 8"/>
    <w:basedOn w:val="Normal"/>
    <w:next w:val="Normal"/>
    <w:autoRedefine/>
    <w:semiHidden/>
    <w:unhideWhenUsed/>
    <w:rsid w:val="00E3155A"/>
    <w:pPr>
      <w:ind w:left="1400"/>
    </w:pPr>
  </w:style>
  <w:style w:type="paragraph" w:styleId="TOC9">
    <w:name w:val="toc 9"/>
    <w:basedOn w:val="Normal"/>
    <w:next w:val="Normal"/>
    <w:autoRedefine/>
    <w:semiHidden/>
    <w:unhideWhenUsed/>
    <w:rsid w:val="00E3155A"/>
    <w:pPr>
      <w:ind w:left="1600"/>
    </w:pPr>
  </w:style>
  <w:style w:type="paragraph" w:customStyle="1" w:styleId="FC1">
    <w:name w:val="FC1"/>
    <w:basedOn w:val="RegSingleTxtG"/>
    <w:qFormat/>
    <w:rsid w:val="00E3155A"/>
    <w:pPr>
      <w:numPr>
        <w:ilvl w:val="0"/>
        <w:numId w:val="0"/>
      </w:numPr>
      <w:ind w:left="1134"/>
      <w:jc w:val="left"/>
    </w:pPr>
  </w:style>
  <w:style w:type="paragraph" w:customStyle="1" w:styleId="SourcesFootnote">
    <w:name w:val="SourcesFootnote"/>
    <w:basedOn w:val="TableFootnote"/>
    <w:qFormat/>
    <w:rsid w:val="00E3155A"/>
    <w:rPr>
      <w:i/>
    </w:rPr>
  </w:style>
  <w:style w:type="paragraph" w:customStyle="1" w:styleId="FC2">
    <w:name w:val="FC2"/>
    <w:basedOn w:val="FC1"/>
    <w:qFormat/>
    <w:rsid w:val="00E3155A"/>
    <w:pPr>
      <w:keepNext/>
    </w:pPr>
  </w:style>
  <w:style w:type="numbering" w:customStyle="1" w:styleId="FCCCBoxfootnote">
    <w:name w:val="FCCC_Box_footnote"/>
    <w:uiPriority w:val="99"/>
    <w:rsid w:val="00E3155A"/>
    <w:pPr>
      <w:numPr>
        <w:numId w:val="5"/>
      </w:numPr>
    </w:pPr>
  </w:style>
  <w:style w:type="numbering" w:customStyle="1" w:styleId="FCCCTextboxfootnote">
    <w:name w:val="FCCC Textbox footnote"/>
    <w:uiPriority w:val="99"/>
    <w:rsid w:val="00E3155A"/>
    <w:pPr>
      <w:numPr>
        <w:numId w:val="6"/>
      </w:numPr>
    </w:pPr>
  </w:style>
  <w:style w:type="numbering" w:customStyle="1" w:styleId="FigureFootnote">
    <w:name w:val="Figure Footnote"/>
    <w:uiPriority w:val="99"/>
    <w:rsid w:val="00E3155A"/>
    <w:pPr>
      <w:numPr>
        <w:numId w:val="11"/>
      </w:numPr>
    </w:pPr>
  </w:style>
  <w:style w:type="table" w:styleId="TableGrid">
    <w:name w:val="Table Grid"/>
    <w:basedOn w:val="TableNormal"/>
    <w:rsid w:val="00E31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RegSingleTxtGChar">
    <w:name w:val="Reg_Single Txt_G Char"/>
    <w:basedOn w:val="DefaultParagraphFont"/>
    <w:link w:val="RegSingleTxtG"/>
    <w:rsid w:val="00C05F3E"/>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C05F3E"/>
    <w:rPr>
      <w:rFonts w:eastAsia="SimSun"/>
      <w:sz w:val="18"/>
      <w:lang w:val="en-GB" w:eastAsia="zh-CN"/>
    </w:rPr>
  </w:style>
  <w:style w:type="paragraph" w:customStyle="1" w:styleId="BVIfnrChar">
    <w:name w:val="BVI fnr Char"/>
    <w:aliases w:val="BVI fnr Car Car Char,BVI fnr Car Char,BVI fnr Car Car Car Car Char Char,BVI fnr Car Car Car Car Char,BVI fnr Car Car Car Char,BVI fnr Car Car Car Car Car Char, BVI fnr Car Car Char, BVI fnr Car Car Car Car Char Char, BVI fnr Car Char"/>
    <w:basedOn w:val="Normal"/>
    <w:link w:val="FootnoteReference"/>
    <w:rsid w:val="00C05F3E"/>
    <w:pPr>
      <w:suppressAutoHyphens w:val="0"/>
      <w:spacing w:after="160" w:line="240" w:lineRule="exact"/>
    </w:pPr>
    <w:rPr>
      <w:rFonts w:eastAsia="Times New Roman"/>
      <w:sz w:val="18"/>
      <w:vertAlign w:val="superscript"/>
      <w:lang w:val="en-US" w:eastAsia="en-US"/>
    </w:rPr>
  </w:style>
  <w:style w:type="character" w:customStyle="1" w:styleId="Heading1Char">
    <w:name w:val="Heading 1 Char"/>
    <w:aliases w:val="Table_G Char"/>
    <w:basedOn w:val="DefaultParagraphFont"/>
    <w:link w:val="Heading1"/>
    <w:rsid w:val="00392D37"/>
    <w:rPr>
      <w:rFonts w:eastAsia="SimSun"/>
      <w:lang w:val="en-GB" w:eastAsia="zh-CN"/>
    </w:rPr>
  </w:style>
  <w:style w:type="character" w:customStyle="1" w:styleId="EndnoteTextChar">
    <w:name w:val="Endnote Text Char"/>
    <w:aliases w:val="2_G Char"/>
    <w:basedOn w:val="DefaultParagraphFont"/>
    <w:link w:val="EndnoteText"/>
    <w:rsid w:val="00392D37"/>
    <w:rPr>
      <w:rFonts w:eastAsia="SimSun"/>
      <w:i/>
      <w:sz w:val="18"/>
      <w:lang w:val="en-GB" w:eastAsia="zh-CN"/>
    </w:rPr>
  </w:style>
  <w:style w:type="character" w:customStyle="1" w:styleId="FooterChar">
    <w:name w:val="Footer Char"/>
    <w:aliases w:val="3_G Char"/>
    <w:basedOn w:val="DefaultParagraphFont"/>
    <w:link w:val="Footer"/>
    <w:rsid w:val="00392D37"/>
    <w:rPr>
      <w:rFonts w:eastAsia="SimSun"/>
      <w:sz w:val="16"/>
      <w:lang w:val="en-GB" w:eastAsia="zh-CN"/>
    </w:rPr>
  </w:style>
  <w:style w:type="character" w:customStyle="1" w:styleId="HeaderChar">
    <w:name w:val="Header Char"/>
    <w:aliases w:val="6_G Char"/>
    <w:basedOn w:val="DefaultParagraphFont"/>
    <w:link w:val="Header"/>
    <w:rsid w:val="00392D37"/>
    <w:rPr>
      <w:rFonts w:eastAsia="SimSun"/>
      <w:b/>
      <w:sz w:val="18"/>
      <w:lang w:val="en-GB" w:eastAsia="zh-CN"/>
    </w:rPr>
  </w:style>
  <w:style w:type="character" w:styleId="PlaceholderText">
    <w:name w:val="Placeholder Text"/>
    <w:basedOn w:val="DefaultParagraphFont"/>
    <w:uiPriority w:val="99"/>
    <w:semiHidden/>
    <w:rsid w:val="00392D37"/>
    <w:rPr>
      <w:color w:val="808080"/>
    </w:rPr>
  </w:style>
  <w:style w:type="paragraph" w:styleId="CommentSubject">
    <w:name w:val="annotation subject"/>
    <w:basedOn w:val="CommentText"/>
    <w:next w:val="CommentText"/>
    <w:link w:val="CommentSubjectChar"/>
    <w:semiHidden/>
    <w:unhideWhenUsed/>
    <w:rsid w:val="00392D37"/>
    <w:rPr>
      <w:b/>
      <w:bCs/>
    </w:rPr>
  </w:style>
  <w:style w:type="character" w:customStyle="1" w:styleId="CommentSubjectChar">
    <w:name w:val="Comment Subject Char"/>
    <w:basedOn w:val="CommentTextChar"/>
    <w:link w:val="CommentSubject"/>
    <w:semiHidden/>
    <w:rsid w:val="00392D37"/>
    <w:rPr>
      <w:rFonts w:eastAsia="SimSun"/>
      <w:b/>
      <w:bCs/>
      <w:lang w:val="en-GB" w:eastAsia="zh-CN"/>
    </w:rPr>
  </w:style>
  <w:style w:type="character" w:styleId="Hyperlink">
    <w:name w:val="Hyperlink"/>
    <w:basedOn w:val="DefaultParagraphFont"/>
    <w:uiPriority w:val="99"/>
    <w:unhideWhenUsed/>
    <w:rsid w:val="00392D37"/>
    <w:rPr>
      <w:color w:val="0000FF"/>
      <w:u w:val="single"/>
    </w:rPr>
  </w:style>
  <w:style w:type="paragraph" w:styleId="Revision">
    <w:name w:val="Revision"/>
    <w:hidden/>
    <w:uiPriority w:val="99"/>
    <w:semiHidden/>
    <w:rsid w:val="00392D37"/>
    <w:rPr>
      <w:rFonts w:eastAsia="SimSun"/>
      <w:lang w:val="en-GB" w:eastAsia="zh-CN"/>
    </w:rPr>
  </w:style>
  <w:style w:type="character" w:styleId="UnresolvedMention">
    <w:name w:val="Unresolved Mention"/>
    <w:basedOn w:val="DefaultParagraphFont"/>
    <w:uiPriority w:val="99"/>
    <w:unhideWhenUsed/>
    <w:rsid w:val="00392D37"/>
    <w:rPr>
      <w:color w:val="605E5C"/>
      <w:shd w:val="clear" w:color="auto" w:fill="E1DFDD"/>
    </w:rPr>
  </w:style>
  <w:style w:type="character" w:customStyle="1" w:styleId="StyleEndnoteReference1GNotItalic">
    <w:name w:val="Style Endnote Reference1_G + Not Italic"/>
    <w:basedOn w:val="EndnoteReference"/>
    <w:rsid w:val="00E3155A"/>
    <w:rPr>
      <w:rFonts w:ascii="Times New Roman" w:hAnsi="Times New Roman"/>
      <w:i/>
      <w:sz w:val="18"/>
      <w:vertAlign w:val="superscript"/>
    </w:rPr>
  </w:style>
  <w:style w:type="paragraph" w:customStyle="1" w:styleId="Default">
    <w:name w:val="Default"/>
    <w:rsid w:val="00392D37"/>
    <w:pPr>
      <w:autoSpaceDE w:val="0"/>
      <w:autoSpaceDN w:val="0"/>
      <w:adjustRightInd w:val="0"/>
    </w:pPr>
    <w:rPr>
      <w:color w:val="000000"/>
      <w:sz w:val="24"/>
      <w:szCs w:val="24"/>
      <w:lang w:val="en-AU"/>
    </w:rPr>
  </w:style>
  <w:style w:type="character" w:styleId="Mention">
    <w:name w:val="Mention"/>
    <w:basedOn w:val="DefaultParagraphFont"/>
    <w:uiPriority w:val="99"/>
    <w:unhideWhenUsed/>
    <w:rsid w:val="00392D37"/>
    <w:rPr>
      <w:color w:val="2B579A"/>
      <w:shd w:val="clear" w:color="auto" w:fill="E1DFDD"/>
    </w:rPr>
  </w:style>
  <w:style w:type="character" w:styleId="FollowedHyperlink">
    <w:name w:val="FollowedHyperlink"/>
    <w:basedOn w:val="DefaultParagraphFont"/>
    <w:uiPriority w:val="99"/>
    <w:semiHidden/>
    <w:unhideWhenUsed/>
    <w:rsid w:val="00392D37"/>
    <w:rPr>
      <w:color w:val="800080" w:themeColor="followedHyperlink"/>
      <w:u w:val="single"/>
    </w:rPr>
  </w:style>
  <w:style w:type="paragraph" w:customStyle="1" w:styleId="AgendaItemHeading">
    <w:name w:val="AgendaItemHeading"/>
    <w:basedOn w:val="Normal"/>
    <w:qFormat/>
    <w:rsid w:val="00E3155A"/>
    <w:pPr>
      <w:ind w:left="-105"/>
    </w:pPr>
    <w:rPr>
      <w:bCs/>
    </w:rPr>
  </w:style>
  <w:style w:type="paragraph" w:customStyle="1" w:styleId="BodyHeading">
    <w:name w:val="BodyHeading"/>
    <w:basedOn w:val="Normal"/>
    <w:qFormat/>
    <w:rsid w:val="00E3155A"/>
    <w:pPr>
      <w:spacing w:before="120"/>
      <w:ind w:left="-105"/>
    </w:pPr>
    <w:rPr>
      <w:b/>
      <w:sz w:val="24"/>
      <w:szCs w:val="24"/>
    </w:rPr>
  </w:style>
  <w:style w:type="paragraph" w:customStyle="1" w:styleId="MainTitle">
    <w:name w:val="MainTitle"/>
    <w:basedOn w:val="HChG"/>
    <w:qFormat/>
    <w:rsid w:val="00E3155A"/>
  </w:style>
  <w:style w:type="paragraph" w:customStyle="1" w:styleId="MainSubTitle">
    <w:name w:val="MainSubTitle"/>
    <w:basedOn w:val="H1G"/>
    <w:qFormat/>
    <w:rsid w:val="00E3155A"/>
  </w:style>
  <w:style w:type="paragraph" w:customStyle="1" w:styleId="AddendumSubTitle">
    <w:name w:val="AddendumSubTitle"/>
    <w:basedOn w:val="H1G"/>
    <w:qFormat/>
    <w:rsid w:val="00E3155A"/>
  </w:style>
  <w:style w:type="paragraph" w:customStyle="1" w:styleId="AddendumTitle">
    <w:name w:val="AddendumTitle"/>
    <w:basedOn w:val="H1G"/>
    <w:qFormat/>
    <w:rsid w:val="00E3155A"/>
  </w:style>
  <w:style w:type="paragraph" w:styleId="NormalWeb">
    <w:name w:val="Normal (Web)"/>
    <w:basedOn w:val="Normal"/>
    <w:uiPriority w:val="99"/>
    <w:semiHidden/>
    <w:unhideWhenUsed/>
    <w:rsid w:val="00080E62"/>
    <w:pPr>
      <w:suppressAutoHyphens w:val="0"/>
      <w:spacing w:before="100" w:beforeAutospacing="1" w:after="100" w:afterAutospacing="1" w:line="240" w:lineRule="auto"/>
    </w:pPr>
    <w:rPr>
      <w:rFonts w:eastAsia="Times New Roman"/>
      <w:sz w:val="24"/>
      <w:szCs w:val="24"/>
      <w:lang w:val="en-US" w:eastAsia="en-US"/>
    </w:rPr>
  </w:style>
  <w:style w:type="character" w:customStyle="1" w:styleId="HChGChar">
    <w:name w:val="_ H _Ch_G Char"/>
    <w:link w:val="HChG"/>
    <w:locked/>
    <w:rsid w:val="00080E62"/>
    <w:rPr>
      <w:rFonts w:eastAsia="SimSun"/>
      <w:b/>
      <w:sz w:val="28"/>
      <w:lang w:val="en-GB" w:eastAsia="zh-CN"/>
    </w:rPr>
  </w:style>
  <w:style w:type="character" w:customStyle="1" w:styleId="H1GChar">
    <w:name w:val="_ H_1_G Char"/>
    <w:link w:val="H1G"/>
    <w:locked/>
    <w:rsid w:val="00080E62"/>
    <w:rPr>
      <w:rFonts w:eastAsia="SimSun"/>
      <w:b/>
      <w:sz w:val="24"/>
      <w:lang w:val="en-GB" w:eastAsia="zh-CN"/>
    </w:rPr>
  </w:style>
  <w:style w:type="paragraph" w:customStyle="1" w:styleId="msonormal0">
    <w:name w:val="msonormal"/>
    <w:basedOn w:val="Normal"/>
    <w:rsid w:val="00080E62"/>
    <w:pPr>
      <w:suppressAutoHyphens w:val="0"/>
      <w:spacing w:before="100" w:beforeAutospacing="1" w:after="100" w:afterAutospacing="1" w:line="240" w:lineRule="auto"/>
    </w:pPr>
    <w:rPr>
      <w:rFonts w:eastAsia="Times New Roman"/>
      <w:sz w:val="24"/>
      <w:szCs w:val="24"/>
      <w:lang w:val="en-US" w:eastAsia="en-US"/>
    </w:rPr>
  </w:style>
  <w:style w:type="paragraph" w:customStyle="1" w:styleId="xl69">
    <w:name w:val="xl69"/>
    <w:basedOn w:val="Normal"/>
    <w:rsid w:val="00080E62"/>
    <w:pPr>
      <w:suppressAutoHyphens w:val="0"/>
      <w:spacing w:before="100" w:beforeAutospacing="1" w:after="100" w:afterAutospacing="1" w:line="240" w:lineRule="auto"/>
      <w:jc w:val="right"/>
    </w:pPr>
    <w:rPr>
      <w:rFonts w:eastAsia="Times New Roman"/>
      <w:sz w:val="24"/>
      <w:szCs w:val="24"/>
      <w:lang w:eastAsia="en-GB"/>
    </w:rPr>
  </w:style>
  <w:style w:type="paragraph" w:customStyle="1" w:styleId="xl73">
    <w:name w:val="xl73"/>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Times New Roman"/>
      <w:color w:val="000000"/>
      <w:sz w:val="18"/>
      <w:szCs w:val="18"/>
      <w:lang w:val="en-US" w:eastAsia="en-US"/>
    </w:rPr>
  </w:style>
  <w:style w:type="paragraph" w:customStyle="1" w:styleId="xl74">
    <w:name w:val="xl74"/>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Times New Roman"/>
      <w:color w:val="000000"/>
      <w:sz w:val="18"/>
      <w:szCs w:val="18"/>
      <w:lang w:val="en-US" w:eastAsia="en-US"/>
    </w:rPr>
  </w:style>
  <w:style w:type="paragraph" w:customStyle="1" w:styleId="xl75">
    <w:name w:val="xl75"/>
    <w:basedOn w:val="Normal"/>
    <w:rsid w:val="00080E62"/>
    <w:pPr>
      <w:suppressAutoHyphens w:val="0"/>
      <w:spacing w:before="100" w:beforeAutospacing="1" w:after="100" w:afterAutospacing="1" w:line="240" w:lineRule="auto"/>
    </w:pPr>
    <w:rPr>
      <w:rFonts w:eastAsia="Times New Roman"/>
      <w:sz w:val="18"/>
      <w:szCs w:val="18"/>
      <w:lang w:val="en-US" w:eastAsia="en-US"/>
    </w:rPr>
  </w:style>
  <w:style w:type="paragraph" w:customStyle="1" w:styleId="xl76">
    <w:name w:val="xl76"/>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77">
    <w:name w:val="xl77"/>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78">
    <w:name w:val="xl78"/>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color w:val="000000"/>
      <w:sz w:val="18"/>
      <w:szCs w:val="18"/>
      <w:lang w:val="en-US" w:eastAsia="en-US"/>
    </w:rPr>
  </w:style>
  <w:style w:type="paragraph" w:customStyle="1" w:styleId="xl79">
    <w:name w:val="xl79"/>
    <w:basedOn w:val="Normal"/>
    <w:rsid w:val="00080E62"/>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80">
    <w:name w:val="xl80"/>
    <w:basedOn w:val="Normal"/>
    <w:rsid w:val="00080E62"/>
    <w:pPr>
      <w:pBdr>
        <w:top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81">
    <w:name w:val="xl81"/>
    <w:basedOn w:val="Normal"/>
    <w:rsid w:val="00080E62"/>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color w:val="000000"/>
      <w:sz w:val="18"/>
      <w:szCs w:val="18"/>
      <w:lang w:val="en-US" w:eastAsia="en-US"/>
    </w:rPr>
  </w:style>
  <w:style w:type="paragraph" w:customStyle="1" w:styleId="xl82">
    <w:name w:val="xl82"/>
    <w:basedOn w:val="Normal"/>
    <w:rsid w:val="00080E62"/>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numbering" w:customStyle="1" w:styleId="FigureFootnote1">
    <w:name w:val="Figure Footnote1"/>
    <w:uiPriority w:val="99"/>
    <w:rsid w:val="00080E62"/>
  </w:style>
  <w:style w:type="numbering" w:customStyle="1" w:styleId="FCCCBoxfootnote1">
    <w:name w:val="FCCC_Box_footnote1"/>
    <w:uiPriority w:val="99"/>
    <w:rsid w:val="00080E62"/>
  </w:style>
  <w:style w:type="numbering" w:customStyle="1" w:styleId="FCCCTextboxfootnote1">
    <w:name w:val="FCCC Textbox footnote1"/>
    <w:uiPriority w:val="99"/>
    <w:rsid w:val="00080E62"/>
  </w:style>
  <w:style w:type="numbering" w:customStyle="1" w:styleId="FigureFootnote2">
    <w:name w:val="Figure Footnote2"/>
    <w:uiPriority w:val="99"/>
    <w:rsid w:val="00080E62"/>
  </w:style>
  <w:style w:type="character" w:customStyle="1" w:styleId="FootnoteTextChar1">
    <w:name w:val="Footnote Text Char1"/>
    <w:aliases w:val="5_G Char1"/>
    <w:basedOn w:val="DefaultParagraphFont"/>
    <w:semiHidden/>
    <w:rsid w:val="00080E62"/>
    <w:rPr>
      <w:rFonts w:eastAsia="SimSu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footer" Target="footer10.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9.xml"/><Relationship Id="rId44" Type="http://schemas.openxmlformats.org/officeDocument/2006/relationships/footer" Target="foot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footer" Target="footer11.xml"/><Relationship Id="rId43" Type="http://schemas.openxmlformats.org/officeDocument/2006/relationships/header" Target="header1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footer" Target="footer14.xml"/></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ipcc.ch/report/ar6/wg2/" TargetMode="External"/><Relationship Id="rId2" Type="http://schemas.openxmlformats.org/officeDocument/2006/relationships/hyperlink" Target="https://www4.unfccc.int/sites/SubmissionsStaging/Documents/202204141910---ILO%20submission%20-%20Just%20transition%20-%20An%20essential%20pathway%20to%20achieving%20gender%20equality%20and%20social%20justice.pdf" TargetMode="External"/><Relationship Id="rId1" Type="http://schemas.openxmlformats.org/officeDocument/2006/relationships/hyperlink" Target="https://unfccc.int/documents/470342" TargetMode="External"/><Relationship Id="rId4" Type="http://schemas.openxmlformats.org/officeDocument/2006/relationships/hyperlink" Target="https://www.ipcc.ch/report/ar6/wg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C10EAF83-6BC7-451D-8A2E-F6C1384AE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3.xml><?xml version="1.0" encoding="utf-8"?>
<ds:datastoreItem xmlns:ds="http://schemas.openxmlformats.org/officeDocument/2006/customXml" ds:itemID="{9B09310B-3B23-405D-B805-52E133068C5B}">
  <ds:schemaRefs>
    <ds:schemaRef ds:uri="http://schemas.openxmlformats.org/officeDocument/2006/bibliography"/>
  </ds:schemaRefs>
</ds:datastoreItem>
</file>

<file path=customXml/itemProps4.xml><?xml version="1.0" encoding="utf-8"?>
<ds:datastoreItem xmlns:ds="http://schemas.openxmlformats.org/officeDocument/2006/customXml" ds:itemID="{7A193D35-046C-48A0-97B0-46DF363DC0C2}">
  <ds:schemaRefs>
    <ds:schemaRef ds:uri="http://schemas.microsoft.com/office/2006/metadata/properties"/>
    <ds:schemaRef ds:uri="http://schemas.microsoft.com/office/infopath/2007/PartnerControls"/>
    <ds:schemaRef ds:uri="eb4559c4-8463-4985-927f-f0d558bff8f0"/>
    <ds:schemaRef ds:uri="13d80b15-5f07-43ab-b435-85767a7dac08"/>
    <ds:schemaRef ds:uri="b819522c-9de1-4f2d-ac58-6f2cdd8b04ea"/>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17</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Report of the Subsidiary Body for Implementation on its fifty-second session, held in Bonn from X to XX Month 2021</vt:lpstr>
    </vt:vector>
  </TitlesOfParts>
  <Manager/>
  <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on its twenty- seventh session, held in Sharm el-Sheikh from 6–18 November 2022. Addendum</dc:title>
  <dc:subject/>
  <dc:creator>Esmeralda Fratta di Rickli</dc:creator>
  <cp:keywords/>
  <dc:description/>
  <cp:lastModifiedBy>Toni Williams</cp:lastModifiedBy>
  <cp:revision>6</cp:revision>
  <cp:lastPrinted>2023-03-08T14:26:00Z</cp:lastPrinted>
  <dcterms:created xsi:type="dcterms:W3CDTF">2023-04-17T09:10:00Z</dcterms:created>
  <dcterms:modified xsi:type="dcterms:W3CDTF">2024-10-22T04:32:00Z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14:30:04</vt:lpwstr>
  </property>
  <property fmtid="{D5CDD505-2E9C-101B-9397-08002B2CF9AE}" pid="4" name="docSymbol2">
    <vt:lpwstr/>
  </property>
  <property fmtid="{D5CDD505-2E9C-101B-9397-08002B2CF9AE}" pid="5" name="ContentTypeId">
    <vt:lpwstr>0x01010093B27815B4C26448A2AC74C6D94E050B</vt:lpwstr>
  </property>
  <property fmtid="{D5CDD505-2E9C-101B-9397-08002B2CF9AE}" pid="6" name="_dlc_DocIdItemGuid">
    <vt:lpwstr>d4805944-0de3-417e-b836-1d3bc271105c</vt:lpwstr>
  </property>
  <property fmtid="{D5CDD505-2E9C-101B-9397-08002B2CF9AE}" pid="7" name="fccc_body">
    <vt:lpwstr>10;#Conference of the Parties (COP)|c73e7bf0-e1b5-41ee-ac74-00f3478c6be0</vt:lpwstr>
  </property>
  <property fmtid="{D5CDD505-2E9C-101B-9397-08002B2CF9AE}" pid="8" name="MediaServiceImageTags">
    <vt:lpwstr/>
  </property>
  <property fmtid="{D5CDD505-2E9C-101B-9397-08002B2CF9AE}" pid="9" name="Agenda Item">
    <vt:lpwstr/>
  </property>
  <property fmtid="{D5CDD505-2E9C-101B-9397-08002B2CF9AE}" pid="10" name="lcf76f155ced4ddcb4097134ff3c332f">
    <vt:lpwstr/>
  </property>
  <property fmtid="{D5CDD505-2E9C-101B-9397-08002B2CF9AE}" pid="11" name="Web doc type">
    <vt:lpwstr/>
  </property>
  <property fmtid="{D5CDD505-2E9C-101B-9397-08002B2CF9AE}" pid="12" name="fccc_substantive_topic">
    <vt:lpwstr>46;#Sessional proceedings|ff7bdb8c-f4ee-4fbb-ab88-7747669b7746</vt:lpwstr>
  </property>
  <property fmtid="{D5CDD505-2E9C-101B-9397-08002B2CF9AE}" pid="13" name="i961c1f3d95e40d19f5413b53439d186">
    <vt:lpwstr/>
  </property>
  <property fmtid="{D5CDD505-2E9C-101B-9397-08002B2CF9AE}" pid="14" name="fccc_Keywords">
    <vt:lpwstr>47;#Sessional proceedings|ff7bdb8c-f4ee-4fbb-ab88-7747669b7746</vt:lpwstr>
  </property>
  <property fmtid="{D5CDD505-2E9C-101B-9397-08002B2CF9AE}" pid="15" name="oa198490080c4764bc1f8325a2b96d35">
    <vt:lpwstr/>
  </property>
  <property fmtid="{D5CDD505-2E9C-101B-9397-08002B2CF9AE}" pid="16" name="fccc_session">
    <vt:lpwstr>594;#COP 27|fc33a174-50e0-4d62-9c5c-30af07261b97</vt:lpwstr>
  </property>
  <property fmtid="{D5CDD505-2E9C-101B-9397-08002B2CF9AE}" pid="17" name="LinkedUNFCCCDocumentTracker">
    <vt:lpwstr>4464</vt:lpwstr>
  </property>
  <property fmtid="{D5CDD505-2E9C-101B-9397-08002B2CF9AE}" pid="18" name="kb2e315405fe407aa7f85ff4a1d5bcda">
    <vt:lpwstr/>
  </property>
  <property fmtid="{D5CDD505-2E9C-101B-9397-08002B2CF9AE}" pid="19" name="Corporate author">
    <vt:lpwstr/>
  </property>
  <property fmtid="{D5CDD505-2E9C-101B-9397-08002B2CF9AE}" pid="20" name="Conference">
    <vt:lpwstr/>
  </property>
  <property fmtid="{D5CDD505-2E9C-101B-9397-08002B2CF9AE}" pid="21" name="docSymbol1">
    <vt:lpwstr>FCCC/CP/2022/10/Add.3</vt:lpwstr>
  </property>
</Properties>
</file>