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F2F0C" w14:textId="15EFF3A7" w:rsidR="00444325" w:rsidRPr="008576B5" w:rsidRDefault="003B21E9" w:rsidP="008576B5">
      <w:pPr>
        <w:spacing w:before="120"/>
        <w:rPr>
          <w:b/>
          <w:sz w:val="24"/>
          <w:szCs w:val="24"/>
        </w:rPr>
      </w:pPr>
      <w:r>
        <w:rPr>
          <w:b/>
          <w:sz w:val="24"/>
          <w:szCs w:val="24"/>
        </w:rPr>
        <w:t>Conference of the Parties</w:t>
      </w:r>
    </w:p>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14:paraId="5A7066B7" w14:textId="77777777" w:rsidTr="00B11E21">
        <w:trPr>
          <w:cantSplit/>
          <w:trHeight w:hRule="exact" w:val="1134"/>
        </w:trPr>
        <w:tc>
          <w:tcPr>
            <w:tcW w:w="1242" w:type="dxa"/>
            <w:tcBorders>
              <w:top w:val="nil"/>
              <w:bottom w:val="nil"/>
            </w:tcBorders>
            <w:vAlign w:val="bottom"/>
          </w:tcPr>
          <w:p w14:paraId="3A2D11A7" w14:textId="77777777" w:rsidR="002D66A2" w:rsidRPr="003F5FEE" w:rsidRDefault="002E487A">
            <w:r>
              <w:rPr>
                <w:noProof/>
                <w:lang w:val="en-US" w:eastAsia="en-US"/>
              </w:rPr>
              <w:drawing>
                <wp:anchor distT="0" distB="0" distL="114300" distR="114300" simplePos="0" relativeHeight="251658241" behindDoc="1" locked="0" layoutInCell="1" allowOverlap="1" wp14:anchorId="57EE80CF" wp14:editId="0CF2B3B6">
                  <wp:simplePos x="0" y="0"/>
                  <wp:positionH relativeFrom="column">
                    <wp:posOffset>-2460</wp:posOffset>
                  </wp:positionH>
                  <wp:positionV relativeFrom="paragraph">
                    <wp:posOffset>155326</wp:posOffset>
                  </wp:positionV>
                  <wp:extent cx="668020" cy="564515"/>
                  <wp:effectExtent l="0" t="0" r="0" b="6985"/>
                  <wp:wrapNone/>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2" w:type="dxa"/>
            <w:tcBorders>
              <w:top w:val="nil"/>
              <w:bottom w:val="nil"/>
            </w:tcBorders>
            <w:vAlign w:val="bottom"/>
          </w:tcPr>
          <w:p w14:paraId="6E0B00B1" w14:textId="77777777" w:rsidR="002D66A2" w:rsidRPr="00A86746" w:rsidRDefault="002D66A2">
            <w:pPr>
              <w:ind w:left="113"/>
              <w:rPr>
                <w:sz w:val="28"/>
                <w:szCs w:val="28"/>
              </w:rPr>
            </w:pPr>
            <w:r w:rsidRPr="00A86746">
              <w:rPr>
                <w:sz w:val="28"/>
                <w:szCs w:val="28"/>
              </w:rPr>
              <w:t>United Nations</w:t>
            </w:r>
          </w:p>
        </w:tc>
        <w:tc>
          <w:tcPr>
            <w:tcW w:w="5845" w:type="dxa"/>
            <w:gridSpan w:val="3"/>
            <w:tcBorders>
              <w:top w:val="nil"/>
              <w:bottom w:val="nil"/>
            </w:tcBorders>
            <w:vAlign w:val="bottom"/>
          </w:tcPr>
          <w:p w14:paraId="37267C04" w14:textId="06F2206D" w:rsidR="002D66A2" w:rsidRPr="000F4AD1" w:rsidRDefault="000F4AD1" w:rsidP="000F4AD1">
            <w:pPr>
              <w:jc w:val="right"/>
            </w:pPr>
            <w:r w:rsidRPr="000F4AD1">
              <w:rPr>
                <w:sz w:val="40"/>
              </w:rPr>
              <w:t>FCCC</w:t>
            </w:r>
            <w:r>
              <w:t>/CP/2023/</w:t>
            </w:r>
            <w:r w:rsidR="000519C4">
              <w:t>11</w:t>
            </w:r>
            <w:r>
              <w:t>/Add.2</w:t>
            </w:r>
          </w:p>
        </w:tc>
      </w:tr>
      <w:tr w:rsidR="002D66A2" w14:paraId="78DD34C8" w14:textId="77777777" w:rsidTr="00B11E21">
        <w:trPr>
          <w:cantSplit/>
          <w:trHeight w:hRule="exact" w:val="2552"/>
        </w:trPr>
        <w:tc>
          <w:tcPr>
            <w:tcW w:w="4511" w:type="dxa"/>
            <w:gridSpan w:val="3"/>
            <w:tcBorders>
              <w:top w:val="nil"/>
              <w:bottom w:val="single" w:sz="12" w:space="0" w:color="auto"/>
            </w:tcBorders>
          </w:tcPr>
          <w:p w14:paraId="522F76E6" w14:textId="75EFFC78" w:rsidR="002D66A2" w:rsidRPr="003F5FEE" w:rsidRDefault="002D66A2">
            <w:r>
              <w:rPr>
                <w:noProof/>
                <w:lang w:val="en-US" w:eastAsia="en-US"/>
              </w:rPr>
              <w:drawing>
                <wp:anchor distT="0" distB="0" distL="114300" distR="114300" simplePos="0" relativeHeight="251658240" behindDoc="1" locked="0" layoutInCell="1" allowOverlap="1" wp14:anchorId="1C8FEC29" wp14:editId="4540B097">
                  <wp:simplePos x="0" y="0"/>
                  <wp:positionH relativeFrom="column">
                    <wp:posOffset>-2638</wp:posOffset>
                  </wp:positionH>
                  <wp:positionV relativeFrom="paragraph">
                    <wp:posOffset>56173</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93" w:type="dxa"/>
            <w:tcBorders>
              <w:top w:val="nil"/>
              <w:bottom w:val="single" w:sz="12" w:space="0" w:color="auto"/>
            </w:tcBorders>
          </w:tcPr>
          <w:p w14:paraId="01F12821" w14:textId="77777777" w:rsidR="002D66A2" w:rsidRPr="003F5FEE" w:rsidRDefault="002D66A2"/>
        </w:tc>
        <w:tc>
          <w:tcPr>
            <w:tcW w:w="2835" w:type="dxa"/>
            <w:tcBorders>
              <w:top w:val="nil"/>
              <w:bottom w:val="single" w:sz="12" w:space="0" w:color="auto"/>
            </w:tcBorders>
          </w:tcPr>
          <w:p w14:paraId="2A98DC1A" w14:textId="5604267F" w:rsidR="00691051" w:rsidRDefault="000F4AD1" w:rsidP="000F4AD1">
            <w:pPr>
              <w:spacing w:before="240" w:line="240" w:lineRule="exact"/>
              <w:ind w:left="143"/>
            </w:pPr>
            <w:r>
              <w:t>Distr.: General</w:t>
            </w:r>
          </w:p>
          <w:p w14:paraId="20DF5B98" w14:textId="10F21C44" w:rsidR="000F4AD1" w:rsidRDefault="00F716C3" w:rsidP="000F4AD1">
            <w:pPr>
              <w:spacing w:line="240" w:lineRule="exact"/>
              <w:ind w:left="143"/>
            </w:pPr>
            <w:r w:rsidRPr="00F716C3">
              <w:t>1</w:t>
            </w:r>
            <w:r w:rsidR="00154DCC">
              <w:t>5</w:t>
            </w:r>
            <w:r w:rsidRPr="00F716C3">
              <w:t xml:space="preserve"> March</w:t>
            </w:r>
            <w:r w:rsidR="000F4AD1">
              <w:t xml:space="preserve"> 202</w:t>
            </w:r>
            <w:r w:rsidR="00053C99">
              <w:t>4</w:t>
            </w:r>
          </w:p>
          <w:p w14:paraId="5AA22A8F" w14:textId="77777777" w:rsidR="000F4AD1" w:rsidRDefault="000F4AD1" w:rsidP="000F4AD1">
            <w:pPr>
              <w:spacing w:line="240" w:lineRule="exact"/>
              <w:ind w:left="143"/>
            </w:pPr>
          </w:p>
          <w:p w14:paraId="1B9D33E9" w14:textId="1A47A9A3" w:rsidR="000F4AD1" w:rsidRPr="00E0470D" w:rsidRDefault="000F4AD1" w:rsidP="000F4AD1">
            <w:pPr>
              <w:spacing w:line="240" w:lineRule="exact"/>
              <w:ind w:left="143"/>
            </w:pPr>
            <w:r>
              <w:t>Original: English</w:t>
            </w:r>
          </w:p>
        </w:tc>
      </w:tr>
    </w:tbl>
    <w:p w14:paraId="1B7352B4" w14:textId="7C8F7C62" w:rsidR="003B13AB" w:rsidRDefault="004E4A66" w:rsidP="005A3AF6">
      <w:pPr>
        <w:pStyle w:val="HChG"/>
      </w:pPr>
      <w:r>
        <w:tab/>
      </w:r>
      <w:bookmarkStart w:id="0" w:name="_Toc161216103"/>
      <w:r w:rsidR="005A3AF6">
        <w:tab/>
      </w:r>
      <w:r w:rsidR="003B13AB">
        <w:t>R</w:t>
      </w:r>
      <w:r w:rsidR="003B13AB" w:rsidRPr="00DE51A7">
        <w:t xml:space="preserve">eport of the </w:t>
      </w:r>
      <w:r w:rsidR="003B13AB">
        <w:t>Conference of the Parties on its twenty-</w:t>
      </w:r>
      <w:r w:rsidR="00A25A18">
        <w:t>eighth</w:t>
      </w:r>
      <w:r w:rsidR="003B13AB">
        <w:t xml:space="preserve"> session, held in </w:t>
      </w:r>
      <w:r w:rsidR="002F2FE8">
        <w:t>the United Arab Emirates</w:t>
      </w:r>
      <w:r w:rsidR="003B13AB">
        <w:t xml:space="preserve"> from </w:t>
      </w:r>
      <w:r w:rsidR="006074AB">
        <w:t>30 November</w:t>
      </w:r>
      <w:r w:rsidR="003B13AB">
        <w:t xml:space="preserve"> to 1</w:t>
      </w:r>
      <w:r w:rsidR="0099505B">
        <w:t>3</w:t>
      </w:r>
      <w:r w:rsidR="003B13AB">
        <w:t xml:space="preserve"> </w:t>
      </w:r>
      <w:r w:rsidR="006074AB">
        <w:t>December 2023</w:t>
      </w:r>
      <w:bookmarkEnd w:id="0"/>
    </w:p>
    <w:p w14:paraId="049DECBD" w14:textId="77777777" w:rsidR="00C94A21" w:rsidRDefault="00C94A21" w:rsidP="00A37CBC">
      <w:pPr>
        <w:pStyle w:val="H1G"/>
        <w:ind w:firstLine="0"/>
      </w:pPr>
      <w:bookmarkStart w:id="1" w:name="_Toc161216104"/>
      <w:r>
        <w:t>Addendum</w:t>
      </w:r>
      <w:bookmarkEnd w:id="1"/>
    </w:p>
    <w:p w14:paraId="398FAF54" w14:textId="5B7FF0D9" w:rsidR="00C94A21" w:rsidRDefault="00C94A21" w:rsidP="00F44993">
      <w:pPr>
        <w:pStyle w:val="H1G"/>
        <w:ind w:firstLine="0"/>
      </w:pPr>
      <w:bookmarkStart w:id="2" w:name="_Toc161216105"/>
      <w:r>
        <w:t xml:space="preserve">Part two: Action taken by the Conference of the Parties at its </w:t>
      </w:r>
      <w:r w:rsidR="00AA321F">
        <w:t>twenty</w:t>
      </w:r>
      <w:r w:rsidR="009268C8">
        <w:noBreakHyphen/>
      </w:r>
      <w:r w:rsidR="00AA321F">
        <w:t>eighth</w:t>
      </w:r>
      <w:r>
        <w:t xml:space="preserve"> session</w:t>
      </w:r>
      <w:bookmarkEnd w:id="2"/>
    </w:p>
    <w:p w14:paraId="58460AD9" w14:textId="77777777" w:rsidR="00C94A21" w:rsidRDefault="00C94A21" w:rsidP="005A1A63">
      <w:pPr>
        <w:pStyle w:val="RegH23G"/>
        <w:ind w:hanging="454"/>
        <w:rPr>
          <w:b w:val="0"/>
          <w:bCs/>
          <w:sz w:val="24"/>
          <w:szCs w:val="24"/>
        </w:rPr>
      </w:pPr>
      <w:r w:rsidRPr="00D47AB9">
        <w:rPr>
          <w:b w:val="0"/>
          <w:bCs/>
          <w:sz w:val="24"/>
          <w:szCs w:val="24"/>
        </w:rPr>
        <w:t>Contents</w:t>
      </w:r>
    </w:p>
    <w:p w14:paraId="504B4B47" w14:textId="639BB87C" w:rsidR="00C94A21" w:rsidRPr="0065442D" w:rsidRDefault="00D37C44" w:rsidP="00D37C44">
      <w:pPr>
        <w:pStyle w:val="HChG"/>
      </w:pPr>
      <w:bookmarkStart w:id="3" w:name="_Toc161216106"/>
      <w:r>
        <w:tab/>
      </w:r>
      <w:r>
        <w:tab/>
      </w:r>
      <w:r w:rsidR="00C94A21">
        <w:t>Decisions adopted by the Conference of the Parties</w:t>
      </w:r>
      <w:bookmarkEnd w:id="3"/>
    </w:p>
    <w:p w14:paraId="68DD6560" w14:textId="6B329740" w:rsidR="00E636F8" w:rsidRPr="00F06D69" w:rsidRDefault="004A13B8" w:rsidP="004A13B8">
      <w:pPr>
        <w:tabs>
          <w:tab w:val="left" w:pos="1134"/>
          <w:tab w:val="right" w:pos="9638"/>
        </w:tabs>
        <w:spacing w:after="120"/>
        <w:ind w:left="283"/>
      </w:pPr>
      <w:r>
        <w:rPr>
          <w:i/>
        </w:rPr>
        <w:tab/>
      </w:r>
      <w:r w:rsidR="00E636F8" w:rsidRPr="00F06D69">
        <w:rPr>
          <w:i/>
        </w:rPr>
        <w:t>Decision</w:t>
      </w:r>
      <w:r w:rsidR="00E636F8" w:rsidRPr="00F06D69">
        <w:rPr>
          <w:i/>
        </w:rPr>
        <w:tab/>
        <w:t>Page</w:t>
      </w:r>
    </w:p>
    <w:p w14:paraId="0965F368" w14:textId="0B7BB888" w:rsidR="00727DB6" w:rsidRPr="00F06D69" w:rsidRDefault="00CC1245" w:rsidP="00CC1245">
      <w:pPr>
        <w:pStyle w:val="TOC1"/>
        <w:tabs>
          <w:tab w:val="clear" w:pos="2268"/>
          <w:tab w:val="left" w:pos="1559"/>
          <w:tab w:val="left" w:pos="1985"/>
        </w:tabs>
        <w:spacing w:before="0"/>
        <w:ind w:left="0" w:firstLine="0"/>
      </w:pPr>
      <w:r>
        <w:tab/>
      </w:r>
      <w:r>
        <w:tab/>
      </w:r>
      <w:hyperlink w:anchor="Decision10" w:history="1">
        <w:r w:rsidR="00727DB6" w:rsidRPr="00DB413D">
          <w:rPr>
            <w:rStyle w:val="Hyperlink"/>
          </w:rPr>
          <w:t>10/CP.28</w:t>
        </w:r>
      </w:hyperlink>
      <w:r w:rsidR="00727DB6" w:rsidRPr="00F06D69">
        <w:tab/>
        <w:t>Linkages between the Technology Mechanism and the</w:t>
      </w:r>
      <w:r w:rsidR="00727DB6" w:rsidRPr="00F06D69" w:rsidDel="00741E87">
        <w:t xml:space="preserve"> </w:t>
      </w:r>
      <w:r w:rsidR="00727DB6" w:rsidRPr="00F06D69">
        <w:t>Financial Mechanism</w:t>
      </w:r>
      <w:r w:rsidR="00727DB6" w:rsidRPr="00F06D69">
        <w:tab/>
      </w:r>
      <w:r w:rsidR="00727DB6" w:rsidRPr="00F06D69">
        <w:tab/>
      </w:r>
      <w:r w:rsidR="00AF2835" w:rsidRPr="00F06D69">
        <w:t>2</w:t>
      </w:r>
    </w:p>
    <w:p w14:paraId="70D6A988" w14:textId="0D5533A5" w:rsidR="00A87322" w:rsidRPr="00F06D69" w:rsidRDefault="00241B7F" w:rsidP="00D131CC">
      <w:pPr>
        <w:pStyle w:val="TOC1"/>
        <w:tabs>
          <w:tab w:val="clear" w:pos="2268"/>
          <w:tab w:val="left" w:pos="1559"/>
          <w:tab w:val="left" w:pos="1985"/>
        </w:tabs>
        <w:spacing w:before="0"/>
        <w:ind w:left="1985" w:hanging="1985"/>
      </w:pPr>
      <w:r>
        <w:tab/>
      </w:r>
      <w:r>
        <w:tab/>
      </w:r>
      <w:hyperlink w:anchor="Decision11" w:history="1">
        <w:r w:rsidR="00727DB6" w:rsidRPr="00DB413D">
          <w:rPr>
            <w:rStyle w:val="Hyperlink"/>
          </w:rPr>
          <w:t>11/CP.28</w:t>
        </w:r>
      </w:hyperlink>
      <w:r w:rsidR="00727DB6" w:rsidRPr="00CC1245">
        <w:tab/>
      </w:r>
      <w:r w:rsidR="00E64DE4" w:rsidRPr="00CC1245">
        <w:t>Annual technical progress</w:t>
      </w:r>
      <w:r w:rsidR="00DE02CE" w:rsidRPr="00CC1245">
        <w:t xml:space="preserve"> report of the Paris Committee on capacity</w:t>
      </w:r>
      <w:r w:rsidR="00600785" w:rsidRPr="00CC1245">
        <w:t xml:space="preserve">-building </w:t>
      </w:r>
      <w:r w:rsidR="00AA10CE" w:rsidRPr="00CC1245">
        <w:br/>
      </w:r>
      <w:r w:rsidR="00600785" w:rsidRPr="00CC1245">
        <w:t>for 2023</w:t>
      </w:r>
      <w:r w:rsidR="00AA10CE">
        <w:tab/>
      </w:r>
      <w:r>
        <w:tab/>
      </w:r>
      <w:r w:rsidR="00E64DE4" w:rsidRPr="00F06D69">
        <w:t>5</w:t>
      </w:r>
    </w:p>
    <w:p w14:paraId="026CBC7F" w14:textId="06D30F51" w:rsidR="00AA750A" w:rsidRPr="00F06D69" w:rsidRDefault="00241B7F" w:rsidP="00D131CC">
      <w:pPr>
        <w:pStyle w:val="TOC1"/>
        <w:tabs>
          <w:tab w:val="clear" w:pos="2268"/>
          <w:tab w:val="left" w:pos="1559"/>
          <w:tab w:val="left" w:pos="1985"/>
        </w:tabs>
        <w:spacing w:before="0"/>
        <w:ind w:left="1985" w:hanging="1985"/>
      </w:pPr>
      <w:r>
        <w:tab/>
      </w:r>
      <w:r>
        <w:tab/>
      </w:r>
      <w:hyperlink w:anchor="Decision12" w:history="1">
        <w:r w:rsidR="00727DB6" w:rsidRPr="00DB413D">
          <w:rPr>
            <w:rStyle w:val="Hyperlink"/>
          </w:rPr>
          <w:t>12/CP.28</w:t>
        </w:r>
      </w:hyperlink>
      <w:r w:rsidR="00727DB6" w:rsidRPr="00F06D69">
        <w:tab/>
      </w:r>
      <w:r w:rsidR="00AA750A" w:rsidRPr="00F06D69">
        <w:t>Terms of refer</w:t>
      </w:r>
      <w:r w:rsidR="00083498" w:rsidRPr="00F06D69">
        <w:t>ence for the second review of the Paris</w:t>
      </w:r>
      <w:r w:rsidR="00E1437A" w:rsidRPr="00F06D69">
        <w:t xml:space="preserve"> Committee on</w:t>
      </w:r>
      <w:r>
        <w:t xml:space="preserve"> </w:t>
      </w:r>
      <w:r w:rsidR="00E1437A" w:rsidRPr="00F06D69">
        <w:t>capactity -building</w:t>
      </w:r>
      <w:r w:rsidR="00AA10CE">
        <w:tab/>
      </w:r>
      <w:r w:rsidR="00FA4ABA" w:rsidRPr="00F06D69">
        <w:t>6</w:t>
      </w:r>
    </w:p>
    <w:p w14:paraId="276AE857" w14:textId="6FADB949" w:rsidR="00E636F8" w:rsidRPr="00F06D69" w:rsidRDefault="00241B7F" w:rsidP="00D131CC">
      <w:pPr>
        <w:pStyle w:val="TOC1"/>
        <w:tabs>
          <w:tab w:val="clear" w:pos="2268"/>
          <w:tab w:val="left" w:pos="1559"/>
          <w:tab w:val="left" w:pos="1985"/>
        </w:tabs>
        <w:spacing w:before="0"/>
        <w:ind w:left="1985" w:hanging="1985"/>
      </w:pPr>
      <w:r>
        <w:tab/>
      </w:r>
      <w:r>
        <w:tab/>
      </w:r>
      <w:hyperlink w:anchor="Decision13" w:history="1">
        <w:r w:rsidR="001D7294" w:rsidRPr="00DB413D">
          <w:rPr>
            <w:rStyle w:val="Hyperlink"/>
          </w:rPr>
          <w:t>13</w:t>
        </w:r>
        <w:r w:rsidR="00E636F8" w:rsidRPr="00DB413D">
          <w:rPr>
            <w:rStyle w:val="Hyperlink"/>
          </w:rPr>
          <w:t>/CP.28</w:t>
        </w:r>
      </w:hyperlink>
      <w:r w:rsidR="00E636F8" w:rsidRPr="00CC1245">
        <w:tab/>
      </w:r>
      <w:r w:rsidR="00334779" w:rsidRPr="00F06D69">
        <w:t xml:space="preserve">Review of the functions, work programme and modalities of the forum on the </w:t>
      </w:r>
      <w:r w:rsidR="00AA10CE">
        <w:br/>
      </w:r>
      <w:r w:rsidR="00334779" w:rsidRPr="00F06D69">
        <w:t xml:space="preserve">impact of the implementation of response measures, midterm review of the workplan </w:t>
      </w:r>
      <w:r w:rsidR="00E96A4E">
        <w:br/>
      </w:r>
      <w:r w:rsidR="00334779" w:rsidRPr="00F06D69">
        <w:t>and report of the forum</w:t>
      </w:r>
      <w:r w:rsidR="00E636F8" w:rsidRPr="00F06D69">
        <w:tab/>
      </w:r>
      <w:r w:rsidR="00E636F8" w:rsidRPr="00F06D69">
        <w:tab/>
      </w:r>
      <w:r w:rsidR="00FA4ABA" w:rsidRPr="00F06D69">
        <w:t>9</w:t>
      </w:r>
    </w:p>
    <w:p w14:paraId="4B6008FA" w14:textId="4C46EAC9" w:rsidR="00E636F8" w:rsidRPr="00F06D69" w:rsidRDefault="00241B7F" w:rsidP="00CC1245">
      <w:pPr>
        <w:pStyle w:val="TOC1"/>
        <w:tabs>
          <w:tab w:val="clear" w:pos="2268"/>
          <w:tab w:val="left" w:pos="1559"/>
          <w:tab w:val="left" w:pos="1985"/>
        </w:tabs>
        <w:spacing w:before="0"/>
        <w:ind w:left="0" w:firstLine="0"/>
      </w:pPr>
      <w:r>
        <w:tab/>
      </w:r>
      <w:r>
        <w:tab/>
      </w:r>
      <w:hyperlink w:anchor="Decision14" w:history="1">
        <w:r w:rsidR="001D7294" w:rsidRPr="00DB413D">
          <w:rPr>
            <w:rStyle w:val="Hyperlink"/>
          </w:rPr>
          <w:t>14</w:t>
        </w:r>
        <w:r w:rsidR="00E636F8" w:rsidRPr="00DB413D">
          <w:rPr>
            <w:rStyle w:val="Hyperlink"/>
          </w:rPr>
          <w:t>/CP.28</w:t>
        </w:r>
      </w:hyperlink>
      <w:r w:rsidR="00E636F8" w:rsidRPr="00F06D69">
        <w:tab/>
      </w:r>
      <w:r w:rsidR="001F2EF8" w:rsidRPr="00F06D69">
        <w:t>Sixth Assessment Report of the Intergovernmental Panel on Climate Change</w:t>
      </w:r>
      <w:r w:rsidR="00E636F8" w:rsidRPr="00F06D69">
        <w:tab/>
      </w:r>
      <w:r w:rsidR="00E636F8" w:rsidRPr="00F06D69">
        <w:tab/>
      </w:r>
      <w:r w:rsidR="00352590" w:rsidRPr="00F06D69">
        <w:t>17</w:t>
      </w:r>
    </w:p>
    <w:p w14:paraId="3E454194" w14:textId="177F26C6" w:rsidR="00E636F8" w:rsidRPr="00F06D69" w:rsidRDefault="00241B7F" w:rsidP="00CC1245">
      <w:pPr>
        <w:pStyle w:val="TOC1"/>
        <w:tabs>
          <w:tab w:val="clear" w:pos="2268"/>
          <w:tab w:val="left" w:pos="1559"/>
          <w:tab w:val="left" w:pos="1985"/>
        </w:tabs>
        <w:spacing w:before="0"/>
        <w:ind w:left="0" w:firstLine="0"/>
      </w:pPr>
      <w:r>
        <w:tab/>
      </w:r>
      <w:r>
        <w:tab/>
      </w:r>
      <w:hyperlink w:anchor="Decision15" w:history="1">
        <w:r w:rsidR="001D7294" w:rsidRPr="00DB413D">
          <w:rPr>
            <w:rStyle w:val="Hyperlink"/>
          </w:rPr>
          <w:t>1</w:t>
        </w:r>
        <w:r w:rsidR="001F2EF8" w:rsidRPr="00DB413D">
          <w:rPr>
            <w:rStyle w:val="Hyperlink"/>
          </w:rPr>
          <w:t>5</w:t>
        </w:r>
        <w:r w:rsidR="00E636F8" w:rsidRPr="00DB413D">
          <w:rPr>
            <w:rStyle w:val="Hyperlink"/>
          </w:rPr>
          <w:t>/CP.28</w:t>
        </w:r>
      </w:hyperlink>
      <w:r w:rsidR="00E636F8" w:rsidRPr="00F06D69">
        <w:tab/>
      </w:r>
      <w:r w:rsidR="009C5D83" w:rsidRPr="00F06D69">
        <w:t>Gender and climate change</w:t>
      </w:r>
      <w:r w:rsidR="00E636F8" w:rsidRPr="00F06D69">
        <w:tab/>
      </w:r>
      <w:r w:rsidR="00E636F8" w:rsidRPr="00F06D69">
        <w:tab/>
      </w:r>
      <w:r w:rsidR="00FA4ABA" w:rsidRPr="00F06D69">
        <w:t>18</w:t>
      </w:r>
    </w:p>
    <w:p w14:paraId="01F18DAE" w14:textId="6324F10C" w:rsidR="00E636F8" w:rsidRPr="00F06D69" w:rsidRDefault="00241B7F" w:rsidP="00CC1245">
      <w:pPr>
        <w:pStyle w:val="TOC1"/>
        <w:tabs>
          <w:tab w:val="clear" w:pos="2268"/>
          <w:tab w:val="left" w:pos="1559"/>
          <w:tab w:val="left" w:pos="1985"/>
        </w:tabs>
        <w:spacing w:before="0"/>
        <w:ind w:left="0" w:firstLine="0"/>
      </w:pPr>
      <w:r>
        <w:tab/>
      </w:r>
      <w:r>
        <w:tab/>
      </w:r>
      <w:hyperlink w:anchor="Decision16" w:history="1">
        <w:r w:rsidR="001D7294" w:rsidRPr="00DB413D">
          <w:rPr>
            <w:rStyle w:val="Hyperlink"/>
          </w:rPr>
          <w:t>16</w:t>
        </w:r>
        <w:r w:rsidR="00E636F8" w:rsidRPr="00DB413D">
          <w:rPr>
            <w:rStyle w:val="Hyperlink"/>
          </w:rPr>
          <w:t>/CP.28</w:t>
        </w:r>
      </w:hyperlink>
      <w:r w:rsidR="00E636F8" w:rsidRPr="00F06D69">
        <w:tab/>
      </w:r>
      <w:r w:rsidR="00314E34" w:rsidRPr="00F06D69">
        <w:t>Presidency youth climate champion</w:t>
      </w:r>
      <w:r w:rsidR="00E636F8" w:rsidRPr="00F06D69">
        <w:tab/>
      </w:r>
      <w:r w:rsidR="00E636F8" w:rsidRPr="00F06D69">
        <w:tab/>
      </w:r>
      <w:r w:rsidR="00FA4ABA" w:rsidRPr="00F06D69">
        <w:t>19</w:t>
      </w:r>
    </w:p>
    <w:p w14:paraId="2AD5078E" w14:textId="21372383" w:rsidR="00E636F8" w:rsidRPr="00F06D69" w:rsidRDefault="00241B7F" w:rsidP="00CC1245">
      <w:pPr>
        <w:pStyle w:val="TOC1"/>
        <w:tabs>
          <w:tab w:val="clear" w:pos="2268"/>
          <w:tab w:val="left" w:pos="1559"/>
          <w:tab w:val="left" w:pos="1985"/>
        </w:tabs>
        <w:spacing w:before="0"/>
        <w:ind w:left="0" w:firstLine="0"/>
      </w:pPr>
      <w:r>
        <w:tab/>
      </w:r>
      <w:r>
        <w:tab/>
      </w:r>
      <w:hyperlink w:anchor="Decision17" w:history="1">
        <w:r w:rsidR="001D7294" w:rsidRPr="00DB413D">
          <w:rPr>
            <w:rStyle w:val="Hyperlink"/>
          </w:rPr>
          <w:t>17</w:t>
        </w:r>
        <w:r w:rsidR="00E636F8" w:rsidRPr="00DB413D">
          <w:rPr>
            <w:rStyle w:val="Hyperlink"/>
          </w:rPr>
          <w:t>/CP.28</w:t>
        </w:r>
      </w:hyperlink>
      <w:r w:rsidR="00E636F8" w:rsidRPr="00F06D69">
        <w:tab/>
      </w:r>
      <w:r w:rsidR="00D47DEF" w:rsidRPr="00F06D69">
        <w:t>Dates and venues of future sessions</w:t>
      </w:r>
      <w:r w:rsidR="00E636F8" w:rsidRPr="00F06D69">
        <w:tab/>
      </w:r>
      <w:r w:rsidR="00E636F8" w:rsidRPr="00F06D69">
        <w:tab/>
      </w:r>
      <w:r w:rsidR="006B73E6" w:rsidRPr="00F06D69">
        <w:t>21</w:t>
      </w:r>
    </w:p>
    <w:p w14:paraId="498FA708" w14:textId="4EC9E5E7" w:rsidR="00E636F8" w:rsidRPr="00F06D69" w:rsidRDefault="00241B7F" w:rsidP="00CC1245">
      <w:pPr>
        <w:pStyle w:val="TOC1"/>
        <w:tabs>
          <w:tab w:val="clear" w:pos="2268"/>
          <w:tab w:val="left" w:pos="1559"/>
          <w:tab w:val="left" w:pos="1985"/>
        </w:tabs>
        <w:spacing w:before="0"/>
        <w:ind w:left="0" w:firstLine="0"/>
      </w:pPr>
      <w:r>
        <w:tab/>
      </w:r>
      <w:r>
        <w:tab/>
      </w:r>
      <w:hyperlink w:anchor="Decision18" w:history="1">
        <w:r w:rsidR="001D7294" w:rsidRPr="00DB413D">
          <w:rPr>
            <w:rStyle w:val="Hyperlink"/>
          </w:rPr>
          <w:t>18</w:t>
        </w:r>
        <w:r w:rsidR="00E636F8" w:rsidRPr="00DB413D">
          <w:rPr>
            <w:rStyle w:val="Hyperlink"/>
          </w:rPr>
          <w:t>/CP.28</w:t>
        </w:r>
      </w:hyperlink>
      <w:r w:rsidR="00E636F8" w:rsidRPr="00F06D69">
        <w:tab/>
      </w:r>
      <w:r w:rsidR="0027180E" w:rsidRPr="00F06D69">
        <w:t>Administrative, financial and institutional matters</w:t>
      </w:r>
      <w:r w:rsidR="00E636F8" w:rsidRPr="00F06D69">
        <w:tab/>
      </w:r>
      <w:r w:rsidR="00E636F8" w:rsidRPr="00F06D69">
        <w:tab/>
      </w:r>
      <w:r w:rsidR="006B73E6" w:rsidRPr="00F06D69">
        <w:t>23</w:t>
      </w:r>
    </w:p>
    <w:p w14:paraId="5ACD4761" w14:textId="31C332A4" w:rsidR="005D64D5" w:rsidRPr="00CC1245" w:rsidRDefault="00241B7F" w:rsidP="005F7411">
      <w:pPr>
        <w:pStyle w:val="TOC1"/>
        <w:tabs>
          <w:tab w:val="clear" w:pos="2268"/>
          <w:tab w:val="left" w:pos="1559"/>
          <w:tab w:val="left" w:pos="1985"/>
        </w:tabs>
        <w:spacing w:before="0"/>
        <w:ind w:left="0" w:firstLine="0"/>
      </w:pPr>
      <w:r>
        <w:tab/>
      </w:r>
      <w:r>
        <w:tab/>
      </w:r>
      <w:hyperlink w:anchor="Decision19" w:history="1">
        <w:r w:rsidR="001D7294" w:rsidRPr="00DB413D">
          <w:rPr>
            <w:rStyle w:val="Hyperlink"/>
          </w:rPr>
          <w:t>19</w:t>
        </w:r>
        <w:r w:rsidR="00E636F8" w:rsidRPr="00DB413D">
          <w:rPr>
            <w:rStyle w:val="Hyperlink"/>
          </w:rPr>
          <w:t>/CP.28</w:t>
        </w:r>
      </w:hyperlink>
      <w:r w:rsidR="00E636F8" w:rsidRPr="00F06D69">
        <w:tab/>
      </w:r>
      <w:r w:rsidR="00A83FD9" w:rsidRPr="00F06D69">
        <w:t>Administrative, financial and institutional matters</w:t>
      </w:r>
      <w:r w:rsidR="00E636F8" w:rsidRPr="00F06D69">
        <w:tab/>
      </w:r>
      <w:r w:rsidR="00E636F8" w:rsidRPr="00F06D69">
        <w:tab/>
      </w:r>
      <w:r w:rsidR="006B73E6" w:rsidRPr="00F06D69">
        <w:t>25</w:t>
      </w:r>
      <w:r w:rsidR="005D64D5" w:rsidRPr="00F06D69">
        <w:fldChar w:fldCharType="begin"/>
      </w:r>
      <w:r w:rsidR="005D64D5" w:rsidRPr="00F06D69">
        <w:instrText xml:space="preserve"> TOC \o "1-9" \z \t "Anno _ H_CH_G,1,Anno_ H_1_G,2,Reg_H__Ch_G,1,Reg_H_1_G,2" </w:instrText>
      </w:r>
      <w:r w:rsidR="005D64D5" w:rsidRPr="00F06D69">
        <w:fldChar w:fldCharType="separate"/>
      </w:r>
    </w:p>
    <w:p w14:paraId="01752353" w14:textId="54A2F94F" w:rsidR="0020268F" w:rsidRPr="00C712C7" w:rsidRDefault="005D64D5" w:rsidP="005F7411">
      <w:pPr>
        <w:spacing w:before="120"/>
        <w:rPr>
          <w:rFonts w:eastAsia="Times New Roman"/>
        </w:rPr>
      </w:pPr>
      <w:r w:rsidRPr="00F06D69">
        <w:tab/>
      </w:r>
      <w:r w:rsidR="00241B7F">
        <w:tab/>
      </w:r>
      <w:r w:rsidR="0020268F" w:rsidRPr="00C712C7">
        <w:rPr>
          <w:i/>
        </w:rPr>
        <w:t>Resolution</w:t>
      </w:r>
    </w:p>
    <w:p w14:paraId="655832B7" w14:textId="2EFA6401" w:rsidR="005D64D5" w:rsidRPr="00CC1245" w:rsidRDefault="0020268F" w:rsidP="005F7411">
      <w:pPr>
        <w:pStyle w:val="TOC1"/>
        <w:tabs>
          <w:tab w:val="clear" w:pos="2268"/>
          <w:tab w:val="left" w:pos="1559"/>
          <w:tab w:val="left" w:pos="1985"/>
        </w:tabs>
        <w:ind w:left="0" w:firstLine="0"/>
      </w:pPr>
      <w:r w:rsidRPr="00C712C7">
        <w:tab/>
      </w:r>
      <w:r w:rsidRPr="00C712C7">
        <w:tab/>
      </w:r>
      <w:hyperlink w:anchor="Resolution1" w:history="1">
        <w:r w:rsidR="00832245" w:rsidRPr="009148F3">
          <w:rPr>
            <w:color w:val="0000FF"/>
            <w:u w:val="single"/>
          </w:rPr>
          <w:t>1/CP.28</w:t>
        </w:r>
      </w:hyperlink>
      <w:r w:rsidR="005D64D5" w:rsidRPr="00F06D69">
        <w:rPr>
          <w:webHidden/>
        </w:rPr>
        <w:tab/>
      </w:r>
      <w:r w:rsidR="00F209FA" w:rsidRPr="00C712C7">
        <w:t>Expression of gratitude to the Government of the United Arab Emirates</w:t>
      </w:r>
      <w:r w:rsidR="005D64D5" w:rsidRPr="00F06D69">
        <w:rPr>
          <w:webHidden/>
        </w:rPr>
        <w:tab/>
      </w:r>
      <w:r w:rsidR="00711327">
        <w:rPr>
          <w:webHidden/>
        </w:rPr>
        <w:tab/>
      </w:r>
      <w:r w:rsidR="006B73E6" w:rsidRPr="00F06D69">
        <w:rPr>
          <w:webHidden/>
        </w:rPr>
        <w:t>39</w:t>
      </w:r>
    </w:p>
    <w:p w14:paraId="7F3DC33A" w14:textId="039E7B1D" w:rsidR="009377C8" w:rsidRDefault="005D64D5" w:rsidP="00CC1245">
      <w:pPr>
        <w:pStyle w:val="TOC1"/>
        <w:tabs>
          <w:tab w:val="clear" w:pos="2268"/>
          <w:tab w:val="left" w:pos="1559"/>
          <w:tab w:val="left" w:pos="1985"/>
        </w:tabs>
        <w:spacing w:before="0"/>
        <w:ind w:left="0" w:firstLine="0"/>
        <w:sectPr w:rsidR="009377C8" w:rsidSect="000D19EC">
          <w:headerReference w:type="even" r:id="rId14"/>
          <w:headerReference w:type="default" r:id="rId15"/>
          <w:footerReference w:type="even" r:id="rId16"/>
          <w:footerReference w:type="default" r:id="rId17"/>
          <w:footnotePr>
            <w:numRestart w:val="eachSect"/>
          </w:footnotePr>
          <w:pgSz w:w="11906" w:h="16838" w:code="9"/>
          <w:pgMar w:top="1418" w:right="1134" w:bottom="1134" w:left="1134" w:header="851" w:footer="567" w:gutter="0"/>
          <w:cols w:space="708"/>
          <w:docGrid w:linePitch="360"/>
        </w:sectPr>
      </w:pPr>
      <w:r w:rsidRPr="00F06D69">
        <w:fldChar w:fldCharType="end"/>
      </w:r>
    </w:p>
    <w:p w14:paraId="49A1C68D" w14:textId="44D15104" w:rsidR="003B13AB" w:rsidRPr="00374D18" w:rsidRDefault="005B6E5C" w:rsidP="002E748A">
      <w:pPr>
        <w:pStyle w:val="HChG"/>
      </w:pPr>
      <w:r>
        <w:lastRenderedPageBreak/>
        <w:tab/>
      </w:r>
      <w:bookmarkStart w:id="4" w:name="_Toc161216107"/>
      <w:bookmarkStart w:id="5" w:name="Decision10"/>
      <w:r w:rsidR="002E748A">
        <w:tab/>
      </w:r>
      <w:r w:rsidR="00413448" w:rsidRPr="00374D18">
        <w:t xml:space="preserve">Decision </w:t>
      </w:r>
      <w:r w:rsidR="00CB632F" w:rsidRPr="00374D18">
        <w:t>10</w:t>
      </w:r>
      <w:r w:rsidR="00413448" w:rsidRPr="00374D18">
        <w:t>/CP.28</w:t>
      </w:r>
      <w:bookmarkEnd w:id="4"/>
    </w:p>
    <w:bookmarkEnd w:id="5"/>
    <w:p w14:paraId="5E4AEB4F" w14:textId="02EC4711" w:rsidR="003B13AB" w:rsidRPr="00D439DF" w:rsidRDefault="00E53983" w:rsidP="00FA1078">
      <w:pPr>
        <w:pStyle w:val="HChG"/>
      </w:pPr>
      <w:r>
        <w:tab/>
      </w:r>
      <w:r>
        <w:tab/>
      </w:r>
      <w:r w:rsidR="00967497" w:rsidRPr="00D439DF">
        <w:t>Linkages between the Technology Mechanism and the</w:t>
      </w:r>
      <w:r w:rsidR="00967497" w:rsidRPr="00D439DF" w:rsidDel="00741E87">
        <w:t xml:space="preserve"> </w:t>
      </w:r>
      <w:r w:rsidR="00967497" w:rsidRPr="00D439DF">
        <w:t>Financial Mechanism</w:t>
      </w:r>
    </w:p>
    <w:p w14:paraId="2F55D36D" w14:textId="5708FFBC" w:rsidR="00FD2103" w:rsidRPr="0079125D" w:rsidRDefault="002D566B" w:rsidP="002D566B">
      <w:pPr>
        <w:pStyle w:val="SingleTxtG"/>
        <w:rPr>
          <w:iCs/>
          <w:lang w:val="en-US"/>
        </w:rPr>
      </w:pPr>
      <w:r>
        <w:rPr>
          <w:i/>
          <w:lang w:val="en-US"/>
        </w:rPr>
        <w:tab/>
      </w:r>
      <w:r>
        <w:rPr>
          <w:i/>
          <w:lang w:val="en-US"/>
        </w:rPr>
        <w:tab/>
      </w:r>
      <w:r w:rsidR="00FD2103" w:rsidRPr="008926FB">
        <w:rPr>
          <w:i/>
          <w:lang w:val="en-US"/>
        </w:rPr>
        <w:t>The Conference of the</w:t>
      </w:r>
      <w:r w:rsidR="00FD2103">
        <w:rPr>
          <w:i/>
          <w:lang w:val="en-US"/>
        </w:rPr>
        <w:t xml:space="preserve"> Parties</w:t>
      </w:r>
      <w:r w:rsidR="00FD2103" w:rsidRPr="00EF0494">
        <w:rPr>
          <w:lang w:val="en-US"/>
        </w:rPr>
        <w:t>,</w:t>
      </w:r>
      <w:r w:rsidR="00FD2103" w:rsidRPr="0079125D">
        <w:rPr>
          <w:iCs/>
          <w:lang w:val="en-US"/>
        </w:rPr>
        <w:t xml:space="preserve"> </w:t>
      </w:r>
    </w:p>
    <w:p w14:paraId="0A9CCB6D" w14:textId="088779DE" w:rsidR="00FD2103" w:rsidRPr="00B05A7F" w:rsidRDefault="002D566B" w:rsidP="002D566B">
      <w:pPr>
        <w:pStyle w:val="SingleTxtG"/>
      </w:pPr>
      <w:r>
        <w:rPr>
          <w:lang w:val="en-US"/>
        </w:rPr>
        <w:tab/>
      </w:r>
      <w:r w:rsidR="00FD2103">
        <w:rPr>
          <w:lang w:val="en-US"/>
        </w:rPr>
        <w:tab/>
      </w:r>
      <w:r w:rsidR="00FD2103" w:rsidRPr="008926FB">
        <w:rPr>
          <w:i/>
          <w:lang w:val="en-US"/>
        </w:rPr>
        <w:t>Recalling</w:t>
      </w:r>
      <w:r w:rsidR="00FD2103" w:rsidRPr="007D4CE1">
        <w:rPr>
          <w:lang w:val="en-US"/>
        </w:rPr>
        <w:t xml:space="preserve"> decisions</w:t>
      </w:r>
      <w:r w:rsidR="00FD2103">
        <w:rPr>
          <w:lang w:val="en-US"/>
        </w:rPr>
        <w:t xml:space="preserve"> </w:t>
      </w:r>
      <w:r w:rsidR="00FD2103" w:rsidRPr="00B05A7F">
        <w:rPr>
          <w:iCs/>
        </w:rPr>
        <w:t>1/CP.18, paragraph 62, 13/CP.21, 14/CP.22, 14/CP.24 and 9/CP.26, paragraph 21,</w:t>
      </w:r>
    </w:p>
    <w:p w14:paraId="3C34CB5F" w14:textId="2D7FB9EE" w:rsidR="00FD2103" w:rsidRPr="00B05A7F" w:rsidRDefault="005A1A63" w:rsidP="005A1A63">
      <w:pPr>
        <w:pStyle w:val="RegSingleTxtG"/>
        <w:tabs>
          <w:tab w:val="left" w:pos="568"/>
        </w:tabs>
        <w:ind w:left="1135"/>
        <w:rPr>
          <w:iCs/>
        </w:rPr>
      </w:pPr>
      <w:r w:rsidRPr="00B05A7F">
        <w:rPr>
          <w:iCs/>
        </w:rPr>
        <w:t>1.</w:t>
      </w:r>
      <w:r w:rsidRPr="00B05A7F">
        <w:rPr>
          <w:iCs/>
        </w:rPr>
        <w:tab/>
      </w:r>
      <w:r w:rsidR="00FD2103" w:rsidRPr="00B05A7F">
        <w:rPr>
          <w:i/>
        </w:rPr>
        <w:t>Welcomes</w:t>
      </w:r>
      <w:r w:rsidR="00FD2103" w:rsidRPr="00B05A7F">
        <w:rPr>
          <w:iCs/>
        </w:rPr>
        <w:t xml:space="preserve"> the enhanced collaboration between the Technology Executive Committee</w:t>
      </w:r>
      <w:r w:rsidR="00FD2103">
        <w:rPr>
          <w:iCs/>
        </w:rPr>
        <w:t xml:space="preserve"> and</w:t>
      </w:r>
      <w:r w:rsidR="00FD2103" w:rsidRPr="00B05A7F">
        <w:rPr>
          <w:iCs/>
        </w:rPr>
        <w:t xml:space="preserve"> the Climate Technology Centre and Network</w:t>
      </w:r>
      <w:r w:rsidR="00FD2103">
        <w:rPr>
          <w:iCs/>
        </w:rPr>
        <w:t xml:space="preserve"> and</w:t>
      </w:r>
      <w:r w:rsidR="00FD2103" w:rsidRPr="00B05A7F">
        <w:rPr>
          <w:iCs/>
        </w:rPr>
        <w:t xml:space="preserve"> the Global Environment Facility and the Green Climate Fund and </w:t>
      </w:r>
      <w:r w:rsidR="00FD2103" w:rsidRPr="00B05A7F">
        <w:rPr>
          <w:i/>
        </w:rPr>
        <w:t>invites</w:t>
      </w:r>
      <w:r w:rsidR="00FD2103" w:rsidRPr="00B05A7F">
        <w:rPr>
          <w:iCs/>
        </w:rPr>
        <w:t xml:space="preserve"> the</w:t>
      </w:r>
      <w:r w:rsidR="00FD2103">
        <w:rPr>
          <w:iCs/>
        </w:rPr>
        <w:t>m</w:t>
      </w:r>
      <w:r w:rsidR="00FD2103" w:rsidRPr="00B05A7F" w:rsidDel="00DA3742">
        <w:rPr>
          <w:iCs/>
        </w:rPr>
        <w:t xml:space="preserve"> </w:t>
      </w:r>
      <w:r w:rsidR="00FD2103" w:rsidRPr="00B05A7F">
        <w:rPr>
          <w:iCs/>
        </w:rPr>
        <w:t>to continue their collaboration;</w:t>
      </w:r>
    </w:p>
    <w:p w14:paraId="506ACCE2" w14:textId="7FBA69F4" w:rsidR="00FD2103" w:rsidRPr="00B05A7F" w:rsidRDefault="005A1A63" w:rsidP="005A1A63">
      <w:pPr>
        <w:pStyle w:val="RegSingleTxtG"/>
        <w:tabs>
          <w:tab w:val="left" w:pos="568"/>
        </w:tabs>
        <w:ind w:left="1135"/>
        <w:rPr>
          <w:iCs/>
        </w:rPr>
      </w:pPr>
      <w:r w:rsidRPr="00B05A7F">
        <w:rPr>
          <w:iCs/>
        </w:rPr>
        <w:t>2.</w:t>
      </w:r>
      <w:r w:rsidRPr="00B05A7F">
        <w:rPr>
          <w:iCs/>
        </w:rPr>
        <w:tab/>
      </w:r>
      <w:r w:rsidR="00FD2103" w:rsidRPr="00B05A7F">
        <w:rPr>
          <w:i/>
        </w:rPr>
        <w:t>Notes</w:t>
      </w:r>
      <w:r w:rsidR="00FD2103" w:rsidRPr="00B05A7F">
        <w:rPr>
          <w:iCs/>
        </w:rPr>
        <w:t xml:space="preserve"> the</w:t>
      </w:r>
      <w:r w:rsidR="00FD2103" w:rsidRPr="00B05A7F" w:rsidDel="00511815">
        <w:rPr>
          <w:iCs/>
        </w:rPr>
        <w:t xml:space="preserve"> </w:t>
      </w:r>
      <w:r w:rsidR="00FD2103" w:rsidRPr="00B05A7F">
        <w:rPr>
          <w:iCs/>
        </w:rPr>
        <w:t xml:space="preserve">collaboration with the </w:t>
      </w:r>
      <w:r w:rsidR="00FD2103">
        <w:rPr>
          <w:iCs/>
        </w:rPr>
        <w:t xml:space="preserve">operating entities of the </w:t>
      </w:r>
      <w:r w:rsidR="00FD2103" w:rsidRPr="00B05A7F">
        <w:rPr>
          <w:iCs/>
        </w:rPr>
        <w:t xml:space="preserve">Financial Mechanism </w:t>
      </w:r>
      <w:r w:rsidR="00FD2103">
        <w:rPr>
          <w:iCs/>
        </w:rPr>
        <w:t xml:space="preserve">included </w:t>
      </w:r>
      <w:r w:rsidR="00FD2103" w:rsidRPr="00B05A7F">
        <w:rPr>
          <w:iCs/>
        </w:rPr>
        <w:t>in the joint work programme of the Technology Mechanism for 2023–2027</w:t>
      </w:r>
      <w:r w:rsidR="00FD2103" w:rsidRPr="00680BE4">
        <w:rPr>
          <w:rStyle w:val="FootnoteReference"/>
          <w:iCs/>
        </w:rPr>
        <w:footnoteReference w:id="2"/>
      </w:r>
      <w:r w:rsidR="00FD2103" w:rsidRPr="00B05A7F">
        <w:rPr>
          <w:iCs/>
        </w:rPr>
        <w:t xml:space="preserve"> and </w:t>
      </w:r>
      <w:r w:rsidR="00FD2103" w:rsidRPr="00B05A7F">
        <w:rPr>
          <w:i/>
        </w:rPr>
        <w:t>invites</w:t>
      </w:r>
      <w:r w:rsidR="00FD2103" w:rsidRPr="00B05A7F">
        <w:rPr>
          <w:iCs/>
        </w:rPr>
        <w:t xml:space="preserve"> the Technology Executive Committee and </w:t>
      </w:r>
      <w:r w:rsidR="00FD2103">
        <w:rPr>
          <w:iCs/>
        </w:rPr>
        <w:t xml:space="preserve">the </w:t>
      </w:r>
      <w:r w:rsidR="00FD2103" w:rsidRPr="00B05A7F">
        <w:rPr>
          <w:iCs/>
        </w:rPr>
        <w:t>Climate Technology Centre and Network to use such collaboration to support technology development and transfer in developing countries with measurable, time-bound and result-oriented actions;</w:t>
      </w:r>
    </w:p>
    <w:p w14:paraId="2C42DDFC" w14:textId="092C3358" w:rsidR="00FD2103" w:rsidRPr="00B05A7F" w:rsidRDefault="005A1A63" w:rsidP="005A1A63">
      <w:pPr>
        <w:pStyle w:val="RegSingleTxtG"/>
        <w:tabs>
          <w:tab w:val="left" w:pos="568"/>
        </w:tabs>
        <w:ind w:left="1135"/>
        <w:rPr>
          <w:iCs/>
        </w:rPr>
      </w:pPr>
      <w:r w:rsidRPr="00B05A7F">
        <w:rPr>
          <w:iCs/>
        </w:rPr>
        <w:t>3.</w:t>
      </w:r>
      <w:r w:rsidRPr="00B05A7F">
        <w:rPr>
          <w:iCs/>
        </w:rPr>
        <w:tab/>
      </w:r>
      <w:r w:rsidR="00FD2103" w:rsidRPr="00B05A7F">
        <w:rPr>
          <w:i/>
        </w:rPr>
        <w:t>Welcomes</w:t>
      </w:r>
      <w:r w:rsidR="00FD2103" w:rsidRPr="00B05A7F">
        <w:rPr>
          <w:iCs/>
        </w:rPr>
        <w:t xml:space="preserve"> the funding for technology development and transfer provided and mobilized by the </w:t>
      </w:r>
      <w:r w:rsidR="00FD2103" w:rsidRPr="00B05A7F" w:rsidDel="00353501">
        <w:rPr>
          <w:iCs/>
        </w:rPr>
        <w:t>Green Climate Fund and the Global Environment Facility</w:t>
      </w:r>
      <w:r w:rsidR="00FD2103" w:rsidRPr="00B05A7F">
        <w:rPr>
          <w:iCs/>
        </w:rPr>
        <w:t xml:space="preserve"> in partnership with the Climate Technology Centre and Network;</w:t>
      </w:r>
    </w:p>
    <w:p w14:paraId="1C4AC4E5" w14:textId="1C6927E5" w:rsidR="00FD2103" w:rsidRPr="00B05A7F" w:rsidRDefault="005A1A63" w:rsidP="005A1A63">
      <w:pPr>
        <w:pStyle w:val="RegSingleTxtG"/>
        <w:tabs>
          <w:tab w:val="left" w:pos="568"/>
        </w:tabs>
        <w:ind w:left="1135"/>
        <w:rPr>
          <w:iCs/>
        </w:rPr>
      </w:pPr>
      <w:r w:rsidRPr="00B05A7F">
        <w:rPr>
          <w:iCs/>
        </w:rPr>
        <w:t>4.</w:t>
      </w:r>
      <w:r w:rsidRPr="00B05A7F">
        <w:rPr>
          <w:iCs/>
        </w:rPr>
        <w:tab/>
      </w:r>
      <w:r w:rsidR="00FD2103" w:rsidRPr="00B05A7F">
        <w:rPr>
          <w:i/>
        </w:rPr>
        <w:t>Notes</w:t>
      </w:r>
      <w:r w:rsidR="00FD2103" w:rsidRPr="0079125D">
        <w:rPr>
          <w:i/>
        </w:rPr>
        <w:t xml:space="preserve"> </w:t>
      </w:r>
      <w:r w:rsidR="00FD2103" w:rsidRPr="00B05A7F">
        <w:rPr>
          <w:i/>
        </w:rPr>
        <w:t>with appreciation</w:t>
      </w:r>
      <w:r w:rsidR="00FD2103" w:rsidRPr="00B05A7F">
        <w:rPr>
          <w:iCs/>
        </w:rPr>
        <w:t xml:space="preserve"> the information provided by the Technology Executive Committee and the Climate Technology Centre and Network and the operating entities of the Financial Mechanism on </w:t>
      </w:r>
      <w:r w:rsidR="00FD2103">
        <w:rPr>
          <w:iCs/>
        </w:rPr>
        <w:t xml:space="preserve">the </w:t>
      </w:r>
      <w:r w:rsidR="00FD2103" w:rsidRPr="00B05A7F">
        <w:rPr>
          <w:iCs/>
        </w:rPr>
        <w:t xml:space="preserve">linkages and collaboration </w:t>
      </w:r>
      <w:r w:rsidR="00FD2103">
        <w:rPr>
          <w:iCs/>
        </w:rPr>
        <w:t xml:space="preserve">between them </w:t>
      </w:r>
      <w:r w:rsidR="00FD2103" w:rsidRPr="00B05A7F">
        <w:rPr>
          <w:iCs/>
        </w:rPr>
        <w:t>in their reports</w:t>
      </w:r>
      <w:r w:rsidR="00FD2103" w:rsidRPr="00D109BB">
        <w:rPr>
          <w:rStyle w:val="FootnoteReference"/>
          <w:iCs/>
        </w:rPr>
        <w:footnoteReference w:id="3"/>
      </w:r>
      <w:r w:rsidR="00FD2103" w:rsidRPr="00B05A7F">
        <w:rPr>
          <w:iCs/>
        </w:rPr>
        <w:t xml:space="preserve"> to the Conference of the Parties and the Conference of the Parties serving as the meeting of the Parties to the Paris Agreement;</w:t>
      </w:r>
    </w:p>
    <w:p w14:paraId="7B704F71" w14:textId="01079EF1" w:rsidR="00FD2103" w:rsidRPr="00B05A7F" w:rsidRDefault="005A1A63" w:rsidP="005A1A63">
      <w:pPr>
        <w:pStyle w:val="RegSingleTxtG"/>
        <w:tabs>
          <w:tab w:val="left" w:pos="568"/>
        </w:tabs>
        <w:ind w:left="1135"/>
        <w:rPr>
          <w:iCs/>
        </w:rPr>
      </w:pPr>
      <w:r w:rsidRPr="00B05A7F">
        <w:rPr>
          <w:iCs/>
        </w:rPr>
        <w:t>5.</w:t>
      </w:r>
      <w:r w:rsidRPr="00B05A7F">
        <w:rPr>
          <w:iCs/>
        </w:rPr>
        <w:tab/>
      </w:r>
      <w:r w:rsidR="00FD2103" w:rsidRPr="00B05A7F">
        <w:rPr>
          <w:i/>
        </w:rPr>
        <w:t>Welcomes</w:t>
      </w:r>
      <w:r w:rsidR="00FD2103" w:rsidRPr="00B05A7F">
        <w:rPr>
          <w:iCs/>
        </w:rPr>
        <w:t xml:space="preserve"> the progress of the Climate Technology Centre and Network in preparing </w:t>
      </w:r>
      <w:r w:rsidR="00FD2103" w:rsidRPr="00B05A7F" w:rsidDel="00706738">
        <w:rPr>
          <w:iCs/>
        </w:rPr>
        <w:t xml:space="preserve">project </w:t>
      </w:r>
      <w:r w:rsidR="00FD2103" w:rsidRPr="00B05A7F">
        <w:rPr>
          <w:iCs/>
        </w:rPr>
        <w:t xml:space="preserve">concept notes for </w:t>
      </w:r>
      <w:r w:rsidR="00FD2103">
        <w:rPr>
          <w:iCs/>
        </w:rPr>
        <w:t xml:space="preserve">submission to </w:t>
      </w:r>
      <w:r w:rsidR="00FD2103" w:rsidRPr="00B05A7F">
        <w:rPr>
          <w:iCs/>
        </w:rPr>
        <w:t xml:space="preserve">the Green Climate Fund </w:t>
      </w:r>
      <w:r w:rsidR="00FD2103">
        <w:rPr>
          <w:iCs/>
        </w:rPr>
        <w:t>P</w:t>
      </w:r>
      <w:r w:rsidR="00FD2103" w:rsidRPr="00B05A7F">
        <w:rPr>
          <w:iCs/>
        </w:rPr>
        <w:t xml:space="preserve">roject </w:t>
      </w:r>
      <w:r w:rsidR="00FD2103">
        <w:rPr>
          <w:iCs/>
        </w:rPr>
        <w:t>P</w:t>
      </w:r>
      <w:r w:rsidR="00FD2103" w:rsidRPr="00B05A7F">
        <w:rPr>
          <w:iCs/>
        </w:rPr>
        <w:t xml:space="preserve">reparation </w:t>
      </w:r>
      <w:r w:rsidR="00FD2103">
        <w:rPr>
          <w:iCs/>
        </w:rPr>
        <w:t>F</w:t>
      </w:r>
      <w:r w:rsidR="00FD2103" w:rsidRPr="00B05A7F">
        <w:rPr>
          <w:iCs/>
        </w:rPr>
        <w:t>acility</w:t>
      </w:r>
      <w:r w:rsidR="00FD2103">
        <w:rPr>
          <w:iCs/>
        </w:rPr>
        <w:t xml:space="preserve"> </w:t>
      </w:r>
      <w:r w:rsidR="00FD2103" w:rsidRPr="00B05A7F">
        <w:rPr>
          <w:iCs/>
        </w:rPr>
        <w:t>to</w:t>
      </w:r>
      <w:r w:rsidR="00FD2103">
        <w:rPr>
          <w:iCs/>
        </w:rPr>
        <w:t xml:space="preserve"> </w:t>
      </w:r>
      <w:r w:rsidR="00FD2103" w:rsidRPr="00B05A7F">
        <w:rPr>
          <w:iCs/>
        </w:rPr>
        <w:t>implement larger</w:t>
      </w:r>
      <w:r w:rsidR="00FD2103">
        <w:rPr>
          <w:iCs/>
        </w:rPr>
        <w:t>-</w:t>
      </w:r>
      <w:r w:rsidR="00FD2103" w:rsidRPr="00B05A7F">
        <w:rPr>
          <w:iCs/>
        </w:rPr>
        <w:t>scale projects;</w:t>
      </w:r>
    </w:p>
    <w:p w14:paraId="1EA4A27B" w14:textId="24E1AF1D" w:rsidR="00FD2103" w:rsidRPr="00B05A7F" w:rsidRDefault="005A1A63" w:rsidP="005A1A63">
      <w:pPr>
        <w:pStyle w:val="RegSingleTxtG"/>
        <w:tabs>
          <w:tab w:val="left" w:pos="568"/>
        </w:tabs>
        <w:ind w:left="1135"/>
      </w:pPr>
      <w:r w:rsidRPr="00B05A7F">
        <w:t>6.</w:t>
      </w:r>
      <w:r w:rsidRPr="00B05A7F">
        <w:tab/>
      </w:r>
      <w:r w:rsidR="00FD2103" w:rsidRPr="00B05A7F">
        <w:rPr>
          <w:i/>
        </w:rPr>
        <w:t>Welcomes with appreciation</w:t>
      </w:r>
      <w:r w:rsidR="00FD2103" w:rsidRPr="00B05A7F">
        <w:t xml:space="preserve"> the launch of the </w:t>
      </w:r>
      <w:r w:rsidR="00FD2103" w:rsidRPr="00B05A7F">
        <w:rPr>
          <w:iCs/>
        </w:rPr>
        <w:t xml:space="preserve">Climate Technology Centre and Network </w:t>
      </w:r>
      <w:r w:rsidR="00FD2103" w:rsidRPr="00B05A7F">
        <w:t>Partnership and Liaison Office in Songdo, Republic of Korea, which will focus</w:t>
      </w:r>
      <w:r w:rsidR="00FD2103" w:rsidRPr="00B05A7F" w:rsidDel="00C57731">
        <w:t xml:space="preserve"> </w:t>
      </w:r>
      <w:r w:rsidR="00FD2103" w:rsidRPr="00B05A7F">
        <w:t>on, inter alia, collaborati</w:t>
      </w:r>
      <w:r w:rsidR="00FD2103">
        <w:t>o</w:t>
      </w:r>
      <w:r w:rsidR="00FD2103" w:rsidRPr="00B05A7F">
        <w:t xml:space="preserve">n with the Green Climate Fund and </w:t>
      </w:r>
      <w:r w:rsidR="00FD2103" w:rsidRPr="00B05A7F">
        <w:rPr>
          <w:i/>
        </w:rPr>
        <w:t>invites</w:t>
      </w:r>
      <w:r w:rsidR="00FD2103" w:rsidRPr="00B05A7F">
        <w:t xml:space="preserve"> the </w:t>
      </w:r>
      <w:r w:rsidR="00FD2103" w:rsidRPr="00B05A7F">
        <w:rPr>
          <w:iCs/>
        </w:rPr>
        <w:t xml:space="preserve">Climate Technology Centre and Network </w:t>
      </w:r>
      <w:r w:rsidR="00FD2103" w:rsidRPr="00B05A7F">
        <w:t>to deliver tangible outcomes from the operation of the Partnership and Liaison Office;</w:t>
      </w:r>
    </w:p>
    <w:p w14:paraId="2CFA090C" w14:textId="4B2350DB" w:rsidR="00FD2103" w:rsidRPr="00B05A7F" w:rsidRDefault="005A1A63" w:rsidP="005A1A63">
      <w:pPr>
        <w:pStyle w:val="RegSingleTxtG"/>
        <w:tabs>
          <w:tab w:val="left" w:pos="568"/>
        </w:tabs>
        <w:ind w:left="1135"/>
        <w:rPr>
          <w:iCs/>
        </w:rPr>
      </w:pPr>
      <w:r w:rsidRPr="00B05A7F">
        <w:rPr>
          <w:iCs/>
        </w:rPr>
        <w:t>7.</w:t>
      </w:r>
      <w:r w:rsidRPr="00B05A7F">
        <w:rPr>
          <w:iCs/>
        </w:rPr>
        <w:tab/>
      </w:r>
      <w:r w:rsidR="00FD2103" w:rsidRPr="00B05A7F">
        <w:rPr>
          <w:i/>
        </w:rPr>
        <w:t>Welcomes</w:t>
      </w:r>
      <w:r w:rsidR="00FD2103" w:rsidRPr="00B05A7F">
        <w:rPr>
          <w:iCs/>
        </w:rPr>
        <w:t xml:space="preserve"> the ongoing work of the Climate Technology Centre and Network as part of its project</w:t>
      </w:r>
      <w:r w:rsidR="00FD2103" w:rsidRPr="00B05A7F">
        <w:rPr>
          <w:rStyle w:val="FootnoteReference"/>
          <w:iCs/>
        </w:rPr>
        <w:footnoteReference w:id="4"/>
      </w:r>
      <w:r w:rsidR="00FD2103" w:rsidRPr="00B05A7F">
        <w:rPr>
          <w:iCs/>
        </w:rPr>
        <w:t xml:space="preserve"> selected for support </w:t>
      </w:r>
      <w:r w:rsidR="00FD2103">
        <w:rPr>
          <w:iCs/>
        </w:rPr>
        <w:t>under</w:t>
      </w:r>
      <w:r w:rsidR="00FD2103" w:rsidRPr="00B05A7F">
        <w:rPr>
          <w:iCs/>
        </w:rPr>
        <w:t xml:space="preserve"> the Challenge Program for Adaptation Innovation of the Global Environment Facility </w:t>
      </w:r>
      <w:r w:rsidR="00FD2103">
        <w:rPr>
          <w:iCs/>
        </w:rPr>
        <w:t>as well as</w:t>
      </w:r>
      <w:r w:rsidR="00FD2103" w:rsidRPr="00B05A7F">
        <w:rPr>
          <w:iCs/>
        </w:rPr>
        <w:t xml:space="preserve"> the collaboration of the respective national designated entities and operational focal points in</w:t>
      </w:r>
      <w:r w:rsidR="00FD2103">
        <w:rPr>
          <w:iCs/>
        </w:rPr>
        <w:t xml:space="preserve"> the context of</w:t>
      </w:r>
      <w:r w:rsidR="00FD2103" w:rsidRPr="00B05A7F">
        <w:rPr>
          <w:iCs/>
        </w:rPr>
        <w:t xml:space="preserve"> th</w:t>
      </w:r>
      <w:r w:rsidR="00FD2103">
        <w:rPr>
          <w:iCs/>
        </w:rPr>
        <w:t>e</w:t>
      </w:r>
      <w:r w:rsidR="00FD2103" w:rsidRPr="00B05A7F">
        <w:rPr>
          <w:iCs/>
        </w:rPr>
        <w:t xml:space="preserve"> project;</w:t>
      </w:r>
    </w:p>
    <w:p w14:paraId="0F39EC53" w14:textId="42BF977C" w:rsidR="00FD2103" w:rsidRPr="00B05A7F" w:rsidRDefault="005A1A63" w:rsidP="005A1A63">
      <w:pPr>
        <w:pStyle w:val="RegSingleTxtG"/>
        <w:tabs>
          <w:tab w:val="left" w:pos="568"/>
        </w:tabs>
        <w:ind w:left="1135"/>
        <w:rPr>
          <w:iCs/>
        </w:rPr>
      </w:pPr>
      <w:r w:rsidRPr="00B05A7F">
        <w:rPr>
          <w:iCs/>
        </w:rPr>
        <w:t>8.</w:t>
      </w:r>
      <w:r w:rsidRPr="00B05A7F">
        <w:rPr>
          <w:iCs/>
        </w:rPr>
        <w:tab/>
      </w:r>
      <w:r w:rsidR="00FD2103" w:rsidRPr="00B05A7F">
        <w:rPr>
          <w:i/>
        </w:rPr>
        <w:t>Also welcomes</w:t>
      </w:r>
      <w:r w:rsidR="00FD2103" w:rsidRPr="00B05A7F">
        <w:rPr>
          <w:iCs/>
        </w:rPr>
        <w:t xml:space="preserve"> the collaboration between the Climate Technology Centre and Network and the</w:t>
      </w:r>
      <w:r w:rsidR="00FD2103">
        <w:rPr>
          <w:iCs/>
        </w:rPr>
        <w:t xml:space="preserve"> operating entities of the</w:t>
      </w:r>
      <w:r w:rsidR="00FD2103" w:rsidRPr="00B05A7F">
        <w:rPr>
          <w:iCs/>
        </w:rPr>
        <w:t xml:space="preserve"> Financial Mechanism</w:t>
      </w:r>
      <w:r w:rsidR="00FD2103" w:rsidRPr="002E10F4">
        <w:rPr>
          <w:rStyle w:val="FootnoteReference"/>
        </w:rPr>
        <w:footnoteReference w:id="5"/>
      </w:r>
      <w:r w:rsidR="00FD2103" w:rsidRPr="00B05A7F">
        <w:rPr>
          <w:iCs/>
        </w:rPr>
        <w:t xml:space="preserve"> on identifying ways to enhance information-sharing and streamline coordination processes among national designated entities, national designated authorities </w:t>
      </w:r>
      <w:r w:rsidR="00FD2103">
        <w:rPr>
          <w:iCs/>
        </w:rPr>
        <w:t xml:space="preserve">of the Green Climate Fund </w:t>
      </w:r>
      <w:r w:rsidR="00FD2103" w:rsidRPr="00B05A7F">
        <w:rPr>
          <w:iCs/>
        </w:rPr>
        <w:t xml:space="preserve">and </w:t>
      </w:r>
      <w:r w:rsidR="00FD2103">
        <w:rPr>
          <w:iCs/>
        </w:rPr>
        <w:t>operational</w:t>
      </w:r>
      <w:r w:rsidR="00FD2103" w:rsidRPr="00B05A7F">
        <w:rPr>
          <w:iCs/>
        </w:rPr>
        <w:t xml:space="preserve"> focal points </w:t>
      </w:r>
      <w:r w:rsidR="00FD2103">
        <w:rPr>
          <w:iCs/>
        </w:rPr>
        <w:t xml:space="preserve">of the </w:t>
      </w:r>
      <w:r w:rsidR="00FD2103" w:rsidRPr="00B05A7F">
        <w:rPr>
          <w:iCs/>
        </w:rPr>
        <w:t xml:space="preserve">Global Environment Facility and </w:t>
      </w:r>
      <w:r w:rsidR="00FD2103" w:rsidRPr="00B05A7F">
        <w:rPr>
          <w:i/>
        </w:rPr>
        <w:t>emphasizes</w:t>
      </w:r>
      <w:r w:rsidR="00FD2103" w:rsidRPr="00B05A7F">
        <w:rPr>
          <w:iCs/>
        </w:rPr>
        <w:t xml:space="preserve"> the</w:t>
      </w:r>
      <w:r w:rsidR="00FD2103" w:rsidRPr="00B05A7F" w:rsidDel="009311F3">
        <w:rPr>
          <w:iCs/>
        </w:rPr>
        <w:t xml:space="preserve"> </w:t>
      </w:r>
      <w:r w:rsidR="00FD2103" w:rsidRPr="00B05A7F">
        <w:rPr>
          <w:iCs/>
        </w:rPr>
        <w:t xml:space="preserve">importance of </w:t>
      </w:r>
      <w:r w:rsidR="00FD2103">
        <w:rPr>
          <w:iCs/>
        </w:rPr>
        <w:t>continued</w:t>
      </w:r>
      <w:r w:rsidR="00FD2103" w:rsidRPr="00B05A7F">
        <w:rPr>
          <w:iCs/>
        </w:rPr>
        <w:t xml:space="preserve"> coordination among </w:t>
      </w:r>
      <w:r w:rsidR="00FD2103">
        <w:rPr>
          <w:iCs/>
        </w:rPr>
        <w:t xml:space="preserve">those </w:t>
      </w:r>
      <w:r w:rsidR="00FD2103" w:rsidRPr="00B05A7F">
        <w:rPr>
          <w:iCs/>
        </w:rPr>
        <w:t>national focal points;</w:t>
      </w:r>
    </w:p>
    <w:p w14:paraId="3C2BF343" w14:textId="37E40C7B" w:rsidR="00FD2103" w:rsidRPr="00B05A7F" w:rsidRDefault="005A1A63" w:rsidP="005A1A63">
      <w:pPr>
        <w:pStyle w:val="RegSingleTxtG"/>
        <w:tabs>
          <w:tab w:val="left" w:pos="568"/>
        </w:tabs>
        <w:ind w:left="1135"/>
        <w:rPr>
          <w:iCs/>
        </w:rPr>
      </w:pPr>
      <w:r w:rsidRPr="00B05A7F">
        <w:rPr>
          <w:iCs/>
        </w:rPr>
        <w:t>9.</w:t>
      </w:r>
      <w:r w:rsidRPr="00B05A7F">
        <w:rPr>
          <w:iCs/>
        </w:rPr>
        <w:tab/>
      </w:r>
      <w:r w:rsidR="00FD2103" w:rsidRPr="00B05A7F">
        <w:rPr>
          <w:i/>
        </w:rPr>
        <w:t xml:space="preserve">Encourages </w:t>
      </w:r>
      <w:r w:rsidR="00FD2103" w:rsidRPr="00B05A7F">
        <w:rPr>
          <w:iCs/>
        </w:rPr>
        <w:t xml:space="preserve">the Technology Executive Committee and the Climate Technology Centre and Network to consider opportunities to support developing countries </w:t>
      </w:r>
      <w:r w:rsidR="00FD2103">
        <w:rPr>
          <w:iCs/>
        </w:rPr>
        <w:t xml:space="preserve">in </w:t>
      </w:r>
      <w:r w:rsidR="00FD2103" w:rsidRPr="00B05A7F">
        <w:rPr>
          <w:iCs/>
        </w:rPr>
        <w:t>access</w:t>
      </w:r>
      <w:r w:rsidR="00FD2103">
        <w:rPr>
          <w:iCs/>
        </w:rPr>
        <w:t>ing</w:t>
      </w:r>
      <w:r w:rsidR="00FD2103" w:rsidRPr="00B05A7F">
        <w:rPr>
          <w:iCs/>
        </w:rPr>
        <w:t xml:space="preserve"> funding from the Global Environment Facility</w:t>
      </w:r>
      <w:r w:rsidR="00FD2103">
        <w:rPr>
          <w:iCs/>
        </w:rPr>
        <w:t xml:space="preserve"> and/or the </w:t>
      </w:r>
      <w:r w:rsidR="00FD2103" w:rsidRPr="00B05A7F">
        <w:rPr>
          <w:iCs/>
        </w:rPr>
        <w:t xml:space="preserve">Green Climate Fund </w:t>
      </w:r>
      <w:r w:rsidR="00FD2103">
        <w:rPr>
          <w:iCs/>
        </w:rPr>
        <w:t xml:space="preserve">for work </w:t>
      </w:r>
      <w:r w:rsidR="00FD2103" w:rsidRPr="00B05A7F">
        <w:rPr>
          <w:iCs/>
        </w:rPr>
        <w:t xml:space="preserve">on </w:t>
      </w:r>
      <w:r w:rsidR="00FD2103" w:rsidRPr="00B05A7F">
        <w:rPr>
          <w:iCs/>
        </w:rPr>
        <w:lastRenderedPageBreak/>
        <w:t xml:space="preserve">climate technology incubators and accelerators, taking into </w:t>
      </w:r>
      <w:r w:rsidR="00FD2103">
        <w:rPr>
          <w:iCs/>
        </w:rPr>
        <w:t>account</w:t>
      </w:r>
      <w:r w:rsidR="00FD2103" w:rsidRPr="00B05A7F">
        <w:rPr>
          <w:iCs/>
        </w:rPr>
        <w:t xml:space="preserve"> the specific needs of</w:t>
      </w:r>
      <w:r w:rsidR="00FD2103">
        <w:rPr>
          <w:iCs/>
        </w:rPr>
        <w:t xml:space="preserve"> the</w:t>
      </w:r>
      <w:r w:rsidR="00FD2103" w:rsidRPr="00B05A7F">
        <w:rPr>
          <w:iCs/>
        </w:rPr>
        <w:t xml:space="preserve"> least developed countries and small island developing States;</w:t>
      </w:r>
    </w:p>
    <w:p w14:paraId="7D201346" w14:textId="23A87A14" w:rsidR="00FD2103" w:rsidRPr="00B05A7F" w:rsidRDefault="005A1A63" w:rsidP="005A1A63">
      <w:pPr>
        <w:pStyle w:val="RegSingleTxtG"/>
        <w:tabs>
          <w:tab w:val="left" w:pos="568"/>
        </w:tabs>
        <w:ind w:left="1135"/>
        <w:rPr>
          <w:iCs/>
        </w:rPr>
      </w:pPr>
      <w:bookmarkStart w:id="6" w:name="_Ref156210689"/>
      <w:r w:rsidRPr="00B05A7F">
        <w:rPr>
          <w:iCs/>
        </w:rPr>
        <w:t>10.</w:t>
      </w:r>
      <w:r w:rsidRPr="00B05A7F">
        <w:rPr>
          <w:iCs/>
        </w:rPr>
        <w:tab/>
      </w:r>
      <w:r w:rsidR="00FD2103" w:rsidRPr="00B05A7F">
        <w:rPr>
          <w:i/>
        </w:rPr>
        <w:t>Invites</w:t>
      </w:r>
      <w:r w:rsidR="00FD2103" w:rsidRPr="00B05A7F">
        <w:rPr>
          <w:iCs/>
        </w:rPr>
        <w:t xml:space="preserve"> Parties,</w:t>
      </w:r>
      <w:r w:rsidR="00FD2103">
        <w:rPr>
          <w:iCs/>
        </w:rPr>
        <w:t xml:space="preserve"> the UNFCCC</w:t>
      </w:r>
      <w:r w:rsidR="00FD2103" w:rsidRPr="00B05A7F">
        <w:rPr>
          <w:iCs/>
        </w:rPr>
        <w:t xml:space="preserve"> constituted bodies, the operating entities of the Financial Mechanism and other </w:t>
      </w:r>
      <w:r w:rsidR="00FD2103" w:rsidRPr="00B05A7F" w:rsidDel="00263341">
        <w:rPr>
          <w:iCs/>
        </w:rPr>
        <w:t xml:space="preserve">relevant </w:t>
      </w:r>
      <w:r w:rsidR="00FD2103" w:rsidRPr="00B05A7F">
        <w:rPr>
          <w:iCs/>
        </w:rPr>
        <w:t>stakeholders to submit</w:t>
      </w:r>
      <w:r w:rsidR="00FD2103">
        <w:rPr>
          <w:iCs/>
        </w:rPr>
        <w:t xml:space="preserve"> via the submission portal</w:t>
      </w:r>
      <w:r w:rsidR="00FD2103" w:rsidRPr="001C011F">
        <w:rPr>
          <w:rStyle w:val="FootnoteReference"/>
          <w:iCs/>
        </w:rPr>
        <w:footnoteReference w:id="6"/>
      </w:r>
      <w:r w:rsidR="00FD2103" w:rsidRPr="00B05A7F" w:rsidDel="00263341">
        <w:rPr>
          <w:iCs/>
        </w:rPr>
        <w:t xml:space="preserve"> </w:t>
      </w:r>
      <w:r w:rsidR="00FD2103" w:rsidRPr="00B05A7F">
        <w:rPr>
          <w:iCs/>
        </w:rPr>
        <w:t>by 1</w:t>
      </w:r>
      <w:r w:rsidR="00FD2103">
        <w:rPr>
          <w:iCs/>
        </w:rPr>
        <w:t> </w:t>
      </w:r>
      <w:r w:rsidR="00FD2103" w:rsidRPr="00B05A7F">
        <w:rPr>
          <w:iCs/>
        </w:rPr>
        <w:t xml:space="preserve">February 2024 </w:t>
      </w:r>
      <w:r w:rsidR="00FD2103">
        <w:rPr>
          <w:iCs/>
        </w:rPr>
        <w:t xml:space="preserve">views </w:t>
      </w:r>
      <w:r w:rsidR="00FD2103" w:rsidRPr="00B05A7F">
        <w:rPr>
          <w:iCs/>
        </w:rPr>
        <w:t xml:space="preserve">on maintaining and enhancing collaboration and cooperation </w:t>
      </w:r>
      <w:r w:rsidR="00FD2103" w:rsidRPr="00B05A7F" w:rsidDel="00BF70C1">
        <w:rPr>
          <w:iCs/>
        </w:rPr>
        <w:t>between</w:t>
      </w:r>
      <w:r w:rsidR="00FD2103" w:rsidRPr="00B05A7F">
        <w:rPr>
          <w:iCs/>
        </w:rPr>
        <w:t xml:space="preserve"> the Technology Mechanism and the Financial Mechanism, including</w:t>
      </w:r>
      <w:r w:rsidR="00FD2103">
        <w:rPr>
          <w:iCs/>
        </w:rPr>
        <w:t xml:space="preserve"> on</w:t>
      </w:r>
      <w:r w:rsidR="00FD2103" w:rsidRPr="00B05A7F">
        <w:rPr>
          <w:iCs/>
        </w:rPr>
        <w:t xml:space="preserve"> linkages between the</w:t>
      </w:r>
      <w:r w:rsidR="00FD2103">
        <w:rPr>
          <w:iCs/>
        </w:rPr>
        <w:t xml:space="preserve"> Mechanisms</w:t>
      </w:r>
      <w:r w:rsidR="00FD2103" w:rsidRPr="00B05A7F">
        <w:rPr>
          <w:iCs/>
        </w:rPr>
        <w:t xml:space="preserve">, </w:t>
      </w:r>
      <w:r w:rsidR="00FD2103" w:rsidRPr="00B05A7F" w:rsidDel="00323E76">
        <w:rPr>
          <w:iCs/>
        </w:rPr>
        <w:t>taking into account</w:t>
      </w:r>
      <w:r w:rsidR="00FD2103" w:rsidRPr="00B05A7F">
        <w:rPr>
          <w:iCs/>
        </w:rPr>
        <w:t xml:space="preserve"> the guiding questions contained in the </w:t>
      </w:r>
      <w:r w:rsidR="00FD2103">
        <w:rPr>
          <w:iCs/>
        </w:rPr>
        <w:t>a</w:t>
      </w:r>
      <w:r w:rsidR="00FD2103" w:rsidRPr="00B05A7F">
        <w:rPr>
          <w:iCs/>
        </w:rPr>
        <w:t>nnex;</w:t>
      </w:r>
      <w:bookmarkEnd w:id="6"/>
    </w:p>
    <w:p w14:paraId="52905EA3" w14:textId="7645C6C4" w:rsidR="00FD2103" w:rsidRPr="00B05A7F" w:rsidRDefault="005A1A63" w:rsidP="005A1A63">
      <w:pPr>
        <w:pStyle w:val="RegSingleTxtG"/>
        <w:tabs>
          <w:tab w:val="left" w:pos="568"/>
        </w:tabs>
        <w:ind w:left="1135"/>
        <w:rPr>
          <w:iCs/>
        </w:rPr>
      </w:pPr>
      <w:bookmarkStart w:id="7" w:name="_Ref156211237"/>
      <w:r w:rsidRPr="00B05A7F">
        <w:rPr>
          <w:iCs/>
        </w:rPr>
        <w:t>11.</w:t>
      </w:r>
      <w:r w:rsidRPr="00B05A7F">
        <w:rPr>
          <w:iCs/>
        </w:rPr>
        <w:tab/>
      </w:r>
      <w:r w:rsidR="00FD2103" w:rsidRPr="00B05A7F">
        <w:rPr>
          <w:i/>
        </w:rPr>
        <w:t>Requests</w:t>
      </w:r>
      <w:r w:rsidR="00FD2103" w:rsidRPr="00B05A7F">
        <w:rPr>
          <w:iCs/>
        </w:rPr>
        <w:t xml:space="preserve"> the secretariat to prepare a synthesis report o</w:t>
      </w:r>
      <w:r w:rsidR="00FD2103">
        <w:rPr>
          <w:iCs/>
        </w:rPr>
        <w:t>n</w:t>
      </w:r>
      <w:r w:rsidR="00FD2103" w:rsidRPr="00B05A7F">
        <w:rPr>
          <w:iCs/>
        </w:rPr>
        <w:t xml:space="preserve"> the submissions referred to in paragraph </w:t>
      </w:r>
      <w:r w:rsidR="00FD2103">
        <w:rPr>
          <w:iCs/>
          <w:cs/>
        </w:rPr>
        <w:t>‎</w:t>
      </w:r>
      <w:r w:rsidR="00B31149">
        <w:rPr>
          <w:iCs/>
          <w:cs/>
        </w:rPr>
        <w:t>‎</w:t>
      </w:r>
      <w:r w:rsidR="00B31149">
        <w:rPr>
          <w:iCs/>
        </w:rPr>
        <w:t>10 above</w:t>
      </w:r>
      <w:r w:rsidR="00FD2103" w:rsidRPr="00B05A7F">
        <w:rPr>
          <w:iCs/>
        </w:rPr>
        <w:t>;</w:t>
      </w:r>
      <w:bookmarkEnd w:id="7"/>
    </w:p>
    <w:p w14:paraId="078B76F3" w14:textId="6EDD8D0D" w:rsidR="00FD2103" w:rsidRPr="00B05A7F" w:rsidRDefault="005A1A63" w:rsidP="005A1A63">
      <w:pPr>
        <w:pStyle w:val="RegSingleTxtG"/>
        <w:tabs>
          <w:tab w:val="left" w:pos="568"/>
        </w:tabs>
        <w:ind w:left="1135"/>
        <w:rPr>
          <w:iCs/>
        </w:rPr>
      </w:pPr>
      <w:bookmarkStart w:id="8" w:name="_Ref156211316"/>
      <w:r w:rsidRPr="00B05A7F">
        <w:rPr>
          <w:iCs/>
        </w:rPr>
        <w:t>12.</w:t>
      </w:r>
      <w:r w:rsidRPr="00B05A7F">
        <w:rPr>
          <w:iCs/>
        </w:rPr>
        <w:tab/>
      </w:r>
      <w:r w:rsidR="00FD2103" w:rsidRPr="00B05A7F">
        <w:rPr>
          <w:i/>
        </w:rPr>
        <w:t>Also requests</w:t>
      </w:r>
      <w:r w:rsidR="00FD2103" w:rsidRPr="00B05A7F">
        <w:rPr>
          <w:iCs/>
        </w:rPr>
        <w:t xml:space="preserve"> the </w:t>
      </w:r>
      <w:r w:rsidR="00FD2103" w:rsidRPr="00B05A7F" w:rsidDel="00264C6F">
        <w:rPr>
          <w:iCs/>
        </w:rPr>
        <w:t>Technology Executive Committee and the Climate Technology Centre and Network</w:t>
      </w:r>
      <w:r w:rsidR="00FD2103" w:rsidRPr="00B05A7F">
        <w:rPr>
          <w:iCs/>
        </w:rPr>
        <w:t xml:space="preserve">, in consultation with the Chair of the Subsidiary Body for Implementation, to </w:t>
      </w:r>
      <w:r w:rsidR="00FD2103" w:rsidRPr="00B05A7F" w:rsidDel="00866CBC">
        <w:rPr>
          <w:iCs/>
        </w:rPr>
        <w:t>organize</w:t>
      </w:r>
      <w:r w:rsidR="00FD2103" w:rsidRPr="00B05A7F">
        <w:rPr>
          <w:iCs/>
        </w:rPr>
        <w:t xml:space="preserve"> an in-session workshop at the sixtieth session of the Subsidiary Body for Implementation (June 2024) to take stock of the linkages between the Technology Mechanism and the Financial Mechanism taking into account the views expressed in the submissions referred to in paragraph </w:t>
      </w:r>
      <w:r w:rsidR="00B31149">
        <w:rPr>
          <w:iCs/>
          <w:cs/>
        </w:rPr>
        <w:t>‎</w:t>
      </w:r>
      <w:r w:rsidR="00B31149">
        <w:rPr>
          <w:iCs/>
        </w:rPr>
        <w:t>10 above</w:t>
      </w:r>
      <w:r w:rsidR="00FD2103" w:rsidRPr="00B05A7F">
        <w:rPr>
          <w:iCs/>
        </w:rPr>
        <w:t>;</w:t>
      </w:r>
      <w:bookmarkEnd w:id="8"/>
    </w:p>
    <w:p w14:paraId="0C5EF2B1" w14:textId="6DDA683B" w:rsidR="00FD2103" w:rsidRPr="00B05A7F" w:rsidRDefault="005A1A63" w:rsidP="005A1A63">
      <w:pPr>
        <w:pStyle w:val="RegSingleTxtG"/>
        <w:tabs>
          <w:tab w:val="left" w:pos="568"/>
        </w:tabs>
        <w:ind w:left="1135"/>
        <w:rPr>
          <w:iCs/>
        </w:rPr>
      </w:pPr>
      <w:r w:rsidRPr="00B05A7F">
        <w:rPr>
          <w:iCs/>
        </w:rPr>
        <w:t>13.</w:t>
      </w:r>
      <w:r w:rsidRPr="00B05A7F">
        <w:rPr>
          <w:iCs/>
        </w:rPr>
        <w:tab/>
      </w:r>
      <w:r w:rsidR="00FD2103" w:rsidRPr="00B05A7F">
        <w:rPr>
          <w:i/>
        </w:rPr>
        <w:t>Further requests</w:t>
      </w:r>
      <w:r w:rsidR="00FD2103" w:rsidRPr="00B05A7F">
        <w:rPr>
          <w:iCs/>
        </w:rPr>
        <w:t xml:space="preserve"> the Subsidiary Body for Implementation</w:t>
      </w:r>
      <w:r w:rsidR="00FD2103">
        <w:rPr>
          <w:iCs/>
        </w:rPr>
        <w:t xml:space="preserve"> to initiate</w:t>
      </w:r>
      <w:r w:rsidR="00FD2103" w:rsidRPr="00B05A7F">
        <w:rPr>
          <w:iCs/>
        </w:rPr>
        <w:t xml:space="preserve"> at its sixtieth session</w:t>
      </w:r>
      <w:r w:rsidR="00FD2103" w:rsidRPr="00B05A7F" w:rsidDel="003B789B">
        <w:rPr>
          <w:iCs/>
        </w:rPr>
        <w:t xml:space="preserve"> </w:t>
      </w:r>
      <w:r w:rsidR="00FD2103" w:rsidRPr="00B05A7F">
        <w:rPr>
          <w:iCs/>
        </w:rPr>
        <w:t xml:space="preserve">discussion on the submissions, synthesis report and workshop referred to in paragraphs </w:t>
      </w:r>
      <w:r w:rsidR="00FD2103">
        <w:rPr>
          <w:iCs/>
          <w:cs/>
        </w:rPr>
        <w:t>‎</w:t>
      </w:r>
      <w:r w:rsidR="00B31149">
        <w:rPr>
          <w:iCs/>
          <w:cs/>
        </w:rPr>
        <w:t>‎</w:t>
      </w:r>
      <w:r w:rsidR="00B31149">
        <w:rPr>
          <w:iCs/>
        </w:rPr>
        <w:t>10</w:t>
      </w:r>
      <w:r w:rsidR="00FD2103" w:rsidRPr="002710DF">
        <w:rPr>
          <w:iCs/>
        </w:rPr>
        <w:t xml:space="preserve">, </w:t>
      </w:r>
      <w:r w:rsidR="00B31149">
        <w:rPr>
          <w:iCs/>
          <w:cs/>
        </w:rPr>
        <w:t>‎</w:t>
      </w:r>
      <w:r w:rsidR="00B31149">
        <w:rPr>
          <w:iCs/>
        </w:rPr>
        <w:t>11</w:t>
      </w:r>
      <w:r w:rsidR="00FD2103" w:rsidRPr="00B05A7F">
        <w:rPr>
          <w:iCs/>
        </w:rPr>
        <w:t xml:space="preserve"> and </w:t>
      </w:r>
      <w:r w:rsidR="00B31149">
        <w:rPr>
          <w:iCs/>
          <w:cs/>
        </w:rPr>
        <w:t>‎</w:t>
      </w:r>
      <w:r w:rsidR="00B31149">
        <w:rPr>
          <w:iCs/>
        </w:rPr>
        <w:t>12 above</w:t>
      </w:r>
      <w:r w:rsidR="00FD2103">
        <w:rPr>
          <w:iCs/>
        </w:rPr>
        <w:t xml:space="preserve"> </w:t>
      </w:r>
      <w:r w:rsidR="00FD2103" w:rsidRPr="00B05A7F">
        <w:rPr>
          <w:iCs/>
        </w:rPr>
        <w:t xml:space="preserve">respectively with a view to </w:t>
      </w:r>
      <w:r w:rsidR="00FD2103">
        <w:rPr>
          <w:iCs/>
        </w:rPr>
        <w:t>recommend</w:t>
      </w:r>
      <w:r w:rsidR="00FD2103" w:rsidRPr="00B05A7F">
        <w:rPr>
          <w:iCs/>
        </w:rPr>
        <w:t xml:space="preserve">ing a draft decision </w:t>
      </w:r>
      <w:r w:rsidR="00FD2103">
        <w:rPr>
          <w:iCs/>
        </w:rPr>
        <w:t xml:space="preserve">thereon </w:t>
      </w:r>
      <w:r w:rsidR="00FD2103" w:rsidRPr="00B05A7F">
        <w:rPr>
          <w:iCs/>
        </w:rPr>
        <w:t>for consideration and adoption by</w:t>
      </w:r>
      <w:r w:rsidR="00FD2103">
        <w:rPr>
          <w:iCs/>
        </w:rPr>
        <w:t xml:space="preserve"> the Conference of the Parties at</w:t>
      </w:r>
      <w:r w:rsidR="00FD2103" w:rsidRPr="00B05A7F">
        <w:rPr>
          <w:iCs/>
        </w:rPr>
        <w:t xml:space="preserve"> </w:t>
      </w:r>
      <w:r w:rsidR="00FD2103">
        <w:rPr>
          <w:iCs/>
        </w:rPr>
        <w:t>its</w:t>
      </w:r>
      <w:r w:rsidR="00FD2103" w:rsidRPr="00B05A7F">
        <w:rPr>
          <w:iCs/>
        </w:rPr>
        <w:t xml:space="preserve"> twenty-ninth </w:t>
      </w:r>
      <w:r w:rsidR="00FD2103">
        <w:rPr>
          <w:iCs/>
        </w:rPr>
        <w:t>session (November 2024)</w:t>
      </w:r>
      <w:r w:rsidR="00FD2103" w:rsidRPr="00B05A7F">
        <w:rPr>
          <w:iCs/>
        </w:rPr>
        <w:t>;</w:t>
      </w:r>
    </w:p>
    <w:p w14:paraId="31911C6F" w14:textId="687D7F92" w:rsidR="00FD2103" w:rsidRPr="00B05A7F" w:rsidRDefault="005A1A63" w:rsidP="005A1A63">
      <w:pPr>
        <w:pStyle w:val="RegSingleTxtG"/>
        <w:tabs>
          <w:tab w:val="left" w:pos="568"/>
        </w:tabs>
        <w:ind w:left="1135"/>
        <w:rPr>
          <w:iCs/>
        </w:rPr>
      </w:pPr>
      <w:bookmarkStart w:id="9" w:name="_Ref156211608"/>
      <w:r w:rsidRPr="00B05A7F">
        <w:rPr>
          <w:iCs/>
        </w:rPr>
        <w:t>14.</w:t>
      </w:r>
      <w:r w:rsidRPr="00B05A7F">
        <w:rPr>
          <w:iCs/>
        </w:rPr>
        <w:tab/>
      </w:r>
      <w:r w:rsidR="00FD2103" w:rsidRPr="00B05A7F">
        <w:rPr>
          <w:i/>
        </w:rPr>
        <w:t>Requests</w:t>
      </w:r>
      <w:r w:rsidR="00FD2103" w:rsidRPr="00B05A7F">
        <w:rPr>
          <w:iCs/>
        </w:rPr>
        <w:t xml:space="preserve"> the Technology Executive Committee, in consultation with the Climate Technology Centre and Network, to prepare a summary report o</w:t>
      </w:r>
      <w:r w:rsidR="00FD2103">
        <w:rPr>
          <w:iCs/>
        </w:rPr>
        <w:t>n</w:t>
      </w:r>
      <w:r w:rsidR="00FD2103" w:rsidRPr="00B05A7F">
        <w:rPr>
          <w:iCs/>
        </w:rPr>
        <w:t xml:space="preserve"> the workshop referred to in paragraph </w:t>
      </w:r>
      <w:r w:rsidR="00FD2103">
        <w:rPr>
          <w:iCs/>
          <w:cs/>
        </w:rPr>
        <w:t>‎</w:t>
      </w:r>
      <w:r w:rsidR="00B31149">
        <w:rPr>
          <w:iCs/>
          <w:cs/>
        </w:rPr>
        <w:t>‎</w:t>
      </w:r>
      <w:r w:rsidR="00B31149">
        <w:rPr>
          <w:iCs/>
        </w:rPr>
        <w:t>12 above</w:t>
      </w:r>
      <w:r w:rsidR="00FD2103">
        <w:rPr>
          <w:iCs/>
        </w:rPr>
        <w:t xml:space="preserve"> </w:t>
      </w:r>
      <w:r w:rsidR="00FD2103" w:rsidRPr="00B05A7F">
        <w:rPr>
          <w:iCs/>
        </w:rPr>
        <w:t>for consideration by the Subsidiary Body for Implementation at its sixty-first session (November 2024);</w:t>
      </w:r>
      <w:bookmarkEnd w:id="9"/>
    </w:p>
    <w:p w14:paraId="26FCA7A4" w14:textId="2FD06348" w:rsidR="00FD2103" w:rsidRPr="00D4332F" w:rsidRDefault="005A1A63" w:rsidP="005A1A63">
      <w:pPr>
        <w:pStyle w:val="RegSingleTxtG"/>
        <w:tabs>
          <w:tab w:val="left" w:pos="568"/>
        </w:tabs>
        <w:ind w:left="1135"/>
        <w:rPr>
          <w:iCs/>
        </w:rPr>
      </w:pPr>
      <w:r w:rsidRPr="00D4332F">
        <w:rPr>
          <w:iCs/>
        </w:rPr>
        <w:t>15.</w:t>
      </w:r>
      <w:r w:rsidRPr="00D4332F">
        <w:rPr>
          <w:iCs/>
        </w:rPr>
        <w:tab/>
      </w:r>
      <w:r w:rsidR="00FD2103" w:rsidRPr="00D4332F">
        <w:rPr>
          <w:i/>
        </w:rPr>
        <w:t>Takes note</w:t>
      </w:r>
      <w:r w:rsidR="00FD2103">
        <w:rPr>
          <w:iCs/>
        </w:rPr>
        <w:t xml:space="preserve"> of the estimated budgetary implications of the activities to be undertaken by the secretariat referred to in paragraphs </w:t>
      </w:r>
      <w:r w:rsidR="00FD2103">
        <w:rPr>
          <w:iCs/>
          <w:cs/>
        </w:rPr>
        <w:t>‎</w:t>
      </w:r>
      <w:r w:rsidR="00B31149">
        <w:rPr>
          <w:iCs/>
          <w:cs/>
        </w:rPr>
        <w:t>‎</w:t>
      </w:r>
      <w:r w:rsidR="00B31149">
        <w:rPr>
          <w:iCs/>
        </w:rPr>
        <w:t>11</w:t>
      </w:r>
      <w:r w:rsidR="00FD2103" w:rsidRPr="002710DF">
        <w:rPr>
          <w:iCs/>
        </w:rPr>
        <w:t xml:space="preserve">, </w:t>
      </w:r>
      <w:r w:rsidR="00FD2103">
        <w:rPr>
          <w:iCs/>
          <w:cs/>
        </w:rPr>
        <w:t>‎</w:t>
      </w:r>
      <w:r w:rsidR="00B31149">
        <w:rPr>
          <w:iCs/>
          <w:cs/>
        </w:rPr>
        <w:t>‎</w:t>
      </w:r>
      <w:r w:rsidR="00B31149">
        <w:rPr>
          <w:iCs/>
        </w:rPr>
        <w:t>12</w:t>
      </w:r>
      <w:r w:rsidR="00FD2103">
        <w:rPr>
          <w:iCs/>
        </w:rPr>
        <w:t xml:space="preserve"> and </w:t>
      </w:r>
      <w:r w:rsidR="00FD2103">
        <w:rPr>
          <w:iCs/>
          <w:cs/>
        </w:rPr>
        <w:t>‎</w:t>
      </w:r>
      <w:r w:rsidR="00B31149">
        <w:rPr>
          <w:iCs/>
          <w:cs/>
        </w:rPr>
        <w:t>‎</w:t>
      </w:r>
      <w:r w:rsidR="00B31149">
        <w:rPr>
          <w:iCs/>
        </w:rPr>
        <w:t>14 above</w:t>
      </w:r>
      <w:r w:rsidR="00FD2103">
        <w:rPr>
          <w:iCs/>
        </w:rPr>
        <w:t>;</w:t>
      </w:r>
    </w:p>
    <w:p w14:paraId="45B805D6" w14:textId="4EFF363B" w:rsidR="00FD2103" w:rsidRDefault="005A1A63" w:rsidP="005A1A63">
      <w:pPr>
        <w:pStyle w:val="RegSingleTxtG"/>
        <w:tabs>
          <w:tab w:val="left" w:pos="568"/>
        </w:tabs>
        <w:ind w:left="1135"/>
        <w:rPr>
          <w:iCs/>
        </w:rPr>
      </w:pPr>
      <w:r>
        <w:rPr>
          <w:iCs/>
        </w:rPr>
        <w:t>16.</w:t>
      </w:r>
      <w:r>
        <w:rPr>
          <w:iCs/>
        </w:rPr>
        <w:tab/>
      </w:r>
      <w:r w:rsidR="00FD2103">
        <w:rPr>
          <w:i/>
        </w:rPr>
        <w:t>R</w:t>
      </w:r>
      <w:r w:rsidR="00FD2103" w:rsidRPr="00B05A7F">
        <w:rPr>
          <w:i/>
        </w:rPr>
        <w:t>equests</w:t>
      </w:r>
      <w:r w:rsidR="00FD2103" w:rsidRPr="00B05A7F">
        <w:rPr>
          <w:iCs/>
        </w:rPr>
        <w:t xml:space="preserve"> that the acti</w:t>
      </w:r>
      <w:r w:rsidR="00FD2103">
        <w:rPr>
          <w:iCs/>
        </w:rPr>
        <w:t xml:space="preserve">ons of </w:t>
      </w:r>
      <w:r w:rsidR="00FD2103" w:rsidRPr="00B05A7F">
        <w:rPr>
          <w:iCs/>
        </w:rPr>
        <w:t xml:space="preserve">the secretariat </w:t>
      </w:r>
      <w:r w:rsidR="00FD2103">
        <w:rPr>
          <w:iCs/>
        </w:rPr>
        <w:t>called for</w:t>
      </w:r>
      <w:r w:rsidR="00FD2103" w:rsidRPr="00B05A7F">
        <w:rPr>
          <w:iCs/>
        </w:rPr>
        <w:t xml:space="preserve"> in </w:t>
      </w:r>
      <w:r w:rsidR="00FD2103">
        <w:rPr>
          <w:iCs/>
        </w:rPr>
        <w:t>this decision</w:t>
      </w:r>
      <w:r w:rsidR="00FD2103" w:rsidRPr="00B05A7F">
        <w:rPr>
          <w:iCs/>
        </w:rPr>
        <w:t xml:space="preserve"> be undertaken subject to the availability of financial resources.</w:t>
      </w:r>
    </w:p>
    <w:p w14:paraId="3513AC75" w14:textId="11933AA2" w:rsidR="00F91B16" w:rsidRPr="002445B1" w:rsidRDefault="00DF1B33" w:rsidP="0079125D">
      <w:pPr>
        <w:pStyle w:val="RegSingleTxtG"/>
        <w:spacing w:after="0" w:line="20" w:lineRule="atLeast"/>
        <w:jc w:val="right"/>
        <w:rPr>
          <w:i/>
          <w:iCs/>
        </w:rPr>
      </w:pPr>
      <w:r>
        <w:rPr>
          <w:i/>
          <w:iCs/>
        </w:rPr>
        <w:t>5</w:t>
      </w:r>
      <w:r w:rsidRPr="00787D67">
        <w:rPr>
          <w:i/>
          <w:iCs/>
          <w:vertAlign w:val="superscript"/>
        </w:rPr>
        <w:t>th</w:t>
      </w:r>
      <w:r>
        <w:rPr>
          <w:i/>
          <w:iCs/>
        </w:rPr>
        <w:t xml:space="preserve"> </w:t>
      </w:r>
      <w:r w:rsidR="00F91B16" w:rsidRPr="002445B1">
        <w:rPr>
          <w:i/>
          <w:iCs/>
        </w:rPr>
        <w:t>plenary me</w:t>
      </w:r>
      <w:r w:rsidR="00A50D69">
        <w:rPr>
          <w:i/>
          <w:iCs/>
        </w:rPr>
        <w:t>e</w:t>
      </w:r>
      <w:r w:rsidR="00F91B16" w:rsidRPr="002445B1">
        <w:rPr>
          <w:i/>
          <w:iCs/>
        </w:rPr>
        <w:t>ting</w:t>
      </w:r>
    </w:p>
    <w:p w14:paraId="4ECBC29E" w14:textId="645F6B92" w:rsidR="00F91B16" w:rsidRPr="00D344A3" w:rsidRDefault="00DF1B33" w:rsidP="0079125D">
      <w:pPr>
        <w:pStyle w:val="RegSingleTxtG"/>
        <w:spacing w:after="0" w:line="20" w:lineRule="atLeast"/>
        <w:jc w:val="right"/>
        <w:rPr>
          <w:i/>
          <w:iCs/>
        </w:rPr>
      </w:pPr>
      <w:r w:rsidRPr="002445B1">
        <w:rPr>
          <w:i/>
          <w:iCs/>
        </w:rPr>
        <w:t>1</w:t>
      </w:r>
      <w:r>
        <w:rPr>
          <w:i/>
          <w:iCs/>
        </w:rPr>
        <w:t>1</w:t>
      </w:r>
      <w:r w:rsidRPr="002445B1">
        <w:rPr>
          <w:i/>
          <w:iCs/>
        </w:rPr>
        <w:t xml:space="preserve"> </w:t>
      </w:r>
      <w:r w:rsidR="00F91B16" w:rsidRPr="002445B1">
        <w:rPr>
          <w:i/>
          <w:iCs/>
        </w:rPr>
        <w:t>December 2023</w:t>
      </w:r>
    </w:p>
    <w:p w14:paraId="07813D3B" w14:textId="77777777" w:rsidR="009A0E96" w:rsidRPr="00B05A7F" w:rsidRDefault="009A0E96" w:rsidP="009A0E96">
      <w:pPr>
        <w:pStyle w:val="RegSingleTxtG"/>
        <w:ind w:left="1135"/>
        <w:rPr>
          <w:iCs/>
        </w:rPr>
      </w:pPr>
    </w:p>
    <w:p w14:paraId="3FC4B29E" w14:textId="77777777" w:rsidR="00FD2103" w:rsidRDefault="00FD2103" w:rsidP="00FD2103">
      <w:pPr>
        <w:pStyle w:val="HChG"/>
        <w:spacing w:before="0"/>
        <w:rPr>
          <w:iCs/>
        </w:rPr>
        <w:sectPr w:rsidR="00FD2103" w:rsidSect="000D19EC">
          <w:headerReference w:type="even" r:id="rId18"/>
          <w:headerReference w:type="default" r:id="rId19"/>
          <w:footerReference w:type="default" r:id="rId20"/>
          <w:footnotePr>
            <w:numRestart w:val="eachSect"/>
          </w:footnotePr>
          <w:pgSz w:w="11906" w:h="16838" w:code="9"/>
          <w:pgMar w:top="1418" w:right="1134" w:bottom="1134" w:left="1134" w:header="851" w:footer="567" w:gutter="0"/>
          <w:cols w:space="708"/>
          <w:docGrid w:linePitch="360"/>
        </w:sectPr>
      </w:pPr>
    </w:p>
    <w:p w14:paraId="780522FF" w14:textId="77777777" w:rsidR="00FD2103" w:rsidRPr="00B05A7F" w:rsidRDefault="00FD2103" w:rsidP="005A1A63">
      <w:pPr>
        <w:pStyle w:val="RegHChG"/>
        <w:tabs>
          <w:tab w:val="clear" w:pos="1135"/>
          <w:tab w:val="num" w:pos="851"/>
        </w:tabs>
        <w:ind w:left="0" w:hanging="454"/>
      </w:pPr>
      <w:bookmarkStart w:id="10" w:name="_Toc161216108"/>
      <w:r w:rsidRPr="00B05A7F">
        <w:lastRenderedPageBreak/>
        <w:t>Annex</w:t>
      </w:r>
      <w:bookmarkEnd w:id="10"/>
    </w:p>
    <w:p w14:paraId="781C9B67" w14:textId="77777777" w:rsidR="00FD2103" w:rsidRPr="00B05A7F" w:rsidRDefault="00FD2103" w:rsidP="00FD2103">
      <w:pPr>
        <w:pStyle w:val="HChG"/>
        <w:tabs>
          <w:tab w:val="clear" w:pos="851"/>
        </w:tabs>
        <w:ind w:firstLine="0"/>
      </w:pPr>
      <w:r w:rsidRPr="00B05A7F">
        <w:t>Guiding questions for the submission</w:t>
      </w:r>
      <w:r>
        <w:t xml:space="preserve"> of view</w:t>
      </w:r>
      <w:r w:rsidRPr="00B05A7F">
        <w:t xml:space="preserve">s on maintaining and enhancing collaboration and cooperation </w:t>
      </w:r>
      <w:r w:rsidRPr="00B05A7F" w:rsidDel="00DC51B9">
        <w:t>between</w:t>
      </w:r>
      <w:r w:rsidRPr="00B05A7F">
        <w:t xml:space="preserve"> the Technology Mechanism and the Financial Mechanism, including linkages between them</w:t>
      </w:r>
    </w:p>
    <w:p w14:paraId="7C82A78A" w14:textId="36329EB4" w:rsidR="00FD2103" w:rsidRPr="00CB40B4" w:rsidRDefault="005A1A63" w:rsidP="005A1A63">
      <w:pPr>
        <w:pStyle w:val="RegSingleTxtG"/>
        <w:tabs>
          <w:tab w:val="left" w:pos="568"/>
        </w:tabs>
        <w:ind w:left="1135"/>
      </w:pPr>
      <w:r w:rsidRPr="00CB40B4">
        <w:t>1.</w:t>
      </w:r>
      <w:r w:rsidRPr="00CB40B4">
        <w:tab/>
      </w:r>
      <w:r w:rsidR="00FD2103" w:rsidRPr="009127E9">
        <w:rPr>
          <w:rFonts w:eastAsia="Calibri"/>
        </w:rPr>
        <w:t>What</w:t>
      </w:r>
      <w:r w:rsidR="00FD2103" w:rsidRPr="00CB40B4">
        <w:rPr>
          <w:rFonts w:eastAsia="Calibri"/>
        </w:rPr>
        <w:t xml:space="preserve"> approaches </w:t>
      </w:r>
      <w:r w:rsidR="00FD2103" w:rsidRPr="00CB40B4" w:rsidDel="009B70DC">
        <w:rPr>
          <w:rFonts w:eastAsia="Calibri"/>
        </w:rPr>
        <w:t>have been successful in</w:t>
      </w:r>
      <w:r w:rsidR="00FD2103" w:rsidRPr="00CB40B4">
        <w:rPr>
          <w:rFonts w:eastAsia="Calibri"/>
        </w:rPr>
        <w:t xml:space="preserve"> enhancing the linkages</w:t>
      </w:r>
      <w:r w:rsidR="00FD2103" w:rsidRPr="009127E9">
        <w:rPr>
          <w:rFonts w:eastAsia="Calibri"/>
        </w:rPr>
        <w:t>?</w:t>
      </w:r>
      <w:r w:rsidR="00FD2103" w:rsidRPr="00CB40B4">
        <w:rPr>
          <w:rFonts w:eastAsia="Calibri"/>
        </w:rPr>
        <w:t xml:space="preserve"> Are the</w:t>
      </w:r>
      <w:r w:rsidR="00FD2103" w:rsidRPr="00CB40B4" w:rsidDel="009B70DC">
        <w:rPr>
          <w:rFonts w:eastAsia="Calibri"/>
        </w:rPr>
        <w:t>se</w:t>
      </w:r>
      <w:r w:rsidR="00FD2103" w:rsidRPr="00CB40B4">
        <w:rPr>
          <w:rFonts w:eastAsia="Calibri"/>
        </w:rPr>
        <w:t xml:space="preserve"> approaches maintained effectively</w:t>
      </w:r>
      <w:r w:rsidR="00FD2103" w:rsidRPr="00CB40B4" w:rsidDel="00BF428A">
        <w:rPr>
          <w:rFonts w:eastAsia="Calibri"/>
        </w:rPr>
        <w:t>,</w:t>
      </w:r>
      <w:r w:rsidR="00FD2103" w:rsidRPr="00CB40B4">
        <w:rPr>
          <w:rFonts w:eastAsia="Calibri"/>
        </w:rPr>
        <w:t xml:space="preserve"> and what</w:t>
      </w:r>
      <w:r w:rsidR="00FD2103" w:rsidRPr="00CB40B4" w:rsidDel="00BF428A">
        <w:rPr>
          <w:rFonts w:eastAsia="Calibri"/>
        </w:rPr>
        <w:t xml:space="preserve"> are the</w:t>
      </w:r>
      <w:r w:rsidR="00FD2103" w:rsidRPr="00CB40B4">
        <w:rPr>
          <w:rFonts w:eastAsia="Calibri"/>
        </w:rPr>
        <w:t xml:space="preserve"> lessons learned?</w:t>
      </w:r>
    </w:p>
    <w:p w14:paraId="3B625357" w14:textId="774F3F0C" w:rsidR="00FD2103" w:rsidRPr="009127E9" w:rsidRDefault="005A1A63" w:rsidP="005A1A63">
      <w:pPr>
        <w:pStyle w:val="RegSingleTxtG"/>
        <w:tabs>
          <w:tab w:val="left" w:pos="568"/>
        </w:tabs>
        <w:ind w:left="1135"/>
      </w:pPr>
      <w:r w:rsidRPr="009127E9">
        <w:t>2.</w:t>
      </w:r>
      <w:r w:rsidRPr="009127E9">
        <w:tab/>
      </w:r>
      <w:r w:rsidR="00FD2103" w:rsidRPr="00CB40B4">
        <w:rPr>
          <w:rFonts w:eastAsia="Calibri"/>
        </w:rPr>
        <w:t xml:space="preserve">What </w:t>
      </w:r>
      <w:r w:rsidR="00FD2103" w:rsidRPr="00CB40B4" w:rsidDel="00AD3C57">
        <w:rPr>
          <w:rFonts w:eastAsia="Calibri"/>
        </w:rPr>
        <w:t xml:space="preserve">are the </w:t>
      </w:r>
      <w:r w:rsidR="00FD2103" w:rsidRPr="00CB40B4">
        <w:rPr>
          <w:rFonts w:eastAsia="Calibri"/>
        </w:rPr>
        <w:t>gaps in the linkages between the</w:t>
      </w:r>
      <w:r w:rsidR="00FD2103" w:rsidRPr="00CB40B4" w:rsidDel="00AD3C57">
        <w:rPr>
          <w:rFonts w:eastAsia="Calibri"/>
        </w:rPr>
        <w:t xml:space="preserve"> two</w:t>
      </w:r>
      <w:r w:rsidR="00FD2103" w:rsidRPr="00CB40B4">
        <w:rPr>
          <w:rFonts w:eastAsia="Calibri"/>
        </w:rPr>
        <w:t xml:space="preserve"> </w:t>
      </w:r>
      <w:r w:rsidR="00FD2103">
        <w:rPr>
          <w:rFonts w:eastAsia="Calibri"/>
        </w:rPr>
        <w:t>M</w:t>
      </w:r>
      <w:r w:rsidR="00FD2103" w:rsidRPr="009127E9">
        <w:rPr>
          <w:rFonts w:eastAsia="Calibri"/>
        </w:rPr>
        <w:t>echanisms and how could these</w:t>
      </w:r>
      <w:r w:rsidR="00FD2103" w:rsidRPr="009127E9" w:rsidDel="00AD3C57">
        <w:rPr>
          <w:rFonts w:eastAsia="Calibri"/>
        </w:rPr>
        <w:t xml:space="preserve"> gaps</w:t>
      </w:r>
      <w:r w:rsidR="00FD2103" w:rsidRPr="009127E9">
        <w:rPr>
          <w:rFonts w:eastAsia="Calibri"/>
        </w:rPr>
        <w:t xml:space="preserve"> be addressed in order to maintain and enhance </w:t>
      </w:r>
      <w:r w:rsidR="00FD2103" w:rsidRPr="009127E9" w:rsidDel="005C5B73">
        <w:rPr>
          <w:rFonts w:eastAsia="Calibri"/>
        </w:rPr>
        <w:t>the linkages</w:t>
      </w:r>
      <w:r w:rsidR="00FD2103" w:rsidRPr="009127E9">
        <w:rPr>
          <w:rFonts w:eastAsia="Calibri"/>
        </w:rPr>
        <w:t>?</w:t>
      </w:r>
    </w:p>
    <w:p w14:paraId="46241456" w14:textId="245F4E65" w:rsidR="00FD2103" w:rsidRPr="00CB40B4" w:rsidRDefault="005A1A63" w:rsidP="005A1A63">
      <w:pPr>
        <w:pStyle w:val="RegSingleTxtG"/>
        <w:tabs>
          <w:tab w:val="left" w:pos="568"/>
        </w:tabs>
        <w:ind w:left="1135"/>
        <w:rPr>
          <w:rFonts w:eastAsia="Calibri"/>
        </w:rPr>
      </w:pPr>
      <w:r w:rsidRPr="00CB40B4">
        <w:rPr>
          <w:rFonts w:eastAsia="Calibri"/>
        </w:rPr>
        <w:t>3.</w:t>
      </w:r>
      <w:r w:rsidRPr="00CB40B4">
        <w:rPr>
          <w:rFonts w:eastAsia="Calibri"/>
        </w:rPr>
        <w:tab/>
      </w:r>
      <w:r w:rsidR="00FD2103" w:rsidRPr="009127E9">
        <w:rPr>
          <w:rFonts w:eastAsia="Calibri"/>
        </w:rPr>
        <w:t xml:space="preserve">How can </w:t>
      </w:r>
      <w:r w:rsidR="00FD2103" w:rsidRPr="00CB40B4">
        <w:rPr>
          <w:rFonts w:eastAsia="Calibri"/>
        </w:rPr>
        <w:t>the</w:t>
      </w:r>
      <w:r w:rsidR="00FD2103">
        <w:rPr>
          <w:rFonts w:eastAsia="Calibri"/>
        </w:rPr>
        <w:t xml:space="preserve"> T</w:t>
      </w:r>
      <w:r w:rsidR="00FD2103" w:rsidRPr="009127E9">
        <w:rPr>
          <w:rFonts w:eastAsia="Calibri"/>
        </w:rPr>
        <w:t>echnology</w:t>
      </w:r>
      <w:r w:rsidR="00FD2103" w:rsidRPr="00CB40B4">
        <w:rPr>
          <w:rFonts w:eastAsia="Calibri"/>
        </w:rPr>
        <w:t xml:space="preserve"> </w:t>
      </w:r>
      <w:r w:rsidR="00FD2103">
        <w:rPr>
          <w:rFonts w:eastAsia="Calibri"/>
        </w:rPr>
        <w:t>Executive Committee and the Climate Technology Centre and Network</w:t>
      </w:r>
      <w:r w:rsidR="00FD2103" w:rsidRPr="009127E9">
        <w:rPr>
          <w:rFonts w:eastAsia="Calibri"/>
        </w:rPr>
        <w:t xml:space="preserve"> and </w:t>
      </w:r>
      <w:r w:rsidR="00FD2103">
        <w:rPr>
          <w:rFonts w:eastAsia="Calibri"/>
        </w:rPr>
        <w:t>the operating entities of the</w:t>
      </w:r>
      <w:r w:rsidR="00FD2103" w:rsidRPr="00CB40B4">
        <w:rPr>
          <w:rFonts w:eastAsia="Calibri"/>
        </w:rPr>
        <w:t xml:space="preserve"> </w:t>
      </w:r>
      <w:r w:rsidR="00FD2103">
        <w:rPr>
          <w:rFonts w:eastAsia="Calibri"/>
        </w:rPr>
        <w:t>F</w:t>
      </w:r>
      <w:r w:rsidR="00FD2103" w:rsidRPr="009127E9">
        <w:rPr>
          <w:rFonts w:eastAsia="Calibri"/>
        </w:rPr>
        <w:t xml:space="preserve">inancial </w:t>
      </w:r>
      <w:r w:rsidR="00FD2103">
        <w:rPr>
          <w:rFonts w:eastAsia="Calibri"/>
        </w:rPr>
        <w:t>M</w:t>
      </w:r>
      <w:r w:rsidR="00FD2103" w:rsidRPr="009127E9">
        <w:rPr>
          <w:rFonts w:eastAsia="Calibri"/>
        </w:rPr>
        <w:t>echanism cooperate in engaging with stakeholders in order to maintain and enhance the linkages</w:t>
      </w:r>
      <w:r w:rsidR="00FD2103" w:rsidRPr="00CB40B4">
        <w:rPr>
          <w:rFonts w:eastAsia="Calibri"/>
        </w:rPr>
        <w:t>?</w:t>
      </w:r>
    </w:p>
    <w:p w14:paraId="712CF803" w14:textId="6BA497C5" w:rsidR="00FD2103" w:rsidRPr="00CB40B4" w:rsidRDefault="005A1A63" w:rsidP="005A1A63">
      <w:pPr>
        <w:pStyle w:val="RegSingleTxtG"/>
        <w:tabs>
          <w:tab w:val="left" w:pos="568"/>
        </w:tabs>
        <w:ind w:left="1135"/>
      </w:pPr>
      <w:r w:rsidRPr="00CB40B4">
        <w:t>4.</w:t>
      </w:r>
      <w:r w:rsidRPr="00CB40B4">
        <w:tab/>
      </w:r>
      <w:r w:rsidR="00FD2103" w:rsidRPr="00CB40B4">
        <w:rPr>
          <w:rFonts w:eastAsia="Calibri"/>
        </w:rPr>
        <w:t xml:space="preserve">What is the potential role of stakeholders in enhancing the relationship between the </w:t>
      </w:r>
      <w:r w:rsidR="00FD2103">
        <w:rPr>
          <w:rFonts w:eastAsia="Calibri"/>
        </w:rPr>
        <w:t>T</w:t>
      </w:r>
      <w:r w:rsidR="00FD2103" w:rsidRPr="009127E9">
        <w:rPr>
          <w:rFonts w:eastAsia="Calibri"/>
        </w:rPr>
        <w:t xml:space="preserve">echnology </w:t>
      </w:r>
      <w:r w:rsidR="00FD2103">
        <w:rPr>
          <w:rFonts w:eastAsia="Calibri"/>
        </w:rPr>
        <w:t>M</w:t>
      </w:r>
      <w:r w:rsidR="00FD2103" w:rsidRPr="009127E9">
        <w:rPr>
          <w:rFonts w:eastAsia="Calibri"/>
        </w:rPr>
        <w:t>echanism</w:t>
      </w:r>
      <w:r w:rsidR="00FD2103" w:rsidRPr="00CB40B4" w:rsidDel="00273D06">
        <w:rPr>
          <w:rFonts w:eastAsia="Calibri"/>
        </w:rPr>
        <w:t xml:space="preserve"> and </w:t>
      </w:r>
      <w:r w:rsidR="00FD2103">
        <w:rPr>
          <w:rFonts w:eastAsia="Calibri"/>
        </w:rPr>
        <w:t>the F</w:t>
      </w:r>
      <w:r w:rsidR="00FD2103" w:rsidRPr="009127E9">
        <w:rPr>
          <w:rFonts w:eastAsia="Calibri"/>
        </w:rPr>
        <w:t xml:space="preserve">inancial </w:t>
      </w:r>
      <w:r w:rsidR="00FD2103">
        <w:rPr>
          <w:rFonts w:eastAsia="Calibri"/>
        </w:rPr>
        <w:t>M</w:t>
      </w:r>
      <w:r w:rsidR="00FD2103" w:rsidRPr="009127E9">
        <w:rPr>
          <w:rFonts w:eastAsia="Calibri"/>
        </w:rPr>
        <w:t>echanism</w:t>
      </w:r>
      <w:r w:rsidR="00FD2103" w:rsidRPr="00CB40B4">
        <w:rPr>
          <w:rFonts w:eastAsia="Calibri"/>
        </w:rPr>
        <w:t xml:space="preserve"> and how can this be </w:t>
      </w:r>
      <w:r w:rsidR="00FD2103" w:rsidRPr="00CB40B4" w:rsidDel="005E02F4">
        <w:rPr>
          <w:rFonts w:eastAsia="Calibri"/>
        </w:rPr>
        <w:t xml:space="preserve">further </w:t>
      </w:r>
      <w:r w:rsidR="00FD2103" w:rsidRPr="00CB40B4">
        <w:rPr>
          <w:rFonts w:eastAsia="Calibri"/>
        </w:rPr>
        <w:t>strengthened?</w:t>
      </w:r>
    </w:p>
    <w:p w14:paraId="653383F2" w14:textId="152C9D8B" w:rsidR="00FD2103" w:rsidRPr="00E32ACA" w:rsidRDefault="005A1A63" w:rsidP="005A1A63">
      <w:pPr>
        <w:pStyle w:val="RegSingleTxtG"/>
        <w:tabs>
          <w:tab w:val="left" w:pos="568"/>
        </w:tabs>
        <w:ind w:left="1135"/>
      </w:pPr>
      <w:r w:rsidRPr="00E32ACA">
        <w:t>5.</w:t>
      </w:r>
      <w:r w:rsidRPr="00E32ACA">
        <w:tab/>
      </w:r>
      <w:r w:rsidR="00FD2103" w:rsidRPr="009127E9" w:rsidDel="00867266">
        <w:rPr>
          <w:rFonts w:eastAsia="Calibri"/>
        </w:rPr>
        <w:t>What are the means for enhancing</w:t>
      </w:r>
      <w:r w:rsidR="00FD2103" w:rsidRPr="009127E9">
        <w:rPr>
          <w:rFonts w:eastAsia="Calibri"/>
        </w:rPr>
        <w:t xml:space="preserve"> communication and cooperation </w:t>
      </w:r>
      <w:r w:rsidR="00FD2103" w:rsidRPr="00B05A7F">
        <w:rPr>
          <w:iCs/>
        </w:rPr>
        <w:t>among</w:t>
      </w:r>
      <w:r w:rsidR="00FD2103" w:rsidRPr="00B05A7F" w:rsidDel="001A35E5">
        <w:rPr>
          <w:iCs/>
        </w:rPr>
        <w:t xml:space="preserve"> </w:t>
      </w:r>
      <w:r w:rsidR="00FD2103" w:rsidRPr="00B05A7F">
        <w:rPr>
          <w:iCs/>
        </w:rPr>
        <w:t xml:space="preserve">national designated entities, national designated authorities </w:t>
      </w:r>
      <w:r w:rsidR="00FD2103">
        <w:rPr>
          <w:iCs/>
        </w:rPr>
        <w:t xml:space="preserve">of the Green Climate Fund </w:t>
      </w:r>
      <w:r w:rsidR="00FD2103" w:rsidRPr="00B05A7F">
        <w:rPr>
          <w:iCs/>
        </w:rPr>
        <w:t xml:space="preserve">and </w:t>
      </w:r>
      <w:r w:rsidR="00FD2103">
        <w:rPr>
          <w:iCs/>
        </w:rPr>
        <w:t xml:space="preserve">operational </w:t>
      </w:r>
      <w:r w:rsidR="00FD2103" w:rsidRPr="00B05A7F">
        <w:rPr>
          <w:iCs/>
        </w:rPr>
        <w:t xml:space="preserve">focal points </w:t>
      </w:r>
      <w:r w:rsidR="00FD2103" w:rsidDel="001A35E5">
        <w:rPr>
          <w:iCs/>
        </w:rPr>
        <w:t>of</w:t>
      </w:r>
      <w:r w:rsidR="00FD2103">
        <w:rPr>
          <w:iCs/>
        </w:rPr>
        <w:t xml:space="preserve"> the </w:t>
      </w:r>
      <w:r w:rsidR="00FD2103" w:rsidRPr="00B05A7F">
        <w:rPr>
          <w:iCs/>
        </w:rPr>
        <w:t xml:space="preserve">Global Environment Facility </w:t>
      </w:r>
      <w:r w:rsidR="00FD2103" w:rsidRPr="009127E9" w:rsidDel="00375218">
        <w:rPr>
          <w:rFonts w:eastAsia="Calibri"/>
        </w:rPr>
        <w:t xml:space="preserve">and how </w:t>
      </w:r>
      <w:r w:rsidR="00FD2103">
        <w:rPr>
          <w:rFonts w:eastAsia="Calibri"/>
        </w:rPr>
        <w:t>can</w:t>
      </w:r>
      <w:r w:rsidR="00FD2103" w:rsidRPr="009127E9" w:rsidDel="00375218">
        <w:rPr>
          <w:rFonts w:eastAsia="Calibri"/>
        </w:rPr>
        <w:t xml:space="preserve"> the Technology Mechanism and the Financial Mechanism enhance collaboration between their respective focal points</w:t>
      </w:r>
      <w:r w:rsidR="00FD2103" w:rsidRPr="009127E9">
        <w:rPr>
          <w:rFonts w:eastAsia="Calibri"/>
        </w:rPr>
        <w:t xml:space="preserve">? </w:t>
      </w:r>
    </w:p>
    <w:p w14:paraId="0459DAAC" w14:textId="1371F0B9" w:rsidR="00FD2103" w:rsidRDefault="005A1A63" w:rsidP="005A1A63">
      <w:pPr>
        <w:pStyle w:val="RegSingleTxtG"/>
        <w:tabs>
          <w:tab w:val="left" w:pos="568"/>
        </w:tabs>
        <w:ind w:left="1135"/>
      </w:pPr>
      <w:r>
        <w:t>6.</w:t>
      </w:r>
      <w:r>
        <w:tab/>
      </w:r>
      <w:r w:rsidR="00FD2103">
        <w:t xml:space="preserve">To what extent do Parties use the outcomes of the technology needs assessment and technology action plans to access </w:t>
      </w:r>
      <w:r w:rsidR="00FD2103" w:rsidRPr="00526EAB">
        <w:t xml:space="preserve">funding from </w:t>
      </w:r>
      <w:r w:rsidR="00FD2103">
        <w:t>the Global Environment Facility and the Green Climate Fund? How can Parties better utilize the results of events and products</w:t>
      </w:r>
      <w:r w:rsidR="00FD2103" w:rsidRPr="009127E9">
        <w:rPr>
          <w:rFonts w:eastAsia="Calibri"/>
        </w:rPr>
        <w:t xml:space="preserve"> </w:t>
      </w:r>
      <w:r w:rsidR="00FD2103">
        <w:rPr>
          <w:rFonts w:eastAsia="Calibri"/>
        </w:rPr>
        <w:t xml:space="preserve">of the </w:t>
      </w:r>
      <w:r w:rsidR="00FD2103" w:rsidRPr="009127E9">
        <w:rPr>
          <w:rFonts w:eastAsia="Calibri"/>
        </w:rPr>
        <w:t>T</w:t>
      </w:r>
      <w:r w:rsidR="00FD2103">
        <w:rPr>
          <w:rFonts w:eastAsia="Calibri"/>
        </w:rPr>
        <w:t>echnology Executive Committee</w:t>
      </w:r>
      <w:r w:rsidR="00FD2103" w:rsidRPr="009127E9">
        <w:rPr>
          <w:rFonts w:eastAsia="Calibri"/>
        </w:rPr>
        <w:t>,</w:t>
      </w:r>
      <w:r w:rsidR="00FD2103">
        <w:t xml:space="preserve"> technical assistance</w:t>
      </w:r>
      <w:r w:rsidR="00FD2103">
        <w:rPr>
          <w:rStyle w:val="ui-provider"/>
        </w:rPr>
        <w:t xml:space="preserve"> of the Climate Technology Centre and Network</w:t>
      </w:r>
      <w:r w:rsidR="00FD2103" w:rsidRPr="009127E9">
        <w:rPr>
          <w:rFonts w:eastAsia="Calibri"/>
        </w:rPr>
        <w:t>,</w:t>
      </w:r>
      <w:r w:rsidR="00FD2103">
        <w:t xml:space="preserve"> and outcomes of the technology needs assessment and </w:t>
      </w:r>
      <w:r w:rsidR="00FD2103" w:rsidRPr="0005726D">
        <w:rPr>
          <w:rFonts w:eastAsia="Calibri"/>
        </w:rPr>
        <w:t>technology action plans</w:t>
      </w:r>
      <w:r w:rsidR="00FD2103">
        <w:t xml:space="preserve"> to mobilize funding from the </w:t>
      </w:r>
      <w:r w:rsidR="00FD2103">
        <w:rPr>
          <w:rFonts w:eastAsia="Calibri"/>
        </w:rPr>
        <w:t xml:space="preserve">operating entities of the </w:t>
      </w:r>
      <w:r w:rsidR="00FD2103">
        <w:t xml:space="preserve">Financial </w:t>
      </w:r>
      <w:r w:rsidR="00FD2103">
        <w:rPr>
          <w:rFonts w:eastAsia="Calibri"/>
        </w:rPr>
        <w:t>M</w:t>
      </w:r>
      <w:r w:rsidR="00FD2103" w:rsidRPr="009127E9">
        <w:rPr>
          <w:rFonts w:eastAsia="Calibri"/>
        </w:rPr>
        <w:t>echanism</w:t>
      </w:r>
      <w:r w:rsidR="00FD2103">
        <w:t>?</w:t>
      </w:r>
    </w:p>
    <w:p w14:paraId="0626A05A" w14:textId="03D81388" w:rsidR="00FD2103" w:rsidRPr="00DE35FE" w:rsidRDefault="005A1A63" w:rsidP="005A1A63">
      <w:pPr>
        <w:pStyle w:val="RegSingleTxtG"/>
        <w:tabs>
          <w:tab w:val="left" w:pos="568"/>
        </w:tabs>
        <w:ind w:left="1135"/>
        <w:rPr>
          <w:lang w:val="en-US"/>
        </w:rPr>
      </w:pPr>
      <w:r w:rsidRPr="00DE35FE">
        <w:rPr>
          <w:lang w:val="en-US"/>
        </w:rPr>
        <w:t>7.</w:t>
      </w:r>
      <w:r w:rsidRPr="00DE35FE">
        <w:rPr>
          <w:lang w:val="en-US"/>
        </w:rPr>
        <w:tab/>
      </w:r>
      <w:r w:rsidR="00FD2103">
        <w:t xml:space="preserve">How can the linkages between the Technology Mechanism and the Financial Mechanism be enhanced to better support the implementation of the results of the technical assistance from the </w:t>
      </w:r>
      <w:r w:rsidR="00FD2103">
        <w:rPr>
          <w:rStyle w:val="ui-provider"/>
        </w:rPr>
        <w:t>Climate Technology Centre and Network</w:t>
      </w:r>
      <w:r w:rsidR="00FD2103">
        <w:t>, and outcomes of the technology needs assessment and technology action plans?</w:t>
      </w:r>
    </w:p>
    <w:p w14:paraId="503FC6F8" w14:textId="3E0EE69A" w:rsidR="00FE1996" w:rsidRPr="000F6262" w:rsidRDefault="00FE1996" w:rsidP="0079125D">
      <w:pPr>
        <w:tabs>
          <w:tab w:val="left" w:pos="1701"/>
        </w:tabs>
        <w:ind w:right="1133"/>
        <w:jc w:val="right"/>
        <w:rPr>
          <w:i/>
          <w:iCs/>
        </w:rPr>
      </w:pPr>
      <w:r>
        <w:rPr>
          <w:i/>
          <w:iCs/>
        </w:rPr>
        <w:t>5</w:t>
      </w:r>
      <w:r w:rsidRPr="00FE1996">
        <w:rPr>
          <w:i/>
          <w:iCs/>
          <w:vertAlign w:val="superscript"/>
        </w:rPr>
        <w:t>th</w:t>
      </w:r>
      <w:r>
        <w:rPr>
          <w:i/>
          <w:iCs/>
        </w:rPr>
        <w:t xml:space="preserve"> </w:t>
      </w:r>
      <w:r w:rsidRPr="000F6262">
        <w:rPr>
          <w:i/>
          <w:iCs/>
        </w:rPr>
        <w:t>plenary meeting</w:t>
      </w:r>
    </w:p>
    <w:p w14:paraId="39C0EB44" w14:textId="2E4A1ECD" w:rsidR="00FE1996" w:rsidRDefault="00FE1996" w:rsidP="00DB2784">
      <w:pPr>
        <w:tabs>
          <w:tab w:val="left" w:pos="1701"/>
        </w:tabs>
        <w:spacing w:line="20" w:lineRule="atLeast"/>
        <w:ind w:left="6521" w:right="1133"/>
        <w:jc w:val="right"/>
        <w:rPr>
          <w:i/>
          <w:iCs/>
        </w:rPr>
      </w:pPr>
      <w:r>
        <w:rPr>
          <w:i/>
          <w:iCs/>
        </w:rPr>
        <w:t>11</w:t>
      </w:r>
      <w:r w:rsidRPr="000F6262">
        <w:rPr>
          <w:i/>
          <w:iCs/>
        </w:rPr>
        <w:t xml:space="preserve"> December 2023</w:t>
      </w:r>
    </w:p>
    <w:p w14:paraId="552122AB" w14:textId="5B576B69" w:rsidR="001D5053" w:rsidRPr="0079125D" w:rsidRDefault="001D5053" w:rsidP="0079125D">
      <w:pPr>
        <w:tabs>
          <w:tab w:val="left" w:pos="1701"/>
        </w:tabs>
        <w:spacing w:line="20" w:lineRule="atLeast"/>
        <w:ind w:right="1533"/>
      </w:pPr>
    </w:p>
    <w:p w14:paraId="20AEDF9C" w14:textId="6B2D1CE4" w:rsidR="004D6857" w:rsidRPr="0079125D" w:rsidRDefault="004D6857" w:rsidP="005A1A63">
      <w:pPr>
        <w:pStyle w:val="RegH5G"/>
        <w:ind w:right="1133" w:hanging="454"/>
        <w:jc w:val="right"/>
        <w:rPr>
          <w:i w:val="0"/>
          <w:iCs/>
        </w:rPr>
        <w:sectPr w:rsidR="004D6857" w:rsidRPr="0079125D" w:rsidSect="000D19EC">
          <w:headerReference w:type="even" r:id="rId21"/>
          <w:headerReference w:type="default" r:id="rId22"/>
          <w:footerReference w:type="even" r:id="rId23"/>
          <w:footerReference w:type="default" r:id="rId24"/>
          <w:headerReference w:type="first" r:id="rId25"/>
          <w:pgSz w:w="11906" w:h="16838" w:code="9"/>
          <w:pgMar w:top="1418" w:right="1134" w:bottom="1134" w:left="1134" w:header="850" w:footer="567" w:gutter="0"/>
          <w:cols w:space="708"/>
          <w:docGrid w:linePitch="360"/>
        </w:sectPr>
      </w:pPr>
    </w:p>
    <w:p w14:paraId="5D1B2DD4" w14:textId="6658B01A" w:rsidR="00C26E9B" w:rsidRDefault="00D930FF" w:rsidP="00B121B9">
      <w:pPr>
        <w:pStyle w:val="HChG"/>
      </w:pPr>
      <w:r>
        <w:lastRenderedPageBreak/>
        <w:tab/>
      </w:r>
      <w:bookmarkStart w:id="11" w:name="_Toc161216109"/>
      <w:bookmarkStart w:id="12" w:name="Decision11"/>
      <w:r w:rsidR="00B121B9">
        <w:tab/>
      </w:r>
      <w:r w:rsidR="00C26E9B" w:rsidRPr="00BB3E14">
        <w:t xml:space="preserve">Decision </w:t>
      </w:r>
      <w:r w:rsidR="00C26E9B">
        <w:t>11</w:t>
      </w:r>
      <w:r w:rsidR="00C26E9B" w:rsidRPr="00BB3E14">
        <w:t>/CP.28</w:t>
      </w:r>
      <w:bookmarkEnd w:id="11"/>
      <w:bookmarkEnd w:id="12"/>
    </w:p>
    <w:p w14:paraId="76B9FB99" w14:textId="47CD19F7" w:rsidR="00C26E9B" w:rsidRPr="009B600A" w:rsidRDefault="00D930FF" w:rsidP="00D930FF">
      <w:pPr>
        <w:pStyle w:val="HChG"/>
      </w:pPr>
      <w:r>
        <w:rPr>
          <w:bCs/>
        </w:rPr>
        <w:tab/>
      </w:r>
      <w:r>
        <w:rPr>
          <w:bCs/>
        </w:rPr>
        <w:tab/>
      </w:r>
      <w:r w:rsidR="00C26E9B" w:rsidRPr="006C10B8">
        <w:rPr>
          <w:bCs/>
        </w:rPr>
        <w:t xml:space="preserve">Annual technical progress </w:t>
      </w:r>
      <w:r w:rsidR="00C26E9B" w:rsidRPr="00743FCD">
        <w:t>report of the Paris Committee on</w:t>
      </w:r>
      <w:r w:rsidR="00C26E9B" w:rsidRPr="00743FCD" w:rsidDel="009B5DF9">
        <w:t xml:space="preserve"> </w:t>
      </w:r>
      <w:r w:rsidR="00C26E9B" w:rsidRPr="00743FCD">
        <w:t>Capacity-building for 2023</w:t>
      </w:r>
    </w:p>
    <w:p w14:paraId="57F617C3" w14:textId="19682B44" w:rsidR="00C26E9B" w:rsidRPr="0079125D" w:rsidRDefault="002D566B" w:rsidP="002D566B">
      <w:pPr>
        <w:pStyle w:val="SingleTxtG"/>
        <w:rPr>
          <w:iCs/>
          <w:lang w:val="en-US"/>
        </w:rPr>
      </w:pPr>
      <w:r>
        <w:rPr>
          <w:i/>
          <w:lang w:val="en-US"/>
        </w:rPr>
        <w:tab/>
      </w:r>
      <w:r>
        <w:rPr>
          <w:i/>
          <w:lang w:val="en-US"/>
        </w:rPr>
        <w:tab/>
      </w:r>
      <w:r w:rsidR="00C26E9B" w:rsidRPr="008926FB">
        <w:rPr>
          <w:i/>
          <w:lang w:val="en-US"/>
        </w:rPr>
        <w:t>The Conference of the</w:t>
      </w:r>
      <w:r w:rsidR="00C26E9B">
        <w:rPr>
          <w:i/>
          <w:lang w:val="en-US"/>
        </w:rPr>
        <w:t xml:space="preserve"> Parties</w:t>
      </w:r>
      <w:r w:rsidR="00C26E9B" w:rsidRPr="00EF0494">
        <w:rPr>
          <w:lang w:val="en-US"/>
        </w:rPr>
        <w:t>,</w:t>
      </w:r>
      <w:r w:rsidR="00C26E9B" w:rsidRPr="0079125D">
        <w:rPr>
          <w:iCs/>
          <w:lang w:val="en-US"/>
        </w:rPr>
        <w:t xml:space="preserve"> </w:t>
      </w:r>
    </w:p>
    <w:p w14:paraId="16FA855C" w14:textId="160B190D" w:rsidR="00C26E9B" w:rsidRPr="007D4CE1" w:rsidRDefault="00C26E9B" w:rsidP="00C26E9B">
      <w:pPr>
        <w:pStyle w:val="SingleTxtG"/>
        <w:rPr>
          <w:lang w:val="en-US"/>
        </w:rPr>
      </w:pPr>
      <w:r>
        <w:rPr>
          <w:lang w:val="en-US"/>
        </w:rPr>
        <w:tab/>
      </w:r>
      <w:r>
        <w:rPr>
          <w:lang w:val="en-US"/>
        </w:rPr>
        <w:tab/>
      </w:r>
      <w:r w:rsidRPr="008926FB">
        <w:rPr>
          <w:i/>
          <w:lang w:val="en-US"/>
        </w:rPr>
        <w:t>Recalling</w:t>
      </w:r>
      <w:r w:rsidRPr="007D4CE1">
        <w:rPr>
          <w:lang w:val="en-US"/>
        </w:rPr>
        <w:t xml:space="preserve"> decisions</w:t>
      </w:r>
      <w:r>
        <w:rPr>
          <w:lang w:val="en-US"/>
        </w:rPr>
        <w:t xml:space="preserve"> </w:t>
      </w:r>
      <w:r w:rsidRPr="009C2E95">
        <w:t>2/CP.17, 1/CP.21, 2/CP.22, 16/CP.22, 16/CP.23, 15/CP.24, 8/CP.25, 12/CP.26 and 19/CP.27,</w:t>
      </w:r>
    </w:p>
    <w:p w14:paraId="23DAD505" w14:textId="4228D62D" w:rsidR="00C26E9B" w:rsidRPr="000C6CE5" w:rsidRDefault="005A1A63" w:rsidP="005A1A63">
      <w:pPr>
        <w:pStyle w:val="RegSingleTxtG"/>
        <w:tabs>
          <w:tab w:val="clear" w:pos="1701"/>
          <w:tab w:val="left" w:pos="568"/>
        </w:tabs>
        <w:ind w:left="1135"/>
      </w:pPr>
      <w:bookmarkStart w:id="13" w:name="_Ref156212467"/>
      <w:r w:rsidRPr="000C6CE5">
        <w:t>1.</w:t>
      </w:r>
      <w:r w:rsidRPr="000C6CE5">
        <w:tab/>
      </w:r>
      <w:r w:rsidR="00C26E9B" w:rsidRPr="006C10B8">
        <w:rPr>
          <w:i/>
          <w:iCs/>
        </w:rPr>
        <w:t xml:space="preserve">Welcomes </w:t>
      </w:r>
      <w:r w:rsidR="00C26E9B" w:rsidRPr="006C10B8">
        <w:rPr>
          <w:iCs/>
        </w:rPr>
        <w:t>the annual technical progress report of the Paris Committee on Capacity-building for 2023</w:t>
      </w:r>
      <w:r w:rsidR="00C26E9B" w:rsidRPr="00986EB0">
        <w:rPr>
          <w:sz w:val="18"/>
          <w:szCs w:val="18"/>
          <w:vertAlign w:val="superscript"/>
        </w:rPr>
        <w:footnoteReference w:id="7"/>
      </w:r>
      <w:r w:rsidR="00C26E9B" w:rsidRPr="006C10B8">
        <w:rPr>
          <w:iCs/>
        </w:rPr>
        <w:t xml:space="preserve"> and </w:t>
      </w:r>
      <w:r w:rsidR="00C26E9B" w:rsidRPr="006C10B8">
        <w:rPr>
          <w:i/>
          <w:iCs/>
        </w:rPr>
        <w:t>takes note</w:t>
      </w:r>
      <w:r w:rsidR="00C26E9B" w:rsidRPr="006C10B8">
        <w:rPr>
          <w:iCs/>
        </w:rPr>
        <w:t xml:space="preserve"> of the recommendations therein;</w:t>
      </w:r>
      <w:r w:rsidR="00C26E9B" w:rsidRPr="006C10B8">
        <w:rPr>
          <w:vertAlign w:val="superscript"/>
        </w:rPr>
        <w:footnoteReference w:id="8"/>
      </w:r>
      <w:bookmarkEnd w:id="13"/>
    </w:p>
    <w:p w14:paraId="1D2AD5F1" w14:textId="4E377FA6" w:rsidR="00C26E9B" w:rsidRPr="00841A54" w:rsidRDefault="005A1A63" w:rsidP="005A1A63">
      <w:pPr>
        <w:pStyle w:val="RegSingleTxtG"/>
        <w:tabs>
          <w:tab w:val="clear" w:pos="1701"/>
          <w:tab w:val="left" w:pos="568"/>
        </w:tabs>
        <w:ind w:left="1135"/>
      </w:pPr>
      <w:r w:rsidRPr="00841A54">
        <w:t>2.</w:t>
      </w:r>
      <w:r w:rsidRPr="00841A54">
        <w:tab/>
      </w:r>
      <w:r w:rsidR="00C26E9B" w:rsidRPr="006C10B8">
        <w:rPr>
          <w:i/>
          <w:iCs/>
        </w:rPr>
        <w:t xml:space="preserve">Invites </w:t>
      </w:r>
      <w:r w:rsidR="00C26E9B" w:rsidRPr="006C10B8">
        <w:t xml:space="preserve">Parties, as appropriate, the operating entities of the Financial Mechanism, the constituted bodies under the Convention, United Nations organizations, observers and other stakeholders to consider the recommendations referred to in paragraph </w:t>
      </w:r>
      <w:r w:rsidR="00B31149">
        <w:rPr>
          <w:cs/>
        </w:rPr>
        <w:t>‎</w:t>
      </w:r>
      <w:r w:rsidR="00B31149">
        <w:t>1 above</w:t>
      </w:r>
      <w:r w:rsidR="00C26E9B" w:rsidRPr="006C10B8">
        <w:t xml:space="preserve"> and to take any necessary action, as appropriate and in accordance with their mandates;</w:t>
      </w:r>
    </w:p>
    <w:p w14:paraId="0F5E5013" w14:textId="5382710A" w:rsidR="00C26E9B" w:rsidRDefault="005A1A63" w:rsidP="005A1A63">
      <w:pPr>
        <w:pStyle w:val="RegSingleTxtG"/>
        <w:tabs>
          <w:tab w:val="clear" w:pos="1701"/>
          <w:tab w:val="left" w:pos="568"/>
        </w:tabs>
        <w:ind w:left="1135"/>
      </w:pPr>
      <w:r>
        <w:t>3.</w:t>
      </w:r>
      <w:r>
        <w:tab/>
      </w:r>
      <w:r w:rsidR="00C26E9B" w:rsidRPr="006C10B8">
        <w:rPr>
          <w:i/>
          <w:iCs/>
        </w:rPr>
        <w:t xml:space="preserve">Acknowledges </w:t>
      </w:r>
      <w:r w:rsidR="00C26E9B" w:rsidRPr="006C10B8">
        <w:t>the progress of the Paris Committee on Capacity-building in implementing its workplan for 2021–2024</w:t>
      </w:r>
      <w:r w:rsidR="00C26E9B">
        <w:t>,</w:t>
      </w:r>
      <w:r w:rsidR="00C26E9B" w:rsidRPr="006C10B8">
        <w:rPr>
          <w:vertAlign w:val="superscript"/>
        </w:rPr>
        <w:footnoteReference w:id="9"/>
      </w:r>
      <w:r w:rsidR="00C26E9B" w:rsidRPr="006C10B8">
        <w:t xml:space="preserve"> </w:t>
      </w:r>
      <w:r w:rsidR="00C26E9B">
        <w:t>which is</w:t>
      </w:r>
      <w:r w:rsidR="00C26E9B" w:rsidRPr="006C10B8">
        <w:t xml:space="preserve"> bas</w:t>
      </w:r>
      <w:r w:rsidR="00C26E9B">
        <w:t>ed</w:t>
      </w:r>
      <w:r w:rsidR="00C26E9B" w:rsidRPr="006C10B8">
        <w:t xml:space="preserve"> on the priority areas and activities set out in the annex to decision 9/CP.25;</w:t>
      </w:r>
    </w:p>
    <w:p w14:paraId="3032B45B" w14:textId="75A19949" w:rsidR="00C26E9B" w:rsidRDefault="005A1A63" w:rsidP="005A1A63">
      <w:pPr>
        <w:pStyle w:val="RegSingleTxtG"/>
        <w:tabs>
          <w:tab w:val="clear" w:pos="1701"/>
          <w:tab w:val="left" w:pos="568"/>
        </w:tabs>
        <w:ind w:left="1135"/>
      </w:pPr>
      <w:r>
        <w:t>4.</w:t>
      </w:r>
      <w:r>
        <w:tab/>
      </w:r>
      <w:r w:rsidR="00C26E9B" w:rsidRPr="006C10B8">
        <w:rPr>
          <w:i/>
          <w:iCs/>
        </w:rPr>
        <w:t xml:space="preserve">Invites </w:t>
      </w:r>
      <w:r w:rsidR="00C26E9B" w:rsidRPr="006C10B8">
        <w:t>Parties and relevant institutions, as appropriate, to provide support and resources to the Paris Committee on Capacity-building for implementing its workplan for 2021–2024 in the light of the aim of the Committee established in decision 1/CP.21</w:t>
      </w:r>
      <w:r w:rsidR="00C26E9B">
        <w:t>;</w:t>
      </w:r>
    </w:p>
    <w:p w14:paraId="243DDD87" w14:textId="3658542A" w:rsidR="00C26E9B" w:rsidRPr="00AB7C0D" w:rsidRDefault="005A1A63" w:rsidP="005A1A63">
      <w:pPr>
        <w:pStyle w:val="RegSingleTxtG"/>
        <w:tabs>
          <w:tab w:val="clear" w:pos="1701"/>
          <w:tab w:val="left" w:pos="568"/>
        </w:tabs>
        <w:ind w:left="1135"/>
      </w:pPr>
      <w:r w:rsidRPr="00AB7C0D">
        <w:t>5.</w:t>
      </w:r>
      <w:r w:rsidRPr="00AB7C0D">
        <w:tab/>
      </w:r>
      <w:r w:rsidR="00C26E9B" w:rsidRPr="007F6EEE">
        <w:rPr>
          <w:bCs/>
          <w:i/>
          <w:iCs/>
        </w:rPr>
        <w:t>Notes</w:t>
      </w:r>
      <w:r w:rsidR="00C26E9B" w:rsidRPr="007F6EEE">
        <w:rPr>
          <w:bCs/>
        </w:rPr>
        <w:t xml:space="preserve"> that capacity gaps and needs still exist in developing countries pertaining to the implementation of the Convention</w:t>
      </w:r>
      <w:r w:rsidR="00C26E9B">
        <w:rPr>
          <w:bCs/>
        </w:rPr>
        <w:t>.</w:t>
      </w:r>
    </w:p>
    <w:p w14:paraId="0EAC56B8" w14:textId="21D21792" w:rsidR="00AB7C0D" w:rsidRPr="002445B1" w:rsidRDefault="002D6213" w:rsidP="0079125D">
      <w:pPr>
        <w:pStyle w:val="RegSingleTxtG"/>
        <w:spacing w:after="0"/>
        <w:jc w:val="right"/>
        <w:rPr>
          <w:i/>
          <w:iCs/>
        </w:rPr>
      </w:pPr>
      <w:r>
        <w:rPr>
          <w:i/>
          <w:iCs/>
        </w:rPr>
        <w:t>5</w:t>
      </w:r>
      <w:r w:rsidRPr="002D6213">
        <w:rPr>
          <w:i/>
          <w:iCs/>
          <w:vertAlign w:val="superscript"/>
        </w:rPr>
        <w:t>th</w:t>
      </w:r>
      <w:r>
        <w:rPr>
          <w:i/>
          <w:iCs/>
        </w:rPr>
        <w:t xml:space="preserve"> </w:t>
      </w:r>
      <w:r w:rsidR="00AB7C0D" w:rsidRPr="002445B1">
        <w:rPr>
          <w:i/>
          <w:iCs/>
        </w:rPr>
        <w:t>plenary me</w:t>
      </w:r>
      <w:r w:rsidR="00DA514A">
        <w:rPr>
          <w:i/>
          <w:iCs/>
        </w:rPr>
        <w:t>e</w:t>
      </w:r>
      <w:r w:rsidR="00AB7C0D" w:rsidRPr="002445B1">
        <w:rPr>
          <w:i/>
          <w:iCs/>
        </w:rPr>
        <w:t>ting</w:t>
      </w:r>
    </w:p>
    <w:p w14:paraId="048779AF" w14:textId="4F269991" w:rsidR="00AB7C0D" w:rsidRPr="00D344A3" w:rsidRDefault="00AB7C0D" w:rsidP="0079125D">
      <w:pPr>
        <w:pStyle w:val="RegSingleTxtG"/>
        <w:spacing w:after="0" w:line="20" w:lineRule="atLeast"/>
        <w:jc w:val="right"/>
        <w:rPr>
          <w:i/>
          <w:iCs/>
        </w:rPr>
      </w:pPr>
      <w:r w:rsidRPr="002445B1">
        <w:rPr>
          <w:i/>
          <w:iCs/>
        </w:rPr>
        <w:t>1</w:t>
      </w:r>
      <w:r w:rsidR="002D6213">
        <w:rPr>
          <w:i/>
          <w:iCs/>
        </w:rPr>
        <w:t>1</w:t>
      </w:r>
      <w:r w:rsidRPr="002445B1">
        <w:rPr>
          <w:i/>
          <w:iCs/>
        </w:rPr>
        <w:t xml:space="preserve"> December 2023</w:t>
      </w:r>
    </w:p>
    <w:p w14:paraId="3DF94EBA" w14:textId="77777777" w:rsidR="00AB7C0D" w:rsidRPr="00723D62" w:rsidRDefault="00AB7C0D" w:rsidP="00AB7C0D">
      <w:pPr>
        <w:pStyle w:val="RegSingleTxtG"/>
        <w:tabs>
          <w:tab w:val="clear" w:pos="1701"/>
        </w:tabs>
        <w:ind w:left="1135"/>
      </w:pPr>
    </w:p>
    <w:p w14:paraId="28A8C643" w14:textId="77777777" w:rsidR="00C436D8" w:rsidRDefault="00C436D8" w:rsidP="005A1A63">
      <w:pPr>
        <w:pStyle w:val="RegH23G"/>
        <w:ind w:left="1135" w:hanging="454"/>
        <w:sectPr w:rsidR="00C436D8" w:rsidSect="000D19EC">
          <w:headerReference w:type="even" r:id="rId26"/>
          <w:headerReference w:type="default" r:id="rId27"/>
          <w:footerReference w:type="even" r:id="rId28"/>
          <w:footerReference w:type="default" r:id="rId29"/>
          <w:footnotePr>
            <w:numRestart w:val="eachSect"/>
          </w:footnotePr>
          <w:pgSz w:w="11906" w:h="16838" w:code="9"/>
          <w:pgMar w:top="1418" w:right="1134" w:bottom="1134" w:left="1134" w:header="851" w:footer="567" w:gutter="0"/>
          <w:cols w:space="708"/>
          <w:docGrid w:linePitch="360"/>
        </w:sectPr>
      </w:pPr>
    </w:p>
    <w:p w14:paraId="3D315AF1" w14:textId="6E3CD65C" w:rsidR="00A07DDA" w:rsidRDefault="00D930FF" w:rsidP="00B121B9">
      <w:pPr>
        <w:pStyle w:val="HChG"/>
      </w:pPr>
      <w:r>
        <w:lastRenderedPageBreak/>
        <w:tab/>
      </w:r>
      <w:bookmarkStart w:id="14" w:name="_Toc161216110"/>
      <w:bookmarkStart w:id="15" w:name="Decision12"/>
      <w:r w:rsidR="00B121B9">
        <w:tab/>
      </w:r>
      <w:r w:rsidR="00A07DDA" w:rsidRPr="003A3BC3">
        <w:t xml:space="preserve">Decision </w:t>
      </w:r>
      <w:r w:rsidR="00A07DDA">
        <w:t>12</w:t>
      </w:r>
      <w:r w:rsidR="00A07DDA" w:rsidRPr="003A3BC3">
        <w:t>/CP.28</w:t>
      </w:r>
      <w:bookmarkEnd w:id="14"/>
    </w:p>
    <w:bookmarkEnd w:id="15"/>
    <w:p w14:paraId="297A9F93" w14:textId="3B2A9DE8" w:rsidR="00A07DDA" w:rsidRPr="00240B27" w:rsidRDefault="00D930FF" w:rsidP="00D930FF">
      <w:pPr>
        <w:pStyle w:val="HChG"/>
      </w:pPr>
      <w:r>
        <w:tab/>
      </w:r>
      <w:r>
        <w:tab/>
      </w:r>
      <w:r w:rsidR="00A07DDA" w:rsidRPr="005D5D23">
        <w:t xml:space="preserve">Terms of </w:t>
      </w:r>
      <w:r w:rsidR="00A07DDA" w:rsidRPr="00240B27">
        <w:rPr>
          <w:lang w:val="en-US"/>
        </w:rPr>
        <w:t>reference</w:t>
      </w:r>
      <w:r w:rsidR="00A07DDA" w:rsidRPr="005D5D23">
        <w:t xml:space="preserve"> for the second review of the Paris</w:t>
      </w:r>
      <w:r w:rsidR="003E1B23">
        <w:t xml:space="preserve"> </w:t>
      </w:r>
      <w:r w:rsidR="00A07DDA" w:rsidRPr="005D5D23">
        <w:t>Committee on Capacity-building</w:t>
      </w:r>
    </w:p>
    <w:p w14:paraId="6048A3F1" w14:textId="2A65D552" w:rsidR="00A07DDA" w:rsidRPr="0027743D" w:rsidRDefault="002D566B" w:rsidP="002D566B">
      <w:pPr>
        <w:pStyle w:val="SingleTxtG"/>
        <w:rPr>
          <w:i/>
          <w:lang w:val="en-US"/>
        </w:rPr>
      </w:pPr>
      <w:r>
        <w:rPr>
          <w:lang w:val="en-US"/>
        </w:rPr>
        <w:tab/>
      </w:r>
      <w:r>
        <w:rPr>
          <w:lang w:val="en-US"/>
        </w:rPr>
        <w:tab/>
      </w:r>
      <w:r w:rsidR="00A07DDA" w:rsidRPr="00787D67">
        <w:rPr>
          <w:i/>
          <w:iCs/>
          <w:lang w:val="en-US"/>
        </w:rPr>
        <w:t>The Conference of the Parties</w:t>
      </w:r>
      <w:r w:rsidR="00A07DDA" w:rsidRPr="0027743D">
        <w:rPr>
          <w:lang w:val="en-US"/>
        </w:rPr>
        <w:t xml:space="preserve">, </w:t>
      </w:r>
    </w:p>
    <w:p w14:paraId="5DC630B6" w14:textId="76811C65" w:rsidR="00A07DDA" w:rsidRDefault="002D566B" w:rsidP="002D566B">
      <w:pPr>
        <w:pStyle w:val="SingleTxtG"/>
        <w:rPr>
          <w:i/>
          <w:lang w:val="en-US"/>
        </w:rPr>
      </w:pPr>
      <w:r>
        <w:rPr>
          <w:lang w:val="en-US"/>
        </w:rPr>
        <w:tab/>
      </w:r>
      <w:r>
        <w:rPr>
          <w:lang w:val="en-US"/>
        </w:rPr>
        <w:tab/>
      </w:r>
      <w:r w:rsidR="00A07DDA" w:rsidRPr="00787D67">
        <w:rPr>
          <w:i/>
          <w:iCs/>
          <w:lang w:val="en-US"/>
        </w:rPr>
        <w:t>Recalling</w:t>
      </w:r>
      <w:r w:rsidR="00A07DDA" w:rsidRPr="0027743D">
        <w:rPr>
          <w:lang w:val="en-US"/>
        </w:rPr>
        <w:t xml:space="preserve"> decisions 1/CP.21, 2/CP.22, 16/CP.22, 16/CP.23, 15/CP.24, 8/CP.25, 9/CP.25,</w:t>
      </w:r>
      <w:r w:rsidR="00A07DDA" w:rsidRPr="0079125D">
        <w:rPr>
          <w:iCs/>
          <w:lang w:val="en-US"/>
        </w:rPr>
        <w:t xml:space="preserve"> </w:t>
      </w:r>
      <w:r w:rsidR="00A07DDA" w:rsidRPr="0027743D">
        <w:rPr>
          <w:lang w:val="en-US"/>
        </w:rPr>
        <w:t>12/CP.26</w:t>
      </w:r>
      <w:r w:rsidR="00A07DDA">
        <w:rPr>
          <w:lang w:val="en-US"/>
        </w:rPr>
        <w:t xml:space="preserve">, </w:t>
      </w:r>
      <w:r w:rsidR="00A07DDA" w:rsidRPr="0027743D">
        <w:rPr>
          <w:lang w:val="en-US"/>
        </w:rPr>
        <w:t>19/CP.27</w:t>
      </w:r>
      <w:r w:rsidR="00A07DDA">
        <w:rPr>
          <w:lang w:val="en-US"/>
        </w:rPr>
        <w:t xml:space="preserve"> and 3/CMA.2</w:t>
      </w:r>
      <w:r w:rsidR="00A07DDA" w:rsidRPr="0027743D">
        <w:rPr>
          <w:lang w:val="en-US"/>
        </w:rPr>
        <w:t>,</w:t>
      </w:r>
    </w:p>
    <w:p w14:paraId="17479FFE" w14:textId="3112B938" w:rsidR="00A07DDA" w:rsidRPr="00ED57FF" w:rsidRDefault="005A1A63" w:rsidP="005A1A63">
      <w:pPr>
        <w:pStyle w:val="RegSingleTxtG"/>
        <w:tabs>
          <w:tab w:val="clear" w:pos="1701"/>
          <w:tab w:val="left" w:pos="568"/>
        </w:tabs>
        <w:ind w:left="1135"/>
        <w:rPr>
          <w:iCs/>
          <w:lang w:val="en-US"/>
        </w:rPr>
      </w:pPr>
      <w:r w:rsidRPr="00ED57FF">
        <w:rPr>
          <w:iCs/>
          <w:lang w:val="en-US"/>
        </w:rPr>
        <w:t>1.</w:t>
      </w:r>
      <w:r w:rsidRPr="00ED57FF">
        <w:rPr>
          <w:iCs/>
          <w:lang w:val="en-US"/>
        </w:rPr>
        <w:tab/>
      </w:r>
      <w:r w:rsidR="00A07DDA" w:rsidRPr="001B1D1F">
        <w:rPr>
          <w:i/>
          <w:iCs/>
        </w:rPr>
        <w:t>Reaffirms</w:t>
      </w:r>
      <w:r w:rsidR="00A07DDA" w:rsidRPr="00ED57FF">
        <w:rPr>
          <w:i/>
          <w:lang w:val="en-US"/>
        </w:rPr>
        <w:t xml:space="preserve"> </w:t>
      </w:r>
      <w:r w:rsidR="00A07DDA" w:rsidRPr="00ED57FF">
        <w:rPr>
          <w:iCs/>
          <w:lang w:val="en-US"/>
        </w:rPr>
        <w:t>its decision to conduct the second review of the progress and need for extension of the Paris Committee on Capacity-building;</w:t>
      </w:r>
      <w:r w:rsidR="00A07DDA">
        <w:rPr>
          <w:rStyle w:val="FootnoteReference"/>
          <w:iCs/>
          <w:lang w:val="en-US"/>
        </w:rPr>
        <w:footnoteReference w:id="10"/>
      </w:r>
    </w:p>
    <w:p w14:paraId="31D1A000" w14:textId="07BE781E" w:rsidR="00A07DDA" w:rsidRPr="0079125D" w:rsidRDefault="005A1A63" w:rsidP="005A1A63">
      <w:pPr>
        <w:pStyle w:val="RegSingleTxtG"/>
        <w:tabs>
          <w:tab w:val="clear" w:pos="1701"/>
          <w:tab w:val="left" w:pos="568"/>
        </w:tabs>
        <w:ind w:left="1135"/>
        <w:rPr>
          <w:iCs/>
          <w:lang w:val="en-US"/>
        </w:rPr>
      </w:pPr>
      <w:r w:rsidRPr="0079125D">
        <w:rPr>
          <w:iCs/>
          <w:lang w:val="en-US"/>
        </w:rPr>
        <w:t>2.</w:t>
      </w:r>
      <w:r w:rsidRPr="0079125D">
        <w:rPr>
          <w:iCs/>
          <w:lang w:val="en-US"/>
        </w:rPr>
        <w:tab/>
      </w:r>
      <w:r w:rsidR="00A07DDA" w:rsidRPr="00F550ED">
        <w:rPr>
          <w:i/>
          <w:iCs/>
        </w:rPr>
        <w:t>Adopts</w:t>
      </w:r>
      <w:r w:rsidR="00A07DDA" w:rsidRPr="0000522A">
        <w:rPr>
          <w:i/>
          <w:lang w:val="en-US"/>
        </w:rPr>
        <w:t xml:space="preserve"> </w:t>
      </w:r>
      <w:r w:rsidR="00A07DDA" w:rsidRPr="0000522A">
        <w:rPr>
          <w:lang w:val="en-US"/>
        </w:rPr>
        <w:t>the terms of reference for the second review</w:t>
      </w:r>
      <w:r w:rsidR="00A07DDA">
        <w:rPr>
          <w:lang w:val="en-US"/>
        </w:rPr>
        <w:t xml:space="preserve"> </w:t>
      </w:r>
      <w:r w:rsidR="00A07DDA" w:rsidRPr="0000522A">
        <w:rPr>
          <w:lang w:val="en-US"/>
        </w:rPr>
        <w:t xml:space="preserve">of </w:t>
      </w:r>
      <w:r w:rsidR="00A07DDA">
        <w:rPr>
          <w:lang w:val="en-US"/>
        </w:rPr>
        <w:t>t</w:t>
      </w:r>
      <w:r w:rsidR="00A07DDA" w:rsidRPr="0000522A">
        <w:rPr>
          <w:lang w:val="en-US"/>
        </w:rPr>
        <w:t>he Paris Committee on Capacity-building</w:t>
      </w:r>
      <w:r w:rsidR="00A07DDA">
        <w:rPr>
          <w:lang w:val="en-US"/>
        </w:rPr>
        <w:t>,</w:t>
      </w:r>
      <w:r w:rsidR="00A07DDA" w:rsidRPr="002A07A4">
        <w:rPr>
          <w:vertAlign w:val="superscript"/>
          <w:lang w:val="en-US"/>
        </w:rPr>
        <w:footnoteReference w:id="11"/>
      </w:r>
      <w:r w:rsidR="00A07DDA" w:rsidRPr="0000522A">
        <w:rPr>
          <w:lang w:val="en-US"/>
        </w:rPr>
        <w:t xml:space="preserve"> contained in the annex;</w:t>
      </w:r>
    </w:p>
    <w:p w14:paraId="51F3F9D7" w14:textId="0CEBF777" w:rsidR="00A07DDA" w:rsidRPr="008E2A36" w:rsidRDefault="005A1A63" w:rsidP="005A1A63">
      <w:pPr>
        <w:pStyle w:val="RegSingleTxtG"/>
        <w:tabs>
          <w:tab w:val="clear" w:pos="1701"/>
          <w:tab w:val="left" w:pos="568"/>
        </w:tabs>
        <w:ind w:left="1135"/>
        <w:rPr>
          <w:lang w:val="en-US"/>
        </w:rPr>
      </w:pPr>
      <w:bookmarkStart w:id="16" w:name="_Ref156301675"/>
      <w:r w:rsidRPr="008E2A36">
        <w:rPr>
          <w:iCs/>
          <w:lang w:val="en-US"/>
        </w:rPr>
        <w:t>3.</w:t>
      </w:r>
      <w:r w:rsidRPr="008E2A36">
        <w:rPr>
          <w:iCs/>
          <w:lang w:val="en-US"/>
        </w:rPr>
        <w:tab/>
      </w:r>
      <w:r w:rsidR="00A07DDA" w:rsidRPr="00F550ED">
        <w:rPr>
          <w:i/>
          <w:iCs/>
        </w:rPr>
        <w:t>Invites</w:t>
      </w:r>
      <w:r w:rsidR="00A07DDA" w:rsidRPr="008E2A36">
        <w:rPr>
          <w:i/>
          <w:lang w:val="en-US"/>
        </w:rPr>
        <w:t xml:space="preserve"> </w:t>
      </w:r>
      <w:r w:rsidR="00A07DDA" w:rsidRPr="008E2A36">
        <w:rPr>
          <w:lang w:val="en-US"/>
        </w:rPr>
        <w:t>Parties,</w:t>
      </w:r>
      <w:r w:rsidR="00A07DDA">
        <w:rPr>
          <w:lang w:val="en-US"/>
        </w:rPr>
        <w:t xml:space="preserve"> </w:t>
      </w:r>
      <w:r w:rsidR="00A07DDA" w:rsidRPr="008E2A36">
        <w:rPr>
          <w:lang w:val="en-US"/>
        </w:rPr>
        <w:t>constituted bodies</w:t>
      </w:r>
      <w:r w:rsidR="00A07DDA">
        <w:rPr>
          <w:lang w:val="en-US"/>
        </w:rPr>
        <w:t xml:space="preserve"> under the Convention and the Paris Agreement</w:t>
      </w:r>
      <w:r w:rsidR="00A07DDA" w:rsidRPr="008E2A36">
        <w:rPr>
          <w:lang w:val="en-US"/>
        </w:rPr>
        <w:t xml:space="preserve">, </w:t>
      </w:r>
      <w:r w:rsidR="00A07DDA">
        <w:rPr>
          <w:lang w:val="en-US"/>
        </w:rPr>
        <w:t xml:space="preserve">the </w:t>
      </w:r>
      <w:r w:rsidR="00A07DDA" w:rsidRPr="008E2A36">
        <w:rPr>
          <w:lang w:val="en-US"/>
        </w:rPr>
        <w:t xml:space="preserve">operating entities </w:t>
      </w:r>
      <w:r w:rsidR="00A07DDA">
        <w:rPr>
          <w:lang w:val="en-US"/>
        </w:rPr>
        <w:t>of the Financial Mechanism,</w:t>
      </w:r>
      <w:r w:rsidR="00A07DDA" w:rsidRPr="008E2A36">
        <w:rPr>
          <w:lang w:val="en-US"/>
        </w:rPr>
        <w:t xml:space="preserve"> </w:t>
      </w:r>
      <w:r w:rsidR="00A07DDA">
        <w:rPr>
          <w:lang w:val="en-US"/>
        </w:rPr>
        <w:t xml:space="preserve">representatives of </w:t>
      </w:r>
      <w:r w:rsidR="00A07DDA" w:rsidRPr="008E2A36">
        <w:rPr>
          <w:lang w:val="en-US"/>
        </w:rPr>
        <w:t>relevant processes under the Convention</w:t>
      </w:r>
      <w:r w:rsidR="00A07DDA">
        <w:rPr>
          <w:lang w:val="en-US"/>
        </w:rPr>
        <w:t>,</w:t>
      </w:r>
      <w:r w:rsidR="00A07DDA" w:rsidRPr="008E2A36">
        <w:rPr>
          <w:lang w:val="en-US"/>
        </w:rPr>
        <w:t xml:space="preserve"> and </w:t>
      </w:r>
      <w:r w:rsidR="00A07DDA">
        <w:rPr>
          <w:lang w:val="en-US"/>
        </w:rPr>
        <w:t>non-Party</w:t>
      </w:r>
      <w:r w:rsidR="00A07DDA" w:rsidRPr="008E2A36">
        <w:rPr>
          <w:lang w:val="en-US"/>
        </w:rPr>
        <w:t xml:space="preserve"> stakeholders to submit via the submission portal</w:t>
      </w:r>
      <w:r w:rsidR="00A07DDA">
        <w:rPr>
          <w:rStyle w:val="FootnoteReference"/>
          <w:lang w:val="en-US"/>
        </w:rPr>
        <w:footnoteReference w:id="12"/>
      </w:r>
      <w:r w:rsidR="00A07DDA" w:rsidRPr="008E2A36">
        <w:rPr>
          <w:lang w:val="en-US"/>
        </w:rPr>
        <w:t xml:space="preserve"> by </w:t>
      </w:r>
      <w:r w:rsidR="00A07DDA">
        <w:rPr>
          <w:lang w:val="en-US"/>
        </w:rPr>
        <w:t>29 February</w:t>
      </w:r>
      <w:r w:rsidR="00A07DDA" w:rsidRPr="008E2A36">
        <w:rPr>
          <w:lang w:val="en-US"/>
        </w:rPr>
        <w:t xml:space="preserve"> 2024 views on the second review of </w:t>
      </w:r>
      <w:r w:rsidR="00A07DDA">
        <w:rPr>
          <w:lang w:val="en-US"/>
        </w:rPr>
        <w:t xml:space="preserve">the </w:t>
      </w:r>
      <w:r w:rsidR="00A07DDA" w:rsidRPr="008E2A36">
        <w:rPr>
          <w:lang w:val="en-US"/>
        </w:rPr>
        <w:t>Paris Committee on Capacity-building based on the terms of reference contained in the annex for consideration by the Subsidiary Body for Implementation at its sixtieth session (June 2024);</w:t>
      </w:r>
      <w:bookmarkEnd w:id="16"/>
      <w:r w:rsidR="00A07DDA" w:rsidRPr="008E2A36">
        <w:rPr>
          <w:lang w:val="en-US"/>
        </w:rPr>
        <w:t xml:space="preserve"> </w:t>
      </w:r>
    </w:p>
    <w:p w14:paraId="17C47EC8" w14:textId="6FB0D6D9" w:rsidR="00A07DDA" w:rsidRPr="008E2A36" w:rsidRDefault="005A1A63" w:rsidP="005A1A63">
      <w:pPr>
        <w:pStyle w:val="RegSingleTxtG"/>
        <w:tabs>
          <w:tab w:val="clear" w:pos="1701"/>
          <w:tab w:val="left" w:pos="568"/>
        </w:tabs>
        <w:ind w:left="1135"/>
        <w:rPr>
          <w:lang w:val="en-US"/>
        </w:rPr>
      </w:pPr>
      <w:bookmarkStart w:id="17" w:name="_Ref156301707"/>
      <w:r w:rsidRPr="008E2A36">
        <w:rPr>
          <w:iCs/>
          <w:lang w:val="en-US"/>
        </w:rPr>
        <w:t>4.</w:t>
      </w:r>
      <w:r w:rsidRPr="008E2A36">
        <w:rPr>
          <w:iCs/>
          <w:lang w:val="en-US"/>
        </w:rPr>
        <w:tab/>
      </w:r>
      <w:r w:rsidR="00A07DDA" w:rsidRPr="00F550ED">
        <w:rPr>
          <w:i/>
          <w:iCs/>
        </w:rPr>
        <w:t>Requests</w:t>
      </w:r>
      <w:r w:rsidR="00A07DDA" w:rsidRPr="008E2A36">
        <w:rPr>
          <w:i/>
          <w:lang w:val="en-US"/>
        </w:rPr>
        <w:t xml:space="preserve"> </w:t>
      </w:r>
      <w:r w:rsidR="00A07DDA" w:rsidRPr="008E2A36">
        <w:rPr>
          <w:lang w:val="en-US"/>
        </w:rPr>
        <w:t>the secretariat to prepare a synthesis report o</w:t>
      </w:r>
      <w:r w:rsidR="00A07DDA">
        <w:rPr>
          <w:lang w:val="en-US"/>
        </w:rPr>
        <w:t>n</w:t>
      </w:r>
      <w:r w:rsidR="00A07DDA" w:rsidRPr="008E2A36">
        <w:rPr>
          <w:lang w:val="en-US"/>
        </w:rPr>
        <w:t xml:space="preserve"> the submissions referred to in paragraph </w:t>
      </w:r>
      <w:r w:rsidR="00B31149">
        <w:rPr>
          <w:cs/>
          <w:lang w:val="en-US"/>
        </w:rPr>
        <w:t>‎</w:t>
      </w:r>
      <w:r w:rsidR="00B31149">
        <w:rPr>
          <w:lang w:val="en-US"/>
        </w:rPr>
        <w:t>3 above</w:t>
      </w:r>
      <w:r w:rsidR="00A07DDA" w:rsidRPr="008E2A36">
        <w:rPr>
          <w:lang w:val="en-US"/>
        </w:rPr>
        <w:t xml:space="preserve"> for consideration by the Subsidiary Body for Implementation at its sixtieth session;</w:t>
      </w:r>
      <w:bookmarkEnd w:id="17"/>
    </w:p>
    <w:p w14:paraId="684071AE" w14:textId="454E80D2" w:rsidR="00A07DDA" w:rsidRPr="0079125D" w:rsidRDefault="005A1A63" w:rsidP="005A1A63">
      <w:pPr>
        <w:pStyle w:val="RegSingleTxtG"/>
        <w:tabs>
          <w:tab w:val="clear" w:pos="1701"/>
          <w:tab w:val="left" w:pos="568"/>
        </w:tabs>
        <w:ind w:left="1135"/>
        <w:rPr>
          <w:iCs/>
          <w:lang w:val="en-US"/>
        </w:rPr>
      </w:pPr>
      <w:r w:rsidRPr="0079125D">
        <w:rPr>
          <w:iCs/>
          <w:lang w:val="en-US"/>
        </w:rPr>
        <w:t>5.</w:t>
      </w:r>
      <w:r w:rsidRPr="0079125D">
        <w:rPr>
          <w:iCs/>
          <w:lang w:val="en-US"/>
        </w:rPr>
        <w:tab/>
      </w:r>
      <w:r w:rsidR="00A07DDA" w:rsidRPr="008E2A36">
        <w:rPr>
          <w:i/>
          <w:lang w:val="en-US"/>
        </w:rPr>
        <w:t xml:space="preserve">Also requests </w:t>
      </w:r>
      <w:r w:rsidR="00A07DDA" w:rsidRPr="008E2A36">
        <w:rPr>
          <w:lang w:val="en-US"/>
        </w:rPr>
        <w:t xml:space="preserve">the Subsidiary Body for Implementation, at its sixtieth session, to initiate the second review </w:t>
      </w:r>
      <w:r w:rsidR="00A07DDA">
        <w:rPr>
          <w:lang w:val="en-US"/>
        </w:rPr>
        <w:t xml:space="preserve">of </w:t>
      </w:r>
      <w:r w:rsidR="00A07DDA" w:rsidRPr="008E2A36">
        <w:rPr>
          <w:lang w:val="en-US"/>
        </w:rPr>
        <w:t xml:space="preserve">the Paris Committee on Capacity-building, in accordance with the terms of reference, taking into account </w:t>
      </w:r>
      <w:r w:rsidR="00A07DDA" w:rsidRPr="0079125D">
        <w:t>the</w:t>
      </w:r>
      <w:r w:rsidR="00A07DDA" w:rsidRPr="008E2A36">
        <w:rPr>
          <w:lang w:val="en-US"/>
        </w:rPr>
        <w:t xml:space="preserve"> submissions referred to in paragraph </w:t>
      </w:r>
      <w:r w:rsidR="00B31149">
        <w:rPr>
          <w:cs/>
          <w:lang w:val="en-US"/>
        </w:rPr>
        <w:t>‎</w:t>
      </w:r>
      <w:r w:rsidR="00B31149">
        <w:rPr>
          <w:lang w:val="en-US"/>
        </w:rPr>
        <w:t>3 above</w:t>
      </w:r>
      <w:r w:rsidR="00A07DDA">
        <w:rPr>
          <w:lang w:val="en-US"/>
        </w:rPr>
        <w:t xml:space="preserve"> </w:t>
      </w:r>
      <w:r w:rsidR="00A07DDA" w:rsidRPr="008E2A36">
        <w:rPr>
          <w:lang w:val="en-US"/>
        </w:rPr>
        <w:t xml:space="preserve">and the synthesis report referred to in paragraph </w:t>
      </w:r>
      <w:r w:rsidR="00B31149">
        <w:rPr>
          <w:cs/>
          <w:lang w:val="en-US"/>
        </w:rPr>
        <w:t>‎</w:t>
      </w:r>
      <w:r w:rsidR="00B31149">
        <w:rPr>
          <w:lang w:val="en-US"/>
        </w:rPr>
        <w:t>4 above</w:t>
      </w:r>
      <w:r w:rsidR="00A07DDA" w:rsidRPr="008E2A36">
        <w:rPr>
          <w:lang w:val="en-US"/>
        </w:rPr>
        <w:t>;</w:t>
      </w:r>
      <w:r w:rsidR="00A07DDA" w:rsidRPr="0079125D">
        <w:rPr>
          <w:iCs/>
          <w:lang w:val="en-US"/>
        </w:rPr>
        <w:t xml:space="preserve"> </w:t>
      </w:r>
    </w:p>
    <w:p w14:paraId="0B5614CE" w14:textId="61C45DC7" w:rsidR="00A07DDA" w:rsidRDefault="005A1A63" w:rsidP="005A1A63">
      <w:pPr>
        <w:pStyle w:val="RegSingleTxtG"/>
        <w:tabs>
          <w:tab w:val="clear" w:pos="1701"/>
          <w:tab w:val="left" w:pos="568"/>
        </w:tabs>
        <w:ind w:left="1135"/>
        <w:rPr>
          <w:lang w:val="en-US"/>
        </w:rPr>
      </w:pPr>
      <w:r>
        <w:rPr>
          <w:iCs/>
          <w:lang w:val="en-US"/>
        </w:rPr>
        <w:t>6.</w:t>
      </w:r>
      <w:r>
        <w:rPr>
          <w:iCs/>
          <w:lang w:val="en-US"/>
        </w:rPr>
        <w:tab/>
      </w:r>
      <w:r w:rsidR="00A07DDA" w:rsidRPr="00F550ED">
        <w:rPr>
          <w:i/>
          <w:iCs/>
        </w:rPr>
        <w:t>Further</w:t>
      </w:r>
      <w:r w:rsidR="00A07DDA" w:rsidRPr="008E2A36">
        <w:rPr>
          <w:i/>
          <w:lang w:val="en-US"/>
        </w:rPr>
        <w:t xml:space="preserve"> requests </w:t>
      </w:r>
      <w:r w:rsidR="00A07DDA" w:rsidRPr="008E2A36">
        <w:rPr>
          <w:lang w:val="en-US"/>
        </w:rPr>
        <w:t>the Subsidiary Body for Implementation to complete its work on the second review of the Paris Committee on Capacity-building at its sixty-first session (November 2024</w:t>
      </w:r>
      <w:r w:rsidR="00A07DDA" w:rsidRPr="00630A89">
        <w:rPr>
          <w:lang w:val="en-US"/>
        </w:rPr>
        <w:t>)</w:t>
      </w:r>
      <w:r w:rsidR="00A07DDA" w:rsidRPr="008E2A36">
        <w:rPr>
          <w:lang w:val="en-US"/>
        </w:rPr>
        <w:t xml:space="preserve"> with a view to recommending a draft decision on the matter for consideration and adoption by the Conference of the Parties at its twenty-ninth session (November 2024);</w:t>
      </w:r>
    </w:p>
    <w:p w14:paraId="0068C83B" w14:textId="46E1DC11" w:rsidR="00A07DDA" w:rsidRPr="00630A89" w:rsidRDefault="005A1A63" w:rsidP="005A1A63">
      <w:pPr>
        <w:pStyle w:val="RegSingleTxtG"/>
        <w:tabs>
          <w:tab w:val="clear" w:pos="1701"/>
          <w:tab w:val="left" w:pos="568"/>
        </w:tabs>
        <w:ind w:left="1135"/>
        <w:rPr>
          <w:lang w:val="en-US"/>
        </w:rPr>
      </w:pPr>
      <w:r w:rsidRPr="00630A89">
        <w:rPr>
          <w:iCs/>
          <w:lang w:val="en-US"/>
        </w:rPr>
        <w:t>7.</w:t>
      </w:r>
      <w:r w:rsidRPr="00630A89">
        <w:rPr>
          <w:iCs/>
          <w:lang w:val="en-US"/>
        </w:rPr>
        <w:tab/>
      </w:r>
      <w:r w:rsidR="00A07DDA" w:rsidRPr="00F550ED">
        <w:rPr>
          <w:i/>
          <w:iCs/>
        </w:rPr>
        <w:t>Invites</w:t>
      </w:r>
      <w:r w:rsidR="00A07DDA" w:rsidRPr="00630A89">
        <w:rPr>
          <w:lang w:val="en-US"/>
        </w:rPr>
        <w:t xml:space="preserve"> the Conference of the Parties serving as the meeting of the Parties to the Paris Agreement to participate in the </w:t>
      </w:r>
      <w:r w:rsidR="00A07DDA" w:rsidRPr="00630A89">
        <w:t>second review of the Paris Committee on Capacity-building</w:t>
      </w:r>
      <w:r w:rsidR="00A07DDA">
        <w:t xml:space="preserve"> at its sixth session (November 2024);</w:t>
      </w:r>
    </w:p>
    <w:p w14:paraId="4ED6250C" w14:textId="22558BD3" w:rsidR="00A07DDA" w:rsidRPr="001F54C1" w:rsidRDefault="005A1A63" w:rsidP="005A1A63">
      <w:pPr>
        <w:pStyle w:val="RegSingleTxtG"/>
        <w:tabs>
          <w:tab w:val="clear" w:pos="1701"/>
          <w:tab w:val="left" w:pos="568"/>
        </w:tabs>
        <w:ind w:left="1135"/>
        <w:rPr>
          <w:lang w:val="en-US"/>
        </w:rPr>
      </w:pPr>
      <w:r w:rsidRPr="001F54C1">
        <w:rPr>
          <w:iCs/>
          <w:lang w:val="en-US"/>
        </w:rPr>
        <w:t>8.</w:t>
      </w:r>
      <w:r w:rsidRPr="001F54C1">
        <w:rPr>
          <w:iCs/>
          <w:lang w:val="en-US"/>
        </w:rPr>
        <w:tab/>
      </w:r>
      <w:r w:rsidR="00A07DDA">
        <w:rPr>
          <w:i/>
          <w:lang w:val="en-US"/>
        </w:rPr>
        <w:t xml:space="preserve">Also </w:t>
      </w:r>
      <w:r w:rsidR="00A07DDA" w:rsidRPr="00630A89">
        <w:rPr>
          <w:i/>
        </w:rPr>
        <w:t>invites</w:t>
      </w:r>
      <w:r w:rsidR="00A07DDA" w:rsidRPr="00630A89">
        <w:t xml:space="preserve"> the Conference of the Parties serving as the meeting of the Parties to the Paris Agreement to affirm this decision, including the terms of reference</w:t>
      </w:r>
      <w:r w:rsidR="00A07DDA">
        <w:t xml:space="preserve"> contained in the annex.</w:t>
      </w:r>
    </w:p>
    <w:p w14:paraId="39E04FA9" w14:textId="77777777" w:rsidR="001F54C1" w:rsidRDefault="001F54C1" w:rsidP="001F54C1">
      <w:pPr>
        <w:pStyle w:val="RegSingleTxtG"/>
        <w:tabs>
          <w:tab w:val="clear" w:pos="1701"/>
        </w:tabs>
        <w:ind w:left="1135"/>
        <w:rPr>
          <w:lang w:val="en-US"/>
        </w:rPr>
        <w:sectPr w:rsidR="001F54C1" w:rsidSect="000D19EC">
          <w:headerReference w:type="even" r:id="rId30"/>
          <w:headerReference w:type="default" r:id="rId31"/>
          <w:footerReference w:type="even" r:id="rId32"/>
          <w:footerReference w:type="default" r:id="rId33"/>
          <w:headerReference w:type="first" r:id="rId34"/>
          <w:footnotePr>
            <w:numRestart w:val="eachSect"/>
          </w:footnotePr>
          <w:pgSz w:w="11906" w:h="16838" w:code="9"/>
          <w:pgMar w:top="1418" w:right="1134" w:bottom="1134" w:left="1134" w:header="850" w:footer="567" w:gutter="0"/>
          <w:cols w:space="708"/>
          <w:docGrid w:linePitch="360"/>
        </w:sectPr>
      </w:pPr>
    </w:p>
    <w:p w14:paraId="540784C3" w14:textId="77777777" w:rsidR="00FC6737" w:rsidRPr="0079125D" w:rsidRDefault="00FC6737" w:rsidP="005A1A63">
      <w:pPr>
        <w:pStyle w:val="RegHChG"/>
        <w:tabs>
          <w:tab w:val="clear" w:pos="1135"/>
          <w:tab w:val="num" w:pos="851"/>
        </w:tabs>
        <w:ind w:left="0" w:hanging="454"/>
        <w:rPr>
          <w:iCs/>
          <w:lang w:val="en-US"/>
        </w:rPr>
      </w:pPr>
      <w:bookmarkStart w:id="18" w:name="_Toc161216111"/>
      <w:r w:rsidRPr="00435C50">
        <w:rPr>
          <w:lang w:val="en-US"/>
        </w:rPr>
        <w:t>Annex</w:t>
      </w:r>
      <w:bookmarkEnd w:id="18"/>
    </w:p>
    <w:p w14:paraId="3F7D02EF" w14:textId="77777777" w:rsidR="00FC6737" w:rsidRPr="00332A49" w:rsidRDefault="00FC6737" w:rsidP="00FC6737">
      <w:pPr>
        <w:pStyle w:val="HChG"/>
        <w:rPr>
          <w:lang w:val="en-US"/>
        </w:rPr>
      </w:pPr>
      <w:r>
        <w:rPr>
          <w:lang w:val="en-US"/>
        </w:rPr>
        <w:tab/>
      </w:r>
      <w:r>
        <w:rPr>
          <w:lang w:val="en-US"/>
        </w:rPr>
        <w:tab/>
      </w:r>
      <w:r w:rsidRPr="00435C50">
        <w:rPr>
          <w:lang w:val="en-US"/>
        </w:rPr>
        <w:t xml:space="preserve">Terms of reference for </w:t>
      </w:r>
      <w:r w:rsidRPr="003021AD">
        <w:rPr>
          <w:lang w:val="en-US"/>
        </w:rPr>
        <w:t>the second review of the</w:t>
      </w:r>
      <w:r w:rsidRPr="00435C50">
        <w:rPr>
          <w:lang w:val="en-US"/>
        </w:rPr>
        <w:t xml:space="preserve"> P</w:t>
      </w:r>
      <w:r w:rsidRPr="00332A49">
        <w:rPr>
          <w:lang w:val="en-US"/>
        </w:rPr>
        <w:t xml:space="preserve">aris </w:t>
      </w:r>
      <w:r w:rsidRPr="00435C50">
        <w:rPr>
          <w:lang w:val="en-US"/>
        </w:rPr>
        <w:t>C</w:t>
      </w:r>
      <w:r w:rsidRPr="00332A49">
        <w:rPr>
          <w:lang w:val="en-US"/>
        </w:rPr>
        <w:t xml:space="preserve">ommittee on </w:t>
      </w:r>
      <w:r w:rsidRPr="00435C50">
        <w:rPr>
          <w:lang w:val="en-US"/>
        </w:rPr>
        <w:t>C</w:t>
      </w:r>
      <w:r w:rsidRPr="00332A49">
        <w:rPr>
          <w:lang w:val="en-US"/>
        </w:rPr>
        <w:t>apacity-building</w:t>
      </w:r>
    </w:p>
    <w:p w14:paraId="39E6595A" w14:textId="1A96A970" w:rsidR="00FC6737" w:rsidRPr="00444375" w:rsidRDefault="005A1A63" w:rsidP="005A1A63">
      <w:pPr>
        <w:pStyle w:val="RegHChG"/>
        <w:tabs>
          <w:tab w:val="left" w:pos="1135"/>
        </w:tabs>
        <w:ind w:hanging="454"/>
        <w:rPr>
          <w:lang w:val="en-US"/>
        </w:rPr>
      </w:pPr>
      <w:bookmarkStart w:id="19" w:name="_Toc161216112"/>
      <w:r w:rsidRPr="00444375">
        <w:rPr>
          <w:lang w:val="en-US"/>
        </w:rPr>
        <w:t>I.</w:t>
      </w:r>
      <w:r w:rsidRPr="00444375">
        <w:rPr>
          <w:lang w:val="en-US"/>
        </w:rPr>
        <w:tab/>
      </w:r>
      <w:r w:rsidR="00FC6737" w:rsidRPr="00444375">
        <w:rPr>
          <w:lang w:val="en-US"/>
        </w:rPr>
        <w:t>Mandate</w:t>
      </w:r>
      <w:bookmarkEnd w:id="19"/>
    </w:p>
    <w:p w14:paraId="54FE92F5" w14:textId="6EFDD30E" w:rsidR="00FC6737" w:rsidRPr="00A0493B" w:rsidRDefault="005A1A63" w:rsidP="005A1A63">
      <w:pPr>
        <w:pStyle w:val="RegSingleTxtG"/>
        <w:rPr>
          <w:lang w:val="en-US"/>
        </w:rPr>
      </w:pPr>
      <w:r w:rsidRPr="00A0493B">
        <w:rPr>
          <w:lang w:val="en-US"/>
        </w:rPr>
        <w:t>1.</w:t>
      </w:r>
      <w:r w:rsidRPr="00A0493B">
        <w:rPr>
          <w:lang w:val="en-US"/>
        </w:rPr>
        <w:tab/>
      </w:r>
      <w:r w:rsidR="00FC6737" w:rsidRPr="00A0493B">
        <w:rPr>
          <w:lang w:val="en-US"/>
        </w:rPr>
        <w:t>At its twenty-fifth session, the Conference of the Parties (COP) decided to review, at</w:t>
      </w:r>
      <w:r w:rsidR="00FC6737" w:rsidRPr="00CA3A9C">
        <w:t xml:space="preserve"> </w:t>
      </w:r>
      <w:r w:rsidR="00FC6737" w:rsidRPr="00A0493B">
        <w:rPr>
          <w:lang w:val="en-US"/>
        </w:rPr>
        <w:t>COP 29 (November 2024), the progress and need for extension of the Paris Committee on Capacity-building (PCCB).</w:t>
      </w:r>
      <w:r w:rsidR="00FC6737">
        <w:rPr>
          <w:rStyle w:val="FootnoteReference"/>
          <w:lang w:val="en-US"/>
        </w:rPr>
        <w:footnoteReference w:id="13"/>
      </w:r>
    </w:p>
    <w:p w14:paraId="4558A2DC" w14:textId="22DF63A1" w:rsidR="00FC6737" w:rsidRDefault="005A1A63" w:rsidP="005A1A63">
      <w:pPr>
        <w:pStyle w:val="RegSingleTxtG"/>
        <w:rPr>
          <w:lang w:val="en-US"/>
        </w:rPr>
      </w:pPr>
      <w:r>
        <w:rPr>
          <w:lang w:val="en-US"/>
        </w:rPr>
        <w:t>2.</w:t>
      </w:r>
      <w:r>
        <w:rPr>
          <w:lang w:val="en-US"/>
        </w:rPr>
        <w:tab/>
      </w:r>
      <w:r w:rsidR="00FC6737">
        <w:rPr>
          <w:lang w:val="en-US"/>
        </w:rPr>
        <w:t>COP 25 requested the</w:t>
      </w:r>
      <w:r w:rsidR="00FC6737" w:rsidRPr="008016B7">
        <w:rPr>
          <w:lang w:val="en-US"/>
        </w:rPr>
        <w:t xml:space="preserve"> Subsidiary Body for Implementation </w:t>
      </w:r>
      <w:r w:rsidR="00FC6737">
        <w:rPr>
          <w:lang w:val="en-US"/>
        </w:rPr>
        <w:t xml:space="preserve">(SBI) </w:t>
      </w:r>
      <w:r w:rsidR="00FC6737" w:rsidRPr="008016B7">
        <w:rPr>
          <w:lang w:val="en-US"/>
        </w:rPr>
        <w:t>to initiate</w:t>
      </w:r>
      <w:r w:rsidR="00FC6737">
        <w:rPr>
          <w:lang w:val="en-US"/>
        </w:rPr>
        <w:t>,</w:t>
      </w:r>
      <w:r w:rsidR="00FC6737" w:rsidRPr="008016B7">
        <w:rPr>
          <w:lang w:val="en-US"/>
        </w:rPr>
        <w:t xml:space="preserve"> at </w:t>
      </w:r>
      <w:r w:rsidR="00FC6737">
        <w:rPr>
          <w:lang w:val="en-US"/>
        </w:rPr>
        <w:t xml:space="preserve">SBI 58, </w:t>
      </w:r>
      <w:r w:rsidR="00FC6737" w:rsidRPr="008016B7">
        <w:rPr>
          <w:lang w:val="en-US"/>
        </w:rPr>
        <w:t xml:space="preserve">the preparation of the terms of </w:t>
      </w:r>
      <w:r w:rsidR="00FC6737" w:rsidRPr="003021AD">
        <w:rPr>
          <w:lang w:val="en-US"/>
        </w:rPr>
        <w:t xml:space="preserve">reference for the second review of the </w:t>
      </w:r>
      <w:r w:rsidR="00FC6737">
        <w:rPr>
          <w:lang w:val="en-US"/>
        </w:rPr>
        <w:t>PCCB</w:t>
      </w:r>
      <w:r w:rsidR="00FC6737" w:rsidRPr="003021AD">
        <w:rPr>
          <w:lang w:val="en-US"/>
        </w:rPr>
        <w:t xml:space="preserve"> with a view to COP </w:t>
      </w:r>
      <w:r w:rsidR="00FC6737">
        <w:rPr>
          <w:lang w:val="en-US"/>
        </w:rPr>
        <w:t>28</w:t>
      </w:r>
      <w:r w:rsidR="00FC6737" w:rsidRPr="003021AD">
        <w:rPr>
          <w:lang w:val="en-US"/>
        </w:rPr>
        <w:t xml:space="preserve"> agreeing on the final terms of reference.</w:t>
      </w:r>
      <w:r w:rsidR="00FC6737" w:rsidRPr="003021AD">
        <w:rPr>
          <w:rStyle w:val="FootnoteReference"/>
          <w:lang w:val="en-US"/>
        </w:rPr>
        <w:footnoteReference w:id="14"/>
      </w:r>
    </w:p>
    <w:p w14:paraId="746CB44D" w14:textId="50A69CEF" w:rsidR="00FC6737" w:rsidRDefault="005A1A63" w:rsidP="005A1A63">
      <w:pPr>
        <w:pStyle w:val="RegSingleTxtG"/>
        <w:rPr>
          <w:lang w:val="en-US"/>
        </w:rPr>
      </w:pPr>
      <w:r>
        <w:rPr>
          <w:lang w:val="en-US"/>
        </w:rPr>
        <w:t>3.</w:t>
      </w:r>
      <w:r>
        <w:rPr>
          <w:lang w:val="en-US"/>
        </w:rPr>
        <w:tab/>
      </w:r>
      <w:r w:rsidR="00FC6737" w:rsidRPr="00BE5A51">
        <w:rPr>
          <w:lang w:val="en-US"/>
        </w:rPr>
        <w:t>COP 28 invited the Conference of the Parties serving as the meeting of the Parties to the Paris Agreement (CMA) to participate in the second review of the PCCB at CMA 6 (November 2024). At CMA 5, the CMA decided to also conduct the second review of the PCCB, at CMA 6.</w:t>
      </w:r>
    </w:p>
    <w:p w14:paraId="094DDAC6" w14:textId="05DED539" w:rsidR="00FC6737" w:rsidRPr="00A2133A" w:rsidRDefault="005A1A63" w:rsidP="005A1A63">
      <w:pPr>
        <w:pStyle w:val="RegSingleTxtG"/>
        <w:rPr>
          <w:lang w:val="en-US"/>
        </w:rPr>
      </w:pPr>
      <w:r w:rsidRPr="00A2133A">
        <w:rPr>
          <w:lang w:val="en-US"/>
        </w:rPr>
        <w:t>4.</w:t>
      </w:r>
      <w:r w:rsidRPr="00A2133A">
        <w:rPr>
          <w:lang w:val="en-US"/>
        </w:rPr>
        <w:tab/>
      </w:r>
      <w:r w:rsidR="00FC6737" w:rsidRPr="00A2133A">
        <w:rPr>
          <w:lang w:val="en-US"/>
        </w:rPr>
        <w:t>COP 28 and CMA 5 requested SBI 60 (June 2024) to initiate the second review of the PCCB.</w:t>
      </w:r>
    </w:p>
    <w:p w14:paraId="0ACE8785" w14:textId="29702AC7" w:rsidR="00FC6737" w:rsidRPr="00435C50" w:rsidRDefault="005A1A63" w:rsidP="005A1A63">
      <w:pPr>
        <w:pStyle w:val="RegHChG"/>
        <w:tabs>
          <w:tab w:val="left" w:pos="1135"/>
        </w:tabs>
        <w:ind w:hanging="454"/>
        <w:rPr>
          <w:lang w:val="en-US"/>
        </w:rPr>
      </w:pPr>
      <w:bookmarkStart w:id="20" w:name="_Toc161216113"/>
      <w:r w:rsidRPr="00435C50">
        <w:rPr>
          <w:lang w:val="en-US"/>
        </w:rPr>
        <w:t>II.</w:t>
      </w:r>
      <w:r w:rsidRPr="00435C50">
        <w:rPr>
          <w:lang w:val="en-US"/>
        </w:rPr>
        <w:tab/>
      </w:r>
      <w:r w:rsidR="00FC6737" w:rsidRPr="00435C50">
        <w:rPr>
          <w:lang w:val="en-US"/>
        </w:rPr>
        <w:t>Objective</w:t>
      </w:r>
      <w:bookmarkEnd w:id="20"/>
    </w:p>
    <w:p w14:paraId="3031A587" w14:textId="57350E3D" w:rsidR="00FC6737" w:rsidRPr="00435C50" w:rsidRDefault="005A1A63" w:rsidP="005A1A63">
      <w:pPr>
        <w:pStyle w:val="RegSingleTxtG"/>
        <w:rPr>
          <w:lang w:val="en-US"/>
        </w:rPr>
      </w:pPr>
      <w:r w:rsidRPr="00435C50">
        <w:rPr>
          <w:lang w:val="en-US"/>
        </w:rPr>
        <w:t>5.</w:t>
      </w:r>
      <w:r w:rsidRPr="00435C50">
        <w:rPr>
          <w:lang w:val="en-US"/>
        </w:rPr>
        <w:tab/>
      </w:r>
      <w:r w:rsidR="00FC6737" w:rsidRPr="004915ED">
        <w:rPr>
          <w:lang w:val="en-US"/>
        </w:rPr>
        <w:t xml:space="preserve">The objective of the second review is to </w:t>
      </w:r>
      <w:r w:rsidR="00FC6737">
        <w:rPr>
          <w:lang w:val="en-US"/>
        </w:rPr>
        <w:t>assess</w:t>
      </w:r>
      <w:r w:rsidR="00FC6737" w:rsidRPr="004915ED">
        <w:rPr>
          <w:lang w:val="en-US"/>
        </w:rPr>
        <w:t xml:space="preserve"> the progress </w:t>
      </w:r>
      <w:r w:rsidR="00FC6737">
        <w:rPr>
          <w:lang w:val="en-US"/>
        </w:rPr>
        <w:t xml:space="preserve">of the </w:t>
      </w:r>
      <w:r w:rsidR="00FC6737" w:rsidRPr="004915ED">
        <w:rPr>
          <w:lang w:val="en-US"/>
        </w:rPr>
        <w:t>PCCB</w:t>
      </w:r>
      <w:r w:rsidR="00FC6737" w:rsidRPr="00C214B3">
        <w:rPr>
          <w:lang w:val="en-US"/>
        </w:rPr>
        <w:t xml:space="preserve"> towards achieving its overall aim set out in decision 1/CP.21, paragraph 71, and </w:t>
      </w:r>
      <w:r w:rsidR="00FC6737" w:rsidRPr="00B7297F">
        <w:rPr>
          <w:lang w:val="en-US"/>
        </w:rPr>
        <w:t>affirmed in decision 3/CMA.2, paragraph 3</w:t>
      </w:r>
      <w:r w:rsidR="00FC6737">
        <w:rPr>
          <w:lang w:val="en-US"/>
        </w:rPr>
        <w:t xml:space="preserve">, </w:t>
      </w:r>
      <w:r w:rsidR="00FC6737" w:rsidRPr="00C214B3">
        <w:rPr>
          <w:lang w:val="en-US"/>
        </w:rPr>
        <w:t xml:space="preserve">and </w:t>
      </w:r>
      <w:r w:rsidR="00FC6737">
        <w:rPr>
          <w:lang w:val="en-US"/>
        </w:rPr>
        <w:t xml:space="preserve">in </w:t>
      </w:r>
      <w:r w:rsidR="00FC6737" w:rsidRPr="00C214B3">
        <w:rPr>
          <w:lang w:val="en-US"/>
        </w:rPr>
        <w:t xml:space="preserve">addressing </w:t>
      </w:r>
      <w:r w:rsidR="00FC6737">
        <w:rPr>
          <w:lang w:val="en-US"/>
        </w:rPr>
        <w:t>its</w:t>
      </w:r>
      <w:r w:rsidR="00FC6737" w:rsidRPr="00C214B3">
        <w:rPr>
          <w:lang w:val="en-US"/>
        </w:rPr>
        <w:t xml:space="preserve"> priority areas and activities set out in decision 9/CP.25, paragraph 9 and annex</w:t>
      </w:r>
      <w:r w:rsidR="00FC6737">
        <w:rPr>
          <w:lang w:val="en-US"/>
        </w:rPr>
        <w:t xml:space="preserve">, </w:t>
      </w:r>
      <w:r w:rsidR="00FC6737" w:rsidRPr="005725D1">
        <w:rPr>
          <w:lang w:val="en-US"/>
        </w:rPr>
        <w:t xml:space="preserve">and affirmed in decision 3/CMA.2, paragraph 4, </w:t>
      </w:r>
      <w:r w:rsidR="00FC6737">
        <w:rPr>
          <w:lang w:val="en-US"/>
        </w:rPr>
        <w:t>as well as the need for its extension.</w:t>
      </w:r>
    </w:p>
    <w:p w14:paraId="7BA7E5F6" w14:textId="5F62AEAF" w:rsidR="00FC6737" w:rsidRPr="00273832" w:rsidRDefault="005A1A63" w:rsidP="005A1A63">
      <w:pPr>
        <w:pStyle w:val="RegHChG"/>
        <w:tabs>
          <w:tab w:val="left" w:pos="1135"/>
        </w:tabs>
        <w:ind w:hanging="454"/>
        <w:rPr>
          <w:lang w:val="en-US"/>
        </w:rPr>
      </w:pPr>
      <w:bookmarkStart w:id="21" w:name="_Toc161216114"/>
      <w:r w:rsidRPr="00273832">
        <w:rPr>
          <w:lang w:val="en-US"/>
        </w:rPr>
        <w:t>III.</w:t>
      </w:r>
      <w:r w:rsidRPr="00273832">
        <w:rPr>
          <w:lang w:val="en-US"/>
        </w:rPr>
        <w:tab/>
      </w:r>
      <w:r w:rsidR="00FC6737" w:rsidRPr="00273832">
        <w:rPr>
          <w:lang w:val="en-US"/>
        </w:rPr>
        <w:t>Scope</w:t>
      </w:r>
      <w:bookmarkEnd w:id="21"/>
    </w:p>
    <w:p w14:paraId="732DF7DD" w14:textId="4846CE3C" w:rsidR="00FC6737" w:rsidRPr="009721BF" w:rsidRDefault="005A1A63" w:rsidP="005A1A63">
      <w:pPr>
        <w:pStyle w:val="RegSingleTxtG"/>
        <w:ind w:left="1495" w:hanging="360"/>
        <w:rPr>
          <w:lang w:val="en-US"/>
        </w:rPr>
      </w:pPr>
      <w:r w:rsidRPr="009721BF">
        <w:rPr>
          <w:lang w:val="en-US"/>
        </w:rPr>
        <w:t>6.</w:t>
      </w:r>
      <w:r w:rsidRPr="009721BF">
        <w:rPr>
          <w:lang w:val="en-US"/>
        </w:rPr>
        <w:tab/>
      </w:r>
      <w:r w:rsidR="00FC6737" w:rsidRPr="009721BF">
        <w:rPr>
          <w:lang w:val="en-US"/>
        </w:rPr>
        <w:t>The review will cover the progress and need for extension</w:t>
      </w:r>
      <w:r w:rsidR="00FC6737">
        <w:rPr>
          <w:lang w:val="en-US"/>
        </w:rPr>
        <w:t xml:space="preserve"> </w:t>
      </w:r>
      <w:r w:rsidR="00FC6737" w:rsidRPr="009721BF">
        <w:rPr>
          <w:lang w:val="en-US"/>
        </w:rPr>
        <w:t>of the PCCB.</w:t>
      </w:r>
    </w:p>
    <w:p w14:paraId="458ACFE6" w14:textId="57CDC559" w:rsidR="00FC6737" w:rsidRPr="00273832" w:rsidRDefault="005A1A63" w:rsidP="005A1A63">
      <w:pPr>
        <w:pStyle w:val="RegHChG"/>
        <w:tabs>
          <w:tab w:val="left" w:pos="1135"/>
        </w:tabs>
        <w:ind w:hanging="454"/>
        <w:rPr>
          <w:lang w:val="en-US"/>
        </w:rPr>
      </w:pPr>
      <w:bookmarkStart w:id="22" w:name="_Toc161216115"/>
      <w:r w:rsidRPr="00273832">
        <w:rPr>
          <w:lang w:val="en-US"/>
        </w:rPr>
        <w:t>IV.</w:t>
      </w:r>
      <w:r w:rsidRPr="00273832">
        <w:rPr>
          <w:lang w:val="en-US"/>
        </w:rPr>
        <w:tab/>
      </w:r>
      <w:r w:rsidR="00FC6737" w:rsidRPr="00273832">
        <w:rPr>
          <w:lang w:val="en-US"/>
        </w:rPr>
        <w:t>Sources of information</w:t>
      </w:r>
      <w:bookmarkEnd w:id="22"/>
    </w:p>
    <w:p w14:paraId="70F41248" w14:textId="0E0B050F" w:rsidR="00DC5066" w:rsidRDefault="005A1A63" w:rsidP="005A1A63">
      <w:pPr>
        <w:pStyle w:val="RegSingleTxtG"/>
        <w:ind w:left="1495" w:hanging="360"/>
        <w:rPr>
          <w:lang w:val="en-US"/>
        </w:rPr>
      </w:pPr>
      <w:r>
        <w:rPr>
          <w:lang w:val="en-US"/>
        </w:rPr>
        <w:t>7.</w:t>
      </w:r>
      <w:r>
        <w:rPr>
          <w:lang w:val="en-US"/>
        </w:rPr>
        <w:tab/>
      </w:r>
      <w:r w:rsidR="00FC6737" w:rsidRPr="00273832">
        <w:rPr>
          <w:lang w:val="en-US"/>
        </w:rPr>
        <w:t xml:space="preserve">The review </w:t>
      </w:r>
      <w:r w:rsidR="00FC6737">
        <w:rPr>
          <w:lang w:val="en-US"/>
        </w:rPr>
        <w:t>wi</w:t>
      </w:r>
      <w:r w:rsidR="00FC6737" w:rsidRPr="00273832">
        <w:rPr>
          <w:lang w:val="en-US"/>
        </w:rPr>
        <w:t>ll draw upon, inter alia, the following sources of information:</w:t>
      </w:r>
      <w:r w:rsidR="000C679B" w:rsidRPr="000C679B">
        <w:rPr>
          <w:lang w:val="en-US"/>
        </w:rPr>
        <w:t xml:space="preserve"> </w:t>
      </w:r>
    </w:p>
    <w:p w14:paraId="493EDBB3" w14:textId="5DDD4E20" w:rsidR="000C679B" w:rsidRPr="00273832" w:rsidRDefault="005A1A63" w:rsidP="005A1A63">
      <w:pPr>
        <w:pStyle w:val="RegSingleTxtG2"/>
        <w:ind w:left="1134" w:firstLine="567"/>
        <w:rPr>
          <w:lang w:val="en-US"/>
        </w:rPr>
      </w:pPr>
      <w:r w:rsidRPr="00273832">
        <w:rPr>
          <w:szCs w:val="28"/>
          <w:lang w:val="en-US"/>
        </w:rPr>
        <w:t>(a)</w:t>
      </w:r>
      <w:r w:rsidRPr="00273832">
        <w:rPr>
          <w:szCs w:val="28"/>
          <w:lang w:val="en-US"/>
        </w:rPr>
        <w:tab/>
      </w:r>
      <w:r w:rsidR="000C679B">
        <w:rPr>
          <w:lang w:val="en-US"/>
        </w:rPr>
        <w:t>The a</w:t>
      </w:r>
      <w:r w:rsidR="000C679B" w:rsidRPr="00273832">
        <w:rPr>
          <w:lang w:val="en-US"/>
        </w:rPr>
        <w:t>nnual technical progress reports of the PCCB;</w:t>
      </w:r>
    </w:p>
    <w:p w14:paraId="0B7F3461" w14:textId="52DF5C1B" w:rsidR="000C679B" w:rsidRPr="00273832" w:rsidRDefault="005A1A63" w:rsidP="005A1A63">
      <w:pPr>
        <w:pStyle w:val="RegSingleTxtG2"/>
        <w:ind w:left="1134" w:firstLine="567"/>
        <w:rPr>
          <w:lang w:val="en-US"/>
        </w:rPr>
      </w:pPr>
      <w:r w:rsidRPr="00273832">
        <w:rPr>
          <w:szCs w:val="28"/>
          <w:lang w:val="en-US"/>
        </w:rPr>
        <w:t>(b)</w:t>
      </w:r>
      <w:r w:rsidRPr="00273832">
        <w:rPr>
          <w:szCs w:val="28"/>
          <w:lang w:val="en-US"/>
        </w:rPr>
        <w:tab/>
      </w:r>
      <w:r w:rsidR="000C679B" w:rsidRPr="00273832">
        <w:rPr>
          <w:lang w:val="en-US"/>
        </w:rPr>
        <w:t xml:space="preserve">Relevant decisions of the COP </w:t>
      </w:r>
      <w:r w:rsidR="000C679B">
        <w:rPr>
          <w:lang w:val="en-US"/>
        </w:rPr>
        <w:t xml:space="preserve">and the CMA </w:t>
      </w:r>
      <w:r w:rsidR="000C679B" w:rsidRPr="00273832">
        <w:rPr>
          <w:lang w:val="en-US"/>
        </w:rPr>
        <w:t>relat</w:t>
      </w:r>
      <w:r w:rsidR="000C679B">
        <w:rPr>
          <w:lang w:val="en-US"/>
        </w:rPr>
        <w:t>ed</w:t>
      </w:r>
      <w:r w:rsidR="000C679B" w:rsidRPr="00273832">
        <w:rPr>
          <w:lang w:val="en-US"/>
        </w:rPr>
        <w:t xml:space="preserve"> to the PCCB;</w:t>
      </w:r>
    </w:p>
    <w:p w14:paraId="2A091241" w14:textId="34D7B8F5" w:rsidR="000C679B" w:rsidRPr="00BB55F1" w:rsidRDefault="005A1A63" w:rsidP="005A1A63">
      <w:pPr>
        <w:pStyle w:val="RegSingleTxtG2"/>
        <w:ind w:left="1134" w:firstLine="567"/>
        <w:rPr>
          <w:lang w:val="en-US"/>
        </w:rPr>
      </w:pPr>
      <w:r w:rsidRPr="00BB55F1">
        <w:rPr>
          <w:szCs w:val="28"/>
          <w:lang w:val="en-US"/>
        </w:rPr>
        <w:t>(c)</w:t>
      </w:r>
      <w:r w:rsidRPr="00BB55F1">
        <w:rPr>
          <w:szCs w:val="28"/>
          <w:lang w:val="en-US"/>
        </w:rPr>
        <w:tab/>
      </w:r>
      <w:r w:rsidR="000C679B">
        <w:rPr>
          <w:lang w:val="en-US"/>
        </w:rPr>
        <w:t>The s</w:t>
      </w:r>
      <w:r w:rsidR="000C679B" w:rsidRPr="00BB55F1">
        <w:rPr>
          <w:lang w:val="en-US"/>
        </w:rPr>
        <w:t>ubmissions referred to in this decision;</w:t>
      </w:r>
    </w:p>
    <w:p w14:paraId="390E171D" w14:textId="442404C4" w:rsidR="000C679B" w:rsidRDefault="005A1A63" w:rsidP="005A1A63">
      <w:pPr>
        <w:pStyle w:val="RegSingleTxtG2"/>
        <w:ind w:left="1134" w:firstLine="567"/>
        <w:rPr>
          <w:lang w:val="en-US"/>
        </w:rPr>
      </w:pPr>
      <w:r>
        <w:rPr>
          <w:szCs w:val="28"/>
          <w:lang w:val="en-US"/>
        </w:rPr>
        <w:t>(d)</w:t>
      </w:r>
      <w:r>
        <w:rPr>
          <w:szCs w:val="28"/>
          <w:lang w:val="en-US"/>
        </w:rPr>
        <w:tab/>
      </w:r>
      <w:r w:rsidR="000C679B" w:rsidRPr="00273832">
        <w:rPr>
          <w:lang w:val="en-US"/>
        </w:rPr>
        <w:t>The synthesis report referred to in this decision</w:t>
      </w:r>
      <w:r w:rsidR="000C679B">
        <w:rPr>
          <w:lang w:val="en-US"/>
        </w:rPr>
        <w:t>;</w:t>
      </w:r>
    </w:p>
    <w:p w14:paraId="6C9982A8" w14:textId="346FE800" w:rsidR="000C679B" w:rsidRPr="00273832" w:rsidRDefault="005A1A63" w:rsidP="005A1A63">
      <w:pPr>
        <w:pStyle w:val="RegSingleTxtG2"/>
        <w:ind w:left="1134" w:firstLine="567"/>
        <w:rPr>
          <w:lang w:val="en-US"/>
        </w:rPr>
      </w:pPr>
      <w:r w:rsidRPr="00273832">
        <w:rPr>
          <w:szCs w:val="28"/>
          <w:lang w:val="en-US"/>
        </w:rPr>
        <w:t>(e)</w:t>
      </w:r>
      <w:r w:rsidRPr="00273832">
        <w:rPr>
          <w:szCs w:val="28"/>
          <w:lang w:val="en-US"/>
        </w:rPr>
        <w:tab/>
      </w:r>
      <w:r w:rsidR="000C679B">
        <w:t>The</w:t>
      </w:r>
      <w:r w:rsidR="000C679B" w:rsidRPr="00BB55F1">
        <w:t xml:space="preserve"> views </w:t>
      </w:r>
      <w:r w:rsidR="000C679B">
        <w:t xml:space="preserve">expressed by </w:t>
      </w:r>
      <w:r w:rsidR="000C679B" w:rsidRPr="00BB55F1">
        <w:t>Parties during the review, that is at</w:t>
      </w:r>
      <w:r w:rsidR="000C679B">
        <w:t xml:space="preserve"> SBI 60 and SBI 61 (November 2024).</w:t>
      </w:r>
    </w:p>
    <w:p w14:paraId="2B719066" w14:textId="30F5F9EC" w:rsidR="00FC6737" w:rsidRDefault="005A1A63" w:rsidP="005A1A63">
      <w:pPr>
        <w:pStyle w:val="RegHChG"/>
        <w:tabs>
          <w:tab w:val="left" w:pos="1135"/>
        </w:tabs>
        <w:ind w:hanging="454"/>
        <w:rPr>
          <w:lang w:val="en-US"/>
        </w:rPr>
      </w:pPr>
      <w:bookmarkStart w:id="23" w:name="_Toc161216116"/>
      <w:r>
        <w:rPr>
          <w:lang w:val="en-US"/>
        </w:rPr>
        <w:t>V.</w:t>
      </w:r>
      <w:r>
        <w:rPr>
          <w:lang w:val="en-US"/>
        </w:rPr>
        <w:tab/>
      </w:r>
      <w:r w:rsidR="00FC6737">
        <w:rPr>
          <w:lang w:val="en-US"/>
        </w:rPr>
        <w:t>Approach</w:t>
      </w:r>
      <w:bookmarkEnd w:id="23"/>
    </w:p>
    <w:p w14:paraId="3EBD50A7" w14:textId="5D7C8802" w:rsidR="00FC6737" w:rsidRPr="00092985" w:rsidRDefault="005A1A63" w:rsidP="005A1A63">
      <w:pPr>
        <w:pStyle w:val="RegH1G"/>
        <w:tabs>
          <w:tab w:val="left" w:pos="1135"/>
        </w:tabs>
        <w:ind w:left="1135" w:hanging="454"/>
        <w:rPr>
          <w:lang w:val="en-US"/>
        </w:rPr>
      </w:pPr>
      <w:bookmarkStart w:id="24" w:name="_Toc161216117"/>
      <w:r w:rsidRPr="00092985">
        <w:rPr>
          <w:lang w:val="en-US"/>
        </w:rPr>
        <w:t>A.</w:t>
      </w:r>
      <w:r w:rsidRPr="00092985">
        <w:rPr>
          <w:lang w:val="en-US"/>
        </w:rPr>
        <w:tab/>
      </w:r>
      <w:r w:rsidR="00FC6737" w:rsidRPr="00092985">
        <w:rPr>
          <w:lang w:val="en-US"/>
        </w:rPr>
        <w:t>Progress</w:t>
      </w:r>
      <w:bookmarkEnd w:id="24"/>
    </w:p>
    <w:p w14:paraId="7FCBE7F6" w14:textId="2A5A18F7" w:rsidR="00FC6737" w:rsidRDefault="005A1A63" w:rsidP="005A1A63">
      <w:pPr>
        <w:pStyle w:val="RegSingleTxtG"/>
        <w:tabs>
          <w:tab w:val="clear" w:pos="1701"/>
        </w:tabs>
        <w:ind w:firstLine="1"/>
        <w:rPr>
          <w:lang w:val="en-US"/>
        </w:rPr>
      </w:pPr>
      <w:r>
        <w:rPr>
          <w:lang w:val="en-US"/>
        </w:rPr>
        <w:t>8.</w:t>
      </w:r>
      <w:r>
        <w:rPr>
          <w:lang w:val="en-US"/>
        </w:rPr>
        <w:tab/>
      </w:r>
      <w:r w:rsidR="00FC6737">
        <w:rPr>
          <w:lang w:val="en-US"/>
        </w:rPr>
        <w:t>F</w:t>
      </w:r>
      <w:r w:rsidR="00FC6737" w:rsidRPr="00092985">
        <w:rPr>
          <w:lang w:val="en-US"/>
        </w:rPr>
        <w:t>irst</w:t>
      </w:r>
      <w:r w:rsidR="00FC6737">
        <w:rPr>
          <w:lang w:val="en-US"/>
        </w:rPr>
        <w:t>,</w:t>
      </w:r>
      <w:r w:rsidR="00FC6737" w:rsidRPr="00092985">
        <w:rPr>
          <w:lang w:val="en-US"/>
        </w:rPr>
        <w:t xml:space="preserve"> the progress of the PCCB towards achieving its overall aim </w:t>
      </w:r>
      <w:r w:rsidR="00FC6737" w:rsidRPr="00245446">
        <w:rPr>
          <w:lang w:val="en-US"/>
        </w:rPr>
        <w:t xml:space="preserve">and in addressing </w:t>
      </w:r>
      <w:r w:rsidR="00FC6737">
        <w:rPr>
          <w:lang w:val="en-US"/>
        </w:rPr>
        <w:t>its</w:t>
      </w:r>
      <w:r w:rsidR="00FC6737" w:rsidRPr="00245446">
        <w:rPr>
          <w:lang w:val="en-US"/>
        </w:rPr>
        <w:t xml:space="preserve"> priority areas and activities </w:t>
      </w:r>
      <w:r w:rsidR="00FC6737">
        <w:rPr>
          <w:lang w:val="en-US"/>
        </w:rPr>
        <w:t xml:space="preserve">will be assessed </w:t>
      </w:r>
      <w:r w:rsidR="00FC6737" w:rsidRPr="00245446">
        <w:rPr>
          <w:lang w:val="en-US"/>
        </w:rPr>
        <w:t xml:space="preserve">taking into consideration the progress </w:t>
      </w:r>
      <w:r w:rsidR="00FC6737">
        <w:rPr>
          <w:lang w:val="en-US"/>
        </w:rPr>
        <w:t xml:space="preserve">of the PCCB </w:t>
      </w:r>
      <w:r w:rsidR="00FC6737" w:rsidRPr="00245446">
        <w:rPr>
          <w:lang w:val="en-US"/>
        </w:rPr>
        <w:t>in implement</w:t>
      </w:r>
      <w:r w:rsidR="00FC6737">
        <w:rPr>
          <w:lang w:val="en-US"/>
        </w:rPr>
        <w:t>ing</w:t>
      </w:r>
      <w:r w:rsidR="00FC6737" w:rsidRPr="00245446">
        <w:rPr>
          <w:lang w:val="en-US"/>
        </w:rPr>
        <w:t xml:space="preserve"> </w:t>
      </w:r>
      <w:r w:rsidR="00FC6737">
        <w:rPr>
          <w:lang w:val="en-US"/>
        </w:rPr>
        <w:t>its</w:t>
      </w:r>
      <w:r w:rsidR="00FC6737" w:rsidRPr="00245446">
        <w:rPr>
          <w:lang w:val="en-US"/>
        </w:rPr>
        <w:t xml:space="preserve"> 2021–2024 workplan.</w:t>
      </w:r>
      <w:r w:rsidR="00FC6737">
        <w:rPr>
          <w:rStyle w:val="FootnoteReference"/>
          <w:lang w:val="en-US"/>
        </w:rPr>
        <w:footnoteReference w:id="15"/>
      </w:r>
    </w:p>
    <w:p w14:paraId="4C8ECBA4" w14:textId="6936A90F" w:rsidR="00FC6737" w:rsidRPr="00F550E3" w:rsidRDefault="005A1A63" w:rsidP="005A1A63">
      <w:pPr>
        <w:pStyle w:val="RegH1G"/>
        <w:tabs>
          <w:tab w:val="left" w:pos="1135"/>
        </w:tabs>
        <w:ind w:left="1135" w:hanging="454"/>
        <w:rPr>
          <w:lang w:val="en-US"/>
        </w:rPr>
      </w:pPr>
      <w:bookmarkStart w:id="25" w:name="_Toc161216118"/>
      <w:r w:rsidRPr="00F550E3">
        <w:rPr>
          <w:lang w:val="en-US"/>
        </w:rPr>
        <w:t>B.</w:t>
      </w:r>
      <w:r w:rsidRPr="00F550E3">
        <w:rPr>
          <w:lang w:val="en-US"/>
        </w:rPr>
        <w:tab/>
      </w:r>
      <w:r w:rsidR="00FC6737" w:rsidRPr="008928C2">
        <w:rPr>
          <w:lang w:val="en-US"/>
        </w:rPr>
        <w:t>Need</w:t>
      </w:r>
      <w:r w:rsidR="00FC6737" w:rsidRPr="00F550E3">
        <w:t xml:space="preserve"> for extension</w:t>
      </w:r>
      <w:bookmarkEnd w:id="25"/>
      <w:r w:rsidR="00FC6737" w:rsidRPr="00F550E3">
        <w:t xml:space="preserve"> </w:t>
      </w:r>
    </w:p>
    <w:p w14:paraId="6472988B" w14:textId="3FD4FE90" w:rsidR="00E33B4D" w:rsidRDefault="005A1A63" w:rsidP="005A1A63">
      <w:pPr>
        <w:pStyle w:val="RegSingleTxtG"/>
      </w:pPr>
      <w:r>
        <w:t>9.</w:t>
      </w:r>
      <w:r>
        <w:tab/>
      </w:r>
      <w:r w:rsidR="00FC6737">
        <w:t>The assessment of the progress of the PCCB will be the basis for determining the need for its extension and, as applicable, any other provisions relevant to the form of the extension.</w:t>
      </w:r>
    </w:p>
    <w:p w14:paraId="43A39D65" w14:textId="39516B12" w:rsidR="002D6213" w:rsidRPr="000F6262" w:rsidRDefault="00277C12" w:rsidP="0079125D">
      <w:pPr>
        <w:tabs>
          <w:tab w:val="left" w:pos="1701"/>
        </w:tabs>
        <w:spacing w:line="20" w:lineRule="atLeast"/>
        <w:ind w:left="1134" w:right="1134"/>
        <w:jc w:val="right"/>
        <w:rPr>
          <w:i/>
          <w:iCs/>
        </w:rPr>
      </w:pPr>
      <w:r>
        <w:rPr>
          <w:i/>
          <w:iCs/>
        </w:rPr>
        <w:t>5</w:t>
      </w:r>
      <w:r w:rsidR="002D6213" w:rsidRPr="00DF3DED">
        <w:rPr>
          <w:i/>
          <w:iCs/>
          <w:vertAlign w:val="superscript"/>
        </w:rPr>
        <w:t>th</w:t>
      </w:r>
      <w:r w:rsidR="002D6213">
        <w:rPr>
          <w:i/>
          <w:iCs/>
        </w:rPr>
        <w:t xml:space="preserve"> </w:t>
      </w:r>
      <w:r w:rsidR="002D6213" w:rsidRPr="000F6262">
        <w:rPr>
          <w:i/>
          <w:iCs/>
        </w:rPr>
        <w:t>plenary meeting</w:t>
      </w:r>
    </w:p>
    <w:p w14:paraId="76DA109E" w14:textId="2E980F61" w:rsidR="002D6213" w:rsidRPr="000F6262" w:rsidRDefault="002D6213" w:rsidP="0079125D">
      <w:pPr>
        <w:tabs>
          <w:tab w:val="left" w:pos="1701"/>
        </w:tabs>
        <w:spacing w:line="20" w:lineRule="atLeast"/>
        <w:ind w:left="1134" w:right="1134"/>
        <w:jc w:val="right"/>
        <w:rPr>
          <w:i/>
          <w:iCs/>
        </w:rPr>
      </w:pPr>
      <w:r w:rsidRPr="000F6262">
        <w:rPr>
          <w:i/>
          <w:iCs/>
        </w:rPr>
        <w:t>1</w:t>
      </w:r>
      <w:r w:rsidR="00277C12">
        <w:rPr>
          <w:i/>
          <w:iCs/>
        </w:rPr>
        <w:t>1</w:t>
      </w:r>
      <w:r w:rsidRPr="000F6262">
        <w:rPr>
          <w:i/>
          <w:iCs/>
        </w:rPr>
        <w:t xml:space="preserve"> December 2023</w:t>
      </w:r>
    </w:p>
    <w:p w14:paraId="4F9E0FF4" w14:textId="386FD9CF" w:rsidR="00E33B4D" w:rsidRDefault="00E33B4D" w:rsidP="002D6213">
      <w:pPr>
        <w:pStyle w:val="RegSingleTxtG"/>
        <w:sectPr w:rsidR="00E33B4D" w:rsidSect="000D19EC">
          <w:footnotePr>
            <w:numRestart w:val="eachSect"/>
          </w:footnotePr>
          <w:pgSz w:w="11906" w:h="16838" w:code="9"/>
          <w:pgMar w:top="1418" w:right="1134" w:bottom="1134" w:left="1134" w:header="850" w:footer="567" w:gutter="0"/>
          <w:cols w:space="708"/>
          <w:docGrid w:linePitch="360"/>
        </w:sectPr>
      </w:pPr>
    </w:p>
    <w:p w14:paraId="4B915F35" w14:textId="0E5674CA" w:rsidR="00C32E80" w:rsidRDefault="00D17230" w:rsidP="00546AD8">
      <w:pPr>
        <w:pStyle w:val="HChG"/>
      </w:pPr>
      <w:r>
        <w:tab/>
      </w:r>
      <w:bookmarkStart w:id="26" w:name="_Toc161216119"/>
      <w:bookmarkStart w:id="27" w:name="Decision13"/>
      <w:r w:rsidR="00546AD8">
        <w:tab/>
      </w:r>
      <w:r w:rsidR="009377C8">
        <w:t>D</w:t>
      </w:r>
      <w:r w:rsidR="00C32E80">
        <w:t xml:space="preserve">ecision </w:t>
      </w:r>
      <w:r w:rsidR="00A00FF5">
        <w:t>13</w:t>
      </w:r>
      <w:r w:rsidR="00C32E80">
        <w:t>/CP.28</w:t>
      </w:r>
      <w:bookmarkEnd w:id="26"/>
      <w:bookmarkEnd w:id="27"/>
    </w:p>
    <w:p w14:paraId="22FE47A7" w14:textId="3CFEF9A3" w:rsidR="00C32E80" w:rsidRDefault="00D17230" w:rsidP="00D17230">
      <w:pPr>
        <w:pStyle w:val="HChG"/>
      </w:pPr>
      <w:r>
        <w:tab/>
      </w:r>
      <w:r>
        <w:tab/>
      </w:r>
      <w:r w:rsidR="00C32E80" w:rsidRPr="00DF0B72">
        <w:t>Review of the functions, work programme and modalities of the forum on the impact of the implementation of response measures, midterm review of the workplan and report of the forum</w:t>
      </w:r>
    </w:p>
    <w:p w14:paraId="100F8B84" w14:textId="77777777" w:rsidR="00C32E80" w:rsidRDefault="00C32E80" w:rsidP="00C32E80">
      <w:pPr>
        <w:pStyle w:val="RegSingleTxtG"/>
      </w:pPr>
      <w:r w:rsidRPr="00CB3921">
        <w:tab/>
      </w:r>
      <w:r>
        <w:rPr>
          <w:i/>
          <w:iCs/>
        </w:rPr>
        <w:tab/>
      </w:r>
      <w:r w:rsidRPr="000B4617">
        <w:rPr>
          <w:i/>
          <w:iCs/>
        </w:rPr>
        <w:t>The Conference of the Parties</w:t>
      </w:r>
      <w:r w:rsidRPr="00883302">
        <w:rPr>
          <w:i/>
          <w:iCs/>
        </w:rPr>
        <w:t>,</w:t>
      </w:r>
      <w:r w:rsidRPr="0079125D">
        <w:rPr>
          <w:i/>
          <w:iCs/>
        </w:rPr>
        <w:t xml:space="preserve"> </w:t>
      </w:r>
      <w:r w:rsidRPr="00883302">
        <w:rPr>
          <w:i/>
          <w:iCs/>
        </w:rPr>
        <w:t>t</w:t>
      </w:r>
      <w:r w:rsidRPr="000B4617">
        <w:rPr>
          <w:i/>
          <w:iCs/>
        </w:rPr>
        <w:t>he Conference of the Parties serving as the meeting of the Parties to the Kyoto Protocol</w:t>
      </w:r>
      <w:r>
        <w:rPr>
          <w:i/>
          <w:iCs/>
        </w:rPr>
        <w:t xml:space="preserve"> and t</w:t>
      </w:r>
      <w:r w:rsidRPr="000B4617">
        <w:rPr>
          <w:i/>
          <w:iCs/>
        </w:rPr>
        <w:t>he Conference of the Parties serving as the meeting of the Parties to the Paris Agreement</w:t>
      </w:r>
      <w:r>
        <w:t>,</w:t>
      </w:r>
    </w:p>
    <w:p w14:paraId="3F68031F" w14:textId="77777777" w:rsidR="00C32E80" w:rsidRPr="0079125D" w:rsidRDefault="00C32E80" w:rsidP="00C32E80">
      <w:pPr>
        <w:pStyle w:val="RegSingleTxtG"/>
      </w:pPr>
      <w:r>
        <w:rPr>
          <w:i/>
          <w:iCs/>
        </w:rPr>
        <w:tab/>
      </w:r>
      <w:r w:rsidRPr="000A3486">
        <w:rPr>
          <w:i/>
          <w:iCs/>
        </w:rPr>
        <w:t xml:space="preserve">Recalling </w:t>
      </w:r>
      <w:r w:rsidRPr="00CF7DDC">
        <w:t>Article 4 of the Convention,</w:t>
      </w:r>
    </w:p>
    <w:p w14:paraId="144C90A2" w14:textId="77777777" w:rsidR="00C32E80" w:rsidRPr="0079125D" w:rsidRDefault="00C32E80" w:rsidP="00C32E80">
      <w:pPr>
        <w:pStyle w:val="RegSingleTxtG"/>
      </w:pPr>
      <w:r>
        <w:rPr>
          <w:i/>
          <w:iCs/>
        </w:rPr>
        <w:tab/>
      </w:r>
      <w:r w:rsidRPr="000A3486">
        <w:rPr>
          <w:i/>
          <w:iCs/>
        </w:rPr>
        <w:t xml:space="preserve">Also recalling </w:t>
      </w:r>
      <w:r w:rsidRPr="00CF7DDC">
        <w:t>Article 2 and Article 3, paragraph 14, of the Kyoto Protocol,</w:t>
      </w:r>
    </w:p>
    <w:p w14:paraId="58555E8F" w14:textId="77777777" w:rsidR="00C32E80" w:rsidRDefault="00C32E80" w:rsidP="00C32E80">
      <w:pPr>
        <w:pStyle w:val="RegSingleTxtG"/>
      </w:pPr>
      <w:r>
        <w:rPr>
          <w:i/>
          <w:iCs/>
        </w:rPr>
        <w:tab/>
      </w:r>
      <w:r w:rsidRPr="000A3486">
        <w:rPr>
          <w:i/>
          <w:iCs/>
        </w:rPr>
        <w:t xml:space="preserve">Reaffirming </w:t>
      </w:r>
      <w:r w:rsidRPr="00CF7DDC">
        <w:t>Article 4, paragraph 15, of the Paris Agreement,</w:t>
      </w:r>
    </w:p>
    <w:p w14:paraId="5E196745" w14:textId="77777777" w:rsidR="00C32E80" w:rsidRDefault="00C32E80" w:rsidP="00C32E80">
      <w:pPr>
        <w:pStyle w:val="RegSingleTxtG"/>
      </w:pPr>
      <w:r>
        <w:tab/>
      </w:r>
      <w:r w:rsidRPr="000B4617">
        <w:rPr>
          <w:i/>
          <w:iCs/>
        </w:rPr>
        <w:t>Recalling</w:t>
      </w:r>
      <w:r>
        <w:t xml:space="preserve"> decisions 1/CP.21, 7/CP.24, 4/CP.25, 19/CP.26,</w:t>
      </w:r>
      <w:r w:rsidRPr="005821D5">
        <w:t xml:space="preserve"> </w:t>
      </w:r>
      <w:r w:rsidRPr="00BF4BEB">
        <w:t>20/CP.27,</w:t>
      </w:r>
      <w:r>
        <w:t xml:space="preserve"> 3/CMP.14, 4/CMP.15, 7/CMP.16, </w:t>
      </w:r>
      <w:r w:rsidRPr="00E25F00">
        <w:t>7/CMP.17</w:t>
      </w:r>
      <w:r>
        <w:t>,</w:t>
      </w:r>
      <w:r w:rsidRPr="00E25F00">
        <w:t xml:space="preserve"> </w:t>
      </w:r>
      <w:r>
        <w:t xml:space="preserve">7/CMA.1, </w:t>
      </w:r>
      <w:r w:rsidRPr="00BF4BEB">
        <w:t>4/CMA.2,</w:t>
      </w:r>
      <w:r>
        <w:t xml:space="preserve"> </w:t>
      </w:r>
      <w:r w:rsidRPr="00BF4BEB">
        <w:t xml:space="preserve">23/CMA.3 </w:t>
      </w:r>
      <w:r w:rsidRPr="00E25F00">
        <w:t>and 23/CMA.4</w:t>
      </w:r>
      <w:r>
        <w:t>,</w:t>
      </w:r>
    </w:p>
    <w:p w14:paraId="0F9B9B4F" w14:textId="617425A4" w:rsidR="00C32E80" w:rsidRPr="00CB3921" w:rsidRDefault="005A1A63" w:rsidP="005A1A63">
      <w:pPr>
        <w:pStyle w:val="RegSingleTxtG"/>
      </w:pPr>
      <w:r w:rsidRPr="00CB3921">
        <w:t>1.</w:t>
      </w:r>
      <w:r w:rsidRPr="00CB3921">
        <w:tab/>
      </w:r>
      <w:r w:rsidR="00C32E80" w:rsidRPr="00874E49">
        <w:rPr>
          <w:i/>
          <w:iCs/>
        </w:rPr>
        <w:t xml:space="preserve">Recall </w:t>
      </w:r>
      <w:r w:rsidR="00C32E80" w:rsidRPr="00E71736">
        <w:t>that the functions, work programme and modalities of the forum on the impact of the implementation of response measures were adopted</w:t>
      </w:r>
      <w:r w:rsidR="00C32E80">
        <w:rPr>
          <w:rStyle w:val="FootnoteReference"/>
        </w:rPr>
        <w:footnoteReference w:id="16"/>
      </w:r>
      <w:r w:rsidR="00C32E80" w:rsidRPr="00E71736">
        <w:t xml:space="preserve"> to address the effects of the implementation of response measures by enhancing cooperation among Parties on understanding the impacts of mitigation actions and the exchange of information, experience and best practices among Parties to raise their resilience to these impacts</w:t>
      </w:r>
      <w:r w:rsidR="00C32E80" w:rsidRPr="00CB3921">
        <w:t>;</w:t>
      </w:r>
      <w:r w:rsidR="00C32E80" w:rsidRPr="00CB3921">
        <w:rPr>
          <w:rStyle w:val="FootnoteReference"/>
        </w:rPr>
        <w:footnoteReference w:id="17"/>
      </w:r>
    </w:p>
    <w:p w14:paraId="5FA1E5FC" w14:textId="099CDA6C" w:rsidR="00C32E80" w:rsidRPr="00051FC6" w:rsidRDefault="005A1A63" w:rsidP="005A1A63">
      <w:pPr>
        <w:pStyle w:val="RegSingleTxtG"/>
      </w:pPr>
      <w:r w:rsidRPr="00051FC6">
        <w:t>2.</w:t>
      </w:r>
      <w:r w:rsidRPr="00051FC6">
        <w:tab/>
      </w:r>
      <w:r w:rsidR="00C32E80" w:rsidRPr="00E04937">
        <w:rPr>
          <w:i/>
          <w:iCs/>
        </w:rPr>
        <w:t>Also recall</w:t>
      </w:r>
      <w:r w:rsidR="00C32E80" w:rsidRPr="00955FB1">
        <w:t xml:space="preserve"> that the Katowice Committee of Experts on the Impacts of the Implementation of Response Measures shall support the forum </w:t>
      </w:r>
      <w:r w:rsidR="00C32E80">
        <w:t>in</w:t>
      </w:r>
      <w:r w:rsidR="00C32E80" w:rsidRPr="00CB26EF">
        <w:t xml:space="preserve"> implement</w:t>
      </w:r>
      <w:r w:rsidR="00C32E80">
        <w:t>ing</w:t>
      </w:r>
      <w:r w:rsidR="00C32E80" w:rsidRPr="00955FB1">
        <w:t xml:space="preserve"> </w:t>
      </w:r>
      <w:r w:rsidR="00C32E80">
        <w:t>its</w:t>
      </w:r>
      <w:r w:rsidR="00C32E80" w:rsidRPr="00955FB1">
        <w:t xml:space="preserve"> work programme</w:t>
      </w:r>
      <w:r w:rsidR="00C32E80" w:rsidRPr="00051FC6">
        <w:t>;</w:t>
      </w:r>
      <w:r w:rsidR="00C32E80" w:rsidRPr="00051FC6">
        <w:rPr>
          <w:rStyle w:val="FootnoteReference"/>
        </w:rPr>
        <w:footnoteReference w:id="18"/>
      </w:r>
    </w:p>
    <w:p w14:paraId="6100EEE7" w14:textId="7F1CA96E" w:rsidR="00C32E80" w:rsidRDefault="005A1A63" w:rsidP="005A1A63">
      <w:pPr>
        <w:pStyle w:val="RegSingleTxtG"/>
      </w:pPr>
      <w:r>
        <w:t>3.</w:t>
      </w:r>
      <w:r>
        <w:tab/>
      </w:r>
      <w:r w:rsidR="00C32E80">
        <w:rPr>
          <w:i/>
          <w:iCs/>
        </w:rPr>
        <w:t>Note with a</w:t>
      </w:r>
      <w:r w:rsidR="00C32E80" w:rsidRPr="00E04937">
        <w:rPr>
          <w:i/>
          <w:iCs/>
        </w:rPr>
        <w:t>ppreciat</w:t>
      </w:r>
      <w:r w:rsidR="00C32E80">
        <w:rPr>
          <w:i/>
          <w:iCs/>
        </w:rPr>
        <w:t>ion</w:t>
      </w:r>
      <w:r w:rsidR="00C32E80">
        <w:t xml:space="preserve"> the progress of the forum and its Katowice Committee on Impacts in supporting the work of the forum; </w:t>
      </w:r>
    </w:p>
    <w:p w14:paraId="7BDA0582" w14:textId="420CC635" w:rsidR="00C32E80" w:rsidRPr="00051FC6" w:rsidRDefault="005A1A63" w:rsidP="005A1A63">
      <w:pPr>
        <w:pStyle w:val="RegSingleTxtG"/>
      </w:pPr>
      <w:r w:rsidRPr="00051FC6">
        <w:t>4.</w:t>
      </w:r>
      <w:r w:rsidRPr="00051FC6">
        <w:tab/>
      </w:r>
      <w:r w:rsidR="00C32E80" w:rsidRPr="00E04937">
        <w:rPr>
          <w:i/>
          <w:iCs/>
        </w:rPr>
        <w:t>Take note</w:t>
      </w:r>
      <w:r w:rsidR="00C32E80">
        <w:t xml:space="preserve"> of the views expressed by Parties during the review of the functions, work programme and modalities of the forum and the midterm review of the workplan</w:t>
      </w:r>
      <w:r w:rsidR="00C32E80">
        <w:rPr>
          <w:rStyle w:val="FootnoteReference"/>
        </w:rPr>
        <w:footnoteReference w:id="19"/>
      </w:r>
      <w:r w:rsidR="00C32E80">
        <w:t xml:space="preserve"> of the forum and its Katowice Committee on Impacts;</w:t>
      </w:r>
    </w:p>
    <w:p w14:paraId="76123426" w14:textId="3E363E9C" w:rsidR="00C32E80" w:rsidRDefault="005A1A63" w:rsidP="005A1A63">
      <w:pPr>
        <w:pStyle w:val="RegSingleTxtG"/>
      </w:pPr>
      <w:r>
        <w:t>5.</w:t>
      </w:r>
      <w:r>
        <w:tab/>
      </w:r>
      <w:r w:rsidR="00C32E80" w:rsidRPr="00E04937">
        <w:rPr>
          <w:i/>
          <w:iCs/>
        </w:rPr>
        <w:t>Adopt</w:t>
      </w:r>
      <w:r w:rsidR="00C32E80">
        <w:t xml:space="preserve"> the updated functions, work programme and modalities of the forum and its Katowice Committee on Impacts contained in annex I;</w:t>
      </w:r>
    </w:p>
    <w:p w14:paraId="3367939C" w14:textId="3C0F9E3C" w:rsidR="00C32E80" w:rsidRPr="00051FC6" w:rsidRDefault="005A1A63" w:rsidP="005A1A63">
      <w:pPr>
        <w:pStyle w:val="RegSingleTxtG"/>
      </w:pPr>
      <w:r w:rsidRPr="00051FC6">
        <w:t>6.</w:t>
      </w:r>
      <w:r w:rsidRPr="00051FC6">
        <w:tab/>
      </w:r>
      <w:r w:rsidR="00C32E80" w:rsidRPr="00E04937">
        <w:rPr>
          <w:i/>
          <w:iCs/>
        </w:rPr>
        <w:t>Request</w:t>
      </w:r>
      <w:r w:rsidR="00C32E80">
        <w:t xml:space="preserve"> the subsidiary bodies to review the functions, work programme and modalities of the forum and its Katowice Committee on Impacts every five years, starting at their sixty-ninth sessions</w:t>
      </w:r>
      <w:r w:rsidR="00C32E80" w:rsidRPr="0021010C">
        <w:t xml:space="preserve"> (2028), with a view to enhancing the effectiveness of the forum and its Katowice Committee on Impacts and providing recommendations </w:t>
      </w:r>
      <w:r w:rsidR="00C32E80" w:rsidRPr="0021010C" w:rsidDel="00217C4C">
        <w:t xml:space="preserve">for consideration </w:t>
      </w:r>
      <w:r w:rsidR="0014672B">
        <w:t>by</w:t>
      </w:r>
      <w:r w:rsidR="00C32E80" w:rsidRPr="0021010C">
        <w:t xml:space="preserve"> the </w:t>
      </w:r>
      <w:r w:rsidR="00C32E80">
        <w:t>Conference of the Parties</w:t>
      </w:r>
      <w:r w:rsidR="00C32E80" w:rsidRPr="00CB26EF">
        <w:t xml:space="preserve">, the </w:t>
      </w:r>
      <w:r w:rsidR="00C32E80" w:rsidRPr="00316807">
        <w:t>Conference of the Parties serving as the meeting of the Parties to the Kyoto Protocol</w:t>
      </w:r>
      <w:r w:rsidR="00C32E80" w:rsidRPr="0021010C">
        <w:t xml:space="preserve"> and the </w:t>
      </w:r>
      <w:r w:rsidR="00C32E80" w:rsidRPr="00896F27">
        <w:t>Conference of the Parties serving as the meeting of the Parties to the Paris Agreement</w:t>
      </w:r>
      <w:r w:rsidR="00C32E80" w:rsidRPr="00CB26EF">
        <w:t>;</w:t>
      </w:r>
    </w:p>
    <w:p w14:paraId="2796A09D" w14:textId="18F2F78D" w:rsidR="00C32E80" w:rsidRDefault="005A1A63" w:rsidP="005A1A63">
      <w:pPr>
        <w:pStyle w:val="RegSingleTxtG"/>
      </w:pPr>
      <w:r>
        <w:t>7.</w:t>
      </w:r>
      <w:r>
        <w:tab/>
      </w:r>
      <w:r w:rsidR="00C32E80" w:rsidRPr="00AC566E">
        <w:rPr>
          <w:i/>
          <w:iCs/>
        </w:rPr>
        <w:t>Decide</w:t>
      </w:r>
      <w:r w:rsidR="00C32E80" w:rsidRPr="00C45BAE">
        <w:t xml:space="preserve"> that the forum shall develop and recommend a five-year workplan in line with the forum’s functions, work programme and modalities, taking into account relevant policy issues of concern to Parties, for consideration and adoption by the subsidiary bodies at </w:t>
      </w:r>
      <w:r w:rsidR="00C32E80">
        <w:t>their sixty-first sessions</w:t>
      </w:r>
      <w:r w:rsidR="00C32E80" w:rsidRPr="00C45BAE">
        <w:t xml:space="preserve"> (Nov</w:t>
      </w:r>
      <w:r w:rsidR="00C32E80">
        <w:t>ember</w:t>
      </w:r>
      <w:r w:rsidR="00C32E80" w:rsidRPr="00C45BAE">
        <w:t xml:space="preserve"> 2024</w:t>
      </w:r>
      <w:r w:rsidR="00217C4C">
        <w:t>)</w:t>
      </w:r>
      <w:r w:rsidR="00C32E80" w:rsidRPr="00C45BAE">
        <w:t>;</w:t>
      </w:r>
    </w:p>
    <w:p w14:paraId="589C71D0" w14:textId="0E98DA14" w:rsidR="00C32E80" w:rsidRDefault="005A1A63" w:rsidP="005A1A63">
      <w:pPr>
        <w:pStyle w:val="RegSingleTxtG"/>
      </w:pPr>
      <w:r>
        <w:t>8.</w:t>
      </w:r>
      <w:r>
        <w:tab/>
      </w:r>
      <w:r w:rsidR="00C32E80" w:rsidRPr="00AC566E">
        <w:rPr>
          <w:i/>
          <w:iCs/>
        </w:rPr>
        <w:t>Request</w:t>
      </w:r>
      <w:r w:rsidR="00C32E80" w:rsidRPr="003D0392">
        <w:t xml:space="preserve"> the </w:t>
      </w:r>
      <w:r w:rsidR="00C32E80" w:rsidRPr="0021010C">
        <w:t xml:space="preserve">Katowice Committee on Impacts </w:t>
      </w:r>
      <w:r w:rsidR="00C32E80" w:rsidRPr="003D0392">
        <w:t xml:space="preserve">to propose updates to its rules of procedure for the forum to consider and make recommendations to the subsidiary bodies with a view to the subsidiary bodies providing recommendations for consideration and adoption by the </w:t>
      </w:r>
      <w:r w:rsidR="00C32E80">
        <w:t>Conference of the Parties at its twenty-ninth session</w:t>
      </w:r>
      <w:r w:rsidR="004D3FDB">
        <w:t xml:space="preserve"> (November 2024)</w:t>
      </w:r>
      <w:r w:rsidR="00C32E80" w:rsidRPr="00CB26EF">
        <w:t xml:space="preserve">, the </w:t>
      </w:r>
      <w:r w:rsidR="00C32E80" w:rsidRPr="00316807">
        <w:t>Conference of the Parties serving as the meeting of the Parties to the Kyoto Protocol</w:t>
      </w:r>
      <w:r w:rsidR="00C32E80" w:rsidRPr="00CB26EF">
        <w:t xml:space="preserve"> </w:t>
      </w:r>
      <w:r w:rsidR="00C32E80">
        <w:t>at its nineteenth session (</w:t>
      </w:r>
      <w:r w:rsidR="00C32E80" w:rsidRPr="00CB26EF">
        <w:t>November 2024</w:t>
      </w:r>
      <w:r w:rsidR="00C32E80">
        <w:t xml:space="preserve">) </w:t>
      </w:r>
      <w:r w:rsidR="00C32E80" w:rsidRPr="00CB26EF">
        <w:t xml:space="preserve">and the </w:t>
      </w:r>
      <w:r w:rsidR="00C32E80" w:rsidRPr="00896F27">
        <w:t>Conference of the Parties serving as the meeting of the Parties to the Paris Agreement</w:t>
      </w:r>
      <w:r w:rsidR="00C32E80">
        <w:t xml:space="preserve"> at its sixth session (</w:t>
      </w:r>
      <w:r w:rsidR="00C32E80" w:rsidRPr="00CB26EF">
        <w:t>November 2024</w:t>
      </w:r>
      <w:r w:rsidR="00C32E80">
        <w:t>)</w:t>
      </w:r>
      <w:r w:rsidR="00C32E80" w:rsidRPr="00CB26EF">
        <w:t>;</w:t>
      </w:r>
    </w:p>
    <w:p w14:paraId="04C71D0C" w14:textId="6A0E40BC" w:rsidR="00C32E80" w:rsidRPr="00CB3921" w:rsidRDefault="005A1A63" w:rsidP="005A1A63">
      <w:pPr>
        <w:pStyle w:val="RegSingleTxtG"/>
      </w:pPr>
      <w:bookmarkStart w:id="28" w:name="_Ref156225291"/>
      <w:r w:rsidRPr="00CB3921">
        <w:t>9.</w:t>
      </w:r>
      <w:r w:rsidRPr="00CB3921">
        <w:tab/>
      </w:r>
      <w:r w:rsidR="00C32E80" w:rsidRPr="00AC566E">
        <w:rPr>
          <w:i/>
          <w:iCs/>
        </w:rPr>
        <w:t>Take note</w:t>
      </w:r>
      <w:r w:rsidR="00C32E80" w:rsidRPr="00561249">
        <w:t xml:space="preserve"> that the forum concluded the midterm review of the workplan of the forum and its Katowice Committee on Impacts</w:t>
      </w:r>
      <w:r w:rsidR="00C32E80" w:rsidRPr="00CB3921">
        <w:t xml:space="preserve"> </w:t>
      </w:r>
      <w:r w:rsidR="00C32E80" w:rsidRPr="00561249">
        <w:t xml:space="preserve">and </w:t>
      </w:r>
      <w:r w:rsidR="00C32E80" w:rsidRPr="001F1B89">
        <w:rPr>
          <w:i/>
          <w:iCs/>
        </w:rPr>
        <w:t>request</w:t>
      </w:r>
      <w:r w:rsidR="00C32E80" w:rsidRPr="00561249">
        <w:t xml:space="preserve"> the forum and its Katowice Committee on Impacts to implement the activities </w:t>
      </w:r>
      <w:r w:rsidR="00C32E80">
        <w:t xml:space="preserve">arising from the outcomes of the review </w:t>
      </w:r>
      <w:r w:rsidR="00C32E80" w:rsidRPr="00CB26EF">
        <w:t>contained</w:t>
      </w:r>
      <w:r w:rsidR="00C32E80" w:rsidRPr="00561249">
        <w:t xml:space="preserve"> in annex II</w:t>
      </w:r>
      <w:r w:rsidR="00C32E80">
        <w:t>;</w:t>
      </w:r>
      <w:bookmarkEnd w:id="28"/>
    </w:p>
    <w:p w14:paraId="65B1F8B9" w14:textId="469555ED" w:rsidR="00C32E80" w:rsidRPr="00CB3921" w:rsidRDefault="005A1A63" w:rsidP="005A1A63">
      <w:pPr>
        <w:pStyle w:val="RegSingleTxtG"/>
      </w:pPr>
      <w:r w:rsidRPr="00CB3921">
        <w:t>10.</w:t>
      </w:r>
      <w:r w:rsidRPr="00CB3921">
        <w:tab/>
      </w:r>
      <w:r w:rsidR="00C32E80" w:rsidRPr="00CB3921">
        <w:rPr>
          <w:i/>
          <w:iCs/>
        </w:rPr>
        <w:t>Welcome</w:t>
      </w:r>
      <w:r w:rsidR="00C32E80" w:rsidRPr="00CB3921">
        <w:t xml:space="preserve"> the annual report of the Katowice Committee on Impacts for 2023;</w:t>
      </w:r>
      <w:r w:rsidR="00C32E80" w:rsidRPr="00CB3921">
        <w:rPr>
          <w:rStyle w:val="FootnoteReference"/>
        </w:rPr>
        <w:footnoteReference w:id="20"/>
      </w:r>
    </w:p>
    <w:p w14:paraId="779FC737" w14:textId="0E8B6478" w:rsidR="00C32E80" w:rsidRPr="00CB3921" w:rsidRDefault="005A1A63" w:rsidP="005A1A63">
      <w:pPr>
        <w:pStyle w:val="RegSingleTxtG"/>
      </w:pPr>
      <w:bookmarkStart w:id="29" w:name="_Ref156225297"/>
      <w:r w:rsidRPr="00CB3921">
        <w:t>11.</w:t>
      </w:r>
      <w:r w:rsidRPr="00CB3921">
        <w:tab/>
      </w:r>
      <w:r w:rsidR="00C32E80" w:rsidRPr="00CB3921">
        <w:rPr>
          <w:i/>
          <w:iCs/>
        </w:rPr>
        <w:t>Adopt</w:t>
      </w:r>
      <w:r w:rsidR="00C32E80" w:rsidRPr="00CB3921">
        <w:t xml:space="preserve"> the recommendations forwarded by the forum contained in sections I</w:t>
      </w:r>
      <w:r w:rsidR="00C32E80">
        <w:t>–</w:t>
      </w:r>
      <w:r w:rsidR="00C32E80" w:rsidRPr="00CB3921">
        <w:t>I</w:t>
      </w:r>
      <w:r w:rsidR="00C32E80">
        <w:t>II</w:t>
      </w:r>
      <w:r w:rsidR="00C32E80" w:rsidRPr="00CB3921">
        <w:t xml:space="preserve"> below, which pertain to activities 2,</w:t>
      </w:r>
      <w:r w:rsidR="00C32E80">
        <w:rPr>
          <w:rStyle w:val="FootnoteReference"/>
        </w:rPr>
        <w:footnoteReference w:id="21"/>
      </w:r>
      <w:r w:rsidR="00C32E80" w:rsidRPr="00CB3921">
        <w:t xml:space="preserve"> 8</w:t>
      </w:r>
      <w:r w:rsidR="00C32E80">
        <w:rPr>
          <w:rStyle w:val="FootnoteReference"/>
        </w:rPr>
        <w:footnoteReference w:id="22"/>
      </w:r>
      <w:r w:rsidR="00C32E80" w:rsidRPr="00CB3921">
        <w:t xml:space="preserve"> and 9</w:t>
      </w:r>
      <w:r w:rsidR="00C32E80">
        <w:rPr>
          <w:rStyle w:val="FootnoteReference"/>
        </w:rPr>
        <w:footnoteReference w:id="23"/>
      </w:r>
      <w:r w:rsidR="00C32E80" w:rsidRPr="00CB3921">
        <w:t xml:space="preserve"> of the workplan</w:t>
      </w:r>
      <w:r w:rsidR="00437871">
        <w:t xml:space="preserve"> of the forum and its Katowice Committee on Impacts</w:t>
      </w:r>
      <w:r w:rsidR="00C32E80" w:rsidRPr="00CB3921">
        <w:t>;</w:t>
      </w:r>
      <w:bookmarkEnd w:id="29"/>
    </w:p>
    <w:p w14:paraId="47AA8C68" w14:textId="2ED723F6" w:rsidR="00C32E80" w:rsidRPr="00CB3921" w:rsidRDefault="005A1A63" w:rsidP="005A1A63">
      <w:pPr>
        <w:pStyle w:val="RegSingleTxtG"/>
      </w:pPr>
      <w:r w:rsidRPr="00CB3921">
        <w:t>12.</w:t>
      </w:r>
      <w:r w:rsidRPr="00CB3921">
        <w:tab/>
      </w:r>
      <w:r w:rsidR="00C32E80" w:rsidRPr="00CB3921">
        <w:rPr>
          <w:i/>
          <w:iCs/>
        </w:rPr>
        <w:t>Invite</w:t>
      </w:r>
      <w:r w:rsidR="00C32E80" w:rsidRPr="00CB3921">
        <w:t xml:space="preserve"> Parties, observer organizations and </w:t>
      </w:r>
      <w:r w:rsidR="00095052">
        <w:t>non-</w:t>
      </w:r>
      <w:r w:rsidR="00867980">
        <w:t>Party stakeholders</w:t>
      </w:r>
      <w:r w:rsidR="00C32E80" w:rsidRPr="00CB3921">
        <w:t xml:space="preserve"> to implement the recommendations contained in sections </w:t>
      </w:r>
      <w:r w:rsidR="00C32E80">
        <w:t>I–III</w:t>
      </w:r>
      <w:r w:rsidR="00C32E80" w:rsidRPr="00CB3921">
        <w:t xml:space="preserve"> below, as applicable;</w:t>
      </w:r>
    </w:p>
    <w:p w14:paraId="74D93C55" w14:textId="70998742" w:rsidR="00C32E80" w:rsidRPr="00CB3921" w:rsidRDefault="005A1A63" w:rsidP="005A1A63">
      <w:pPr>
        <w:pStyle w:val="RegSingleTxtG"/>
      </w:pPr>
      <w:bookmarkStart w:id="30" w:name="_Ref156225303"/>
      <w:r w:rsidRPr="00CB3921">
        <w:t>13.</w:t>
      </w:r>
      <w:r w:rsidRPr="00CB3921">
        <w:tab/>
      </w:r>
      <w:r w:rsidR="00C32E80" w:rsidRPr="00CB3921">
        <w:rPr>
          <w:i/>
          <w:iCs/>
        </w:rPr>
        <w:t>Request</w:t>
      </w:r>
      <w:r w:rsidR="00C32E80" w:rsidRPr="00CB3921">
        <w:t xml:space="preserve"> the forum and its Katowice Committee on Impacts</w:t>
      </w:r>
      <w:r w:rsidR="00C32E80">
        <w:t>,</w:t>
      </w:r>
      <w:r w:rsidR="00C32E80" w:rsidRPr="00CB3921">
        <w:t xml:space="preserve"> </w:t>
      </w:r>
      <w:r w:rsidR="00C32E80">
        <w:t xml:space="preserve">with the support of </w:t>
      </w:r>
      <w:r w:rsidR="00C32E80" w:rsidRPr="00CB3921">
        <w:t>the secretariat</w:t>
      </w:r>
      <w:r w:rsidR="00C32E80">
        <w:t>,</w:t>
      </w:r>
      <w:r w:rsidR="00C32E80" w:rsidRPr="00CB3921">
        <w:t xml:space="preserve"> to implement the recommendations contained in sections I</w:t>
      </w:r>
      <w:r w:rsidR="00032FB5">
        <w:t>–</w:t>
      </w:r>
      <w:r w:rsidR="00C32E80" w:rsidRPr="00CB3921">
        <w:t>I</w:t>
      </w:r>
      <w:r w:rsidR="00C32E80">
        <w:t>II</w:t>
      </w:r>
      <w:r w:rsidR="00C32E80" w:rsidRPr="00CB3921">
        <w:t xml:space="preserve"> below, as applicable;</w:t>
      </w:r>
      <w:bookmarkEnd w:id="30"/>
    </w:p>
    <w:p w14:paraId="4CEC7ED1" w14:textId="2AD96236" w:rsidR="00C32E80" w:rsidRPr="00CB3921" w:rsidRDefault="005A1A63" w:rsidP="005A1A63">
      <w:pPr>
        <w:pStyle w:val="RegSingleTxtG"/>
      </w:pPr>
      <w:r w:rsidRPr="00CB3921">
        <w:t>14.</w:t>
      </w:r>
      <w:r w:rsidRPr="00CB3921">
        <w:tab/>
      </w:r>
      <w:r w:rsidR="00C32E80">
        <w:rPr>
          <w:i/>
          <w:iCs/>
        </w:rPr>
        <w:t>Also</w:t>
      </w:r>
      <w:r w:rsidR="00C32E80" w:rsidRPr="00CB3921">
        <w:rPr>
          <w:i/>
          <w:iCs/>
        </w:rPr>
        <w:t xml:space="preserve"> request</w:t>
      </w:r>
      <w:r w:rsidR="00C32E80" w:rsidRPr="00CB3921">
        <w:t xml:space="preserve"> the Katowice Committee on Impacts to report</w:t>
      </w:r>
      <w:r w:rsidR="00C32E80">
        <w:t>, in its annual report,</w:t>
      </w:r>
      <w:r w:rsidR="00C32E80" w:rsidRPr="00CB3921">
        <w:t xml:space="preserve"> </w:t>
      </w:r>
      <w:r w:rsidR="00C32E80">
        <w:t>on</w:t>
      </w:r>
      <w:r w:rsidR="00C32E80" w:rsidRPr="00CB3921">
        <w:t xml:space="preserve"> progress in implementing the recommendations contained in sections I</w:t>
      </w:r>
      <w:r w:rsidR="00C32E80">
        <w:t>–</w:t>
      </w:r>
      <w:r w:rsidR="00C32E80" w:rsidRPr="00CB3921">
        <w:t>I</w:t>
      </w:r>
      <w:r w:rsidR="00C32E80">
        <w:t>II</w:t>
      </w:r>
      <w:r w:rsidR="00C32E80" w:rsidRPr="00CB3921">
        <w:t xml:space="preserve"> below, as applicable, and </w:t>
      </w:r>
      <w:r w:rsidR="00C32E80">
        <w:t xml:space="preserve">those </w:t>
      </w:r>
      <w:r w:rsidR="00C32E80" w:rsidRPr="00CB3921">
        <w:t>in decisions 20/CP.27, 7/CMP.17 and 23/CMA.4;</w:t>
      </w:r>
    </w:p>
    <w:p w14:paraId="27C9EE2C" w14:textId="20A66765" w:rsidR="00C32E80" w:rsidRDefault="005A1A63" w:rsidP="005A1A63">
      <w:pPr>
        <w:pStyle w:val="RegSingleTxtG"/>
      </w:pPr>
      <w:r>
        <w:t>15.</w:t>
      </w:r>
      <w:r>
        <w:tab/>
      </w:r>
      <w:r w:rsidR="00C32E80" w:rsidRPr="00CB3921">
        <w:rPr>
          <w:i/>
          <w:iCs/>
        </w:rPr>
        <w:t>Note with appreciation</w:t>
      </w:r>
      <w:r w:rsidR="00C32E80" w:rsidRPr="00CB3921">
        <w:t xml:space="preserve"> the technical sessions on implementing activities 7</w:t>
      </w:r>
      <w:r w:rsidR="00C32E80">
        <w:rPr>
          <w:rStyle w:val="FootnoteReference"/>
        </w:rPr>
        <w:footnoteReference w:id="24"/>
      </w:r>
      <w:r w:rsidR="00C32E80" w:rsidRPr="00CB3921">
        <w:t xml:space="preserve"> and 8 of the workplan </w:t>
      </w:r>
      <w:r w:rsidR="00C32E80">
        <w:t>held at the fifty-ninth sessions of the subsidiary bodies</w:t>
      </w:r>
      <w:r w:rsidR="00C32E80" w:rsidRPr="00CB3921">
        <w:t xml:space="preserve"> and </w:t>
      </w:r>
      <w:r w:rsidR="00C32E80" w:rsidRPr="00CB3921">
        <w:rPr>
          <w:i/>
          <w:iCs/>
        </w:rPr>
        <w:t>express</w:t>
      </w:r>
      <w:r w:rsidR="00C32E80" w:rsidRPr="0079125D">
        <w:rPr>
          <w:i/>
          <w:iCs/>
        </w:rPr>
        <w:t xml:space="preserve"> </w:t>
      </w:r>
      <w:r w:rsidR="00C32E80" w:rsidRPr="00877274">
        <w:rPr>
          <w:i/>
          <w:iCs/>
        </w:rPr>
        <w:t>gratitude</w:t>
      </w:r>
      <w:r w:rsidR="00C32E80" w:rsidRPr="00CB3921">
        <w:t xml:space="preserve"> to the experts and Parties </w:t>
      </w:r>
      <w:r w:rsidR="00C32E80">
        <w:t>that</w:t>
      </w:r>
      <w:r w:rsidR="00C32E80" w:rsidRPr="00CB3921">
        <w:t xml:space="preserve"> contributed to the work of the forum and its Katowice Committee on Impacts in 2023;</w:t>
      </w:r>
    </w:p>
    <w:p w14:paraId="08C2C416" w14:textId="2D00C9B1" w:rsidR="00C32E80" w:rsidRDefault="005A1A63" w:rsidP="005A1A63">
      <w:pPr>
        <w:pStyle w:val="RegSingleTxtG"/>
      </w:pPr>
      <w:bookmarkStart w:id="31" w:name="_Ref156224867"/>
      <w:r>
        <w:t>16.</w:t>
      </w:r>
      <w:r>
        <w:tab/>
      </w:r>
      <w:r w:rsidR="00C32E80" w:rsidRPr="00010DF2">
        <w:rPr>
          <w:i/>
          <w:iCs/>
        </w:rPr>
        <w:t>Request</w:t>
      </w:r>
      <w:r w:rsidR="00C32E80" w:rsidRPr="00DE2D91">
        <w:t xml:space="preserve"> the secretariat to organize a two-day global dialogue on the impacts of the implementation of response measures in conjunction with intersessional meetings </w:t>
      </w:r>
      <w:r w:rsidR="00C32E80">
        <w:t xml:space="preserve">of the </w:t>
      </w:r>
      <w:r w:rsidR="00C32E80" w:rsidRPr="00DD08E1">
        <w:t>Katowice Committee on Impacts</w:t>
      </w:r>
      <w:r w:rsidR="00C32E80">
        <w:t xml:space="preserve"> </w:t>
      </w:r>
      <w:r w:rsidR="00C32E80" w:rsidRPr="00DE2D91">
        <w:t xml:space="preserve">in 2024 and 2025, in collaboration with relevant organizations and stakeholders and acknowledging the work that has been carried out by the Katowice Committee on Impacts, noting that such dialogues will be conducted in hybrid format to allow both in-person and virtual participation, and </w:t>
      </w:r>
      <w:r w:rsidR="00C32E80" w:rsidRPr="00007685">
        <w:rPr>
          <w:i/>
          <w:iCs/>
        </w:rPr>
        <w:t>note</w:t>
      </w:r>
      <w:r w:rsidR="00C32E80" w:rsidRPr="00DE2D91">
        <w:t xml:space="preserve"> that the forum, at </w:t>
      </w:r>
      <w:r w:rsidR="00C32E80">
        <w:t xml:space="preserve">the sixty-third sessions of the subsidiary bodies </w:t>
      </w:r>
      <w:r w:rsidR="00C32E80" w:rsidRPr="00DE2D91">
        <w:t>(November 2025), will consider further dialogues, as appropriate</w:t>
      </w:r>
      <w:r w:rsidR="00C32E80">
        <w:t>;</w:t>
      </w:r>
      <w:bookmarkEnd w:id="31"/>
    </w:p>
    <w:p w14:paraId="32E93904" w14:textId="14988705" w:rsidR="00C32E80" w:rsidRDefault="005A1A63" w:rsidP="005A1A63">
      <w:pPr>
        <w:pStyle w:val="RegSingleTxtG"/>
      </w:pPr>
      <w:bookmarkStart w:id="32" w:name="_Ref156225316"/>
      <w:r>
        <w:t>17.</w:t>
      </w:r>
      <w:r>
        <w:tab/>
      </w:r>
      <w:r w:rsidR="00972E34">
        <w:rPr>
          <w:i/>
          <w:iCs/>
        </w:rPr>
        <w:t>R</w:t>
      </w:r>
      <w:r w:rsidR="00C32E80" w:rsidRPr="00010DF2">
        <w:rPr>
          <w:i/>
          <w:iCs/>
        </w:rPr>
        <w:t>equest</w:t>
      </w:r>
      <w:r w:rsidR="00C32E80" w:rsidRPr="00627E73">
        <w:t xml:space="preserve"> the secretariat to prepare a summary report capturing </w:t>
      </w:r>
      <w:r w:rsidR="00C32E80">
        <w:t xml:space="preserve">the </w:t>
      </w:r>
      <w:r w:rsidR="00C32E80" w:rsidRPr="00627E73">
        <w:t xml:space="preserve">discussions </w:t>
      </w:r>
      <w:r w:rsidR="00C32E80">
        <w:t xml:space="preserve">held </w:t>
      </w:r>
      <w:r w:rsidR="00C32E80" w:rsidRPr="00627E73">
        <w:t xml:space="preserve">at each of the global dialogues referred to in paragraph </w:t>
      </w:r>
      <w:r w:rsidR="00B31149">
        <w:rPr>
          <w:cs/>
        </w:rPr>
        <w:t>‎</w:t>
      </w:r>
      <w:r w:rsidR="00B31149">
        <w:t>16 above</w:t>
      </w:r>
      <w:r w:rsidR="00C32E80">
        <w:t>;</w:t>
      </w:r>
      <w:bookmarkEnd w:id="32"/>
    </w:p>
    <w:p w14:paraId="383D0AB2" w14:textId="14A8B118" w:rsidR="00C32E80" w:rsidRDefault="005A1A63" w:rsidP="005A1A63">
      <w:pPr>
        <w:pStyle w:val="RegSingleTxtG"/>
      </w:pPr>
      <w:bookmarkStart w:id="33" w:name="_Ref156224935"/>
      <w:r>
        <w:t>18.</w:t>
      </w:r>
      <w:r>
        <w:tab/>
      </w:r>
      <w:r w:rsidR="00C32E80" w:rsidRPr="00010DF2">
        <w:rPr>
          <w:i/>
          <w:iCs/>
        </w:rPr>
        <w:t>Invite</w:t>
      </w:r>
      <w:r w:rsidR="00C32E80">
        <w:t xml:space="preserve"> Parties, observers and non-Party stakeholders to submit </w:t>
      </w:r>
      <w:r w:rsidR="00C32E80" w:rsidDel="00972E34">
        <w:t xml:space="preserve">their </w:t>
      </w:r>
      <w:r w:rsidR="00C32E80">
        <w:t>views on possible topics for the global dialogues in 2024 and 2025 via the submission portal</w:t>
      </w:r>
      <w:r w:rsidR="00C32E80">
        <w:rPr>
          <w:rStyle w:val="FootnoteReference"/>
        </w:rPr>
        <w:footnoteReference w:id="25"/>
      </w:r>
      <w:r w:rsidR="00C32E80">
        <w:t xml:space="preserve"> by 15 July in each of those years;</w:t>
      </w:r>
      <w:bookmarkEnd w:id="33"/>
      <w:r w:rsidR="00C32E80">
        <w:t xml:space="preserve"> </w:t>
      </w:r>
    </w:p>
    <w:p w14:paraId="18D02A01" w14:textId="439DB800" w:rsidR="00C32E80" w:rsidRPr="00CB3921" w:rsidRDefault="005A1A63" w:rsidP="005A1A63">
      <w:pPr>
        <w:pStyle w:val="RegSingleTxtG"/>
      </w:pPr>
      <w:r w:rsidRPr="00CB3921">
        <w:t>19.</w:t>
      </w:r>
      <w:r w:rsidRPr="00CB3921">
        <w:tab/>
      </w:r>
      <w:r w:rsidR="00C32E80" w:rsidRPr="00010DF2">
        <w:rPr>
          <w:i/>
          <w:iCs/>
        </w:rPr>
        <w:t>Request</w:t>
      </w:r>
      <w:r w:rsidR="00C32E80">
        <w:t xml:space="preserve"> that the Chairs of the subsidiary bodies, taking into consideration the submissions referred to in paragraph </w:t>
      </w:r>
      <w:r w:rsidR="00B31149">
        <w:rPr>
          <w:cs/>
        </w:rPr>
        <w:t>‎</w:t>
      </w:r>
      <w:r w:rsidR="00B31149">
        <w:t>18 above</w:t>
      </w:r>
      <w:r w:rsidR="00C32E80">
        <w:t>, decide on and communicate, no later than four weeks in advance of the global dialogues in 2024 and 2025, the topics to be discussed at each dialogue to be held in that year;</w:t>
      </w:r>
    </w:p>
    <w:p w14:paraId="04E82BF4" w14:textId="08AF2EA9" w:rsidR="00C32E80" w:rsidRPr="00CB3921" w:rsidRDefault="005A1A63" w:rsidP="005A1A63">
      <w:pPr>
        <w:pStyle w:val="RegSingleTxtG"/>
      </w:pPr>
      <w:r w:rsidRPr="00CB3921">
        <w:t>20.</w:t>
      </w:r>
      <w:r w:rsidRPr="00CB3921">
        <w:tab/>
      </w:r>
      <w:r w:rsidR="00C32E80">
        <w:rPr>
          <w:i/>
          <w:iCs/>
        </w:rPr>
        <w:t>E</w:t>
      </w:r>
      <w:r w:rsidR="00C32E80" w:rsidRPr="00CB3921">
        <w:rPr>
          <w:i/>
          <w:iCs/>
        </w:rPr>
        <w:t>xpress</w:t>
      </w:r>
      <w:r w:rsidR="00C32E80" w:rsidRPr="0079125D">
        <w:rPr>
          <w:i/>
          <w:iCs/>
        </w:rPr>
        <w:t xml:space="preserve"> </w:t>
      </w:r>
      <w:r w:rsidR="00C32E80" w:rsidRPr="000F16AD">
        <w:rPr>
          <w:i/>
          <w:iCs/>
        </w:rPr>
        <w:t>gratitude</w:t>
      </w:r>
      <w:r w:rsidR="00C32E80" w:rsidRPr="00CB3921">
        <w:t xml:space="preserve"> to the </w:t>
      </w:r>
      <w:r w:rsidR="00C32E80">
        <w:t xml:space="preserve">United Nations </w:t>
      </w:r>
      <w:r w:rsidR="00C32E80" w:rsidRPr="00CB3921">
        <w:t>Economic and Social Commission for Asia and the Pacific, the International Labour Organization and the United Nations Development Programme for providing in-kind, financial, administrative and substantive support</w:t>
      </w:r>
      <w:r w:rsidR="00C32E80">
        <w:t>,</w:t>
      </w:r>
      <w:r w:rsidR="00C32E80" w:rsidRPr="00CB3921">
        <w:t xml:space="preserve"> </w:t>
      </w:r>
      <w:r w:rsidR="00C32E80">
        <w:t>which</w:t>
      </w:r>
      <w:r w:rsidR="00C32E80" w:rsidRPr="00CB3921">
        <w:t xml:space="preserve"> contributed to the success of the regional workshop </w:t>
      </w:r>
      <w:r w:rsidR="00C32E80">
        <w:t xml:space="preserve">for Asia and the Pacific </w:t>
      </w:r>
      <w:r w:rsidR="00C32E80" w:rsidRPr="00CB3921">
        <w:t>on activity 3</w:t>
      </w:r>
      <w:r w:rsidR="00C32E80">
        <w:rPr>
          <w:rStyle w:val="FootnoteReference"/>
        </w:rPr>
        <w:footnoteReference w:id="26"/>
      </w:r>
      <w:r w:rsidR="00C32E80" w:rsidRPr="00CB3921">
        <w:t xml:space="preserve"> of the workplan held from 12 to 14 September 2023 in Bangkok;</w:t>
      </w:r>
      <w:r w:rsidR="00C32E80">
        <w:rPr>
          <w:rStyle w:val="FootnoteReference"/>
        </w:rPr>
        <w:footnoteReference w:id="27"/>
      </w:r>
    </w:p>
    <w:p w14:paraId="59EADCF9" w14:textId="697A0217" w:rsidR="00C32E80" w:rsidRPr="00CB3921" w:rsidRDefault="005A1A63" w:rsidP="005A1A63">
      <w:pPr>
        <w:pStyle w:val="RegSingleTxtG"/>
      </w:pPr>
      <w:r w:rsidRPr="00CB3921">
        <w:t>21.</w:t>
      </w:r>
      <w:r w:rsidRPr="00CB3921">
        <w:tab/>
      </w:r>
      <w:r w:rsidR="00C32E80" w:rsidRPr="00CB3921">
        <w:rPr>
          <w:i/>
          <w:iCs/>
        </w:rPr>
        <w:t>Take note</w:t>
      </w:r>
      <w:r w:rsidR="00C32E80" w:rsidRPr="00CB3921">
        <w:t xml:space="preserve"> of the estimated budgetary implications of the activities to be undertaken by the secretariat referred to in paragraphs </w:t>
      </w:r>
      <w:r w:rsidR="00B31149">
        <w:rPr>
          <w:cs/>
        </w:rPr>
        <w:t>‎</w:t>
      </w:r>
      <w:r w:rsidR="00B31149">
        <w:t>9</w:t>
      </w:r>
      <w:r w:rsidR="00C32E80">
        <w:t xml:space="preserve">, </w:t>
      </w:r>
      <w:r w:rsidR="00B31149">
        <w:rPr>
          <w:cs/>
        </w:rPr>
        <w:t>‎</w:t>
      </w:r>
      <w:r w:rsidR="00B31149">
        <w:t>11</w:t>
      </w:r>
      <w:r w:rsidR="00C32E80">
        <w:t xml:space="preserve">, </w:t>
      </w:r>
      <w:r w:rsidR="00B31149">
        <w:rPr>
          <w:cs/>
        </w:rPr>
        <w:t>‎</w:t>
      </w:r>
      <w:r w:rsidR="00B31149">
        <w:t>13</w:t>
      </w:r>
      <w:r w:rsidR="00C32E80">
        <w:t xml:space="preserve">, </w:t>
      </w:r>
      <w:r w:rsidR="00B31149">
        <w:rPr>
          <w:cs/>
        </w:rPr>
        <w:t>‎</w:t>
      </w:r>
      <w:r w:rsidR="00B31149">
        <w:t>16</w:t>
      </w:r>
      <w:r w:rsidR="00C32E80">
        <w:t xml:space="preserve"> and </w:t>
      </w:r>
      <w:r w:rsidR="00B31149">
        <w:rPr>
          <w:cs/>
        </w:rPr>
        <w:t>‎</w:t>
      </w:r>
      <w:r w:rsidR="00B31149">
        <w:t>17 above</w:t>
      </w:r>
      <w:r w:rsidR="00C32E80" w:rsidRPr="00CB3921">
        <w:t>;</w:t>
      </w:r>
    </w:p>
    <w:p w14:paraId="222C122D" w14:textId="6CA0A229" w:rsidR="00C32E80" w:rsidRPr="00CB3921" w:rsidRDefault="005A1A63" w:rsidP="005A1A63">
      <w:pPr>
        <w:pStyle w:val="RegSingleTxtG"/>
      </w:pPr>
      <w:r w:rsidRPr="00CB3921">
        <w:t>22.</w:t>
      </w:r>
      <w:r w:rsidRPr="00CB3921">
        <w:tab/>
      </w:r>
      <w:r w:rsidR="00C32E80" w:rsidRPr="00CB3921">
        <w:rPr>
          <w:i/>
          <w:iCs/>
        </w:rPr>
        <w:t>Request</w:t>
      </w:r>
      <w:r w:rsidR="00C32E80" w:rsidRPr="00CB3921">
        <w:t xml:space="preserve"> that the actions of the secretariat called for in this decision be undertaken subject to the availability of financial resources;</w:t>
      </w:r>
    </w:p>
    <w:p w14:paraId="0FC21A66" w14:textId="24CECD01" w:rsidR="00C32E80" w:rsidRPr="00CB3921" w:rsidRDefault="005A1A63" w:rsidP="005A1A63">
      <w:pPr>
        <w:pStyle w:val="RegHChG"/>
        <w:tabs>
          <w:tab w:val="left" w:pos="1135"/>
        </w:tabs>
        <w:ind w:hanging="454"/>
      </w:pPr>
      <w:bookmarkStart w:id="34" w:name="_Toc161216120"/>
      <w:r w:rsidRPr="00CB3921">
        <w:t>I.</w:t>
      </w:r>
      <w:r w:rsidRPr="00CB3921">
        <w:tab/>
      </w:r>
      <w:r w:rsidR="00C32E80" w:rsidRPr="00CB3921">
        <w:t>Activity 2 of the workplan</w:t>
      </w:r>
      <w:bookmarkEnd w:id="34"/>
    </w:p>
    <w:p w14:paraId="247B6A90" w14:textId="67A7A0C0" w:rsidR="00C32E80" w:rsidRPr="00CB3921" w:rsidRDefault="005A1A63" w:rsidP="005A1A63">
      <w:pPr>
        <w:pStyle w:val="RegSingleTxtG"/>
      </w:pPr>
      <w:r w:rsidRPr="00CB3921">
        <w:t>23.</w:t>
      </w:r>
      <w:r w:rsidRPr="00CB3921">
        <w:tab/>
      </w:r>
      <w:r w:rsidR="00C32E80" w:rsidRPr="00CB3921">
        <w:rPr>
          <w:i/>
          <w:iCs/>
        </w:rPr>
        <w:t>Encourage</w:t>
      </w:r>
      <w:r w:rsidR="00C32E80" w:rsidRPr="00CB3921">
        <w:t xml:space="preserve"> Parties</w:t>
      </w:r>
      <w:r w:rsidR="00C32E80">
        <w:t xml:space="preserve"> to</w:t>
      </w:r>
      <w:r w:rsidR="00C32E80" w:rsidRPr="00CB3921">
        <w:t>:</w:t>
      </w:r>
    </w:p>
    <w:p w14:paraId="2DB3CFEF" w14:textId="5ACF8ED6" w:rsidR="00C32E80" w:rsidRPr="00CB3921" w:rsidRDefault="005A1A63" w:rsidP="005A1A63">
      <w:pPr>
        <w:pStyle w:val="RegSingleTxtG"/>
        <w:tabs>
          <w:tab w:val="clear" w:pos="1701"/>
          <w:tab w:val="left" w:pos="1702"/>
        </w:tabs>
        <w:ind w:firstLine="567"/>
      </w:pPr>
      <w:r w:rsidRPr="00CB3921">
        <w:rPr>
          <w:szCs w:val="28"/>
        </w:rPr>
        <w:t>(a)</w:t>
      </w:r>
      <w:r w:rsidRPr="00CB3921">
        <w:rPr>
          <w:szCs w:val="28"/>
        </w:rPr>
        <w:tab/>
      </w:r>
      <w:r w:rsidR="00C32E80">
        <w:t>Consider, w</w:t>
      </w:r>
      <w:r w:rsidR="00C32E80" w:rsidRPr="00CB3921">
        <w:t xml:space="preserve">hen designing their </w:t>
      </w:r>
      <w:r w:rsidR="00C32E80">
        <w:t>nationally determined contributions</w:t>
      </w:r>
      <w:r w:rsidR="00C32E80" w:rsidRPr="00CB3921">
        <w:t xml:space="preserve"> and </w:t>
      </w:r>
      <w:r w:rsidR="00C32E80">
        <w:t>long-term low-emission development strategies</w:t>
      </w:r>
      <w:r w:rsidR="00C32E80" w:rsidRPr="00CB3921">
        <w:t>, just transition plans or frameworks and design processes for just transition of the workforce and the creation of decent work and quality jobs, and to promote policy coherence and consider social dialogue, taking into account national circumstances and priorities;</w:t>
      </w:r>
    </w:p>
    <w:p w14:paraId="663CD173" w14:textId="79B97522" w:rsidR="00C32E80" w:rsidRPr="00CB3921" w:rsidRDefault="005A1A63" w:rsidP="005A1A63">
      <w:pPr>
        <w:pStyle w:val="RegSingleTxtG"/>
        <w:tabs>
          <w:tab w:val="clear" w:pos="1701"/>
          <w:tab w:val="left" w:pos="1702"/>
        </w:tabs>
        <w:ind w:firstLine="567"/>
      </w:pPr>
      <w:r w:rsidRPr="00CB3921">
        <w:rPr>
          <w:szCs w:val="28"/>
        </w:rPr>
        <w:t>(b)</w:t>
      </w:r>
      <w:r w:rsidRPr="00CB3921">
        <w:rPr>
          <w:szCs w:val="28"/>
        </w:rPr>
        <w:tab/>
      </w:r>
      <w:r w:rsidR="00C32E80" w:rsidRPr="00CB3921">
        <w:t xml:space="preserve">Promote capacity-building to, when designing </w:t>
      </w:r>
      <w:r w:rsidR="00C32E80">
        <w:t>nationally determined contributions</w:t>
      </w:r>
      <w:r w:rsidR="00C32E80" w:rsidRPr="00CB3921" w:rsidDel="00CB42A7">
        <w:t xml:space="preserve"> </w:t>
      </w:r>
      <w:r w:rsidR="00C32E80" w:rsidRPr="00CB3921">
        <w:t xml:space="preserve">and </w:t>
      </w:r>
      <w:r w:rsidR="00C32E80">
        <w:t>long-term low-emission development strategies</w:t>
      </w:r>
      <w:r w:rsidR="00C32E80" w:rsidRPr="00CB3921">
        <w:t xml:space="preserve">, consider plans, guidelines or frameworks for just transition of the workforce and the creation of decent work and quality jobs in their </w:t>
      </w:r>
      <w:r w:rsidR="00C32E80">
        <w:t>nationally determined contributions</w:t>
      </w:r>
      <w:r w:rsidR="00C32E80" w:rsidRPr="00CB3921">
        <w:t xml:space="preserve"> and </w:t>
      </w:r>
      <w:r w:rsidR="00C32E80">
        <w:t>long-term low-emission development strategies</w:t>
      </w:r>
      <w:r w:rsidR="00C32E80" w:rsidRPr="00CB3921">
        <w:t>;</w:t>
      </w:r>
    </w:p>
    <w:p w14:paraId="463C0982" w14:textId="137B3C00" w:rsidR="00C32E80" w:rsidRPr="00CB3921" w:rsidRDefault="005A1A63" w:rsidP="005A1A63">
      <w:pPr>
        <w:pStyle w:val="RegSingleTxtG"/>
        <w:tabs>
          <w:tab w:val="clear" w:pos="1701"/>
          <w:tab w:val="left" w:pos="1702"/>
        </w:tabs>
        <w:ind w:firstLine="567"/>
      </w:pPr>
      <w:r w:rsidRPr="00CB3921">
        <w:rPr>
          <w:szCs w:val="28"/>
        </w:rPr>
        <w:t>(c)</w:t>
      </w:r>
      <w:r w:rsidRPr="00CB3921">
        <w:rPr>
          <w:szCs w:val="28"/>
        </w:rPr>
        <w:tab/>
      </w:r>
      <w:r w:rsidR="00C32E80">
        <w:t>Adopt, as appropriate, i</w:t>
      </w:r>
      <w:r w:rsidR="00C32E80" w:rsidRPr="00CB3921">
        <w:t>n their efforts to diversify their economies, any relevant policies in a manner that promotes sustainable development;</w:t>
      </w:r>
    </w:p>
    <w:p w14:paraId="0845AD2D" w14:textId="4DC82D35" w:rsidR="00C32E80" w:rsidRPr="0079125D" w:rsidRDefault="005A1A63" w:rsidP="005A1A63">
      <w:pPr>
        <w:pStyle w:val="RegSingleTxtG"/>
      </w:pPr>
      <w:r w:rsidRPr="0079125D">
        <w:t>24.</w:t>
      </w:r>
      <w:r w:rsidRPr="0079125D">
        <w:tab/>
      </w:r>
      <w:r w:rsidR="001B6135">
        <w:rPr>
          <w:i/>
          <w:iCs/>
        </w:rPr>
        <w:t>Also e</w:t>
      </w:r>
      <w:r w:rsidR="00C32E80" w:rsidRPr="00CB3921">
        <w:rPr>
          <w:i/>
          <w:iCs/>
        </w:rPr>
        <w:t>ncourage</w:t>
      </w:r>
      <w:r w:rsidR="00C32E80" w:rsidRPr="00CB3921">
        <w:t xml:space="preserve"> participation of non-Party stakeholders </w:t>
      </w:r>
      <w:r w:rsidR="001B6135">
        <w:t>in</w:t>
      </w:r>
      <w:r w:rsidR="00C32E80" w:rsidRPr="00CB3921">
        <w:t xml:space="preserve"> consider</w:t>
      </w:r>
      <w:r w:rsidR="001B6135">
        <w:t>ing</w:t>
      </w:r>
      <w:r w:rsidR="00C32E80" w:rsidRPr="00CB3921">
        <w:t xml:space="preserve"> or design</w:t>
      </w:r>
      <w:r w:rsidR="001B6135">
        <w:t>ing</w:t>
      </w:r>
      <w:r w:rsidR="00C32E80" w:rsidRPr="00CB3921">
        <w:t xml:space="preserve"> just transition of the workforce and the creation of decent work and quality jobs in collaboration with Parties</w:t>
      </w:r>
      <w:r w:rsidR="00C32E80" w:rsidRPr="00C97E24">
        <w:t xml:space="preserve"> </w:t>
      </w:r>
      <w:r w:rsidR="00C32E80" w:rsidRPr="0079125D">
        <w:t>and</w:t>
      </w:r>
      <w:r w:rsidR="00C32E80" w:rsidRPr="0079125D" w:rsidDel="00C97E24">
        <w:t xml:space="preserve"> relevant</w:t>
      </w:r>
      <w:r w:rsidR="00C32E80">
        <w:t xml:space="preserve"> </w:t>
      </w:r>
      <w:r w:rsidR="00C32E80" w:rsidRPr="0079125D">
        <w:t>stakeholders;</w:t>
      </w:r>
    </w:p>
    <w:p w14:paraId="74114EDE" w14:textId="4DFBBE81" w:rsidR="00C32E80" w:rsidRPr="00CB3921" w:rsidRDefault="005A1A63" w:rsidP="005A1A63">
      <w:pPr>
        <w:pStyle w:val="RegSingleTxtG"/>
      </w:pPr>
      <w:r w:rsidRPr="00CB3921">
        <w:t>25.</w:t>
      </w:r>
      <w:r w:rsidRPr="00CB3921">
        <w:tab/>
      </w:r>
      <w:r w:rsidR="00C32E80" w:rsidRPr="00CB3921">
        <w:rPr>
          <w:i/>
          <w:iCs/>
        </w:rPr>
        <w:t>Request</w:t>
      </w:r>
      <w:r w:rsidR="00C32E80" w:rsidRPr="00CB3921">
        <w:t xml:space="preserve"> the </w:t>
      </w:r>
      <w:r w:rsidR="00C32E80">
        <w:t>Katowice Committee on Impacts</w:t>
      </w:r>
      <w:r w:rsidR="00C32E80" w:rsidRPr="00CB3921">
        <w:t xml:space="preserve"> to enhance the understanding of Parties o</w:t>
      </w:r>
      <w:r w:rsidR="00C97E24">
        <w:t>f</w:t>
      </w:r>
      <w:r w:rsidR="00C32E80" w:rsidRPr="00CB3921">
        <w:t xml:space="preserve"> policies for just transitions and their impacts on various sectors en route to achieving the goals of the Paris Agreement;</w:t>
      </w:r>
    </w:p>
    <w:p w14:paraId="570B8B57" w14:textId="50BD8209" w:rsidR="00C32E80" w:rsidRPr="00CB3921" w:rsidRDefault="005A1A63" w:rsidP="005A1A63">
      <w:pPr>
        <w:pStyle w:val="RegHChG"/>
        <w:tabs>
          <w:tab w:val="left" w:pos="1135"/>
        </w:tabs>
        <w:ind w:hanging="454"/>
      </w:pPr>
      <w:bookmarkStart w:id="35" w:name="_Toc161216121"/>
      <w:r w:rsidRPr="00CB3921">
        <w:t>II.</w:t>
      </w:r>
      <w:r w:rsidRPr="00CB3921">
        <w:tab/>
      </w:r>
      <w:r w:rsidR="00C32E80" w:rsidRPr="00CB3921">
        <w:t>Activity 8 of the workplan</w:t>
      </w:r>
      <w:bookmarkEnd w:id="35"/>
    </w:p>
    <w:p w14:paraId="70ED69A3" w14:textId="115DA632" w:rsidR="00C32E80" w:rsidRPr="00CB3921" w:rsidRDefault="005A1A63" w:rsidP="005A1A63">
      <w:pPr>
        <w:pStyle w:val="RegSingleTxtG"/>
      </w:pPr>
      <w:r w:rsidRPr="00CB3921">
        <w:t>26.</w:t>
      </w:r>
      <w:r w:rsidRPr="00CB3921">
        <w:tab/>
      </w:r>
      <w:r w:rsidR="00C32E80" w:rsidRPr="00CB3921">
        <w:rPr>
          <w:i/>
          <w:iCs/>
        </w:rPr>
        <w:t>Encourage</w:t>
      </w:r>
      <w:r w:rsidR="00C32E80" w:rsidRPr="00CB3921">
        <w:t xml:space="preserve"> Parties to:</w:t>
      </w:r>
    </w:p>
    <w:p w14:paraId="5EFA74AB" w14:textId="7FC706D2" w:rsidR="00C32E80" w:rsidRPr="00CB3921" w:rsidRDefault="005A1A63" w:rsidP="005A1A63">
      <w:pPr>
        <w:pStyle w:val="RegSingleTxtG"/>
        <w:tabs>
          <w:tab w:val="clear" w:pos="1701"/>
          <w:tab w:val="left" w:pos="1702"/>
        </w:tabs>
        <w:ind w:firstLine="567"/>
      </w:pPr>
      <w:r w:rsidRPr="00CB3921">
        <w:rPr>
          <w:szCs w:val="28"/>
        </w:rPr>
        <w:t>(a)</w:t>
      </w:r>
      <w:r w:rsidRPr="00CB3921">
        <w:rPr>
          <w:szCs w:val="28"/>
        </w:rPr>
        <w:tab/>
      </w:r>
      <w:r w:rsidR="00C32E80" w:rsidRPr="00CB3921">
        <w:t>Provide platforms for collaborative learning among non-Party stakeholders in order to promote economic and social co-benefits;</w:t>
      </w:r>
    </w:p>
    <w:p w14:paraId="495AB809" w14:textId="48B26B31" w:rsidR="00C32E80" w:rsidRPr="00CB3921" w:rsidRDefault="005A1A63" w:rsidP="005A1A63">
      <w:pPr>
        <w:pStyle w:val="RegSingleTxtG"/>
        <w:tabs>
          <w:tab w:val="clear" w:pos="1701"/>
          <w:tab w:val="left" w:pos="1702"/>
        </w:tabs>
        <w:ind w:firstLine="567"/>
      </w:pPr>
      <w:r w:rsidRPr="00CB3921">
        <w:rPr>
          <w:szCs w:val="28"/>
        </w:rPr>
        <w:t>(b)</w:t>
      </w:r>
      <w:r w:rsidRPr="00CB3921">
        <w:rPr>
          <w:szCs w:val="28"/>
        </w:rPr>
        <w:tab/>
      </w:r>
      <w:r w:rsidR="00C32E80" w:rsidRPr="00CB3921">
        <w:t>Identify and apply best practices for improving the effectiveness, efficiency and sustainability of non-Party stakeholder engagement;</w:t>
      </w:r>
    </w:p>
    <w:p w14:paraId="38530B09" w14:textId="066E1899" w:rsidR="00C32E80" w:rsidRPr="00CB3921" w:rsidRDefault="005A1A63" w:rsidP="005A1A63">
      <w:pPr>
        <w:pStyle w:val="RegSingleTxtG"/>
      </w:pPr>
      <w:r w:rsidRPr="00CB3921">
        <w:t>27.</w:t>
      </w:r>
      <w:r w:rsidRPr="00CB3921">
        <w:tab/>
      </w:r>
      <w:r w:rsidR="0044386B" w:rsidRPr="0079125D">
        <w:rPr>
          <w:i/>
          <w:iCs/>
        </w:rPr>
        <w:t>Also e</w:t>
      </w:r>
      <w:r w:rsidR="00C32E80" w:rsidRPr="0079125D">
        <w:rPr>
          <w:i/>
          <w:iCs/>
        </w:rPr>
        <w:t>ncourage</w:t>
      </w:r>
      <w:r w:rsidR="00C32E80" w:rsidRPr="00CB3921">
        <w:t xml:space="preserve"> Parties and non-Party stakeholders to:</w:t>
      </w:r>
    </w:p>
    <w:p w14:paraId="64DB22F9" w14:textId="2860035F" w:rsidR="00C32E80" w:rsidRPr="00CB3921" w:rsidRDefault="005A1A63" w:rsidP="005A1A63">
      <w:pPr>
        <w:pStyle w:val="RegSingleTxtG"/>
        <w:tabs>
          <w:tab w:val="clear" w:pos="1701"/>
          <w:tab w:val="left" w:pos="1702"/>
        </w:tabs>
        <w:ind w:firstLine="567"/>
      </w:pPr>
      <w:r w:rsidRPr="00CB3921">
        <w:rPr>
          <w:szCs w:val="28"/>
        </w:rPr>
        <w:t>(a)</w:t>
      </w:r>
      <w:r w:rsidRPr="00CB3921">
        <w:rPr>
          <w:szCs w:val="28"/>
        </w:rPr>
        <w:tab/>
      </w:r>
      <w:r w:rsidR="00C32E80" w:rsidRPr="00CB3921">
        <w:t xml:space="preserve">Promote public–private partnership approaches </w:t>
      </w:r>
      <w:r w:rsidR="00A3786B">
        <w:t>to</w:t>
      </w:r>
      <w:r w:rsidR="00C32E80" w:rsidRPr="00CB3921">
        <w:t xml:space="preserve"> climate action to drive scalable and profitable solutions for sustainable development in line with the Paris Agreement temperature goal;</w:t>
      </w:r>
      <w:r w:rsidR="00C32E80" w:rsidRPr="00CB3921">
        <w:rPr>
          <w:rStyle w:val="FootnoteReference"/>
        </w:rPr>
        <w:footnoteReference w:id="28"/>
      </w:r>
    </w:p>
    <w:p w14:paraId="45D987F8" w14:textId="10730A54" w:rsidR="00C32E80" w:rsidRPr="00CB3921" w:rsidRDefault="005A1A63" w:rsidP="005A1A63">
      <w:pPr>
        <w:pStyle w:val="RegSingleTxtG"/>
        <w:tabs>
          <w:tab w:val="clear" w:pos="1701"/>
          <w:tab w:val="left" w:pos="1702"/>
        </w:tabs>
        <w:ind w:firstLine="567"/>
      </w:pPr>
      <w:r w:rsidRPr="00CB3921">
        <w:rPr>
          <w:szCs w:val="28"/>
        </w:rPr>
        <w:t>(b)</w:t>
      </w:r>
      <w:r w:rsidRPr="00CB3921">
        <w:rPr>
          <w:szCs w:val="28"/>
        </w:rPr>
        <w:tab/>
      </w:r>
      <w:r w:rsidR="00C32E80" w:rsidRPr="00CB3921">
        <w:t xml:space="preserve">Enhance the capacity of </w:t>
      </w:r>
      <w:r w:rsidR="00C32E80" w:rsidRPr="00CB3921" w:rsidDel="00A3786B">
        <w:t xml:space="preserve">their </w:t>
      </w:r>
      <w:r w:rsidR="00C32E80" w:rsidRPr="00CB3921">
        <w:t>workforces in emerging industries, including through education and workforce training and skilling for jobs in low-emission sectors;</w:t>
      </w:r>
    </w:p>
    <w:p w14:paraId="454202F2" w14:textId="4E92C75F" w:rsidR="00C32E80" w:rsidRPr="00CB3921" w:rsidRDefault="005A1A63" w:rsidP="005A1A63">
      <w:pPr>
        <w:pStyle w:val="RegHChG"/>
        <w:tabs>
          <w:tab w:val="left" w:pos="1135"/>
        </w:tabs>
        <w:ind w:hanging="454"/>
      </w:pPr>
      <w:bookmarkStart w:id="36" w:name="_Toc161216122"/>
      <w:r w:rsidRPr="00CB3921">
        <w:t>III.</w:t>
      </w:r>
      <w:r w:rsidRPr="00CB3921">
        <w:tab/>
      </w:r>
      <w:r w:rsidR="00C32E80" w:rsidRPr="00CB3921">
        <w:t>Activity 9 of the workplan</w:t>
      </w:r>
      <w:bookmarkEnd w:id="36"/>
    </w:p>
    <w:p w14:paraId="1077CD31" w14:textId="56246DBD" w:rsidR="00C32E80" w:rsidRPr="00CB3921" w:rsidRDefault="005A1A63" w:rsidP="005A1A63">
      <w:pPr>
        <w:pStyle w:val="RegSingleTxtG"/>
      </w:pPr>
      <w:r w:rsidRPr="00CB3921">
        <w:t>28.</w:t>
      </w:r>
      <w:r w:rsidRPr="00CB3921">
        <w:tab/>
      </w:r>
      <w:r w:rsidR="00C32E80" w:rsidRPr="0079125D">
        <w:rPr>
          <w:i/>
          <w:iCs/>
        </w:rPr>
        <w:t>Encourage</w:t>
      </w:r>
      <w:r w:rsidR="00C32E80" w:rsidRPr="00CB3921">
        <w:t xml:space="preserve"> Parties to engage stakeholders, including at the national level, throughout the design and execution of climate policies in order to better understand the impacts of response measures on people in vulnerable situations;</w:t>
      </w:r>
    </w:p>
    <w:p w14:paraId="5F078B05" w14:textId="5F583635" w:rsidR="00C32E80" w:rsidRDefault="005A1A63" w:rsidP="005A1A63">
      <w:pPr>
        <w:pStyle w:val="RegSingleTxtG"/>
      </w:pPr>
      <w:r>
        <w:t>29.</w:t>
      </w:r>
      <w:r>
        <w:tab/>
      </w:r>
      <w:r w:rsidR="00C32E80" w:rsidRPr="0079125D">
        <w:rPr>
          <w:i/>
          <w:iCs/>
        </w:rPr>
        <w:t>Request</w:t>
      </w:r>
      <w:r w:rsidR="00C32E80" w:rsidRPr="00CB3921">
        <w:t xml:space="preserve"> the Katowice Committee on Impacts to undertake further research on measuring the potential and actual impacts of response measures on people in vulnerable situations and </w:t>
      </w:r>
      <w:r w:rsidR="00C32E80" w:rsidRPr="00A352FF">
        <w:rPr>
          <w:i/>
        </w:rPr>
        <w:t>encourage</w:t>
      </w:r>
      <w:r w:rsidR="00C32E80" w:rsidRPr="00CB3921">
        <w:t xml:space="preserve"> Parties to consider the results of such research, as appropriate, in the design of response measures and policies to minimize the negative </w:t>
      </w:r>
      <w:r w:rsidR="006C2300">
        <w:t xml:space="preserve">impacts </w:t>
      </w:r>
      <w:r w:rsidR="00C32E80" w:rsidRPr="00CB3921">
        <w:t>and maximize the positive impacts of response measures on people in vulnerable situations;</w:t>
      </w:r>
    </w:p>
    <w:p w14:paraId="3F6D1DD3" w14:textId="107E7B98" w:rsidR="00C32E80" w:rsidRPr="00CB3921" w:rsidRDefault="005A1A63" w:rsidP="005A1A63">
      <w:pPr>
        <w:pStyle w:val="RegSingleTxtG"/>
      </w:pPr>
      <w:r w:rsidRPr="00CB3921">
        <w:t>30.</w:t>
      </w:r>
      <w:r w:rsidRPr="00CB3921">
        <w:tab/>
      </w:r>
      <w:r w:rsidR="00C32E80" w:rsidRPr="0079125D">
        <w:rPr>
          <w:i/>
          <w:iCs/>
        </w:rPr>
        <w:t>Also</w:t>
      </w:r>
      <w:r w:rsidR="00C32E80" w:rsidRPr="009C0F8E">
        <w:rPr>
          <w:i/>
          <w:iCs/>
        </w:rPr>
        <w:t xml:space="preserve"> </w:t>
      </w:r>
      <w:r w:rsidR="00C32E80">
        <w:rPr>
          <w:i/>
          <w:iCs/>
        </w:rPr>
        <w:t>e</w:t>
      </w:r>
      <w:r w:rsidR="00C32E80" w:rsidRPr="00420E05">
        <w:rPr>
          <w:i/>
          <w:iCs/>
        </w:rPr>
        <w:t>ncourage</w:t>
      </w:r>
      <w:r w:rsidR="00C32E80" w:rsidRPr="00420E05">
        <w:t xml:space="preserve"> Parties and non-Party stakeholders, through climate action, to promote decent work and quality jobs, paying attention to people in vulnerable situations, in the context of sustainable development and eradication of poverty, taking into account national circumstances</w:t>
      </w:r>
      <w:r w:rsidR="00C32E80">
        <w:t>.</w:t>
      </w:r>
    </w:p>
    <w:p w14:paraId="4C058423" w14:textId="77777777" w:rsidR="00B904E7" w:rsidRDefault="00B904E7" w:rsidP="005E4B77">
      <w:pPr>
        <w:pStyle w:val="RegSingleTxtG"/>
        <w:sectPr w:rsidR="00B904E7" w:rsidSect="005E4B77">
          <w:footnotePr>
            <w:numRestart w:val="eachSect"/>
          </w:footnotePr>
          <w:pgSz w:w="11906" w:h="16838" w:code="9"/>
          <w:pgMar w:top="1418" w:right="1134" w:bottom="1134" w:left="1134" w:header="851" w:footer="567" w:gutter="0"/>
          <w:cols w:space="708"/>
          <w:docGrid w:linePitch="360"/>
        </w:sectPr>
      </w:pPr>
    </w:p>
    <w:p w14:paraId="649B94DF" w14:textId="77777777" w:rsidR="00C32E80" w:rsidRPr="00CB3921" w:rsidRDefault="00C32E80" w:rsidP="005E4B77">
      <w:pPr>
        <w:pStyle w:val="HChG"/>
        <w:tabs>
          <w:tab w:val="clear" w:pos="851"/>
        </w:tabs>
      </w:pPr>
      <w:r w:rsidRPr="00CB3921">
        <w:t>Annex I</w:t>
      </w:r>
    </w:p>
    <w:p w14:paraId="3FAB1451" w14:textId="77777777" w:rsidR="00C32E80" w:rsidRPr="00CB3921" w:rsidRDefault="00C32E80" w:rsidP="00C32E80">
      <w:pPr>
        <w:pStyle w:val="HChG"/>
        <w:tabs>
          <w:tab w:val="clear" w:pos="851"/>
        </w:tabs>
        <w:ind w:firstLine="0"/>
      </w:pPr>
      <w:r>
        <w:t>F</w:t>
      </w:r>
      <w:r w:rsidRPr="00CB3921">
        <w:t>unctions</w:t>
      </w:r>
      <w:r>
        <w:t>, work programme and modalities</w:t>
      </w:r>
      <w:r w:rsidRPr="00CB3921">
        <w:t xml:space="preserve"> of the forum on the impact of the implementation of response measures and its </w:t>
      </w:r>
      <w:r w:rsidRPr="00376B64">
        <w:t xml:space="preserve">Katowice Committee of Experts on the Impacts of the Implementation of Response Measures </w:t>
      </w:r>
      <w:r>
        <w:t xml:space="preserve">under </w:t>
      </w:r>
      <w:r w:rsidRPr="00156913">
        <w:t>the Convention, the Kyoto Protocol and the Paris Agreement</w:t>
      </w:r>
    </w:p>
    <w:p w14:paraId="21373115" w14:textId="2614DF10" w:rsidR="00C32E80" w:rsidRPr="00CB3921" w:rsidRDefault="005A1A63" w:rsidP="005A1A63">
      <w:pPr>
        <w:pStyle w:val="RegHChG"/>
        <w:tabs>
          <w:tab w:val="left" w:pos="1135"/>
        </w:tabs>
        <w:ind w:hanging="454"/>
      </w:pPr>
      <w:bookmarkStart w:id="37" w:name="_Toc161216123"/>
      <w:r w:rsidRPr="00CB3921">
        <w:t>I.</w:t>
      </w:r>
      <w:r w:rsidRPr="00CB3921">
        <w:tab/>
      </w:r>
      <w:r w:rsidR="00C32E80" w:rsidRPr="00CB3921">
        <w:t>Functions</w:t>
      </w:r>
      <w:bookmarkEnd w:id="37"/>
    </w:p>
    <w:p w14:paraId="5D62BB4F" w14:textId="290796F2" w:rsidR="00C32E80" w:rsidRPr="00CB3921" w:rsidRDefault="005A1A63" w:rsidP="005A1A63">
      <w:pPr>
        <w:pStyle w:val="RegSingleTxtG"/>
      </w:pPr>
      <w:bookmarkStart w:id="38" w:name="_Ref156227744"/>
      <w:r w:rsidRPr="00CB3921">
        <w:t>1.</w:t>
      </w:r>
      <w:r w:rsidRPr="00CB3921">
        <w:tab/>
      </w:r>
      <w:r w:rsidR="00C32E80" w:rsidRPr="00175738">
        <w:t xml:space="preserve">The forum on the impact of the implementation of response measures and its </w:t>
      </w:r>
      <w:r w:rsidR="00C32E80" w:rsidRPr="00376B64">
        <w:t xml:space="preserve">Katowice Committee of Experts on the Impacts of the Implementation of Response Measures </w:t>
      </w:r>
      <w:r w:rsidR="00C32E80">
        <w:t xml:space="preserve">(KCI) </w:t>
      </w:r>
      <w:r w:rsidR="00C32E80" w:rsidRPr="00175738">
        <w:t>shall have the following functions</w:t>
      </w:r>
      <w:r w:rsidR="00C32E80" w:rsidRPr="00CB3921">
        <w:t>:</w:t>
      </w:r>
      <w:bookmarkEnd w:id="38"/>
    </w:p>
    <w:p w14:paraId="2FB8A6E2" w14:textId="78F6A43C" w:rsidR="00C32E80" w:rsidRDefault="005A1A63" w:rsidP="005A1A63">
      <w:pPr>
        <w:pStyle w:val="RegSingleTxtG2"/>
        <w:ind w:left="1134" w:firstLine="567"/>
      </w:pPr>
      <w:r>
        <w:rPr>
          <w:szCs w:val="28"/>
        </w:rPr>
        <w:t>(a)</w:t>
      </w:r>
      <w:r>
        <w:rPr>
          <w:szCs w:val="28"/>
        </w:rPr>
        <w:tab/>
      </w:r>
      <w:r w:rsidR="00C32E80">
        <w:t>Provide a platform allowing Parties to share, in an interactive manner, information, experience, case studies, best practices and views, and to facilitate assessment and analysis of the impact</w:t>
      </w:r>
      <w:r w:rsidR="008C4406">
        <w:t>s</w:t>
      </w:r>
      <w:r w:rsidR="00C32E80">
        <w:t xml:space="preserve"> of the implementation of response measures, including the use and development of modelling tools and methodologies, with a view to recommending specific actions; </w:t>
      </w:r>
    </w:p>
    <w:p w14:paraId="59E6F621" w14:textId="33CA74FC" w:rsidR="00C32E80" w:rsidRDefault="005A1A63" w:rsidP="005A1A63">
      <w:pPr>
        <w:pStyle w:val="RegSingleTxtG2"/>
        <w:ind w:left="1134" w:firstLine="567"/>
      </w:pPr>
      <w:r>
        <w:rPr>
          <w:szCs w:val="28"/>
        </w:rPr>
        <w:t>(b)</w:t>
      </w:r>
      <w:r>
        <w:rPr>
          <w:szCs w:val="28"/>
        </w:rPr>
        <w:tab/>
      </w:r>
      <w:r w:rsidR="00C32E80">
        <w:t>Provide recommendations to the subsidiary bodies on the actions referred to in paragraph</w:t>
      </w:r>
      <w:r w:rsidR="00B31149">
        <w:t xml:space="preserve"> </w:t>
      </w:r>
      <w:r w:rsidR="001F6B6F">
        <w:t>1(a) above</w:t>
      </w:r>
      <w:r w:rsidR="00C32E80">
        <w:t xml:space="preserve"> for their consideration with a view to the subsidiary bodies recommending those actions, as appropriate, to the Conference of the Parties, the Conference of the Parties serving as the meeting of the Parties to the Kyoto Protocol and the Conference of the Parties serving as the meeting of the Parties to the Paris Agreement; </w:t>
      </w:r>
    </w:p>
    <w:p w14:paraId="0C7D3B84" w14:textId="4109E607" w:rsidR="00C32E80" w:rsidRDefault="005A1A63" w:rsidP="005A1A63">
      <w:pPr>
        <w:pStyle w:val="RegSingleTxtG2"/>
        <w:ind w:left="1134" w:firstLine="567"/>
      </w:pPr>
      <w:r>
        <w:rPr>
          <w:szCs w:val="28"/>
        </w:rPr>
        <w:t>(c)</w:t>
      </w:r>
      <w:r>
        <w:rPr>
          <w:szCs w:val="28"/>
        </w:rPr>
        <w:tab/>
      </w:r>
      <w:r w:rsidR="00C32E80">
        <w:t xml:space="preserve">Enhance the capacity of Parties, in particular developing country Parties, to deal with </w:t>
      </w:r>
      <w:r w:rsidR="002A5646">
        <w:t xml:space="preserve">the </w:t>
      </w:r>
      <w:r w:rsidR="00C32E80">
        <w:t xml:space="preserve">impacts of the implementation of response measures through the modalities </w:t>
      </w:r>
      <w:r w:rsidR="002A5646">
        <w:t>referr</w:t>
      </w:r>
      <w:r w:rsidR="00C32E80">
        <w:t xml:space="preserve">ed </w:t>
      </w:r>
      <w:r w:rsidR="002A5646">
        <w:t xml:space="preserve">to </w:t>
      </w:r>
      <w:r w:rsidR="00C32E80">
        <w:t xml:space="preserve">in paragraph </w:t>
      </w:r>
      <w:r w:rsidR="007A239A">
        <w:rPr>
          <w:cs/>
        </w:rPr>
        <w:t>‎</w:t>
      </w:r>
      <w:r w:rsidR="007A239A">
        <w:t>6(b) below</w:t>
      </w:r>
      <w:r w:rsidR="00C32E80">
        <w:t>;</w:t>
      </w:r>
    </w:p>
    <w:p w14:paraId="3B60DD2B" w14:textId="270D3729" w:rsidR="00C32E80" w:rsidRDefault="005A1A63" w:rsidP="005A1A63">
      <w:pPr>
        <w:pStyle w:val="RegSingleTxtG2"/>
        <w:ind w:left="1134" w:firstLine="567"/>
      </w:pPr>
      <w:r>
        <w:rPr>
          <w:szCs w:val="28"/>
        </w:rPr>
        <w:t>(d)</w:t>
      </w:r>
      <w:r>
        <w:rPr>
          <w:szCs w:val="28"/>
        </w:rPr>
        <w:tab/>
      </w:r>
      <w:r w:rsidR="00C32E80">
        <w:t>Address the effects of the implementation of response measures under the Convention, the Kyoto Protocol and the Paris Agreement by enhancing cooperation among Parties, stakeholders, external organizations, experts and institutions, by enhancing the capacity and the understanding of Parties of the impacts of mitigation actions and by enabling the exchange of information, experience and best practices among Parties to raise their resilience to these impacts;</w:t>
      </w:r>
    </w:p>
    <w:p w14:paraId="0E118687" w14:textId="40C029B7" w:rsidR="00C32E80" w:rsidRDefault="005A1A63" w:rsidP="005A1A63">
      <w:pPr>
        <w:pStyle w:val="RegSingleTxtG2"/>
        <w:ind w:left="1134" w:firstLine="567"/>
      </w:pPr>
      <w:r>
        <w:rPr>
          <w:szCs w:val="28"/>
        </w:rPr>
        <w:t>(e)</w:t>
      </w:r>
      <w:r>
        <w:rPr>
          <w:szCs w:val="28"/>
        </w:rPr>
        <w:tab/>
      </w:r>
      <w:r w:rsidR="00C32E80">
        <w:t>Respond to and take into consideration the relevant outcomes of different processes under the Convention, the Kyoto Protocol and the Paris Agreement</w:t>
      </w:r>
      <w:r w:rsidR="009557BE">
        <w:t>;</w:t>
      </w:r>
      <w:r w:rsidR="00C32E80">
        <w:t xml:space="preserve"> </w:t>
      </w:r>
    </w:p>
    <w:p w14:paraId="51629C98" w14:textId="612E1A9F" w:rsidR="00C32E80" w:rsidRDefault="005A1A63" w:rsidP="005A1A63">
      <w:pPr>
        <w:pStyle w:val="RegSingleTxtG2"/>
        <w:ind w:left="1134" w:firstLine="567"/>
      </w:pPr>
      <w:r>
        <w:rPr>
          <w:szCs w:val="28"/>
        </w:rPr>
        <w:t>(f)</w:t>
      </w:r>
      <w:r>
        <w:rPr>
          <w:szCs w:val="28"/>
        </w:rPr>
        <w:tab/>
      </w:r>
      <w:r w:rsidR="00C32E80">
        <w:t>Promote action to minimize the adverse impacts and maximize the positive impacts of the implementation of response measures</w:t>
      </w:r>
      <w:r w:rsidR="009557BE">
        <w:t>;</w:t>
      </w:r>
      <w:r w:rsidR="00C32E80">
        <w:t xml:space="preserve"> </w:t>
      </w:r>
    </w:p>
    <w:p w14:paraId="4F1E4BDC" w14:textId="1E814B2F" w:rsidR="00C32E80" w:rsidRDefault="005A1A63" w:rsidP="005A1A63">
      <w:pPr>
        <w:pStyle w:val="RegSingleTxtG2"/>
        <w:ind w:left="1134" w:firstLine="567"/>
      </w:pPr>
      <w:r>
        <w:rPr>
          <w:szCs w:val="28"/>
        </w:rPr>
        <w:t>(g)</w:t>
      </w:r>
      <w:r>
        <w:rPr>
          <w:szCs w:val="28"/>
        </w:rPr>
        <w:tab/>
      </w:r>
      <w:r w:rsidR="00C32E80">
        <w:t>Prepare information for the technical assessment component of the global stocktake related to the impacts of the implementation of response measures</w:t>
      </w:r>
      <w:r w:rsidR="004F0702">
        <w:rPr>
          <w:rStyle w:val="FootnoteReference"/>
        </w:rPr>
        <w:footnoteReference w:id="29"/>
      </w:r>
      <w:r w:rsidR="00C32E80">
        <w:t xml:space="preserve"> in line with the process outlined in decision 23/CMA.3</w:t>
      </w:r>
      <w:r w:rsidR="000D25C6">
        <w:t>,</w:t>
      </w:r>
      <w:r w:rsidR="00C32E80" w:rsidDel="00F367D8">
        <w:t xml:space="preserve"> paragraphs 11</w:t>
      </w:r>
      <w:r w:rsidR="00F06E98">
        <w:t>–</w:t>
      </w:r>
      <w:r w:rsidR="00C32E80" w:rsidDel="00F367D8">
        <w:t>12</w:t>
      </w:r>
      <w:r w:rsidR="00F367D8">
        <w:t>;</w:t>
      </w:r>
    </w:p>
    <w:p w14:paraId="58510C30" w14:textId="6B2C5337" w:rsidR="00C32E80" w:rsidRDefault="005A1A63" w:rsidP="005A1A63">
      <w:pPr>
        <w:pStyle w:val="RegSingleTxtG2"/>
        <w:ind w:left="1134" w:firstLine="567"/>
      </w:pPr>
      <w:r>
        <w:rPr>
          <w:szCs w:val="28"/>
        </w:rPr>
        <w:t>(h)</w:t>
      </w:r>
      <w:r>
        <w:rPr>
          <w:szCs w:val="28"/>
        </w:rPr>
        <w:tab/>
      </w:r>
      <w:r w:rsidR="00C32E80">
        <w:t>Regularly update the existing database of tools and methodologies suitable for assessing the impacts of the implementation of response measures, as needed and as appropriate</w:t>
      </w:r>
      <w:r w:rsidR="003B3C3E">
        <w:t>;</w:t>
      </w:r>
    </w:p>
    <w:p w14:paraId="384D8267" w14:textId="4A2AE8A8" w:rsidR="00C32E80" w:rsidRPr="00627579" w:rsidRDefault="005A1A63" w:rsidP="005A1A63">
      <w:pPr>
        <w:pStyle w:val="RegSingleTxtG2"/>
        <w:ind w:left="1134" w:firstLine="567"/>
      </w:pPr>
      <w:r w:rsidRPr="00627579">
        <w:rPr>
          <w:szCs w:val="28"/>
        </w:rPr>
        <w:t>(i)</w:t>
      </w:r>
      <w:r w:rsidRPr="00627579">
        <w:rPr>
          <w:szCs w:val="28"/>
        </w:rPr>
        <w:tab/>
      </w:r>
      <w:r w:rsidR="00C32E80">
        <w:t>Share experience and best practices in providing detailed information, to the extent possible, on the assessment of economic and social impacts of response measures as provided</w:t>
      </w:r>
      <w:r w:rsidR="003B3C3E">
        <w:t xml:space="preserve"> for</w:t>
      </w:r>
      <w:r w:rsidR="00C32E80">
        <w:t xml:space="preserve"> in </w:t>
      </w:r>
      <w:r w:rsidR="005C1FAA">
        <w:t>decision</w:t>
      </w:r>
      <w:r w:rsidR="00C32E80">
        <w:t xml:space="preserve"> 18/CMA.1</w:t>
      </w:r>
      <w:r w:rsidR="005C1FAA">
        <w:t>,</w:t>
      </w:r>
      <w:r w:rsidR="003B3C3E">
        <w:t xml:space="preserve"> annex</w:t>
      </w:r>
      <w:r w:rsidR="005C1FAA">
        <w:t>,</w:t>
      </w:r>
      <w:r w:rsidR="00C32E80" w:rsidDel="003B3C3E">
        <w:t xml:space="preserve"> paragraph 90</w:t>
      </w:r>
      <w:r w:rsidR="00C32E80">
        <w:t>.</w:t>
      </w:r>
    </w:p>
    <w:p w14:paraId="109071A7" w14:textId="43176527" w:rsidR="00C32E80" w:rsidRPr="00CB3921" w:rsidRDefault="005A1A63" w:rsidP="005A1A63">
      <w:pPr>
        <w:pStyle w:val="RegHChG"/>
        <w:tabs>
          <w:tab w:val="left" w:pos="1135"/>
        </w:tabs>
        <w:ind w:hanging="454"/>
      </w:pPr>
      <w:bookmarkStart w:id="39" w:name="_Toc161216124"/>
      <w:r w:rsidRPr="00CB3921">
        <w:t>II.</w:t>
      </w:r>
      <w:r w:rsidRPr="00CB3921">
        <w:tab/>
      </w:r>
      <w:r w:rsidR="00C32E80" w:rsidRPr="00CB3921">
        <w:t>Work programme</w:t>
      </w:r>
      <w:bookmarkEnd w:id="39"/>
    </w:p>
    <w:p w14:paraId="1064CB0B" w14:textId="6C4F8E6A" w:rsidR="00C32E80" w:rsidRPr="00CB3921" w:rsidRDefault="005A1A63" w:rsidP="005A1A63">
      <w:pPr>
        <w:pStyle w:val="RegSingleTxtG"/>
      </w:pPr>
      <w:r w:rsidRPr="00CB3921">
        <w:t>2.</w:t>
      </w:r>
      <w:r w:rsidRPr="00CB3921">
        <w:tab/>
      </w:r>
      <w:r w:rsidR="00C32E80" w:rsidRPr="00AE1C92">
        <w:t>The work programme comprises the following areas of work in order to address the concerns of all Parties, particularly developing country Parties</w:t>
      </w:r>
      <w:r w:rsidR="00C32E80" w:rsidRPr="00CB3921">
        <w:t>:</w:t>
      </w:r>
    </w:p>
    <w:p w14:paraId="05CE2164" w14:textId="2BE787C0" w:rsidR="00C32E80" w:rsidRDefault="005A1A63" w:rsidP="005A1A63">
      <w:pPr>
        <w:pStyle w:val="RegSingleTxtG2"/>
        <w:ind w:left="1134" w:firstLine="567"/>
      </w:pPr>
      <w:r>
        <w:rPr>
          <w:szCs w:val="28"/>
        </w:rPr>
        <w:t>(a)</w:t>
      </w:r>
      <w:r>
        <w:rPr>
          <w:szCs w:val="28"/>
        </w:rPr>
        <w:tab/>
      </w:r>
      <w:r w:rsidR="00C32E80">
        <w:t xml:space="preserve">Economic diversification and transformation; </w:t>
      </w:r>
    </w:p>
    <w:p w14:paraId="4FE3BC3D" w14:textId="21754BBE" w:rsidR="00C32E80" w:rsidRDefault="005A1A63" w:rsidP="005A1A63">
      <w:pPr>
        <w:pStyle w:val="RegSingleTxtG2"/>
        <w:tabs>
          <w:tab w:val="left" w:pos="1702"/>
        </w:tabs>
        <w:ind w:left="1134" w:firstLine="567"/>
      </w:pPr>
      <w:r>
        <w:rPr>
          <w:szCs w:val="28"/>
        </w:rPr>
        <w:t>(b)</w:t>
      </w:r>
      <w:r>
        <w:rPr>
          <w:szCs w:val="28"/>
        </w:rPr>
        <w:tab/>
      </w:r>
      <w:r w:rsidR="00C32E80">
        <w:t xml:space="preserve">Just transition of the workforce and the creation of decent work and quality jobs; </w:t>
      </w:r>
    </w:p>
    <w:p w14:paraId="6EB951DD" w14:textId="3B0DF4CE" w:rsidR="00C32E80" w:rsidRDefault="005A1A63" w:rsidP="005A1A63">
      <w:pPr>
        <w:pStyle w:val="RegSingleTxtG2"/>
        <w:tabs>
          <w:tab w:val="left" w:pos="1702"/>
        </w:tabs>
        <w:ind w:left="1134" w:firstLine="567"/>
      </w:pPr>
      <w:r>
        <w:rPr>
          <w:szCs w:val="28"/>
        </w:rPr>
        <w:t>(c)</w:t>
      </w:r>
      <w:r>
        <w:rPr>
          <w:szCs w:val="28"/>
        </w:rPr>
        <w:tab/>
      </w:r>
      <w:r w:rsidR="00C32E80">
        <w:t xml:space="preserve">Assessing and analysing the impacts of the implementation of response measures; </w:t>
      </w:r>
    </w:p>
    <w:p w14:paraId="56868617" w14:textId="4B41EC2A" w:rsidR="00C32E80" w:rsidRPr="00CB3921" w:rsidRDefault="005A1A63" w:rsidP="005A1A63">
      <w:pPr>
        <w:pStyle w:val="RegSingleTxtG2"/>
        <w:tabs>
          <w:tab w:val="left" w:pos="1702"/>
        </w:tabs>
        <w:ind w:left="1134" w:firstLine="567"/>
      </w:pPr>
      <w:r w:rsidRPr="00CB3921">
        <w:rPr>
          <w:szCs w:val="28"/>
        </w:rPr>
        <w:t>(d)</w:t>
      </w:r>
      <w:r w:rsidRPr="00CB3921">
        <w:rPr>
          <w:szCs w:val="28"/>
        </w:rPr>
        <w:tab/>
      </w:r>
      <w:r w:rsidR="00C32E80">
        <w:t>Facilitating and building capacity on the identification, development, customization and use of tools and methodologies to assess the impacts of the implementation of response measures.</w:t>
      </w:r>
    </w:p>
    <w:p w14:paraId="01D31579" w14:textId="2467EFE0" w:rsidR="00C32E80" w:rsidRPr="00CB3921" w:rsidRDefault="005A1A63" w:rsidP="005A1A63">
      <w:pPr>
        <w:pStyle w:val="RegHChG"/>
        <w:tabs>
          <w:tab w:val="left" w:pos="1135"/>
        </w:tabs>
        <w:ind w:hanging="454"/>
      </w:pPr>
      <w:bookmarkStart w:id="40" w:name="_Toc161216125"/>
      <w:r w:rsidRPr="00CB3921">
        <w:t>III.</w:t>
      </w:r>
      <w:r w:rsidRPr="00CB3921">
        <w:tab/>
      </w:r>
      <w:r w:rsidR="00C32E80" w:rsidRPr="00CB3921">
        <w:t>Modalities</w:t>
      </w:r>
      <w:bookmarkEnd w:id="40"/>
    </w:p>
    <w:p w14:paraId="19EB72C4" w14:textId="7B37BD59" w:rsidR="00C32E80" w:rsidRDefault="005A1A63" w:rsidP="005A1A63">
      <w:pPr>
        <w:pStyle w:val="RegSingleTxtG"/>
      </w:pPr>
      <w:r>
        <w:t>3.</w:t>
      </w:r>
      <w:r>
        <w:tab/>
      </w:r>
      <w:r w:rsidR="00C32E80">
        <w:t xml:space="preserve">The forum shall meet twice a year in conjunction with the sessions of the subsidiary bodies and will be convened under a joint agenda item of the subsidiary bodies and operate in accordance with the procedures applicable to contact groups. </w:t>
      </w:r>
    </w:p>
    <w:p w14:paraId="789E7855" w14:textId="4234B605" w:rsidR="00C32E80" w:rsidRPr="00CB3921" w:rsidRDefault="005A1A63" w:rsidP="005A1A63">
      <w:pPr>
        <w:pStyle w:val="RegSingleTxtG"/>
      </w:pPr>
      <w:r w:rsidRPr="00CB3921">
        <w:t>4.</w:t>
      </w:r>
      <w:r w:rsidRPr="00CB3921">
        <w:tab/>
      </w:r>
      <w:r w:rsidR="00C32E80">
        <w:t>The KCI shall support the work of the forum</w:t>
      </w:r>
      <w:r w:rsidR="00C32E80">
        <w:rPr>
          <w:rFonts w:asciiTheme="majorBidi" w:hAnsiTheme="majorBidi" w:cstheme="majorBidi"/>
        </w:rPr>
        <w:t>.</w:t>
      </w:r>
    </w:p>
    <w:p w14:paraId="727B4F62" w14:textId="0DA96DCD" w:rsidR="00C32E80" w:rsidRPr="00CB3921" w:rsidRDefault="005A1A63" w:rsidP="005A1A63">
      <w:pPr>
        <w:pStyle w:val="RegSingleTxtG"/>
      </w:pPr>
      <w:bookmarkStart w:id="41" w:name="_Ref156296391"/>
      <w:r w:rsidRPr="00CB3921">
        <w:t>5.</w:t>
      </w:r>
      <w:r w:rsidRPr="00CB3921">
        <w:tab/>
      </w:r>
      <w:r w:rsidR="00C32E80" w:rsidRPr="009A2677">
        <w:t>The KCI shall operate in accordance with the following terms of reference</w:t>
      </w:r>
      <w:r w:rsidR="00C32E80" w:rsidRPr="00CB3921">
        <w:t>:</w:t>
      </w:r>
      <w:bookmarkEnd w:id="41"/>
    </w:p>
    <w:p w14:paraId="7FA16233" w14:textId="73D3567A" w:rsidR="00C32E80" w:rsidRDefault="005A1A63" w:rsidP="005A1A63">
      <w:pPr>
        <w:pStyle w:val="RegSingleTxtG2"/>
        <w:ind w:left="1134" w:firstLine="567"/>
      </w:pPr>
      <w:r>
        <w:rPr>
          <w:szCs w:val="28"/>
        </w:rPr>
        <w:t>(a)</w:t>
      </w:r>
      <w:r>
        <w:rPr>
          <w:szCs w:val="28"/>
        </w:rPr>
        <w:tab/>
      </w:r>
      <w:r w:rsidR="00C32E80">
        <w:t>The KCI shall meet two times a year, with the first meeting to be held over two days in conjunction with the sessions of the subsidiary bodies in the first sessional period of the year and the second meeting to be held intersessionally over three days;</w:t>
      </w:r>
    </w:p>
    <w:p w14:paraId="6D414B9D" w14:textId="68232C2F" w:rsidR="00C32E80" w:rsidRPr="00CB3921" w:rsidRDefault="005A1A63" w:rsidP="005A1A63">
      <w:pPr>
        <w:pStyle w:val="RegSingleTxtG2"/>
        <w:ind w:left="1134" w:firstLine="567"/>
      </w:pPr>
      <w:bookmarkStart w:id="42" w:name="_Ref156296383"/>
      <w:r w:rsidRPr="00CB3921">
        <w:rPr>
          <w:szCs w:val="28"/>
        </w:rPr>
        <w:t>(b)</w:t>
      </w:r>
      <w:r w:rsidRPr="00CB3921">
        <w:rPr>
          <w:szCs w:val="28"/>
        </w:rPr>
        <w:tab/>
      </w:r>
      <w:r w:rsidR="00C32E80">
        <w:t>The KCI shall be composed of:</w:t>
      </w:r>
      <w:bookmarkEnd w:id="42"/>
    </w:p>
    <w:p w14:paraId="7CFEC76F" w14:textId="1709A59D" w:rsidR="00C32E80" w:rsidRDefault="005A1A63" w:rsidP="005A1A63">
      <w:pPr>
        <w:pStyle w:val="RegSingleTxtG3"/>
        <w:ind w:left="1701"/>
      </w:pPr>
      <w:r>
        <w:t>(i)</w:t>
      </w:r>
      <w:r>
        <w:tab/>
      </w:r>
      <w:r w:rsidR="00C32E80">
        <w:t xml:space="preserve">Two members from each of the five United Nations regional groups; </w:t>
      </w:r>
    </w:p>
    <w:p w14:paraId="5535E1D6" w14:textId="115222B1" w:rsidR="00C32E80" w:rsidRDefault="005A1A63" w:rsidP="005A1A63">
      <w:pPr>
        <w:pStyle w:val="RegSingleTxtG3"/>
        <w:ind w:left="1701"/>
      </w:pPr>
      <w:r>
        <w:t>(ii)</w:t>
      </w:r>
      <w:r>
        <w:tab/>
      </w:r>
      <w:r w:rsidR="00C32E80">
        <w:t xml:space="preserve">One member from the least developed countries; </w:t>
      </w:r>
    </w:p>
    <w:p w14:paraId="0F25B9F8" w14:textId="0BC4A09B" w:rsidR="00C32E80" w:rsidRDefault="005A1A63" w:rsidP="005A1A63">
      <w:pPr>
        <w:pStyle w:val="RegSingleTxtG3"/>
        <w:ind w:left="1701"/>
      </w:pPr>
      <w:r>
        <w:t>(iii)</w:t>
      </w:r>
      <w:r>
        <w:tab/>
      </w:r>
      <w:r w:rsidR="00C32E80">
        <w:t xml:space="preserve">One member from </w:t>
      </w:r>
      <w:r w:rsidR="00C32E80" w:rsidDel="006E36C7">
        <w:t xml:space="preserve">the </w:t>
      </w:r>
      <w:r w:rsidR="00C32E80">
        <w:t xml:space="preserve">small island developing States; </w:t>
      </w:r>
    </w:p>
    <w:p w14:paraId="355C0FCC" w14:textId="3C6BB9D3" w:rsidR="00C32E80" w:rsidRPr="00CB3921" w:rsidRDefault="005A1A63" w:rsidP="005A1A63">
      <w:pPr>
        <w:pStyle w:val="RegSingleTxtG3"/>
        <w:ind w:left="1701"/>
      </w:pPr>
      <w:r w:rsidRPr="00CB3921">
        <w:t>(iv)</w:t>
      </w:r>
      <w:r w:rsidRPr="00CB3921">
        <w:tab/>
      </w:r>
      <w:r w:rsidR="00C32E80">
        <w:t>Two members from relevant intergovernmental organizations</w:t>
      </w:r>
      <w:r w:rsidR="00C32E80" w:rsidRPr="00CB3921">
        <w:t>;</w:t>
      </w:r>
    </w:p>
    <w:p w14:paraId="27D6E17F" w14:textId="40529D5C" w:rsidR="00C32E80" w:rsidRDefault="005A1A63" w:rsidP="005A1A63">
      <w:pPr>
        <w:pStyle w:val="RegSingleTxtG2"/>
        <w:ind w:left="1134" w:firstLine="567"/>
      </w:pPr>
      <w:r>
        <w:rPr>
          <w:szCs w:val="28"/>
        </w:rPr>
        <w:t>(c)</w:t>
      </w:r>
      <w:r>
        <w:rPr>
          <w:szCs w:val="28"/>
        </w:rPr>
        <w:tab/>
      </w:r>
      <w:r w:rsidR="00C32E80">
        <w:t xml:space="preserve">Members shall serve in their expert capacity and should have relevant qualifications and expertise in the technical and socioeconomic fields related to the areas of the work programme; </w:t>
      </w:r>
    </w:p>
    <w:p w14:paraId="79959D8D" w14:textId="31F5DE01" w:rsidR="00C32E80" w:rsidRDefault="005A1A63" w:rsidP="005A1A63">
      <w:pPr>
        <w:pStyle w:val="RegSingleTxtG2"/>
        <w:ind w:left="1134" w:firstLine="567"/>
      </w:pPr>
      <w:r>
        <w:rPr>
          <w:szCs w:val="28"/>
        </w:rPr>
        <w:t>(d)</w:t>
      </w:r>
      <w:r>
        <w:rPr>
          <w:szCs w:val="28"/>
        </w:rPr>
        <w:tab/>
      </w:r>
      <w:r w:rsidR="00692704">
        <w:t>The m</w:t>
      </w:r>
      <w:r w:rsidR="00C32E80">
        <w:t xml:space="preserve">embers </w:t>
      </w:r>
      <w:r w:rsidR="00692704">
        <w:t>referr</w:t>
      </w:r>
      <w:r w:rsidR="00C32E80">
        <w:t xml:space="preserve">ed </w:t>
      </w:r>
      <w:r w:rsidR="00692704">
        <w:t xml:space="preserve">to </w:t>
      </w:r>
      <w:r w:rsidR="00C32E80">
        <w:t xml:space="preserve">in paragraph </w:t>
      </w:r>
      <w:r w:rsidR="007A239A">
        <w:rPr>
          <w:cs/>
        </w:rPr>
        <w:t>‎</w:t>
      </w:r>
      <w:r w:rsidR="007A239A">
        <w:t>5(b) above</w:t>
      </w:r>
      <w:r w:rsidR="00C32E80">
        <w:t xml:space="preserve"> shall be nominated by their respective groups. The Chairs of the </w:t>
      </w:r>
      <w:r w:rsidR="00985FA3">
        <w:t>subsidiary</w:t>
      </w:r>
      <w:r w:rsidR="00637882">
        <w:t xml:space="preserve"> b</w:t>
      </w:r>
      <w:r w:rsidR="00C32E80">
        <w:t>od</w:t>
      </w:r>
      <w:r w:rsidR="00C03087">
        <w:t>ies</w:t>
      </w:r>
      <w:r w:rsidR="00C32E80">
        <w:t xml:space="preserve"> shall be notified of these appointments; </w:t>
      </w:r>
    </w:p>
    <w:p w14:paraId="7BCA10F2" w14:textId="7CDFD4DB" w:rsidR="00C32E80" w:rsidRDefault="005A1A63" w:rsidP="005A1A63">
      <w:pPr>
        <w:pStyle w:val="RegSingleTxtG2"/>
        <w:ind w:left="1134" w:firstLine="567"/>
      </w:pPr>
      <w:r>
        <w:rPr>
          <w:szCs w:val="28"/>
        </w:rPr>
        <w:t>(e)</w:t>
      </w:r>
      <w:r>
        <w:rPr>
          <w:szCs w:val="28"/>
        </w:rPr>
        <w:tab/>
      </w:r>
      <w:r w:rsidR="00692704">
        <w:t>The m</w:t>
      </w:r>
      <w:r w:rsidR="00C32E80">
        <w:t xml:space="preserve">embers </w:t>
      </w:r>
      <w:r w:rsidR="00692704">
        <w:t>referr</w:t>
      </w:r>
      <w:r w:rsidR="00C32E80">
        <w:t xml:space="preserve">ed </w:t>
      </w:r>
      <w:r w:rsidR="00692704">
        <w:t xml:space="preserve">to </w:t>
      </w:r>
      <w:r w:rsidR="00C32E80">
        <w:t xml:space="preserve">in paragraph </w:t>
      </w:r>
      <w:r w:rsidR="007A239A">
        <w:rPr>
          <w:cs/>
        </w:rPr>
        <w:t>‎</w:t>
      </w:r>
      <w:r w:rsidR="007A239A">
        <w:t>5(b) above</w:t>
      </w:r>
      <w:r w:rsidR="00C32E80">
        <w:t xml:space="preserve"> shall serve a term of two years and shall be eligible to serve a maximum of two consecutive terms in office; </w:t>
      </w:r>
    </w:p>
    <w:p w14:paraId="11F91552" w14:textId="14E3A93A" w:rsidR="00C32E80" w:rsidRDefault="005A1A63" w:rsidP="005A1A63">
      <w:pPr>
        <w:pStyle w:val="RegSingleTxtG2"/>
        <w:ind w:left="1134" w:firstLine="567"/>
      </w:pPr>
      <w:r>
        <w:rPr>
          <w:szCs w:val="28"/>
        </w:rPr>
        <w:t>(f)</w:t>
      </w:r>
      <w:r>
        <w:rPr>
          <w:szCs w:val="28"/>
        </w:rPr>
        <w:tab/>
      </w:r>
      <w:r w:rsidR="00C32E80">
        <w:t xml:space="preserve">The KCI shall elect, on a consensus basis, two members from among its members </w:t>
      </w:r>
      <w:r w:rsidR="00A938CB">
        <w:t>referr</w:t>
      </w:r>
      <w:r w:rsidR="00C32E80">
        <w:t xml:space="preserve">ed </w:t>
      </w:r>
      <w:r w:rsidR="00A938CB">
        <w:t xml:space="preserve">to </w:t>
      </w:r>
      <w:r w:rsidR="00C32E80">
        <w:t xml:space="preserve">in paragraph </w:t>
      </w:r>
      <w:r w:rsidR="003F7466">
        <w:rPr>
          <w:cs/>
        </w:rPr>
        <w:t>‎</w:t>
      </w:r>
      <w:r w:rsidR="003F7466">
        <w:t>5(b) above</w:t>
      </w:r>
      <w:r w:rsidR="00C32E80">
        <w:t xml:space="preserve"> to serve as Co-Chairs for a term of two years each, taking into account the need to ensure equitable geographical representation; </w:t>
      </w:r>
    </w:p>
    <w:p w14:paraId="1BB39294" w14:textId="4D56C580" w:rsidR="00C32E80" w:rsidRDefault="005A1A63" w:rsidP="005A1A63">
      <w:pPr>
        <w:pStyle w:val="RegSingleTxtG2"/>
        <w:ind w:left="1134" w:firstLine="567"/>
      </w:pPr>
      <w:r>
        <w:rPr>
          <w:szCs w:val="28"/>
        </w:rPr>
        <w:t>(g)</w:t>
      </w:r>
      <w:r>
        <w:rPr>
          <w:szCs w:val="28"/>
        </w:rPr>
        <w:tab/>
      </w:r>
      <w:r w:rsidR="00C32E80">
        <w:t xml:space="preserve">If one of the Co-Chairs is temporarily unable to fulfil the obligations of the office, any other member designated by the KCI shall serve as Co-Chair; </w:t>
      </w:r>
    </w:p>
    <w:p w14:paraId="530AFC8D" w14:textId="734F8964" w:rsidR="00C32E80" w:rsidRDefault="005A1A63" w:rsidP="005A1A63">
      <w:pPr>
        <w:pStyle w:val="RegSingleTxtG2"/>
        <w:ind w:left="1134" w:firstLine="567"/>
      </w:pPr>
      <w:r>
        <w:rPr>
          <w:szCs w:val="28"/>
        </w:rPr>
        <w:t>(h)</w:t>
      </w:r>
      <w:r>
        <w:rPr>
          <w:szCs w:val="28"/>
        </w:rPr>
        <w:tab/>
      </w:r>
      <w:r w:rsidR="00C32E80">
        <w:t>Meetings of the KCI shall be open to attendance as observers by all Parties and accredited observer organizations</w:t>
      </w:r>
      <w:r w:rsidR="00341CC4">
        <w:t>,</w:t>
      </w:r>
      <w:r w:rsidR="00C32E80">
        <w:t xml:space="preserve"> unless otherwise decided by the KCI; </w:t>
      </w:r>
    </w:p>
    <w:p w14:paraId="67877D52" w14:textId="1FB81021" w:rsidR="00C32E80" w:rsidRDefault="005A1A63" w:rsidP="005A1A63">
      <w:pPr>
        <w:pStyle w:val="RegSingleTxtG2"/>
        <w:ind w:left="1134" w:firstLine="567"/>
      </w:pPr>
      <w:r>
        <w:rPr>
          <w:szCs w:val="28"/>
        </w:rPr>
        <w:t>(i)</w:t>
      </w:r>
      <w:r>
        <w:rPr>
          <w:szCs w:val="28"/>
        </w:rPr>
        <w:tab/>
      </w:r>
      <w:r w:rsidR="00C32E80">
        <w:t xml:space="preserve">The KCI shall operate on the basis of consensus of its members; </w:t>
      </w:r>
    </w:p>
    <w:p w14:paraId="53DF934C" w14:textId="6FAD791A" w:rsidR="00C32E80" w:rsidRPr="00CB3921" w:rsidRDefault="005A1A63" w:rsidP="005A1A63">
      <w:pPr>
        <w:pStyle w:val="RegSingleTxtG2"/>
        <w:ind w:left="1134" w:firstLine="567"/>
      </w:pPr>
      <w:r w:rsidRPr="00CB3921">
        <w:rPr>
          <w:szCs w:val="28"/>
        </w:rPr>
        <w:t>(j)</w:t>
      </w:r>
      <w:r w:rsidRPr="00CB3921">
        <w:rPr>
          <w:szCs w:val="28"/>
        </w:rPr>
        <w:tab/>
      </w:r>
      <w:r w:rsidR="00C32E80">
        <w:t>Members of the KCI shall prepare an annual report for the forum to consider with a view to making recommendations to the Conference of the Parties, the Conference of the Parties serving as the meeting of the Parties to the Kyoto Protocol and the Conference of the Parties serving as the meeting of the Parties to the Paris Agreement</w:t>
      </w:r>
      <w:r w:rsidR="00C32E80" w:rsidRPr="00CB3921">
        <w:t>.</w:t>
      </w:r>
    </w:p>
    <w:p w14:paraId="4322A2A6" w14:textId="73AE523E" w:rsidR="00C32E80" w:rsidRPr="00CB3921" w:rsidRDefault="005A1A63" w:rsidP="005A1A63">
      <w:pPr>
        <w:pStyle w:val="RegSingleTxtG"/>
      </w:pPr>
      <w:bookmarkStart w:id="43" w:name="_Ref156228725"/>
      <w:r w:rsidRPr="00CB3921">
        <w:t>6.</w:t>
      </w:r>
      <w:r w:rsidRPr="00CB3921">
        <w:tab/>
      </w:r>
      <w:r w:rsidR="00C32E80" w:rsidRPr="00FB29A1">
        <w:t xml:space="preserve">The forum and </w:t>
      </w:r>
      <w:r w:rsidR="00A938CB">
        <w:t>its</w:t>
      </w:r>
      <w:r w:rsidR="00C32E80" w:rsidRPr="00FB29A1">
        <w:t xml:space="preserve"> KCI may use the following modalities, as appropriate and as decided on a case-by-case basis, in order to carry out the work programme of the forum</w:t>
      </w:r>
      <w:r w:rsidR="00C32E80" w:rsidRPr="00CB3921">
        <w:t>:</w:t>
      </w:r>
      <w:bookmarkEnd w:id="43"/>
    </w:p>
    <w:p w14:paraId="22C6A48E" w14:textId="2B04D6B9" w:rsidR="00C32E80" w:rsidRDefault="005A1A63" w:rsidP="005A1A63">
      <w:pPr>
        <w:pStyle w:val="RegSingleTxtG2"/>
        <w:ind w:left="1134" w:firstLine="567"/>
      </w:pPr>
      <w:r>
        <w:rPr>
          <w:szCs w:val="28"/>
        </w:rPr>
        <w:t>(a)</w:t>
      </w:r>
      <w:r>
        <w:rPr>
          <w:szCs w:val="28"/>
        </w:rPr>
        <w:tab/>
      </w:r>
      <w:r w:rsidR="00C32E80">
        <w:t xml:space="preserve">Building awareness and enhancing information-sharing through the exchange and sharing of experience and best practices; </w:t>
      </w:r>
    </w:p>
    <w:p w14:paraId="39A3A4CB" w14:textId="6E96D20B" w:rsidR="00C32E80" w:rsidRDefault="005A1A63" w:rsidP="005A1A63">
      <w:pPr>
        <w:pStyle w:val="RegSingleTxtG2"/>
        <w:tabs>
          <w:tab w:val="left" w:pos="1702"/>
        </w:tabs>
        <w:ind w:left="1134" w:firstLine="567"/>
      </w:pPr>
      <w:r>
        <w:rPr>
          <w:szCs w:val="28"/>
        </w:rPr>
        <w:t>(b)</w:t>
      </w:r>
      <w:r>
        <w:rPr>
          <w:szCs w:val="28"/>
        </w:rPr>
        <w:tab/>
      </w:r>
      <w:r w:rsidR="00C32E80">
        <w:t>Preparing technical papers, national, regional and sector</w:t>
      </w:r>
      <w:r w:rsidR="00A938CB">
        <w:t>-</w:t>
      </w:r>
      <w:r w:rsidR="00C32E80">
        <w:t xml:space="preserve">specific case studies, </w:t>
      </w:r>
      <w:r w:rsidR="00C32E80" w:rsidDel="00AB28AD">
        <w:t>concrete</w:t>
      </w:r>
      <w:r w:rsidR="00C32E80">
        <w:t xml:space="preserve"> examples and guidelines; </w:t>
      </w:r>
    </w:p>
    <w:p w14:paraId="55F5C4FB" w14:textId="290CE415" w:rsidR="00C32E80" w:rsidRDefault="005A1A63" w:rsidP="005A1A63">
      <w:pPr>
        <w:pStyle w:val="RegSingleTxtG2"/>
        <w:tabs>
          <w:tab w:val="left" w:pos="1702"/>
        </w:tabs>
        <w:ind w:left="1134" w:firstLine="567"/>
      </w:pPr>
      <w:r>
        <w:rPr>
          <w:szCs w:val="28"/>
        </w:rPr>
        <w:t>(c)</w:t>
      </w:r>
      <w:r>
        <w:rPr>
          <w:szCs w:val="28"/>
        </w:rPr>
        <w:tab/>
      </w:r>
      <w:r w:rsidR="00C32E80">
        <w:t xml:space="preserve">Receiving input from and facilitating collaboration with experts, practitioners and relevant organizations; </w:t>
      </w:r>
    </w:p>
    <w:p w14:paraId="5092A4BA" w14:textId="661E075A" w:rsidR="00C32E80" w:rsidRDefault="005A1A63" w:rsidP="005A1A63">
      <w:pPr>
        <w:pStyle w:val="RegSingleTxtG2"/>
        <w:tabs>
          <w:tab w:val="left" w:pos="1702"/>
        </w:tabs>
        <w:ind w:left="1134" w:firstLine="567"/>
      </w:pPr>
      <w:r>
        <w:rPr>
          <w:szCs w:val="28"/>
        </w:rPr>
        <w:t>(d)</w:t>
      </w:r>
      <w:r>
        <w:rPr>
          <w:szCs w:val="28"/>
        </w:rPr>
        <w:tab/>
      </w:r>
      <w:r w:rsidR="00C32E80">
        <w:t>Organizing workshops.</w:t>
      </w:r>
    </w:p>
    <w:p w14:paraId="24C661B8" w14:textId="77777777" w:rsidR="00C32E80" w:rsidRDefault="00C32E80" w:rsidP="00C32E80">
      <w:pPr>
        <w:pStyle w:val="HChG"/>
        <w:spacing w:before="0"/>
        <w:sectPr w:rsidR="00C32E80" w:rsidSect="005E4B77">
          <w:headerReference w:type="even" r:id="rId35"/>
          <w:footnotePr>
            <w:numRestart w:val="eachSect"/>
          </w:footnotePr>
          <w:pgSz w:w="11906" w:h="16838" w:code="9"/>
          <w:pgMar w:top="1418" w:right="1134" w:bottom="1134" w:left="1134" w:header="851" w:footer="567" w:gutter="0"/>
          <w:cols w:space="708"/>
          <w:docGrid w:linePitch="360"/>
        </w:sectPr>
      </w:pPr>
    </w:p>
    <w:p w14:paraId="699F83C4" w14:textId="77777777" w:rsidR="00C32E80" w:rsidRPr="00CB3921" w:rsidRDefault="00C32E80" w:rsidP="005A1A63">
      <w:pPr>
        <w:pStyle w:val="RegHChG"/>
        <w:tabs>
          <w:tab w:val="clear" w:pos="1135"/>
          <w:tab w:val="num" w:pos="851"/>
        </w:tabs>
        <w:ind w:left="0" w:hanging="454"/>
      </w:pPr>
      <w:bookmarkStart w:id="44" w:name="_Toc161216126"/>
      <w:r w:rsidRPr="00CB3921">
        <w:t>Annex II</w:t>
      </w:r>
      <w:bookmarkEnd w:id="44"/>
    </w:p>
    <w:p w14:paraId="278EF1B0" w14:textId="77777777" w:rsidR="00C32E80" w:rsidRPr="00CB3921" w:rsidRDefault="00C32E80" w:rsidP="00C32E80">
      <w:pPr>
        <w:pStyle w:val="HChG"/>
        <w:tabs>
          <w:tab w:val="clear" w:pos="851"/>
        </w:tabs>
        <w:ind w:firstLine="0"/>
      </w:pPr>
      <w:r w:rsidRPr="00ED118E">
        <w:t xml:space="preserve">Activities arising from the outcomes of </w:t>
      </w:r>
      <w:r>
        <w:t xml:space="preserve">the </w:t>
      </w:r>
      <w:r w:rsidRPr="00ED118E">
        <w:t>midterm review of the workplan of the forum on the impact of the implementation of response measures and its Katowice Committee of Experts on the Impacts of the Implementation of Response Measures</w:t>
      </w:r>
      <w:r w:rsidRPr="00CF7DDC">
        <w:rPr>
          <w:rStyle w:val="FootnoteReference"/>
          <w:sz w:val="24"/>
          <w:szCs w:val="28"/>
        </w:rPr>
        <w:footnoteReference w:id="30"/>
      </w:r>
    </w:p>
    <w:p w14:paraId="31DAAD9A" w14:textId="1C51DAA7" w:rsidR="00C32E80" w:rsidRDefault="00C32E80" w:rsidP="00C32E80">
      <w:pPr>
        <w:pStyle w:val="RegSingleTxtG"/>
        <w:tabs>
          <w:tab w:val="clear" w:pos="1701"/>
        </w:tabs>
        <w:ind w:firstLine="567"/>
      </w:pPr>
      <w:r>
        <w:t>The following are a</w:t>
      </w:r>
      <w:r w:rsidRPr="00CB26EF">
        <w:t xml:space="preserve">ctivities arising from the outcomes of </w:t>
      </w:r>
      <w:r>
        <w:t xml:space="preserve">the </w:t>
      </w:r>
      <w:r w:rsidRPr="00CB26EF">
        <w:t>midterm review of the workplan of the forum on the impact of the implementation of response measures and its Katowice Committee of Experts on the Impacts of the Implementation of Response Measures</w:t>
      </w:r>
      <w:r w:rsidR="00D058E8">
        <w:t xml:space="preserve"> (KCI)</w:t>
      </w:r>
      <w:r>
        <w:t>:</w:t>
      </w:r>
    </w:p>
    <w:p w14:paraId="2D42BD6B" w14:textId="494B3ADD" w:rsidR="00C32E80" w:rsidRPr="00CB3921" w:rsidRDefault="005A1A63" w:rsidP="005A1A63">
      <w:pPr>
        <w:pStyle w:val="RegSingleTxtG2"/>
        <w:ind w:left="1134" w:firstLine="567"/>
      </w:pPr>
      <w:r w:rsidRPr="00CB3921">
        <w:rPr>
          <w:szCs w:val="28"/>
        </w:rPr>
        <w:t>(a)</w:t>
      </w:r>
      <w:r w:rsidRPr="00CB3921">
        <w:rPr>
          <w:szCs w:val="28"/>
        </w:rPr>
        <w:tab/>
      </w:r>
      <w:r w:rsidR="00362891">
        <w:t>O</w:t>
      </w:r>
      <w:r w:rsidR="00C32E80" w:rsidRPr="00412E99">
        <w:t xml:space="preserve">rganize the exchange and sharing of experience and best practices, to take place at </w:t>
      </w:r>
      <w:r w:rsidR="00DD47A8">
        <w:t>the sixty-second sessions of the subsidiary bodies (</w:t>
      </w:r>
      <w:r w:rsidR="00C32E80" w:rsidRPr="00412E99">
        <w:t>SB</w:t>
      </w:r>
      <w:r w:rsidR="00DD47A8">
        <w:t>)</w:t>
      </w:r>
      <w:r w:rsidR="00C32E80">
        <w:t xml:space="preserve"> (June 2025)</w:t>
      </w:r>
      <w:r w:rsidR="00C32E80" w:rsidRPr="00CB26EF">
        <w:t>,</w:t>
      </w:r>
      <w:r w:rsidR="00C32E80" w:rsidRPr="00412E99">
        <w:t xml:space="preserve"> </w:t>
      </w:r>
      <w:r w:rsidR="00A91866">
        <w:t>in relation to</w:t>
      </w:r>
      <w:r w:rsidR="00C32E80" w:rsidRPr="00412E99">
        <w:t xml:space="preserve"> country case studies pertaining to activity</w:t>
      </w:r>
      <w:r w:rsidR="00C32E80">
        <w:t> </w:t>
      </w:r>
      <w:r w:rsidR="00C32E80" w:rsidRPr="00CB3921">
        <w:t>7</w:t>
      </w:r>
      <w:r w:rsidR="00C32E80" w:rsidRPr="00CB3921">
        <w:rPr>
          <w:rStyle w:val="FootnoteReference"/>
        </w:rPr>
        <w:footnoteReference w:id="31"/>
      </w:r>
      <w:r w:rsidR="00C32E80" w:rsidRPr="00CB3921">
        <w:t xml:space="preserve"> of the workplan, in line with the agreed modalities in the workplan</w:t>
      </w:r>
      <w:r w:rsidR="006A3BED">
        <w:t>, to be implemented by the forum</w:t>
      </w:r>
      <w:r w:rsidR="00C32E80">
        <w:t>;</w:t>
      </w:r>
    </w:p>
    <w:p w14:paraId="74698EDB" w14:textId="3786CBF5" w:rsidR="00C32E80" w:rsidRPr="00CB3921" w:rsidRDefault="005A1A63" w:rsidP="005A1A63">
      <w:pPr>
        <w:pStyle w:val="RegSingleTxtG2"/>
        <w:ind w:left="1134" w:firstLine="567"/>
      </w:pPr>
      <w:r w:rsidRPr="00CB3921">
        <w:rPr>
          <w:szCs w:val="28"/>
        </w:rPr>
        <w:t>(b)</w:t>
      </w:r>
      <w:r w:rsidRPr="00CB3921">
        <w:rPr>
          <w:szCs w:val="28"/>
        </w:rPr>
        <w:tab/>
      </w:r>
      <w:r w:rsidR="006A3BED">
        <w:t>D</w:t>
      </w:r>
      <w:r w:rsidR="00C32E80" w:rsidRPr="003A2D79">
        <w:t xml:space="preserve">evelop a case study in each </w:t>
      </w:r>
      <w:r w:rsidR="00C32E80">
        <w:t xml:space="preserve">of the five </w:t>
      </w:r>
      <w:r w:rsidR="00C32E80" w:rsidRPr="00CB26EF">
        <w:t>U</w:t>
      </w:r>
      <w:r w:rsidR="00C32E80">
        <w:t xml:space="preserve">nited </w:t>
      </w:r>
      <w:r w:rsidR="00C32E80" w:rsidRPr="00CB26EF">
        <w:t>N</w:t>
      </w:r>
      <w:r w:rsidR="00C32E80">
        <w:t>ations</w:t>
      </w:r>
      <w:r w:rsidR="00C32E80" w:rsidRPr="00CB26EF">
        <w:t xml:space="preserve"> region</w:t>
      </w:r>
      <w:r w:rsidR="00C32E80">
        <w:t>s</w:t>
      </w:r>
      <w:r w:rsidR="00C32E80" w:rsidRPr="003A2D79">
        <w:t xml:space="preserve"> in accordance with activity</w:t>
      </w:r>
      <w:r w:rsidR="00C32E80">
        <w:t> </w:t>
      </w:r>
      <w:r w:rsidR="00C32E80" w:rsidRPr="003A2D79">
        <w:t>7 of the workplan</w:t>
      </w:r>
      <w:r w:rsidR="00C32E80">
        <w:t>,</w:t>
      </w:r>
      <w:r w:rsidR="00C32E80" w:rsidRPr="003A2D79">
        <w:t xml:space="preserve"> </w:t>
      </w:r>
      <w:r w:rsidR="006A3BED">
        <w:t>to be impl</w:t>
      </w:r>
      <w:r w:rsidR="00C165CF">
        <w:t>ement</w:t>
      </w:r>
      <w:r w:rsidR="006A3BED">
        <w:t xml:space="preserve">ed by the KCI </w:t>
      </w:r>
      <w:r w:rsidR="00C32E80" w:rsidRPr="003A2D79">
        <w:t>by SB 63</w:t>
      </w:r>
      <w:r w:rsidR="00C32E80">
        <w:t xml:space="preserve"> (November 2025);</w:t>
      </w:r>
    </w:p>
    <w:p w14:paraId="109A515C" w14:textId="1012AD16" w:rsidR="00C32E80" w:rsidRDefault="005A1A63" w:rsidP="005A1A63">
      <w:pPr>
        <w:pStyle w:val="RegSingleTxtG2"/>
        <w:ind w:left="1134" w:firstLine="567"/>
      </w:pPr>
      <w:r>
        <w:rPr>
          <w:szCs w:val="28"/>
        </w:rPr>
        <w:t>(c)</w:t>
      </w:r>
      <w:r>
        <w:rPr>
          <w:szCs w:val="28"/>
        </w:rPr>
        <w:tab/>
      </w:r>
      <w:r w:rsidR="00C32E80">
        <w:t xml:space="preserve">Promote the exchange of experience </w:t>
      </w:r>
      <w:r w:rsidR="00C165CF">
        <w:t>in relation to</w:t>
      </w:r>
      <w:r w:rsidR="00C32E80">
        <w:t xml:space="preserve"> national and subnational legislation, action plans, frameworks and other structural factors for just transition and economic diversification and transformation, to be implemented at SB 62 by the forum through the exchange of best practices;</w:t>
      </w:r>
    </w:p>
    <w:p w14:paraId="0B2FFC2F" w14:textId="51ED1A31" w:rsidR="00C32E80" w:rsidRDefault="005A1A63" w:rsidP="005A1A63">
      <w:pPr>
        <w:pStyle w:val="RegSingleTxtG2"/>
        <w:ind w:left="1134" w:firstLine="567"/>
      </w:pPr>
      <w:r>
        <w:rPr>
          <w:szCs w:val="28"/>
        </w:rPr>
        <w:t>(d)</w:t>
      </w:r>
      <w:r>
        <w:rPr>
          <w:szCs w:val="28"/>
        </w:rPr>
        <w:tab/>
      </w:r>
      <w:r w:rsidR="00C32E80">
        <w:t>Build awareness about the positive and negative impacts associated with low</w:t>
      </w:r>
      <w:r w:rsidR="00B51D5A">
        <w:t>-</w:t>
      </w:r>
      <w:r w:rsidR="00CB4121">
        <w:t> </w:t>
      </w:r>
      <w:r w:rsidR="00C32E80">
        <w:t>and zero</w:t>
      </w:r>
      <w:r w:rsidR="00B51D5A">
        <w:t>-</w:t>
      </w:r>
      <w:r w:rsidR="00C32E80">
        <w:t>emission transport technologies, to be implemented at SB 60 (June 2024)</w:t>
      </w:r>
      <w:r w:rsidR="00C32E80" w:rsidRPr="00CB26EF">
        <w:t xml:space="preserve"> </w:t>
      </w:r>
      <w:r w:rsidR="00C32E80">
        <w:t>by the forum through the exchange and sharing of experience, best practices and key findings;</w:t>
      </w:r>
    </w:p>
    <w:p w14:paraId="4AEA4EAC" w14:textId="20C57383" w:rsidR="00C32E80" w:rsidRDefault="005A1A63" w:rsidP="005A1A63">
      <w:pPr>
        <w:pStyle w:val="RegSingleTxtG2"/>
        <w:ind w:left="1134" w:firstLine="567"/>
      </w:pPr>
      <w:r>
        <w:rPr>
          <w:szCs w:val="28"/>
        </w:rPr>
        <w:t>(e)</w:t>
      </w:r>
      <w:r>
        <w:rPr>
          <w:szCs w:val="28"/>
        </w:rPr>
        <w:tab/>
      </w:r>
      <w:r w:rsidR="00C32E80">
        <w:t>Facilitate</w:t>
      </w:r>
      <w:r w:rsidR="00583928">
        <w:t xml:space="preserve"> the</w:t>
      </w:r>
      <w:r w:rsidR="00C32E80">
        <w:t xml:space="preserve"> exchange and shar</w:t>
      </w:r>
      <w:r w:rsidR="00583928">
        <w:t>ing</w:t>
      </w:r>
      <w:r w:rsidR="00C32E80">
        <w:t xml:space="preserve"> </w:t>
      </w:r>
      <w:r w:rsidR="00583928">
        <w:t xml:space="preserve">of </w:t>
      </w:r>
      <w:r w:rsidR="00C32E80">
        <w:t>experience and best practices in the assessment of the environmental, social and economic co-benefits of climate change policies and actions informed by the best available science, including the use of existing tools and methodologies, to be implemented at SB 62 by the KCI through</w:t>
      </w:r>
      <w:r w:rsidR="00583928">
        <w:t xml:space="preserve"> </w:t>
      </w:r>
      <w:r w:rsidR="00C32E80" w:rsidDel="00583928">
        <w:t>concrete</w:t>
      </w:r>
      <w:r w:rsidR="00C32E80">
        <w:t xml:space="preserve"> examples and input from experts, practitioners and relevant organizations, and by the forum through the exchange and sharing of experience, best practices and key findings</w:t>
      </w:r>
      <w:r w:rsidR="00C32E80" w:rsidRPr="00836E25">
        <w:t>.</w:t>
      </w:r>
    </w:p>
    <w:p w14:paraId="5FEBD97E" w14:textId="4BBF769E" w:rsidR="007E513D" w:rsidRPr="002445B1" w:rsidRDefault="001C2386" w:rsidP="0079125D">
      <w:pPr>
        <w:pStyle w:val="RegSingleTxtG"/>
        <w:spacing w:after="0" w:line="20" w:lineRule="atLeast"/>
        <w:jc w:val="right"/>
        <w:rPr>
          <w:i/>
          <w:iCs/>
        </w:rPr>
      </w:pPr>
      <w:r>
        <w:rPr>
          <w:i/>
          <w:iCs/>
        </w:rPr>
        <w:t>6</w:t>
      </w:r>
      <w:r w:rsidRPr="001C2386">
        <w:rPr>
          <w:i/>
          <w:iCs/>
          <w:vertAlign w:val="superscript"/>
        </w:rPr>
        <w:t>th</w:t>
      </w:r>
      <w:r>
        <w:rPr>
          <w:i/>
          <w:iCs/>
        </w:rPr>
        <w:t xml:space="preserve"> </w:t>
      </w:r>
      <w:r w:rsidR="007E513D" w:rsidRPr="002445B1">
        <w:rPr>
          <w:i/>
          <w:iCs/>
        </w:rPr>
        <w:t>plenary me</w:t>
      </w:r>
      <w:r w:rsidR="00A4536D">
        <w:rPr>
          <w:i/>
          <w:iCs/>
        </w:rPr>
        <w:t>e</w:t>
      </w:r>
      <w:r w:rsidR="007E513D" w:rsidRPr="002445B1">
        <w:rPr>
          <w:i/>
          <w:iCs/>
        </w:rPr>
        <w:t>ting</w:t>
      </w:r>
    </w:p>
    <w:p w14:paraId="76039255" w14:textId="77777777" w:rsidR="007E513D" w:rsidRPr="00D344A3" w:rsidRDefault="007E513D" w:rsidP="0079125D">
      <w:pPr>
        <w:pStyle w:val="RegSingleTxtG"/>
        <w:spacing w:after="0" w:line="20" w:lineRule="atLeast"/>
        <w:jc w:val="right"/>
        <w:rPr>
          <w:i/>
          <w:iCs/>
        </w:rPr>
      </w:pPr>
      <w:r w:rsidRPr="002445B1">
        <w:rPr>
          <w:i/>
          <w:iCs/>
        </w:rPr>
        <w:t>13 December 2023</w:t>
      </w:r>
    </w:p>
    <w:p w14:paraId="3226EE92" w14:textId="77777777" w:rsidR="00C32E80" w:rsidRPr="00D85D62" w:rsidRDefault="00C32E80" w:rsidP="00C32E80"/>
    <w:p w14:paraId="5644628A" w14:textId="77777777" w:rsidR="00D07F45" w:rsidRDefault="00D07F45" w:rsidP="002C12AA">
      <w:pPr>
        <w:pStyle w:val="HChG"/>
        <w:sectPr w:rsidR="00D07F45" w:rsidSect="000D19EC">
          <w:headerReference w:type="even" r:id="rId36"/>
          <w:headerReference w:type="default" r:id="rId37"/>
          <w:footerReference w:type="even" r:id="rId38"/>
          <w:footerReference w:type="default" r:id="rId39"/>
          <w:footnotePr>
            <w:numRestart w:val="eachSect"/>
          </w:footnotePr>
          <w:pgSz w:w="11906" w:h="16838" w:code="9"/>
          <w:pgMar w:top="1418" w:right="1134" w:bottom="1134" w:left="1134" w:header="850" w:footer="567" w:gutter="0"/>
          <w:cols w:space="708"/>
          <w:docGrid w:linePitch="360"/>
        </w:sectPr>
      </w:pPr>
    </w:p>
    <w:p w14:paraId="1E078377" w14:textId="33344FE5" w:rsidR="000C0AAD" w:rsidRDefault="00166533" w:rsidP="004A4386">
      <w:pPr>
        <w:pStyle w:val="HChG"/>
      </w:pPr>
      <w:r>
        <w:tab/>
      </w:r>
      <w:bookmarkStart w:id="45" w:name="_Toc161216127"/>
      <w:bookmarkStart w:id="46" w:name="Decision14"/>
      <w:r w:rsidR="004A4386">
        <w:tab/>
      </w:r>
      <w:r w:rsidR="000C0AAD" w:rsidRPr="00A17D7E">
        <w:t xml:space="preserve">Decision </w:t>
      </w:r>
      <w:r w:rsidR="000C0AAD">
        <w:t>14</w:t>
      </w:r>
      <w:r w:rsidR="000C0AAD" w:rsidRPr="00A17D7E">
        <w:t>/CP.28</w:t>
      </w:r>
      <w:bookmarkEnd w:id="45"/>
      <w:bookmarkEnd w:id="46"/>
    </w:p>
    <w:p w14:paraId="214B40D4" w14:textId="6203E02A" w:rsidR="000C0AAD" w:rsidRPr="00A96DC7" w:rsidRDefault="007A7BF6" w:rsidP="000F3BE7">
      <w:pPr>
        <w:pStyle w:val="HChG"/>
      </w:pPr>
      <w:r>
        <w:tab/>
      </w:r>
      <w:r>
        <w:tab/>
      </w:r>
      <w:r w:rsidR="000C0AAD" w:rsidRPr="003878EF">
        <w:t>Sixth Assessment Report of the Intergovernmental Panel on Climate Change</w:t>
      </w:r>
    </w:p>
    <w:p w14:paraId="5F02BB43" w14:textId="77777777" w:rsidR="000C0AAD" w:rsidRPr="0079125D" w:rsidRDefault="000C0AAD" w:rsidP="000C0AAD">
      <w:pPr>
        <w:pStyle w:val="RegSingleTxtG"/>
      </w:pPr>
      <w:r>
        <w:tab/>
      </w:r>
      <w:r>
        <w:tab/>
      </w:r>
      <w:r w:rsidRPr="00731095">
        <w:rPr>
          <w:i/>
          <w:iCs/>
        </w:rPr>
        <w:t>The Conference of the Parties</w:t>
      </w:r>
      <w:r w:rsidRPr="00731095">
        <w:t>,</w:t>
      </w:r>
    </w:p>
    <w:p w14:paraId="06D6E6AA" w14:textId="2913BFE7" w:rsidR="000C0AAD" w:rsidRPr="00731095" w:rsidRDefault="000C0AAD" w:rsidP="000C0AAD">
      <w:pPr>
        <w:pStyle w:val="RegSingleTxtG"/>
      </w:pPr>
      <w:r w:rsidRPr="00731095">
        <w:tab/>
      </w:r>
      <w:r w:rsidRPr="00731095">
        <w:rPr>
          <w:i/>
          <w:iCs/>
        </w:rPr>
        <w:t>Recalling</w:t>
      </w:r>
      <w:r w:rsidRPr="00731095">
        <w:t xml:space="preserve"> decisions 6/CP.1, 6/CP.2, 25/CP.7, 5/CP.13</w:t>
      </w:r>
      <w:r>
        <w:t xml:space="preserve"> and </w:t>
      </w:r>
      <w:r w:rsidRPr="00731095">
        <w:t xml:space="preserve">12/CP.20, </w:t>
      </w:r>
    </w:p>
    <w:p w14:paraId="56C14095" w14:textId="6061BE11" w:rsidR="00133450" w:rsidRPr="00156C33" w:rsidRDefault="005A1A63" w:rsidP="005A1A63">
      <w:pPr>
        <w:pStyle w:val="RegSingleTxtG"/>
      </w:pPr>
      <w:r w:rsidRPr="00156C33">
        <w:t>1.</w:t>
      </w:r>
      <w:r w:rsidRPr="00156C33">
        <w:tab/>
      </w:r>
      <w:r w:rsidR="00133450" w:rsidRPr="00B927EE">
        <w:rPr>
          <w:i/>
          <w:iCs/>
        </w:rPr>
        <w:t>Welcomes</w:t>
      </w:r>
      <w:r w:rsidR="00133450" w:rsidRPr="00162BF9">
        <w:t xml:space="preserve"> </w:t>
      </w:r>
      <w:r w:rsidR="00133450" w:rsidRPr="00156C33">
        <w:t xml:space="preserve">the Sixth Assessment Report of the Intergovernmental Panel on Climate Change and </w:t>
      </w:r>
      <w:r w:rsidR="00133450" w:rsidRPr="00811081">
        <w:rPr>
          <w:i/>
          <w:iCs/>
        </w:rPr>
        <w:t>expresses</w:t>
      </w:r>
      <w:r w:rsidR="00133450" w:rsidRPr="0079125D">
        <w:rPr>
          <w:i/>
          <w:iCs/>
        </w:rPr>
        <w:t xml:space="preserve"> appreciation and gratitude</w:t>
      </w:r>
      <w:r w:rsidR="00133450" w:rsidRPr="00156C33">
        <w:t xml:space="preserve"> to those involved in preparing the reports in the sixth assessment cycle for their excellent work and dedication to continuing their work during the extraordinary circumstances of the pandemic;</w:t>
      </w:r>
    </w:p>
    <w:p w14:paraId="4ED7838C" w14:textId="77284EBE" w:rsidR="00133450" w:rsidRPr="00162BF9" w:rsidRDefault="005A1A63" w:rsidP="005A1A63">
      <w:pPr>
        <w:pStyle w:val="RegSingleTxtG"/>
      </w:pPr>
      <w:r w:rsidRPr="00162BF9">
        <w:t>2.</w:t>
      </w:r>
      <w:r w:rsidRPr="00162BF9">
        <w:tab/>
      </w:r>
      <w:r w:rsidR="00133450" w:rsidRPr="008B7369">
        <w:rPr>
          <w:i/>
        </w:rPr>
        <w:t>Recognizes</w:t>
      </w:r>
      <w:r w:rsidR="00133450" w:rsidRPr="00162BF9">
        <w:t xml:space="preserve"> that the Sixth Assessment Report represents a more comprehensive and robust assessment of climate change than the Fifth Assessment Report, with an increased scope compared with previous assessment cycles, providing integrated scientific, technical and socioeconomic information; </w:t>
      </w:r>
    </w:p>
    <w:p w14:paraId="3CDE6F85" w14:textId="56723A02" w:rsidR="00133450" w:rsidRPr="00162BF9" w:rsidRDefault="005A1A63" w:rsidP="005A1A63">
      <w:pPr>
        <w:pStyle w:val="RegSingleTxtG"/>
      </w:pPr>
      <w:r w:rsidRPr="00162BF9">
        <w:t>3.</w:t>
      </w:r>
      <w:r w:rsidRPr="00162BF9">
        <w:tab/>
      </w:r>
      <w:r w:rsidR="00133450" w:rsidRPr="008B7369">
        <w:rPr>
          <w:i/>
        </w:rPr>
        <w:t xml:space="preserve">Encourages </w:t>
      </w:r>
      <w:r w:rsidR="00133450" w:rsidRPr="00162BF9">
        <w:t>the scientific community to continue expanding the scientific knowledge base on climate change and addressing knowledge gaps with a view to supporting the seventh Intergovernmental Panel on Climate Change assessment cycle;</w:t>
      </w:r>
    </w:p>
    <w:p w14:paraId="3C691D1B" w14:textId="742F5239" w:rsidR="00133450" w:rsidRPr="00162BF9" w:rsidRDefault="005A1A63" w:rsidP="005A1A63">
      <w:pPr>
        <w:pStyle w:val="RegSingleTxtG"/>
      </w:pPr>
      <w:r w:rsidRPr="00162BF9">
        <w:t>4.</w:t>
      </w:r>
      <w:r w:rsidRPr="00162BF9">
        <w:tab/>
      </w:r>
      <w:r w:rsidR="00133450" w:rsidRPr="008B7369">
        <w:rPr>
          <w:i/>
        </w:rPr>
        <w:t>Also</w:t>
      </w:r>
      <w:r w:rsidR="00133450" w:rsidRPr="00200CBA">
        <w:rPr>
          <w:i/>
        </w:rPr>
        <w:t xml:space="preserve"> encourages</w:t>
      </w:r>
      <w:r w:rsidR="00133450" w:rsidRPr="00162BF9">
        <w:t xml:space="preserve"> Parties to continue making use of the Sixth Assessment Report to inform their discussions under relevant agenda items;</w:t>
      </w:r>
    </w:p>
    <w:p w14:paraId="278E5BD8" w14:textId="20F8645F" w:rsidR="00133450" w:rsidRPr="00162BF9" w:rsidRDefault="005A1A63" w:rsidP="005A1A63">
      <w:pPr>
        <w:pStyle w:val="RegSingleTxtG"/>
      </w:pPr>
      <w:r w:rsidRPr="00162BF9">
        <w:t>5.</w:t>
      </w:r>
      <w:r w:rsidRPr="00162BF9">
        <w:tab/>
      </w:r>
      <w:r w:rsidR="00133450" w:rsidRPr="0075051C">
        <w:rPr>
          <w:i/>
        </w:rPr>
        <w:t>Further</w:t>
      </w:r>
      <w:r w:rsidR="00133450" w:rsidRPr="00200CBA">
        <w:rPr>
          <w:i/>
        </w:rPr>
        <w:t xml:space="preserve"> encourages</w:t>
      </w:r>
      <w:r w:rsidR="00133450" w:rsidRPr="00162BF9">
        <w:t xml:space="preserve"> Parties to continue drawing on the information in the Sixth Assessment Report to inform national climate policies and action plans, as appropriate;</w:t>
      </w:r>
    </w:p>
    <w:p w14:paraId="1B662871" w14:textId="757B9462" w:rsidR="00133450" w:rsidRPr="00162BF9" w:rsidRDefault="005A1A63" w:rsidP="005A1A63">
      <w:pPr>
        <w:pStyle w:val="RegSingleTxtG"/>
      </w:pPr>
      <w:r w:rsidRPr="00162BF9">
        <w:t>6.</w:t>
      </w:r>
      <w:r w:rsidRPr="00162BF9">
        <w:tab/>
      </w:r>
      <w:r w:rsidR="00133450" w:rsidRPr="00B82B73">
        <w:rPr>
          <w:i/>
        </w:rPr>
        <w:t>Invites</w:t>
      </w:r>
      <w:r w:rsidR="00133450" w:rsidRPr="00162BF9">
        <w:t xml:space="preserve"> the Intergovernmental Panel on Climate Change to continue providing relevant information to Parties on the scientific, technical and socioeconomic aspects of climate change and to take into account, in determining its future products and assessment cycles, work under the Convention and the Paris Agreement;</w:t>
      </w:r>
    </w:p>
    <w:p w14:paraId="392A28A7" w14:textId="292B1970" w:rsidR="00133450" w:rsidRDefault="005A1A63" w:rsidP="005A1A63">
      <w:pPr>
        <w:pStyle w:val="RegSingleTxtG"/>
      </w:pPr>
      <w:r>
        <w:t>7.</w:t>
      </w:r>
      <w:r>
        <w:tab/>
      </w:r>
      <w:r w:rsidR="00133450" w:rsidRPr="00B82B73">
        <w:rPr>
          <w:i/>
        </w:rPr>
        <w:t>Encourages</w:t>
      </w:r>
      <w:r w:rsidR="00133450" w:rsidRPr="00162BF9">
        <w:t xml:space="preserve"> Parties to continue supporting the work of the Intergovernmental Panel on Climate Change.</w:t>
      </w:r>
    </w:p>
    <w:p w14:paraId="69B30371" w14:textId="6ABAC6A3" w:rsidR="007E513D" w:rsidRPr="002445B1" w:rsidRDefault="009247D8" w:rsidP="0079125D">
      <w:pPr>
        <w:pStyle w:val="RegSingleTxtG"/>
        <w:spacing w:after="0" w:line="20" w:lineRule="atLeast"/>
        <w:jc w:val="right"/>
        <w:rPr>
          <w:i/>
          <w:iCs/>
        </w:rPr>
      </w:pPr>
      <w:r>
        <w:rPr>
          <w:i/>
          <w:iCs/>
        </w:rPr>
        <w:t>5</w:t>
      </w:r>
      <w:r w:rsidRPr="009247D8">
        <w:rPr>
          <w:i/>
          <w:iCs/>
          <w:vertAlign w:val="superscript"/>
        </w:rPr>
        <w:t>th</w:t>
      </w:r>
      <w:r>
        <w:rPr>
          <w:i/>
          <w:iCs/>
        </w:rPr>
        <w:t xml:space="preserve"> </w:t>
      </w:r>
      <w:r w:rsidR="007E513D" w:rsidRPr="002445B1">
        <w:rPr>
          <w:i/>
          <w:iCs/>
        </w:rPr>
        <w:t>plenary m</w:t>
      </w:r>
      <w:r w:rsidR="00A4536D">
        <w:rPr>
          <w:i/>
          <w:iCs/>
        </w:rPr>
        <w:t>ee</w:t>
      </w:r>
      <w:r w:rsidR="007E513D" w:rsidRPr="002445B1">
        <w:rPr>
          <w:i/>
          <w:iCs/>
        </w:rPr>
        <w:t>ting</w:t>
      </w:r>
    </w:p>
    <w:p w14:paraId="1397F4CD" w14:textId="6DE28A21" w:rsidR="007E513D" w:rsidRPr="00D344A3" w:rsidRDefault="007E513D" w:rsidP="0079125D">
      <w:pPr>
        <w:pStyle w:val="RegSingleTxtG"/>
        <w:spacing w:after="0" w:line="20" w:lineRule="atLeast"/>
        <w:jc w:val="right"/>
        <w:rPr>
          <w:i/>
          <w:iCs/>
        </w:rPr>
      </w:pPr>
      <w:r w:rsidRPr="002445B1">
        <w:rPr>
          <w:i/>
          <w:iCs/>
        </w:rPr>
        <w:t>1</w:t>
      </w:r>
      <w:r w:rsidR="009247D8">
        <w:rPr>
          <w:i/>
          <w:iCs/>
        </w:rPr>
        <w:t>1</w:t>
      </w:r>
      <w:r w:rsidRPr="002445B1">
        <w:rPr>
          <w:i/>
          <w:iCs/>
        </w:rPr>
        <w:t xml:space="preserve"> December 2023</w:t>
      </w:r>
    </w:p>
    <w:p w14:paraId="45FE4858" w14:textId="77777777" w:rsidR="007E513D" w:rsidRDefault="007E513D" w:rsidP="007E513D">
      <w:pPr>
        <w:pStyle w:val="RegSingleTxtG"/>
        <w:tabs>
          <w:tab w:val="clear" w:pos="1701"/>
        </w:tabs>
        <w:ind w:left="1440"/>
      </w:pPr>
    </w:p>
    <w:p w14:paraId="71CB37C7" w14:textId="77777777" w:rsidR="0050690A" w:rsidRDefault="0050690A" w:rsidP="006C0696">
      <w:pPr>
        <w:pStyle w:val="HChG"/>
        <w:ind w:left="0" w:firstLine="0"/>
        <w:sectPr w:rsidR="0050690A" w:rsidSect="000D19EC">
          <w:headerReference w:type="even" r:id="rId40"/>
          <w:headerReference w:type="default" r:id="rId41"/>
          <w:footerReference w:type="even" r:id="rId42"/>
          <w:footerReference w:type="default" r:id="rId43"/>
          <w:endnotePr>
            <w:numFmt w:val="lowerLetter"/>
            <w:numRestart w:val="eachSect"/>
          </w:endnotePr>
          <w:pgSz w:w="11906" w:h="16838" w:code="9"/>
          <w:pgMar w:top="1418" w:right="1134" w:bottom="1134" w:left="1134" w:header="850" w:footer="567" w:gutter="0"/>
          <w:cols w:space="708"/>
          <w:docGrid w:linePitch="360"/>
        </w:sectPr>
      </w:pPr>
    </w:p>
    <w:p w14:paraId="3B97166B" w14:textId="36EB169F" w:rsidR="006C0696" w:rsidRDefault="002E6F64" w:rsidP="002121D0">
      <w:pPr>
        <w:pStyle w:val="HChG"/>
      </w:pPr>
      <w:r>
        <w:tab/>
      </w:r>
      <w:bookmarkStart w:id="47" w:name="_Toc161216128"/>
      <w:bookmarkStart w:id="48" w:name="Decision15"/>
      <w:r w:rsidR="002121D0">
        <w:tab/>
      </w:r>
      <w:r w:rsidR="006C0696" w:rsidRPr="00227336">
        <w:t>Decision 15/CP.28</w:t>
      </w:r>
      <w:bookmarkEnd w:id="47"/>
    </w:p>
    <w:bookmarkEnd w:id="48"/>
    <w:p w14:paraId="2E43DE50" w14:textId="71DFD16F" w:rsidR="006C0696" w:rsidRPr="009B600A" w:rsidRDefault="002E6F64" w:rsidP="002E6F64">
      <w:pPr>
        <w:pStyle w:val="HChG"/>
      </w:pPr>
      <w:r>
        <w:tab/>
      </w:r>
      <w:r>
        <w:tab/>
      </w:r>
      <w:r w:rsidR="006C0696">
        <w:t>Gender and climate change</w:t>
      </w:r>
    </w:p>
    <w:p w14:paraId="7CB47BED" w14:textId="08479213" w:rsidR="006C0696" w:rsidRPr="0079125D" w:rsidRDefault="00166533" w:rsidP="00166533">
      <w:pPr>
        <w:pStyle w:val="RegSingleTxtG"/>
        <w:spacing w:before="120"/>
        <w:ind w:right="1133"/>
        <w:rPr>
          <w:iCs/>
          <w:lang w:val="en-US"/>
        </w:rPr>
      </w:pPr>
      <w:r>
        <w:rPr>
          <w:i/>
          <w:lang w:val="en-US"/>
        </w:rPr>
        <w:tab/>
      </w:r>
      <w:r w:rsidR="006C0696" w:rsidRPr="008926FB">
        <w:rPr>
          <w:i/>
          <w:lang w:val="en-US"/>
        </w:rPr>
        <w:t>The Conference of the</w:t>
      </w:r>
      <w:r w:rsidR="006C0696">
        <w:rPr>
          <w:i/>
          <w:lang w:val="en-US"/>
        </w:rPr>
        <w:t xml:space="preserve"> Parties</w:t>
      </w:r>
      <w:r w:rsidR="006C0696" w:rsidRPr="00EF0494">
        <w:rPr>
          <w:lang w:val="en-US"/>
        </w:rPr>
        <w:t>,</w:t>
      </w:r>
      <w:r w:rsidR="006C0696" w:rsidRPr="0079125D">
        <w:rPr>
          <w:iCs/>
          <w:lang w:val="en-US"/>
        </w:rPr>
        <w:t xml:space="preserve"> </w:t>
      </w:r>
    </w:p>
    <w:p w14:paraId="33031D46" w14:textId="05866DE9" w:rsidR="006C0696" w:rsidRPr="009F2D76" w:rsidRDefault="004C7A6E" w:rsidP="0079125D">
      <w:pPr>
        <w:pStyle w:val="RegSingleTxtG"/>
        <w:spacing w:before="120"/>
        <w:ind w:right="1133"/>
        <w:rPr>
          <w:rFonts w:eastAsia="Times New Roman"/>
        </w:rPr>
      </w:pPr>
      <w:r>
        <w:rPr>
          <w:rFonts w:eastAsia="Times New Roman"/>
          <w:i/>
          <w:iCs/>
        </w:rPr>
        <w:tab/>
      </w:r>
      <w:r w:rsidR="006C0696" w:rsidRPr="009F2D76">
        <w:rPr>
          <w:rFonts w:eastAsia="Times New Roman"/>
          <w:i/>
          <w:iCs/>
        </w:rPr>
        <w:t>Recalling</w:t>
      </w:r>
      <w:r w:rsidR="006C0696" w:rsidRPr="009F2D76">
        <w:rPr>
          <w:rFonts w:eastAsia="Times New Roman"/>
        </w:rPr>
        <w:t xml:space="preserve"> decisions 36/CP.7, 1/CP.16, 23/CP.18, 18/CP.20, 1/CP.21, 21/CP.22, 3/CP.23, 3/CP.25, 20/CP.26 and 24/CP.27, the Paris Agreement and the Katowice climate package,</w:t>
      </w:r>
    </w:p>
    <w:p w14:paraId="1986C8BE" w14:textId="11333207" w:rsidR="006C0696" w:rsidRPr="009F2D76" w:rsidRDefault="004C7A6E" w:rsidP="0079125D">
      <w:pPr>
        <w:pStyle w:val="RegSingleTxtG"/>
        <w:spacing w:before="120"/>
        <w:ind w:right="1133"/>
        <w:rPr>
          <w:rFonts w:eastAsia="Times New Roman"/>
        </w:rPr>
      </w:pPr>
      <w:r>
        <w:rPr>
          <w:rFonts w:eastAsia="Times New Roman"/>
          <w:i/>
          <w:iCs/>
        </w:rPr>
        <w:tab/>
      </w:r>
      <w:r w:rsidR="006C0696" w:rsidRPr="009F2D76">
        <w:rPr>
          <w:rFonts w:eastAsia="Times New Roman"/>
          <w:i/>
          <w:iCs/>
        </w:rPr>
        <w:t>Acknowledging</w:t>
      </w:r>
      <w:r w:rsidR="006C0696" w:rsidRPr="009F2D76">
        <w:rPr>
          <w:rFonts w:eastAsia="Times New Roman"/>
        </w:rPr>
        <w:t xml:space="preserve"> the important role of the enhanced Lima work programme on gender and its gender action plan</w:t>
      </w:r>
      <w:r w:rsidR="006C0696" w:rsidRPr="009F2D76">
        <w:rPr>
          <w:rStyle w:val="FootnoteReference"/>
          <w:rFonts w:eastAsia="Times New Roman"/>
          <w:szCs w:val="18"/>
        </w:rPr>
        <w:footnoteReference w:id="32"/>
      </w:r>
      <w:r w:rsidR="006C0696" w:rsidRPr="009F2D76">
        <w:rPr>
          <w:rFonts w:eastAsia="Times New Roman"/>
        </w:rPr>
        <w:t xml:space="preserve"> in advancing gender equality and the empowerment of women and girls in the UNFCCC process,</w:t>
      </w:r>
    </w:p>
    <w:p w14:paraId="62CFF158" w14:textId="7412FABA" w:rsidR="006C0696" w:rsidRPr="009F2D76" w:rsidRDefault="004C7A6E" w:rsidP="0079125D">
      <w:pPr>
        <w:pStyle w:val="RegSingleTxtG"/>
        <w:spacing w:before="120"/>
        <w:ind w:right="1133"/>
        <w:rPr>
          <w:rFonts w:eastAsia="Times New Roman"/>
        </w:rPr>
      </w:pPr>
      <w:r>
        <w:rPr>
          <w:rFonts w:eastAsia="Times New Roman"/>
          <w:i/>
          <w:iCs/>
        </w:rPr>
        <w:tab/>
      </w:r>
      <w:r w:rsidR="006C0696" w:rsidRPr="009F2D76">
        <w:rPr>
          <w:rFonts w:eastAsia="Times New Roman"/>
          <w:i/>
          <w:iCs/>
        </w:rPr>
        <w:t>Noting with appreciation</w:t>
      </w:r>
      <w:r w:rsidR="006C0696" w:rsidRPr="009F2D76">
        <w:rPr>
          <w:rFonts w:eastAsia="Times New Roman"/>
        </w:rPr>
        <w:t xml:space="preserve"> the contributions received from Parties and observers in support of the work undertaken through the enhanced Lima work programme on gender and its gender action plan to date,</w:t>
      </w:r>
    </w:p>
    <w:p w14:paraId="5E6AB261" w14:textId="0FE3901C" w:rsidR="006C0696" w:rsidRPr="009F2D76" w:rsidRDefault="004C7A6E" w:rsidP="0079125D">
      <w:pPr>
        <w:pStyle w:val="RegSingleTxtG"/>
        <w:spacing w:before="120"/>
        <w:ind w:left="1135" w:right="1133"/>
        <w:rPr>
          <w:rFonts w:eastAsia="Times New Roman"/>
        </w:rPr>
      </w:pPr>
      <w:r>
        <w:rPr>
          <w:rFonts w:eastAsia="Times New Roman"/>
          <w:i/>
          <w:iCs/>
        </w:rPr>
        <w:tab/>
      </w:r>
      <w:r w:rsidR="006C0696" w:rsidRPr="009F2D76">
        <w:rPr>
          <w:rFonts w:eastAsia="Times New Roman"/>
          <w:i/>
          <w:iCs/>
        </w:rPr>
        <w:t>Reiterating</w:t>
      </w:r>
      <w:r w:rsidR="006C0696" w:rsidRPr="009F2D76">
        <w:rPr>
          <w:rFonts w:eastAsia="Times New Roman"/>
        </w:rPr>
        <w:t xml:space="preserve"> that the full, meaningful and equal participation and leadership of women in all aspects of the UNFCCC process and in national- and local-level climate policy and action is vital for achieving long-term climate goals</w:t>
      </w:r>
      <w:r w:rsidR="006C0696" w:rsidRPr="009F2D76">
        <w:rPr>
          <w:rStyle w:val="FootnoteReference"/>
          <w:rFonts w:eastAsia="Times New Roman"/>
          <w:szCs w:val="18"/>
        </w:rPr>
        <w:footnoteReference w:id="33"/>
      </w:r>
      <w:r w:rsidR="006C0696" w:rsidRPr="009F2D76">
        <w:rPr>
          <w:rFonts w:eastAsia="Times New Roman"/>
        </w:rPr>
        <w:t xml:space="preserve"> and </w:t>
      </w:r>
      <w:r w:rsidR="006C0696" w:rsidRPr="009F2D76">
        <w:rPr>
          <w:rFonts w:eastAsia="Times New Roman"/>
          <w:i/>
          <w:iCs/>
        </w:rPr>
        <w:t>noting</w:t>
      </w:r>
      <w:r w:rsidR="006C0696" w:rsidRPr="009F2D76">
        <w:rPr>
          <w:rFonts w:eastAsia="Times New Roman"/>
        </w:rPr>
        <w:t xml:space="preserve"> the importance of taking further steps in this regard, </w:t>
      </w:r>
    </w:p>
    <w:p w14:paraId="3E4A2548" w14:textId="1E825692" w:rsidR="006C0696" w:rsidRDefault="005A1A63" w:rsidP="005A1A63">
      <w:pPr>
        <w:pStyle w:val="RegSingleTxtG"/>
        <w:spacing w:before="120"/>
        <w:ind w:right="1133"/>
      </w:pPr>
      <w:bookmarkStart w:id="49" w:name="_Ref152699207"/>
      <w:r>
        <w:rPr>
          <w:rFonts w:eastAsia="Times New Roman"/>
          <w:color w:val="000000"/>
          <w:sz w:val="19"/>
          <w:szCs w:val="19"/>
          <w:u w:color="000000"/>
          <w:bdr w:val="none" w:sz="0" w:space="0" w:color="auto" w:frame="1"/>
        </w:rPr>
        <w:t>1.</w:t>
      </w:r>
      <w:r>
        <w:rPr>
          <w:rFonts w:eastAsia="Times New Roman"/>
          <w:color w:val="000000"/>
          <w:sz w:val="19"/>
          <w:szCs w:val="19"/>
          <w:u w:color="000000"/>
          <w:bdr w:val="none" w:sz="0" w:space="0" w:color="auto" w:frame="1"/>
        </w:rPr>
        <w:tab/>
      </w:r>
      <w:r w:rsidR="006C0696" w:rsidRPr="009F2D76">
        <w:rPr>
          <w:rFonts w:eastAsia="Times New Roman"/>
          <w:i/>
          <w:iCs/>
        </w:rPr>
        <w:t>Requests</w:t>
      </w:r>
      <w:r w:rsidR="006C0696" w:rsidRPr="009F2D76">
        <w:rPr>
          <w:rFonts w:eastAsia="Times New Roman"/>
        </w:rPr>
        <w:t xml:space="preserve"> the Subsidiary Body for Implementation to initiate the final review of the implementation of the enhanced Lima work programme on gender and its gender action plan at its sixtieth session (June 2024), identifying progress, challenges, gaps and priorities, with a view to concluding the review at its sixty-first session (November 2024);</w:t>
      </w:r>
      <w:bookmarkEnd w:id="49"/>
    </w:p>
    <w:p w14:paraId="3D85002A" w14:textId="7C9BA4A8" w:rsidR="006C0696" w:rsidRPr="00637256" w:rsidRDefault="005A1A63" w:rsidP="005A1A63">
      <w:pPr>
        <w:pStyle w:val="RegSingleTxtG"/>
        <w:spacing w:before="120"/>
        <w:ind w:right="1133"/>
      </w:pPr>
      <w:bookmarkStart w:id="50" w:name="_Ref152699262"/>
      <w:bookmarkStart w:id="51" w:name="_Ref156199647"/>
      <w:r w:rsidRPr="00637256">
        <w:rPr>
          <w:rFonts w:eastAsia="Times New Roman"/>
          <w:color w:val="000000"/>
          <w:sz w:val="19"/>
          <w:szCs w:val="19"/>
          <w:u w:color="000000"/>
          <w:bdr w:val="none" w:sz="0" w:space="0" w:color="auto" w:frame="1"/>
        </w:rPr>
        <w:t>2.</w:t>
      </w:r>
      <w:r w:rsidRPr="00637256">
        <w:rPr>
          <w:rFonts w:eastAsia="Times New Roman"/>
          <w:color w:val="000000"/>
          <w:sz w:val="19"/>
          <w:szCs w:val="19"/>
          <w:u w:color="000000"/>
          <w:bdr w:val="none" w:sz="0" w:space="0" w:color="auto" w:frame="1"/>
        </w:rPr>
        <w:tab/>
      </w:r>
      <w:r w:rsidR="006C0696" w:rsidRPr="009F2D76">
        <w:rPr>
          <w:rFonts w:eastAsia="Times New Roman"/>
          <w:i/>
          <w:iCs/>
        </w:rPr>
        <w:t>Invites</w:t>
      </w:r>
      <w:r w:rsidR="006C0696" w:rsidRPr="009F2D76">
        <w:rPr>
          <w:rFonts w:eastAsia="Times New Roman"/>
        </w:rPr>
        <w:t xml:space="preserve"> Parties, United Nations entities, the UNFCCC constituted bodies and relevant organizations, in accordance with their respective mandates and priorities, to submit via the submission portal</w:t>
      </w:r>
      <w:r w:rsidR="006C0696" w:rsidRPr="009F2D76">
        <w:rPr>
          <w:rStyle w:val="FootnoteReference"/>
          <w:rFonts w:eastAsia="Times New Roman"/>
          <w:sz w:val="20"/>
        </w:rPr>
        <w:footnoteReference w:id="34"/>
      </w:r>
      <w:r w:rsidR="006C0696" w:rsidRPr="009F2D76">
        <w:rPr>
          <w:rFonts w:eastAsia="Times New Roman"/>
        </w:rPr>
        <w:t xml:space="preserve"> by 31 March 2024 their inputs on progress, challenges, gaps and priorities in implementing the gender action plan, categorized by deliverable or output for each activity under the gender action plan, and on future work </w:t>
      </w:r>
      <w:r w:rsidR="006C0696">
        <w:rPr>
          <w:rFonts w:eastAsia="Times New Roman"/>
        </w:rPr>
        <w:t xml:space="preserve">to be undertaken </w:t>
      </w:r>
      <w:r w:rsidR="006C0696" w:rsidRPr="009F2D76">
        <w:rPr>
          <w:rFonts w:eastAsia="Times New Roman"/>
        </w:rPr>
        <w:t xml:space="preserve">on gender and climate change, with a view to the submissions informing the review referred to in </w:t>
      </w:r>
      <w:bookmarkEnd w:id="50"/>
      <w:r w:rsidR="006C0696" w:rsidRPr="009F2D76">
        <w:rPr>
          <w:rFonts w:eastAsia="Times New Roman"/>
        </w:rPr>
        <w:t xml:space="preserve">paragraph </w:t>
      </w:r>
      <w:r w:rsidR="007A239A">
        <w:rPr>
          <w:rFonts w:eastAsia="Times New Roman"/>
          <w:cs/>
        </w:rPr>
        <w:t>‎</w:t>
      </w:r>
      <w:r w:rsidR="007A239A">
        <w:rPr>
          <w:rFonts w:eastAsia="Times New Roman"/>
        </w:rPr>
        <w:t>1 above</w:t>
      </w:r>
      <w:bookmarkEnd w:id="51"/>
      <w:r w:rsidR="006C0696" w:rsidRPr="009F2D76">
        <w:rPr>
          <w:rFonts w:eastAsia="Times New Roman"/>
          <w:cs/>
        </w:rPr>
        <w:t>‎</w:t>
      </w:r>
      <w:r w:rsidR="006C0696" w:rsidRPr="009F2D76">
        <w:rPr>
          <w:rFonts w:eastAsia="Times New Roman"/>
          <w:shd w:val="clear" w:color="auto" w:fill="FFFF00"/>
          <w:cs/>
        </w:rPr>
        <w:t>‎</w:t>
      </w:r>
      <w:r w:rsidR="006C0696" w:rsidRPr="009F2D76">
        <w:rPr>
          <w:rFonts w:eastAsia="Times New Roman"/>
        </w:rPr>
        <w:t>;</w:t>
      </w:r>
    </w:p>
    <w:p w14:paraId="32643043" w14:textId="14899166" w:rsidR="006C0696" w:rsidRPr="009F2D76" w:rsidRDefault="005A1A63" w:rsidP="005A1A63">
      <w:pPr>
        <w:pStyle w:val="RegSingleTxtG"/>
        <w:spacing w:before="120"/>
        <w:ind w:right="1133"/>
        <w:rPr>
          <w:rFonts w:eastAsia="Times New Roman"/>
        </w:rPr>
      </w:pPr>
      <w:r w:rsidRPr="009F2D76">
        <w:rPr>
          <w:rFonts w:eastAsia="Times New Roman"/>
          <w:color w:val="000000"/>
          <w:sz w:val="19"/>
          <w:szCs w:val="19"/>
          <w:u w:color="000000"/>
          <w:bdr w:val="none" w:sz="0" w:space="0" w:color="auto" w:frame="1"/>
        </w:rPr>
        <w:t>3.</w:t>
      </w:r>
      <w:r w:rsidRPr="009F2D76">
        <w:rPr>
          <w:rFonts w:eastAsia="Times New Roman"/>
          <w:color w:val="000000"/>
          <w:sz w:val="19"/>
          <w:szCs w:val="19"/>
          <w:u w:color="000000"/>
          <w:bdr w:val="none" w:sz="0" w:space="0" w:color="auto" w:frame="1"/>
        </w:rPr>
        <w:tab/>
      </w:r>
      <w:r w:rsidR="006C0696" w:rsidRPr="009F2D76">
        <w:rPr>
          <w:rFonts w:eastAsia="Times New Roman"/>
          <w:i/>
          <w:iCs/>
        </w:rPr>
        <w:t>Encourages</w:t>
      </w:r>
      <w:r w:rsidR="006C0696" w:rsidRPr="009F2D76">
        <w:rPr>
          <w:rFonts w:eastAsia="Times New Roman"/>
        </w:rPr>
        <w:t xml:space="preserve"> the Subsidiary Body for Implementation to take into account submissions made after the deadline mentioned in paragraph </w:t>
      </w:r>
      <w:r w:rsidR="007A239A">
        <w:rPr>
          <w:rFonts w:eastAsia="Times New Roman"/>
          <w:cs/>
        </w:rPr>
        <w:t>‎</w:t>
      </w:r>
      <w:r w:rsidR="007A239A">
        <w:rPr>
          <w:rFonts w:eastAsia="Times New Roman"/>
        </w:rPr>
        <w:t>2 above</w:t>
      </w:r>
      <w:r w:rsidR="006C0696" w:rsidRPr="009F2D76">
        <w:rPr>
          <w:rFonts w:eastAsia="Times New Roman"/>
        </w:rPr>
        <w:t xml:space="preserve"> during discussions at its sixtieth and sixty-first sessions; </w:t>
      </w:r>
    </w:p>
    <w:p w14:paraId="489C4E7C" w14:textId="522D3889" w:rsidR="006C0696" w:rsidRPr="009F2D76" w:rsidRDefault="005A1A63" w:rsidP="005A1A63">
      <w:pPr>
        <w:pStyle w:val="RegSingleTxtG"/>
        <w:spacing w:before="120"/>
        <w:ind w:right="1133"/>
        <w:rPr>
          <w:rFonts w:eastAsia="Times New Roman"/>
        </w:rPr>
      </w:pPr>
      <w:bookmarkStart w:id="52" w:name="_Ref152699387"/>
      <w:bookmarkStart w:id="53" w:name="_Ref156199864"/>
      <w:r w:rsidRPr="009F2D76">
        <w:rPr>
          <w:rFonts w:eastAsia="Times New Roman"/>
          <w:color w:val="000000"/>
          <w:sz w:val="19"/>
          <w:szCs w:val="19"/>
          <w:u w:color="000000"/>
          <w:bdr w:val="none" w:sz="0" w:space="0" w:color="auto" w:frame="1"/>
        </w:rPr>
        <w:t>4.</w:t>
      </w:r>
      <w:r w:rsidRPr="009F2D76">
        <w:rPr>
          <w:rFonts w:eastAsia="Times New Roman"/>
          <w:color w:val="000000"/>
          <w:sz w:val="19"/>
          <w:szCs w:val="19"/>
          <w:u w:color="000000"/>
          <w:bdr w:val="none" w:sz="0" w:space="0" w:color="auto" w:frame="1"/>
        </w:rPr>
        <w:tab/>
      </w:r>
      <w:r w:rsidR="006C0696" w:rsidRPr="003C1B20">
        <w:rPr>
          <w:rFonts w:eastAsia="Times New Roman"/>
          <w:i/>
          <w:iCs/>
        </w:rPr>
        <w:t>Requests</w:t>
      </w:r>
      <w:r w:rsidR="006C0696" w:rsidRPr="003C1B20">
        <w:rPr>
          <w:rFonts w:eastAsia="Times New Roman"/>
        </w:rPr>
        <w:t xml:space="preserve"> the secretariat to prepare a synthesis report on the submissions referred to in paragraph </w:t>
      </w:r>
      <w:r w:rsidR="006C0696" w:rsidRPr="003C1B20">
        <w:rPr>
          <w:rFonts w:eastAsia="Times New Roman"/>
          <w:cs/>
        </w:rPr>
        <w:t>‎</w:t>
      </w:r>
      <w:r w:rsidR="007A239A">
        <w:rPr>
          <w:rFonts w:eastAsia="Times New Roman"/>
          <w:cs/>
        </w:rPr>
        <w:t>‎</w:t>
      </w:r>
      <w:r w:rsidR="007A239A">
        <w:rPr>
          <w:rFonts w:eastAsia="Times New Roman"/>
        </w:rPr>
        <w:t>2 above</w:t>
      </w:r>
      <w:r w:rsidR="006C0696" w:rsidRPr="003C1B20">
        <w:rPr>
          <w:rFonts w:eastAsia="Times New Roman"/>
        </w:rPr>
        <w:t xml:space="preserve"> in advance of the sixtieth session of the Subsidiary Body for Implementation, to hold at that session a workshop to </w:t>
      </w:r>
      <w:r w:rsidR="006C0696" w:rsidRPr="00142439">
        <w:rPr>
          <w:rFonts w:eastAsia="Times New Roman"/>
          <w:sz w:val="19"/>
          <w:u w:color="498205"/>
        </w:rPr>
        <w:t>d</w:t>
      </w:r>
      <w:r w:rsidR="006C0696" w:rsidRPr="00142439">
        <w:rPr>
          <w:rFonts w:eastAsia="Times New Roman"/>
        </w:rPr>
        <w:t>iscuss</w:t>
      </w:r>
      <w:r w:rsidR="006C0696" w:rsidRPr="00443F41">
        <w:rPr>
          <w:rFonts w:eastAsia="Times New Roman"/>
        </w:rPr>
        <w:t xml:space="preserve"> the synthesis</w:t>
      </w:r>
      <w:r w:rsidR="006C0696">
        <w:rPr>
          <w:rFonts w:eastAsia="Times New Roman"/>
        </w:rPr>
        <w:t xml:space="preserve"> report</w:t>
      </w:r>
      <w:r w:rsidR="006C0696" w:rsidRPr="00E90123">
        <w:rPr>
          <w:rFonts w:eastAsia="Times New Roman"/>
        </w:rPr>
        <w:t>, with focused regional-level and global-level discussions</w:t>
      </w:r>
      <w:r w:rsidR="006C0696">
        <w:rPr>
          <w:rFonts w:eastAsia="Times New Roman"/>
        </w:rPr>
        <w:t>,</w:t>
      </w:r>
      <w:r w:rsidR="006C0696" w:rsidRPr="00F84B9A">
        <w:rPr>
          <w:rFonts w:eastAsia="Times New Roman"/>
        </w:rPr>
        <w:t xml:space="preserve"> and to prepare a summary report </w:t>
      </w:r>
      <w:r w:rsidR="006C0696" w:rsidRPr="005F7682">
        <w:rPr>
          <w:rFonts w:eastAsia="Times New Roman"/>
        </w:rPr>
        <w:t>reflecting the discussions held</w:t>
      </w:r>
      <w:r w:rsidR="006C0696">
        <w:rPr>
          <w:rFonts w:eastAsia="Times New Roman"/>
        </w:rPr>
        <w:t xml:space="preserve"> at the workshop</w:t>
      </w:r>
      <w:bookmarkEnd w:id="52"/>
      <w:r w:rsidR="006C0696">
        <w:rPr>
          <w:rFonts w:eastAsia="Times New Roman"/>
        </w:rPr>
        <w:t>;</w:t>
      </w:r>
      <w:bookmarkEnd w:id="53"/>
    </w:p>
    <w:p w14:paraId="2F7BC436" w14:textId="1A51E0E4" w:rsidR="006C0696" w:rsidRDefault="005A1A63" w:rsidP="005A1A63">
      <w:pPr>
        <w:pStyle w:val="RegSingleTxtG"/>
        <w:spacing w:before="120"/>
        <w:ind w:right="1133"/>
        <w:rPr>
          <w:rFonts w:eastAsia="Times New Roman"/>
        </w:rPr>
      </w:pPr>
      <w:r>
        <w:rPr>
          <w:rFonts w:eastAsia="Times New Roman"/>
          <w:color w:val="000000"/>
          <w:sz w:val="19"/>
          <w:szCs w:val="19"/>
          <w:u w:color="000000"/>
          <w:bdr w:val="none" w:sz="0" w:space="0" w:color="auto" w:frame="1"/>
        </w:rPr>
        <w:t>5.</w:t>
      </w:r>
      <w:r>
        <w:rPr>
          <w:rFonts w:eastAsia="Times New Roman"/>
          <w:color w:val="000000"/>
          <w:sz w:val="19"/>
          <w:szCs w:val="19"/>
          <w:u w:color="000000"/>
          <w:bdr w:val="none" w:sz="0" w:space="0" w:color="auto" w:frame="1"/>
        </w:rPr>
        <w:tab/>
      </w:r>
      <w:r w:rsidR="006C0696" w:rsidRPr="009F2D76">
        <w:rPr>
          <w:rFonts w:eastAsia="Times New Roman"/>
          <w:i/>
          <w:iCs/>
        </w:rPr>
        <w:t xml:space="preserve">Takes note </w:t>
      </w:r>
      <w:r w:rsidR="006C0696" w:rsidRPr="009F2D76">
        <w:rPr>
          <w:rFonts w:eastAsia="Times New Roman"/>
        </w:rPr>
        <w:t xml:space="preserve">of the estimated budgetary implications of the activities to be undertaken by the secretariat referred to in paragraph </w:t>
      </w:r>
      <w:r w:rsidR="007A239A">
        <w:rPr>
          <w:rFonts w:eastAsia="Times New Roman"/>
          <w:cs/>
        </w:rPr>
        <w:t>‎</w:t>
      </w:r>
      <w:r w:rsidR="007A239A">
        <w:rPr>
          <w:rFonts w:eastAsia="Times New Roman"/>
        </w:rPr>
        <w:t>4 above</w:t>
      </w:r>
      <w:r w:rsidR="006C0696">
        <w:rPr>
          <w:rFonts w:eastAsia="Times New Roman"/>
        </w:rPr>
        <w:t>;</w:t>
      </w:r>
    </w:p>
    <w:p w14:paraId="3A232B4D" w14:textId="5EEF385B" w:rsidR="006C0696" w:rsidRPr="009F2D76" w:rsidRDefault="005A1A63" w:rsidP="005A1A63">
      <w:pPr>
        <w:pStyle w:val="RegSingleTxtG"/>
        <w:spacing w:before="120"/>
        <w:ind w:right="1133"/>
        <w:rPr>
          <w:rFonts w:eastAsia="Times New Roman"/>
        </w:rPr>
      </w:pPr>
      <w:r w:rsidRPr="009F2D76">
        <w:rPr>
          <w:rFonts w:eastAsia="Times New Roman"/>
          <w:color w:val="000000"/>
          <w:sz w:val="19"/>
          <w:szCs w:val="19"/>
          <w:u w:color="000000"/>
          <w:bdr w:val="none" w:sz="0" w:space="0" w:color="auto" w:frame="1"/>
        </w:rPr>
        <w:t>6.</w:t>
      </w:r>
      <w:r w:rsidRPr="009F2D76">
        <w:rPr>
          <w:rFonts w:eastAsia="Times New Roman"/>
          <w:color w:val="000000"/>
          <w:sz w:val="19"/>
          <w:szCs w:val="19"/>
          <w:u w:color="000000"/>
          <w:bdr w:val="none" w:sz="0" w:space="0" w:color="auto" w:frame="1"/>
        </w:rPr>
        <w:tab/>
      </w:r>
      <w:r w:rsidR="006C0696">
        <w:rPr>
          <w:rFonts w:eastAsia="Times New Roman"/>
          <w:i/>
          <w:iCs/>
        </w:rPr>
        <w:t>Requests</w:t>
      </w:r>
      <w:r w:rsidR="006C0696">
        <w:rPr>
          <w:rFonts w:eastAsia="Times New Roman"/>
        </w:rPr>
        <w:t xml:space="preserve"> that the actions of the secretariat called for in this decision be undertaken subject to the availability of financial resources.</w:t>
      </w:r>
    </w:p>
    <w:p w14:paraId="442FB2FB" w14:textId="5F45C41A" w:rsidR="00630013" w:rsidRPr="00630013" w:rsidRDefault="003874C7" w:rsidP="0079125D">
      <w:pPr>
        <w:pStyle w:val="ListParagraph"/>
        <w:tabs>
          <w:tab w:val="left" w:pos="1701"/>
        </w:tabs>
        <w:spacing w:line="20" w:lineRule="atLeast"/>
        <w:ind w:left="1134" w:right="1133"/>
        <w:jc w:val="right"/>
        <w:rPr>
          <w:i/>
          <w:iCs/>
        </w:rPr>
      </w:pPr>
      <w:r>
        <w:rPr>
          <w:i/>
          <w:iCs/>
        </w:rPr>
        <w:t>5</w:t>
      </w:r>
      <w:r w:rsidRPr="003874C7">
        <w:rPr>
          <w:i/>
          <w:iCs/>
          <w:vertAlign w:val="superscript"/>
        </w:rPr>
        <w:t>th</w:t>
      </w:r>
      <w:r>
        <w:rPr>
          <w:i/>
          <w:iCs/>
        </w:rPr>
        <w:t xml:space="preserve"> </w:t>
      </w:r>
      <w:r w:rsidR="00630013" w:rsidRPr="00630013">
        <w:rPr>
          <w:i/>
          <w:iCs/>
        </w:rPr>
        <w:t>plenary meeting</w:t>
      </w:r>
    </w:p>
    <w:p w14:paraId="74F218B4" w14:textId="38F4268E" w:rsidR="00630013" w:rsidRPr="00630013" w:rsidRDefault="003874C7" w:rsidP="0079125D">
      <w:pPr>
        <w:pStyle w:val="ListParagraph"/>
        <w:tabs>
          <w:tab w:val="left" w:pos="1701"/>
        </w:tabs>
        <w:spacing w:line="20" w:lineRule="atLeast"/>
        <w:ind w:left="1134" w:right="1133"/>
        <w:jc w:val="right"/>
        <w:rPr>
          <w:i/>
          <w:iCs/>
        </w:rPr>
      </w:pPr>
      <w:r>
        <w:rPr>
          <w:i/>
          <w:iCs/>
        </w:rPr>
        <w:t>11</w:t>
      </w:r>
      <w:r w:rsidR="00630013" w:rsidRPr="00630013">
        <w:rPr>
          <w:i/>
          <w:iCs/>
        </w:rPr>
        <w:t xml:space="preserve"> December 2023</w:t>
      </w:r>
    </w:p>
    <w:p w14:paraId="321E0196" w14:textId="77777777" w:rsidR="00630013" w:rsidRPr="009F2D76" w:rsidRDefault="00630013" w:rsidP="00630013">
      <w:pPr>
        <w:pStyle w:val="RegSingleTxtG"/>
        <w:spacing w:before="120"/>
        <w:ind w:right="1467"/>
        <w:rPr>
          <w:rFonts w:eastAsia="Times New Roman"/>
        </w:rPr>
      </w:pPr>
    </w:p>
    <w:p w14:paraId="2885C2C7" w14:textId="77777777" w:rsidR="00B07804" w:rsidRDefault="00B07804" w:rsidP="00503157">
      <w:pPr>
        <w:pStyle w:val="HChG"/>
        <w:sectPr w:rsidR="00B07804" w:rsidSect="000D19EC">
          <w:headerReference w:type="even" r:id="rId44"/>
          <w:headerReference w:type="default" r:id="rId45"/>
          <w:footerReference w:type="even" r:id="rId46"/>
          <w:footerReference w:type="default" r:id="rId47"/>
          <w:footnotePr>
            <w:numRestart w:val="eachSect"/>
          </w:footnotePr>
          <w:pgSz w:w="11906" w:h="16838" w:code="9"/>
          <w:pgMar w:top="1418" w:right="1134" w:bottom="1134" w:left="1134" w:header="851" w:footer="567" w:gutter="0"/>
          <w:cols w:space="708"/>
          <w:docGrid w:linePitch="360"/>
        </w:sectPr>
      </w:pPr>
    </w:p>
    <w:p w14:paraId="2BA4B5E8" w14:textId="644C6565" w:rsidR="003E5933" w:rsidRDefault="00503157" w:rsidP="00C31560">
      <w:pPr>
        <w:pStyle w:val="HChG"/>
      </w:pPr>
      <w:r>
        <w:tab/>
      </w:r>
      <w:bookmarkStart w:id="54" w:name="_Toc161216129"/>
      <w:bookmarkStart w:id="55" w:name="Decision16"/>
      <w:r w:rsidR="00C31560">
        <w:tab/>
      </w:r>
      <w:r w:rsidR="003E5933" w:rsidRPr="003E5933">
        <w:t>Decision 16/CP</w:t>
      </w:r>
      <w:r w:rsidR="00C92E5D">
        <w:t>.</w:t>
      </w:r>
      <w:r w:rsidR="003E5933" w:rsidRPr="003E5933">
        <w:t>28</w:t>
      </w:r>
      <w:bookmarkEnd w:id="54"/>
      <w:bookmarkEnd w:id="55"/>
    </w:p>
    <w:p w14:paraId="68E342F2" w14:textId="299A0A2B" w:rsidR="003E5933" w:rsidRDefault="00503157" w:rsidP="00503157">
      <w:pPr>
        <w:pStyle w:val="HChG"/>
      </w:pPr>
      <w:r>
        <w:tab/>
      </w:r>
      <w:r>
        <w:tab/>
      </w:r>
      <w:r w:rsidR="003E5933">
        <w:t>Presidency youth climate champion</w:t>
      </w:r>
    </w:p>
    <w:p w14:paraId="718C2A8F" w14:textId="6681CFC0" w:rsidR="003E5933" w:rsidRPr="0079125D" w:rsidRDefault="00166533" w:rsidP="00166533">
      <w:pPr>
        <w:pStyle w:val="RegSingleTxtG"/>
        <w:spacing w:before="120"/>
        <w:ind w:right="1133"/>
      </w:pPr>
      <w:r>
        <w:rPr>
          <w:i/>
          <w:iCs/>
        </w:rPr>
        <w:tab/>
      </w:r>
      <w:r w:rsidR="003E5933" w:rsidRPr="008D07EF">
        <w:rPr>
          <w:i/>
          <w:iCs/>
        </w:rPr>
        <w:t>The Conference of the Parties</w:t>
      </w:r>
      <w:r w:rsidR="003E5933">
        <w:rPr>
          <w:i/>
          <w:iCs/>
        </w:rPr>
        <w:t xml:space="preserve"> and the </w:t>
      </w:r>
      <w:r w:rsidR="003E5933" w:rsidRPr="00A46A1B">
        <w:rPr>
          <w:i/>
          <w:iCs/>
        </w:rPr>
        <w:t>Conference of the Parties serving as the meeting of the Parties to the Paris Agreement</w:t>
      </w:r>
      <w:r w:rsidR="003E5933" w:rsidRPr="0063411F">
        <w:t>,</w:t>
      </w:r>
    </w:p>
    <w:p w14:paraId="29499853" w14:textId="65C2B578" w:rsidR="003E5933" w:rsidRDefault="00166533" w:rsidP="00166533">
      <w:pPr>
        <w:pStyle w:val="RegSingleTxtG"/>
        <w:spacing w:before="120"/>
        <w:ind w:right="1133"/>
      </w:pPr>
      <w:r>
        <w:rPr>
          <w:i/>
          <w:iCs/>
        </w:rPr>
        <w:tab/>
      </w:r>
      <w:r w:rsidR="003E5933" w:rsidRPr="1C1CF977">
        <w:rPr>
          <w:i/>
          <w:iCs/>
        </w:rPr>
        <w:t>Recalling</w:t>
      </w:r>
      <w:r w:rsidR="003E5933">
        <w:t xml:space="preserve"> decisions 1/CP.26, 18/CP.26, 1/CP.27, 23/CP.27, 17/CMA.1, 22/CMA.3 and 22/CMA.4,</w:t>
      </w:r>
    </w:p>
    <w:p w14:paraId="0765830B" w14:textId="6DFEB193" w:rsidR="003E5933" w:rsidRPr="00806F7F" w:rsidRDefault="005A1A63" w:rsidP="005A1A63">
      <w:pPr>
        <w:pStyle w:val="RegSingleTxtG"/>
        <w:tabs>
          <w:tab w:val="clear" w:pos="1701"/>
        </w:tabs>
      </w:pPr>
      <w:r w:rsidRPr="00806F7F">
        <w:t>1.</w:t>
      </w:r>
      <w:r w:rsidRPr="00806F7F">
        <w:tab/>
      </w:r>
      <w:r w:rsidR="003E5933" w:rsidRPr="00070531">
        <w:rPr>
          <w:i/>
          <w:iCs/>
        </w:rPr>
        <w:t>Reiterate</w:t>
      </w:r>
      <w:r w:rsidR="003E5933" w:rsidRPr="00822C12">
        <w:t xml:space="preserve"> </w:t>
      </w:r>
      <w:r w:rsidR="003E5933">
        <w:t>their</w:t>
      </w:r>
      <w:r w:rsidR="003E5933" w:rsidRPr="00822C12">
        <w:t xml:space="preserve"> acknowledgement</w:t>
      </w:r>
      <w:r w:rsidR="003E5933" w:rsidRPr="0079125D">
        <w:t xml:space="preserve"> </w:t>
      </w:r>
      <w:r w:rsidR="003E5933" w:rsidRPr="00070531">
        <w:t>of</w:t>
      </w:r>
      <w:r w:rsidR="003E5933" w:rsidRPr="0079125D">
        <w:t xml:space="preserve"> </w:t>
      </w:r>
      <w:r w:rsidR="003E5933" w:rsidRPr="00070531">
        <w:t>the role of children and youth as agents of change in addressing and responding to climate change</w:t>
      </w:r>
      <w:r w:rsidR="003E5933" w:rsidRPr="0079125D">
        <w:t xml:space="preserve"> </w:t>
      </w:r>
      <w:r w:rsidR="003E5933">
        <w:t xml:space="preserve">and </w:t>
      </w:r>
      <w:r w:rsidR="003E5933" w:rsidRPr="00806F7F">
        <w:rPr>
          <w:i/>
          <w:iCs/>
        </w:rPr>
        <w:t>recognize</w:t>
      </w:r>
      <w:r w:rsidR="003E5933">
        <w:t xml:space="preserve"> the opportunity for future Presidencies of the Conference of the Parties and the Conference of the Parties serving as the meeting of the Parties to the Paris Agreement to enhance the meaningful engagement of youth in the UNFCCC process through strengthened engagement on this matter with Parties and non-Party stakeholders, in particular the official children and youth constituency</w:t>
      </w:r>
      <w:r w:rsidR="00436948">
        <w:t xml:space="preserve"> of the UNFCCC</w:t>
      </w:r>
      <w:r w:rsidR="003E5933">
        <w:t xml:space="preserve"> and youth within all other non-governmental organization constituencies of the UNFCCC;</w:t>
      </w:r>
    </w:p>
    <w:p w14:paraId="5C60FD22" w14:textId="3CE666B3" w:rsidR="003E5933" w:rsidRDefault="005A1A63" w:rsidP="005A1A63">
      <w:pPr>
        <w:pStyle w:val="RegSingleTxtG"/>
      </w:pPr>
      <w:r>
        <w:t>2.</w:t>
      </w:r>
      <w:r>
        <w:tab/>
      </w:r>
      <w:r w:rsidR="003E5933" w:rsidRPr="00F63A07">
        <w:rPr>
          <w:i/>
          <w:iCs/>
        </w:rPr>
        <w:t>Note</w:t>
      </w:r>
      <w:r w:rsidR="003E5933">
        <w:t xml:space="preserve"> the outcomes of the eighteenth Conference of Youth, organized by the official children and youth constituency of the UNFCCC and held in Dubai in November 2023, which were informed by local and regional conferences of youth;</w:t>
      </w:r>
    </w:p>
    <w:p w14:paraId="0FDBEDC7" w14:textId="7B4FBBD9" w:rsidR="003E5933" w:rsidRDefault="005A1A63" w:rsidP="005A1A63">
      <w:pPr>
        <w:pStyle w:val="RegSingleTxtG"/>
        <w:ind w:left="1170"/>
      </w:pPr>
      <w:r>
        <w:t>3.</w:t>
      </w:r>
      <w:r>
        <w:tab/>
      </w:r>
      <w:r w:rsidR="003E5933" w:rsidRPr="0022063B">
        <w:rPr>
          <w:i/>
          <w:iCs/>
        </w:rPr>
        <w:t>Welcome</w:t>
      </w:r>
      <w:r w:rsidR="003E5933">
        <w:t xml:space="preserve"> the appointment by the Presidency of the twenty-seventh session of the Conference of the Parties and the fourth session of the Conference of the Parties serving as the meeting of the Parties to the Paris Agreement of the first youth envoy of a Presidency of the Conference of the Parties;</w:t>
      </w:r>
    </w:p>
    <w:p w14:paraId="033D9867" w14:textId="0073F377" w:rsidR="003E5933" w:rsidRPr="009D3655" w:rsidRDefault="005A1A63" w:rsidP="005A1A63">
      <w:pPr>
        <w:pStyle w:val="RegSingleTxtG"/>
        <w:tabs>
          <w:tab w:val="clear" w:pos="1701"/>
        </w:tabs>
      </w:pPr>
      <w:r w:rsidRPr="009D3655">
        <w:t>4.</w:t>
      </w:r>
      <w:r w:rsidRPr="009D3655">
        <w:tab/>
      </w:r>
      <w:r w:rsidR="003E5933" w:rsidRPr="009D3655">
        <w:rPr>
          <w:i/>
          <w:iCs/>
        </w:rPr>
        <w:t>Also welcome</w:t>
      </w:r>
      <w:r w:rsidR="003E5933" w:rsidRPr="009D3655">
        <w:t xml:space="preserve"> the initiative of the Presidency of the twenty-eighth session of the Conference of the Parties</w:t>
      </w:r>
      <w:r w:rsidR="003E5933">
        <w:t xml:space="preserve"> and the fifth session of the Conference of the Parties serving as the meeting of the Parties to the Paris Agreement in</w:t>
      </w:r>
      <w:r w:rsidR="003E5933" w:rsidRPr="009D3655">
        <w:t xml:space="preserve"> appointing </w:t>
      </w:r>
      <w:r w:rsidR="003E5933">
        <w:t xml:space="preserve">a </w:t>
      </w:r>
      <w:r w:rsidR="003E5933" w:rsidRPr="009D3655">
        <w:t>youth climate champion</w:t>
      </w:r>
      <w:r w:rsidR="003E5933">
        <w:t>,</w:t>
      </w:r>
      <w:r w:rsidR="003E5933" w:rsidRPr="009D3655">
        <w:t xml:space="preserve"> </w:t>
      </w:r>
      <w:r w:rsidR="003E5933">
        <w:t xml:space="preserve">who </w:t>
      </w:r>
      <w:r w:rsidR="003E5933" w:rsidRPr="009D3655">
        <w:t>has furthered the meaningful engagement of children and youth in climate action</w:t>
      </w:r>
      <w:r w:rsidR="003E5933">
        <w:t>,</w:t>
      </w:r>
      <w:r w:rsidR="003E5933" w:rsidRPr="009D3655">
        <w:t xml:space="preserve"> </w:t>
      </w:r>
      <w:r w:rsidR="003E5933">
        <w:t>including with</w:t>
      </w:r>
      <w:r w:rsidR="003E5933" w:rsidRPr="009D3655">
        <w:t>in the UNFCCC process;</w:t>
      </w:r>
    </w:p>
    <w:p w14:paraId="6D0C683B" w14:textId="30F9F68B" w:rsidR="003E5933" w:rsidRPr="009D3655" w:rsidRDefault="005A1A63" w:rsidP="005A1A63">
      <w:pPr>
        <w:pStyle w:val="RegSingleTxtG"/>
        <w:tabs>
          <w:tab w:val="clear" w:pos="1701"/>
        </w:tabs>
      </w:pPr>
      <w:r w:rsidRPr="009D3655">
        <w:t>5.</w:t>
      </w:r>
      <w:r w:rsidRPr="009D3655">
        <w:tab/>
      </w:r>
      <w:r w:rsidR="003E5933" w:rsidRPr="00B260A2">
        <w:rPr>
          <w:i/>
          <w:iCs/>
        </w:rPr>
        <w:t xml:space="preserve">Recognize </w:t>
      </w:r>
      <w:r w:rsidR="003E5933" w:rsidRPr="009D3655">
        <w:t>the initiative of the Presidency of the twenty-eighth session of the Conference of the Parties</w:t>
      </w:r>
      <w:r w:rsidR="003E5933">
        <w:t xml:space="preserve"> and the fifth session of the Conference of the Parties serving as the meeting of the Parties to the Paris Agreement</w:t>
      </w:r>
      <w:r w:rsidR="003E5933" w:rsidRPr="009D3655">
        <w:t xml:space="preserve"> </w:t>
      </w:r>
      <w:r w:rsidR="003E5933">
        <w:t>in</w:t>
      </w:r>
      <w:r w:rsidR="003E5933" w:rsidRPr="009D3655">
        <w:t xml:space="preserve"> support</w:t>
      </w:r>
      <w:r w:rsidR="003E5933">
        <w:t>ing</w:t>
      </w:r>
      <w:r w:rsidR="003E5933" w:rsidRPr="009D3655">
        <w:t xml:space="preserve"> youth-led engagement, including </w:t>
      </w:r>
      <w:r w:rsidR="003E5933">
        <w:t xml:space="preserve">by </w:t>
      </w:r>
      <w:r w:rsidR="003E5933" w:rsidRPr="009D3655">
        <w:t xml:space="preserve">co-organizing the children and youth pavilion, the Dubai </w:t>
      </w:r>
      <w:r w:rsidR="003E5933">
        <w:t>y</w:t>
      </w:r>
      <w:r w:rsidR="003E5933" w:rsidRPr="009D3655">
        <w:t xml:space="preserve">outh </w:t>
      </w:r>
      <w:r w:rsidR="003E5933">
        <w:t>c</w:t>
      </w:r>
      <w:r w:rsidR="003E5933" w:rsidRPr="009D3655">
        <w:t xml:space="preserve">limate </w:t>
      </w:r>
      <w:r w:rsidR="003E5933">
        <w:t>d</w:t>
      </w:r>
      <w:r w:rsidR="003E5933" w:rsidRPr="009D3655">
        <w:t xml:space="preserve">ialogue and the </w:t>
      </w:r>
      <w:r w:rsidR="003E5933">
        <w:t>i</w:t>
      </w:r>
      <w:r w:rsidR="003E5933" w:rsidRPr="009D3655">
        <w:t xml:space="preserve">nternational Indigenous </w:t>
      </w:r>
      <w:r w:rsidR="003E5933">
        <w:t>y</w:t>
      </w:r>
      <w:r w:rsidR="003E5933" w:rsidRPr="009D3655">
        <w:t xml:space="preserve">outh </w:t>
      </w:r>
      <w:r w:rsidR="003E5933">
        <w:t>f</w:t>
      </w:r>
      <w:r w:rsidR="003E5933" w:rsidRPr="009D3655">
        <w:t xml:space="preserve">orum on </w:t>
      </w:r>
      <w:r w:rsidR="003E5933">
        <w:t>c</w:t>
      </w:r>
      <w:r w:rsidR="003E5933" w:rsidRPr="009D3655">
        <w:t xml:space="preserve">limate </w:t>
      </w:r>
      <w:r w:rsidR="003E5933">
        <w:t>c</w:t>
      </w:r>
      <w:r w:rsidR="003E5933" w:rsidRPr="009D3655">
        <w:t>hange, held at the same session</w:t>
      </w:r>
      <w:r w:rsidR="003E5933">
        <w:t>s</w:t>
      </w:r>
      <w:r w:rsidR="003E5933" w:rsidRPr="009D3655">
        <w:t>;</w:t>
      </w:r>
    </w:p>
    <w:p w14:paraId="10077DD9" w14:textId="7F350B28" w:rsidR="003E5933" w:rsidRPr="00BF00AD" w:rsidRDefault="005A1A63" w:rsidP="005A1A63">
      <w:pPr>
        <w:pStyle w:val="RegSingleTxtG"/>
        <w:tabs>
          <w:tab w:val="clear" w:pos="1701"/>
        </w:tabs>
      </w:pPr>
      <w:r w:rsidRPr="00BF00AD">
        <w:t>6.</w:t>
      </w:r>
      <w:r w:rsidRPr="00BF00AD">
        <w:tab/>
      </w:r>
      <w:r w:rsidR="003E5933" w:rsidRPr="00D87D8A">
        <w:rPr>
          <w:i/>
          <w:iCs/>
        </w:rPr>
        <w:t>Decide</w:t>
      </w:r>
      <w:r w:rsidR="003E5933">
        <w:t xml:space="preserve"> that a youth climate champion between the ages of 18 and 35 will be appointed to act on behalf of the Presidency of the Conference of the Parties and the Conference of the Parties serving as the meeting of the Parties to the Paris Agreement to facilitate the enhancement of the meaningful, inclusive engagement of youth in climate action, including within the UNFCCC process; </w:t>
      </w:r>
    </w:p>
    <w:p w14:paraId="0A73B34B" w14:textId="7EEA57BE" w:rsidR="003E5933" w:rsidRPr="00A071F0" w:rsidRDefault="005A1A63" w:rsidP="005A1A63">
      <w:pPr>
        <w:pStyle w:val="RegSingleTxtG"/>
        <w:tabs>
          <w:tab w:val="clear" w:pos="1701"/>
        </w:tabs>
      </w:pPr>
      <w:r w:rsidRPr="00A071F0">
        <w:t>7.</w:t>
      </w:r>
      <w:r w:rsidRPr="00A071F0">
        <w:tab/>
      </w:r>
      <w:r w:rsidR="003E5933" w:rsidRPr="00A45432">
        <w:rPr>
          <w:i/>
          <w:iCs/>
        </w:rPr>
        <w:t>Request</w:t>
      </w:r>
      <w:r w:rsidR="003E5933">
        <w:t xml:space="preserve"> each incoming Presidency of the Conference of the Parties and the Conference of the Parties serving as the meeting of the Parties to the Paris Agreement to</w:t>
      </w:r>
      <w:r w:rsidR="003E5933">
        <w:rPr>
          <w:rFonts w:ascii="Batang" w:eastAsia="Batang" w:hAnsi="Batang" w:cs="Batang" w:hint="eastAsia"/>
          <w:lang w:eastAsia="ko-KR"/>
        </w:rPr>
        <w:t xml:space="preserve"> </w:t>
      </w:r>
      <w:r w:rsidR="003E5933">
        <w:t xml:space="preserve">confirm its appointee </w:t>
      </w:r>
      <w:r w:rsidR="003E5933" w:rsidRPr="00A071F0">
        <w:t>for</w:t>
      </w:r>
      <w:r w:rsidR="003E5933">
        <w:t xml:space="preserve"> Presidency</w:t>
      </w:r>
      <w:r w:rsidR="003E5933" w:rsidRPr="00A071F0">
        <w:t xml:space="preserve"> </w:t>
      </w:r>
      <w:r w:rsidR="003E5933">
        <w:t xml:space="preserve">youth climate champion </w:t>
      </w:r>
      <w:r w:rsidR="003E5933" w:rsidRPr="00A071F0">
        <w:t>for a term</w:t>
      </w:r>
      <w:r w:rsidR="003E5933">
        <w:t xml:space="preserve"> of up to two years, with the outgoing Presidency youth climate champion using the second year of the term to support the champion appointed by the incoming Presidency</w:t>
      </w:r>
      <w:r w:rsidR="003E5933" w:rsidRPr="00A071F0">
        <w:t>;</w:t>
      </w:r>
    </w:p>
    <w:p w14:paraId="13B20656" w14:textId="323DC0D0" w:rsidR="003E5933" w:rsidRDefault="005A1A63" w:rsidP="005A1A63">
      <w:pPr>
        <w:pStyle w:val="RegSingleTxtG"/>
        <w:tabs>
          <w:tab w:val="clear" w:pos="1701"/>
        </w:tabs>
      </w:pPr>
      <w:bookmarkStart w:id="56" w:name="_Ref156301207"/>
      <w:r>
        <w:t>8.</w:t>
      </w:r>
      <w:r>
        <w:tab/>
      </w:r>
      <w:r w:rsidR="003E5933">
        <w:rPr>
          <w:i/>
          <w:iCs/>
        </w:rPr>
        <w:t>Also r</w:t>
      </w:r>
      <w:r w:rsidR="003E5933" w:rsidRPr="00B72E42">
        <w:rPr>
          <w:i/>
          <w:iCs/>
        </w:rPr>
        <w:t>equest</w:t>
      </w:r>
      <w:r w:rsidR="003E5933">
        <w:t xml:space="preserve"> each incoming Presidency of the Conference of the Parties and the Conference of the Parties serving as the meeting of the Parties to the Paris Agreement to provide direction to the Presidency youth climate champion, with advice from the secretariat, including guidance on avoiding duplication with the work and activities of the official children and youth </w:t>
      </w:r>
      <w:r w:rsidR="003E5933" w:rsidRPr="0089675A">
        <w:t>constituency</w:t>
      </w:r>
      <w:r w:rsidR="003E5933">
        <w:t xml:space="preserve"> of the UNFCCC,</w:t>
      </w:r>
      <w:r w:rsidR="003E5933" w:rsidRPr="0089675A">
        <w:t xml:space="preserve"> whil</w:t>
      </w:r>
      <w:r w:rsidR="003E5933">
        <w:t>e</w:t>
      </w:r>
      <w:r w:rsidR="003E5933" w:rsidRPr="0089675A">
        <w:t xml:space="preserve"> </w:t>
      </w:r>
      <w:r w:rsidR="003E5933">
        <w:t>respecting</w:t>
      </w:r>
      <w:r w:rsidR="003E5933" w:rsidRPr="0089675A">
        <w:t xml:space="preserve"> the independent role of the constituency and support</w:t>
      </w:r>
      <w:r w:rsidR="003E5933">
        <w:t>ing</w:t>
      </w:r>
      <w:r w:rsidR="003E5933" w:rsidRPr="0089675A">
        <w:t xml:space="preserve"> the implementation of</w:t>
      </w:r>
      <w:r w:rsidR="003E5933">
        <w:t xml:space="preserve"> decisions of the Conference of the Parties and the Conference of the Parties serving as the meeting of the Parties to the Paris Agreement on matters related to children and youth in the UNFCCC process, including in relation to the matters referred to in paragraphs </w:t>
      </w:r>
      <w:r w:rsidR="007A239A">
        <w:rPr>
          <w:cs/>
        </w:rPr>
        <w:t>‎</w:t>
      </w:r>
      <w:r w:rsidR="007A239A">
        <w:t>10</w:t>
      </w:r>
      <w:r w:rsidR="003E5933">
        <w:t>–</w:t>
      </w:r>
      <w:r w:rsidR="007A239A">
        <w:rPr>
          <w:cs/>
        </w:rPr>
        <w:t>‎</w:t>
      </w:r>
      <w:r w:rsidR="007A239A">
        <w:t>12 below</w:t>
      </w:r>
      <w:bookmarkEnd w:id="56"/>
      <w:r w:rsidR="00E27EFF">
        <w:t>;</w:t>
      </w:r>
      <w:r w:rsidR="003E5933">
        <w:t xml:space="preserve"> </w:t>
      </w:r>
    </w:p>
    <w:p w14:paraId="2FA9CCA9" w14:textId="0D646989" w:rsidR="003E5933" w:rsidRDefault="005A1A63" w:rsidP="005A1A63">
      <w:pPr>
        <w:pStyle w:val="RegSingleTxtG"/>
        <w:tabs>
          <w:tab w:val="clear" w:pos="1701"/>
        </w:tabs>
      </w:pPr>
      <w:bookmarkStart w:id="57" w:name="_Ref156301218"/>
      <w:r>
        <w:t>9.</w:t>
      </w:r>
      <w:r>
        <w:tab/>
      </w:r>
      <w:r w:rsidR="003E5933">
        <w:rPr>
          <w:i/>
          <w:iCs/>
        </w:rPr>
        <w:t>Further</w:t>
      </w:r>
      <w:r w:rsidR="003E5933" w:rsidRPr="00EF0E14">
        <w:rPr>
          <w:i/>
          <w:iCs/>
        </w:rPr>
        <w:t xml:space="preserve"> request</w:t>
      </w:r>
      <w:r w:rsidR="003E5933">
        <w:t xml:space="preserve"> the secretariat to provide support, as appropriate, to each Presidency youth climate champion, in partnership with interested United Nations entities and in alignment with </w:t>
      </w:r>
      <w:r w:rsidR="003E5933" w:rsidRPr="002B0CF2">
        <w:t xml:space="preserve">decisions </w:t>
      </w:r>
      <w:r w:rsidR="003E5933">
        <w:t>of the Conference of the Parties and the Conference of the Parties serving as the meeting of the Parties to the Paris Agreement</w:t>
      </w:r>
      <w:r w:rsidR="005E5DA6">
        <w:t>,</w:t>
      </w:r>
      <w:r w:rsidR="003E5933" w:rsidRPr="002B0CF2">
        <w:t xml:space="preserve"> on matters</w:t>
      </w:r>
      <w:r w:rsidR="003E5933" w:rsidRPr="0079125D">
        <w:t xml:space="preserve"> </w:t>
      </w:r>
      <w:r w:rsidR="003E5933">
        <w:t>related to children and youth in the UNFCCC process;</w:t>
      </w:r>
      <w:bookmarkEnd w:id="57"/>
    </w:p>
    <w:p w14:paraId="201D4ACF" w14:textId="17C4BE3F" w:rsidR="003E5933" w:rsidRDefault="005A1A63" w:rsidP="005A1A63">
      <w:pPr>
        <w:pStyle w:val="RegSingleTxtG"/>
        <w:tabs>
          <w:tab w:val="clear" w:pos="1701"/>
        </w:tabs>
      </w:pPr>
      <w:bookmarkStart w:id="58" w:name="_Ref156197420"/>
      <w:r>
        <w:t>10.</w:t>
      </w:r>
      <w:r>
        <w:tab/>
      </w:r>
      <w:r w:rsidR="003E5933" w:rsidRPr="00596677">
        <w:rPr>
          <w:i/>
          <w:iCs/>
        </w:rPr>
        <w:t>Urge</w:t>
      </w:r>
      <w:r w:rsidR="003E5933">
        <w:t xml:space="preserve"> the Presidency youth climate champion to facilitate the meaningful engagement of children and youth in climate action, including within the UNFCCC process, including by supporting, where relevant and as appropriate, the implementation of activities under the work programmes of the Conference of the Parties and the Conference of the Parties serving as the meeting of the Parties to the Paris Agreement and the Global Climate Action Agenda, engaging in local and regional conferences of youth and engaging with youth within all non</w:t>
      </w:r>
      <w:r w:rsidR="003E5933">
        <w:noBreakHyphen/>
        <w:t>governmental organization constituencies of the UNFCCC and youth who are part of national delegations to United Nations climate change conferences;</w:t>
      </w:r>
      <w:bookmarkEnd w:id="58"/>
    </w:p>
    <w:p w14:paraId="1ECBB1C1" w14:textId="3875BC47" w:rsidR="003E5933" w:rsidRDefault="005A1A63" w:rsidP="005A1A63">
      <w:pPr>
        <w:pStyle w:val="RegSingleTxtG"/>
        <w:tabs>
          <w:tab w:val="clear" w:pos="1701"/>
        </w:tabs>
      </w:pPr>
      <w:r>
        <w:t>11.</w:t>
      </w:r>
      <w:r>
        <w:tab/>
      </w:r>
      <w:r w:rsidR="003E5933" w:rsidRPr="00E65F63">
        <w:rPr>
          <w:i/>
          <w:iCs/>
        </w:rPr>
        <w:t>Encourage</w:t>
      </w:r>
      <w:r w:rsidR="003E5933" w:rsidRPr="00E65F63">
        <w:t xml:space="preserve"> the Chairs of the </w:t>
      </w:r>
      <w:r w:rsidR="003E5933">
        <w:t>s</w:t>
      </w:r>
      <w:r w:rsidR="003E5933" w:rsidRPr="00E65F63">
        <w:t xml:space="preserve">ubsidiary </w:t>
      </w:r>
      <w:r w:rsidR="003E5933">
        <w:t>b</w:t>
      </w:r>
      <w:r w:rsidR="003E5933" w:rsidRPr="00E65F63">
        <w:t xml:space="preserve">odies and </w:t>
      </w:r>
      <w:r w:rsidR="003E5933">
        <w:t xml:space="preserve">the Chairs of the UNFCCC </w:t>
      </w:r>
      <w:r w:rsidR="003E5933" w:rsidRPr="00E65F63">
        <w:t xml:space="preserve">constituted bodies to invite the </w:t>
      </w:r>
      <w:r w:rsidR="003E5933">
        <w:t xml:space="preserve">Presidency </w:t>
      </w:r>
      <w:r w:rsidR="003E5933" w:rsidRPr="00E65F63">
        <w:t>youth climate champion</w:t>
      </w:r>
      <w:r w:rsidR="003E5933">
        <w:t>, whose role is</w:t>
      </w:r>
      <w:r w:rsidR="003E5933" w:rsidRPr="00E65F63">
        <w:t xml:space="preserve"> to </w:t>
      </w:r>
      <w:r w:rsidR="003E5933">
        <w:t xml:space="preserve">facilitate the meaningful engagement of children and youth in climate action, including within the UNFCCC process, </w:t>
      </w:r>
      <w:r w:rsidR="003E5933" w:rsidRPr="00E65F63">
        <w:t xml:space="preserve">to </w:t>
      </w:r>
      <w:r w:rsidR="003E5933">
        <w:t>attend</w:t>
      </w:r>
      <w:r w:rsidR="003E5933" w:rsidRPr="00E65F63">
        <w:t xml:space="preserve"> </w:t>
      </w:r>
      <w:r w:rsidR="003E5933">
        <w:t>the</w:t>
      </w:r>
      <w:r w:rsidR="003E5933" w:rsidRPr="00E65F63">
        <w:t xml:space="preserve"> sessions and meetings </w:t>
      </w:r>
      <w:r w:rsidR="003E5933">
        <w:t>of those bodies, as appropriate</w:t>
      </w:r>
      <w:r w:rsidR="003E5933" w:rsidRPr="00E65F63">
        <w:t>;</w:t>
      </w:r>
    </w:p>
    <w:p w14:paraId="076F08B1" w14:textId="56304A20" w:rsidR="003E5933" w:rsidRDefault="005A1A63" w:rsidP="005A1A63">
      <w:pPr>
        <w:pStyle w:val="RegSingleTxtG"/>
        <w:tabs>
          <w:tab w:val="clear" w:pos="1701"/>
        </w:tabs>
      </w:pPr>
      <w:bookmarkStart w:id="59" w:name="_Ref156197432"/>
      <w:r>
        <w:t>12.</w:t>
      </w:r>
      <w:r>
        <w:tab/>
      </w:r>
      <w:r w:rsidR="003E5933">
        <w:rPr>
          <w:i/>
          <w:iCs/>
        </w:rPr>
        <w:t>Also e</w:t>
      </w:r>
      <w:r w:rsidR="003E5933" w:rsidRPr="00561D08">
        <w:rPr>
          <w:i/>
          <w:iCs/>
        </w:rPr>
        <w:t>ncourage</w:t>
      </w:r>
      <w:r w:rsidR="003E5933">
        <w:t xml:space="preserve"> all Parties and non-Party stakeholders to invite the Presidency youth climate champion, whose role is</w:t>
      </w:r>
      <w:r w:rsidR="003E5933" w:rsidRPr="00E65F63">
        <w:t xml:space="preserve"> to </w:t>
      </w:r>
      <w:r w:rsidR="003E5933">
        <w:t>facilitate the meaningful engagement of children and youth in climate action, including within the UNFCCC process, to</w:t>
      </w:r>
      <w:r w:rsidR="00B1450E">
        <w:t xml:space="preserve"> attend</w:t>
      </w:r>
      <w:r w:rsidR="003E5933">
        <w:t xml:space="preserve"> events that they are hosting at the local, regional, national and international level, including events held during regional climate weeks and as part of multilateral forums;</w:t>
      </w:r>
      <w:bookmarkEnd w:id="59"/>
    </w:p>
    <w:p w14:paraId="49AD1E08" w14:textId="43C77715" w:rsidR="003E5933" w:rsidRDefault="005A1A63" w:rsidP="005A1A63">
      <w:pPr>
        <w:pStyle w:val="RegSingleTxtG"/>
        <w:tabs>
          <w:tab w:val="clear" w:pos="1701"/>
        </w:tabs>
      </w:pPr>
      <w:r>
        <w:t>13.</w:t>
      </w:r>
      <w:r>
        <w:tab/>
      </w:r>
      <w:r w:rsidR="003E5933">
        <w:rPr>
          <w:i/>
          <w:iCs/>
        </w:rPr>
        <w:t xml:space="preserve">Note </w:t>
      </w:r>
      <w:r w:rsidR="003E5933">
        <w:t xml:space="preserve">that this decision does not set a precedent for matters pertaining to future champions or other issues and </w:t>
      </w:r>
      <w:r w:rsidR="003E5933">
        <w:rPr>
          <w:i/>
          <w:iCs/>
        </w:rPr>
        <w:t>emphasize</w:t>
      </w:r>
      <w:r w:rsidR="003E5933">
        <w:t xml:space="preserve"> that any future proposals will be considered on a case-by-case basis; </w:t>
      </w:r>
    </w:p>
    <w:p w14:paraId="1165E76F" w14:textId="0FEE4B32" w:rsidR="003E5933" w:rsidRDefault="005A1A63" w:rsidP="005A1A63">
      <w:pPr>
        <w:pStyle w:val="RegSingleTxtG"/>
        <w:tabs>
          <w:tab w:val="clear" w:pos="1701"/>
        </w:tabs>
      </w:pPr>
      <w:r>
        <w:t>14.</w:t>
      </w:r>
      <w:r>
        <w:tab/>
      </w:r>
      <w:r w:rsidR="003E5933" w:rsidRPr="00E65F63">
        <w:rPr>
          <w:i/>
          <w:iCs/>
        </w:rPr>
        <w:t>Take note</w:t>
      </w:r>
      <w:r w:rsidR="003E5933" w:rsidRPr="00E65F63">
        <w:t xml:space="preserve"> of the estimated budgetary implications of the activities to be undertaken by the secretariat referred to in paragraphs </w:t>
      </w:r>
      <w:r w:rsidR="007A239A">
        <w:rPr>
          <w:cs/>
        </w:rPr>
        <w:t>‎</w:t>
      </w:r>
      <w:r w:rsidR="007A239A">
        <w:t>8</w:t>
      </w:r>
      <w:r w:rsidR="003E5933" w:rsidRPr="00E65F63">
        <w:t>–</w:t>
      </w:r>
      <w:r w:rsidR="007A239A">
        <w:rPr>
          <w:cs/>
        </w:rPr>
        <w:t>‎</w:t>
      </w:r>
      <w:r w:rsidR="007A239A">
        <w:t>9 above</w:t>
      </w:r>
      <w:r w:rsidR="003E5933">
        <w:t>;</w:t>
      </w:r>
    </w:p>
    <w:p w14:paraId="0D6C4E97" w14:textId="6E7EC23B" w:rsidR="003E5933" w:rsidRDefault="005A1A63" w:rsidP="005A1A63">
      <w:pPr>
        <w:pStyle w:val="RegSingleTxtG"/>
        <w:tabs>
          <w:tab w:val="clear" w:pos="1701"/>
        </w:tabs>
      </w:pPr>
      <w:r>
        <w:t>15.</w:t>
      </w:r>
      <w:r>
        <w:tab/>
      </w:r>
      <w:r w:rsidR="003E5933">
        <w:rPr>
          <w:i/>
          <w:iCs/>
        </w:rPr>
        <w:t>R</w:t>
      </w:r>
      <w:r w:rsidR="003E5933" w:rsidRPr="00E65F63">
        <w:rPr>
          <w:i/>
          <w:iCs/>
        </w:rPr>
        <w:t>equest</w:t>
      </w:r>
      <w:r w:rsidR="003E5933" w:rsidRPr="00E65F63">
        <w:t xml:space="preserve"> that the actions of the secretariat</w:t>
      </w:r>
      <w:r w:rsidR="003E5933">
        <w:t xml:space="preserve"> </w:t>
      </w:r>
      <w:r w:rsidR="003E5933" w:rsidRPr="00E65F63">
        <w:t xml:space="preserve">called for in this decision </w:t>
      </w:r>
      <w:r w:rsidR="003E5933">
        <w:t>be undertaken subject to the availability of supplementary resources and</w:t>
      </w:r>
      <w:r w:rsidR="003E5933" w:rsidRPr="00605C98">
        <w:rPr>
          <w:i/>
          <w:iCs/>
        </w:rPr>
        <w:t xml:space="preserve"> invite</w:t>
      </w:r>
      <w:r w:rsidR="003E5933">
        <w:t xml:space="preserve"> other sources of funding to provide support for the activities referred to in paragraphs </w:t>
      </w:r>
      <w:r w:rsidR="007A239A">
        <w:rPr>
          <w:cs/>
        </w:rPr>
        <w:t>‎</w:t>
      </w:r>
      <w:r w:rsidR="007A239A">
        <w:t>8</w:t>
      </w:r>
      <w:r w:rsidR="003E5933">
        <w:t>–</w:t>
      </w:r>
      <w:r w:rsidR="007A239A">
        <w:rPr>
          <w:cs/>
        </w:rPr>
        <w:t>‎</w:t>
      </w:r>
      <w:r w:rsidR="007A239A">
        <w:t>9 above</w:t>
      </w:r>
      <w:r w:rsidR="003E5933">
        <w:t>.</w:t>
      </w:r>
    </w:p>
    <w:p w14:paraId="6B84A75E" w14:textId="6E3BA6FD" w:rsidR="00D51975" w:rsidRPr="002445B1" w:rsidRDefault="00972DD2" w:rsidP="0079125D">
      <w:pPr>
        <w:pStyle w:val="RegSingleTxtG"/>
        <w:spacing w:after="0" w:line="20" w:lineRule="atLeast"/>
        <w:jc w:val="right"/>
        <w:rPr>
          <w:i/>
          <w:iCs/>
        </w:rPr>
      </w:pPr>
      <w:r>
        <w:rPr>
          <w:i/>
          <w:iCs/>
        </w:rPr>
        <w:t>6</w:t>
      </w:r>
      <w:r w:rsidRPr="00972DD2">
        <w:rPr>
          <w:i/>
          <w:iCs/>
          <w:vertAlign w:val="superscript"/>
        </w:rPr>
        <w:t>th</w:t>
      </w:r>
      <w:r>
        <w:rPr>
          <w:i/>
          <w:iCs/>
        </w:rPr>
        <w:t xml:space="preserve"> </w:t>
      </w:r>
      <w:r w:rsidR="00D51975" w:rsidRPr="002445B1">
        <w:rPr>
          <w:i/>
          <w:iCs/>
        </w:rPr>
        <w:t>plenary me</w:t>
      </w:r>
      <w:r w:rsidR="00A4536D">
        <w:rPr>
          <w:i/>
          <w:iCs/>
        </w:rPr>
        <w:t>e</w:t>
      </w:r>
      <w:r w:rsidR="00D51975" w:rsidRPr="002445B1">
        <w:rPr>
          <w:i/>
          <w:iCs/>
        </w:rPr>
        <w:t>ting</w:t>
      </w:r>
    </w:p>
    <w:p w14:paraId="5B15BFB3" w14:textId="77777777" w:rsidR="00D51975" w:rsidRPr="00D344A3" w:rsidRDefault="00D51975" w:rsidP="0079125D">
      <w:pPr>
        <w:pStyle w:val="RegSingleTxtG"/>
        <w:spacing w:after="0" w:line="20" w:lineRule="atLeast"/>
        <w:jc w:val="right"/>
        <w:rPr>
          <w:i/>
          <w:iCs/>
        </w:rPr>
      </w:pPr>
      <w:r w:rsidRPr="002445B1">
        <w:rPr>
          <w:i/>
          <w:iCs/>
        </w:rPr>
        <w:t>13 December 2023</w:t>
      </w:r>
    </w:p>
    <w:p w14:paraId="567A8DDE" w14:textId="77777777" w:rsidR="00D51975" w:rsidRPr="00723D62" w:rsidRDefault="00D51975" w:rsidP="00D51975">
      <w:pPr>
        <w:pStyle w:val="RegSingleTxtG"/>
        <w:tabs>
          <w:tab w:val="clear" w:pos="1701"/>
        </w:tabs>
      </w:pPr>
    </w:p>
    <w:p w14:paraId="0A47F5E1" w14:textId="77777777" w:rsidR="00960E68" w:rsidRDefault="00960E68" w:rsidP="006C0696">
      <w:pPr>
        <w:jc w:val="center"/>
        <w:sectPr w:rsidR="00960E68" w:rsidSect="000D19EC">
          <w:footnotePr>
            <w:numRestart w:val="eachSect"/>
          </w:footnotePr>
          <w:pgSz w:w="11906" w:h="16838" w:code="9"/>
          <w:pgMar w:top="1418" w:right="1134" w:bottom="1134" w:left="1134" w:header="851" w:footer="567" w:gutter="0"/>
          <w:cols w:space="708"/>
          <w:docGrid w:linePitch="360"/>
        </w:sectPr>
      </w:pPr>
    </w:p>
    <w:p w14:paraId="05B06AA5" w14:textId="08B8970D" w:rsidR="00960E68" w:rsidRPr="0079125D" w:rsidRDefault="00503157" w:rsidP="00596016">
      <w:pPr>
        <w:pStyle w:val="HChG"/>
      </w:pPr>
      <w:r w:rsidRPr="0079125D">
        <w:tab/>
      </w:r>
      <w:bookmarkStart w:id="60" w:name="_Toc161216130"/>
      <w:bookmarkStart w:id="61" w:name="Decision17"/>
      <w:r w:rsidR="00596016">
        <w:tab/>
      </w:r>
      <w:r w:rsidR="00960E68" w:rsidRPr="0079125D">
        <w:t>Decision 17/CP.28</w:t>
      </w:r>
      <w:bookmarkEnd w:id="60"/>
    </w:p>
    <w:bookmarkEnd w:id="61"/>
    <w:p w14:paraId="5BF7EE5E" w14:textId="77777777" w:rsidR="00960E68" w:rsidRDefault="00960E68" w:rsidP="00960E68">
      <w:pPr>
        <w:pStyle w:val="HChG"/>
      </w:pPr>
      <w:r>
        <w:tab/>
      </w:r>
      <w:r>
        <w:tab/>
        <w:t>Dates and venues of future sessions</w:t>
      </w:r>
    </w:p>
    <w:p w14:paraId="51806F5A" w14:textId="574C9396" w:rsidR="00960E68" w:rsidRPr="0079125D" w:rsidRDefault="00166533" w:rsidP="00166533">
      <w:pPr>
        <w:pStyle w:val="RegSingleTxtG"/>
        <w:spacing w:before="120"/>
        <w:ind w:right="1133"/>
        <w:rPr>
          <w:i/>
          <w:iCs/>
        </w:rPr>
      </w:pPr>
      <w:r>
        <w:rPr>
          <w:color w:val="000000"/>
        </w:rPr>
        <w:tab/>
      </w:r>
      <w:r w:rsidR="00960E68" w:rsidRPr="00EB5CB1" w:rsidDel="00673F06">
        <w:rPr>
          <w:i/>
          <w:iCs/>
          <w:color w:val="000000"/>
        </w:rPr>
        <w:t>The</w:t>
      </w:r>
      <w:r w:rsidR="00960E68" w:rsidRPr="00EB5CB1" w:rsidDel="00673F06">
        <w:rPr>
          <w:i/>
          <w:iCs/>
        </w:rPr>
        <w:t xml:space="preserve"> Conference of the Parties</w:t>
      </w:r>
      <w:r w:rsidR="00960E68" w:rsidRPr="002C2274" w:rsidDel="00673F06">
        <w:rPr>
          <w:iCs/>
        </w:rPr>
        <w:t>,</w:t>
      </w:r>
    </w:p>
    <w:p w14:paraId="473CBC6B" w14:textId="5D73FC2C" w:rsidR="00960E68" w:rsidRDefault="00166533" w:rsidP="00166533">
      <w:pPr>
        <w:pStyle w:val="RegSingleTxtG"/>
        <w:spacing w:before="120"/>
        <w:ind w:right="1133"/>
      </w:pPr>
      <w:r>
        <w:rPr>
          <w:i/>
        </w:rPr>
        <w:tab/>
      </w:r>
      <w:r w:rsidR="00960E68" w:rsidRPr="00C101CB">
        <w:rPr>
          <w:i/>
        </w:rPr>
        <w:t>Recalling</w:t>
      </w:r>
      <w:r w:rsidR="00960E68">
        <w:t xml:space="preserve"> Article 7, paragraph 4, of the Convention,</w:t>
      </w:r>
    </w:p>
    <w:p w14:paraId="00151DDB" w14:textId="4231CE7D" w:rsidR="00960E68" w:rsidRDefault="00166533" w:rsidP="00166533">
      <w:pPr>
        <w:pStyle w:val="RegSingleTxtG"/>
        <w:spacing w:before="120"/>
        <w:ind w:right="1133"/>
      </w:pPr>
      <w:r>
        <w:rPr>
          <w:i/>
        </w:rPr>
        <w:tab/>
      </w:r>
      <w:r w:rsidR="00960E68" w:rsidRPr="00C101CB">
        <w:rPr>
          <w:i/>
        </w:rPr>
        <w:t>Also recalling</w:t>
      </w:r>
      <w:r w:rsidR="00960E68">
        <w:t xml:space="preserve"> United Nations General Assembly resolution 40/243 of 18 December 1985 on the pattern of conferences,</w:t>
      </w:r>
    </w:p>
    <w:p w14:paraId="45270AE3" w14:textId="49549030" w:rsidR="00960E68" w:rsidRDefault="00166533" w:rsidP="00166533">
      <w:pPr>
        <w:pStyle w:val="RegSingleTxtG"/>
        <w:spacing w:before="120"/>
        <w:ind w:right="1133"/>
      </w:pPr>
      <w:r>
        <w:rPr>
          <w:i/>
        </w:rPr>
        <w:tab/>
      </w:r>
      <w:r w:rsidR="00960E68" w:rsidRPr="00C101CB">
        <w:rPr>
          <w:i/>
        </w:rPr>
        <w:t>Further recalling</w:t>
      </w:r>
      <w:r w:rsidR="00960E68">
        <w:t xml:space="preserve"> rule 22, paragraph 1, of the draft rules of procedure being applied regarding the rotation of the office of President among the five United Nations regional groups, </w:t>
      </w:r>
    </w:p>
    <w:p w14:paraId="05D98661" w14:textId="3E37EB19" w:rsidR="00960E68" w:rsidRDefault="005A1A63" w:rsidP="005A1A63">
      <w:pPr>
        <w:pStyle w:val="RegHChG"/>
        <w:tabs>
          <w:tab w:val="left" w:pos="1135"/>
        </w:tabs>
        <w:ind w:hanging="454"/>
      </w:pPr>
      <w:bookmarkStart w:id="62" w:name="_Toc161216131"/>
      <w:r>
        <w:t>I.</w:t>
      </w:r>
      <w:r>
        <w:tab/>
      </w:r>
      <w:r w:rsidR="00960E68">
        <w:t>2024</w:t>
      </w:r>
      <w:bookmarkEnd w:id="62"/>
    </w:p>
    <w:p w14:paraId="0504E52C" w14:textId="34806F3B" w:rsidR="00960E68" w:rsidRDefault="005A1A63" w:rsidP="005A1A63">
      <w:pPr>
        <w:pStyle w:val="RegSingleTxtG"/>
      </w:pPr>
      <w:r>
        <w:t>1.</w:t>
      </w:r>
      <w:r>
        <w:tab/>
      </w:r>
      <w:r w:rsidR="00960E68" w:rsidRPr="00C056E7">
        <w:rPr>
          <w:i/>
        </w:rPr>
        <w:t>Accepts</w:t>
      </w:r>
      <w:r w:rsidR="00960E68" w:rsidRPr="0079125D">
        <w:rPr>
          <w:i/>
          <w:iCs/>
        </w:rPr>
        <w:t xml:space="preserve"> </w:t>
      </w:r>
      <w:r w:rsidR="00960E68" w:rsidRPr="00C056E7">
        <w:rPr>
          <w:i/>
          <w:iCs/>
        </w:rPr>
        <w:t>with appreciation</w:t>
      </w:r>
      <w:r w:rsidR="00960E68">
        <w:t xml:space="preserve"> the offer of the Government of Azerbaijan to host the twenty-ninth session of the Conference of the Parties, the nineteenth session of the Conference of the Parties serving as the meeting of the Parties to the Kyoto Protocol and the sixth session of the Conference of the Parties serving as the meeting of the Parties to the Paris Agreement from Monday, 11 November, to Friday, 22 November 2024;</w:t>
      </w:r>
    </w:p>
    <w:p w14:paraId="27D889B9" w14:textId="2E48A8CC" w:rsidR="00960E68" w:rsidRDefault="005A1A63" w:rsidP="005A1A63">
      <w:pPr>
        <w:pStyle w:val="RegSingleTxtG"/>
      </w:pPr>
      <w:r>
        <w:t>2.</w:t>
      </w:r>
      <w:r>
        <w:tab/>
      </w:r>
      <w:r w:rsidR="00960E68" w:rsidRPr="00A800CF">
        <w:rPr>
          <w:i/>
        </w:rPr>
        <w:t>Requests</w:t>
      </w:r>
      <w:r w:rsidR="00960E68">
        <w:t xml:space="preserve"> the Executive Secretary to initiate consultations with the Government of Azerbaijan and to conclude a Host Country Agreement for convening the sessions, pursuant to United Nations General Assembly resolution 40/243 and the provisions of United Nations administrative instruction ST/AI/342, including its annex, containing the model conference agreement, with a view to signing the Host Country Agreement as soon as possible, preferably before the sixtieth sessions of the subsidiary bodies (June 2024), so as to allow for its prompt implementation;</w:t>
      </w:r>
    </w:p>
    <w:p w14:paraId="392855A6" w14:textId="2FC4DC6A" w:rsidR="00960E68" w:rsidRDefault="005A1A63" w:rsidP="005A1A63">
      <w:pPr>
        <w:pStyle w:val="RegSingleTxtG"/>
      </w:pPr>
      <w:r>
        <w:t>3.</w:t>
      </w:r>
      <w:r>
        <w:tab/>
      </w:r>
      <w:r w:rsidR="00960E68" w:rsidRPr="00A800CF">
        <w:rPr>
          <w:i/>
        </w:rPr>
        <w:t>Also requests</w:t>
      </w:r>
      <w:r w:rsidR="00960E68">
        <w:t xml:space="preserve"> the Executive Secretary to provide the host country with technical support and guidance on UNFCCC policies and requirements, taking into account any issues raised by Parties regarding the organization of sessions, and to report back regularly to the Bureau of the governing bodies;</w:t>
      </w:r>
    </w:p>
    <w:p w14:paraId="5B6A9A2B" w14:textId="491DF4C7" w:rsidR="00960E68" w:rsidRDefault="005A1A63" w:rsidP="005A1A63">
      <w:pPr>
        <w:pStyle w:val="RegHChG"/>
        <w:tabs>
          <w:tab w:val="left" w:pos="1135"/>
        </w:tabs>
        <w:ind w:hanging="454"/>
      </w:pPr>
      <w:bookmarkStart w:id="63" w:name="_Toc161216132"/>
      <w:r>
        <w:t>II.</w:t>
      </w:r>
      <w:r>
        <w:tab/>
      </w:r>
      <w:r w:rsidR="00960E68">
        <w:t>2025</w:t>
      </w:r>
      <w:bookmarkEnd w:id="63"/>
    </w:p>
    <w:p w14:paraId="23A94DCC" w14:textId="39A34F17" w:rsidR="00960E68" w:rsidRPr="00C471FA" w:rsidRDefault="005A1A63" w:rsidP="005A1A63">
      <w:pPr>
        <w:pStyle w:val="RegSingleTxtG"/>
      </w:pPr>
      <w:r w:rsidRPr="00C471FA">
        <w:t>4.</w:t>
      </w:r>
      <w:r w:rsidRPr="00C471FA">
        <w:tab/>
      </w:r>
      <w:r w:rsidR="00960E68">
        <w:rPr>
          <w:i/>
        </w:rPr>
        <w:t xml:space="preserve">Accepts with appreciation </w:t>
      </w:r>
      <w:r w:rsidR="00960E68">
        <w:rPr>
          <w:iCs/>
        </w:rPr>
        <w:t xml:space="preserve">the offer of the Government of Brazil to host the thirtieth session of the Conference of the Parties, </w:t>
      </w:r>
      <w:r w:rsidR="00960E68" w:rsidRPr="009D2DE0">
        <w:rPr>
          <w:iCs/>
        </w:rPr>
        <w:t>the twentieth session of the Conference of the Parties serving as the meeting of the Parties to the Kyoto Protocol and the seventh session of the Conference of the Parties serving as the meeting of the Parties to the Paris Agreement</w:t>
      </w:r>
      <w:r w:rsidR="00960E68">
        <w:rPr>
          <w:iCs/>
        </w:rPr>
        <w:t xml:space="preserve"> </w:t>
      </w:r>
      <w:r w:rsidR="00960E68" w:rsidRPr="004179B3">
        <w:rPr>
          <w:iCs/>
        </w:rPr>
        <w:t>from Monday, 10 November</w:t>
      </w:r>
      <w:r w:rsidR="00960E68">
        <w:rPr>
          <w:iCs/>
        </w:rPr>
        <w:t>,</w:t>
      </w:r>
      <w:r w:rsidR="00960E68" w:rsidRPr="004179B3">
        <w:rPr>
          <w:iCs/>
        </w:rPr>
        <w:t xml:space="preserve"> to Friday, 21 November 2025</w:t>
      </w:r>
      <w:r w:rsidR="00960E68" w:rsidRPr="009D2DE0">
        <w:rPr>
          <w:iCs/>
        </w:rPr>
        <w:t>;</w:t>
      </w:r>
    </w:p>
    <w:p w14:paraId="311A4D59" w14:textId="578C3A3E" w:rsidR="00960E68" w:rsidRDefault="005A1A63" w:rsidP="005A1A63">
      <w:pPr>
        <w:pStyle w:val="RegSingleTxtG"/>
      </w:pPr>
      <w:r>
        <w:t>5.</w:t>
      </w:r>
      <w:r>
        <w:tab/>
      </w:r>
      <w:r w:rsidR="00960E68" w:rsidRPr="00A41C51">
        <w:rPr>
          <w:i/>
        </w:rPr>
        <w:t>Requests</w:t>
      </w:r>
      <w:r w:rsidR="00960E68" w:rsidRPr="00075450">
        <w:t xml:space="preserve"> the Executive Secretary to initiate consultations with the Government of </w:t>
      </w:r>
      <w:r w:rsidR="00960E68">
        <w:t>Brazil</w:t>
      </w:r>
      <w:r w:rsidR="00960E68" w:rsidRPr="00075450">
        <w:t xml:space="preserve"> and to conclude </w:t>
      </w:r>
      <w:r w:rsidR="00960E68">
        <w:t>a</w:t>
      </w:r>
      <w:r w:rsidR="00960E68" w:rsidRPr="00075450">
        <w:t xml:space="preserve"> Host Country Agreement for convening the sessions, pursuant to United Nations General Assembly resolution 40/243 and the provisions of United Nations administrative instruction ST/AI/342, including its annex, containing the model conference agreement, with a view to signing the Host Country Agreement as soon as possible, preferabl</w:t>
      </w:r>
      <w:r w:rsidR="00960E68">
        <w:t>y</w:t>
      </w:r>
      <w:r w:rsidR="00960E68" w:rsidRPr="00075450">
        <w:t xml:space="preserve"> before the </w:t>
      </w:r>
      <w:r w:rsidR="00960E68">
        <w:t>sixtieth</w:t>
      </w:r>
      <w:r w:rsidR="00960E68" w:rsidRPr="00075450">
        <w:t xml:space="preserve"> sessions of the subsidiary bodies, so as to allow for its prompt implementation</w:t>
      </w:r>
      <w:r w:rsidR="00960E68">
        <w:t>;</w:t>
      </w:r>
    </w:p>
    <w:p w14:paraId="591618B0" w14:textId="48935763" w:rsidR="00960E68" w:rsidRDefault="005A1A63" w:rsidP="005A1A63">
      <w:pPr>
        <w:pStyle w:val="RegSingleTxtG"/>
      </w:pPr>
      <w:r>
        <w:t>6.</w:t>
      </w:r>
      <w:r>
        <w:tab/>
      </w:r>
      <w:r w:rsidR="00960E68" w:rsidRPr="00A41C51">
        <w:rPr>
          <w:i/>
        </w:rPr>
        <w:t>Also</w:t>
      </w:r>
      <w:r w:rsidR="00960E68" w:rsidRPr="00891DFD">
        <w:rPr>
          <w:i/>
          <w:iCs/>
        </w:rPr>
        <w:t xml:space="preserve"> requests</w:t>
      </w:r>
      <w:r w:rsidR="00960E68" w:rsidRPr="00844B0D">
        <w:t xml:space="preserve"> the Executive Secretary to provide the host country with technical support and guidance on UNFCCC policies and requirements, taking into account </w:t>
      </w:r>
      <w:r w:rsidR="00960E68">
        <w:t>any</w:t>
      </w:r>
      <w:r w:rsidR="00960E68" w:rsidRPr="00844B0D">
        <w:t xml:space="preserve"> issues raised by Parties regarding the organization of sessions, and to report back regularly to the Bureau of the governing bodies</w:t>
      </w:r>
      <w:r w:rsidR="00960E68">
        <w:t>;</w:t>
      </w:r>
    </w:p>
    <w:p w14:paraId="3FBDEB1C" w14:textId="0F29923F" w:rsidR="00960E68" w:rsidRDefault="005A1A63" w:rsidP="005A1A63">
      <w:pPr>
        <w:pStyle w:val="RegHChG"/>
        <w:tabs>
          <w:tab w:val="left" w:pos="1135"/>
        </w:tabs>
        <w:ind w:hanging="454"/>
      </w:pPr>
      <w:bookmarkStart w:id="64" w:name="_Toc161216133"/>
      <w:r>
        <w:t>III.</w:t>
      </w:r>
      <w:r>
        <w:tab/>
      </w:r>
      <w:r w:rsidR="00960E68">
        <w:t>2026</w:t>
      </w:r>
      <w:bookmarkEnd w:id="64"/>
    </w:p>
    <w:p w14:paraId="73F15C79" w14:textId="130B4DDA" w:rsidR="00960E68" w:rsidRDefault="005A1A63" w:rsidP="005A1A63">
      <w:pPr>
        <w:pStyle w:val="RegSingleTxtG"/>
      </w:pPr>
      <w:bookmarkStart w:id="65" w:name="_Ref156301836"/>
      <w:r>
        <w:t>7.</w:t>
      </w:r>
      <w:r>
        <w:tab/>
      </w:r>
      <w:r w:rsidR="00960E68" w:rsidRPr="00D82426">
        <w:rPr>
          <w:i/>
          <w:iCs/>
        </w:rPr>
        <w:t>Notes</w:t>
      </w:r>
      <w:r w:rsidR="00960E68">
        <w:t xml:space="preserve"> that, in keeping with the principle of rotation among the United Nations regional groups, the President of the thirty-first session of the Conference of the Parties, the twenty-first session of the Conference of the Parties serving as the meeting of the Parties to the Kyoto Protocol and the eighth session of the Conference of the Parties serving as the meeting of the Parties to the Paris Agreement would come from the Western European and other States;</w:t>
      </w:r>
      <w:bookmarkEnd w:id="65"/>
    </w:p>
    <w:p w14:paraId="0D757CDB" w14:textId="5B84DC7B" w:rsidR="00960E68" w:rsidRDefault="005A1A63" w:rsidP="005A1A63">
      <w:pPr>
        <w:pStyle w:val="RegSingleTxtG"/>
      </w:pPr>
      <w:r>
        <w:t>8.</w:t>
      </w:r>
      <w:r>
        <w:tab/>
      </w:r>
      <w:r w:rsidR="00960E68" w:rsidRPr="00D82426">
        <w:rPr>
          <w:i/>
          <w:iCs/>
        </w:rPr>
        <w:t>Invites</w:t>
      </w:r>
      <w:r w:rsidR="00960E68">
        <w:t xml:space="preserve"> Parties to come forward with offers to host the sessions referred to in paragraph </w:t>
      </w:r>
      <w:r w:rsidR="007A239A">
        <w:rPr>
          <w:cs/>
        </w:rPr>
        <w:t>‎</w:t>
      </w:r>
      <w:r w:rsidR="007A239A">
        <w:t>7 above</w:t>
      </w:r>
      <w:r w:rsidR="00960E68">
        <w:t xml:space="preserve">, </w:t>
      </w:r>
      <w:r w:rsidR="00960E68" w:rsidRPr="00CF74A5">
        <w:t>which will be held from Monday, 9 November</w:t>
      </w:r>
      <w:r w:rsidR="00960E68">
        <w:t>,</w:t>
      </w:r>
      <w:r w:rsidR="00960E68" w:rsidRPr="00CF74A5">
        <w:t xml:space="preserve"> to Friday, 20 November 2026,</w:t>
      </w:r>
      <w:r w:rsidR="00960E68">
        <w:t xml:space="preserve"> noting the logistical and financial risks associated with delays in selecting a host country and the need for the secretariat to conduct fact-finding missions to the host country in a timely manner;</w:t>
      </w:r>
    </w:p>
    <w:p w14:paraId="6F438A70" w14:textId="3181CC3C" w:rsidR="00960E68" w:rsidRDefault="005A1A63" w:rsidP="005A1A63">
      <w:pPr>
        <w:pStyle w:val="RegSingleTxtG"/>
      </w:pPr>
      <w:r>
        <w:t>9.</w:t>
      </w:r>
      <w:r>
        <w:tab/>
      </w:r>
      <w:r w:rsidR="00960E68" w:rsidRPr="00D82426">
        <w:rPr>
          <w:i/>
          <w:iCs/>
        </w:rPr>
        <w:t>Requests</w:t>
      </w:r>
      <w:r w:rsidR="00960E68">
        <w:t xml:space="preserve"> the Subsidiary Body for Implementation, at its sixtieth session, to consider the issue of the host of the sessions referred to in paragraph </w:t>
      </w:r>
      <w:r w:rsidR="007A239A">
        <w:rPr>
          <w:cs/>
        </w:rPr>
        <w:t>‎</w:t>
      </w:r>
      <w:r w:rsidR="007A239A">
        <w:t>7 above</w:t>
      </w:r>
      <w:r w:rsidR="00960E68">
        <w:t xml:space="preserve"> and to recommend a draft decision on the matter for consideration and adoption by the Conference of the Parties at its twenty-ninth session;</w:t>
      </w:r>
    </w:p>
    <w:p w14:paraId="0D22E353" w14:textId="39BF7177" w:rsidR="00960E68" w:rsidRDefault="005A1A63" w:rsidP="005A1A63">
      <w:pPr>
        <w:pStyle w:val="RegHChG"/>
        <w:tabs>
          <w:tab w:val="left" w:pos="1135"/>
        </w:tabs>
        <w:ind w:hanging="454"/>
      </w:pPr>
      <w:bookmarkStart w:id="66" w:name="_Toc161216134"/>
      <w:r>
        <w:t>IV.</w:t>
      </w:r>
      <w:r>
        <w:tab/>
      </w:r>
      <w:r w:rsidR="00960E68">
        <w:t>Calendar of meetings of the Convention, Kyoto Protocol and Paris Agreement bodies</w:t>
      </w:r>
      <w:bookmarkEnd w:id="66"/>
    </w:p>
    <w:p w14:paraId="0E77ABB7" w14:textId="58C286EF" w:rsidR="00960E68" w:rsidRDefault="005A1A63" w:rsidP="005A1A63">
      <w:pPr>
        <w:pStyle w:val="RegSingleTxtG"/>
      </w:pPr>
      <w:r>
        <w:t>10.</w:t>
      </w:r>
      <w:r>
        <w:tab/>
      </w:r>
      <w:r w:rsidR="00960E68" w:rsidRPr="00E3122C">
        <w:rPr>
          <w:i/>
          <w:iCs/>
        </w:rPr>
        <w:t>Adopts</w:t>
      </w:r>
      <w:r w:rsidR="00960E68" w:rsidRPr="00E24F6A">
        <w:t xml:space="preserve"> the following dates for the sessional periods in 202</w:t>
      </w:r>
      <w:r w:rsidR="00960E68">
        <w:t>6</w:t>
      </w:r>
      <w:r w:rsidR="00960E68" w:rsidRPr="00E24F6A">
        <w:t>:</w:t>
      </w:r>
    </w:p>
    <w:p w14:paraId="200346AD" w14:textId="3F7A7AB7" w:rsidR="00960E68" w:rsidRDefault="005A1A63" w:rsidP="005A1A63">
      <w:pPr>
        <w:pStyle w:val="RegSingleTxtG2"/>
        <w:ind w:left="1134" w:firstLine="567"/>
      </w:pPr>
      <w:r>
        <w:rPr>
          <w:szCs w:val="28"/>
        </w:rPr>
        <w:t>(a)</w:t>
      </w:r>
      <w:r>
        <w:rPr>
          <w:szCs w:val="28"/>
        </w:rPr>
        <w:tab/>
      </w:r>
      <w:r w:rsidR="00960E68" w:rsidRPr="00CA311F">
        <w:t>First sessional period: Monday, 8 June, to Thursday, 18 June</w:t>
      </w:r>
      <w:r w:rsidR="00960E68">
        <w:t>;</w:t>
      </w:r>
    </w:p>
    <w:p w14:paraId="38BB215B" w14:textId="2085938E" w:rsidR="00960E68" w:rsidRDefault="005A1A63" w:rsidP="005A1A63">
      <w:pPr>
        <w:pStyle w:val="RegSingleTxtG2"/>
        <w:ind w:left="1134" w:firstLine="567"/>
      </w:pPr>
      <w:r>
        <w:rPr>
          <w:szCs w:val="28"/>
        </w:rPr>
        <w:t>(b)</w:t>
      </w:r>
      <w:r>
        <w:rPr>
          <w:szCs w:val="28"/>
        </w:rPr>
        <w:tab/>
      </w:r>
      <w:r w:rsidR="00960E68" w:rsidRPr="00CA311F">
        <w:t>Second sessional period: Monday, 9 November, to Friday, 20 November</w:t>
      </w:r>
      <w:r w:rsidR="00960E68">
        <w:t>;</w:t>
      </w:r>
    </w:p>
    <w:p w14:paraId="7DFB76F9" w14:textId="5994120E" w:rsidR="00960E68" w:rsidRDefault="005A1A63" w:rsidP="005A1A63">
      <w:pPr>
        <w:pStyle w:val="RegSingleTxtG"/>
      </w:pPr>
      <w:r>
        <w:t>11.</w:t>
      </w:r>
      <w:r>
        <w:tab/>
      </w:r>
      <w:r w:rsidR="00960E68" w:rsidRPr="00E3122C">
        <w:rPr>
          <w:i/>
          <w:iCs/>
        </w:rPr>
        <w:t>Also adopts</w:t>
      </w:r>
      <w:r w:rsidR="00960E68" w:rsidRPr="00E24F6A">
        <w:t xml:space="preserve"> the following dates for the sessional periods in 202</w:t>
      </w:r>
      <w:r w:rsidR="00960E68">
        <w:t>7:</w:t>
      </w:r>
    </w:p>
    <w:p w14:paraId="33102345" w14:textId="449D174F" w:rsidR="00960E68" w:rsidRDefault="005A1A63" w:rsidP="005A1A63">
      <w:pPr>
        <w:pStyle w:val="RegSingleTxtG2"/>
        <w:ind w:left="1134" w:firstLine="567"/>
      </w:pPr>
      <w:r>
        <w:rPr>
          <w:szCs w:val="28"/>
        </w:rPr>
        <w:t>(a)</w:t>
      </w:r>
      <w:r>
        <w:rPr>
          <w:szCs w:val="28"/>
        </w:rPr>
        <w:tab/>
      </w:r>
      <w:r w:rsidR="00960E68" w:rsidRPr="00AD2072">
        <w:t>First sessional period: Monday, 7 June, to Thursday, 17 June;</w:t>
      </w:r>
    </w:p>
    <w:p w14:paraId="0D25EECD" w14:textId="26AFE2D0" w:rsidR="00960E68" w:rsidRDefault="005A1A63" w:rsidP="005A1A63">
      <w:pPr>
        <w:pStyle w:val="RegSingleTxtG2"/>
        <w:ind w:left="1134" w:firstLine="567"/>
      </w:pPr>
      <w:r>
        <w:rPr>
          <w:szCs w:val="28"/>
        </w:rPr>
        <w:t>(b)</w:t>
      </w:r>
      <w:r>
        <w:rPr>
          <w:szCs w:val="28"/>
        </w:rPr>
        <w:tab/>
      </w:r>
      <w:r w:rsidR="00960E68" w:rsidRPr="00AD2072">
        <w:t>Second sessional period: Monday, 8 November, to Friday, 19 November</w:t>
      </w:r>
      <w:r w:rsidR="00960E68">
        <w:t>.</w:t>
      </w:r>
    </w:p>
    <w:p w14:paraId="0951D13F" w14:textId="6D1B7449" w:rsidR="00D51975" w:rsidRPr="002445B1" w:rsidRDefault="00972DD2" w:rsidP="0079125D">
      <w:pPr>
        <w:pStyle w:val="RegSingleTxtG"/>
        <w:spacing w:after="0"/>
        <w:jc w:val="right"/>
        <w:rPr>
          <w:i/>
          <w:iCs/>
        </w:rPr>
      </w:pPr>
      <w:r>
        <w:rPr>
          <w:i/>
          <w:iCs/>
        </w:rPr>
        <w:t>6</w:t>
      </w:r>
      <w:r w:rsidRPr="00972DD2">
        <w:rPr>
          <w:i/>
          <w:iCs/>
          <w:vertAlign w:val="superscript"/>
        </w:rPr>
        <w:t>th</w:t>
      </w:r>
      <w:r>
        <w:rPr>
          <w:i/>
          <w:iCs/>
        </w:rPr>
        <w:t xml:space="preserve"> </w:t>
      </w:r>
      <w:r w:rsidR="00D51975" w:rsidRPr="002445B1">
        <w:rPr>
          <w:i/>
          <w:iCs/>
        </w:rPr>
        <w:t>plenary m</w:t>
      </w:r>
      <w:r w:rsidR="00C625E9">
        <w:rPr>
          <w:i/>
          <w:iCs/>
        </w:rPr>
        <w:t>e</w:t>
      </w:r>
      <w:r w:rsidR="00A4536D">
        <w:rPr>
          <w:i/>
          <w:iCs/>
        </w:rPr>
        <w:t>e</w:t>
      </w:r>
      <w:r w:rsidR="00D51975" w:rsidRPr="002445B1">
        <w:rPr>
          <w:i/>
          <w:iCs/>
        </w:rPr>
        <w:t>ting</w:t>
      </w:r>
    </w:p>
    <w:p w14:paraId="22D51662" w14:textId="77777777" w:rsidR="00D51975" w:rsidRPr="00D344A3" w:rsidRDefault="00D51975" w:rsidP="0079125D">
      <w:pPr>
        <w:pStyle w:val="RegSingleTxtG"/>
        <w:spacing w:after="0"/>
        <w:jc w:val="right"/>
        <w:rPr>
          <w:i/>
          <w:iCs/>
        </w:rPr>
      </w:pPr>
      <w:r w:rsidRPr="002445B1">
        <w:rPr>
          <w:i/>
          <w:iCs/>
        </w:rPr>
        <w:t>13 December 2023</w:t>
      </w:r>
    </w:p>
    <w:p w14:paraId="0A0268F7" w14:textId="77777777" w:rsidR="00EB482F" w:rsidRDefault="00EB482F" w:rsidP="006C0696">
      <w:pPr>
        <w:jc w:val="center"/>
      </w:pPr>
    </w:p>
    <w:p w14:paraId="39BE952C" w14:textId="77777777" w:rsidR="000F4F73" w:rsidRDefault="000F4F73" w:rsidP="002C12AA">
      <w:pPr>
        <w:pStyle w:val="HChG"/>
        <w:sectPr w:rsidR="000F4F73" w:rsidSect="000D19EC">
          <w:footnotePr>
            <w:numRestart w:val="eachSect"/>
          </w:footnotePr>
          <w:pgSz w:w="11906" w:h="16838" w:code="9"/>
          <w:pgMar w:top="1418" w:right="1134" w:bottom="1134" w:left="1134" w:header="850" w:footer="567" w:gutter="0"/>
          <w:cols w:space="708"/>
          <w:docGrid w:linePitch="360"/>
        </w:sectPr>
      </w:pPr>
    </w:p>
    <w:p w14:paraId="24568C61" w14:textId="34FC947E" w:rsidR="009A13A2" w:rsidRDefault="00166533" w:rsidP="008430A9">
      <w:pPr>
        <w:pStyle w:val="HChG"/>
      </w:pPr>
      <w:r>
        <w:tab/>
      </w:r>
      <w:bookmarkStart w:id="67" w:name="_Toc161216135"/>
      <w:bookmarkStart w:id="68" w:name="Decision18"/>
      <w:r w:rsidR="008430A9">
        <w:tab/>
      </w:r>
      <w:r w:rsidR="009A13A2" w:rsidRPr="001F55EA">
        <w:t xml:space="preserve">Decision </w:t>
      </w:r>
      <w:r w:rsidR="009A13A2">
        <w:t>18</w:t>
      </w:r>
      <w:r w:rsidR="009A13A2" w:rsidRPr="001F55EA">
        <w:t>/CP.28</w:t>
      </w:r>
      <w:bookmarkEnd w:id="67"/>
    </w:p>
    <w:bookmarkEnd w:id="68"/>
    <w:p w14:paraId="275419FD" w14:textId="77777777" w:rsidR="009A13A2" w:rsidRPr="00880D60" w:rsidRDefault="009A13A2" w:rsidP="009A13A2">
      <w:pPr>
        <w:pStyle w:val="HChG"/>
      </w:pPr>
      <w:r>
        <w:tab/>
      </w:r>
      <w:r>
        <w:tab/>
      </w:r>
      <w:r>
        <w:tab/>
      </w:r>
      <w:r w:rsidRPr="0011003A">
        <w:t>Administrative, financial and institutional matters</w:t>
      </w:r>
    </w:p>
    <w:p w14:paraId="6075D3F4" w14:textId="3547F15A" w:rsidR="009A13A2" w:rsidRPr="0079125D" w:rsidRDefault="00166533" w:rsidP="00166533">
      <w:pPr>
        <w:pStyle w:val="RegSingleTxtG"/>
        <w:spacing w:before="120"/>
        <w:ind w:right="1133"/>
        <w:rPr>
          <w:iCs/>
        </w:rPr>
      </w:pPr>
      <w:r>
        <w:rPr>
          <w:i/>
          <w:lang w:val="en-US"/>
        </w:rPr>
        <w:tab/>
      </w:r>
      <w:r w:rsidR="009A13A2" w:rsidRPr="00897652">
        <w:rPr>
          <w:i/>
          <w:lang w:val="en-US"/>
        </w:rPr>
        <w:t>The</w:t>
      </w:r>
      <w:r w:rsidR="009A13A2" w:rsidRPr="003E51E4">
        <w:rPr>
          <w:i/>
        </w:rPr>
        <w:t xml:space="preserve"> Conference of the Parties</w:t>
      </w:r>
      <w:r w:rsidR="009A13A2" w:rsidRPr="003E51E4">
        <w:t>,</w:t>
      </w:r>
    </w:p>
    <w:p w14:paraId="235117B3" w14:textId="05985D2A" w:rsidR="009A13A2" w:rsidRPr="003E51E4" w:rsidRDefault="00166533" w:rsidP="00166533">
      <w:pPr>
        <w:pStyle w:val="RegSingleTxtG"/>
        <w:spacing w:before="120"/>
        <w:ind w:right="1133"/>
      </w:pPr>
      <w:r>
        <w:rPr>
          <w:i/>
        </w:rPr>
        <w:tab/>
      </w:r>
      <w:r w:rsidR="009A13A2" w:rsidRPr="003E51E4">
        <w:rPr>
          <w:i/>
        </w:rPr>
        <w:t xml:space="preserve">Recalling </w:t>
      </w:r>
      <w:r w:rsidR="009A13A2" w:rsidRPr="003E51E4">
        <w:t xml:space="preserve">the </w:t>
      </w:r>
      <w:r w:rsidR="00D85A62">
        <w:t xml:space="preserve">UNFCCC </w:t>
      </w:r>
      <w:r w:rsidR="009A13A2" w:rsidRPr="003E51E4">
        <w:t>financial procedures,</w:t>
      </w:r>
      <w:r w:rsidR="009A13A2" w:rsidRPr="003E51E4">
        <w:rPr>
          <w:rStyle w:val="FootnoteReference"/>
        </w:rPr>
        <w:footnoteReference w:id="35"/>
      </w:r>
    </w:p>
    <w:p w14:paraId="7907029E" w14:textId="6BDEE669" w:rsidR="009A13A2" w:rsidRPr="003E51E4" w:rsidRDefault="00166533" w:rsidP="00166533">
      <w:pPr>
        <w:pStyle w:val="RegSingleTxtG"/>
        <w:spacing w:before="120"/>
        <w:ind w:right="1133"/>
      </w:pPr>
      <w:r>
        <w:rPr>
          <w:i/>
          <w:lang w:val="en-US"/>
        </w:rPr>
        <w:tab/>
      </w:r>
      <w:r w:rsidR="009A13A2" w:rsidRPr="00897652">
        <w:rPr>
          <w:i/>
          <w:lang w:val="en-US"/>
        </w:rPr>
        <w:t>Having</w:t>
      </w:r>
      <w:r w:rsidR="009A13A2" w:rsidRPr="003E51E4">
        <w:rPr>
          <w:i/>
        </w:rPr>
        <w:t xml:space="preserve"> considered </w:t>
      </w:r>
      <w:r w:rsidR="009A13A2" w:rsidRPr="003E51E4">
        <w:t>the information contained in the documents on administrative, financial and institutional matters prepared by the secretariat,</w:t>
      </w:r>
      <w:r w:rsidR="009A13A2" w:rsidRPr="003E51E4">
        <w:rPr>
          <w:rStyle w:val="FootnoteReference"/>
        </w:rPr>
        <w:footnoteReference w:id="36"/>
      </w:r>
    </w:p>
    <w:p w14:paraId="1CFC6A60" w14:textId="66E58A9C" w:rsidR="009A13A2" w:rsidRPr="007305EA" w:rsidRDefault="005A1A63" w:rsidP="005A1A63">
      <w:pPr>
        <w:pStyle w:val="RegHChG"/>
        <w:tabs>
          <w:tab w:val="left" w:pos="1135"/>
        </w:tabs>
        <w:ind w:hanging="454"/>
      </w:pPr>
      <w:bookmarkStart w:id="69" w:name="_Toc161216136"/>
      <w:r w:rsidRPr="007305EA">
        <w:t>I.</w:t>
      </w:r>
      <w:r w:rsidRPr="007305EA">
        <w:tab/>
      </w:r>
      <w:r w:rsidR="009A13A2" w:rsidRPr="007305EA">
        <w:t>Audit report and financial statements for 2022</w:t>
      </w:r>
      <w:bookmarkEnd w:id="69"/>
    </w:p>
    <w:p w14:paraId="1A89ABD6" w14:textId="2D1056FA" w:rsidR="009A13A2" w:rsidRPr="003E51E4" w:rsidRDefault="005A1A63" w:rsidP="005A1A63">
      <w:pPr>
        <w:pStyle w:val="RegSingleTxtG"/>
        <w:tabs>
          <w:tab w:val="left" w:pos="568"/>
        </w:tabs>
        <w:ind w:left="1135"/>
        <w:rPr>
          <w:rFonts w:eastAsia="Times New Roman"/>
          <w:lang w:eastAsia="en-US"/>
        </w:rPr>
      </w:pPr>
      <w:r w:rsidRPr="003E51E4">
        <w:rPr>
          <w:rFonts w:eastAsia="Times New Roman"/>
          <w:lang w:eastAsia="en-US"/>
        </w:rPr>
        <w:t>1.</w:t>
      </w:r>
      <w:r w:rsidRPr="003E51E4">
        <w:rPr>
          <w:rFonts w:eastAsia="Times New Roman"/>
          <w:lang w:eastAsia="en-US"/>
        </w:rPr>
        <w:tab/>
      </w:r>
      <w:r w:rsidR="009A13A2" w:rsidRPr="003E51E4">
        <w:rPr>
          <w:rFonts w:eastAsia="Times New Roman"/>
          <w:i/>
          <w:lang w:eastAsia="en-US"/>
        </w:rPr>
        <w:t>Takes note</w:t>
      </w:r>
      <w:r w:rsidR="009A13A2" w:rsidRPr="003E51E4">
        <w:rPr>
          <w:rFonts w:eastAsia="Times New Roman"/>
          <w:lang w:eastAsia="en-US"/>
        </w:rPr>
        <w:t xml:space="preserve"> of the financial report and audited financial statements for 2022 and the report of the United Nations Board of Auditors, which include recommendations</w:t>
      </w:r>
      <w:r w:rsidR="009A13A2">
        <w:rPr>
          <w:rFonts w:eastAsia="Times New Roman"/>
          <w:lang w:eastAsia="en-US"/>
        </w:rPr>
        <w:t>,</w:t>
      </w:r>
      <w:r w:rsidR="009A13A2">
        <w:rPr>
          <w:rStyle w:val="FootnoteReference"/>
          <w:rFonts w:eastAsia="Times New Roman"/>
          <w:lang w:eastAsia="en-US"/>
        </w:rPr>
        <w:footnoteReference w:id="37"/>
      </w:r>
      <w:r w:rsidR="009A13A2" w:rsidRPr="003E51E4">
        <w:rPr>
          <w:rFonts w:eastAsia="Times New Roman"/>
          <w:lang w:eastAsia="en-US"/>
        </w:rPr>
        <w:t xml:space="preserve"> and the comments of the secretariat</w:t>
      </w:r>
      <w:r w:rsidR="009A13A2" w:rsidRPr="007B1E6B">
        <w:rPr>
          <w:rFonts w:eastAsia="Times New Roman"/>
          <w:lang w:eastAsia="en-US"/>
        </w:rPr>
        <w:t xml:space="preserve"> </w:t>
      </w:r>
      <w:r w:rsidR="009A13A2" w:rsidRPr="003E51E4">
        <w:rPr>
          <w:rFonts w:eastAsia="Times New Roman"/>
          <w:lang w:eastAsia="en-US"/>
        </w:rPr>
        <w:t>thereon;</w:t>
      </w:r>
      <w:r w:rsidR="009A13A2">
        <w:rPr>
          <w:rStyle w:val="FootnoteReference"/>
          <w:rFonts w:eastAsia="Times New Roman"/>
          <w:lang w:eastAsia="en-US"/>
        </w:rPr>
        <w:footnoteReference w:id="38"/>
      </w:r>
    </w:p>
    <w:p w14:paraId="2E91E4BE" w14:textId="2323BCD7" w:rsidR="009A13A2" w:rsidRPr="003E51E4" w:rsidRDefault="005A1A63" w:rsidP="005A1A63">
      <w:pPr>
        <w:pStyle w:val="RegSingleTxtG"/>
        <w:tabs>
          <w:tab w:val="left" w:pos="568"/>
        </w:tabs>
        <w:ind w:left="1135"/>
        <w:rPr>
          <w:rFonts w:eastAsia="Times New Roman"/>
          <w:lang w:eastAsia="en-US"/>
        </w:rPr>
      </w:pPr>
      <w:r w:rsidRPr="003E51E4">
        <w:rPr>
          <w:rFonts w:eastAsia="Times New Roman"/>
          <w:lang w:eastAsia="en-US"/>
        </w:rPr>
        <w:t>2.</w:t>
      </w:r>
      <w:r w:rsidRPr="003E51E4">
        <w:rPr>
          <w:rFonts w:eastAsia="Times New Roman"/>
          <w:lang w:eastAsia="en-US"/>
        </w:rPr>
        <w:tab/>
      </w:r>
      <w:r w:rsidR="009A13A2" w:rsidRPr="003E51E4">
        <w:rPr>
          <w:rFonts w:eastAsia="Times New Roman"/>
          <w:i/>
          <w:lang w:eastAsia="en-US"/>
        </w:rPr>
        <w:t>Expresses appreciation</w:t>
      </w:r>
      <w:r w:rsidR="009A13A2" w:rsidRPr="003E51E4">
        <w:rPr>
          <w:rFonts w:eastAsia="Times New Roman"/>
          <w:lang w:eastAsia="en-US"/>
        </w:rPr>
        <w:t xml:space="preserve"> to the United Nations for arranging the audit of the accounts of the Convention;</w:t>
      </w:r>
    </w:p>
    <w:p w14:paraId="2E01291D" w14:textId="357D4DF0" w:rsidR="009A13A2" w:rsidRPr="003E51E4" w:rsidRDefault="005A1A63" w:rsidP="005A1A63">
      <w:pPr>
        <w:pStyle w:val="RegSingleTxtG"/>
        <w:tabs>
          <w:tab w:val="left" w:pos="568"/>
        </w:tabs>
        <w:ind w:left="1135"/>
        <w:rPr>
          <w:rFonts w:eastAsia="Times New Roman"/>
          <w:lang w:eastAsia="en-US"/>
        </w:rPr>
      </w:pPr>
      <w:r w:rsidRPr="003E51E4">
        <w:rPr>
          <w:rFonts w:eastAsia="Times New Roman"/>
          <w:lang w:eastAsia="en-US"/>
        </w:rPr>
        <w:t>3.</w:t>
      </w:r>
      <w:r w:rsidRPr="003E51E4">
        <w:rPr>
          <w:rFonts w:eastAsia="Times New Roman"/>
          <w:lang w:eastAsia="en-US"/>
        </w:rPr>
        <w:tab/>
      </w:r>
      <w:r w:rsidR="009A13A2" w:rsidRPr="003E51E4">
        <w:rPr>
          <w:rFonts w:eastAsia="Times New Roman"/>
          <w:i/>
          <w:lang w:eastAsia="en-US"/>
        </w:rPr>
        <w:t>Also expresses appreciation</w:t>
      </w:r>
      <w:r w:rsidR="009A13A2" w:rsidRPr="003E51E4">
        <w:rPr>
          <w:rFonts w:eastAsia="Times New Roman"/>
          <w:lang w:eastAsia="en-US"/>
        </w:rPr>
        <w:t xml:space="preserve"> to the auditors for their valuable observations and recommendations;</w:t>
      </w:r>
    </w:p>
    <w:p w14:paraId="7D92FA13" w14:textId="52D7A261" w:rsidR="009A13A2" w:rsidRPr="003E51E4" w:rsidRDefault="005A1A63" w:rsidP="005A1A63">
      <w:pPr>
        <w:pStyle w:val="RegSingleTxtG"/>
        <w:tabs>
          <w:tab w:val="left" w:pos="568"/>
        </w:tabs>
        <w:ind w:left="1135"/>
        <w:rPr>
          <w:rFonts w:eastAsia="Times New Roman"/>
          <w:lang w:eastAsia="en-US"/>
        </w:rPr>
      </w:pPr>
      <w:r w:rsidRPr="003E51E4">
        <w:rPr>
          <w:rFonts w:eastAsia="Times New Roman"/>
          <w:lang w:eastAsia="en-US"/>
        </w:rPr>
        <w:t>4.</w:t>
      </w:r>
      <w:r w:rsidRPr="003E51E4">
        <w:rPr>
          <w:rFonts w:eastAsia="Times New Roman"/>
          <w:lang w:eastAsia="en-US"/>
        </w:rPr>
        <w:tab/>
      </w:r>
      <w:r w:rsidR="009A13A2" w:rsidRPr="003E51E4">
        <w:rPr>
          <w:rFonts w:eastAsia="Times New Roman"/>
          <w:i/>
          <w:iCs/>
          <w:lang w:eastAsia="en-US"/>
        </w:rPr>
        <w:t>Expresses</w:t>
      </w:r>
      <w:r w:rsidR="009A13A2" w:rsidRPr="0079125D">
        <w:rPr>
          <w:rFonts w:eastAsia="Times New Roman"/>
          <w:i/>
          <w:iCs/>
          <w:lang w:eastAsia="en-US"/>
        </w:rPr>
        <w:t xml:space="preserve"> </w:t>
      </w:r>
      <w:r w:rsidR="009A13A2" w:rsidRPr="003E51E4">
        <w:rPr>
          <w:rFonts w:eastAsia="Times New Roman"/>
          <w:i/>
          <w:lang w:eastAsia="en-US"/>
        </w:rPr>
        <w:t>concern</w:t>
      </w:r>
      <w:r w:rsidR="009A13A2" w:rsidRPr="003E51E4">
        <w:rPr>
          <w:rFonts w:eastAsia="Times New Roman"/>
          <w:lang w:eastAsia="en-US"/>
        </w:rPr>
        <w:t xml:space="preserve"> about the high number of recommendations </w:t>
      </w:r>
      <w:r w:rsidR="009A13A2">
        <w:rPr>
          <w:rFonts w:eastAsia="Times New Roman"/>
          <w:lang w:eastAsia="en-US"/>
        </w:rPr>
        <w:t>of</w:t>
      </w:r>
      <w:r w:rsidR="009A13A2" w:rsidRPr="003E51E4">
        <w:rPr>
          <w:rFonts w:eastAsia="Times New Roman"/>
          <w:lang w:eastAsia="en-US"/>
        </w:rPr>
        <w:t xml:space="preserve"> the United Nations Board of Auditors not yet implemented by the secretariat;</w:t>
      </w:r>
    </w:p>
    <w:p w14:paraId="0A90A21E" w14:textId="543365DD" w:rsidR="009A13A2" w:rsidRPr="003E51E4" w:rsidRDefault="005A1A63" w:rsidP="005A1A63">
      <w:pPr>
        <w:pStyle w:val="RegSingleTxtG"/>
        <w:tabs>
          <w:tab w:val="left" w:pos="568"/>
        </w:tabs>
        <w:ind w:left="1135"/>
        <w:rPr>
          <w:rFonts w:eastAsia="Times New Roman"/>
          <w:lang w:eastAsia="en-US"/>
        </w:rPr>
      </w:pPr>
      <w:r w:rsidRPr="003E51E4">
        <w:rPr>
          <w:rFonts w:eastAsia="Times New Roman"/>
          <w:lang w:eastAsia="en-US"/>
        </w:rPr>
        <w:t>5.</w:t>
      </w:r>
      <w:r w:rsidRPr="003E51E4">
        <w:rPr>
          <w:rFonts w:eastAsia="Times New Roman"/>
          <w:lang w:eastAsia="en-US"/>
        </w:rPr>
        <w:tab/>
      </w:r>
      <w:r w:rsidR="009A13A2" w:rsidRPr="003E51E4">
        <w:rPr>
          <w:rFonts w:eastAsia="Times New Roman"/>
          <w:i/>
          <w:lang w:eastAsia="en-US"/>
        </w:rPr>
        <w:t>Urges</w:t>
      </w:r>
      <w:r w:rsidR="009A13A2" w:rsidRPr="003E51E4">
        <w:rPr>
          <w:rFonts w:eastAsia="Times New Roman"/>
          <w:lang w:eastAsia="en-US"/>
        </w:rPr>
        <w:t xml:space="preserve"> the Executive Secretary to implement the recommendations of the auditors</w:t>
      </w:r>
      <w:r w:rsidR="009A13A2" w:rsidRPr="003E51E4" w:rsidDel="00AD369F">
        <w:rPr>
          <w:rFonts w:eastAsia="Times New Roman"/>
          <w:lang w:eastAsia="en-US"/>
        </w:rPr>
        <w:t>,</w:t>
      </w:r>
      <w:r w:rsidR="009A13A2" w:rsidRPr="003E51E4">
        <w:rPr>
          <w:rFonts w:eastAsia="Times New Roman"/>
          <w:lang w:eastAsia="en-US"/>
        </w:rPr>
        <w:t xml:space="preserve"> as appropriate, and to update Parties on progress;</w:t>
      </w:r>
    </w:p>
    <w:p w14:paraId="69A80C12" w14:textId="75382A57" w:rsidR="009A13A2" w:rsidRPr="003E51E4" w:rsidRDefault="005A1A63" w:rsidP="005A1A63">
      <w:pPr>
        <w:pStyle w:val="RegHChG"/>
        <w:tabs>
          <w:tab w:val="left" w:pos="1135"/>
        </w:tabs>
        <w:ind w:hanging="454"/>
        <w:rPr>
          <w:lang w:eastAsia="en-US"/>
        </w:rPr>
      </w:pPr>
      <w:bookmarkStart w:id="70" w:name="_Toc161216137"/>
      <w:r w:rsidRPr="003E51E4">
        <w:rPr>
          <w:lang w:eastAsia="en-US"/>
        </w:rPr>
        <w:t>II.</w:t>
      </w:r>
      <w:r w:rsidRPr="003E51E4">
        <w:rPr>
          <w:lang w:eastAsia="en-US"/>
        </w:rPr>
        <w:tab/>
      </w:r>
      <w:r w:rsidR="009A13A2" w:rsidRPr="003E51E4">
        <w:rPr>
          <w:lang w:eastAsia="en-US"/>
        </w:rPr>
        <w:t>Other financial and budgetary matters</w:t>
      </w:r>
      <w:bookmarkEnd w:id="70"/>
      <w:r w:rsidR="009A13A2" w:rsidRPr="003E51E4">
        <w:rPr>
          <w:lang w:eastAsia="en-US"/>
        </w:rPr>
        <w:t xml:space="preserve"> </w:t>
      </w:r>
    </w:p>
    <w:p w14:paraId="6EE41110" w14:textId="360B93F7" w:rsidR="009A13A2" w:rsidRPr="003E51E4" w:rsidRDefault="005A1A63" w:rsidP="005A1A63">
      <w:pPr>
        <w:pStyle w:val="RegSingleTxtG"/>
        <w:tabs>
          <w:tab w:val="left" w:pos="568"/>
        </w:tabs>
        <w:ind w:left="1135"/>
      </w:pPr>
      <w:r w:rsidRPr="003E51E4">
        <w:t>6.</w:t>
      </w:r>
      <w:r w:rsidRPr="003E51E4">
        <w:tab/>
      </w:r>
      <w:r w:rsidR="009A13A2" w:rsidRPr="003E51E4">
        <w:rPr>
          <w:i/>
          <w:iCs/>
        </w:rPr>
        <w:t>Takes note</w:t>
      </w:r>
      <w:r w:rsidR="009A13A2" w:rsidRPr="003E51E4">
        <w:t xml:space="preserve"> of the information contained in the note </w:t>
      </w:r>
      <w:r w:rsidR="009A13A2">
        <w:t>providing an</w:t>
      </w:r>
      <w:r w:rsidR="009A13A2" w:rsidRPr="003E51E4">
        <w:t xml:space="preserve"> update</w:t>
      </w:r>
      <w:r w:rsidR="009A13A2">
        <w:t xml:space="preserve"> reflecting adjustments to the</w:t>
      </w:r>
      <w:r w:rsidR="009A13A2" w:rsidRPr="003E51E4">
        <w:t xml:space="preserve"> work programme of the secretariat for the biennium 2022–2023;</w:t>
      </w:r>
      <w:r w:rsidR="009A13A2" w:rsidRPr="003E51E4">
        <w:rPr>
          <w:sz w:val="18"/>
          <w:vertAlign w:val="superscript"/>
        </w:rPr>
        <w:footnoteReference w:id="39"/>
      </w:r>
    </w:p>
    <w:p w14:paraId="3E6F7CB0" w14:textId="74EFFEB6" w:rsidR="009A13A2" w:rsidRPr="003E51E4" w:rsidRDefault="005A1A63" w:rsidP="005A1A63">
      <w:pPr>
        <w:pStyle w:val="RegSingleTxtG"/>
        <w:tabs>
          <w:tab w:val="left" w:pos="568"/>
        </w:tabs>
        <w:ind w:left="1135"/>
      </w:pPr>
      <w:r w:rsidRPr="003E51E4">
        <w:t>7.</w:t>
      </w:r>
      <w:r w:rsidRPr="003E51E4">
        <w:tab/>
      </w:r>
      <w:r w:rsidR="009A13A2">
        <w:rPr>
          <w:i/>
          <w:iCs/>
        </w:rPr>
        <w:t>Also</w:t>
      </w:r>
      <w:r w:rsidR="009A13A2" w:rsidRPr="003E51E4">
        <w:rPr>
          <w:i/>
          <w:iCs/>
        </w:rPr>
        <w:t xml:space="preserve"> takes note</w:t>
      </w:r>
      <w:r w:rsidR="009A13A2" w:rsidRPr="003E51E4">
        <w:t xml:space="preserve"> of the information contained in the note on important changes to the secretariat’s administrative issuances;</w:t>
      </w:r>
      <w:r w:rsidR="009A13A2" w:rsidRPr="003E51E4">
        <w:rPr>
          <w:rStyle w:val="FootnoteReference"/>
        </w:rPr>
        <w:footnoteReference w:id="40"/>
      </w:r>
    </w:p>
    <w:p w14:paraId="560F38BD" w14:textId="7E7F4E69" w:rsidR="009A13A2" w:rsidRPr="003E51E4" w:rsidRDefault="005A1A63" w:rsidP="005A1A63">
      <w:pPr>
        <w:pStyle w:val="RegSingleTxtG"/>
        <w:tabs>
          <w:tab w:val="left" w:pos="568"/>
        </w:tabs>
        <w:ind w:left="1135"/>
      </w:pPr>
      <w:r w:rsidRPr="003E51E4">
        <w:t>8.</w:t>
      </w:r>
      <w:r w:rsidRPr="003E51E4">
        <w:tab/>
      </w:r>
      <w:r w:rsidR="009A13A2">
        <w:rPr>
          <w:i/>
          <w:iCs/>
        </w:rPr>
        <w:t>Further t</w:t>
      </w:r>
      <w:r w:rsidR="009A13A2" w:rsidRPr="003E51E4">
        <w:rPr>
          <w:i/>
          <w:iCs/>
        </w:rPr>
        <w:t>akes note</w:t>
      </w:r>
      <w:r w:rsidR="009A13A2" w:rsidRPr="003E51E4">
        <w:t xml:space="preserve"> of the information </w:t>
      </w:r>
      <w:r w:rsidR="009A13A2">
        <w:t xml:space="preserve">relating to the trust funds administered by the secretariat </w:t>
      </w:r>
      <w:r w:rsidR="009A13A2" w:rsidRPr="003E51E4">
        <w:t xml:space="preserve">contained in the note on </w:t>
      </w:r>
      <w:r w:rsidR="009A13A2" w:rsidRPr="003E51E4">
        <w:rPr>
          <w:rFonts w:eastAsia="Times New Roman"/>
          <w:lang w:eastAsia="en-US"/>
        </w:rPr>
        <w:t xml:space="preserve">the status of contributions </w:t>
      </w:r>
      <w:r w:rsidR="009A13A2">
        <w:rPr>
          <w:rFonts w:eastAsia="Times New Roman"/>
          <w:lang w:eastAsia="en-US"/>
        </w:rPr>
        <w:t>and fees</w:t>
      </w:r>
      <w:r w:rsidR="009A13A2" w:rsidRPr="003E51E4">
        <w:rPr>
          <w:rFonts w:eastAsia="Times New Roman"/>
          <w:lang w:eastAsia="en-US"/>
        </w:rPr>
        <w:t xml:space="preserve"> as at 9 November 2023</w:t>
      </w:r>
      <w:r w:rsidR="009A13A2" w:rsidRPr="003E51E4">
        <w:t>;</w:t>
      </w:r>
      <w:r w:rsidR="009A13A2" w:rsidRPr="003E51E4">
        <w:rPr>
          <w:sz w:val="18"/>
          <w:vertAlign w:val="superscript"/>
        </w:rPr>
        <w:footnoteReference w:id="41"/>
      </w:r>
    </w:p>
    <w:p w14:paraId="21008B78" w14:textId="154E78DC" w:rsidR="009A13A2" w:rsidRPr="003E51E4" w:rsidRDefault="005A1A63" w:rsidP="005A1A63">
      <w:pPr>
        <w:pStyle w:val="RegSingleTxtG"/>
        <w:tabs>
          <w:tab w:val="left" w:pos="568"/>
        </w:tabs>
        <w:ind w:left="1135"/>
      </w:pPr>
      <w:r w:rsidRPr="003E51E4">
        <w:t>9.</w:t>
      </w:r>
      <w:r w:rsidRPr="003E51E4">
        <w:tab/>
      </w:r>
      <w:r w:rsidR="009A13A2" w:rsidRPr="003E51E4">
        <w:rPr>
          <w:rFonts w:eastAsia="Times New Roman"/>
          <w:i/>
          <w:lang w:eastAsia="en-US"/>
        </w:rPr>
        <w:t xml:space="preserve">Expresses </w:t>
      </w:r>
      <w:r w:rsidR="009A13A2" w:rsidRPr="003E51E4">
        <w:rPr>
          <w:i/>
        </w:rPr>
        <w:t>appreciation</w:t>
      </w:r>
      <w:r w:rsidR="009A13A2" w:rsidRPr="003E51E4">
        <w:t xml:space="preserve"> to Parties that made contributions to the core budget in a timely manner;</w:t>
      </w:r>
    </w:p>
    <w:p w14:paraId="2CF34825" w14:textId="5F8891CE" w:rsidR="009A13A2" w:rsidRPr="003E51E4" w:rsidRDefault="005A1A63" w:rsidP="005A1A63">
      <w:pPr>
        <w:pStyle w:val="RegSingleTxtG"/>
        <w:tabs>
          <w:tab w:val="left" w:pos="568"/>
        </w:tabs>
        <w:ind w:left="1135"/>
      </w:pPr>
      <w:r w:rsidRPr="003E51E4">
        <w:t>10.</w:t>
      </w:r>
      <w:r w:rsidRPr="003E51E4">
        <w:tab/>
      </w:r>
      <w:r w:rsidR="009A13A2" w:rsidRPr="003E51E4">
        <w:rPr>
          <w:i/>
        </w:rPr>
        <w:t>Expresses concern</w:t>
      </w:r>
      <w:r w:rsidR="009A13A2" w:rsidRPr="003E51E4">
        <w:t xml:space="preserve"> regarding the high level of outstanding contributions to the core budget for the current and previous bienniums, which has resulted in difficulties with </w:t>
      </w:r>
      <w:r w:rsidR="009A13A2">
        <w:t>both</w:t>
      </w:r>
      <w:r w:rsidR="009A13A2" w:rsidRPr="003E51E4">
        <w:t xml:space="preserve"> cash flow and the effective implementation of activities;</w:t>
      </w:r>
    </w:p>
    <w:p w14:paraId="0C238D36" w14:textId="79C6ED3F" w:rsidR="009A13A2" w:rsidRPr="003E51E4" w:rsidRDefault="005A1A63" w:rsidP="005A1A63">
      <w:pPr>
        <w:pStyle w:val="RegSingleTxtG"/>
        <w:tabs>
          <w:tab w:val="left" w:pos="568"/>
        </w:tabs>
        <w:ind w:left="1135"/>
      </w:pPr>
      <w:r w:rsidRPr="003E51E4">
        <w:t>11.</w:t>
      </w:r>
      <w:r w:rsidRPr="003E51E4">
        <w:tab/>
      </w:r>
      <w:r w:rsidR="009A13A2" w:rsidRPr="003E51E4">
        <w:rPr>
          <w:i/>
        </w:rPr>
        <w:t>Strongly urges</w:t>
      </w:r>
      <w:r w:rsidR="009A13A2" w:rsidRPr="003E51E4">
        <w:t xml:space="preserve"> Parties that have not made contributions in full to the core budget for the current and/or previous bienniums to do so without further delay;</w:t>
      </w:r>
    </w:p>
    <w:p w14:paraId="4AECF4F5" w14:textId="03DABE65" w:rsidR="009A13A2" w:rsidRPr="003E51E4" w:rsidRDefault="005A1A63" w:rsidP="005A1A63">
      <w:pPr>
        <w:pStyle w:val="RegSingleTxtG"/>
        <w:tabs>
          <w:tab w:val="left" w:pos="568"/>
        </w:tabs>
        <w:ind w:left="1135"/>
      </w:pPr>
      <w:r w:rsidRPr="003E51E4">
        <w:t>12.</w:t>
      </w:r>
      <w:r w:rsidRPr="003E51E4">
        <w:tab/>
      </w:r>
      <w:r w:rsidR="009A13A2" w:rsidRPr="003E51E4">
        <w:rPr>
          <w:i/>
        </w:rPr>
        <w:t>Expresses</w:t>
      </w:r>
      <w:r w:rsidR="009A13A2" w:rsidRPr="003E51E4" w:rsidDel="007B73B8">
        <w:rPr>
          <w:i/>
        </w:rPr>
        <w:t xml:space="preserve"> </w:t>
      </w:r>
      <w:r w:rsidR="009A13A2" w:rsidRPr="003E51E4">
        <w:rPr>
          <w:i/>
        </w:rPr>
        <w:t>appreciation</w:t>
      </w:r>
      <w:r w:rsidR="009A13A2" w:rsidRPr="003E51E4">
        <w:t xml:space="preserve"> for the contributions to the Trust Fund for Participation in the UNFCCC Process and to the Trust Fund for Supplementary Activities received from Parties, including those contributions that allow for greater flexibility in allocation;</w:t>
      </w:r>
    </w:p>
    <w:p w14:paraId="7F7E3883" w14:textId="6C7C9E88" w:rsidR="009A13A2" w:rsidRPr="003E51E4" w:rsidRDefault="005A1A63" w:rsidP="005A1A63">
      <w:pPr>
        <w:pStyle w:val="RegSingleTxtG"/>
        <w:tabs>
          <w:tab w:val="left" w:pos="568"/>
        </w:tabs>
        <w:ind w:left="1135"/>
      </w:pPr>
      <w:r w:rsidRPr="003E51E4">
        <w:t>13.</w:t>
      </w:r>
      <w:r w:rsidRPr="003E51E4">
        <w:tab/>
      </w:r>
      <w:r w:rsidR="009A13A2" w:rsidRPr="003E51E4">
        <w:rPr>
          <w:i/>
        </w:rPr>
        <w:t>Urges</w:t>
      </w:r>
      <w:r w:rsidR="009A13A2" w:rsidRPr="003E51E4">
        <w:t xml:space="preserve"> Parties to further contribute to the Trust Fund for Participation in the UNFCCC Process in order to ensure the widest possible participation in the process in 2024–2025 and to the Trust Fund for Supplementary Activities </w:t>
      </w:r>
      <w:r w:rsidR="009A13A2">
        <w:t xml:space="preserve">in order </w:t>
      </w:r>
      <w:r w:rsidR="009A13A2" w:rsidRPr="003E51E4">
        <w:t>to ensure a high level of implementation of the work programme</w:t>
      </w:r>
      <w:r w:rsidR="009A13A2">
        <w:t xml:space="preserve"> of the secretariat</w:t>
      </w:r>
      <w:r w:rsidR="009A13A2" w:rsidRPr="003E51E4">
        <w:t>;</w:t>
      </w:r>
    </w:p>
    <w:p w14:paraId="284AEDCE" w14:textId="16EBBB49" w:rsidR="009A13A2" w:rsidRPr="003E51E4" w:rsidRDefault="005A1A63" w:rsidP="005A1A63">
      <w:pPr>
        <w:pStyle w:val="RegSingleTxtG"/>
        <w:tabs>
          <w:tab w:val="left" w:pos="568"/>
        </w:tabs>
        <w:ind w:left="1135"/>
        <w:rPr>
          <w:rFonts w:eastAsia="Times New Roman"/>
          <w:lang w:eastAsia="en-US"/>
        </w:rPr>
      </w:pPr>
      <w:r w:rsidRPr="003E51E4">
        <w:rPr>
          <w:rFonts w:eastAsia="Times New Roman"/>
          <w:lang w:eastAsia="en-US"/>
        </w:rPr>
        <w:t>14.</w:t>
      </w:r>
      <w:r w:rsidRPr="003E51E4">
        <w:rPr>
          <w:rFonts w:eastAsia="Times New Roman"/>
          <w:lang w:eastAsia="en-US"/>
        </w:rPr>
        <w:tab/>
      </w:r>
      <w:r w:rsidR="009A13A2" w:rsidRPr="003E51E4">
        <w:rPr>
          <w:i/>
        </w:rPr>
        <w:t xml:space="preserve">Reiterates </w:t>
      </w:r>
      <w:r w:rsidR="009A13A2" w:rsidRPr="00734609">
        <w:rPr>
          <w:iCs/>
        </w:rPr>
        <w:t>its appreciation</w:t>
      </w:r>
      <w:r w:rsidR="009A13A2" w:rsidRPr="003E51E4">
        <w:t xml:space="preserve"> to the Government of Germany for its annual voluntary contribution to the core budget of EUR</w:t>
      </w:r>
      <w:r w:rsidR="009A13A2">
        <w:t> </w:t>
      </w:r>
      <w:r w:rsidR="009A13A2" w:rsidRPr="003E51E4">
        <w:t>766,938 and its special contribution</w:t>
      </w:r>
      <w:r w:rsidR="009A13A2" w:rsidRPr="003E51E4">
        <w:rPr>
          <w:rFonts w:eastAsia="Times New Roman"/>
          <w:lang w:eastAsia="en-US"/>
        </w:rPr>
        <w:t xml:space="preserve"> of EUR 1,789,522 as Host Government of the secretariat;</w:t>
      </w:r>
    </w:p>
    <w:p w14:paraId="5D91C72F" w14:textId="5C53D3A8" w:rsidR="009A13A2" w:rsidRDefault="005A1A63" w:rsidP="005A1A63">
      <w:pPr>
        <w:pStyle w:val="RegSingleTxtG"/>
        <w:tabs>
          <w:tab w:val="left" w:pos="568"/>
        </w:tabs>
        <w:ind w:left="1135"/>
        <w:rPr>
          <w:rFonts w:eastAsia="Times New Roman"/>
          <w:lang w:eastAsia="en-US"/>
        </w:rPr>
      </w:pPr>
      <w:r>
        <w:rPr>
          <w:rFonts w:eastAsia="Times New Roman"/>
          <w:lang w:eastAsia="en-US"/>
        </w:rPr>
        <w:t>15.</w:t>
      </w:r>
      <w:r>
        <w:rPr>
          <w:rFonts w:eastAsia="Times New Roman"/>
          <w:lang w:eastAsia="en-US"/>
        </w:rPr>
        <w:tab/>
      </w:r>
      <w:r w:rsidR="009A13A2" w:rsidRPr="003E51E4">
        <w:rPr>
          <w:i/>
          <w:lang w:eastAsia="en-US"/>
        </w:rPr>
        <w:t>Requests</w:t>
      </w:r>
      <w:r w:rsidR="009A13A2" w:rsidRPr="003E51E4">
        <w:rPr>
          <w:lang w:eastAsia="en-US"/>
        </w:rPr>
        <w:t xml:space="preserve"> the Executive Secretary </w:t>
      </w:r>
      <w:r w:rsidR="009A13A2" w:rsidRPr="003E51E4">
        <w:t xml:space="preserve">to </w:t>
      </w:r>
      <w:r w:rsidR="009A13A2" w:rsidRPr="003E51E4">
        <w:rPr>
          <w:lang w:eastAsia="en-US"/>
        </w:rPr>
        <w:t xml:space="preserve">take further measures to </w:t>
      </w:r>
      <w:r w:rsidR="009A13A2" w:rsidRPr="003E51E4">
        <w:rPr>
          <w:rFonts w:eastAsia="Times New Roman"/>
          <w:lang w:eastAsia="en-US"/>
        </w:rPr>
        <w:t>reduce Parties’ outstanding contributions.</w:t>
      </w:r>
    </w:p>
    <w:p w14:paraId="6C7C988C" w14:textId="6BD57AA9" w:rsidR="00D51975" w:rsidRPr="002445B1" w:rsidRDefault="00CA554E" w:rsidP="0079125D">
      <w:pPr>
        <w:pStyle w:val="RegSingleTxtG"/>
        <w:spacing w:after="0" w:line="20" w:lineRule="atLeast"/>
        <w:jc w:val="right"/>
        <w:rPr>
          <w:i/>
          <w:iCs/>
        </w:rPr>
      </w:pPr>
      <w:r>
        <w:rPr>
          <w:i/>
          <w:iCs/>
        </w:rPr>
        <w:t>5</w:t>
      </w:r>
      <w:r w:rsidRPr="00CA554E">
        <w:rPr>
          <w:i/>
          <w:iCs/>
          <w:vertAlign w:val="superscript"/>
        </w:rPr>
        <w:t>th</w:t>
      </w:r>
      <w:r>
        <w:rPr>
          <w:i/>
          <w:iCs/>
        </w:rPr>
        <w:t xml:space="preserve"> </w:t>
      </w:r>
      <w:r w:rsidR="00D51975" w:rsidRPr="002445B1">
        <w:rPr>
          <w:i/>
          <w:iCs/>
        </w:rPr>
        <w:t>plenary me</w:t>
      </w:r>
      <w:r w:rsidR="00C625E9">
        <w:rPr>
          <w:i/>
          <w:iCs/>
        </w:rPr>
        <w:t>e</w:t>
      </w:r>
      <w:r w:rsidR="00D51975" w:rsidRPr="002445B1">
        <w:rPr>
          <w:i/>
          <w:iCs/>
        </w:rPr>
        <w:t>ting</w:t>
      </w:r>
    </w:p>
    <w:p w14:paraId="02F5122C" w14:textId="70BDD69B" w:rsidR="00D51975" w:rsidRPr="00D344A3" w:rsidRDefault="00D51975" w:rsidP="0079125D">
      <w:pPr>
        <w:pStyle w:val="RegSingleTxtG"/>
        <w:spacing w:after="0" w:line="20" w:lineRule="atLeast"/>
        <w:jc w:val="right"/>
        <w:rPr>
          <w:i/>
          <w:iCs/>
        </w:rPr>
      </w:pPr>
      <w:r w:rsidRPr="002445B1">
        <w:rPr>
          <w:i/>
          <w:iCs/>
        </w:rPr>
        <w:t>1</w:t>
      </w:r>
      <w:r w:rsidR="00CA554E">
        <w:rPr>
          <w:i/>
          <w:iCs/>
        </w:rPr>
        <w:t>1</w:t>
      </w:r>
      <w:r w:rsidRPr="002445B1">
        <w:rPr>
          <w:i/>
          <w:iCs/>
        </w:rPr>
        <w:t xml:space="preserve"> December 2023</w:t>
      </w:r>
    </w:p>
    <w:p w14:paraId="551FC2BA" w14:textId="77777777" w:rsidR="00D51975" w:rsidRPr="003E51E4" w:rsidRDefault="00D51975" w:rsidP="00D51975">
      <w:pPr>
        <w:pStyle w:val="RegSingleTxtG"/>
        <w:ind w:left="1135"/>
        <w:rPr>
          <w:rFonts w:eastAsia="Times New Roman"/>
          <w:lang w:eastAsia="en-US"/>
        </w:rPr>
      </w:pPr>
    </w:p>
    <w:p w14:paraId="18A2164A" w14:textId="77777777" w:rsidR="00B46835" w:rsidRDefault="00B46835" w:rsidP="002C12AA">
      <w:pPr>
        <w:pStyle w:val="HChG"/>
        <w:sectPr w:rsidR="00B46835" w:rsidSect="000D19EC">
          <w:headerReference w:type="even" r:id="rId48"/>
          <w:headerReference w:type="default" r:id="rId49"/>
          <w:footerReference w:type="even" r:id="rId50"/>
          <w:footerReference w:type="default" r:id="rId51"/>
          <w:footnotePr>
            <w:numRestart w:val="eachSect"/>
          </w:footnotePr>
          <w:pgSz w:w="11906" w:h="16838" w:code="9"/>
          <w:pgMar w:top="1418" w:right="1134" w:bottom="1134" w:left="1134" w:header="850" w:footer="567" w:gutter="0"/>
          <w:cols w:space="708"/>
          <w:docGrid w:linePitch="360"/>
        </w:sectPr>
      </w:pPr>
    </w:p>
    <w:p w14:paraId="0F1BADFE" w14:textId="6B149413" w:rsidR="008B2C48" w:rsidRDefault="00503157" w:rsidP="007E0745">
      <w:pPr>
        <w:pStyle w:val="HChG"/>
      </w:pPr>
      <w:r>
        <w:tab/>
      </w:r>
      <w:bookmarkStart w:id="71" w:name="_Toc161216138"/>
      <w:bookmarkStart w:id="72" w:name="Decision19"/>
      <w:r w:rsidR="007E0745">
        <w:tab/>
      </w:r>
      <w:r w:rsidR="008B2C48" w:rsidRPr="00B50E68">
        <w:t xml:space="preserve">Decision </w:t>
      </w:r>
      <w:r w:rsidR="008B2C48">
        <w:t>19</w:t>
      </w:r>
      <w:r w:rsidR="008B2C48" w:rsidRPr="00B50E68">
        <w:t>/CP.28</w:t>
      </w:r>
      <w:bookmarkEnd w:id="71"/>
    </w:p>
    <w:bookmarkEnd w:id="72"/>
    <w:p w14:paraId="33EEA119" w14:textId="77777777" w:rsidR="008B2C48" w:rsidRPr="007430D4" w:rsidRDefault="008B2C48" w:rsidP="00503157">
      <w:pPr>
        <w:pStyle w:val="HChG"/>
        <w:rPr>
          <w:b w:val="0"/>
        </w:rPr>
      </w:pPr>
      <w:r>
        <w:tab/>
      </w:r>
      <w:r>
        <w:tab/>
      </w:r>
      <w:r w:rsidRPr="00A61D53">
        <w:t>Administrative, financial and institutional matters</w:t>
      </w:r>
    </w:p>
    <w:p w14:paraId="64A6FBEB" w14:textId="77777777" w:rsidR="008B2C48" w:rsidRPr="0079125D" w:rsidRDefault="008B2C48" w:rsidP="001E117A">
      <w:pPr>
        <w:pStyle w:val="RegSingleTxtG"/>
        <w:spacing w:before="120"/>
        <w:ind w:right="1133"/>
        <w:rPr>
          <w:iCs/>
        </w:rPr>
      </w:pPr>
      <w:r>
        <w:rPr>
          <w:i/>
        </w:rPr>
        <w:tab/>
      </w:r>
      <w:r w:rsidRPr="00116528">
        <w:rPr>
          <w:i/>
        </w:rPr>
        <w:t xml:space="preserve">The </w:t>
      </w:r>
      <w:r w:rsidRPr="006665B3">
        <w:rPr>
          <w:i/>
          <w:lang w:val="en-US"/>
        </w:rPr>
        <w:t>Conference</w:t>
      </w:r>
      <w:r w:rsidRPr="00116528">
        <w:rPr>
          <w:i/>
        </w:rPr>
        <w:t xml:space="preserve"> of the Parties</w:t>
      </w:r>
      <w:r w:rsidRPr="00116528">
        <w:t>,</w:t>
      </w:r>
    </w:p>
    <w:p w14:paraId="751B5D48" w14:textId="1E75DC64" w:rsidR="008B2C48" w:rsidRPr="001E117A" w:rsidRDefault="008B2C48" w:rsidP="001E117A">
      <w:pPr>
        <w:pStyle w:val="RegSingleTxtG"/>
        <w:spacing w:before="120"/>
        <w:ind w:right="1133"/>
        <w:rPr>
          <w:i/>
        </w:rPr>
      </w:pPr>
      <w:r>
        <w:rPr>
          <w:i/>
        </w:rPr>
        <w:tab/>
      </w:r>
      <w:r w:rsidRPr="001E117A">
        <w:rPr>
          <w:i/>
        </w:rPr>
        <w:t>Recalling</w:t>
      </w:r>
      <w:r w:rsidRPr="006D6B4E">
        <w:rPr>
          <w:iCs/>
        </w:rPr>
        <w:t xml:space="preserve"> the </w:t>
      </w:r>
      <w:r w:rsidR="00DE483A" w:rsidRPr="006D6B4E">
        <w:rPr>
          <w:iCs/>
        </w:rPr>
        <w:t xml:space="preserve">UNFCCC </w:t>
      </w:r>
      <w:r w:rsidRPr="006D6B4E">
        <w:rPr>
          <w:iCs/>
        </w:rPr>
        <w:t>financial procedures,</w:t>
      </w:r>
      <w:r w:rsidRPr="00B71A77">
        <w:rPr>
          <w:iCs/>
          <w:sz w:val="18"/>
          <w:szCs w:val="18"/>
          <w:vertAlign w:val="superscript"/>
        </w:rPr>
        <w:footnoteReference w:id="42"/>
      </w:r>
    </w:p>
    <w:p w14:paraId="35D6771D" w14:textId="118C3881" w:rsidR="008B2C48" w:rsidRDefault="008B2C48" w:rsidP="001E117A">
      <w:pPr>
        <w:pStyle w:val="RegSingleTxtG"/>
        <w:spacing w:before="120"/>
        <w:ind w:right="1133"/>
      </w:pPr>
      <w:r>
        <w:rPr>
          <w:i/>
          <w:iCs/>
        </w:rPr>
        <w:tab/>
      </w:r>
      <w:r w:rsidRPr="00DB5945">
        <w:rPr>
          <w:i/>
          <w:lang w:val="en-US"/>
        </w:rPr>
        <w:t>Also</w:t>
      </w:r>
      <w:r>
        <w:rPr>
          <w:i/>
          <w:iCs/>
        </w:rPr>
        <w:t xml:space="preserve"> r</w:t>
      </w:r>
      <w:r w:rsidRPr="00D33A0C">
        <w:rPr>
          <w:i/>
          <w:iCs/>
        </w:rPr>
        <w:t>ecalling</w:t>
      </w:r>
      <w:r>
        <w:t xml:space="preserve"> paragraph 5 of the </w:t>
      </w:r>
      <w:r w:rsidR="001A2B51">
        <w:t>UNFCCC</w:t>
      </w:r>
      <w:r>
        <w:t xml:space="preserve"> financial procedures,</w:t>
      </w:r>
    </w:p>
    <w:p w14:paraId="7FA452FF" w14:textId="73C1D84B" w:rsidR="008B2C48" w:rsidRPr="001E117A" w:rsidRDefault="001E117A" w:rsidP="001E117A">
      <w:pPr>
        <w:pStyle w:val="RegSingleTxtG"/>
        <w:spacing w:before="120"/>
        <w:ind w:right="1133"/>
        <w:rPr>
          <w:i/>
          <w:lang w:val="en-US"/>
        </w:rPr>
      </w:pPr>
      <w:r>
        <w:rPr>
          <w:i/>
          <w:lang w:val="en-US"/>
        </w:rPr>
        <w:tab/>
      </w:r>
      <w:r w:rsidR="008B2C48" w:rsidRPr="00BA6CF9">
        <w:rPr>
          <w:i/>
          <w:lang w:val="en-US"/>
        </w:rPr>
        <w:t>Further</w:t>
      </w:r>
      <w:r w:rsidR="008B2C48" w:rsidRPr="001E117A">
        <w:rPr>
          <w:i/>
          <w:lang w:val="en-US"/>
        </w:rPr>
        <w:t xml:space="preserve"> recalling</w:t>
      </w:r>
      <w:r w:rsidR="008B2C48" w:rsidRPr="00B71A77">
        <w:rPr>
          <w:iCs/>
          <w:lang w:val="en-US"/>
        </w:rPr>
        <w:t xml:space="preserve"> Article 8, paragraph 2(f), of the Convention,</w:t>
      </w:r>
    </w:p>
    <w:p w14:paraId="5E10FB11" w14:textId="519DDFB2" w:rsidR="008B2C48" w:rsidRPr="00A61D53" w:rsidRDefault="001E117A" w:rsidP="001E117A">
      <w:pPr>
        <w:pStyle w:val="RegSingleTxtG"/>
        <w:spacing w:before="120"/>
        <w:ind w:right="1133"/>
      </w:pPr>
      <w:r>
        <w:rPr>
          <w:i/>
          <w:lang w:val="en-US"/>
        </w:rPr>
        <w:tab/>
      </w:r>
      <w:r w:rsidR="008B2C48" w:rsidRPr="00BA6CF9">
        <w:rPr>
          <w:i/>
          <w:lang w:val="en-US"/>
        </w:rPr>
        <w:t>Recalling</w:t>
      </w:r>
      <w:r w:rsidR="008B2C48">
        <w:t xml:space="preserve"> Article 17, paragraph 2, of the Paris Agreement,</w:t>
      </w:r>
    </w:p>
    <w:p w14:paraId="4C7CB3E3" w14:textId="479C5A70" w:rsidR="008B2C48" w:rsidRDefault="001E117A" w:rsidP="001E117A">
      <w:pPr>
        <w:pStyle w:val="RegSingleTxtG"/>
        <w:spacing w:before="120"/>
        <w:ind w:right="1133"/>
        <w:rPr>
          <w:lang w:val="en-US"/>
        </w:rPr>
      </w:pPr>
      <w:r>
        <w:rPr>
          <w:i/>
          <w:lang w:val="en-US"/>
        </w:rPr>
        <w:tab/>
      </w:r>
      <w:r w:rsidR="008B2C48" w:rsidRPr="00BA6CF9">
        <w:rPr>
          <w:i/>
          <w:lang w:val="en-US"/>
        </w:rPr>
        <w:t>Having</w:t>
      </w:r>
      <w:r w:rsidR="008B2C48" w:rsidRPr="00116528">
        <w:rPr>
          <w:i/>
          <w:lang w:val="en-US"/>
        </w:rPr>
        <w:t xml:space="preserve"> </w:t>
      </w:r>
      <w:r w:rsidR="008B2C48" w:rsidRPr="00116528">
        <w:rPr>
          <w:i/>
        </w:rPr>
        <w:t>considered</w:t>
      </w:r>
      <w:r w:rsidR="008B2C48" w:rsidRPr="00116528">
        <w:rPr>
          <w:i/>
          <w:lang w:val="en-US"/>
        </w:rPr>
        <w:t xml:space="preserve"> </w:t>
      </w:r>
      <w:r w:rsidR="008B2C48" w:rsidRPr="00116528">
        <w:rPr>
          <w:lang w:val="en-US"/>
        </w:rPr>
        <w:t>the information contained in the documents prepared by the secretariat on administrative, financial and institutional matters</w:t>
      </w:r>
      <w:r w:rsidR="008B2C48">
        <w:rPr>
          <w:lang w:val="en-US"/>
        </w:rPr>
        <w:t xml:space="preserve"> for this session</w:t>
      </w:r>
      <w:r w:rsidR="008B2C48" w:rsidRPr="00116528">
        <w:rPr>
          <w:lang w:val="en-US"/>
        </w:rPr>
        <w:t>,</w:t>
      </w:r>
      <w:r w:rsidR="008B2C48" w:rsidRPr="00A61D53">
        <w:rPr>
          <w:sz w:val="18"/>
          <w:vertAlign w:val="superscript"/>
          <w:lang w:val="en-US"/>
        </w:rPr>
        <w:footnoteReference w:id="43"/>
      </w:r>
    </w:p>
    <w:p w14:paraId="670DD6D7" w14:textId="4D8A639E" w:rsidR="008B2C48" w:rsidRDefault="001E117A" w:rsidP="001E117A">
      <w:pPr>
        <w:pStyle w:val="RegSingleTxtG"/>
        <w:spacing w:before="120"/>
        <w:ind w:right="1133"/>
      </w:pPr>
      <w:r>
        <w:rPr>
          <w:i/>
          <w:lang w:val="en-US"/>
        </w:rPr>
        <w:tab/>
      </w:r>
      <w:r w:rsidR="008B2C48" w:rsidRPr="001E117A">
        <w:rPr>
          <w:i/>
          <w:lang w:val="en-US"/>
        </w:rPr>
        <w:t>Noting with appreciation</w:t>
      </w:r>
      <w:r w:rsidR="008B2C48" w:rsidRPr="00B71A77">
        <w:rPr>
          <w:iCs/>
          <w:lang w:val="en-US"/>
        </w:rPr>
        <w:t xml:space="preserve"> the methodology applied by the secretariat in developing the</w:t>
      </w:r>
      <w:r w:rsidR="008B2C48" w:rsidRPr="00FD2841">
        <w:t xml:space="preserve"> programme budget for the biennium 202</w:t>
      </w:r>
      <w:r w:rsidR="008B2C48">
        <w:t>4</w:t>
      </w:r>
      <w:r w:rsidR="008B2C48" w:rsidRPr="00FD2841">
        <w:t>–202</w:t>
      </w:r>
      <w:r w:rsidR="008B2C48">
        <w:t>5</w:t>
      </w:r>
      <w:r w:rsidR="008B2C48" w:rsidRPr="00FD2841">
        <w:t>, including the early engagement with Parties</w:t>
      </w:r>
      <w:r w:rsidR="008B2C48">
        <w:t>,</w:t>
      </w:r>
      <w:r w:rsidR="008B2C48" w:rsidRPr="00A61D53">
        <w:rPr>
          <w:sz w:val="18"/>
          <w:vertAlign w:val="superscript"/>
        </w:rPr>
        <w:footnoteReference w:id="44"/>
      </w:r>
    </w:p>
    <w:p w14:paraId="18F7EBF8" w14:textId="29EFA8DB" w:rsidR="008B2C48" w:rsidRDefault="005A1A63" w:rsidP="005A1A63">
      <w:pPr>
        <w:pStyle w:val="RegHChG"/>
        <w:tabs>
          <w:tab w:val="left" w:pos="1135"/>
        </w:tabs>
        <w:ind w:hanging="454"/>
      </w:pPr>
      <w:bookmarkStart w:id="73" w:name="_Toc161216139"/>
      <w:r>
        <w:t>I.</w:t>
      </w:r>
      <w:r>
        <w:tab/>
      </w:r>
      <w:r w:rsidR="008B2C48" w:rsidRPr="00C677EC">
        <w:t>Programme budget for the biennium 2024–2025</w:t>
      </w:r>
      <w:bookmarkEnd w:id="73"/>
    </w:p>
    <w:p w14:paraId="4B070F9B" w14:textId="00C7C24A" w:rsidR="00932927" w:rsidRDefault="005A1A63" w:rsidP="005A1A63">
      <w:pPr>
        <w:pStyle w:val="RegSingleTxtG"/>
        <w:rPr>
          <w:lang w:eastAsia="en-US"/>
        </w:rPr>
      </w:pPr>
      <w:bookmarkStart w:id="74" w:name="_Ref155952852"/>
      <w:r>
        <w:rPr>
          <w:lang w:eastAsia="en-US"/>
        </w:rPr>
        <w:t>1.</w:t>
      </w:r>
      <w:r>
        <w:rPr>
          <w:lang w:eastAsia="en-US"/>
        </w:rPr>
        <w:tab/>
      </w:r>
      <w:r w:rsidR="00932927" w:rsidRPr="00F36CBD">
        <w:rPr>
          <w:i/>
          <w:iCs/>
          <w:lang w:eastAsia="en-US"/>
        </w:rPr>
        <w:t>Approves</w:t>
      </w:r>
      <w:r w:rsidR="00932927">
        <w:rPr>
          <w:lang w:eastAsia="en-US"/>
        </w:rPr>
        <w:t xml:space="preserve"> the programme budget for the biennium 2024–2025, amounting to </w:t>
      </w:r>
      <w:r w:rsidR="00932927" w:rsidRPr="00FA442C">
        <w:rPr>
          <w:lang w:eastAsia="en-US"/>
        </w:rPr>
        <w:t>EUR </w:t>
      </w:r>
      <w:r w:rsidR="00932927" w:rsidRPr="0062528C">
        <w:rPr>
          <w:lang w:eastAsia="en-US"/>
        </w:rPr>
        <w:t>74</w:t>
      </w:r>
      <w:r w:rsidR="00932927">
        <w:rPr>
          <w:lang w:eastAsia="en-US"/>
        </w:rPr>
        <w:t>,</w:t>
      </w:r>
      <w:r w:rsidR="00932927" w:rsidRPr="0062528C">
        <w:rPr>
          <w:lang w:eastAsia="en-US"/>
        </w:rPr>
        <w:t>105</w:t>
      </w:r>
      <w:r w:rsidR="00932927">
        <w:rPr>
          <w:lang w:eastAsia="en-US"/>
        </w:rPr>
        <w:t>,</w:t>
      </w:r>
      <w:r w:rsidR="00932927" w:rsidRPr="0062528C">
        <w:rPr>
          <w:lang w:eastAsia="en-US"/>
        </w:rPr>
        <w:t>511</w:t>
      </w:r>
      <w:r w:rsidR="00932927">
        <w:rPr>
          <w:lang w:eastAsia="en-US"/>
        </w:rPr>
        <w:t>, for the purposes specified in table 1;</w:t>
      </w:r>
      <w:bookmarkEnd w:id="74"/>
    </w:p>
    <w:p w14:paraId="68EE7A68" w14:textId="32805849" w:rsidR="00932927" w:rsidRPr="00C66D5B" w:rsidRDefault="005A1A63" w:rsidP="005A1A63">
      <w:pPr>
        <w:pStyle w:val="RegSingleTxtG"/>
        <w:rPr>
          <w:lang w:eastAsia="en-US"/>
        </w:rPr>
      </w:pPr>
      <w:r w:rsidRPr="00C66D5B">
        <w:rPr>
          <w:lang w:eastAsia="en-US"/>
        </w:rPr>
        <w:t>2.</w:t>
      </w:r>
      <w:r w:rsidRPr="00C66D5B">
        <w:rPr>
          <w:lang w:eastAsia="en-US"/>
        </w:rPr>
        <w:tab/>
      </w:r>
      <w:r w:rsidR="00932927" w:rsidRPr="005D38F7">
        <w:rPr>
          <w:i/>
          <w:iCs/>
          <w:lang w:eastAsia="en-US"/>
        </w:rPr>
        <w:t>Requests</w:t>
      </w:r>
      <w:r w:rsidR="00932927" w:rsidRPr="005D38F7">
        <w:rPr>
          <w:lang w:eastAsia="en-US"/>
        </w:rPr>
        <w:t xml:space="preserve"> the secretariat, in implementing its work programme for the biennium 2024–‍2025 based on the budget approved in paragraph </w:t>
      </w:r>
      <w:r w:rsidR="007A239A">
        <w:rPr>
          <w:cs/>
          <w:lang w:eastAsia="en-US"/>
        </w:rPr>
        <w:t>‎</w:t>
      </w:r>
      <w:r w:rsidR="007A239A">
        <w:rPr>
          <w:lang w:eastAsia="en-US"/>
        </w:rPr>
        <w:t>1 above</w:t>
      </w:r>
      <w:r w:rsidR="00932927" w:rsidRPr="005D38F7">
        <w:rPr>
          <w:lang w:eastAsia="en-US"/>
        </w:rPr>
        <w:t>, to seek to allocate adequate resources to constituted bodies in support of their response to the mandates from the governing bodies and to the full</w:t>
      </w:r>
      <w:r w:rsidR="00932927">
        <w:rPr>
          <w:lang w:eastAsia="en-US"/>
        </w:rPr>
        <w:t xml:space="preserve"> delivery of their work programmes,</w:t>
      </w:r>
      <w:r w:rsidR="00932927" w:rsidRPr="00C66D5B">
        <w:rPr>
          <w:lang w:eastAsia="en-US"/>
        </w:rPr>
        <w:t xml:space="preserve"> </w:t>
      </w:r>
      <w:r w:rsidR="00932927" w:rsidRPr="009D142B">
        <w:rPr>
          <w:rFonts w:eastAsia="Times New Roman"/>
        </w:rPr>
        <w:t>to transparency including the enhanced transparency framework and to adaptation-related activities while continuing to apply the established budget methodology, including to any new mandate</w:t>
      </w:r>
      <w:r w:rsidR="00932927" w:rsidRPr="00C66D5B">
        <w:rPr>
          <w:lang w:eastAsia="en-US"/>
        </w:rPr>
        <w:t>;</w:t>
      </w:r>
    </w:p>
    <w:p w14:paraId="1FDAE477" w14:textId="139411EC" w:rsidR="00932927" w:rsidRPr="00C66D5B" w:rsidRDefault="005A1A63" w:rsidP="005A1A63">
      <w:pPr>
        <w:pStyle w:val="RegSingleTxtG"/>
        <w:rPr>
          <w:lang w:eastAsia="en-US"/>
        </w:rPr>
      </w:pPr>
      <w:r w:rsidRPr="00C66D5B">
        <w:rPr>
          <w:lang w:eastAsia="en-US"/>
        </w:rPr>
        <w:t>3.</w:t>
      </w:r>
      <w:r w:rsidRPr="00C66D5B">
        <w:rPr>
          <w:lang w:eastAsia="en-US"/>
        </w:rPr>
        <w:tab/>
      </w:r>
      <w:r w:rsidR="00932927" w:rsidRPr="00C66D5B">
        <w:rPr>
          <w:i/>
          <w:iCs/>
          <w:lang w:eastAsia="en-US"/>
        </w:rPr>
        <w:t>Underscores</w:t>
      </w:r>
      <w:r w:rsidR="00932927" w:rsidRPr="00C66D5B">
        <w:rPr>
          <w:lang w:eastAsia="en-US"/>
        </w:rPr>
        <w:t xml:space="preserve"> that in implementing the work programme</w:t>
      </w:r>
      <w:r w:rsidR="00932927">
        <w:rPr>
          <w:lang w:eastAsia="en-US"/>
        </w:rPr>
        <w:t xml:space="preserve"> </w:t>
      </w:r>
      <w:r w:rsidR="00932927" w:rsidRPr="00C66D5B">
        <w:rPr>
          <w:lang w:eastAsia="en-US"/>
        </w:rPr>
        <w:t xml:space="preserve">for the biennium 2024–2025 </w:t>
      </w:r>
      <w:r w:rsidR="00932927">
        <w:rPr>
          <w:lang w:eastAsia="en-US"/>
        </w:rPr>
        <w:t xml:space="preserve">the </w:t>
      </w:r>
      <w:r w:rsidR="00932927" w:rsidRPr="00C66D5B">
        <w:rPr>
          <w:lang w:eastAsia="en-US"/>
        </w:rPr>
        <w:t>functions</w:t>
      </w:r>
      <w:r w:rsidR="00932927">
        <w:rPr>
          <w:lang w:eastAsia="en-US"/>
        </w:rPr>
        <w:t xml:space="preserve"> of the secretariat</w:t>
      </w:r>
      <w:r w:rsidR="00932927" w:rsidRPr="00C66D5B">
        <w:rPr>
          <w:lang w:eastAsia="en-US"/>
        </w:rPr>
        <w:t xml:space="preserve"> relating to Parties and non</w:t>
      </w:r>
      <w:r w:rsidR="00932927">
        <w:rPr>
          <w:lang w:eastAsia="en-US"/>
        </w:rPr>
        <w:t>-</w:t>
      </w:r>
      <w:r w:rsidR="00932927" w:rsidRPr="00C66D5B">
        <w:rPr>
          <w:lang w:eastAsia="en-US"/>
        </w:rPr>
        <w:t>Party stakeholders are distinct and should not be co</w:t>
      </w:r>
      <w:r w:rsidR="00932927">
        <w:rPr>
          <w:lang w:eastAsia="en-US"/>
        </w:rPr>
        <w:t>-</w:t>
      </w:r>
      <w:r w:rsidR="00932927" w:rsidRPr="00C66D5B">
        <w:rPr>
          <w:lang w:eastAsia="en-US"/>
        </w:rPr>
        <w:t xml:space="preserve">mingled and </w:t>
      </w:r>
      <w:r w:rsidR="00932927" w:rsidRPr="00BC17DC">
        <w:rPr>
          <w:i/>
          <w:iCs/>
          <w:lang w:eastAsia="en-US"/>
        </w:rPr>
        <w:t>confirms</w:t>
      </w:r>
      <w:r w:rsidR="00932927" w:rsidRPr="00C66D5B">
        <w:rPr>
          <w:lang w:eastAsia="en-US"/>
        </w:rPr>
        <w:t xml:space="preserve"> that the new activities for the biennium relating to non</w:t>
      </w:r>
      <w:r w:rsidR="00932927">
        <w:rPr>
          <w:lang w:eastAsia="en-US"/>
        </w:rPr>
        <w:t>-</w:t>
      </w:r>
      <w:r w:rsidR="00932927" w:rsidRPr="00C66D5B">
        <w:rPr>
          <w:lang w:eastAsia="en-US"/>
        </w:rPr>
        <w:t xml:space="preserve">Party stakeholders pursuant to paragraph 93 of </w:t>
      </w:r>
      <w:r w:rsidR="00932927">
        <w:rPr>
          <w:lang w:eastAsia="en-US"/>
        </w:rPr>
        <w:t xml:space="preserve">decision </w:t>
      </w:r>
      <w:r w:rsidR="00932927" w:rsidRPr="00C66D5B">
        <w:rPr>
          <w:lang w:eastAsia="en-US"/>
        </w:rPr>
        <w:t xml:space="preserve">1/CMA.4 should focus on enhancements to the </w:t>
      </w:r>
      <w:r w:rsidR="00932927" w:rsidRPr="00D1315C">
        <w:rPr>
          <w:lang w:eastAsia="en-US"/>
        </w:rPr>
        <w:t>global climate action portal</w:t>
      </w:r>
      <w:r w:rsidR="00932927">
        <w:rPr>
          <w:lang w:eastAsia="en-US"/>
        </w:rPr>
        <w:t xml:space="preserve"> </w:t>
      </w:r>
      <w:r w:rsidR="00932927" w:rsidRPr="007E1B87">
        <w:rPr>
          <w:lang w:eastAsia="en-US"/>
        </w:rPr>
        <w:t>in close collaboration w</w:t>
      </w:r>
      <w:r w:rsidR="00932927">
        <w:rPr>
          <w:lang w:eastAsia="en-US"/>
        </w:rPr>
        <w:t>ith</w:t>
      </w:r>
      <w:r w:rsidR="00932927" w:rsidRPr="007E1B87">
        <w:rPr>
          <w:lang w:eastAsia="en-US"/>
        </w:rPr>
        <w:t xml:space="preserve"> Parties and non</w:t>
      </w:r>
      <w:r w:rsidR="00932927">
        <w:rPr>
          <w:lang w:eastAsia="en-US"/>
        </w:rPr>
        <w:noBreakHyphen/>
      </w:r>
      <w:r w:rsidR="00932927" w:rsidRPr="007E1B87">
        <w:rPr>
          <w:lang w:eastAsia="en-US"/>
        </w:rPr>
        <w:t>Party stakeholders</w:t>
      </w:r>
      <w:r w:rsidR="00932927" w:rsidRPr="00C66D5B">
        <w:rPr>
          <w:lang w:eastAsia="en-US"/>
        </w:rPr>
        <w:t>;</w:t>
      </w:r>
    </w:p>
    <w:p w14:paraId="2B7B664C" w14:textId="7D1B18D1" w:rsidR="00932927" w:rsidRPr="00C66D5B" w:rsidRDefault="005A1A63" w:rsidP="005A1A63">
      <w:pPr>
        <w:pStyle w:val="RegSingleTxtG"/>
        <w:rPr>
          <w:lang w:eastAsia="en-US"/>
        </w:rPr>
      </w:pPr>
      <w:r w:rsidRPr="00C66D5B">
        <w:rPr>
          <w:lang w:eastAsia="en-US"/>
        </w:rPr>
        <w:t>4.</w:t>
      </w:r>
      <w:r w:rsidRPr="00C66D5B">
        <w:rPr>
          <w:lang w:eastAsia="en-US"/>
        </w:rPr>
        <w:tab/>
      </w:r>
      <w:r w:rsidR="00932927" w:rsidRPr="00F80048">
        <w:rPr>
          <w:i/>
          <w:iCs/>
          <w:lang w:eastAsia="en-US"/>
        </w:rPr>
        <w:t>Requests</w:t>
      </w:r>
      <w:r w:rsidR="00932927" w:rsidRPr="00C66D5B">
        <w:rPr>
          <w:lang w:eastAsia="en-US"/>
        </w:rPr>
        <w:t xml:space="preserve"> that the </w:t>
      </w:r>
      <w:r w:rsidR="00932927">
        <w:rPr>
          <w:lang w:eastAsia="en-US"/>
        </w:rPr>
        <w:t>s</w:t>
      </w:r>
      <w:r w:rsidR="00932927" w:rsidRPr="00C66D5B">
        <w:rPr>
          <w:lang w:eastAsia="en-US"/>
        </w:rPr>
        <w:t>ecretariat</w:t>
      </w:r>
      <w:r w:rsidR="00932927">
        <w:rPr>
          <w:lang w:eastAsia="en-US"/>
        </w:rPr>
        <w:t>’</w:t>
      </w:r>
      <w:r w:rsidR="00932927" w:rsidRPr="00C66D5B">
        <w:rPr>
          <w:lang w:eastAsia="en-US"/>
        </w:rPr>
        <w:t>s engagement and collaboration with non</w:t>
      </w:r>
      <w:r w:rsidR="00932927">
        <w:rPr>
          <w:lang w:eastAsia="en-US"/>
        </w:rPr>
        <w:t>-</w:t>
      </w:r>
      <w:r w:rsidR="00932927" w:rsidRPr="00C66D5B">
        <w:rPr>
          <w:lang w:eastAsia="en-US"/>
        </w:rPr>
        <w:t>Party stakeholders, including through the Marrake</w:t>
      </w:r>
      <w:r w:rsidR="00932927">
        <w:rPr>
          <w:lang w:eastAsia="en-US"/>
        </w:rPr>
        <w:t>c</w:t>
      </w:r>
      <w:r w:rsidR="00932927" w:rsidRPr="00C66D5B">
        <w:rPr>
          <w:lang w:eastAsia="en-US"/>
        </w:rPr>
        <w:t>h Partnership</w:t>
      </w:r>
      <w:r w:rsidR="00932927">
        <w:rPr>
          <w:lang w:eastAsia="en-US"/>
        </w:rPr>
        <w:t xml:space="preserve"> for Global Climate Action</w:t>
      </w:r>
      <w:r w:rsidR="00932927" w:rsidRPr="00C66D5B">
        <w:rPr>
          <w:lang w:eastAsia="en-US"/>
        </w:rPr>
        <w:t>, shall be funded through supplementary budget resources and partnerships</w:t>
      </w:r>
      <w:r w:rsidR="00932927">
        <w:rPr>
          <w:lang w:eastAsia="en-US"/>
        </w:rPr>
        <w:t xml:space="preserve"> </w:t>
      </w:r>
      <w:r w:rsidR="00932927" w:rsidRPr="000176F7">
        <w:rPr>
          <w:lang w:eastAsia="en-US"/>
        </w:rPr>
        <w:t xml:space="preserve">and </w:t>
      </w:r>
      <w:r w:rsidR="00932927">
        <w:rPr>
          <w:lang w:eastAsia="en-US"/>
        </w:rPr>
        <w:t>that</w:t>
      </w:r>
      <w:r w:rsidR="00932927" w:rsidRPr="000176F7">
        <w:rPr>
          <w:lang w:eastAsia="en-US"/>
        </w:rPr>
        <w:t xml:space="preserve"> these additional activities have no impact on Party</w:t>
      </w:r>
      <w:r w:rsidR="00932927">
        <w:rPr>
          <w:lang w:eastAsia="en-US"/>
        </w:rPr>
        <w:t>-driven mandates</w:t>
      </w:r>
      <w:r w:rsidR="00932927" w:rsidRPr="00C66D5B">
        <w:rPr>
          <w:lang w:eastAsia="en-US"/>
        </w:rPr>
        <w:t>;</w:t>
      </w:r>
    </w:p>
    <w:p w14:paraId="38104CDF" w14:textId="21816C0E" w:rsidR="00932927" w:rsidRDefault="005A1A63" w:rsidP="005A1A63">
      <w:pPr>
        <w:pStyle w:val="RegSingleTxtG"/>
        <w:rPr>
          <w:lang w:eastAsia="en-US"/>
        </w:rPr>
      </w:pPr>
      <w:r>
        <w:rPr>
          <w:lang w:eastAsia="en-US"/>
        </w:rPr>
        <w:t>5.</w:t>
      </w:r>
      <w:r>
        <w:rPr>
          <w:lang w:eastAsia="en-US"/>
        </w:rPr>
        <w:tab/>
      </w:r>
      <w:r w:rsidR="00932927" w:rsidRPr="0079125D">
        <w:rPr>
          <w:i/>
          <w:iCs/>
          <w:lang w:eastAsia="en-US"/>
        </w:rPr>
        <w:t>Reaffirms</w:t>
      </w:r>
      <w:r w:rsidR="00932927">
        <w:rPr>
          <w:lang w:eastAsia="en-US"/>
        </w:rPr>
        <w:t xml:space="preserve"> that activities included in the core budget are to be based on </w:t>
      </w:r>
      <w:r w:rsidR="00932927" w:rsidRPr="005B2082">
        <w:rPr>
          <w:lang w:eastAsia="en-US"/>
        </w:rPr>
        <w:t xml:space="preserve">decisions </w:t>
      </w:r>
      <w:r w:rsidR="00932927">
        <w:rPr>
          <w:lang w:eastAsia="en-US"/>
        </w:rPr>
        <w:t xml:space="preserve">taken </w:t>
      </w:r>
      <w:r w:rsidR="00932927" w:rsidRPr="005B2082">
        <w:rPr>
          <w:lang w:eastAsia="en-US"/>
        </w:rPr>
        <w:t>by Parties</w:t>
      </w:r>
      <w:r w:rsidR="00932927">
        <w:rPr>
          <w:lang w:eastAsia="en-US"/>
        </w:rPr>
        <w:t>;</w:t>
      </w:r>
    </w:p>
    <w:p w14:paraId="6461E9FD" w14:textId="1AA75C02" w:rsidR="00932927" w:rsidRDefault="005A1A63" w:rsidP="005A1A63">
      <w:pPr>
        <w:pStyle w:val="RegSingleTxtG"/>
        <w:rPr>
          <w:lang w:eastAsia="en-US"/>
        </w:rPr>
      </w:pPr>
      <w:r>
        <w:rPr>
          <w:lang w:eastAsia="en-US"/>
        </w:rPr>
        <w:t>6.</w:t>
      </w:r>
      <w:r>
        <w:rPr>
          <w:lang w:eastAsia="en-US"/>
        </w:rPr>
        <w:tab/>
      </w:r>
      <w:r w:rsidR="00932927" w:rsidRPr="00CC302E">
        <w:rPr>
          <w:i/>
          <w:iCs/>
          <w:lang w:eastAsia="en-US"/>
        </w:rPr>
        <w:t>Notes</w:t>
      </w:r>
      <w:r w:rsidR="00932927" w:rsidRPr="0079125D">
        <w:rPr>
          <w:lang w:eastAsia="en-US"/>
        </w:rPr>
        <w:t xml:space="preserve"> that the secretariat is committed to updating its partnership policy with a view to ensuring its inclusivity and the wide geographical distribution of future partnerships;</w:t>
      </w:r>
    </w:p>
    <w:p w14:paraId="1B5A8D18" w14:textId="38AE8815" w:rsidR="00932927" w:rsidRPr="00A61D53" w:rsidRDefault="005A1A63" w:rsidP="005A1A63">
      <w:pPr>
        <w:pStyle w:val="RegSingleTxtG"/>
        <w:rPr>
          <w:lang w:eastAsia="en-US"/>
        </w:rPr>
      </w:pPr>
      <w:r w:rsidRPr="00A61D53">
        <w:rPr>
          <w:lang w:eastAsia="en-US"/>
        </w:rPr>
        <w:t>7.</w:t>
      </w:r>
      <w:r w:rsidRPr="00A61D53">
        <w:rPr>
          <w:lang w:eastAsia="en-US"/>
        </w:rPr>
        <w:tab/>
      </w:r>
      <w:r w:rsidR="00932927" w:rsidRPr="00F80048">
        <w:rPr>
          <w:i/>
          <w:iCs/>
          <w:lang w:eastAsia="en-US"/>
        </w:rPr>
        <w:t>Notes</w:t>
      </w:r>
      <w:r w:rsidR="00932927" w:rsidRPr="0079125D">
        <w:rPr>
          <w:i/>
          <w:iCs/>
          <w:lang w:eastAsia="en-US"/>
        </w:rPr>
        <w:t xml:space="preserve"> </w:t>
      </w:r>
      <w:r w:rsidR="00932927" w:rsidRPr="00F80048">
        <w:rPr>
          <w:i/>
          <w:iCs/>
          <w:lang w:eastAsia="en-US"/>
        </w:rPr>
        <w:t>with appreciation</w:t>
      </w:r>
      <w:r w:rsidR="00932927" w:rsidRPr="00A61D53">
        <w:rPr>
          <w:lang w:eastAsia="en-US"/>
        </w:rPr>
        <w:t xml:space="preserve"> the annual contribution of EUR</w:t>
      </w:r>
      <w:r w:rsidR="00932927">
        <w:rPr>
          <w:lang w:eastAsia="en-US"/>
        </w:rPr>
        <w:t> </w:t>
      </w:r>
      <w:r w:rsidR="00932927" w:rsidRPr="00A61D53">
        <w:rPr>
          <w:lang w:eastAsia="en-US"/>
        </w:rPr>
        <w:t>766,938 of the Host Government to the core budget;</w:t>
      </w:r>
    </w:p>
    <w:p w14:paraId="7BE380B2" w14:textId="226FDE43" w:rsidR="00932927" w:rsidRDefault="005A1A63" w:rsidP="005A1A63">
      <w:pPr>
        <w:pStyle w:val="RegSingleTxtG"/>
        <w:rPr>
          <w:lang w:eastAsia="en-US"/>
        </w:rPr>
      </w:pPr>
      <w:r>
        <w:rPr>
          <w:lang w:eastAsia="en-US"/>
        </w:rPr>
        <w:t>8.</w:t>
      </w:r>
      <w:r>
        <w:rPr>
          <w:lang w:eastAsia="en-US"/>
        </w:rPr>
        <w:tab/>
      </w:r>
      <w:r w:rsidR="00932927" w:rsidRPr="00F80048">
        <w:rPr>
          <w:i/>
          <w:iCs/>
          <w:lang w:eastAsia="en-US"/>
        </w:rPr>
        <w:t>Approves</w:t>
      </w:r>
      <w:r w:rsidR="00932927">
        <w:rPr>
          <w:lang w:eastAsia="en-US"/>
        </w:rPr>
        <w:t xml:space="preserve"> the staffing table (see table 2) for the programme budget;</w:t>
      </w:r>
    </w:p>
    <w:p w14:paraId="61CD2898" w14:textId="13C5B2FA" w:rsidR="00932927" w:rsidRDefault="005A1A63" w:rsidP="005A1A63">
      <w:pPr>
        <w:pStyle w:val="RegSingleTxtG"/>
        <w:rPr>
          <w:lang w:eastAsia="en-US"/>
        </w:rPr>
      </w:pPr>
      <w:r>
        <w:rPr>
          <w:lang w:eastAsia="en-US"/>
        </w:rPr>
        <w:t>9.</w:t>
      </w:r>
      <w:r>
        <w:rPr>
          <w:lang w:eastAsia="en-US"/>
        </w:rPr>
        <w:tab/>
      </w:r>
      <w:r w:rsidR="00932927" w:rsidRPr="00F80048">
        <w:rPr>
          <w:i/>
          <w:iCs/>
          <w:lang w:eastAsia="en-US"/>
        </w:rPr>
        <w:t>Notes</w:t>
      </w:r>
      <w:r w:rsidR="00932927">
        <w:rPr>
          <w:lang w:eastAsia="en-US"/>
        </w:rPr>
        <w:t xml:space="preserve"> that the programme budget contains elements relating to the Convention and the Paris Agreement as well as to the Kyoto Protocol;</w:t>
      </w:r>
    </w:p>
    <w:p w14:paraId="169B39D8" w14:textId="36E1E973" w:rsidR="00932927" w:rsidRDefault="005A1A63" w:rsidP="005A1A63">
      <w:pPr>
        <w:pStyle w:val="RegSingleTxtG"/>
        <w:rPr>
          <w:lang w:eastAsia="en-US"/>
        </w:rPr>
      </w:pPr>
      <w:r>
        <w:rPr>
          <w:lang w:eastAsia="en-US"/>
        </w:rPr>
        <w:t>10.</w:t>
      </w:r>
      <w:r>
        <w:rPr>
          <w:lang w:eastAsia="en-US"/>
        </w:rPr>
        <w:tab/>
      </w:r>
      <w:r w:rsidR="00932927" w:rsidRPr="00F80048">
        <w:rPr>
          <w:i/>
          <w:iCs/>
          <w:lang w:eastAsia="en-US"/>
        </w:rPr>
        <w:t>Adopts</w:t>
      </w:r>
      <w:r w:rsidR="00932927">
        <w:rPr>
          <w:lang w:eastAsia="en-US"/>
        </w:rPr>
        <w:t xml:space="preserve"> the indicative scale of contributions contained in the annex;</w:t>
      </w:r>
    </w:p>
    <w:p w14:paraId="5C06D927" w14:textId="53A332D5" w:rsidR="00932927" w:rsidRDefault="005A1A63" w:rsidP="005A1A63">
      <w:pPr>
        <w:pStyle w:val="RegSingleTxtG"/>
        <w:rPr>
          <w:lang w:eastAsia="en-US"/>
        </w:rPr>
      </w:pPr>
      <w:r>
        <w:rPr>
          <w:lang w:eastAsia="en-US"/>
        </w:rPr>
        <w:t>11.</w:t>
      </w:r>
      <w:r>
        <w:rPr>
          <w:lang w:eastAsia="en-US"/>
        </w:rPr>
        <w:tab/>
      </w:r>
      <w:r w:rsidR="00932927" w:rsidRPr="00F80048">
        <w:rPr>
          <w:i/>
          <w:iCs/>
          <w:lang w:eastAsia="en-US"/>
        </w:rPr>
        <w:t>Notes</w:t>
      </w:r>
      <w:r w:rsidR="00932927">
        <w:rPr>
          <w:lang w:eastAsia="en-US"/>
        </w:rPr>
        <w:t xml:space="preserve"> that the indicative scale of contributions covers 92 per cent of the contributions specified in table 1;</w:t>
      </w:r>
    </w:p>
    <w:p w14:paraId="0DC5842A" w14:textId="69328EF5" w:rsidR="00932927" w:rsidRDefault="005A1A63" w:rsidP="005A1A63">
      <w:pPr>
        <w:pStyle w:val="RegSingleTxtG"/>
        <w:rPr>
          <w:lang w:eastAsia="en-US"/>
        </w:rPr>
      </w:pPr>
      <w:r>
        <w:rPr>
          <w:lang w:eastAsia="en-US"/>
        </w:rPr>
        <w:t>12.</w:t>
      </w:r>
      <w:r>
        <w:rPr>
          <w:lang w:eastAsia="en-US"/>
        </w:rPr>
        <w:tab/>
      </w:r>
      <w:r w:rsidR="00932927" w:rsidRPr="00F80048">
        <w:rPr>
          <w:i/>
          <w:iCs/>
          <w:lang w:eastAsia="en-US"/>
        </w:rPr>
        <w:t>Invites</w:t>
      </w:r>
      <w:r w:rsidR="00932927">
        <w:rPr>
          <w:lang w:eastAsia="en-US"/>
        </w:rPr>
        <w:t xml:space="preserve"> the Conference of the Parties serving as the meeting of the Parties to the Kyoto Protocol, at its eighteenth session, to endorse the elements of the recommended budget as it applies to the Kyoto Protocol;</w:t>
      </w:r>
    </w:p>
    <w:p w14:paraId="6D6BEE4F" w14:textId="4BF8AFF7" w:rsidR="00932927" w:rsidRDefault="005A1A63" w:rsidP="005A1A63">
      <w:pPr>
        <w:pStyle w:val="RegSingleTxtG"/>
        <w:rPr>
          <w:lang w:eastAsia="en-US"/>
        </w:rPr>
      </w:pPr>
      <w:bookmarkStart w:id="75" w:name="_Ref155953595"/>
      <w:r>
        <w:rPr>
          <w:lang w:eastAsia="en-US"/>
        </w:rPr>
        <w:t>13.</w:t>
      </w:r>
      <w:r>
        <w:rPr>
          <w:lang w:eastAsia="en-US"/>
        </w:rPr>
        <w:tab/>
      </w:r>
      <w:r w:rsidR="00932927" w:rsidRPr="00F80048">
        <w:rPr>
          <w:i/>
          <w:iCs/>
          <w:lang w:eastAsia="en-US"/>
        </w:rPr>
        <w:t>Also invites</w:t>
      </w:r>
      <w:r w:rsidR="00932927">
        <w:rPr>
          <w:lang w:eastAsia="en-US"/>
        </w:rPr>
        <w:t xml:space="preserve"> the United Nations General Assembly to decide, at its </w:t>
      </w:r>
      <w:r w:rsidR="00932927" w:rsidRPr="002B7651">
        <w:rPr>
          <w:lang w:eastAsia="en-US"/>
        </w:rPr>
        <w:t>seventy</w:t>
      </w:r>
      <w:r w:rsidR="00932927">
        <w:rPr>
          <w:lang w:eastAsia="en-US"/>
        </w:rPr>
        <w:t>-ninth session, on the issue of meeting the conference services expenses from its regular budget as a continuation of existing practice;</w:t>
      </w:r>
      <w:bookmarkEnd w:id="75"/>
    </w:p>
    <w:p w14:paraId="60A24F99" w14:textId="73A6BB44" w:rsidR="00932927" w:rsidRDefault="005A1A63" w:rsidP="005A1A63">
      <w:pPr>
        <w:pStyle w:val="RegSingleTxtG"/>
        <w:rPr>
          <w:lang w:eastAsia="en-US"/>
        </w:rPr>
      </w:pPr>
      <w:bookmarkStart w:id="76" w:name="_Ref155953614"/>
      <w:r>
        <w:rPr>
          <w:lang w:eastAsia="en-US"/>
        </w:rPr>
        <w:t>14.</w:t>
      </w:r>
      <w:r>
        <w:rPr>
          <w:lang w:eastAsia="en-US"/>
        </w:rPr>
        <w:tab/>
      </w:r>
      <w:r w:rsidR="00932927" w:rsidRPr="00F80048">
        <w:rPr>
          <w:i/>
          <w:iCs/>
          <w:lang w:eastAsia="en-US"/>
        </w:rPr>
        <w:t>Approves</w:t>
      </w:r>
      <w:r w:rsidR="00932927">
        <w:rPr>
          <w:lang w:eastAsia="en-US"/>
        </w:rPr>
        <w:t xml:space="preserve"> a contingency budget for conference services, amounting to </w:t>
      </w:r>
      <w:r w:rsidR="00932927" w:rsidRPr="001A5688">
        <w:rPr>
          <w:lang w:eastAsia="en-US"/>
        </w:rPr>
        <w:t>EUR 9,325</w:t>
      </w:r>
      <w:r w:rsidR="00932927">
        <w:rPr>
          <w:lang w:eastAsia="en-US"/>
        </w:rPr>
        <w:t>,</w:t>
      </w:r>
      <w:r w:rsidR="00932927" w:rsidRPr="001A5688">
        <w:rPr>
          <w:lang w:eastAsia="en-US"/>
        </w:rPr>
        <w:t>679</w:t>
      </w:r>
      <w:r w:rsidR="00932927">
        <w:rPr>
          <w:lang w:eastAsia="en-US"/>
        </w:rPr>
        <w:t>, to be added to the programme budget for the biennium 2024–2025 in the event that the United Nations General Assembly decides not to provide resources for these activities in the United Nations regular budget (see table 3);</w:t>
      </w:r>
      <w:bookmarkEnd w:id="76"/>
    </w:p>
    <w:p w14:paraId="4DD48702" w14:textId="5DD5F1B6" w:rsidR="00932927" w:rsidRDefault="005A1A63" w:rsidP="005A1A63">
      <w:pPr>
        <w:pStyle w:val="RegSingleTxtG"/>
        <w:rPr>
          <w:lang w:eastAsia="en-US"/>
        </w:rPr>
      </w:pPr>
      <w:r>
        <w:rPr>
          <w:lang w:eastAsia="en-US"/>
        </w:rPr>
        <w:t>15.</w:t>
      </w:r>
      <w:r>
        <w:rPr>
          <w:lang w:eastAsia="en-US"/>
        </w:rPr>
        <w:tab/>
      </w:r>
      <w:r w:rsidR="00932927" w:rsidRPr="00F80048">
        <w:rPr>
          <w:i/>
          <w:iCs/>
          <w:lang w:eastAsia="en-US"/>
        </w:rPr>
        <w:t>Requests</w:t>
      </w:r>
      <w:r w:rsidR="00932927">
        <w:rPr>
          <w:lang w:eastAsia="en-US"/>
        </w:rPr>
        <w:t xml:space="preserve"> the Executive Secretary to report to the Subsidiary Body for Implementation on the implementation of matters referred to in paragraphs </w:t>
      </w:r>
      <w:r w:rsidR="007A239A">
        <w:rPr>
          <w:cs/>
          <w:lang w:eastAsia="en-US"/>
        </w:rPr>
        <w:t>‎</w:t>
      </w:r>
      <w:r w:rsidR="007A239A">
        <w:rPr>
          <w:lang w:eastAsia="en-US"/>
        </w:rPr>
        <w:t>13</w:t>
      </w:r>
      <w:r w:rsidR="00932927">
        <w:rPr>
          <w:lang w:eastAsia="en-US"/>
        </w:rPr>
        <w:t>–</w:t>
      </w:r>
      <w:r w:rsidR="00821E54">
        <w:rPr>
          <w:cs/>
          <w:lang w:eastAsia="en-US"/>
        </w:rPr>
        <w:t>‎</w:t>
      </w:r>
      <w:r w:rsidR="00821E54">
        <w:rPr>
          <w:lang w:eastAsia="en-US"/>
        </w:rPr>
        <w:t>14 above</w:t>
      </w:r>
      <w:r w:rsidR="00932927">
        <w:rPr>
          <w:lang w:eastAsia="en-US"/>
        </w:rPr>
        <w:t>, as necessary;</w:t>
      </w:r>
    </w:p>
    <w:p w14:paraId="6D4C3D2D" w14:textId="0134B37A" w:rsidR="00932927" w:rsidRDefault="005A1A63" w:rsidP="005A1A63">
      <w:pPr>
        <w:pStyle w:val="RegSingleTxtG"/>
        <w:rPr>
          <w:lang w:eastAsia="en-US"/>
        </w:rPr>
      </w:pPr>
      <w:r>
        <w:rPr>
          <w:lang w:eastAsia="en-US"/>
        </w:rPr>
        <w:t>16.</w:t>
      </w:r>
      <w:r>
        <w:rPr>
          <w:lang w:eastAsia="en-US"/>
        </w:rPr>
        <w:tab/>
      </w:r>
      <w:r w:rsidR="00932927" w:rsidRPr="00F80048">
        <w:rPr>
          <w:i/>
          <w:iCs/>
          <w:lang w:eastAsia="en-US"/>
        </w:rPr>
        <w:t>Authorizes</w:t>
      </w:r>
      <w:r w:rsidR="00932927">
        <w:rPr>
          <w:lang w:eastAsia="en-US"/>
        </w:rPr>
        <w:t xml:space="preserve"> the Executive Secretary to make transfers between each of the appropriation lines set out in table 1, up to an aggregate limit of 15 per cent of total estimated expenditure for those appropriation lines, provided that a further limitation of up to </w:t>
      </w:r>
      <w:r w:rsidR="009A2A8A">
        <w:rPr>
          <w:lang w:eastAsia="en-US"/>
        </w:rPr>
        <w:t>–</w:t>
      </w:r>
      <w:r w:rsidR="00932927">
        <w:rPr>
          <w:lang w:eastAsia="en-US"/>
        </w:rPr>
        <w:t>25 per</w:t>
      </w:r>
      <w:r w:rsidR="009A2A8A">
        <w:rPr>
          <w:lang w:eastAsia="en-US"/>
        </w:rPr>
        <w:t> </w:t>
      </w:r>
      <w:r w:rsidR="00932927">
        <w:rPr>
          <w:lang w:eastAsia="en-US"/>
        </w:rPr>
        <w:t>cent of each such appropriation line shall apply, while ensuring no negative impacts on the activities under each division;</w:t>
      </w:r>
    </w:p>
    <w:p w14:paraId="20D3E54E" w14:textId="1FE722F4" w:rsidR="00932927" w:rsidRDefault="005A1A63" w:rsidP="005A1A63">
      <w:pPr>
        <w:pStyle w:val="RegSingleTxtG"/>
        <w:rPr>
          <w:lang w:eastAsia="en-US"/>
        </w:rPr>
      </w:pPr>
      <w:r>
        <w:rPr>
          <w:lang w:eastAsia="en-US"/>
        </w:rPr>
        <w:t>17.</w:t>
      </w:r>
      <w:r>
        <w:rPr>
          <w:lang w:eastAsia="en-US"/>
        </w:rPr>
        <w:tab/>
      </w:r>
      <w:r w:rsidR="00932927" w:rsidRPr="00F80048">
        <w:rPr>
          <w:i/>
          <w:iCs/>
          <w:lang w:eastAsia="en-US"/>
        </w:rPr>
        <w:t>Decides</w:t>
      </w:r>
      <w:r w:rsidR="00932927">
        <w:rPr>
          <w:lang w:eastAsia="en-US"/>
        </w:rPr>
        <w:t xml:space="preserve"> to maintain the level of the working capital reserve at 8.3 per cent of the estimated expenditure;</w:t>
      </w:r>
    </w:p>
    <w:p w14:paraId="7C10A1D9" w14:textId="0A2DF39A" w:rsidR="00932927" w:rsidRDefault="005A1A63" w:rsidP="005A1A63">
      <w:pPr>
        <w:pStyle w:val="RegSingleTxtG"/>
        <w:rPr>
          <w:lang w:eastAsia="en-US"/>
        </w:rPr>
      </w:pPr>
      <w:r>
        <w:rPr>
          <w:lang w:eastAsia="en-US"/>
        </w:rPr>
        <w:t>18.</w:t>
      </w:r>
      <w:r>
        <w:rPr>
          <w:lang w:eastAsia="en-US"/>
        </w:rPr>
        <w:tab/>
      </w:r>
      <w:r w:rsidR="00932927" w:rsidRPr="00F80048">
        <w:rPr>
          <w:i/>
          <w:iCs/>
          <w:lang w:eastAsia="en-US"/>
        </w:rPr>
        <w:t>Urges</w:t>
      </w:r>
      <w:r w:rsidR="00932927">
        <w:rPr>
          <w:lang w:eastAsia="en-US"/>
        </w:rPr>
        <w:t xml:space="preserve"> Parties that have not made contributions in full to the core budget for the current and/or previous bienniums to do so without further delay;</w:t>
      </w:r>
    </w:p>
    <w:p w14:paraId="251DEABC" w14:textId="7001A543" w:rsidR="00932927" w:rsidRDefault="005A1A63" w:rsidP="005A1A63">
      <w:pPr>
        <w:pStyle w:val="RegSingleTxtG"/>
        <w:rPr>
          <w:lang w:eastAsia="en-US"/>
        </w:rPr>
      </w:pPr>
      <w:r>
        <w:rPr>
          <w:lang w:eastAsia="en-US"/>
        </w:rPr>
        <w:t>19.</w:t>
      </w:r>
      <w:r>
        <w:rPr>
          <w:lang w:eastAsia="en-US"/>
        </w:rPr>
        <w:tab/>
      </w:r>
      <w:r w:rsidR="00932927" w:rsidRPr="00F80048">
        <w:rPr>
          <w:i/>
          <w:iCs/>
          <w:lang w:eastAsia="en-US"/>
        </w:rPr>
        <w:t>Invites</w:t>
      </w:r>
      <w:r w:rsidR="00932927">
        <w:rPr>
          <w:lang w:eastAsia="en-US"/>
        </w:rPr>
        <w:t xml:space="preserve"> all Parties to the Convention to note that each Party shall, prior to 1 January of each year, inform the secretariat of the contribution it intends to make that year and of the projected timing of that contribution in accordance with paragraph 8(a) of the </w:t>
      </w:r>
      <w:r w:rsidR="00195602">
        <w:rPr>
          <w:lang w:eastAsia="en-US"/>
        </w:rPr>
        <w:t xml:space="preserve">UNFCCC </w:t>
      </w:r>
      <w:r w:rsidR="00932927">
        <w:rPr>
          <w:lang w:eastAsia="en-US"/>
        </w:rPr>
        <w:t xml:space="preserve">financial procedures, and that contributions to the core budget are due on 1 January of each year in accordance with paragraph 8(b) of the financial procedures, and to pay promptly and in full, for each of 2024 and 2025, the contributions required to finance the expenditures approved in paragraph </w:t>
      </w:r>
      <w:r w:rsidR="00335688">
        <w:rPr>
          <w:cs/>
          <w:lang w:eastAsia="en-US"/>
        </w:rPr>
        <w:t>‎</w:t>
      </w:r>
      <w:r w:rsidR="00335688">
        <w:rPr>
          <w:lang w:eastAsia="en-US"/>
        </w:rPr>
        <w:t>1 above</w:t>
      </w:r>
      <w:r w:rsidR="00932927">
        <w:rPr>
          <w:lang w:eastAsia="en-US"/>
        </w:rPr>
        <w:t xml:space="preserve"> and any contributions required to finance the expenditures arising from the decision referred to in paragraph </w:t>
      </w:r>
      <w:r w:rsidR="004A200B">
        <w:rPr>
          <w:cs/>
          <w:lang w:eastAsia="en-US"/>
        </w:rPr>
        <w:t>‎</w:t>
      </w:r>
      <w:r w:rsidR="004A200B">
        <w:rPr>
          <w:lang w:eastAsia="en-US"/>
        </w:rPr>
        <w:t>14 above</w:t>
      </w:r>
      <w:r w:rsidR="00932927">
        <w:rPr>
          <w:lang w:eastAsia="en-US"/>
        </w:rPr>
        <w:t xml:space="preserve"> on the contingency budget;</w:t>
      </w:r>
    </w:p>
    <w:p w14:paraId="07C2ED2A" w14:textId="2D2E9B1E" w:rsidR="00932927" w:rsidRDefault="005A1A63" w:rsidP="005A1A63">
      <w:pPr>
        <w:pStyle w:val="RegSingleTxtG"/>
        <w:rPr>
          <w:lang w:eastAsia="en-US"/>
        </w:rPr>
      </w:pPr>
      <w:r>
        <w:rPr>
          <w:lang w:eastAsia="en-US"/>
        </w:rPr>
        <w:t>20.</w:t>
      </w:r>
      <w:r>
        <w:rPr>
          <w:lang w:eastAsia="en-US"/>
        </w:rPr>
        <w:tab/>
      </w:r>
      <w:r w:rsidR="00932927" w:rsidRPr="00F80048">
        <w:rPr>
          <w:i/>
          <w:iCs/>
          <w:lang w:eastAsia="en-US"/>
        </w:rPr>
        <w:t>Takes note</w:t>
      </w:r>
      <w:r w:rsidR="00932927">
        <w:rPr>
          <w:lang w:eastAsia="en-US"/>
        </w:rPr>
        <w:t xml:space="preserve"> of the funding estimates </w:t>
      </w:r>
      <w:r w:rsidR="00932927" w:rsidRPr="00DD5E0C">
        <w:rPr>
          <w:lang w:eastAsia="en-US"/>
        </w:rPr>
        <w:t>of EUR 13</w:t>
      </w:r>
      <w:r w:rsidR="00932927">
        <w:rPr>
          <w:lang w:eastAsia="en-US"/>
        </w:rPr>
        <w:t>.5 million for the Trust Fund for Participation in the UNFCCC Process specified by the Executive Secretary for the biennium 2024–2025;</w:t>
      </w:r>
      <w:r w:rsidR="00932927" w:rsidRPr="0079125D">
        <w:rPr>
          <w:lang w:eastAsia="en-US"/>
        </w:rPr>
        <w:t xml:space="preserve"> </w:t>
      </w:r>
    </w:p>
    <w:p w14:paraId="5C1126F1" w14:textId="5302CAE5" w:rsidR="00932927" w:rsidRDefault="005A1A63" w:rsidP="005A1A63">
      <w:pPr>
        <w:pStyle w:val="RegSingleTxtG"/>
        <w:rPr>
          <w:lang w:eastAsia="en-US"/>
        </w:rPr>
      </w:pPr>
      <w:r>
        <w:rPr>
          <w:lang w:eastAsia="en-US"/>
        </w:rPr>
        <w:t>21.</w:t>
      </w:r>
      <w:r>
        <w:rPr>
          <w:lang w:eastAsia="en-US"/>
        </w:rPr>
        <w:tab/>
      </w:r>
      <w:r w:rsidR="00932927" w:rsidRPr="00F80048">
        <w:rPr>
          <w:i/>
          <w:iCs/>
          <w:lang w:eastAsia="en-US"/>
        </w:rPr>
        <w:t>Invites</w:t>
      </w:r>
      <w:r w:rsidR="00932927">
        <w:rPr>
          <w:lang w:eastAsia="en-US"/>
        </w:rPr>
        <w:t xml:space="preserve"> Parties to make contributions to the Trust Fund for Participation in the UNFCCC Process</w:t>
      </w:r>
      <w:r w:rsidR="00932927">
        <w:t>;</w:t>
      </w:r>
      <w:r w:rsidR="00932927" w:rsidRPr="00116528">
        <w:t xml:space="preserve"> </w:t>
      </w:r>
    </w:p>
    <w:p w14:paraId="190FDEB8" w14:textId="6F455CB7" w:rsidR="00932927" w:rsidRDefault="005A1A63" w:rsidP="005A1A63">
      <w:pPr>
        <w:pStyle w:val="RegSingleTxtG"/>
        <w:rPr>
          <w:lang w:eastAsia="en-US"/>
        </w:rPr>
      </w:pPr>
      <w:r>
        <w:rPr>
          <w:lang w:eastAsia="en-US"/>
        </w:rPr>
        <w:t>22.</w:t>
      </w:r>
      <w:r>
        <w:rPr>
          <w:lang w:eastAsia="en-US"/>
        </w:rPr>
        <w:tab/>
      </w:r>
      <w:r w:rsidR="00932927" w:rsidRPr="00F80048">
        <w:rPr>
          <w:i/>
          <w:iCs/>
          <w:lang w:eastAsia="en-US"/>
        </w:rPr>
        <w:t>Takes note</w:t>
      </w:r>
      <w:r w:rsidR="00932927" w:rsidRPr="00A61D53">
        <w:rPr>
          <w:lang w:eastAsia="en-US"/>
        </w:rPr>
        <w:t xml:space="preserve"> of the funding estimate of EUR </w:t>
      </w:r>
      <w:r w:rsidR="00932927" w:rsidRPr="008B6A99">
        <w:rPr>
          <w:lang w:eastAsia="en-US"/>
        </w:rPr>
        <w:t>152.3</w:t>
      </w:r>
      <w:r w:rsidR="00932927" w:rsidRPr="0079125D">
        <w:rPr>
          <w:lang w:eastAsia="en-US"/>
        </w:rPr>
        <w:t xml:space="preserve"> </w:t>
      </w:r>
      <w:r w:rsidR="00932927" w:rsidRPr="00163E89">
        <w:rPr>
          <w:lang w:eastAsia="en-US"/>
        </w:rPr>
        <w:t>million for the Trust Fund for Supplementary Activities specified by the Executive Secretary</w:t>
      </w:r>
      <w:r w:rsidR="00932927">
        <w:rPr>
          <w:lang w:eastAsia="en-US"/>
        </w:rPr>
        <w:t xml:space="preserve"> for the biennium 2024–2025 (see tables 4 and 5);</w:t>
      </w:r>
    </w:p>
    <w:p w14:paraId="10DFF34B" w14:textId="6D5EF762" w:rsidR="00932927" w:rsidRDefault="005A1A63" w:rsidP="005A1A63">
      <w:pPr>
        <w:pStyle w:val="RegSingleTxtG"/>
        <w:rPr>
          <w:lang w:eastAsia="en-US"/>
        </w:rPr>
      </w:pPr>
      <w:r>
        <w:rPr>
          <w:lang w:eastAsia="en-US"/>
        </w:rPr>
        <w:t>23.</w:t>
      </w:r>
      <w:r>
        <w:rPr>
          <w:lang w:eastAsia="en-US"/>
        </w:rPr>
        <w:tab/>
      </w:r>
      <w:r w:rsidR="00932927" w:rsidRPr="00F80048">
        <w:rPr>
          <w:i/>
          <w:iCs/>
          <w:lang w:eastAsia="en-US"/>
        </w:rPr>
        <w:t>Invites</w:t>
      </w:r>
      <w:r w:rsidR="00932927">
        <w:rPr>
          <w:lang w:eastAsia="en-US"/>
        </w:rPr>
        <w:t xml:space="preserve"> Parties to make contributions to the Trust Fund for Supplementary Activities with a view to enabling the implementation of activities envisaged under the Fund;</w:t>
      </w:r>
    </w:p>
    <w:p w14:paraId="7A852B6E" w14:textId="2E32C93D" w:rsidR="00932927" w:rsidRPr="00A61D53" w:rsidRDefault="005A1A63" w:rsidP="005A1A63">
      <w:pPr>
        <w:pStyle w:val="RegSingleTxtG"/>
        <w:rPr>
          <w:lang w:eastAsia="en-US"/>
        </w:rPr>
      </w:pPr>
      <w:r w:rsidRPr="00A61D53">
        <w:rPr>
          <w:lang w:eastAsia="en-US"/>
        </w:rPr>
        <w:t>24.</w:t>
      </w:r>
      <w:r w:rsidRPr="00A61D53">
        <w:rPr>
          <w:lang w:eastAsia="en-US"/>
        </w:rPr>
        <w:tab/>
      </w:r>
      <w:r w:rsidR="00932927" w:rsidRPr="00F80048">
        <w:rPr>
          <w:i/>
          <w:iCs/>
          <w:lang w:eastAsia="en-US"/>
        </w:rPr>
        <w:t>Requests</w:t>
      </w:r>
      <w:r w:rsidR="00932927" w:rsidRPr="00A61D53">
        <w:rPr>
          <w:lang w:eastAsia="en-US"/>
        </w:rPr>
        <w:t xml:space="preserve"> the Executive Secretary to propose to the Conference of the Parties at its twenty</w:t>
      </w:r>
      <w:r w:rsidR="00932927">
        <w:rPr>
          <w:lang w:eastAsia="en-US"/>
        </w:rPr>
        <w:t>-</w:t>
      </w:r>
      <w:r w:rsidR="00932927" w:rsidRPr="00A61D53">
        <w:rPr>
          <w:lang w:eastAsia="en-US"/>
        </w:rPr>
        <w:t>ninth session (November 2024) any adjustments that might be needed to the programme budget for the biennium 2024–2025 and to support any such proposal with a report on income and budget performance for the period 1 January to 30 June 2024;</w:t>
      </w:r>
    </w:p>
    <w:p w14:paraId="61E01B16" w14:textId="3C15DFAD" w:rsidR="00932927" w:rsidRDefault="005A1A63" w:rsidP="005A1A63">
      <w:pPr>
        <w:pStyle w:val="RegSingleTxtG"/>
        <w:rPr>
          <w:lang w:eastAsia="en-US"/>
        </w:rPr>
      </w:pPr>
      <w:r>
        <w:rPr>
          <w:lang w:eastAsia="en-US"/>
        </w:rPr>
        <w:t>25.</w:t>
      </w:r>
      <w:r>
        <w:rPr>
          <w:lang w:eastAsia="en-US"/>
        </w:rPr>
        <w:tab/>
      </w:r>
      <w:r w:rsidR="00932927" w:rsidRPr="00F80048">
        <w:rPr>
          <w:i/>
          <w:iCs/>
          <w:lang w:eastAsia="en-US"/>
        </w:rPr>
        <w:t>Also requests</w:t>
      </w:r>
      <w:r w:rsidR="00932927">
        <w:rPr>
          <w:lang w:eastAsia="en-US"/>
        </w:rPr>
        <w:t>, recalling paragraph 22 of decision 22/CP.21 and paragraph 20 of decision 21/CP.23, in which the Executive Secretary was requested to include a zero nominal growth scenario in the same format and at the same level of detail as any other scenario, the secretariat to present zero real growth and actual needs scenarios</w:t>
      </w:r>
      <w:r w:rsidR="00932927" w:rsidDel="0012294D">
        <w:rPr>
          <w:lang w:eastAsia="en-US"/>
        </w:rPr>
        <w:t xml:space="preserve"> </w:t>
      </w:r>
      <w:r w:rsidR="00932927">
        <w:rPr>
          <w:lang w:eastAsia="en-US"/>
        </w:rPr>
        <w:t>in future biennium budget proposals;</w:t>
      </w:r>
    </w:p>
    <w:p w14:paraId="6D7C0C35" w14:textId="6D785305" w:rsidR="00932927" w:rsidRDefault="005A1A63" w:rsidP="005A1A63">
      <w:pPr>
        <w:pStyle w:val="RegSingleTxtG"/>
        <w:rPr>
          <w:lang w:eastAsia="en-US"/>
        </w:rPr>
      </w:pPr>
      <w:r>
        <w:rPr>
          <w:lang w:eastAsia="en-US"/>
        </w:rPr>
        <w:t>26.</w:t>
      </w:r>
      <w:r>
        <w:rPr>
          <w:lang w:eastAsia="en-US"/>
        </w:rPr>
        <w:tab/>
      </w:r>
      <w:r w:rsidR="00932927" w:rsidRPr="00F80048">
        <w:rPr>
          <w:i/>
          <w:iCs/>
          <w:lang w:eastAsia="en-US"/>
        </w:rPr>
        <w:t>Further requests</w:t>
      </w:r>
      <w:r w:rsidR="00932927" w:rsidRPr="00B1429C">
        <w:rPr>
          <w:lang w:eastAsia="en-US"/>
        </w:rPr>
        <w:t>,</w:t>
      </w:r>
      <w:r w:rsidR="00932927" w:rsidRPr="0079125D">
        <w:rPr>
          <w:lang w:eastAsia="en-US"/>
        </w:rPr>
        <w:t xml:space="preserve"> </w:t>
      </w:r>
      <w:r w:rsidR="00932927" w:rsidRPr="00E61B9E">
        <w:rPr>
          <w:lang w:eastAsia="en-US"/>
        </w:rPr>
        <w:t>recalling paragraph 33 of document FCCC/SBI/2023/2, the secretariat to actively engage with</w:t>
      </w:r>
      <w:r w:rsidR="00932927">
        <w:rPr>
          <w:lang w:eastAsia="en-US"/>
        </w:rPr>
        <w:t xml:space="preserve"> Parties in developing future biennium budget proposals;</w:t>
      </w:r>
    </w:p>
    <w:p w14:paraId="4AED38B3" w14:textId="6A94E73F" w:rsidR="00932927" w:rsidRPr="00E61B9E" w:rsidRDefault="005A1A63" w:rsidP="005A1A63">
      <w:pPr>
        <w:pStyle w:val="RegSingleTxtG"/>
        <w:rPr>
          <w:lang w:eastAsia="en-US"/>
        </w:rPr>
      </w:pPr>
      <w:r w:rsidRPr="00E61B9E">
        <w:rPr>
          <w:lang w:eastAsia="en-US"/>
        </w:rPr>
        <w:t>27.</w:t>
      </w:r>
      <w:r w:rsidRPr="00E61B9E">
        <w:rPr>
          <w:lang w:eastAsia="en-US"/>
        </w:rPr>
        <w:tab/>
      </w:r>
      <w:r w:rsidR="00932927" w:rsidRPr="00F80048">
        <w:rPr>
          <w:i/>
          <w:iCs/>
          <w:lang w:eastAsia="en-US"/>
        </w:rPr>
        <w:t>Decides</w:t>
      </w:r>
      <w:r w:rsidR="00932927" w:rsidRPr="0079125D">
        <w:rPr>
          <w:lang w:eastAsia="en-US"/>
        </w:rPr>
        <w:t xml:space="preserve"> </w:t>
      </w:r>
      <w:r w:rsidR="00932927" w:rsidRPr="00E61B9E">
        <w:rPr>
          <w:lang w:eastAsia="en-US"/>
        </w:rPr>
        <w:t xml:space="preserve">that Parties </w:t>
      </w:r>
      <w:r w:rsidR="00932927">
        <w:rPr>
          <w:lang w:eastAsia="en-US"/>
        </w:rPr>
        <w:t>will</w:t>
      </w:r>
      <w:r w:rsidR="00932927" w:rsidRPr="00E61B9E">
        <w:rPr>
          <w:lang w:eastAsia="en-US"/>
        </w:rPr>
        <w:t xml:space="preserve"> seek to approve future core budgets </w:t>
      </w:r>
      <w:r w:rsidR="00932927">
        <w:rPr>
          <w:lang w:eastAsia="en-US"/>
        </w:rPr>
        <w:t>that</w:t>
      </w:r>
      <w:r w:rsidR="00932927" w:rsidRPr="002D23C8">
        <w:rPr>
          <w:lang w:eastAsia="en-US"/>
        </w:rPr>
        <w:t xml:space="preserve"> </w:t>
      </w:r>
      <w:r w:rsidR="00932927">
        <w:rPr>
          <w:lang w:eastAsia="en-US"/>
        </w:rPr>
        <w:t>include</w:t>
      </w:r>
      <w:r w:rsidR="00932927" w:rsidRPr="00E61B9E">
        <w:rPr>
          <w:lang w:eastAsia="en-US"/>
        </w:rPr>
        <w:t xml:space="preserve"> all category</w:t>
      </w:r>
      <w:r w:rsidR="00932927">
        <w:rPr>
          <w:lang w:eastAsia="en-US"/>
        </w:rPr>
        <w:t> </w:t>
      </w:r>
      <w:r w:rsidR="00932927" w:rsidRPr="00E61B9E">
        <w:rPr>
          <w:lang w:eastAsia="en-US"/>
        </w:rPr>
        <w:t xml:space="preserve">1 </w:t>
      </w:r>
      <w:r w:rsidR="00932927">
        <w:rPr>
          <w:lang w:eastAsia="en-US"/>
        </w:rPr>
        <w:t>(essential)</w:t>
      </w:r>
      <w:r w:rsidR="00932927" w:rsidRPr="00E61B9E">
        <w:rPr>
          <w:lang w:eastAsia="en-US"/>
        </w:rPr>
        <w:t xml:space="preserve"> and 2</w:t>
      </w:r>
      <w:r w:rsidR="00932927">
        <w:rPr>
          <w:lang w:eastAsia="en-US"/>
        </w:rPr>
        <w:t xml:space="preserve"> (long-term, recurring)</w:t>
      </w:r>
      <w:r w:rsidR="00932927" w:rsidRPr="00E61B9E">
        <w:rPr>
          <w:lang w:eastAsia="en-US"/>
        </w:rPr>
        <w:t xml:space="preserve"> activities </w:t>
      </w:r>
      <w:r w:rsidR="00932927" w:rsidRPr="002D23C8">
        <w:rPr>
          <w:lang w:eastAsia="en-US"/>
        </w:rPr>
        <w:t>that have been mandated</w:t>
      </w:r>
      <w:r w:rsidR="00932927" w:rsidRPr="00E61B9E">
        <w:rPr>
          <w:lang w:eastAsia="en-US"/>
        </w:rPr>
        <w:t xml:space="preserve"> by </w:t>
      </w:r>
      <w:r w:rsidR="00932927" w:rsidRPr="002D23C8">
        <w:rPr>
          <w:lang w:eastAsia="en-US"/>
        </w:rPr>
        <w:t>the Conference of the Parties and the Conference of the Parties serving as the meeting of the Parties to the Paris Agreement</w:t>
      </w:r>
      <w:r w:rsidR="00932927" w:rsidRPr="00E61B9E">
        <w:rPr>
          <w:lang w:eastAsia="en-US"/>
        </w:rPr>
        <w:t>;</w:t>
      </w:r>
    </w:p>
    <w:p w14:paraId="09A51727" w14:textId="3F1A2F49" w:rsidR="00932927" w:rsidRPr="0079125D" w:rsidRDefault="005A1A63" w:rsidP="005A1A63">
      <w:pPr>
        <w:pStyle w:val="RegSingleTxtG"/>
        <w:rPr>
          <w:lang w:eastAsia="en-US"/>
        </w:rPr>
      </w:pPr>
      <w:r w:rsidRPr="0079125D">
        <w:rPr>
          <w:lang w:eastAsia="en-US"/>
        </w:rPr>
        <w:t>28.</w:t>
      </w:r>
      <w:r w:rsidRPr="0079125D">
        <w:rPr>
          <w:lang w:eastAsia="en-US"/>
        </w:rPr>
        <w:tab/>
      </w:r>
      <w:r w:rsidR="00932927" w:rsidRPr="0079125D">
        <w:rPr>
          <w:i/>
          <w:iCs/>
          <w:lang w:eastAsia="en-US"/>
        </w:rPr>
        <w:t>Requests</w:t>
      </w:r>
      <w:r w:rsidR="00932927" w:rsidRPr="0079125D">
        <w:rPr>
          <w:lang w:eastAsia="en-US"/>
        </w:rPr>
        <w:t xml:space="preserve"> the Executive Secretary to exhibit further transparency in preparing and implementing the budget by undertaking enhanced consultations with Parties and increasing responsiveness of the secretariat to mandates in preparing budget proposals for each biennium;</w:t>
      </w:r>
    </w:p>
    <w:p w14:paraId="4C63AB95" w14:textId="2D340114" w:rsidR="002700AC" w:rsidRDefault="005A1A63" w:rsidP="005A1A63">
      <w:pPr>
        <w:pStyle w:val="RegSingleTxtG"/>
      </w:pPr>
      <w:r>
        <w:t>29.</w:t>
      </w:r>
      <w:r>
        <w:tab/>
      </w:r>
      <w:r w:rsidR="00932927" w:rsidRPr="0079125D">
        <w:rPr>
          <w:i/>
          <w:iCs/>
          <w:lang w:eastAsia="en-US"/>
        </w:rPr>
        <w:t>Underscores</w:t>
      </w:r>
      <w:r w:rsidR="00932927">
        <w:t xml:space="preserve"> the accountability of the secretariat to Parties and to mandates and </w:t>
      </w:r>
      <w:r w:rsidR="00932927" w:rsidRPr="0079125D">
        <w:rPr>
          <w:i/>
          <w:iCs/>
          <w:lang w:eastAsia="en-US"/>
        </w:rPr>
        <w:t>reiterates</w:t>
      </w:r>
      <w:r w:rsidR="00932927">
        <w:t xml:space="preserve"> that activities in the core and supplementary budgets must respond accurately and effectively to mandates from Parties;</w:t>
      </w:r>
    </w:p>
    <w:p w14:paraId="1D12EC53" w14:textId="4AA56E05" w:rsidR="00681304" w:rsidRPr="002700AC" w:rsidRDefault="00681304" w:rsidP="0079125D">
      <w:pPr>
        <w:tabs>
          <w:tab w:val="left" w:pos="1701"/>
        </w:tabs>
        <w:ind w:left="1134" w:right="991"/>
        <w:jc w:val="both"/>
      </w:pPr>
      <w:r>
        <w:t>Table 1</w:t>
      </w:r>
    </w:p>
    <w:p w14:paraId="1532236B" w14:textId="064A6835" w:rsidR="008B2C48" w:rsidRPr="00A61D53" w:rsidRDefault="008B2C48" w:rsidP="00681304">
      <w:pPr>
        <w:keepNext/>
        <w:spacing w:after="120" w:line="240" w:lineRule="auto"/>
        <w:ind w:left="1134" w:right="992"/>
        <w:rPr>
          <w:b/>
        </w:rPr>
      </w:pPr>
      <w:r w:rsidRPr="0079125D">
        <w:rPr>
          <w:b/>
        </w:rPr>
        <w:t>2024–2025 core budget by appropriation line</w:t>
      </w:r>
      <w:r w:rsidRPr="0079125D">
        <w:rPr>
          <w:b/>
        </w:rPr>
        <w:br/>
      </w:r>
      <w:r w:rsidRPr="00A61D53">
        <w:rPr>
          <w:rFonts w:eastAsia="Times New Roman"/>
          <w:sz w:val="16"/>
          <w:szCs w:val="16"/>
          <w:lang w:eastAsia="en-US"/>
        </w:rPr>
        <w:t>(Euros)</w:t>
      </w:r>
    </w:p>
    <w:tbl>
      <w:tblPr>
        <w:tblW w:w="8505" w:type="dxa"/>
        <w:tblInd w:w="1134" w:type="dxa"/>
        <w:tblLayout w:type="fixed"/>
        <w:tblCellMar>
          <w:left w:w="0" w:type="dxa"/>
        </w:tblCellMar>
        <w:tblLook w:val="04A0" w:firstRow="1" w:lastRow="0" w:firstColumn="1" w:lastColumn="0" w:noHBand="0" w:noVBand="1"/>
      </w:tblPr>
      <w:tblGrid>
        <w:gridCol w:w="3596"/>
        <w:gridCol w:w="1589"/>
        <w:gridCol w:w="1588"/>
        <w:gridCol w:w="1732"/>
      </w:tblGrid>
      <w:tr w:rsidR="008B2C48" w:rsidRPr="00A61D53" w14:paraId="108245E5" w14:textId="77777777">
        <w:trPr>
          <w:trHeight w:val="95"/>
          <w:tblHeader/>
        </w:trPr>
        <w:tc>
          <w:tcPr>
            <w:tcW w:w="3596" w:type="dxa"/>
            <w:tcBorders>
              <w:top w:val="single" w:sz="4" w:space="0" w:color="auto"/>
              <w:left w:val="nil"/>
              <w:bottom w:val="single" w:sz="12" w:space="0" w:color="auto"/>
              <w:right w:val="nil"/>
            </w:tcBorders>
            <w:shd w:val="clear" w:color="auto" w:fill="FFFFFF" w:themeFill="background1"/>
            <w:noWrap/>
            <w:vAlign w:val="bottom"/>
          </w:tcPr>
          <w:p w14:paraId="3F85778B" w14:textId="3FF35C83" w:rsidR="008B2C48" w:rsidRPr="00A61D53" w:rsidRDefault="008B2C48">
            <w:pPr>
              <w:spacing w:before="40" w:after="40" w:line="180" w:lineRule="exact"/>
              <w:rPr>
                <w:rFonts w:eastAsia="Times New Roman"/>
                <w:b/>
                <w:bCs/>
                <w:color w:val="000000"/>
                <w:sz w:val="18"/>
                <w:szCs w:val="18"/>
              </w:rPr>
            </w:pPr>
          </w:p>
        </w:tc>
        <w:tc>
          <w:tcPr>
            <w:tcW w:w="1589" w:type="dxa"/>
            <w:tcBorders>
              <w:top w:val="single" w:sz="4" w:space="0" w:color="auto"/>
              <w:left w:val="nil"/>
              <w:bottom w:val="single" w:sz="12" w:space="0" w:color="auto"/>
              <w:right w:val="nil"/>
            </w:tcBorders>
            <w:shd w:val="clear" w:color="auto" w:fill="FFFFFF" w:themeFill="background1"/>
            <w:vAlign w:val="bottom"/>
          </w:tcPr>
          <w:p w14:paraId="7E47E7C2" w14:textId="77777777" w:rsidR="008B2C48" w:rsidRPr="00A61D53" w:rsidRDefault="008B2C48">
            <w:pPr>
              <w:spacing w:before="40" w:after="40" w:line="180" w:lineRule="exact"/>
              <w:jc w:val="right"/>
              <w:rPr>
                <w:i/>
                <w:sz w:val="16"/>
                <w:szCs w:val="16"/>
              </w:rPr>
            </w:pPr>
            <w:r w:rsidRPr="00A61D53">
              <w:rPr>
                <w:i/>
                <w:sz w:val="16"/>
                <w:szCs w:val="16"/>
              </w:rPr>
              <w:t>2024</w:t>
            </w:r>
          </w:p>
        </w:tc>
        <w:tc>
          <w:tcPr>
            <w:tcW w:w="1588" w:type="dxa"/>
            <w:tcBorders>
              <w:top w:val="single" w:sz="4" w:space="0" w:color="auto"/>
              <w:left w:val="nil"/>
              <w:bottom w:val="single" w:sz="12" w:space="0" w:color="auto"/>
              <w:right w:val="nil"/>
            </w:tcBorders>
            <w:shd w:val="clear" w:color="auto" w:fill="FFFFFF" w:themeFill="background1"/>
            <w:vAlign w:val="bottom"/>
          </w:tcPr>
          <w:p w14:paraId="2792FCA2" w14:textId="77777777" w:rsidR="008B2C48" w:rsidRPr="00A61D53" w:rsidRDefault="008B2C48">
            <w:pPr>
              <w:spacing w:before="40" w:after="40" w:line="180" w:lineRule="exact"/>
              <w:jc w:val="right"/>
              <w:rPr>
                <w:i/>
                <w:sz w:val="16"/>
                <w:szCs w:val="16"/>
              </w:rPr>
            </w:pPr>
            <w:r w:rsidRPr="00A61D53">
              <w:rPr>
                <w:i/>
                <w:sz w:val="16"/>
                <w:szCs w:val="16"/>
              </w:rPr>
              <w:t>2025</w:t>
            </w:r>
          </w:p>
        </w:tc>
        <w:tc>
          <w:tcPr>
            <w:tcW w:w="1732" w:type="dxa"/>
            <w:tcBorders>
              <w:top w:val="single" w:sz="4" w:space="0" w:color="auto"/>
              <w:left w:val="nil"/>
              <w:bottom w:val="single" w:sz="12" w:space="0" w:color="auto"/>
              <w:right w:val="nil"/>
            </w:tcBorders>
            <w:shd w:val="clear" w:color="auto" w:fill="FFFFFF" w:themeFill="background1"/>
            <w:vAlign w:val="bottom"/>
          </w:tcPr>
          <w:p w14:paraId="4CF28FC5" w14:textId="77777777" w:rsidR="008B2C48" w:rsidRPr="00A61D53" w:rsidRDefault="008B2C48">
            <w:pPr>
              <w:spacing w:before="40" w:after="40" w:line="180" w:lineRule="exact"/>
              <w:jc w:val="right"/>
              <w:rPr>
                <w:i/>
                <w:sz w:val="16"/>
                <w:szCs w:val="16"/>
              </w:rPr>
            </w:pPr>
            <w:r w:rsidRPr="00A61D53">
              <w:rPr>
                <w:i/>
                <w:sz w:val="16"/>
                <w:szCs w:val="16"/>
              </w:rPr>
              <w:t>2024–2025</w:t>
            </w:r>
          </w:p>
        </w:tc>
      </w:tr>
      <w:tr w:rsidR="008B2C48" w:rsidRPr="00A61D53" w14:paraId="670DCDB1" w14:textId="77777777">
        <w:trPr>
          <w:trHeight w:val="109"/>
        </w:trPr>
        <w:tc>
          <w:tcPr>
            <w:tcW w:w="3596" w:type="dxa"/>
            <w:tcBorders>
              <w:top w:val="single" w:sz="12" w:space="0" w:color="auto"/>
              <w:left w:val="nil"/>
              <w:right w:val="nil"/>
            </w:tcBorders>
            <w:shd w:val="clear" w:color="auto" w:fill="FFFFFF" w:themeFill="background1"/>
            <w:noWrap/>
          </w:tcPr>
          <w:p w14:paraId="70C0270C" w14:textId="77777777" w:rsidR="008B2C48" w:rsidRPr="00A61D53" w:rsidRDefault="008B2C48" w:rsidP="00AE0260">
            <w:pPr>
              <w:suppressAutoHyphens w:val="0"/>
              <w:autoSpaceDE w:val="0"/>
              <w:autoSpaceDN w:val="0"/>
              <w:adjustRightInd w:val="0"/>
              <w:spacing w:before="40" w:after="40" w:line="200" w:lineRule="exact"/>
              <w:ind w:right="38" w:firstLine="1"/>
              <w:rPr>
                <w:rFonts w:eastAsia="Times New Roman"/>
                <w:bCs/>
                <w:color w:val="000000"/>
                <w:sz w:val="18"/>
                <w:szCs w:val="18"/>
              </w:rPr>
            </w:pPr>
            <w:r w:rsidRPr="00A61D53">
              <w:rPr>
                <w:rFonts w:eastAsia="MS Mincho"/>
                <w:sz w:val="18"/>
                <w:szCs w:val="18"/>
                <w:lang w:eastAsia="de-DE"/>
              </w:rPr>
              <w:t>A. Appropriations</w:t>
            </w:r>
          </w:p>
        </w:tc>
        <w:tc>
          <w:tcPr>
            <w:tcW w:w="1589" w:type="dxa"/>
            <w:tcBorders>
              <w:top w:val="single" w:sz="12" w:space="0" w:color="auto"/>
              <w:left w:val="nil"/>
              <w:right w:val="nil"/>
            </w:tcBorders>
            <w:shd w:val="clear" w:color="auto" w:fill="FFFFFF" w:themeFill="background1"/>
            <w:vAlign w:val="bottom"/>
          </w:tcPr>
          <w:p w14:paraId="16A6F4CB" w14:textId="7630E57A" w:rsidR="008B2C48" w:rsidRPr="00A61D53" w:rsidRDefault="008B2C48" w:rsidP="00AE0260">
            <w:pPr>
              <w:spacing w:before="40" w:after="40" w:line="200" w:lineRule="exact"/>
              <w:jc w:val="right"/>
              <w:rPr>
                <w:rFonts w:eastAsia="Times New Roman"/>
                <w:color w:val="000000"/>
                <w:sz w:val="18"/>
                <w:szCs w:val="18"/>
              </w:rPr>
            </w:pPr>
          </w:p>
        </w:tc>
        <w:tc>
          <w:tcPr>
            <w:tcW w:w="1588" w:type="dxa"/>
            <w:tcBorders>
              <w:top w:val="single" w:sz="12" w:space="0" w:color="auto"/>
              <w:left w:val="nil"/>
              <w:right w:val="nil"/>
            </w:tcBorders>
            <w:shd w:val="clear" w:color="auto" w:fill="FFFFFF" w:themeFill="background1"/>
            <w:vAlign w:val="bottom"/>
          </w:tcPr>
          <w:p w14:paraId="1E09C5EC" w14:textId="4CE07BFF" w:rsidR="008B2C48" w:rsidRPr="00A61D53" w:rsidRDefault="008B2C48" w:rsidP="00AE0260">
            <w:pPr>
              <w:spacing w:before="40" w:after="40" w:line="200" w:lineRule="exact"/>
              <w:jc w:val="right"/>
              <w:rPr>
                <w:rFonts w:eastAsia="Times New Roman"/>
                <w:color w:val="000000"/>
                <w:sz w:val="18"/>
                <w:szCs w:val="18"/>
              </w:rPr>
            </w:pPr>
          </w:p>
        </w:tc>
        <w:tc>
          <w:tcPr>
            <w:tcW w:w="1732" w:type="dxa"/>
            <w:tcBorders>
              <w:top w:val="single" w:sz="12" w:space="0" w:color="auto"/>
              <w:left w:val="nil"/>
              <w:right w:val="nil"/>
            </w:tcBorders>
            <w:shd w:val="clear" w:color="auto" w:fill="FFFFFF" w:themeFill="background1"/>
            <w:vAlign w:val="bottom"/>
          </w:tcPr>
          <w:p w14:paraId="77FAAEB8" w14:textId="5B01B715" w:rsidR="008B2C48" w:rsidRPr="00A61D53" w:rsidRDefault="008B2C48" w:rsidP="00AE0260">
            <w:pPr>
              <w:spacing w:before="40" w:after="40" w:line="200" w:lineRule="exact"/>
              <w:jc w:val="right"/>
              <w:rPr>
                <w:rFonts w:eastAsia="Times New Roman"/>
                <w:b/>
                <w:bCs/>
                <w:color w:val="000000"/>
                <w:sz w:val="18"/>
                <w:szCs w:val="18"/>
              </w:rPr>
            </w:pPr>
          </w:p>
        </w:tc>
      </w:tr>
      <w:tr w:rsidR="008B2C48" w:rsidRPr="00A61D53" w14:paraId="2650F0AF" w14:textId="77777777">
        <w:tc>
          <w:tcPr>
            <w:tcW w:w="3596" w:type="dxa"/>
            <w:tcBorders>
              <w:top w:val="nil"/>
              <w:left w:val="nil"/>
              <w:right w:val="nil"/>
            </w:tcBorders>
            <w:shd w:val="clear" w:color="auto" w:fill="auto"/>
            <w:noWrap/>
            <w:hideMark/>
          </w:tcPr>
          <w:p w14:paraId="1798DB17" w14:textId="77777777" w:rsidR="008B2C48" w:rsidRPr="00A61D53" w:rsidRDefault="008B2C48" w:rsidP="00AE0260">
            <w:pPr>
              <w:suppressAutoHyphens w:val="0"/>
              <w:autoSpaceDE w:val="0"/>
              <w:autoSpaceDN w:val="0"/>
              <w:adjustRightInd w:val="0"/>
              <w:spacing w:before="40" w:after="40" w:line="200" w:lineRule="exact"/>
              <w:ind w:right="38" w:firstLine="232"/>
              <w:rPr>
                <w:rFonts w:eastAsia="Times New Roman"/>
                <w:b/>
                <w:bCs/>
                <w:color w:val="000000"/>
                <w:sz w:val="18"/>
                <w:szCs w:val="18"/>
              </w:rPr>
            </w:pPr>
            <w:r w:rsidRPr="00A61D53">
              <w:rPr>
                <w:rFonts w:eastAsia="MS Mincho"/>
                <w:b/>
                <w:sz w:val="18"/>
                <w:szCs w:val="18"/>
                <w:lang w:eastAsia="de-DE"/>
              </w:rPr>
              <w:t>Executive</w:t>
            </w:r>
          </w:p>
        </w:tc>
        <w:tc>
          <w:tcPr>
            <w:tcW w:w="1589" w:type="dxa"/>
            <w:tcBorders>
              <w:top w:val="nil"/>
              <w:left w:val="nil"/>
              <w:bottom w:val="nil"/>
              <w:right w:val="nil"/>
            </w:tcBorders>
            <w:shd w:val="clear" w:color="auto" w:fill="auto"/>
            <w:vAlign w:val="bottom"/>
          </w:tcPr>
          <w:p w14:paraId="5E19C863" w14:textId="77777777" w:rsidR="008B2C48" w:rsidRPr="00A61D53" w:rsidRDefault="008B2C48" w:rsidP="00AE0260">
            <w:pPr>
              <w:spacing w:before="40" w:after="40" w:line="200" w:lineRule="exact"/>
              <w:jc w:val="right"/>
              <w:rPr>
                <w:rFonts w:eastAsia="Times New Roman"/>
                <w:b/>
                <w:color w:val="000000"/>
                <w:sz w:val="18"/>
                <w:szCs w:val="18"/>
              </w:rPr>
            </w:pPr>
            <w:r>
              <w:rPr>
                <w:b/>
                <w:bCs/>
                <w:color w:val="000000"/>
                <w:sz w:val="18"/>
                <w:szCs w:val="18"/>
              </w:rPr>
              <w:t>2 268 253</w:t>
            </w:r>
          </w:p>
        </w:tc>
        <w:tc>
          <w:tcPr>
            <w:tcW w:w="1588" w:type="dxa"/>
            <w:tcBorders>
              <w:top w:val="nil"/>
              <w:left w:val="nil"/>
              <w:bottom w:val="nil"/>
              <w:right w:val="nil"/>
            </w:tcBorders>
            <w:shd w:val="clear" w:color="auto" w:fill="auto"/>
            <w:vAlign w:val="bottom"/>
          </w:tcPr>
          <w:p w14:paraId="1E295F4D" w14:textId="77777777" w:rsidR="008B2C48" w:rsidRPr="00A61D53" w:rsidRDefault="008B2C48" w:rsidP="00AE0260">
            <w:pPr>
              <w:spacing w:before="40" w:after="40" w:line="200" w:lineRule="exact"/>
              <w:jc w:val="right"/>
              <w:rPr>
                <w:rFonts w:eastAsia="Times New Roman"/>
                <w:b/>
                <w:bCs/>
                <w:color w:val="000000"/>
                <w:sz w:val="18"/>
                <w:szCs w:val="18"/>
              </w:rPr>
            </w:pPr>
            <w:r>
              <w:rPr>
                <w:b/>
                <w:bCs/>
                <w:color w:val="000000"/>
                <w:sz w:val="18"/>
                <w:szCs w:val="18"/>
              </w:rPr>
              <w:t>2 268 253</w:t>
            </w:r>
          </w:p>
        </w:tc>
        <w:tc>
          <w:tcPr>
            <w:tcW w:w="1732" w:type="dxa"/>
            <w:tcBorders>
              <w:top w:val="nil"/>
              <w:left w:val="nil"/>
              <w:bottom w:val="nil"/>
              <w:right w:val="nil"/>
            </w:tcBorders>
            <w:shd w:val="clear" w:color="auto" w:fill="auto"/>
            <w:vAlign w:val="bottom"/>
          </w:tcPr>
          <w:p w14:paraId="3439BE94" w14:textId="77777777" w:rsidR="008B2C48" w:rsidRPr="00A61D53" w:rsidRDefault="008B2C48" w:rsidP="00AE0260">
            <w:pPr>
              <w:spacing w:before="40" w:after="40" w:line="200" w:lineRule="exact"/>
              <w:jc w:val="right"/>
              <w:rPr>
                <w:rFonts w:eastAsia="Times New Roman"/>
                <w:b/>
                <w:bCs/>
                <w:color w:val="000000"/>
                <w:sz w:val="18"/>
                <w:szCs w:val="18"/>
              </w:rPr>
            </w:pPr>
            <w:r>
              <w:rPr>
                <w:b/>
                <w:bCs/>
                <w:color w:val="000000"/>
                <w:sz w:val="18"/>
                <w:szCs w:val="18"/>
              </w:rPr>
              <w:t>4 536 506</w:t>
            </w:r>
          </w:p>
        </w:tc>
      </w:tr>
      <w:tr w:rsidR="008B2C48" w:rsidRPr="00A61D53" w14:paraId="4C8C7F9D" w14:textId="77777777">
        <w:tc>
          <w:tcPr>
            <w:tcW w:w="3596" w:type="dxa"/>
            <w:tcBorders>
              <w:top w:val="nil"/>
              <w:left w:val="nil"/>
              <w:right w:val="nil"/>
            </w:tcBorders>
            <w:shd w:val="clear" w:color="auto" w:fill="auto"/>
            <w:noWrap/>
            <w:hideMark/>
          </w:tcPr>
          <w:p w14:paraId="0A2E36E7" w14:textId="77777777" w:rsidR="008B2C48" w:rsidRPr="00A61D53" w:rsidRDefault="008B2C48" w:rsidP="00AE0260">
            <w:pPr>
              <w:suppressAutoHyphens w:val="0"/>
              <w:autoSpaceDE w:val="0"/>
              <w:autoSpaceDN w:val="0"/>
              <w:adjustRightInd w:val="0"/>
              <w:spacing w:before="40" w:after="40" w:line="200" w:lineRule="exact"/>
              <w:ind w:right="38" w:firstLine="232"/>
              <w:rPr>
                <w:rFonts w:eastAsia="Times New Roman"/>
                <w:b/>
                <w:bCs/>
                <w:color w:val="000000"/>
                <w:sz w:val="18"/>
                <w:szCs w:val="18"/>
              </w:rPr>
            </w:pPr>
            <w:r w:rsidRPr="00A61D53">
              <w:rPr>
                <w:rFonts w:eastAsia="MS Mincho"/>
                <w:b/>
                <w:sz w:val="18"/>
                <w:szCs w:val="18"/>
                <w:lang w:eastAsia="de-DE"/>
              </w:rPr>
              <w:t>Programmes</w:t>
            </w:r>
          </w:p>
        </w:tc>
        <w:tc>
          <w:tcPr>
            <w:tcW w:w="1589" w:type="dxa"/>
            <w:tcBorders>
              <w:top w:val="nil"/>
              <w:left w:val="nil"/>
              <w:bottom w:val="nil"/>
              <w:right w:val="nil"/>
            </w:tcBorders>
            <w:shd w:val="clear" w:color="auto" w:fill="auto"/>
            <w:vAlign w:val="bottom"/>
          </w:tcPr>
          <w:p w14:paraId="29FD00C7" w14:textId="77777777" w:rsidR="008B2C48" w:rsidRPr="00A61D53" w:rsidRDefault="008B2C48" w:rsidP="00AE0260">
            <w:pPr>
              <w:spacing w:before="40" w:after="40" w:line="200" w:lineRule="exact"/>
              <w:jc w:val="right"/>
              <w:rPr>
                <w:rFonts w:eastAsia="Times New Roman"/>
                <w:b/>
                <w:bCs/>
                <w:color w:val="000000"/>
                <w:sz w:val="18"/>
                <w:szCs w:val="18"/>
              </w:rPr>
            </w:pPr>
            <w:r>
              <w:rPr>
                <w:b/>
                <w:bCs/>
                <w:color w:val="000000"/>
                <w:sz w:val="18"/>
                <w:szCs w:val="18"/>
              </w:rPr>
              <w:t>17 581 308</w:t>
            </w:r>
          </w:p>
        </w:tc>
        <w:tc>
          <w:tcPr>
            <w:tcW w:w="1588" w:type="dxa"/>
            <w:tcBorders>
              <w:top w:val="nil"/>
              <w:left w:val="nil"/>
              <w:bottom w:val="nil"/>
              <w:right w:val="nil"/>
            </w:tcBorders>
            <w:shd w:val="clear" w:color="auto" w:fill="auto"/>
            <w:vAlign w:val="bottom"/>
          </w:tcPr>
          <w:p w14:paraId="6A13A95B" w14:textId="77777777" w:rsidR="008B2C48" w:rsidRPr="00A61D53" w:rsidRDefault="008B2C48" w:rsidP="00AE0260">
            <w:pPr>
              <w:spacing w:before="40" w:after="40" w:line="200" w:lineRule="exact"/>
              <w:jc w:val="right"/>
              <w:rPr>
                <w:rFonts w:eastAsia="Times New Roman"/>
                <w:b/>
                <w:bCs/>
                <w:color w:val="000000"/>
                <w:sz w:val="18"/>
                <w:szCs w:val="18"/>
              </w:rPr>
            </w:pPr>
            <w:r>
              <w:rPr>
                <w:b/>
                <w:bCs/>
                <w:color w:val="000000"/>
                <w:sz w:val="18"/>
                <w:szCs w:val="18"/>
              </w:rPr>
              <w:t>17 751 308</w:t>
            </w:r>
          </w:p>
        </w:tc>
        <w:tc>
          <w:tcPr>
            <w:tcW w:w="1732" w:type="dxa"/>
            <w:tcBorders>
              <w:top w:val="nil"/>
              <w:left w:val="nil"/>
              <w:bottom w:val="nil"/>
              <w:right w:val="nil"/>
            </w:tcBorders>
            <w:shd w:val="clear" w:color="auto" w:fill="auto"/>
            <w:vAlign w:val="bottom"/>
          </w:tcPr>
          <w:p w14:paraId="0F550AD0" w14:textId="77777777" w:rsidR="008B2C48" w:rsidRPr="00A61D53" w:rsidRDefault="008B2C48" w:rsidP="00AE0260">
            <w:pPr>
              <w:spacing w:before="40" w:after="40" w:line="200" w:lineRule="exact"/>
              <w:jc w:val="right"/>
              <w:rPr>
                <w:rFonts w:eastAsia="Times New Roman"/>
                <w:b/>
                <w:bCs/>
                <w:color w:val="000000"/>
                <w:sz w:val="18"/>
                <w:szCs w:val="18"/>
              </w:rPr>
            </w:pPr>
            <w:r>
              <w:rPr>
                <w:b/>
                <w:bCs/>
                <w:color w:val="000000"/>
                <w:sz w:val="18"/>
                <w:szCs w:val="18"/>
              </w:rPr>
              <w:t>35 332 615</w:t>
            </w:r>
          </w:p>
        </w:tc>
      </w:tr>
      <w:tr w:rsidR="008B2C48" w:rsidRPr="00A61D53" w14:paraId="496AABE9" w14:textId="77777777">
        <w:tc>
          <w:tcPr>
            <w:tcW w:w="3596" w:type="dxa"/>
            <w:tcBorders>
              <w:top w:val="nil"/>
              <w:left w:val="nil"/>
              <w:bottom w:val="nil"/>
              <w:right w:val="nil"/>
            </w:tcBorders>
            <w:shd w:val="clear" w:color="auto" w:fill="auto"/>
            <w:noWrap/>
            <w:hideMark/>
          </w:tcPr>
          <w:p w14:paraId="450890C3" w14:textId="77777777" w:rsidR="008B2C48" w:rsidRPr="00A61D53" w:rsidRDefault="008B2C48" w:rsidP="00AE0260">
            <w:pPr>
              <w:suppressAutoHyphens w:val="0"/>
              <w:autoSpaceDE w:val="0"/>
              <w:autoSpaceDN w:val="0"/>
              <w:adjustRightInd w:val="0"/>
              <w:spacing w:before="40" w:after="40" w:line="200" w:lineRule="exact"/>
              <w:ind w:left="463" w:right="38" w:firstLine="1"/>
              <w:rPr>
                <w:rFonts w:eastAsia="MS Mincho"/>
                <w:sz w:val="18"/>
                <w:szCs w:val="18"/>
                <w:lang w:eastAsia="de-DE"/>
              </w:rPr>
            </w:pPr>
            <w:r w:rsidRPr="00A61D53">
              <w:rPr>
                <w:rFonts w:eastAsia="MS Mincho"/>
                <w:sz w:val="18"/>
                <w:szCs w:val="18"/>
                <w:lang w:eastAsia="de-DE"/>
              </w:rPr>
              <w:t>Programmes Coordination</w:t>
            </w:r>
          </w:p>
        </w:tc>
        <w:tc>
          <w:tcPr>
            <w:tcW w:w="1589" w:type="dxa"/>
            <w:tcBorders>
              <w:top w:val="nil"/>
              <w:left w:val="nil"/>
              <w:bottom w:val="nil"/>
              <w:right w:val="nil"/>
            </w:tcBorders>
            <w:shd w:val="clear" w:color="auto" w:fill="auto"/>
            <w:vAlign w:val="bottom"/>
          </w:tcPr>
          <w:p w14:paraId="74A663CD" w14:textId="77777777" w:rsidR="008B2C48" w:rsidRPr="00A61D53" w:rsidRDefault="008B2C48" w:rsidP="00AE0260">
            <w:pPr>
              <w:spacing w:before="40" w:after="40" w:line="200" w:lineRule="exact"/>
              <w:jc w:val="right"/>
              <w:rPr>
                <w:sz w:val="18"/>
                <w:szCs w:val="18"/>
              </w:rPr>
            </w:pPr>
            <w:r>
              <w:rPr>
                <w:color w:val="000000"/>
                <w:sz w:val="18"/>
                <w:szCs w:val="18"/>
              </w:rPr>
              <w:t xml:space="preserve"> 355 332</w:t>
            </w:r>
          </w:p>
        </w:tc>
        <w:tc>
          <w:tcPr>
            <w:tcW w:w="1588" w:type="dxa"/>
            <w:tcBorders>
              <w:top w:val="nil"/>
              <w:left w:val="nil"/>
              <w:bottom w:val="nil"/>
              <w:right w:val="nil"/>
            </w:tcBorders>
            <w:shd w:val="clear" w:color="auto" w:fill="auto"/>
            <w:vAlign w:val="bottom"/>
          </w:tcPr>
          <w:p w14:paraId="2E4F9CF2" w14:textId="77777777" w:rsidR="008B2C48" w:rsidRPr="00A61D53" w:rsidRDefault="008B2C48" w:rsidP="00AE0260">
            <w:pPr>
              <w:spacing w:before="40" w:after="40" w:line="200" w:lineRule="exact"/>
              <w:jc w:val="right"/>
              <w:rPr>
                <w:sz w:val="18"/>
                <w:szCs w:val="18"/>
              </w:rPr>
            </w:pPr>
            <w:r>
              <w:rPr>
                <w:color w:val="000000"/>
                <w:sz w:val="18"/>
                <w:szCs w:val="18"/>
              </w:rPr>
              <w:t xml:space="preserve"> 355 332</w:t>
            </w:r>
          </w:p>
        </w:tc>
        <w:tc>
          <w:tcPr>
            <w:tcW w:w="1732" w:type="dxa"/>
            <w:tcBorders>
              <w:top w:val="nil"/>
              <w:left w:val="nil"/>
              <w:bottom w:val="nil"/>
              <w:right w:val="nil"/>
            </w:tcBorders>
            <w:shd w:val="clear" w:color="auto" w:fill="auto"/>
            <w:vAlign w:val="bottom"/>
          </w:tcPr>
          <w:p w14:paraId="3F44B1ED" w14:textId="77777777" w:rsidR="008B2C48" w:rsidRPr="00A61D53" w:rsidRDefault="008B2C48" w:rsidP="00AE0260">
            <w:pPr>
              <w:spacing w:before="40" w:after="40" w:line="200" w:lineRule="exact"/>
              <w:jc w:val="right"/>
              <w:rPr>
                <w:sz w:val="18"/>
                <w:szCs w:val="18"/>
              </w:rPr>
            </w:pPr>
            <w:r>
              <w:rPr>
                <w:color w:val="000000"/>
                <w:sz w:val="18"/>
                <w:szCs w:val="18"/>
              </w:rPr>
              <w:t xml:space="preserve"> 710 664</w:t>
            </w:r>
          </w:p>
        </w:tc>
      </w:tr>
      <w:tr w:rsidR="008B2C48" w:rsidRPr="00A61D53" w14:paraId="76F5DAF9" w14:textId="77777777">
        <w:tc>
          <w:tcPr>
            <w:tcW w:w="3596" w:type="dxa"/>
            <w:tcBorders>
              <w:top w:val="nil"/>
              <w:left w:val="nil"/>
              <w:bottom w:val="nil"/>
              <w:right w:val="nil"/>
            </w:tcBorders>
            <w:shd w:val="clear" w:color="auto" w:fill="auto"/>
            <w:noWrap/>
            <w:hideMark/>
          </w:tcPr>
          <w:p w14:paraId="1C51E92E" w14:textId="77777777" w:rsidR="008B2C48" w:rsidRPr="00A61D53" w:rsidRDefault="008B2C48" w:rsidP="00AE0260">
            <w:pPr>
              <w:suppressAutoHyphens w:val="0"/>
              <w:autoSpaceDE w:val="0"/>
              <w:autoSpaceDN w:val="0"/>
              <w:adjustRightInd w:val="0"/>
              <w:spacing w:before="40" w:after="40" w:line="200" w:lineRule="exact"/>
              <w:ind w:left="463" w:right="38" w:firstLine="1"/>
              <w:rPr>
                <w:rFonts w:eastAsia="MS Mincho"/>
                <w:sz w:val="18"/>
                <w:szCs w:val="18"/>
                <w:lang w:eastAsia="de-DE"/>
              </w:rPr>
            </w:pPr>
            <w:r w:rsidRPr="00A61D53">
              <w:rPr>
                <w:rFonts w:eastAsia="MS Mincho"/>
                <w:sz w:val="18"/>
                <w:szCs w:val="18"/>
                <w:lang w:eastAsia="de-DE"/>
              </w:rPr>
              <w:t>Adaptation</w:t>
            </w:r>
          </w:p>
        </w:tc>
        <w:tc>
          <w:tcPr>
            <w:tcW w:w="1589" w:type="dxa"/>
            <w:tcBorders>
              <w:top w:val="nil"/>
              <w:left w:val="nil"/>
              <w:bottom w:val="nil"/>
              <w:right w:val="nil"/>
            </w:tcBorders>
            <w:shd w:val="clear" w:color="auto" w:fill="auto"/>
            <w:vAlign w:val="bottom"/>
          </w:tcPr>
          <w:p w14:paraId="0D6B53E5" w14:textId="77777777" w:rsidR="008B2C48" w:rsidRPr="00A61D53" w:rsidRDefault="008B2C48" w:rsidP="00AE0260">
            <w:pPr>
              <w:spacing w:before="40" w:after="40" w:line="200" w:lineRule="exact"/>
              <w:jc w:val="right"/>
              <w:rPr>
                <w:sz w:val="18"/>
                <w:szCs w:val="18"/>
              </w:rPr>
            </w:pPr>
            <w:r>
              <w:rPr>
                <w:color w:val="000000"/>
                <w:sz w:val="18"/>
                <w:szCs w:val="18"/>
              </w:rPr>
              <w:t>3 819 153</w:t>
            </w:r>
          </w:p>
        </w:tc>
        <w:tc>
          <w:tcPr>
            <w:tcW w:w="1588" w:type="dxa"/>
            <w:tcBorders>
              <w:top w:val="nil"/>
              <w:left w:val="nil"/>
              <w:bottom w:val="nil"/>
              <w:right w:val="nil"/>
            </w:tcBorders>
            <w:shd w:val="clear" w:color="auto" w:fill="auto"/>
            <w:vAlign w:val="bottom"/>
          </w:tcPr>
          <w:p w14:paraId="697E24EC" w14:textId="77777777" w:rsidR="008B2C48" w:rsidRPr="00A61D53" w:rsidRDefault="008B2C48" w:rsidP="00AE0260">
            <w:pPr>
              <w:spacing w:before="40" w:after="40" w:line="200" w:lineRule="exact"/>
              <w:jc w:val="right"/>
              <w:rPr>
                <w:sz w:val="18"/>
                <w:szCs w:val="18"/>
              </w:rPr>
            </w:pPr>
            <w:r>
              <w:rPr>
                <w:color w:val="000000"/>
                <w:sz w:val="18"/>
                <w:szCs w:val="18"/>
              </w:rPr>
              <w:t>3 819 153</w:t>
            </w:r>
          </w:p>
        </w:tc>
        <w:tc>
          <w:tcPr>
            <w:tcW w:w="1732" w:type="dxa"/>
            <w:tcBorders>
              <w:top w:val="nil"/>
              <w:left w:val="nil"/>
              <w:bottom w:val="nil"/>
              <w:right w:val="nil"/>
            </w:tcBorders>
            <w:shd w:val="clear" w:color="auto" w:fill="auto"/>
            <w:vAlign w:val="bottom"/>
          </w:tcPr>
          <w:p w14:paraId="275B5C6F" w14:textId="77777777" w:rsidR="008B2C48" w:rsidRPr="00A61D53" w:rsidRDefault="008B2C48" w:rsidP="00AE0260">
            <w:pPr>
              <w:spacing w:before="40" w:after="40" w:line="200" w:lineRule="exact"/>
              <w:jc w:val="right"/>
              <w:rPr>
                <w:sz w:val="18"/>
                <w:szCs w:val="18"/>
              </w:rPr>
            </w:pPr>
            <w:r>
              <w:rPr>
                <w:color w:val="000000"/>
                <w:sz w:val="18"/>
                <w:szCs w:val="18"/>
              </w:rPr>
              <w:t>7 638 306</w:t>
            </w:r>
          </w:p>
        </w:tc>
      </w:tr>
      <w:tr w:rsidR="008B2C48" w:rsidRPr="00A61D53" w14:paraId="4C5973C3" w14:textId="77777777">
        <w:tc>
          <w:tcPr>
            <w:tcW w:w="3596" w:type="dxa"/>
            <w:tcBorders>
              <w:top w:val="nil"/>
              <w:left w:val="nil"/>
              <w:bottom w:val="nil"/>
              <w:right w:val="nil"/>
            </w:tcBorders>
            <w:shd w:val="clear" w:color="auto" w:fill="auto"/>
            <w:noWrap/>
            <w:hideMark/>
          </w:tcPr>
          <w:p w14:paraId="50DE7BB1" w14:textId="77777777" w:rsidR="008B2C48" w:rsidRPr="00A61D53" w:rsidRDefault="008B2C48" w:rsidP="00AE0260">
            <w:pPr>
              <w:suppressAutoHyphens w:val="0"/>
              <w:autoSpaceDE w:val="0"/>
              <w:autoSpaceDN w:val="0"/>
              <w:adjustRightInd w:val="0"/>
              <w:spacing w:before="40" w:after="40" w:line="200" w:lineRule="exact"/>
              <w:ind w:left="463" w:right="38" w:firstLine="1"/>
              <w:rPr>
                <w:rFonts w:eastAsia="MS Mincho"/>
                <w:sz w:val="18"/>
                <w:szCs w:val="18"/>
                <w:lang w:eastAsia="de-DE"/>
              </w:rPr>
            </w:pPr>
            <w:r w:rsidRPr="00A61D53">
              <w:rPr>
                <w:rFonts w:eastAsia="MS Mincho"/>
                <w:sz w:val="18"/>
                <w:szCs w:val="18"/>
                <w:lang w:eastAsia="de-DE"/>
              </w:rPr>
              <w:t>Mitigation</w:t>
            </w:r>
          </w:p>
        </w:tc>
        <w:tc>
          <w:tcPr>
            <w:tcW w:w="1589" w:type="dxa"/>
            <w:tcBorders>
              <w:top w:val="nil"/>
              <w:left w:val="nil"/>
              <w:bottom w:val="nil"/>
              <w:right w:val="nil"/>
            </w:tcBorders>
            <w:shd w:val="clear" w:color="auto" w:fill="auto"/>
            <w:vAlign w:val="bottom"/>
          </w:tcPr>
          <w:p w14:paraId="023C0B3F" w14:textId="77777777" w:rsidR="008B2C48" w:rsidRPr="00A61D53" w:rsidRDefault="008B2C48" w:rsidP="00AE0260">
            <w:pPr>
              <w:spacing w:before="40" w:after="40" w:line="200" w:lineRule="exact"/>
              <w:jc w:val="right"/>
              <w:rPr>
                <w:sz w:val="18"/>
                <w:szCs w:val="18"/>
              </w:rPr>
            </w:pPr>
            <w:r>
              <w:rPr>
                <w:color w:val="000000"/>
                <w:sz w:val="18"/>
                <w:szCs w:val="18"/>
              </w:rPr>
              <w:t>2 195 438</w:t>
            </w:r>
          </w:p>
        </w:tc>
        <w:tc>
          <w:tcPr>
            <w:tcW w:w="1588" w:type="dxa"/>
            <w:tcBorders>
              <w:top w:val="nil"/>
              <w:left w:val="nil"/>
              <w:bottom w:val="nil"/>
              <w:right w:val="nil"/>
            </w:tcBorders>
            <w:shd w:val="clear" w:color="auto" w:fill="auto"/>
            <w:vAlign w:val="bottom"/>
          </w:tcPr>
          <w:p w14:paraId="54883079" w14:textId="77777777" w:rsidR="008B2C48" w:rsidRPr="00A61D53" w:rsidRDefault="008B2C48" w:rsidP="00AE0260">
            <w:pPr>
              <w:spacing w:before="40" w:after="40" w:line="200" w:lineRule="exact"/>
              <w:jc w:val="right"/>
              <w:rPr>
                <w:sz w:val="18"/>
                <w:szCs w:val="18"/>
              </w:rPr>
            </w:pPr>
            <w:r>
              <w:rPr>
                <w:color w:val="000000"/>
                <w:sz w:val="18"/>
                <w:szCs w:val="18"/>
              </w:rPr>
              <w:t>2 195 438</w:t>
            </w:r>
          </w:p>
        </w:tc>
        <w:tc>
          <w:tcPr>
            <w:tcW w:w="1732" w:type="dxa"/>
            <w:tcBorders>
              <w:top w:val="nil"/>
              <w:left w:val="nil"/>
              <w:bottom w:val="nil"/>
              <w:right w:val="nil"/>
            </w:tcBorders>
            <w:shd w:val="clear" w:color="auto" w:fill="auto"/>
            <w:vAlign w:val="bottom"/>
          </w:tcPr>
          <w:p w14:paraId="07B881D5" w14:textId="77777777" w:rsidR="008B2C48" w:rsidRPr="00A61D53" w:rsidRDefault="008B2C48" w:rsidP="00AE0260">
            <w:pPr>
              <w:spacing w:before="40" w:after="40" w:line="200" w:lineRule="exact"/>
              <w:jc w:val="right"/>
              <w:rPr>
                <w:sz w:val="18"/>
                <w:szCs w:val="18"/>
              </w:rPr>
            </w:pPr>
            <w:r>
              <w:rPr>
                <w:color w:val="000000"/>
                <w:sz w:val="18"/>
                <w:szCs w:val="18"/>
              </w:rPr>
              <w:t>4 390 876</w:t>
            </w:r>
          </w:p>
        </w:tc>
      </w:tr>
      <w:tr w:rsidR="008B2C48" w:rsidRPr="00A61D53" w14:paraId="01DE4FDD" w14:textId="77777777">
        <w:tc>
          <w:tcPr>
            <w:tcW w:w="3596" w:type="dxa"/>
            <w:tcBorders>
              <w:top w:val="nil"/>
              <w:left w:val="nil"/>
              <w:bottom w:val="nil"/>
              <w:right w:val="nil"/>
            </w:tcBorders>
            <w:shd w:val="clear" w:color="auto" w:fill="auto"/>
            <w:noWrap/>
            <w:hideMark/>
          </w:tcPr>
          <w:p w14:paraId="1EBAE033" w14:textId="77777777" w:rsidR="008B2C48" w:rsidRPr="00A61D53" w:rsidRDefault="008B2C48" w:rsidP="00AE0260">
            <w:pPr>
              <w:suppressAutoHyphens w:val="0"/>
              <w:autoSpaceDE w:val="0"/>
              <w:autoSpaceDN w:val="0"/>
              <w:adjustRightInd w:val="0"/>
              <w:spacing w:before="40" w:after="40" w:line="200" w:lineRule="exact"/>
              <w:ind w:left="463" w:right="38" w:firstLine="1"/>
              <w:rPr>
                <w:rFonts w:eastAsia="MS Mincho"/>
                <w:sz w:val="18"/>
                <w:szCs w:val="18"/>
                <w:lang w:eastAsia="de-DE"/>
              </w:rPr>
            </w:pPr>
            <w:r w:rsidRPr="00A61D53">
              <w:rPr>
                <w:rFonts w:eastAsia="MS Mincho"/>
                <w:sz w:val="18"/>
                <w:szCs w:val="18"/>
                <w:lang w:eastAsia="de-DE"/>
              </w:rPr>
              <w:t>Means of Implementation</w:t>
            </w:r>
          </w:p>
        </w:tc>
        <w:tc>
          <w:tcPr>
            <w:tcW w:w="1589" w:type="dxa"/>
            <w:tcBorders>
              <w:top w:val="nil"/>
              <w:left w:val="nil"/>
              <w:bottom w:val="nil"/>
              <w:right w:val="nil"/>
            </w:tcBorders>
            <w:shd w:val="clear" w:color="auto" w:fill="auto"/>
            <w:vAlign w:val="bottom"/>
          </w:tcPr>
          <w:p w14:paraId="0237CEA3" w14:textId="77777777" w:rsidR="008B2C48" w:rsidRPr="00A61D53" w:rsidRDefault="008B2C48" w:rsidP="00AE0260">
            <w:pPr>
              <w:spacing w:before="40" w:after="40" w:line="200" w:lineRule="exact"/>
              <w:jc w:val="right"/>
              <w:rPr>
                <w:sz w:val="18"/>
                <w:szCs w:val="18"/>
              </w:rPr>
            </w:pPr>
            <w:r>
              <w:rPr>
                <w:color w:val="000000"/>
                <w:sz w:val="18"/>
                <w:szCs w:val="18"/>
              </w:rPr>
              <w:t>3 629 286</w:t>
            </w:r>
          </w:p>
        </w:tc>
        <w:tc>
          <w:tcPr>
            <w:tcW w:w="1588" w:type="dxa"/>
            <w:tcBorders>
              <w:top w:val="nil"/>
              <w:left w:val="nil"/>
              <w:bottom w:val="nil"/>
              <w:right w:val="nil"/>
            </w:tcBorders>
            <w:shd w:val="clear" w:color="auto" w:fill="auto"/>
            <w:vAlign w:val="bottom"/>
          </w:tcPr>
          <w:p w14:paraId="31FEE8FB" w14:textId="77777777" w:rsidR="008B2C48" w:rsidRPr="00A61D53" w:rsidRDefault="008B2C48" w:rsidP="00AE0260">
            <w:pPr>
              <w:spacing w:before="40" w:after="40" w:line="200" w:lineRule="exact"/>
              <w:jc w:val="right"/>
              <w:rPr>
                <w:sz w:val="18"/>
                <w:szCs w:val="18"/>
              </w:rPr>
            </w:pPr>
            <w:r>
              <w:rPr>
                <w:color w:val="000000"/>
                <w:sz w:val="18"/>
                <w:szCs w:val="18"/>
              </w:rPr>
              <w:t>3 799 286</w:t>
            </w:r>
          </w:p>
        </w:tc>
        <w:tc>
          <w:tcPr>
            <w:tcW w:w="1732" w:type="dxa"/>
            <w:tcBorders>
              <w:top w:val="nil"/>
              <w:left w:val="nil"/>
              <w:bottom w:val="nil"/>
              <w:right w:val="nil"/>
            </w:tcBorders>
            <w:shd w:val="clear" w:color="auto" w:fill="auto"/>
            <w:vAlign w:val="bottom"/>
          </w:tcPr>
          <w:p w14:paraId="1B3CADA5" w14:textId="77777777" w:rsidR="008B2C48" w:rsidRPr="00A61D53" w:rsidRDefault="008B2C48" w:rsidP="00AE0260">
            <w:pPr>
              <w:spacing w:before="40" w:after="40" w:line="200" w:lineRule="exact"/>
              <w:jc w:val="right"/>
              <w:rPr>
                <w:sz w:val="18"/>
                <w:szCs w:val="18"/>
              </w:rPr>
            </w:pPr>
            <w:r>
              <w:rPr>
                <w:color w:val="000000"/>
                <w:sz w:val="18"/>
                <w:szCs w:val="18"/>
              </w:rPr>
              <w:t>7 428 571</w:t>
            </w:r>
          </w:p>
        </w:tc>
      </w:tr>
      <w:tr w:rsidR="008B2C48" w:rsidRPr="00A61D53" w14:paraId="3C59A4B5" w14:textId="77777777">
        <w:tc>
          <w:tcPr>
            <w:tcW w:w="3596" w:type="dxa"/>
            <w:tcBorders>
              <w:top w:val="nil"/>
              <w:left w:val="nil"/>
              <w:bottom w:val="nil"/>
              <w:right w:val="nil"/>
            </w:tcBorders>
            <w:shd w:val="clear" w:color="auto" w:fill="auto"/>
            <w:noWrap/>
            <w:hideMark/>
          </w:tcPr>
          <w:p w14:paraId="48AA783F" w14:textId="77777777" w:rsidR="008B2C48" w:rsidRPr="00A61D53" w:rsidRDefault="008B2C48" w:rsidP="00AE0260">
            <w:pPr>
              <w:suppressAutoHyphens w:val="0"/>
              <w:autoSpaceDE w:val="0"/>
              <w:autoSpaceDN w:val="0"/>
              <w:adjustRightInd w:val="0"/>
              <w:spacing w:before="40" w:after="40" w:line="200" w:lineRule="exact"/>
              <w:ind w:left="463" w:right="38" w:firstLine="1"/>
              <w:rPr>
                <w:rFonts w:eastAsia="MS Mincho"/>
                <w:sz w:val="18"/>
                <w:szCs w:val="18"/>
                <w:lang w:eastAsia="de-DE"/>
              </w:rPr>
            </w:pPr>
            <w:r w:rsidRPr="00A61D53">
              <w:rPr>
                <w:rFonts w:eastAsia="MS Mincho"/>
                <w:sz w:val="18"/>
                <w:szCs w:val="18"/>
                <w:lang w:eastAsia="de-DE"/>
              </w:rPr>
              <w:t>Transparency</w:t>
            </w:r>
          </w:p>
        </w:tc>
        <w:tc>
          <w:tcPr>
            <w:tcW w:w="1589" w:type="dxa"/>
            <w:tcBorders>
              <w:top w:val="nil"/>
              <w:left w:val="nil"/>
              <w:bottom w:val="nil"/>
              <w:right w:val="nil"/>
            </w:tcBorders>
            <w:shd w:val="clear" w:color="auto" w:fill="auto"/>
            <w:vAlign w:val="bottom"/>
          </w:tcPr>
          <w:p w14:paraId="4ED3F41C" w14:textId="77777777" w:rsidR="008B2C48" w:rsidRPr="00A61D53" w:rsidRDefault="008B2C48" w:rsidP="00AE0260">
            <w:pPr>
              <w:spacing w:before="40" w:after="40" w:line="200" w:lineRule="exact"/>
              <w:jc w:val="right"/>
              <w:rPr>
                <w:sz w:val="18"/>
                <w:szCs w:val="18"/>
              </w:rPr>
            </w:pPr>
            <w:r>
              <w:rPr>
                <w:color w:val="000000"/>
                <w:sz w:val="18"/>
                <w:szCs w:val="18"/>
              </w:rPr>
              <w:t>7 582 099</w:t>
            </w:r>
          </w:p>
        </w:tc>
        <w:tc>
          <w:tcPr>
            <w:tcW w:w="1588" w:type="dxa"/>
            <w:tcBorders>
              <w:top w:val="nil"/>
              <w:left w:val="nil"/>
              <w:bottom w:val="nil"/>
              <w:right w:val="nil"/>
            </w:tcBorders>
            <w:shd w:val="clear" w:color="auto" w:fill="auto"/>
            <w:vAlign w:val="bottom"/>
          </w:tcPr>
          <w:p w14:paraId="3448C43E" w14:textId="77777777" w:rsidR="008B2C48" w:rsidRPr="00A61D53" w:rsidRDefault="008B2C48" w:rsidP="00AE0260">
            <w:pPr>
              <w:spacing w:before="40" w:after="40" w:line="200" w:lineRule="exact"/>
              <w:jc w:val="right"/>
              <w:rPr>
                <w:sz w:val="18"/>
                <w:szCs w:val="18"/>
              </w:rPr>
            </w:pPr>
            <w:r>
              <w:rPr>
                <w:color w:val="000000"/>
                <w:sz w:val="18"/>
                <w:szCs w:val="18"/>
              </w:rPr>
              <w:t>7 582 099</w:t>
            </w:r>
          </w:p>
        </w:tc>
        <w:tc>
          <w:tcPr>
            <w:tcW w:w="1732" w:type="dxa"/>
            <w:tcBorders>
              <w:top w:val="nil"/>
              <w:left w:val="nil"/>
              <w:bottom w:val="nil"/>
              <w:right w:val="nil"/>
            </w:tcBorders>
            <w:shd w:val="clear" w:color="auto" w:fill="auto"/>
            <w:vAlign w:val="bottom"/>
          </w:tcPr>
          <w:p w14:paraId="669D51D7" w14:textId="77777777" w:rsidR="008B2C48" w:rsidRPr="00A61D53" w:rsidRDefault="008B2C48" w:rsidP="00AE0260">
            <w:pPr>
              <w:spacing w:before="40" w:after="40" w:line="200" w:lineRule="exact"/>
              <w:jc w:val="right"/>
              <w:rPr>
                <w:b/>
                <w:bCs/>
                <w:sz w:val="18"/>
                <w:szCs w:val="18"/>
              </w:rPr>
            </w:pPr>
            <w:r>
              <w:rPr>
                <w:color w:val="000000"/>
                <w:sz w:val="18"/>
                <w:szCs w:val="18"/>
              </w:rPr>
              <w:t>15 164 198</w:t>
            </w:r>
          </w:p>
        </w:tc>
      </w:tr>
      <w:tr w:rsidR="008B2C48" w:rsidRPr="00A61D53" w14:paraId="393FEBE4" w14:textId="77777777">
        <w:tc>
          <w:tcPr>
            <w:tcW w:w="3596" w:type="dxa"/>
            <w:tcBorders>
              <w:top w:val="nil"/>
              <w:left w:val="nil"/>
              <w:right w:val="nil"/>
            </w:tcBorders>
            <w:shd w:val="clear" w:color="auto" w:fill="auto"/>
            <w:noWrap/>
            <w:hideMark/>
          </w:tcPr>
          <w:p w14:paraId="56109A68" w14:textId="77777777" w:rsidR="008B2C48" w:rsidRPr="00A61D53" w:rsidRDefault="008B2C48" w:rsidP="00AE0260">
            <w:pPr>
              <w:suppressAutoHyphens w:val="0"/>
              <w:autoSpaceDE w:val="0"/>
              <w:autoSpaceDN w:val="0"/>
              <w:adjustRightInd w:val="0"/>
              <w:spacing w:before="40" w:after="40" w:line="200" w:lineRule="exact"/>
              <w:ind w:right="38" w:firstLine="232"/>
              <w:rPr>
                <w:rFonts w:eastAsia="Times New Roman"/>
                <w:b/>
                <w:bCs/>
                <w:color w:val="000000"/>
                <w:sz w:val="18"/>
                <w:szCs w:val="18"/>
              </w:rPr>
            </w:pPr>
            <w:r w:rsidRPr="00A61D53">
              <w:rPr>
                <w:rFonts w:eastAsia="MS Mincho"/>
                <w:b/>
                <w:sz w:val="18"/>
                <w:szCs w:val="18"/>
                <w:lang w:eastAsia="de-DE"/>
              </w:rPr>
              <w:t>Operations</w:t>
            </w:r>
          </w:p>
        </w:tc>
        <w:tc>
          <w:tcPr>
            <w:tcW w:w="1589" w:type="dxa"/>
            <w:tcBorders>
              <w:top w:val="nil"/>
              <w:left w:val="nil"/>
              <w:bottom w:val="nil"/>
              <w:right w:val="nil"/>
            </w:tcBorders>
            <w:shd w:val="clear" w:color="auto" w:fill="auto"/>
            <w:vAlign w:val="bottom"/>
          </w:tcPr>
          <w:p w14:paraId="56005BC6" w14:textId="77777777" w:rsidR="008B2C48" w:rsidRPr="00A61D53" w:rsidRDefault="008B2C48" w:rsidP="00AE0260">
            <w:pPr>
              <w:spacing w:before="40" w:after="40" w:line="200" w:lineRule="exact"/>
              <w:jc w:val="right"/>
              <w:rPr>
                <w:rFonts w:eastAsia="Times New Roman"/>
                <w:b/>
                <w:bCs/>
                <w:color w:val="000000"/>
                <w:sz w:val="18"/>
                <w:szCs w:val="18"/>
              </w:rPr>
            </w:pPr>
            <w:r>
              <w:rPr>
                <w:b/>
                <w:bCs/>
                <w:color w:val="000000"/>
                <w:sz w:val="18"/>
                <w:szCs w:val="18"/>
              </w:rPr>
              <w:t>7 791 907</w:t>
            </w:r>
          </w:p>
        </w:tc>
        <w:tc>
          <w:tcPr>
            <w:tcW w:w="1588" w:type="dxa"/>
            <w:tcBorders>
              <w:top w:val="nil"/>
              <w:left w:val="nil"/>
              <w:bottom w:val="nil"/>
              <w:right w:val="nil"/>
            </w:tcBorders>
            <w:shd w:val="clear" w:color="auto" w:fill="auto"/>
            <w:vAlign w:val="bottom"/>
          </w:tcPr>
          <w:p w14:paraId="66CDAC85" w14:textId="77777777" w:rsidR="008B2C48" w:rsidRPr="00A61D53" w:rsidRDefault="008B2C48" w:rsidP="00AE0260">
            <w:pPr>
              <w:spacing w:before="40" w:after="40" w:line="200" w:lineRule="exact"/>
              <w:jc w:val="right"/>
              <w:rPr>
                <w:rFonts w:eastAsia="Times New Roman"/>
                <w:b/>
                <w:bCs/>
                <w:color w:val="000000"/>
                <w:sz w:val="18"/>
                <w:szCs w:val="18"/>
              </w:rPr>
            </w:pPr>
            <w:r>
              <w:rPr>
                <w:b/>
                <w:bCs/>
                <w:color w:val="000000"/>
                <w:sz w:val="18"/>
                <w:szCs w:val="18"/>
              </w:rPr>
              <w:t>7 642 451</w:t>
            </w:r>
          </w:p>
        </w:tc>
        <w:tc>
          <w:tcPr>
            <w:tcW w:w="1732" w:type="dxa"/>
            <w:tcBorders>
              <w:top w:val="nil"/>
              <w:left w:val="nil"/>
              <w:bottom w:val="nil"/>
              <w:right w:val="nil"/>
            </w:tcBorders>
            <w:shd w:val="clear" w:color="auto" w:fill="auto"/>
            <w:vAlign w:val="bottom"/>
          </w:tcPr>
          <w:p w14:paraId="7B60523D" w14:textId="77777777" w:rsidR="008B2C48" w:rsidRPr="00A61D53" w:rsidRDefault="008B2C48" w:rsidP="00AE0260">
            <w:pPr>
              <w:spacing w:before="40" w:after="40" w:line="200" w:lineRule="exact"/>
              <w:jc w:val="right"/>
              <w:rPr>
                <w:rFonts w:eastAsia="Times New Roman"/>
                <w:b/>
                <w:bCs/>
                <w:color w:val="000000"/>
                <w:sz w:val="18"/>
                <w:szCs w:val="18"/>
              </w:rPr>
            </w:pPr>
            <w:r>
              <w:rPr>
                <w:b/>
                <w:bCs/>
                <w:color w:val="000000"/>
                <w:sz w:val="18"/>
                <w:szCs w:val="18"/>
              </w:rPr>
              <w:t>15 434 359</w:t>
            </w:r>
          </w:p>
        </w:tc>
      </w:tr>
      <w:tr w:rsidR="008B2C48" w:rsidRPr="00A61D53" w14:paraId="28E3DBCD" w14:textId="77777777">
        <w:tc>
          <w:tcPr>
            <w:tcW w:w="3596" w:type="dxa"/>
            <w:tcBorders>
              <w:top w:val="nil"/>
              <w:left w:val="nil"/>
              <w:bottom w:val="nil"/>
              <w:right w:val="nil"/>
            </w:tcBorders>
            <w:shd w:val="clear" w:color="auto" w:fill="auto"/>
            <w:noWrap/>
            <w:hideMark/>
          </w:tcPr>
          <w:p w14:paraId="64495BDF" w14:textId="77777777" w:rsidR="008B2C48" w:rsidRPr="00A61D53" w:rsidRDefault="008B2C48" w:rsidP="00AE0260">
            <w:pPr>
              <w:suppressAutoHyphens w:val="0"/>
              <w:autoSpaceDE w:val="0"/>
              <w:autoSpaceDN w:val="0"/>
              <w:adjustRightInd w:val="0"/>
              <w:spacing w:before="40" w:after="40" w:line="200" w:lineRule="exact"/>
              <w:ind w:left="463" w:right="38" w:firstLine="1"/>
              <w:rPr>
                <w:rFonts w:eastAsia="MS Mincho"/>
                <w:sz w:val="18"/>
                <w:szCs w:val="18"/>
                <w:lang w:eastAsia="de-DE"/>
              </w:rPr>
            </w:pPr>
            <w:r w:rsidRPr="00A61D53">
              <w:rPr>
                <w:rFonts w:eastAsia="MS Mincho"/>
                <w:sz w:val="18"/>
                <w:szCs w:val="18"/>
                <w:lang w:eastAsia="de-DE"/>
              </w:rPr>
              <w:t>Operations Coordination</w:t>
            </w:r>
          </w:p>
        </w:tc>
        <w:tc>
          <w:tcPr>
            <w:tcW w:w="1589" w:type="dxa"/>
            <w:tcBorders>
              <w:top w:val="nil"/>
              <w:left w:val="nil"/>
              <w:bottom w:val="nil"/>
              <w:right w:val="nil"/>
            </w:tcBorders>
            <w:shd w:val="clear" w:color="auto" w:fill="auto"/>
            <w:vAlign w:val="bottom"/>
          </w:tcPr>
          <w:p w14:paraId="6D56763E" w14:textId="77777777" w:rsidR="008B2C48" w:rsidRPr="00A61D53" w:rsidRDefault="008B2C48" w:rsidP="00AE0260">
            <w:pPr>
              <w:spacing w:before="40" w:after="40" w:line="200" w:lineRule="exact"/>
              <w:jc w:val="right"/>
              <w:rPr>
                <w:rFonts w:eastAsia="Times New Roman"/>
                <w:bCs/>
                <w:color w:val="000000"/>
                <w:sz w:val="18"/>
                <w:szCs w:val="18"/>
              </w:rPr>
            </w:pPr>
            <w:r>
              <w:rPr>
                <w:color w:val="000000"/>
                <w:sz w:val="18"/>
                <w:szCs w:val="18"/>
              </w:rPr>
              <w:t xml:space="preserve"> 789 167</w:t>
            </w:r>
          </w:p>
        </w:tc>
        <w:tc>
          <w:tcPr>
            <w:tcW w:w="1588" w:type="dxa"/>
            <w:tcBorders>
              <w:top w:val="nil"/>
              <w:left w:val="nil"/>
              <w:bottom w:val="nil"/>
              <w:right w:val="nil"/>
            </w:tcBorders>
            <w:shd w:val="clear" w:color="auto" w:fill="auto"/>
            <w:vAlign w:val="bottom"/>
          </w:tcPr>
          <w:p w14:paraId="29030882" w14:textId="77777777" w:rsidR="008B2C48" w:rsidRPr="00A61D53" w:rsidRDefault="008B2C48" w:rsidP="00AE0260">
            <w:pPr>
              <w:spacing w:before="40" w:after="40" w:line="200" w:lineRule="exact"/>
              <w:jc w:val="right"/>
              <w:rPr>
                <w:rFonts w:eastAsia="Times New Roman"/>
                <w:bCs/>
                <w:color w:val="000000"/>
                <w:sz w:val="18"/>
                <w:szCs w:val="18"/>
              </w:rPr>
            </w:pPr>
            <w:r>
              <w:rPr>
                <w:color w:val="000000"/>
                <w:sz w:val="18"/>
                <w:szCs w:val="18"/>
              </w:rPr>
              <w:t xml:space="preserve"> 789 167</w:t>
            </w:r>
          </w:p>
        </w:tc>
        <w:tc>
          <w:tcPr>
            <w:tcW w:w="1732" w:type="dxa"/>
            <w:tcBorders>
              <w:top w:val="nil"/>
              <w:left w:val="nil"/>
              <w:bottom w:val="nil"/>
              <w:right w:val="nil"/>
            </w:tcBorders>
            <w:shd w:val="clear" w:color="auto" w:fill="auto"/>
            <w:vAlign w:val="bottom"/>
          </w:tcPr>
          <w:p w14:paraId="746A30ED" w14:textId="77777777" w:rsidR="008B2C48" w:rsidRPr="00A61D53" w:rsidRDefault="008B2C48" w:rsidP="00AE0260">
            <w:pPr>
              <w:spacing w:before="40" w:after="40" w:line="200" w:lineRule="exact"/>
              <w:jc w:val="right"/>
              <w:rPr>
                <w:rFonts w:eastAsia="Times New Roman"/>
                <w:bCs/>
                <w:color w:val="000000"/>
                <w:sz w:val="18"/>
                <w:szCs w:val="18"/>
              </w:rPr>
            </w:pPr>
            <w:r>
              <w:rPr>
                <w:color w:val="000000"/>
                <w:sz w:val="18"/>
                <w:szCs w:val="18"/>
              </w:rPr>
              <w:t>1 578 334</w:t>
            </w:r>
          </w:p>
        </w:tc>
      </w:tr>
      <w:tr w:rsidR="008B2C48" w:rsidRPr="00A61D53" w14:paraId="3E8435E2" w14:textId="77777777">
        <w:tc>
          <w:tcPr>
            <w:tcW w:w="3596" w:type="dxa"/>
            <w:tcBorders>
              <w:top w:val="nil"/>
              <w:left w:val="nil"/>
              <w:bottom w:val="nil"/>
              <w:right w:val="nil"/>
            </w:tcBorders>
            <w:shd w:val="clear" w:color="auto" w:fill="auto"/>
            <w:noWrap/>
            <w:hideMark/>
          </w:tcPr>
          <w:p w14:paraId="487409EF" w14:textId="77777777" w:rsidR="008B2C48" w:rsidRPr="00A61D53" w:rsidRDefault="008B2C48" w:rsidP="00AE0260">
            <w:pPr>
              <w:suppressAutoHyphens w:val="0"/>
              <w:autoSpaceDE w:val="0"/>
              <w:autoSpaceDN w:val="0"/>
              <w:adjustRightInd w:val="0"/>
              <w:spacing w:before="40" w:after="40" w:line="200" w:lineRule="exact"/>
              <w:ind w:left="463" w:right="38" w:firstLine="1"/>
              <w:rPr>
                <w:rFonts w:eastAsia="MS Mincho"/>
                <w:sz w:val="18"/>
                <w:szCs w:val="18"/>
                <w:lang w:eastAsia="de-DE"/>
              </w:rPr>
            </w:pPr>
            <w:r w:rsidRPr="00A61D53">
              <w:rPr>
                <w:rFonts w:eastAsia="MS Mincho"/>
                <w:sz w:val="18"/>
                <w:szCs w:val="18"/>
                <w:lang w:eastAsia="de-DE"/>
              </w:rPr>
              <w:t>Secretariat</w:t>
            </w:r>
            <w:r>
              <w:rPr>
                <w:rFonts w:eastAsia="MS Mincho"/>
                <w:sz w:val="18"/>
                <w:szCs w:val="18"/>
                <w:lang w:eastAsia="de-DE"/>
              </w:rPr>
              <w:t>-</w:t>
            </w:r>
            <w:r w:rsidRPr="00A61D53">
              <w:rPr>
                <w:rFonts w:eastAsia="MS Mincho"/>
                <w:sz w:val="18"/>
                <w:szCs w:val="18"/>
                <w:lang w:eastAsia="de-DE"/>
              </w:rPr>
              <w:t>wide costs</w:t>
            </w:r>
            <w:r w:rsidRPr="00A61D53">
              <w:rPr>
                <w:rFonts w:eastAsia="MS Mincho"/>
                <w:bCs/>
                <w:i/>
                <w:sz w:val="18"/>
                <w:szCs w:val="18"/>
                <w:vertAlign w:val="superscript"/>
                <w:lang w:eastAsia="de-DE"/>
              </w:rPr>
              <w:t>a</w:t>
            </w:r>
          </w:p>
        </w:tc>
        <w:tc>
          <w:tcPr>
            <w:tcW w:w="1589" w:type="dxa"/>
            <w:tcBorders>
              <w:top w:val="nil"/>
              <w:left w:val="nil"/>
              <w:bottom w:val="nil"/>
              <w:right w:val="nil"/>
            </w:tcBorders>
            <w:shd w:val="clear" w:color="auto" w:fill="auto"/>
            <w:vAlign w:val="bottom"/>
          </w:tcPr>
          <w:p w14:paraId="26ADF416" w14:textId="77777777" w:rsidR="008B2C48" w:rsidRPr="00A61D53" w:rsidRDefault="008B2C48" w:rsidP="00AE0260">
            <w:pPr>
              <w:spacing w:before="40" w:after="40" w:line="200" w:lineRule="exact"/>
              <w:jc w:val="right"/>
              <w:rPr>
                <w:rFonts w:eastAsia="Times New Roman"/>
                <w:bCs/>
                <w:color w:val="000000"/>
                <w:sz w:val="18"/>
                <w:szCs w:val="18"/>
              </w:rPr>
            </w:pPr>
            <w:r>
              <w:rPr>
                <w:color w:val="000000"/>
                <w:sz w:val="18"/>
                <w:szCs w:val="18"/>
              </w:rPr>
              <w:t>1 793 946</w:t>
            </w:r>
          </w:p>
        </w:tc>
        <w:tc>
          <w:tcPr>
            <w:tcW w:w="1588" w:type="dxa"/>
            <w:tcBorders>
              <w:top w:val="nil"/>
              <w:left w:val="nil"/>
              <w:bottom w:val="nil"/>
              <w:right w:val="nil"/>
            </w:tcBorders>
            <w:shd w:val="clear" w:color="auto" w:fill="auto"/>
            <w:vAlign w:val="bottom"/>
          </w:tcPr>
          <w:p w14:paraId="7A79B6CC" w14:textId="77777777" w:rsidR="008B2C48" w:rsidRPr="00A61D53" w:rsidRDefault="008B2C48" w:rsidP="00AE0260">
            <w:pPr>
              <w:spacing w:before="40" w:after="40" w:line="200" w:lineRule="exact"/>
              <w:jc w:val="right"/>
              <w:rPr>
                <w:rFonts w:eastAsia="Times New Roman"/>
                <w:bCs/>
                <w:color w:val="000000"/>
                <w:sz w:val="18"/>
                <w:szCs w:val="18"/>
              </w:rPr>
            </w:pPr>
            <w:r>
              <w:rPr>
                <w:color w:val="000000"/>
                <w:sz w:val="18"/>
                <w:szCs w:val="18"/>
              </w:rPr>
              <w:t>1 793 946</w:t>
            </w:r>
          </w:p>
        </w:tc>
        <w:tc>
          <w:tcPr>
            <w:tcW w:w="1732" w:type="dxa"/>
            <w:tcBorders>
              <w:top w:val="nil"/>
              <w:left w:val="nil"/>
              <w:bottom w:val="nil"/>
              <w:right w:val="nil"/>
            </w:tcBorders>
            <w:shd w:val="clear" w:color="auto" w:fill="auto"/>
            <w:vAlign w:val="bottom"/>
          </w:tcPr>
          <w:p w14:paraId="2A66A2E7" w14:textId="77777777" w:rsidR="008B2C48" w:rsidRPr="00A61D53" w:rsidRDefault="008B2C48" w:rsidP="00AE0260">
            <w:pPr>
              <w:spacing w:before="40" w:after="40" w:line="200" w:lineRule="exact"/>
              <w:jc w:val="right"/>
              <w:rPr>
                <w:rFonts w:eastAsia="Times New Roman"/>
                <w:bCs/>
                <w:color w:val="000000"/>
                <w:sz w:val="18"/>
                <w:szCs w:val="18"/>
              </w:rPr>
            </w:pPr>
            <w:r>
              <w:rPr>
                <w:color w:val="000000"/>
                <w:sz w:val="18"/>
                <w:szCs w:val="18"/>
              </w:rPr>
              <w:t>3 587 892</w:t>
            </w:r>
          </w:p>
        </w:tc>
      </w:tr>
      <w:tr w:rsidR="008B2C48" w:rsidRPr="00A61D53" w14:paraId="776F4E4C" w14:textId="77777777">
        <w:tc>
          <w:tcPr>
            <w:tcW w:w="3596" w:type="dxa"/>
            <w:tcBorders>
              <w:top w:val="nil"/>
              <w:left w:val="nil"/>
              <w:bottom w:val="nil"/>
              <w:right w:val="nil"/>
            </w:tcBorders>
            <w:shd w:val="clear" w:color="auto" w:fill="auto"/>
            <w:noWrap/>
            <w:hideMark/>
          </w:tcPr>
          <w:p w14:paraId="71140141" w14:textId="77777777" w:rsidR="008B2C48" w:rsidRPr="00A61D53" w:rsidRDefault="008B2C48" w:rsidP="00AE0260">
            <w:pPr>
              <w:suppressAutoHyphens w:val="0"/>
              <w:autoSpaceDE w:val="0"/>
              <w:autoSpaceDN w:val="0"/>
              <w:adjustRightInd w:val="0"/>
              <w:spacing w:before="40" w:after="40" w:line="200" w:lineRule="exact"/>
              <w:ind w:left="463" w:right="38" w:firstLine="1"/>
              <w:rPr>
                <w:rFonts w:eastAsia="MS Mincho"/>
                <w:sz w:val="18"/>
                <w:szCs w:val="18"/>
                <w:lang w:eastAsia="de-DE"/>
              </w:rPr>
            </w:pPr>
            <w:r w:rsidRPr="00A61D53">
              <w:rPr>
                <w:rFonts w:eastAsia="MS Mincho"/>
                <w:sz w:val="18"/>
                <w:szCs w:val="18"/>
                <w:lang w:eastAsia="de-DE"/>
              </w:rPr>
              <w:t>Administrative Services, Human Resources, and Information and Communication Technology</w:t>
            </w:r>
            <w:r w:rsidRPr="00A61D53">
              <w:rPr>
                <w:rFonts w:eastAsia="MS Mincho"/>
                <w:bCs/>
                <w:i/>
                <w:sz w:val="18"/>
                <w:szCs w:val="18"/>
                <w:vertAlign w:val="superscript"/>
                <w:lang w:eastAsia="de-DE"/>
              </w:rPr>
              <w:t>b</w:t>
            </w:r>
          </w:p>
        </w:tc>
        <w:tc>
          <w:tcPr>
            <w:tcW w:w="1589" w:type="dxa"/>
            <w:tcBorders>
              <w:top w:val="nil"/>
              <w:left w:val="nil"/>
              <w:bottom w:val="nil"/>
              <w:right w:val="nil"/>
            </w:tcBorders>
            <w:shd w:val="clear" w:color="auto" w:fill="auto"/>
            <w:vAlign w:val="bottom"/>
          </w:tcPr>
          <w:p w14:paraId="278118DF" w14:textId="77777777" w:rsidR="008B2C48" w:rsidRPr="00A61D53" w:rsidRDefault="008B2C48" w:rsidP="00AE0260">
            <w:pPr>
              <w:spacing w:before="40" w:after="40" w:line="200" w:lineRule="exact"/>
              <w:jc w:val="right"/>
              <w:rPr>
                <w:rFonts w:eastAsia="Times New Roman"/>
                <w:bCs/>
                <w:color w:val="000000"/>
                <w:sz w:val="18"/>
                <w:szCs w:val="18"/>
              </w:rPr>
            </w:pPr>
            <w:r>
              <w:rPr>
                <w:color w:val="000000"/>
                <w:sz w:val="18"/>
                <w:szCs w:val="18"/>
              </w:rPr>
              <w:t>2 227 701</w:t>
            </w:r>
          </w:p>
        </w:tc>
        <w:tc>
          <w:tcPr>
            <w:tcW w:w="1588" w:type="dxa"/>
            <w:tcBorders>
              <w:top w:val="nil"/>
              <w:left w:val="nil"/>
              <w:bottom w:val="nil"/>
              <w:right w:val="nil"/>
            </w:tcBorders>
            <w:shd w:val="clear" w:color="auto" w:fill="auto"/>
            <w:vAlign w:val="bottom"/>
          </w:tcPr>
          <w:p w14:paraId="1EA3D90A" w14:textId="77777777" w:rsidR="008B2C48" w:rsidRPr="00A61D53" w:rsidRDefault="008B2C48" w:rsidP="00AE0260">
            <w:pPr>
              <w:spacing w:before="40" w:after="40" w:line="200" w:lineRule="exact"/>
              <w:jc w:val="right"/>
              <w:rPr>
                <w:rFonts w:eastAsia="Times New Roman"/>
                <w:bCs/>
                <w:color w:val="000000"/>
                <w:sz w:val="18"/>
                <w:szCs w:val="18"/>
              </w:rPr>
            </w:pPr>
            <w:r>
              <w:rPr>
                <w:color w:val="000000"/>
                <w:sz w:val="18"/>
                <w:szCs w:val="18"/>
              </w:rPr>
              <w:t>2 227 701</w:t>
            </w:r>
          </w:p>
        </w:tc>
        <w:tc>
          <w:tcPr>
            <w:tcW w:w="1732" w:type="dxa"/>
            <w:tcBorders>
              <w:top w:val="nil"/>
              <w:left w:val="nil"/>
              <w:bottom w:val="nil"/>
              <w:right w:val="nil"/>
            </w:tcBorders>
            <w:shd w:val="clear" w:color="auto" w:fill="auto"/>
            <w:vAlign w:val="bottom"/>
          </w:tcPr>
          <w:p w14:paraId="0ECA06B0" w14:textId="77777777" w:rsidR="008B2C48" w:rsidRPr="00A61D53" w:rsidRDefault="008B2C48" w:rsidP="00AE0260">
            <w:pPr>
              <w:spacing w:before="40" w:after="40" w:line="200" w:lineRule="exact"/>
              <w:jc w:val="right"/>
              <w:rPr>
                <w:rFonts w:eastAsia="Times New Roman"/>
                <w:bCs/>
                <w:color w:val="000000"/>
                <w:sz w:val="18"/>
                <w:szCs w:val="18"/>
              </w:rPr>
            </w:pPr>
            <w:r>
              <w:rPr>
                <w:color w:val="000000"/>
                <w:sz w:val="18"/>
                <w:szCs w:val="18"/>
              </w:rPr>
              <w:t>4 455 402</w:t>
            </w:r>
          </w:p>
        </w:tc>
      </w:tr>
      <w:tr w:rsidR="008B2C48" w:rsidRPr="00A61D53" w14:paraId="2EBEF074" w14:textId="77777777">
        <w:tc>
          <w:tcPr>
            <w:tcW w:w="3596" w:type="dxa"/>
            <w:tcBorders>
              <w:top w:val="nil"/>
              <w:left w:val="nil"/>
              <w:bottom w:val="nil"/>
              <w:right w:val="nil"/>
            </w:tcBorders>
            <w:shd w:val="clear" w:color="auto" w:fill="auto"/>
            <w:noWrap/>
            <w:hideMark/>
          </w:tcPr>
          <w:p w14:paraId="041BBAF1" w14:textId="77777777" w:rsidR="008B2C48" w:rsidRPr="00A61D53" w:rsidRDefault="008B2C48" w:rsidP="00AE0260">
            <w:pPr>
              <w:suppressAutoHyphens w:val="0"/>
              <w:autoSpaceDE w:val="0"/>
              <w:autoSpaceDN w:val="0"/>
              <w:adjustRightInd w:val="0"/>
              <w:spacing w:before="40" w:after="40" w:line="200" w:lineRule="exact"/>
              <w:ind w:left="463" w:right="38" w:firstLine="1"/>
              <w:rPr>
                <w:rFonts w:eastAsia="MS Mincho"/>
                <w:sz w:val="18"/>
                <w:szCs w:val="18"/>
                <w:lang w:eastAsia="de-DE"/>
              </w:rPr>
            </w:pPr>
            <w:r w:rsidRPr="00A61D53">
              <w:rPr>
                <w:rFonts w:eastAsia="MS Mincho"/>
                <w:sz w:val="18"/>
                <w:szCs w:val="18"/>
                <w:lang w:eastAsia="de-DE"/>
              </w:rPr>
              <w:t>Conference Affairs</w:t>
            </w:r>
          </w:p>
        </w:tc>
        <w:tc>
          <w:tcPr>
            <w:tcW w:w="1589" w:type="dxa"/>
            <w:tcBorders>
              <w:top w:val="nil"/>
              <w:left w:val="nil"/>
              <w:bottom w:val="nil"/>
              <w:right w:val="nil"/>
            </w:tcBorders>
            <w:shd w:val="clear" w:color="auto" w:fill="auto"/>
            <w:vAlign w:val="bottom"/>
          </w:tcPr>
          <w:p w14:paraId="36DF5072" w14:textId="77777777" w:rsidR="008B2C48" w:rsidRPr="00A61D53" w:rsidRDefault="008B2C48" w:rsidP="00AE0260">
            <w:pPr>
              <w:spacing w:before="40" w:after="40" w:line="200" w:lineRule="exact"/>
              <w:jc w:val="right"/>
              <w:rPr>
                <w:rFonts w:eastAsia="Times New Roman"/>
                <w:bCs/>
                <w:color w:val="000000"/>
                <w:sz w:val="18"/>
                <w:szCs w:val="18"/>
              </w:rPr>
            </w:pPr>
            <w:r>
              <w:rPr>
                <w:color w:val="000000"/>
                <w:sz w:val="18"/>
                <w:szCs w:val="18"/>
              </w:rPr>
              <w:t>1 525 865</w:t>
            </w:r>
          </w:p>
        </w:tc>
        <w:tc>
          <w:tcPr>
            <w:tcW w:w="1588" w:type="dxa"/>
            <w:tcBorders>
              <w:top w:val="nil"/>
              <w:left w:val="nil"/>
              <w:bottom w:val="nil"/>
              <w:right w:val="nil"/>
            </w:tcBorders>
            <w:shd w:val="clear" w:color="auto" w:fill="auto"/>
            <w:vAlign w:val="bottom"/>
          </w:tcPr>
          <w:p w14:paraId="301DF54A" w14:textId="77777777" w:rsidR="008B2C48" w:rsidRPr="00A61D53" w:rsidRDefault="008B2C48" w:rsidP="00AE0260">
            <w:pPr>
              <w:spacing w:before="40" w:after="40" w:line="200" w:lineRule="exact"/>
              <w:jc w:val="right"/>
              <w:rPr>
                <w:rFonts w:eastAsia="Times New Roman"/>
                <w:bCs/>
                <w:color w:val="000000"/>
                <w:sz w:val="18"/>
                <w:szCs w:val="18"/>
              </w:rPr>
            </w:pPr>
            <w:r>
              <w:rPr>
                <w:color w:val="000000"/>
                <w:sz w:val="18"/>
                <w:szCs w:val="18"/>
              </w:rPr>
              <w:t>1 525 865</w:t>
            </w:r>
          </w:p>
        </w:tc>
        <w:tc>
          <w:tcPr>
            <w:tcW w:w="1732" w:type="dxa"/>
            <w:tcBorders>
              <w:top w:val="nil"/>
              <w:left w:val="nil"/>
              <w:bottom w:val="nil"/>
              <w:right w:val="nil"/>
            </w:tcBorders>
            <w:shd w:val="clear" w:color="auto" w:fill="auto"/>
            <w:vAlign w:val="bottom"/>
          </w:tcPr>
          <w:p w14:paraId="0857E37D" w14:textId="77777777" w:rsidR="008B2C48" w:rsidRPr="00A61D53" w:rsidRDefault="008B2C48" w:rsidP="00AE0260">
            <w:pPr>
              <w:spacing w:before="40" w:after="40" w:line="200" w:lineRule="exact"/>
              <w:jc w:val="right"/>
              <w:rPr>
                <w:rFonts w:eastAsia="Times New Roman"/>
                <w:bCs/>
                <w:color w:val="000000"/>
                <w:sz w:val="18"/>
                <w:szCs w:val="18"/>
              </w:rPr>
            </w:pPr>
            <w:r>
              <w:rPr>
                <w:color w:val="000000"/>
                <w:sz w:val="18"/>
                <w:szCs w:val="18"/>
              </w:rPr>
              <w:t>3 051 731</w:t>
            </w:r>
          </w:p>
        </w:tc>
      </w:tr>
      <w:tr w:rsidR="008B2C48" w:rsidRPr="00A61D53" w14:paraId="751329BE" w14:textId="77777777">
        <w:tc>
          <w:tcPr>
            <w:tcW w:w="3596" w:type="dxa"/>
            <w:tcBorders>
              <w:top w:val="nil"/>
              <w:left w:val="nil"/>
              <w:bottom w:val="nil"/>
              <w:right w:val="nil"/>
            </w:tcBorders>
            <w:shd w:val="clear" w:color="auto" w:fill="auto"/>
            <w:noWrap/>
            <w:hideMark/>
          </w:tcPr>
          <w:p w14:paraId="6E1B54E6" w14:textId="77777777" w:rsidR="008B2C48" w:rsidRPr="00A61D53" w:rsidRDefault="008B2C48" w:rsidP="00AE0260">
            <w:pPr>
              <w:suppressAutoHyphens w:val="0"/>
              <w:autoSpaceDE w:val="0"/>
              <w:autoSpaceDN w:val="0"/>
              <w:adjustRightInd w:val="0"/>
              <w:spacing w:before="40" w:after="40" w:line="200" w:lineRule="exact"/>
              <w:ind w:left="463" w:right="38" w:firstLine="1"/>
              <w:rPr>
                <w:rFonts w:eastAsia="MS Mincho"/>
                <w:sz w:val="18"/>
                <w:szCs w:val="18"/>
                <w:lang w:eastAsia="de-DE"/>
              </w:rPr>
            </w:pPr>
            <w:r w:rsidRPr="00A61D53">
              <w:rPr>
                <w:rFonts w:eastAsia="MS Mincho"/>
                <w:sz w:val="18"/>
                <w:szCs w:val="18"/>
                <w:lang w:eastAsia="de-DE"/>
              </w:rPr>
              <w:t>Legal Affairs</w:t>
            </w:r>
          </w:p>
        </w:tc>
        <w:tc>
          <w:tcPr>
            <w:tcW w:w="1589" w:type="dxa"/>
            <w:tcBorders>
              <w:top w:val="nil"/>
              <w:left w:val="nil"/>
              <w:bottom w:val="nil"/>
              <w:right w:val="nil"/>
            </w:tcBorders>
            <w:shd w:val="clear" w:color="auto" w:fill="auto"/>
            <w:vAlign w:val="bottom"/>
          </w:tcPr>
          <w:p w14:paraId="2994F5B1" w14:textId="77777777" w:rsidR="008B2C48" w:rsidRPr="00A61D53" w:rsidRDefault="008B2C48" w:rsidP="00AE0260">
            <w:pPr>
              <w:spacing w:before="40" w:after="40" w:line="200" w:lineRule="exact"/>
              <w:jc w:val="right"/>
              <w:rPr>
                <w:rFonts w:eastAsia="Times New Roman"/>
                <w:bCs/>
                <w:color w:val="000000"/>
                <w:sz w:val="18"/>
                <w:szCs w:val="18"/>
              </w:rPr>
            </w:pPr>
            <w:r>
              <w:rPr>
                <w:color w:val="000000"/>
                <w:sz w:val="18"/>
                <w:szCs w:val="18"/>
              </w:rPr>
              <w:t>1 455 228</w:t>
            </w:r>
          </w:p>
        </w:tc>
        <w:tc>
          <w:tcPr>
            <w:tcW w:w="1588" w:type="dxa"/>
            <w:tcBorders>
              <w:top w:val="nil"/>
              <w:left w:val="nil"/>
              <w:bottom w:val="nil"/>
              <w:right w:val="nil"/>
            </w:tcBorders>
            <w:shd w:val="clear" w:color="auto" w:fill="auto"/>
            <w:vAlign w:val="bottom"/>
          </w:tcPr>
          <w:p w14:paraId="52A23DC6" w14:textId="77777777" w:rsidR="008B2C48" w:rsidRPr="00A61D53" w:rsidRDefault="008B2C48" w:rsidP="00AE0260">
            <w:pPr>
              <w:spacing w:before="40" w:after="40" w:line="200" w:lineRule="exact"/>
              <w:jc w:val="right"/>
              <w:rPr>
                <w:rFonts w:eastAsia="Times New Roman"/>
                <w:bCs/>
                <w:color w:val="000000"/>
                <w:sz w:val="18"/>
                <w:szCs w:val="18"/>
              </w:rPr>
            </w:pPr>
            <w:r>
              <w:rPr>
                <w:color w:val="000000"/>
                <w:sz w:val="18"/>
                <w:szCs w:val="18"/>
              </w:rPr>
              <w:t>1 305 772</w:t>
            </w:r>
          </w:p>
        </w:tc>
        <w:tc>
          <w:tcPr>
            <w:tcW w:w="1732" w:type="dxa"/>
            <w:tcBorders>
              <w:top w:val="nil"/>
              <w:left w:val="nil"/>
              <w:bottom w:val="nil"/>
              <w:right w:val="nil"/>
            </w:tcBorders>
            <w:shd w:val="clear" w:color="auto" w:fill="auto"/>
            <w:vAlign w:val="bottom"/>
          </w:tcPr>
          <w:p w14:paraId="3528B0CB" w14:textId="77777777" w:rsidR="008B2C48" w:rsidRPr="00A61D53" w:rsidRDefault="008B2C48" w:rsidP="00AE0260">
            <w:pPr>
              <w:spacing w:before="40" w:after="40" w:line="200" w:lineRule="exact"/>
              <w:jc w:val="right"/>
              <w:rPr>
                <w:rFonts w:eastAsia="Times New Roman"/>
                <w:bCs/>
                <w:color w:val="000000"/>
                <w:sz w:val="18"/>
                <w:szCs w:val="18"/>
              </w:rPr>
            </w:pPr>
            <w:r>
              <w:rPr>
                <w:color w:val="000000"/>
                <w:sz w:val="18"/>
                <w:szCs w:val="18"/>
              </w:rPr>
              <w:t>2 761 000</w:t>
            </w:r>
          </w:p>
        </w:tc>
      </w:tr>
      <w:tr w:rsidR="008B2C48" w:rsidRPr="00A61D53" w14:paraId="1C9BD78C" w14:textId="77777777">
        <w:tc>
          <w:tcPr>
            <w:tcW w:w="3596" w:type="dxa"/>
            <w:tcBorders>
              <w:top w:val="nil"/>
              <w:left w:val="nil"/>
              <w:right w:val="nil"/>
            </w:tcBorders>
            <w:shd w:val="clear" w:color="auto" w:fill="auto"/>
            <w:noWrap/>
            <w:hideMark/>
          </w:tcPr>
          <w:p w14:paraId="7B356198" w14:textId="77777777" w:rsidR="008B2C48" w:rsidRPr="00A61D53" w:rsidRDefault="008B2C48" w:rsidP="00AE0260">
            <w:pPr>
              <w:suppressAutoHyphens w:val="0"/>
              <w:autoSpaceDE w:val="0"/>
              <w:autoSpaceDN w:val="0"/>
              <w:adjustRightInd w:val="0"/>
              <w:spacing w:before="40" w:after="40" w:line="200" w:lineRule="exact"/>
              <w:ind w:right="38" w:firstLine="232"/>
              <w:rPr>
                <w:rFonts w:eastAsia="MS Mincho"/>
                <w:b/>
                <w:sz w:val="18"/>
                <w:szCs w:val="18"/>
                <w:lang w:eastAsia="de-DE"/>
              </w:rPr>
            </w:pPr>
            <w:r w:rsidRPr="00A61D53">
              <w:rPr>
                <w:rFonts w:eastAsia="MS Mincho"/>
                <w:b/>
                <w:sz w:val="18"/>
                <w:szCs w:val="18"/>
                <w:lang w:eastAsia="de-DE"/>
              </w:rPr>
              <w:t>Cross</w:t>
            </w:r>
            <w:r>
              <w:rPr>
                <w:rFonts w:eastAsia="MS Mincho"/>
                <w:b/>
                <w:sz w:val="18"/>
                <w:szCs w:val="18"/>
                <w:lang w:eastAsia="de-DE"/>
              </w:rPr>
              <w:t>-</w:t>
            </w:r>
            <w:r w:rsidRPr="00A61D53">
              <w:rPr>
                <w:rFonts w:eastAsia="MS Mincho"/>
                <w:b/>
                <w:sz w:val="18"/>
                <w:szCs w:val="18"/>
                <w:lang w:eastAsia="de-DE"/>
              </w:rPr>
              <w:t>cutting</w:t>
            </w:r>
          </w:p>
        </w:tc>
        <w:tc>
          <w:tcPr>
            <w:tcW w:w="1589" w:type="dxa"/>
            <w:tcBorders>
              <w:top w:val="nil"/>
              <w:left w:val="nil"/>
              <w:bottom w:val="nil"/>
              <w:right w:val="nil"/>
            </w:tcBorders>
            <w:shd w:val="clear" w:color="auto" w:fill="auto"/>
            <w:vAlign w:val="bottom"/>
          </w:tcPr>
          <w:p w14:paraId="49EE02EC" w14:textId="77777777" w:rsidR="008B2C48" w:rsidRPr="00A61D53" w:rsidRDefault="008B2C48" w:rsidP="00AE0260">
            <w:pPr>
              <w:spacing w:before="40" w:after="40" w:line="200" w:lineRule="exact"/>
              <w:jc w:val="right"/>
              <w:rPr>
                <w:rFonts w:eastAsia="Times New Roman"/>
                <w:b/>
                <w:bCs/>
                <w:color w:val="000000"/>
                <w:sz w:val="18"/>
                <w:szCs w:val="18"/>
              </w:rPr>
            </w:pPr>
            <w:r>
              <w:rPr>
                <w:b/>
                <w:bCs/>
                <w:color w:val="000000"/>
                <w:sz w:val="18"/>
                <w:szCs w:val="18"/>
              </w:rPr>
              <w:t>4 893 554</w:t>
            </w:r>
          </w:p>
        </w:tc>
        <w:tc>
          <w:tcPr>
            <w:tcW w:w="1588" w:type="dxa"/>
            <w:tcBorders>
              <w:top w:val="nil"/>
              <w:left w:val="nil"/>
              <w:bottom w:val="nil"/>
              <w:right w:val="nil"/>
            </w:tcBorders>
            <w:shd w:val="clear" w:color="auto" w:fill="auto"/>
            <w:vAlign w:val="bottom"/>
          </w:tcPr>
          <w:p w14:paraId="4AF2F791" w14:textId="77777777" w:rsidR="008B2C48" w:rsidRPr="00A61D53" w:rsidRDefault="008B2C48" w:rsidP="00AE0260">
            <w:pPr>
              <w:spacing w:before="40" w:after="40" w:line="200" w:lineRule="exact"/>
              <w:jc w:val="right"/>
              <w:rPr>
                <w:rFonts w:eastAsia="Times New Roman"/>
                <w:b/>
                <w:bCs/>
                <w:color w:val="000000"/>
                <w:sz w:val="18"/>
                <w:szCs w:val="18"/>
              </w:rPr>
            </w:pPr>
            <w:r>
              <w:rPr>
                <w:b/>
                <w:bCs/>
                <w:color w:val="000000"/>
                <w:sz w:val="18"/>
                <w:szCs w:val="18"/>
              </w:rPr>
              <w:t>4 893 554</w:t>
            </w:r>
          </w:p>
        </w:tc>
        <w:tc>
          <w:tcPr>
            <w:tcW w:w="1732" w:type="dxa"/>
            <w:tcBorders>
              <w:top w:val="nil"/>
              <w:left w:val="nil"/>
              <w:bottom w:val="nil"/>
              <w:right w:val="nil"/>
            </w:tcBorders>
            <w:shd w:val="clear" w:color="auto" w:fill="auto"/>
            <w:vAlign w:val="bottom"/>
          </w:tcPr>
          <w:p w14:paraId="66105BBA" w14:textId="77777777" w:rsidR="008B2C48" w:rsidRPr="00A61D53" w:rsidRDefault="008B2C48" w:rsidP="00AE0260">
            <w:pPr>
              <w:spacing w:before="40" w:after="40" w:line="200" w:lineRule="exact"/>
              <w:jc w:val="right"/>
              <w:rPr>
                <w:rFonts w:eastAsia="Times New Roman"/>
                <w:b/>
                <w:bCs/>
                <w:color w:val="000000"/>
                <w:sz w:val="18"/>
                <w:szCs w:val="18"/>
              </w:rPr>
            </w:pPr>
            <w:r>
              <w:rPr>
                <w:b/>
                <w:bCs/>
                <w:color w:val="000000"/>
                <w:sz w:val="18"/>
                <w:szCs w:val="18"/>
              </w:rPr>
              <w:t>9 787 108</w:t>
            </w:r>
          </w:p>
        </w:tc>
      </w:tr>
      <w:tr w:rsidR="008B2C48" w:rsidRPr="00A61D53" w14:paraId="41D06550" w14:textId="77777777">
        <w:tc>
          <w:tcPr>
            <w:tcW w:w="3596" w:type="dxa"/>
            <w:tcBorders>
              <w:top w:val="nil"/>
              <w:left w:val="nil"/>
              <w:bottom w:val="nil"/>
              <w:right w:val="nil"/>
            </w:tcBorders>
            <w:shd w:val="clear" w:color="auto" w:fill="auto"/>
            <w:noWrap/>
            <w:hideMark/>
          </w:tcPr>
          <w:p w14:paraId="21A8DBB2" w14:textId="77777777" w:rsidR="008B2C48" w:rsidRPr="00A61D53" w:rsidRDefault="008B2C48" w:rsidP="00AE0260">
            <w:pPr>
              <w:suppressAutoHyphens w:val="0"/>
              <w:autoSpaceDE w:val="0"/>
              <w:autoSpaceDN w:val="0"/>
              <w:adjustRightInd w:val="0"/>
              <w:spacing w:before="40" w:after="40" w:line="200" w:lineRule="exact"/>
              <w:ind w:left="463" w:right="38" w:firstLine="1"/>
              <w:rPr>
                <w:rFonts w:eastAsia="MS Mincho"/>
                <w:sz w:val="18"/>
                <w:szCs w:val="18"/>
                <w:lang w:eastAsia="de-DE"/>
              </w:rPr>
            </w:pPr>
            <w:r w:rsidRPr="00A61D53">
              <w:rPr>
                <w:rFonts w:eastAsia="MS Mincho"/>
                <w:sz w:val="18"/>
                <w:szCs w:val="18"/>
                <w:lang w:eastAsia="de-DE"/>
              </w:rPr>
              <w:t>Intergovernmental Support and Collective Progress</w:t>
            </w:r>
          </w:p>
        </w:tc>
        <w:tc>
          <w:tcPr>
            <w:tcW w:w="1589" w:type="dxa"/>
            <w:tcBorders>
              <w:top w:val="nil"/>
              <w:left w:val="nil"/>
              <w:bottom w:val="nil"/>
              <w:right w:val="nil"/>
            </w:tcBorders>
            <w:shd w:val="clear" w:color="auto" w:fill="auto"/>
            <w:vAlign w:val="bottom"/>
          </w:tcPr>
          <w:p w14:paraId="6600FA3A" w14:textId="77777777" w:rsidR="008B2C48" w:rsidRPr="00A61D53" w:rsidRDefault="008B2C48" w:rsidP="00AE0260">
            <w:pPr>
              <w:spacing w:before="40" w:after="40" w:line="200" w:lineRule="exact"/>
              <w:jc w:val="right"/>
              <w:rPr>
                <w:rFonts w:eastAsia="Times New Roman"/>
                <w:bCs/>
                <w:color w:val="000000"/>
                <w:sz w:val="18"/>
                <w:szCs w:val="18"/>
              </w:rPr>
            </w:pPr>
            <w:r>
              <w:rPr>
                <w:color w:val="000000"/>
                <w:sz w:val="18"/>
                <w:szCs w:val="18"/>
              </w:rPr>
              <w:t>2 479 003</w:t>
            </w:r>
          </w:p>
        </w:tc>
        <w:tc>
          <w:tcPr>
            <w:tcW w:w="1588" w:type="dxa"/>
            <w:tcBorders>
              <w:top w:val="nil"/>
              <w:left w:val="nil"/>
              <w:bottom w:val="nil"/>
              <w:right w:val="nil"/>
            </w:tcBorders>
            <w:shd w:val="clear" w:color="auto" w:fill="auto"/>
            <w:vAlign w:val="bottom"/>
          </w:tcPr>
          <w:p w14:paraId="4E8C769C" w14:textId="77777777" w:rsidR="008B2C48" w:rsidRPr="00A61D53" w:rsidRDefault="008B2C48" w:rsidP="00AE0260">
            <w:pPr>
              <w:spacing w:before="40" w:after="40" w:line="200" w:lineRule="exact"/>
              <w:jc w:val="right"/>
              <w:rPr>
                <w:rFonts w:eastAsia="Times New Roman"/>
                <w:bCs/>
                <w:color w:val="000000"/>
                <w:sz w:val="18"/>
                <w:szCs w:val="18"/>
              </w:rPr>
            </w:pPr>
            <w:r>
              <w:rPr>
                <w:color w:val="000000"/>
                <w:sz w:val="18"/>
                <w:szCs w:val="18"/>
              </w:rPr>
              <w:t>2 479 003</w:t>
            </w:r>
          </w:p>
        </w:tc>
        <w:tc>
          <w:tcPr>
            <w:tcW w:w="1732" w:type="dxa"/>
            <w:tcBorders>
              <w:top w:val="nil"/>
              <w:left w:val="nil"/>
              <w:bottom w:val="nil"/>
              <w:right w:val="nil"/>
            </w:tcBorders>
            <w:shd w:val="clear" w:color="auto" w:fill="auto"/>
            <w:vAlign w:val="bottom"/>
          </w:tcPr>
          <w:p w14:paraId="7DAF1BF4" w14:textId="77777777" w:rsidR="008B2C48" w:rsidRPr="00A61D53" w:rsidRDefault="008B2C48" w:rsidP="00AE0260">
            <w:pPr>
              <w:spacing w:before="40" w:after="40" w:line="200" w:lineRule="exact"/>
              <w:jc w:val="right"/>
              <w:rPr>
                <w:rFonts w:eastAsia="Times New Roman"/>
                <w:bCs/>
                <w:color w:val="000000"/>
                <w:sz w:val="18"/>
                <w:szCs w:val="18"/>
              </w:rPr>
            </w:pPr>
            <w:r>
              <w:rPr>
                <w:color w:val="000000"/>
                <w:sz w:val="18"/>
                <w:szCs w:val="18"/>
              </w:rPr>
              <w:t>4 958 006</w:t>
            </w:r>
          </w:p>
        </w:tc>
      </w:tr>
      <w:tr w:rsidR="008B2C48" w:rsidRPr="00A61D53" w14:paraId="502D3813" w14:textId="77777777">
        <w:tc>
          <w:tcPr>
            <w:tcW w:w="3596" w:type="dxa"/>
            <w:tcBorders>
              <w:top w:val="nil"/>
              <w:left w:val="nil"/>
              <w:bottom w:val="nil"/>
              <w:right w:val="nil"/>
            </w:tcBorders>
            <w:shd w:val="clear" w:color="auto" w:fill="auto"/>
            <w:noWrap/>
            <w:hideMark/>
          </w:tcPr>
          <w:p w14:paraId="72CB89B2" w14:textId="77777777" w:rsidR="008B2C48" w:rsidRPr="00A61D53" w:rsidRDefault="008B2C48" w:rsidP="00AE0260">
            <w:pPr>
              <w:suppressAutoHyphens w:val="0"/>
              <w:autoSpaceDE w:val="0"/>
              <w:autoSpaceDN w:val="0"/>
              <w:adjustRightInd w:val="0"/>
              <w:spacing w:before="40" w:after="40" w:line="200" w:lineRule="exact"/>
              <w:ind w:left="463" w:right="38" w:firstLine="1"/>
              <w:rPr>
                <w:rFonts w:eastAsia="MS Mincho"/>
                <w:sz w:val="18"/>
                <w:szCs w:val="18"/>
                <w:lang w:eastAsia="de-DE"/>
              </w:rPr>
            </w:pPr>
            <w:r w:rsidRPr="00A61D53">
              <w:rPr>
                <w:rFonts w:eastAsia="MS Mincho"/>
                <w:sz w:val="18"/>
                <w:szCs w:val="18"/>
                <w:lang w:eastAsia="de-DE"/>
              </w:rPr>
              <w:t>Communications and Engagement</w:t>
            </w:r>
          </w:p>
        </w:tc>
        <w:tc>
          <w:tcPr>
            <w:tcW w:w="1589" w:type="dxa"/>
            <w:tcBorders>
              <w:top w:val="nil"/>
              <w:left w:val="nil"/>
              <w:bottom w:val="nil"/>
              <w:right w:val="nil"/>
            </w:tcBorders>
            <w:shd w:val="clear" w:color="auto" w:fill="auto"/>
            <w:vAlign w:val="bottom"/>
          </w:tcPr>
          <w:p w14:paraId="056E777D" w14:textId="77777777" w:rsidR="008B2C48" w:rsidRPr="00A61D53" w:rsidRDefault="008B2C48" w:rsidP="00AE0260">
            <w:pPr>
              <w:spacing w:before="40" w:after="40" w:line="200" w:lineRule="exact"/>
              <w:jc w:val="right"/>
              <w:rPr>
                <w:rFonts w:eastAsia="Times New Roman"/>
                <w:bCs/>
                <w:color w:val="000000"/>
                <w:sz w:val="18"/>
                <w:szCs w:val="18"/>
              </w:rPr>
            </w:pPr>
            <w:r>
              <w:rPr>
                <w:color w:val="000000"/>
                <w:sz w:val="18"/>
                <w:szCs w:val="18"/>
              </w:rPr>
              <w:t>2 414 551</w:t>
            </w:r>
          </w:p>
        </w:tc>
        <w:tc>
          <w:tcPr>
            <w:tcW w:w="1588" w:type="dxa"/>
            <w:tcBorders>
              <w:top w:val="nil"/>
              <w:left w:val="nil"/>
              <w:bottom w:val="nil"/>
              <w:right w:val="nil"/>
            </w:tcBorders>
            <w:shd w:val="clear" w:color="auto" w:fill="auto"/>
            <w:vAlign w:val="bottom"/>
          </w:tcPr>
          <w:p w14:paraId="79EAB9C4" w14:textId="77777777" w:rsidR="008B2C48" w:rsidRPr="00A61D53" w:rsidRDefault="008B2C48" w:rsidP="00AE0260">
            <w:pPr>
              <w:spacing w:before="40" w:after="40" w:line="200" w:lineRule="exact"/>
              <w:jc w:val="right"/>
              <w:rPr>
                <w:rFonts w:eastAsia="Times New Roman"/>
                <w:bCs/>
                <w:color w:val="000000"/>
                <w:sz w:val="18"/>
                <w:szCs w:val="18"/>
              </w:rPr>
            </w:pPr>
            <w:r>
              <w:rPr>
                <w:color w:val="000000"/>
                <w:sz w:val="18"/>
                <w:szCs w:val="18"/>
              </w:rPr>
              <w:t>2 414 551</w:t>
            </w:r>
          </w:p>
        </w:tc>
        <w:tc>
          <w:tcPr>
            <w:tcW w:w="1732" w:type="dxa"/>
            <w:tcBorders>
              <w:top w:val="nil"/>
              <w:left w:val="nil"/>
              <w:bottom w:val="nil"/>
              <w:right w:val="nil"/>
            </w:tcBorders>
            <w:shd w:val="clear" w:color="auto" w:fill="auto"/>
            <w:vAlign w:val="bottom"/>
          </w:tcPr>
          <w:p w14:paraId="3CE59FB8" w14:textId="77777777" w:rsidR="008B2C48" w:rsidRPr="00A61D53" w:rsidRDefault="008B2C48" w:rsidP="00AE0260">
            <w:pPr>
              <w:spacing w:before="40" w:after="40" w:line="200" w:lineRule="exact"/>
              <w:jc w:val="right"/>
              <w:rPr>
                <w:rFonts w:eastAsia="Times New Roman"/>
                <w:bCs/>
                <w:color w:val="000000"/>
                <w:sz w:val="18"/>
                <w:szCs w:val="18"/>
              </w:rPr>
            </w:pPr>
            <w:r>
              <w:rPr>
                <w:color w:val="000000"/>
                <w:sz w:val="18"/>
                <w:szCs w:val="18"/>
              </w:rPr>
              <w:t>4 829 102</w:t>
            </w:r>
          </w:p>
        </w:tc>
      </w:tr>
      <w:tr w:rsidR="008B2C48" w:rsidRPr="00A61D53" w14:paraId="392B4D6E" w14:textId="77777777">
        <w:tc>
          <w:tcPr>
            <w:tcW w:w="3596" w:type="dxa"/>
            <w:tcBorders>
              <w:top w:val="nil"/>
              <w:left w:val="nil"/>
              <w:bottom w:val="nil"/>
              <w:right w:val="nil"/>
            </w:tcBorders>
            <w:shd w:val="clear" w:color="auto" w:fill="auto"/>
            <w:noWrap/>
          </w:tcPr>
          <w:p w14:paraId="71CD0FC2" w14:textId="77777777" w:rsidR="008B2C48" w:rsidRPr="00A61D53" w:rsidRDefault="008B2C48" w:rsidP="00AE0260">
            <w:pPr>
              <w:suppressAutoHyphens w:val="0"/>
              <w:autoSpaceDE w:val="0"/>
              <w:autoSpaceDN w:val="0"/>
              <w:adjustRightInd w:val="0"/>
              <w:spacing w:before="40" w:after="40" w:line="200" w:lineRule="exact"/>
              <w:ind w:left="232" w:right="40"/>
              <w:rPr>
                <w:rFonts w:eastAsia="MS Mincho"/>
                <w:sz w:val="18"/>
                <w:szCs w:val="18"/>
                <w:lang w:eastAsia="de-DE"/>
              </w:rPr>
            </w:pPr>
            <w:r w:rsidRPr="00A61D53">
              <w:rPr>
                <w:rFonts w:eastAsia="MS Mincho"/>
                <w:b/>
                <w:sz w:val="18"/>
                <w:szCs w:val="18"/>
                <w:lang w:eastAsia="de-DE"/>
              </w:rPr>
              <w:t>Intergovernmental Panel on Climate Change</w:t>
            </w:r>
            <w:r w:rsidRPr="00A61D53">
              <w:rPr>
                <w:rFonts w:eastAsia="MS Mincho"/>
                <w:bCs/>
                <w:i/>
                <w:sz w:val="18"/>
                <w:szCs w:val="18"/>
                <w:vertAlign w:val="superscript"/>
                <w:lang w:eastAsia="de-DE"/>
              </w:rPr>
              <w:t>c</w:t>
            </w:r>
          </w:p>
        </w:tc>
        <w:tc>
          <w:tcPr>
            <w:tcW w:w="1589" w:type="dxa"/>
            <w:tcBorders>
              <w:top w:val="nil"/>
              <w:left w:val="nil"/>
              <w:bottom w:val="single" w:sz="4" w:space="0" w:color="auto"/>
              <w:right w:val="nil"/>
            </w:tcBorders>
            <w:shd w:val="clear" w:color="auto" w:fill="auto"/>
            <w:vAlign w:val="bottom"/>
          </w:tcPr>
          <w:p w14:paraId="62E28407" w14:textId="77777777" w:rsidR="008B2C48" w:rsidRPr="00A61D53" w:rsidRDefault="008B2C48" w:rsidP="00AE0260">
            <w:pPr>
              <w:spacing w:before="40" w:after="40" w:line="200" w:lineRule="exact"/>
              <w:jc w:val="right"/>
              <w:rPr>
                <w:rFonts w:eastAsia="Times New Roman"/>
                <w:b/>
                <w:bCs/>
                <w:color w:val="000000"/>
                <w:sz w:val="18"/>
                <w:szCs w:val="18"/>
              </w:rPr>
            </w:pPr>
            <w:r>
              <w:rPr>
                <w:b/>
                <w:bCs/>
                <w:color w:val="000000"/>
                <w:sz w:val="18"/>
                <w:szCs w:val="18"/>
              </w:rPr>
              <w:t xml:space="preserve"> 244 755</w:t>
            </w:r>
          </w:p>
        </w:tc>
        <w:tc>
          <w:tcPr>
            <w:tcW w:w="1588" w:type="dxa"/>
            <w:tcBorders>
              <w:top w:val="nil"/>
              <w:left w:val="nil"/>
              <w:bottom w:val="single" w:sz="4" w:space="0" w:color="auto"/>
              <w:right w:val="nil"/>
            </w:tcBorders>
            <w:shd w:val="clear" w:color="auto" w:fill="auto"/>
            <w:vAlign w:val="bottom"/>
          </w:tcPr>
          <w:p w14:paraId="26EFF8CE" w14:textId="77777777" w:rsidR="008B2C48" w:rsidRPr="00A61D53" w:rsidRDefault="008B2C48" w:rsidP="00AE0260">
            <w:pPr>
              <w:spacing w:before="40" w:after="40" w:line="200" w:lineRule="exact"/>
              <w:jc w:val="right"/>
              <w:rPr>
                <w:rFonts w:eastAsia="Times New Roman"/>
                <w:b/>
                <w:bCs/>
                <w:color w:val="000000"/>
                <w:sz w:val="18"/>
                <w:szCs w:val="18"/>
              </w:rPr>
            </w:pPr>
            <w:r>
              <w:rPr>
                <w:b/>
                <w:bCs/>
                <w:color w:val="000000"/>
                <w:sz w:val="18"/>
                <w:szCs w:val="18"/>
              </w:rPr>
              <w:t xml:space="preserve"> 244 755</w:t>
            </w:r>
          </w:p>
        </w:tc>
        <w:tc>
          <w:tcPr>
            <w:tcW w:w="1732" w:type="dxa"/>
            <w:tcBorders>
              <w:top w:val="nil"/>
              <w:left w:val="nil"/>
              <w:bottom w:val="single" w:sz="4" w:space="0" w:color="auto"/>
              <w:right w:val="nil"/>
            </w:tcBorders>
            <w:shd w:val="clear" w:color="auto" w:fill="auto"/>
            <w:vAlign w:val="bottom"/>
          </w:tcPr>
          <w:p w14:paraId="5F28BEC4" w14:textId="77777777" w:rsidR="008B2C48" w:rsidRPr="00A61D53" w:rsidRDefault="008B2C48" w:rsidP="00AE0260">
            <w:pPr>
              <w:spacing w:before="40" w:after="40" w:line="200" w:lineRule="exact"/>
              <w:jc w:val="right"/>
              <w:rPr>
                <w:rFonts w:eastAsia="Times New Roman"/>
                <w:b/>
                <w:bCs/>
                <w:color w:val="000000"/>
                <w:sz w:val="18"/>
                <w:szCs w:val="18"/>
              </w:rPr>
            </w:pPr>
            <w:r>
              <w:rPr>
                <w:b/>
                <w:bCs/>
                <w:color w:val="000000"/>
                <w:sz w:val="18"/>
                <w:szCs w:val="18"/>
              </w:rPr>
              <w:t xml:space="preserve"> 489 510</w:t>
            </w:r>
          </w:p>
        </w:tc>
      </w:tr>
      <w:tr w:rsidR="008B2C48" w:rsidRPr="00A61D53" w14:paraId="7DDD9439" w14:textId="77777777">
        <w:tc>
          <w:tcPr>
            <w:tcW w:w="3596" w:type="dxa"/>
            <w:tcBorders>
              <w:top w:val="single" w:sz="4" w:space="0" w:color="auto"/>
              <w:left w:val="nil"/>
              <w:bottom w:val="single" w:sz="4" w:space="0" w:color="auto"/>
              <w:right w:val="nil"/>
            </w:tcBorders>
            <w:shd w:val="clear" w:color="auto" w:fill="FFFFFF" w:themeFill="background1"/>
            <w:noWrap/>
            <w:hideMark/>
          </w:tcPr>
          <w:p w14:paraId="4D4641D6" w14:textId="77777777" w:rsidR="008B2C48" w:rsidRPr="00A61D53" w:rsidRDefault="008B2C48" w:rsidP="00AE0260">
            <w:pPr>
              <w:autoSpaceDE w:val="0"/>
              <w:autoSpaceDN w:val="0"/>
              <w:adjustRightInd w:val="0"/>
              <w:spacing w:before="40" w:after="40" w:line="200" w:lineRule="exact"/>
              <w:ind w:right="38" w:firstLine="232"/>
              <w:rPr>
                <w:rFonts w:eastAsia="Times New Roman"/>
                <w:b/>
                <w:bCs/>
                <w:color w:val="000000"/>
                <w:sz w:val="18"/>
                <w:szCs w:val="18"/>
              </w:rPr>
            </w:pPr>
            <w:r w:rsidRPr="00A61D53">
              <w:rPr>
                <w:b/>
                <w:sz w:val="18"/>
              </w:rPr>
              <w:t>Total appropriations</w:t>
            </w:r>
          </w:p>
        </w:tc>
        <w:tc>
          <w:tcPr>
            <w:tcW w:w="1589" w:type="dxa"/>
            <w:tcBorders>
              <w:top w:val="single" w:sz="4" w:space="0" w:color="auto"/>
              <w:left w:val="nil"/>
              <w:bottom w:val="single" w:sz="4" w:space="0" w:color="auto"/>
              <w:right w:val="nil"/>
            </w:tcBorders>
            <w:shd w:val="clear" w:color="000000" w:fill="FFFFFF"/>
            <w:vAlign w:val="bottom"/>
          </w:tcPr>
          <w:p w14:paraId="1B589685" w14:textId="77777777" w:rsidR="008B2C48" w:rsidRPr="00A61D53" w:rsidRDefault="008B2C48" w:rsidP="00AE0260">
            <w:pPr>
              <w:spacing w:before="40" w:after="40" w:line="200" w:lineRule="exact"/>
              <w:jc w:val="right"/>
              <w:rPr>
                <w:rFonts w:eastAsia="Times New Roman"/>
                <w:b/>
                <w:color w:val="000000"/>
                <w:sz w:val="18"/>
                <w:szCs w:val="18"/>
              </w:rPr>
            </w:pPr>
            <w:r>
              <w:rPr>
                <w:b/>
                <w:bCs/>
                <w:color w:val="000000"/>
                <w:sz w:val="18"/>
                <w:szCs w:val="18"/>
              </w:rPr>
              <w:t>32 779 777</w:t>
            </w:r>
          </w:p>
        </w:tc>
        <w:tc>
          <w:tcPr>
            <w:tcW w:w="1588" w:type="dxa"/>
            <w:tcBorders>
              <w:top w:val="single" w:sz="4" w:space="0" w:color="auto"/>
              <w:left w:val="nil"/>
              <w:bottom w:val="single" w:sz="4" w:space="0" w:color="auto"/>
              <w:right w:val="nil"/>
            </w:tcBorders>
            <w:shd w:val="clear" w:color="000000" w:fill="FFFFFF"/>
            <w:vAlign w:val="bottom"/>
          </w:tcPr>
          <w:p w14:paraId="309335BF" w14:textId="77777777" w:rsidR="008B2C48" w:rsidRPr="00A61D53" w:rsidRDefault="008B2C48" w:rsidP="00AE0260">
            <w:pPr>
              <w:spacing w:before="40" w:after="40" w:line="200" w:lineRule="exact"/>
              <w:jc w:val="right"/>
              <w:rPr>
                <w:rFonts w:eastAsia="Times New Roman"/>
                <w:b/>
                <w:bCs/>
                <w:color w:val="000000"/>
                <w:sz w:val="18"/>
                <w:szCs w:val="18"/>
              </w:rPr>
            </w:pPr>
            <w:r>
              <w:rPr>
                <w:b/>
                <w:bCs/>
                <w:color w:val="000000"/>
                <w:sz w:val="18"/>
                <w:szCs w:val="18"/>
              </w:rPr>
              <w:t>32 800 321</w:t>
            </w:r>
          </w:p>
        </w:tc>
        <w:tc>
          <w:tcPr>
            <w:tcW w:w="1732" w:type="dxa"/>
            <w:tcBorders>
              <w:top w:val="single" w:sz="4" w:space="0" w:color="auto"/>
              <w:left w:val="nil"/>
              <w:bottom w:val="single" w:sz="4" w:space="0" w:color="auto"/>
              <w:right w:val="nil"/>
            </w:tcBorders>
            <w:shd w:val="clear" w:color="000000" w:fill="FFFFFF"/>
            <w:vAlign w:val="bottom"/>
          </w:tcPr>
          <w:p w14:paraId="1A81BA87" w14:textId="77777777" w:rsidR="008B2C48" w:rsidRPr="00A61D53" w:rsidRDefault="008B2C48" w:rsidP="00AE0260">
            <w:pPr>
              <w:spacing w:before="40" w:after="40" w:line="200" w:lineRule="exact"/>
              <w:jc w:val="right"/>
              <w:rPr>
                <w:rFonts w:eastAsia="Times New Roman"/>
                <w:b/>
                <w:bCs/>
                <w:color w:val="000000"/>
                <w:sz w:val="18"/>
                <w:szCs w:val="18"/>
              </w:rPr>
            </w:pPr>
            <w:r>
              <w:rPr>
                <w:b/>
                <w:bCs/>
                <w:color w:val="000000"/>
                <w:sz w:val="18"/>
                <w:szCs w:val="18"/>
              </w:rPr>
              <w:t>65 580 098</w:t>
            </w:r>
          </w:p>
        </w:tc>
      </w:tr>
      <w:tr w:rsidR="008B2C48" w:rsidRPr="00A61D53" w14:paraId="118EA8BC" w14:textId="77777777">
        <w:tc>
          <w:tcPr>
            <w:tcW w:w="3596" w:type="dxa"/>
            <w:tcBorders>
              <w:top w:val="single" w:sz="4" w:space="0" w:color="auto"/>
              <w:left w:val="nil"/>
              <w:bottom w:val="single" w:sz="4" w:space="0" w:color="auto"/>
              <w:right w:val="nil"/>
            </w:tcBorders>
            <w:shd w:val="clear" w:color="auto" w:fill="FFFFFF" w:themeFill="background1"/>
            <w:noWrap/>
          </w:tcPr>
          <w:p w14:paraId="388C3DFA" w14:textId="77777777" w:rsidR="008B2C48" w:rsidRPr="00A61D53" w:rsidRDefault="008B2C48" w:rsidP="00AE0260">
            <w:pPr>
              <w:autoSpaceDE w:val="0"/>
              <w:autoSpaceDN w:val="0"/>
              <w:adjustRightInd w:val="0"/>
              <w:spacing w:before="40" w:after="40" w:line="200" w:lineRule="exact"/>
              <w:ind w:right="38"/>
              <w:rPr>
                <w:sz w:val="18"/>
              </w:rPr>
            </w:pPr>
            <w:r w:rsidRPr="00A61D53">
              <w:rPr>
                <w:sz w:val="18"/>
                <w:szCs w:val="18"/>
              </w:rPr>
              <w:t>B. Programme support costs</w:t>
            </w:r>
            <w:r w:rsidRPr="00A61D53">
              <w:rPr>
                <w:i/>
                <w:iCs/>
                <w:sz w:val="18"/>
                <w:szCs w:val="18"/>
                <w:vertAlign w:val="superscript"/>
              </w:rPr>
              <w:t>d</w:t>
            </w:r>
          </w:p>
        </w:tc>
        <w:tc>
          <w:tcPr>
            <w:tcW w:w="1589" w:type="dxa"/>
            <w:tcBorders>
              <w:top w:val="single" w:sz="4" w:space="0" w:color="auto"/>
              <w:left w:val="nil"/>
              <w:bottom w:val="single" w:sz="4" w:space="0" w:color="auto"/>
              <w:right w:val="nil"/>
            </w:tcBorders>
            <w:shd w:val="clear" w:color="000000" w:fill="FFFFFF"/>
            <w:vAlign w:val="bottom"/>
          </w:tcPr>
          <w:p w14:paraId="77326F9E" w14:textId="77777777" w:rsidR="008B2C48" w:rsidRPr="00A61D53" w:rsidRDefault="008B2C48" w:rsidP="00AE0260">
            <w:pPr>
              <w:spacing w:before="40" w:after="40" w:line="200" w:lineRule="exact"/>
              <w:jc w:val="right"/>
              <w:rPr>
                <w:rFonts w:eastAsia="Times New Roman"/>
                <w:color w:val="000000"/>
                <w:sz w:val="18"/>
                <w:szCs w:val="18"/>
              </w:rPr>
            </w:pPr>
            <w:r>
              <w:rPr>
                <w:color w:val="000000"/>
                <w:sz w:val="18"/>
                <w:szCs w:val="18"/>
              </w:rPr>
              <w:t>4 261 371</w:t>
            </w:r>
          </w:p>
        </w:tc>
        <w:tc>
          <w:tcPr>
            <w:tcW w:w="1588" w:type="dxa"/>
            <w:tcBorders>
              <w:top w:val="single" w:sz="4" w:space="0" w:color="auto"/>
              <w:left w:val="nil"/>
              <w:bottom w:val="single" w:sz="4" w:space="0" w:color="auto"/>
              <w:right w:val="nil"/>
            </w:tcBorders>
            <w:shd w:val="clear" w:color="000000" w:fill="FFFFFF"/>
            <w:vAlign w:val="bottom"/>
          </w:tcPr>
          <w:p w14:paraId="64F0EB65" w14:textId="77777777" w:rsidR="008B2C48" w:rsidRPr="00A61D53" w:rsidRDefault="008B2C48" w:rsidP="00AE0260">
            <w:pPr>
              <w:spacing w:before="40" w:after="40" w:line="200" w:lineRule="exact"/>
              <w:jc w:val="right"/>
              <w:rPr>
                <w:rFonts w:eastAsia="Times New Roman"/>
                <w:b/>
                <w:bCs/>
                <w:color w:val="000000"/>
                <w:sz w:val="18"/>
                <w:szCs w:val="18"/>
              </w:rPr>
            </w:pPr>
            <w:r>
              <w:rPr>
                <w:color w:val="000000"/>
                <w:sz w:val="18"/>
                <w:szCs w:val="18"/>
              </w:rPr>
              <w:t>4 264 042</w:t>
            </w:r>
          </w:p>
        </w:tc>
        <w:tc>
          <w:tcPr>
            <w:tcW w:w="1732" w:type="dxa"/>
            <w:tcBorders>
              <w:top w:val="single" w:sz="4" w:space="0" w:color="auto"/>
              <w:left w:val="nil"/>
              <w:bottom w:val="single" w:sz="4" w:space="0" w:color="auto"/>
              <w:right w:val="nil"/>
            </w:tcBorders>
            <w:shd w:val="clear" w:color="000000" w:fill="FFFFFF"/>
            <w:vAlign w:val="bottom"/>
          </w:tcPr>
          <w:p w14:paraId="09836A38" w14:textId="77777777" w:rsidR="008B2C48" w:rsidRPr="00A61D53" w:rsidRDefault="008B2C48" w:rsidP="00AE0260">
            <w:pPr>
              <w:spacing w:before="40" w:after="40" w:line="200" w:lineRule="exact"/>
              <w:jc w:val="right"/>
              <w:rPr>
                <w:rFonts w:eastAsia="Times New Roman"/>
                <w:b/>
                <w:bCs/>
                <w:color w:val="000000"/>
                <w:sz w:val="18"/>
                <w:szCs w:val="18"/>
              </w:rPr>
            </w:pPr>
            <w:r>
              <w:rPr>
                <w:color w:val="000000"/>
                <w:sz w:val="18"/>
                <w:szCs w:val="18"/>
              </w:rPr>
              <w:t>8 525 413</w:t>
            </w:r>
          </w:p>
        </w:tc>
      </w:tr>
      <w:tr w:rsidR="008B2C48" w:rsidRPr="00A61D53" w14:paraId="7D9376AB" w14:textId="77777777">
        <w:tc>
          <w:tcPr>
            <w:tcW w:w="3596" w:type="dxa"/>
            <w:tcBorders>
              <w:top w:val="single" w:sz="4" w:space="0" w:color="auto"/>
              <w:left w:val="nil"/>
              <w:bottom w:val="single" w:sz="4" w:space="0" w:color="auto"/>
              <w:right w:val="nil"/>
            </w:tcBorders>
            <w:shd w:val="clear" w:color="auto" w:fill="FFFFFF" w:themeFill="background1"/>
            <w:noWrap/>
          </w:tcPr>
          <w:p w14:paraId="28EBE53A" w14:textId="77777777" w:rsidR="008B2C48" w:rsidRPr="00A61D53" w:rsidRDefault="008B2C48" w:rsidP="00AE0260">
            <w:pPr>
              <w:autoSpaceDE w:val="0"/>
              <w:autoSpaceDN w:val="0"/>
              <w:adjustRightInd w:val="0"/>
              <w:spacing w:before="40" w:after="40" w:line="200" w:lineRule="exact"/>
              <w:ind w:right="38" w:firstLine="232"/>
              <w:rPr>
                <w:b/>
                <w:sz w:val="18"/>
              </w:rPr>
            </w:pPr>
            <w:r w:rsidRPr="00A61D53">
              <w:rPr>
                <w:b/>
                <w:sz w:val="18"/>
                <w:szCs w:val="18"/>
              </w:rPr>
              <w:t>Total budget</w:t>
            </w:r>
          </w:p>
        </w:tc>
        <w:tc>
          <w:tcPr>
            <w:tcW w:w="1589" w:type="dxa"/>
            <w:tcBorders>
              <w:top w:val="single" w:sz="4" w:space="0" w:color="auto"/>
              <w:left w:val="nil"/>
              <w:bottom w:val="single" w:sz="4" w:space="0" w:color="auto"/>
              <w:right w:val="nil"/>
            </w:tcBorders>
            <w:shd w:val="clear" w:color="auto" w:fill="FFFFFF" w:themeFill="background1"/>
            <w:vAlign w:val="bottom"/>
          </w:tcPr>
          <w:p w14:paraId="7CC5ACFF" w14:textId="77777777" w:rsidR="008B2C48" w:rsidRPr="00A61D53" w:rsidRDefault="008B2C48" w:rsidP="00AE0260">
            <w:pPr>
              <w:spacing w:before="40" w:after="40" w:line="200" w:lineRule="exact"/>
              <w:jc w:val="right"/>
              <w:rPr>
                <w:rFonts w:eastAsia="Times New Roman"/>
                <w:b/>
                <w:bCs/>
                <w:color w:val="000000"/>
                <w:sz w:val="18"/>
                <w:szCs w:val="18"/>
              </w:rPr>
            </w:pPr>
            <w:r>
              <w:rPr>
                <w:b/>
                <w:bCs/>
                <w:color w:val="000000"/>
                <w:sz w:val="18"/>
                <w:szCs w:val="18"/>
              </w:rPr>
              <w:t>37 041 148</w:t>
            </w:r>
          </w:p>
        </w:tc>
        <w:tc>
          <w:tcPr>
            <w:tcW w:w="1588" w:type="dxa"/>
            <w:tcBorders>
              <w:top w:val="single" w:sz="4" w:space="0" w:color="auto"/>
              <w:left w:val="nil"/>
              <w:bottom w:val="single" w:sz="4" w:space="0" w:color="auto"/>
              <w:right w:val="nil"/>
            </w:tcBorders>
            <w:shd w:val="clear" w:color="auto" w:fill="FFFFFF" w:themeFill="background1"/>
            <w:vAlign w:val="bottom"/>
          </w:tcPr>
          <w:p w14:paraId="468AA50D" w14:textId="77777777" w:rsidR="008B2C48" w:rsidRPr="00A61D53" w:rsidRDefault="008B2C48" w:rsidP="00AE0260">
            <w:pPr>
              <w:spacing w:before="40" w:after="40" w:line="200" w:lineRule="exact"/>
              <w:jc w:val="right"/>
              <w:rPr>
                <w:rFonts w:eastAsia="Times New Roman"/>
                <w:b/>
                <w:bCs/>
                <w:color w:val="000000"/>
                <w:sz w:val="18"/>
                <w:szCs w:val="18"/>
              </w:rPr>
            </w:pPr>
            <w:r>
              <w:rPr>
                <w:b/>
                <w:bCs/>
                <w:color w:val="000000"/>
                <w:sz w:val="18"/>
                <w:szCs w:val="18"/>
              </w:rPr>
              <w:t>37 064 363</w:t>
            </w:r>
          </w:p>
        </w:tc>
        <w:tc>
          <w:tcPr>
            <w:tcW w:w="1732" w:type="dxa"/>
            <w:tcBorders>
              <w:top w:val="single" w:sz="4" w:space="0" w:color="auto"/>
              <w:left w:val="nil"/>
              <w:bottom w:val="single" w:sz="4" w:space="0" w:color="auto"/>
              <w:right w:val="nil"/>
            </w:tcBorders>
            <w:shd w:val="clear" w:color="auto" w:fill="FFFFFF" w:themeFill="background1"/>
            <w:vAlign w:val="bottom"/>
          </w:tcPr>
          <w:p w14:paraId="4FEACBA6" w14:textId="77777777" w:rsidR="008B2C48" w:rsidRPr="00A61D53" w:rsidRDefault="008B2C48" w:rsidP="00AE0260">
            <w:pPr>
              <w:spacing w:before="40" w:after="40" w:line="200" w:lineRule="exact"/>
              <w:jc w:val="right"/>
              <w:rPr>
                <w:rFonts w:eastAsia="Times New Roman"/>
                <w:b/>
                <w:bCs/>
                <w:color w:val="000000"/>
                <w:sz w:val="18"/>
                <w:szCs w:val="18"/>
              </w:rPr>
            </w:pPr>
            <w:r>
              <w:rPr>
                <w:b/>
                <w:bCs/>
                <w:color w:val="000000"/>
                <w:sz w:val="18"/>
                <w:szCs w:val="18"/>
              </w:rPr>
              <w:t>74 105 511</w:t>
            </w:r>
          </w:p>
        </w:tc>
      </w:tr>
      <w:tr w:rsidR="008B2C48" w:rsidRPr="00A61D53" w14:paraId="561DF88C" w14:textId="77777777">
        <w:tc>
          <w:tcPr>
            <w:tcW w:w="3596" w:type="dxa"/>
            <w:tcBorders>
              <w:top w:val="single" w:sz="4" w:space="0" w:color="auto"/>
              <w:left w:val="nil"/>
              <w:bottom w:val="single" w:sz="4" w:space="0" w:color="auto"/>
              <w:right w:val="nil"/>
            </w:tcBorders>
            <w:shd w:val="clear" w:color="auto" w:fill="FFFFFF" w:themeFill="background1"/>
            <w:noWrap/>
          </w:tcPr>
          <w:p w14:paraId="1D3C7662" w14:textId="77777777" w:rsidR="008B2C48" w:rsidRPr="00A61D53" w:rsidRDefault="008B2C48" w:rsidP="00AE0260">
            <w:pPr>
              <w:spacing w:before="40" w:after="40" w:line="200" w:lineRule="exact"/>
              <w:rPr>
                <w:b/>
                <w:sz w:val="18"/>
              </w:rPr>
            </w:pPr>
            <w:r w:rsidRPr="00A61D53">
              <w:rPr>
                <w:sz w:val="18"/>
                <w:szCs w:val="18"/>
              </w:rPr>
              <w:t>C. Adjustment to working capital reserve</w:t>
            </w:r>
            <w:r w:rsidRPr="00A61D53">
              <w:rPr>
                <w:bCs/>
                <w:i/>
                <w:sz w:val="18"/>
                <w:szCs w:val="18"/>
                <w:vertAlign w:val="superscript"/>
              </w:rPr>
              <w:t>e</w:t>
            </w:r>
          </w:p>
        </w:tc>
        <w:tc>
          <w:tcPr>
            <w:tcW w:w="1589" w:type="dxa"/>
            <w:tcBorders>
              <w:top w:val="single" w:sz="4" w:space="0" w:color="auto"/>
              <w:left w:val="nil"/>
              <w:bottom w:val="single" w:sz="4" w:space="0" w:color="auto"/>
              <w:right w:val="nil"/>
            </w:tcBorders>
            <w:shd w:val="clear" w:color="auto" w:fill="FFFFFF" w:themeFill="background1"/>
            <w:vAlign w:val="bottom"/>
          </w:tcPr>
          <w:p w14:paraId="3396559C" w14:textId="77777777" w:rsidR="008B2C48" w:rsidRPr="00A61D53" w:rsidRDefault="008B2C48" w:rsidP="00AE0260">
            <w:pPr>
              <w:spacing w:before="40" w:after="40" w:line="200" w:lineRule="exact"/>
              <w:jc w:val="right"/>
              <w:rPr>
                <w:rFonts w:eastAsia="Times New Roman"/>
                <w:b/>
                <w:color w:val="000000"/>
                <w:sz w:val="18"/>
                <w:szCs w:val="18"/>
              </w:rPr>
            </w:pPr>
            <w:r>
              <w:rPr>
                <w:color w:val="000000"/>
                <w:sz w:val="18"/>
                <w:szCs w:val="18"/>
              </w:rPr>
              <w:t xml:space="preserve"> 487 000</w:t>
            </w:r>
          </w:p>
        </w:tc>
        <w:tc>
          <w:tcPr>
            <w:tcW w:w="1588" w:type="dxa"/>
            <w:tcBorders>
              <w:top w:val="single" w:sz="4" w:space="0" w:color="auto"/>
              <w:left w:val="nil"/>
              <w:bottom w:val="single" w:sz="4" w:space="0" w:color="auto"/>
              <w:right w:val="nil"/>
            </w:tcBorders>
            <w:shd w:val="clear" w:color="auto" w:fill="FFFFFF" w:themeFill="background1"/>
            <w:vAlign w:val="bottom"/>
          </w:tcPr>
          <w:p w14:paraId="295F0A81" w14:textId="77777777" w:rsidR="008B2C48" w:rsidRPr="00A61D53" w:rsidRDefault="008B2C48" w:rsidP="00AE0260">
            <w:pPr>
              <w:spacing w:before="40" w:after="40" w:line="200" w:lineRule="exact"/>
              <w:jc w:val="right"/>
              <w:rPr>
                <w:rFonts w:eastAsia="Times New Roman"/>
                <w:color w:val="000000"/>
                <w:sz w:val="18"/>
                <w:szCs w:val="18"/>
              </w:rPr>
            </w:pPr>
            <w:r>
              <w:rPr>
                <w:color w:val="000000"/>
                <w:sz w:val="18"/>
                <w:szCs w:val="18"/>
              </w:rPr>
              <w:t xml:space="preserve"> 1 927</w:t>
            </w:r>
          </w:p>
        </w:tc>
        <w:tc>
          <w:tcPr>
            <w:tcW w:w="1732" w:type="dxa"/>
            <w:tcBorders>
              <w:top w:val="single" w:sz="4" w:space="0" w:color="auto"/>
              <w:left w:val="nil"/>
              <w:bottom w:val="single" w:sz="4" w:space="0" w:color="auto"/>
              <w:right w:val="nil"/>
            </w:tcBorders>
            <w:shd w:val="clear" w:color="auto" w:fill="FFFFFF" w:themeFill="background1"/>
            <w:vAlign w:val="bottom"/>
          </w:tcPr>
          <w:p w14:paraId="3E22BF9E" w14:textId="77777777" w:rsidR="008B2C48" w:rsidRPr="00A61D53" w:rsidRDefault="008B2C48" w:rsidP="00AE0260">
            <w:pPr>
              <w:spacing w:before="40" w:after="40" w:line="200" w:lineRule="exact"/>
              <w:jc w:val="right"/>
              <w:rPr>
                <w:rFonts w:eastAsia="Times New Roman"/>
                <w:b/>
                <w:bCs/>
                <w:color w:val="000000"/>
                <w:sz w:val="18"/>
                <w:szCs w:val="18"/>
              </w:rPr>
            </w:pPr>
            <w:r>
              <w:rPr>
                <w:color w:val="000000"/>
                <w:sz w:val="18"/>
                <w:szCs w:val="18"/>
              </w:rPr>
              <w:t xml:space="preserve"> 488 927</w:t>
            </w:r>
          </w:p>
        </w:tc>
      </w:tr>
      <w:tr w:rsidR="008B2C48" w:rsidRPr="00A61D53" w14:paraId="45D4869C" w14:textId="77777777">
        <w:tc>
          <w:tcPr>
            <w:tcW w:w="3596" w:type="dxa"/>
            <w:tcBorders>
              <w:top w:val="single" w:sz="4" w:space="0" w:color="auto"/>
              <w:left w:val="nil"/>
              <w:bottom w:val="single" w:sz="4" w:space="0" w:color="auto"/>
              <w:right w:val="nil"/>
            </w:tcBorders>
            <w:shd w:val="clear" w:color="auto" w:fill="FFFFFF" w:themeFill="background1"/>
            <w:noWrap/>
          </w:tcPr>
          <w:p w14:paraId="56D4FF21" w14:textId="77777777" w:rsidR="008B2C48" w:rsidRPr="00A61D53" w:rsidRDefault="008B2C48" w:rsidP="00AE0260">
            <w:pPr>
              <w:spacing w:before="40" w:after="40" w:line="200" w:lineRule="exact"/>
              <w:ind w:left="231"/>
              <w:rPr>
                <w:b/>
                <w:sz w:val="18"/>
              </w:rPr>
            </w:pPr>
            <w:r w:rsidRPr="00A61D53">
              <w:rPr>
                <w:b/>
                <w:sz w:val="18"/>
                <w:szCs w:val="18"/>
              </w:rPr>
              <w:t>Required contributions (A+B+C)</w:t>
            </w:r>
          </w:p>
        </w:tc>
        <w:tc>
          <w:tcPr>
            <w:tcW w:w="1589" w:type="dxa"/>
            <w:tcBorders>
              <w:top w:val="single" w:sz="4" w:space="0" w:color="auto"/>
              <w:left w:val="nil"/>
              <w:bottom w:val="single" w:sz="4" w:space="0" w:color="auto"/>
              <w:right w:val="nil"/>
            </w:tcBorders>
            <w:shd w:val="clear" w:color="auto" w:fill="FFFFFF" w:themeFill="background1"/>
            <w:vAlign w:val="bottom"/>
          </w:tcPr>
          <w:p w14:paraId="444C80E3" w14:textId="77777777" w:rsidR="008B2C48" w:rsidRPr="00A61D53" w:rsidRDefault="008B2C48" w:rsidP="00AE0260">
            <w:pPr>
              <w:spacing w:before="40" w:after="40" w:line="200" w:lineRule="exact"/>
              <w:jc w:val="right"/>
              <w:rPr>
                <w:rFonts w:eastAsia="Times New Roman"/>
                <w:b/>
                <w:color w:val="000000"/>
                <w:sz w:val="18"/>
                <w:szCs w:val="18"/>
              </w:rPr>
            </w:pPr>
            <w:r>
              <w:rPr>
                <w:b/>
                <w:bCs/>
                <w:color w:val="000000"/>
                <w:sz w:val="18"/>
                <w:szCs w:val="18"/>
              </w:rPr>
              <w:t>37 528 148</w:t>
            </w:r>
          </w:p>
        </w:tc>
        <w:tc>
          <w:tcPr>
            <w:tcW w:w="1588" w:type="dxa"/>
            <w:tcBorders>
              <w:top w:val="single" w:sz="4" w:space="0" w:color="auto"/>
              <w:left w:val="nil"/>
              <w:bottom w:val="single" w:sz="4" w:space="0" w:color="auto"/>
              <w:right w:val="nil"/>
            </w:tcBorders>
            <w:shd w:val="clear" w:color="auto" w:fill="FFFFFF" w:themeFill="background1"/>
            <w:vAlign w:val="bottom"/>
          </w:tcPr>
          <w:p w14:paraId="45F94D85" w14:textId="77777777" w:rsidR="008B2C48" w:rsidRPr="00A61D53" w:rsidRDefault="008B2C48" w:rsidP="00AE0260">
            <w:pPr>
              <w:spacing w:before="40" w:after="40" w:line="200" w:lineRule="exact"/>
              <w:jc w:val="right"/>
              <w:rPr>
                <w:rFonts w:eastAsia="Times New Roman"/>
                <w:color w:val="000000"/>
                <w:sz w:val="18"/>
                <w:szCs w:val="18"/>
              </w:rPr>
            </w:pPr>
            <w:r>
              <w:rPr>
                <w:b/>
                <w:bCs/>
                <w:color w:val="000000"/>
                <w:sz w:val="18"/>
                <w:szCs w:val="18"/>
              </w:rPr>
              <w:t>37 066 289</w:t>
            </w:r>
          </w:p>
        </w:tc>
        <w:tc>
          <w:tcPr>
            <w:tcW w:w="1732" w:type="dxa"/>
            <w:tcBorders>
              <w:top w:val="single" w:sz="4" w:space="0" w:color="auto"/>
              <w:left w:val="nil"/>
              <w:bottom w:val="single" w:sz="4" w:space="0" w:color="auto"/>
              <w:right w:val="nil"/>
            </w:tcBorders>
            <w:shd w:val="clear" w:color="auto" w:fill="FFFFFF" w:themeFill="background1"/>
            <w:vAlign w:val="bottom"/>
          </w:tcPr>
          <w:p w14:paraId="081FC4FB" w14:textId="77777777" w:rsidR="008B2C48" w:rsidRPr="00A61D53" w:rsidRDefault="008B2C48" w:rsidP="00AE0260">
            <w:pPr>
              <w:spacing w:before="40" w:after="40" w:line="200" w:lineRule="exact"/>
              <w:jc w:val="right"/>
              <w:rPr>
                <w:rFonts w:eastAsia="Times New Roman"/>
                <w:b/>
                <w:bCs/>
                <w:color w:val="000000"/>
                <w:sz w:val="18"/>
                <w:szCs w:val="18"/>
              </w:rPr>
            </w:pPr>
            <w:r>
              <w:rPr>
                <w:b/>
                <w:bCs/>
                <w:color w:val="000000"/>
                <w:sz w:val="18"/>
                <w:szCs w:val="18"/>
              </w:rPr>
              <w:t>74 594 438</w:t>
            </w:r>
          </w:p>
        </w:tc>
      </w:tr>
      <w:tr w:rsidR="008B2C48" w:rsidRPr="00A61D53" w14:paraId="02C7AD08" w14:textId="77777777">
        <w:tc>
          <w:tcPr>
            <w:tcW w:w="3596" w:type="dxa"/>
            <w:tcBorders>
              <w:top w:val="single" w:sz="4" w:space="0" w:color="auto"/>
              <w:left w:val="nil"/>
              <w:right w:val="nil"/>
            </w:tcBorders>
            <w:shd w:val="clear" w:color="auto" w:fill="FFFFFF" w:themeFill="background1"/>
            <w:noWrap/>
          </w:tcPr>
          <w:p w14:paraId="053CD5B5" w14:textId="77777777" w:rsidR="008B2C48" w:rsidRPr="00A61D53" w:rsidRDefault="008B2C48" w:rsidP="00AE0260">
            <w:pPr>
              <w:spacing w:before="40" w:after="40" w:line="200" w:lineRule="exact"/>
              <w:ind w:left="-6"/>
              <w:rPr>
                <w:b/>
                <w:sz w:val="18"/>
              </w:rPr>
            </w:pPr>
            <w:r w:rsidRPr="00A61D53">
              <w:rPr>
                <w:sz w:val="18"/>
                <w:szCs w:val="18"/>
              </w:rPr>
              <w:t>Income</w:t>
            </w:r>
          </w:p>
        </w:tc>
        <w:tc>
          <w:tcPr>
            <w:tcW w:w="1589" w:type="dxa"/>
            <w:tcBorders>
              <w:top w:val="single" w:sz="4" w:space="0" w:color="auto"/>
              <w:left w:val="nil"/>
              <w:right w:val="nil"/>
            </w:tcBorders>
            <w:shd w:val="clear" w:color="auto" w:fill="FFFFFF" w:themeFill="background1"/>
            <w:vAlign w:val="bottom"/>
          </w:tcPr>
          <w:p w14:paraId="09DF3BBA" w14:textId="77777777" w:rsidR="008B2C48" w:rsidRPr="00A61D53" w:rsidRDefault="008B2C48" w:rsidP="00AE0260">
            <w:pPr>
              <w:spacing w:before="40" w:after="40" w:line="200" w:lineRule="exact"/>
              <w:jc w:val="right"/>
              <w:rPr>
                <w:rFonts w:eastAsia="Times New Roman"/>
                <w:b/>
                <w:color w:val="000000"/>
                <w:sz w:val="18"/>
                <w:szCs w:val="18"/>
              </w:rPr>
            </w:pPr>
            <w:r>
              <w:rPr>
                <w:b/>
                <w:bCs/>
                <w:color w:val="000000"/>
                <w:sz w:val="18"/>
                <w:szCs w:val="18"/>
              </w:rPr>
              <w:t> </w:t>
            </w:r>
          </w:p>
        </w:tc>
        <w:tc>
          <w:tcPr>
            <w:tcW w:w="1588" w:type="dxa"/>
            <w:tcBorders>
              <w:top w:val="single" w:sz="4" w:space="0" w:color="auto"/>
              <w:left w:val="nil"/>
              <w:right w:val="nil"/>
            </w:tcBorders>
            <w:shd w:val="clear" w:color="auto" w:fill="FFFFFF" w:themeFill="background1"/>
            <w:vAlign w:val="bottom"/>
          </w:tcPr>
          <w:p w14:paraId="5403002C" w14:textId="77777777" w:rsidR="008B2C48" w:rsidRPr="00A61D53" w:rsidRDefault="008B2C48" w:rsidP="00AE0260">
            <w:pPr>
              <w:spacing w:before="40" w:after="40" w:line="200" w:lineRule="exact"/>
              <w:jc w:val="right"/>
              <w:rPr>
                <w:rFonts w:eastAsia="Times New Roman"/>
                <w:color w:val="000000"/>
                <w:sz w:val="18"/>
                <w:szCs w:val="18"/>
              </w:rPr>
            </w:pPr>
            <w:r>
              <w:rPr>
                <w:b/>
                <w:bCs/>
                <w:color w:val="000000"/>
                <w:sz w:val="18"/>
                <w:szCs w:val="18"/>
              </w:rPr>
              <w:t> </w:t>
            </w:r>
          </w:p>
        </w:tc>
        <w:tc>
          <w:tcPr>
            <w:tcW w:w="1732" w:type="dxa"/>
            <w:tcBorders>
              <w:top w:val="single" w:sz="4" w:space="0" w:color="auto"/>
              <w:left w:val="nil"/>
              <w:right w:val="nil"/>
            </w:tcBorders>
            <w:shd w:val="clear" w:color="auto" w:fill="FFFFFF" w:themeFill="background1"/>
            <w:vAlign w:val="bottom"/>
          </w:tcPr>
          <w:p w14:paraId="122A7B44" w14:textId="77777777" w:rsidR="008B2C48" w:rsidRPr="00A61D53" w:rsidRDefault="008B2C48" w:rsidP="00AE0260">
            <w:pPr>
              <w:spacing w:before="40" w:after="40" w:line="200" w:lineRule="exact"/>
              <w:jc w:val="right"/>
              <w:rPr>
                <w:rFonts w:eastAsia="Times New Roman"/>
                <w:b/>
                <w:bCs/>
                <w:color w:val="000000"/>
                <w:sz w:val="18"/>
                <w:szCs w:val="18"/>
              </w:rPr>
            </w:pPr>
            <w:r>
              <w:rPr>
                <w:b/>
                <w:bCs/>
                <w:color w:val="000000"/>
                <w:sz w:val="18"/>
                <w:szCs w:val="18"/>
              </w:rPr>
              <w:t> </w:t>
            </w:r>
          </w:p>
        </w:tc>
      </w:tr>
      <w:tr w:rsidR="008B2C48" w:rsidRPr="00A61D53" w14:paraId="07BA25C0" w14:textId="77777777">
        <w:tc>
          <w:tcPr>
            <w:tcW w:w="3596" w:type="dxa"/>
            <w:tcBorders>
              <w:left w:val="nil"/>
              <w:right w:val="nil"/>
            </w:tcBorders>
            <w:shd w:val="clear" w:color="auto" w:fill="FFFFFF" w:themeFill="background1"/>
            <w:noWrap/>
          </w:tcPr>
          <w:p w14:paraId="4145D0C4" w14:textId="77777777" w:rsidR="008B2C48" w:rsidRPr="00A61D53" w:rsidRDefault="008B2C48" w:rsidP="00AE0260">
            <w:pPr>
              <w:spacing w:before="40" w:after="40" w:line="200" w:lineRule="exact"/>
              <w:ind w:left="231"/>
              <w:rPr>
                <w:b/>
                <w:sz w:val="18"/>
              </w:rPr>
            </w:pPr>
            <w:r w:rsidRPr="00A61D53">
              <w:rPr>
                <w:sz w:val="18"/>
                <w:szCs w:val="18"/>
              </w:rPr>
              <w:t>Contribution from the Host Government</w:t>
            </w:r>
          </w:p>
        </w:tc>
        <w:tc>
          <w:tcPr>
            <w:tcW w:w="1589" w:type="dxa"/>
            <w:tcBorders>
              <w:left w:val="nil"/>
              <w:right w:val="nil"/>
            </w:tcBorders>
            <w:shd w:val="clear" w:color="auto" w:fill="FFFFFF" w:themeFill="background1"/>
            <w:vAlign w:val="bottom"/>
          </w:tcPr>
          <w:p w14:paraId="2E66C646" w14:textId="77777777" w:rsidR="008B2C48" w:rsidRPr="00A61D53" w:rsidRDefault="008B2C48" w:rsidP="00AE0260">
            <w:pPr>
              <w:spacing w:before="40" w:after="40" w:line="200" w:lineRule="exact"/>
              <w:jc w:val="right"/>
              <w:rPr>
                <w:rFonts w:eastAsia="Times New Roman"/>
                <w:b/>
                <w:color w:val="000000"/>
                <w:sz w:val="18"/>
                <w:szCs w:val="18"/>
              </w:rPr>
            </w:pPr>
            <w:r>
              <w:rPr>
                <w:color w:val="000000"/>
                <w:sz w:val="18"/>
                <w:szCs w:val="18"/>
              </w:rPr>
              <w:t xml:space="preserve"> 766 938</w:t>
            </w:r>
          </w:p>
        </w:tc>
        <w:tc>
          <w:tcPr>
            <w:tcW w:w="1588" w:type="dxa"/>
            <w:tcBorders>
              <w:left w:val="nil"/>
              <w:right w:val="nil"/>
            </w:tcBorders>
            <w:shd w:val="clear" w:color="auto" w:fill="FFFFFF" w:themeFill="background1"/>
            <w:vAlign w:val="bottom"/>
          </w:tcPr>
          <w:p w14:paraId="37D13875" w14:textId="77777777" w:rsidR="008B2C48" w:rsidRPr="00A61D53" w:rsidRDefault="008B2C48" w:rsidP="00AE0260">
            <w:pPr>
              <w:spacing w:before="40" w:after="40" w:line="200" w:lineRule="exact"/>
              <w:jc w:val="right"/>
              <w:rPr>
                <w:rFonts w:eastAsia="Times New Roman"/>
                <w:color w:val="000000"/>
                <w:sz w:val="18"/>
                <w:szCs w:val="18"/>
              </w:rPr>
            </w:pPr>
            <w:r>
              <w:rPr>
                <w:color w:val="000000"/>
                <w:sz w:val="18"/>
                <w:szCs w:val="18"/>
              </w:rPr>
              <w:t xml:space="preserve"> 766 938</w:t>
            </w:r>
          </w:p>
        </w:tc>
        <w:tc>
          <w:tcPr>
            <w:tcW w:w="1732" w:type="dxa"/>
            <w:tcBorders>
              <w:left w:val="nil"/>
              <w:right w:val="nil"/>
            </w:tcBorders>
            <w:shd w:val="clear" w:color="auto" w:fill="FFFFFF" w:themeFill="background1"/>
            <w:vAlign w:val="bottom"/>
          </w:tcPr>
          <w:p w14:paraId="706FAFDA" w14:textId="77777777" w:rsidR="008B2C48" w:rsidRPr="00A61D53" w:rsidRDefault="008B2C48" w:rsidP="00AE0260">
            <w:pPr>
              <w:spacing w:before="40" w:after="40" w:line="200" w:lineRule="exact"/>
              <w:jc w:val="right"/>
              <w:rPr>
                <w:rFonts w:eastAsia="Times New Roman"/>
                <w:b/>
                <w:bCs/>
                <w:color w:val="000000"/>
                <w:sz w:val="18"/>
                <w:szCs w:val="18"/>
              </w:rPr>
            </w:pPr>
            <w:r>
              <w:rPr>
                <w:color w:val="000000"/>
                <w:sz w:val="18"/>
                <w:szCs w:val="18"/>
              </w:rPr>
              <w:t>1 533 876</w:t>
            </w:r>
          </w:p>
        </w:tc>
      </w:tr>
      <w:tr w:rsidR="008B2C48" w:rsidRPr="00A61D53" w14:paraId="1BC453F5" w14:textId="77777777">
        <w:tc>
          <w:tcPr>
            <w:tcW w:w="3596" w:type="dxa"/>
            <w:tcBorders>
              <w:left w:val="nil"/>
              <w:bottom w:val="single" w:sz="4" w:space="0" w:color="auto"/>
              <w:right w:val="nil"/>
            </w:tcBorders>
            <w:shd w:val="clear" w:color="auto" w:fill="FFFFFF" w:themeFill="background1"/>
            <w:noWrap/>
          </w:tcPr>
          <w:p w14:paraId="0B46EB6E" w14:textId="77777777" w:rsidR="008B2C48" w:rsidRPr="00A61D53" w:rsidRDefault="008B2C48" w:rsidP="00AE0260">
            <w:pPr>
              <w:spacing w:before="40" w:after="40" w:line="200" w:lineRule="exact"/>
              <w:ind w:left="231"/>
              <w:rPr>
                <w:b/>
                <w:sz w:val="18"/>
              </w:rPr>
            </w:pPr>
            <w:r w:rsidRPr="00A61D53">
              <w:rPr>
                <w:sz w:val="18"/>
                <w:szCs w:val="18"/>
              </w:rPr>
              <w:t>Contributions from all Parties</w:t>
            </w:r>
          </w:p>
        </w:tc>
        <w:tc>
          <w:tcPr>
            <w:tcW w:w="1589" w:type="dxa"/>
            <w:tcBorders>
              <w:left w:val="nil"/>
              <w:bottom w:val="single" w:sz="4" w:space="0" w:color="auto"/>
              <w:right w:val="nil"/>
            </w:tcBorders>
            <w:shd w:val="clear" w:color="auto" w:fill="FFFFFF" w:themeFill="background1"/>
            <w:vAlign w:val="bottom"/>
          </w:tcPr>
          <w:p w14:paraId="3AC282AC" w14:textId="77777777" w:rsidR="008B2C48" w:rsidRPr="00A61D53" w:rsidRDefault="008B2C48" w:rsidP="00AE0260">
            <w:pPr>
              <w:spacing w:before="40" w:after="40" w:line="200" w:lineRule="exact"/>
              <w:jc w:val="right"/>
              <w:rPr>
                <w:rFonts w:eastAsia="Times New Roman"/>
                <w:color w:val="000000"/>
                <w:sz w:val="18"/>
                <w:szCs w:val="18"/>
              </w:rPr>
            </w:pPr>
            <w:r>
              <w:rPr>
                <w:color w:val="000000"/>
                <w:sz w:val="18"/>
                <w:szCs w:val="18"/>
              </w:rPr>
              <w:t>36 761 210</w:t>
            </w:r>
          </w:p>
        </w:tc>
        <w:tc>
          <w:tcPr>
            <w:tcW w:w="1588" w:type="dxa"/>
            <w:tcBorders>
              <w:left w:val="nil"/>
              <w:bottom w:val="single" w:sz="4" w:space="0" w:color="auto"/>
              <w:right w:val="nil"/>
            </w:tcBorders>
            <w:shd w:val="clear" w:color="auto" w:fill="FFFFFF" w:themeFill="background1"/>
            <w:vAlign w:val="bottom"/>
          </w:tcPr>
          <w:p w14:paraId="531BE4AA" w14:textId="77777777" w:rsidR="008B2C48" w:rsidRPr="00A61D53" w:rsidRDefault="008B2C48" w:rsidP="00AE0260">
            <w:pPr>
              <w:spacing w:before="40" w:after="40" w:line="200" w:lineRule="exact"/>
              <w:jc w:val="right"/>
              <w:rPr>
                <w:rFonts w:eastAsia="Times New Roman"/>
                <w:color w:val="000000"/>
                <w:sz w:val="18"/>
                <w:szCs w:val="18"/>
              </w:rPr>
            </w:pPr>
            <w:r>
              <w:rPr>
                <w:color w:val="000000"/>
                <w:sz w:val="18"/>
                <w:szCs w:val="18"/>
              </w:rPr>
              <w:t>36 299 351</w:t>
            </w:r>
          </w:p>
        </w:tc>
        <w:tc>
          <w:tcPr>
            <w:tcW w:w="1732" w:type="dxa"/>
            <w:tcBorders>
              <w:left w:val="nil"/>
              <w:bottom w:val="single" w:sz="4" w:space="0" w:color="auto"/>
              <w:right w:val="nil"/>
            </w:tcBorders>
            <w:shd w:val="clear" w:color="auto" w:fill="FFFFFF" w:themeFill="background1"/>
            <w:vAlign w:val="bottom"/>
          </w:tcPr>
          <w:p w14:paraId="702021F9" w14:textId="77777777" w:rsidR="008B2C48" w:rsidRPr="00A61D53" w:rsidRDefault="008B2C48" w:rsidP="00AE0260">
            <w:pPr>
              <w:spacing w:before="40" w:after="40" w:line="200" w:lineRule="exact"/>
              <w:jc w:val="right"/>
              <w:rPr>
                <w:rFonts w:eastAsia="Times New Roman"/>
                <w:color w:val="000000"/>
                <w:sz w:val="18"/>
                <w:szCs w:val="18"/>
              </w:rPr>
            </w:pPr>
            <w:r>
              <w:rPr>
                <w:color w:val="000000"/>
                <w:sz w:val="18"/>
                <w:szCs w:val="18"/>
              </w:rPr>
              <w:t>73 060 562</w:t>
            </w:r>
          </w:p>
        </w:tc>
      </w:tr>
      <w:tr w:rsidR="008B2C48" w:rsidRPr="00A61D53" w14:paraId="352FA1D8" w14:textId="77777777">
        <w:trPr>
          <w:trHeight w:val="220"/>
        </w:trPr>
        <w:tc>
          <w:tcPr>
            <w:tcW w:w="3596" w:type="dxa"/>
            <w:tcBorders>
              <w:top w:val="single" w:sz="4" w:space="0" w:color="auto"/>
              <w:left w:val="nil"/>
              <w:bottom w:val="single" w:sz="12" w:space="0" w:color="auto"/>
              <w:right w:val="nil"/>
            </w:tcBorders>
            <w:shd w:val="clear" w:color="auto" w:fill="FFFFFF" w:themeFill="background1"/>
            <w:noWrap/>
          </w:tcPr>
          <w:p w14:paraId="55D59347" w14:textId="77777777" w:rsidR="008B2C48" w:rsidRPr="00A61D53" w:rsidRDefault="008B2C48" w:rsidP="00AE0260">
            <w:pPr>
              <w:autoSpaceDE w:val="0"/>
              <w:autoSpaceDN w:val="0"/>
              <w:adjustRightInd w:val="0"/>
              <w:spacing w:before="40" w:after="40" w:line="200" w:lineRule="exact"/>
              <w:ind w:right="38" w:firstLine="246"/>
              <w:rPr>
                <w:b/>
                <w:sz w:val="18"/>
              </w:rPr>
            </w:pPr>
            <w:r w:rsidRPr="00A61D53">
              <w:rPr>
                <w:b/>
                <w:sz w:val="18"/>
                <w:szCs w:val="18"/>
              </w:rPr>
              <w:t>Total income</w:t>
            </w:r>
          </w:p>
        </w:tc>
        <w:tc>
          <w:tcPr>
            <w:tcW w:w="1589" w:type="dxa"/>
            <w:tcBorders>
              <w:top w:val="single" w:sz="4" w:space="0" w:color="auto"/>
              <w:left w:val="nil"/>
              <w:bottom w:val="single" w:sz="12" w:space="0" w:color="auto"/>
              <w:right w:val="nil"/>
            </w:tcBorders>
            <w:shd w:val="clear" w:color="auto" w:fill="FFFFFF" w:themeFill="background1"/>
            <w:vAlign w:val="bottom"/>
          </w:tcPr>
          <w:p w14:paraId="7D7FEA40" w14:textId="77777777" w:rsidR="008B2C48" w:rsidRPr="00A61D53" w:rsidRDefault="008B2C48" w:rsidP="00AE0260">
            <w:pPr>
              <w:spacing w:before="40" w:after="40" w:line="200" w:lineRule="exact"/>
              <w:jc w:val="right"/>
              <w:rPr>
                <w:rFonts w:eastAsia="Times New Roman"/>
                <w:b/>
                <w:color w:val="000000"/>
                <w:sz w:val="18"/>
                <w:szCs w:val="18"/>
              </w:rPr>
            </w:pPr>
            <w:r>
              <w:rPr>
                <w:b/>
                <w:bCs/>
                <w:color w:val="000000"/>
                <w:sz w:val="18"/>
                <w:szCs w:val="18"/>
              </w:rPr>
              <w:t>37 528 148</w:t>
            </w:r>
          </w:p>
        </w:tc>
        <w:tc>
          <w:tcPr>
            <w:tcW w:w="1588" w:type="dxa"/>
            <w:tcBorders>
              <w:top w:val="single" w:sz="4" w:space="0" w:color="auto"/>
              <w:left w:val="nil"/>
              <w:bottom w:val="single" w:sz="12" w:space="0" w:color="auto"/>
              <w:right w:val="nil"/>
            </w:tcBorders>
            <w:shd w:val="clear" w:color="auto" w:fill="FFFFFF" w:themeFill="background1"/>
            <w:vAlign w:val="bottom"/>
          </w:tcPr>
          <w:p w14:paraId="2F4A82D3" w14:textId="77777777" w:rsidR="008B2C48" w:rsidRPr="00A61D53" w:rsidRDefault="008B2C48" w:rsidP="00AE0260">
            <w:pPr>
              <w:spacing w:before="40" w:after="40" w:line="200" w:lineRule="exact"/>
              <w:jc w:val="right"/>
              <w:rPr>
                <w:rFonts w:eastAsia="Times New Roman"/>
                <w:b/>
                <w:bCs/>
                <w:color w:val="000000"/>
                <w:sz w:val="18"/>
                <w:szCs w:val="18"/>
              </w:rPr>
            </w:pPr>
            <w:r>
              <w:rPr>
                <w:b/>
                <w:bCs/>
                <w:color w:val="000000"/>
                <w:sz w:val="18"/>
                <w:szCs w:val="18"/>
              </w:rPr>
              <w:t>37 066 289</w:t>
            </w:r>
          </w:p>
        </w:tc>
        <w:tc>
          <w:tcPr>
            <w:tcW w:w="1732" w:type="dxa"/>
            <w:tcBorders>
              <w:top w:val="single" w:sz="4" w:space="0" w:color="auto"/>
              <w:left w:val="nil"/>
              <w:bottom w:val="single" w:sz="12" w:space="0" w:color="auto"/>
              <w:right w:val="nil"/>
            </w:tcBorders>
            <w:shd w:val="clear" w:color="auto" w:fill="FFFFFF" w:themeFill="background1"/>
            <w:vAlign w:val="bottom"/>
          </w:tcPr>
          <w:p w14:paraId="5889AFF1" w14:textId="77777777" w:rsidR="008B2C48" w:rsidRPr="00A61D53" w:rsidRDefault="008B2C48" w:rsidP="00AE0260">
            <w:pPr>
              <w:spacing w:before="40" w:after="40" w:line="200" w:lineRule="exact"/>
              <w:jc w:val="right"/>
              <w:rPr>
                <w:rFonts w:eastAsia="Times New Roman"/>
                <w:b/>
                <w:bCs/>
                <w:color w:val="000000"/>
                <w:sz w:val="18"/>
                <w:szCs w:val="18"/>
              </w:rPr>
            </w:pPr>
            <w:r>
              <w:rPr>
                <w:b/>
                <w:bCs/>
                <w:color w:val="000000"/>
                <w:sz w:val="18"/>
                <w:szCs w:val="18"/>
              </w:rPr>
              <w:t>74 594 438</w:t>
            </w:r>
          </w:p>
        </w:tc>
      </w:tr>
    </w:tbl>
    <w:p w14:paraId="7F60A784" w14:textId="77777777" w:rsidR="008B2C48" w:rsidRPr="0005710F" w:rsidRDefault="008B2C48" w:rsidP="008B2C48">
      <w:pPr>
        <w:snapToGrid w:val="0"/>
        <w:spacing w:before="60" w:line="200" w:lineRule="exact"/>
        <w:ind w:left="1134" w:firstLine="142"/>
        <w:rPr>
          <w:sz w:val="18"/>
          <w:lang w:val="en-US"/>
        </w:rPr>
      </w:pPr>
      <w:r w:rsidRPr="0005710F">
        <w:rPr>
          <w:i/>
          <w:iCs/>
          <w:sz w:val="18"/>
          <w:vertAlign w:val="superscript"/>
        </w:rPr>
        <w:t>a</w:t>
      </w:r>
      <w:r w:rsidRPr="00EA0280">
        <w:rPr>
          <w:sz w:val="18"/>
        </w:rPr>
        <w:t xml:space="preserve">  </w:t>
      </w:r>
      <w:r w:rsidRPr="0005710F">
        <w:rPr>
          <w:sz w:val="18"/>
        </w:rPr>
        <w:t>Secretariat</w:t>
      </w:r>
      <w:r>
        <w:rPr>
          <w:sz w:val="18"/>
        </w:rPr>
        <w:t>-</w:t>
      </w:r>
      <w:r w:rsidRPr="0005710F">
        <w:rPr>
          <w:sz w:val="18"/>
        </w:rPr>
        <w:t>wide costs are pooled costs of staff and facilities managed by A</w:t>
      </w:r>
      <w:r>
        <w:rPr>
          <w:sz w:val="18"/>
        </w:rPr>
        <w:t xml:space="preserve">dministrative </w:t>
      </w:r>
      <w:r w:rsidRPr="0005710F">
        <w:rPr>
          <w:sz w:val="18"/>
        </w:rPr>
        <w:t>S</w:t>
      </w:r>
      <w:r>
        <w:rPr>
          <w:sz w:val="18"/>
        </w:rPr>
        <w:t>ervices</w:t>
      </w:r>
      <w:r w:rsidRPr="0005710F">
        <w:rPr>
          <w:sz w:val="18"/>
        </w:rPr>
        <w:t xml:space="preserve"> and H</w:t>
      </w:r>
      <w:r>
        <w:rPr>
          <w:sz w:val="18"/>
        </w:rPr>
        <w:t xml:space="preserve">uman </w:t>
      </w:r>
      <w:r w:rsidRPr="0005710F">
        <w:rPr>
          <w:sz w:val="18"/>
        </w:rPr>
        <w:t>R</w:t>
      </w:r>
      <w:r>
        <w:rPr>
          <w:sz w:val="18"/>
        </w:rPr>
        <w:t>esources</w:t>
      </w:r>
      <w:r w:rsidRPr="0005710F">
        <w:rPr>
          <w:sz w:val="18"/>
        </w:rPr>
        <w:t xml:space="preserve"> on behalf of all divisions.</w:t>
      </w:r>
    </w:p>
    <w:p w14:paraId="3A07812B" w14:textId="77777777" w:rsidR="008B2C48" w:rsidRPr="0005710F" w:rsidRDefault="008B2C48" w:rsidP="008B2C48">
      <w:pPr>
        <w:spacing w:line="200" w:lineRule="exact"/>
        <w:ind w:left="1134" w:firstLine="142"/>
        <w:rPr>
          <w:sz w:val="18"/>
          <w:lang w:val="en-US"/>
        </w:rPr>
      </w:pPr>
      <w:r w:rsidRPr="0005710F">
        <w:rPr>
          <w:i/>
          <w:sz w:val="18"/>
          <w:vertAlign w:val="superscript"/>
        </w:rPr>
        <w:t>b</w:t>
      </w:r>
      <w:r w:rsidRPr="0005710F">
        <w:rPr>
          <w:sz w:val="18"/>
        </w:rPr>
        <w:t xml:space="preserve">  A</w:t>
      </w:r>
      <w:r>
        <w:rPr>
          <w:sz w:val="18"/>
        </w:rPr>
        <w:t xml:space="preserve">dministrative </w:t>
      </w:r>
      <w:r w:rsidRPr="0005710F">
        <w:rPr>
          <w:sz w:val="18"/>
        </w:rPr>
        <w:t>S</w:t>
      </w:r>
      <w:r>
        <w:rPr>
          <w:sz w:val="18"/>
        </w:rPr>
        <w:t>ervices</w:t>
      </w:r>
      <w:r w:rsidRPr="0005710F">
        <w:rPr>
          <w:sz w:val="18"/>
        </w:rPr>
        <w:t xml:space="preserve"> and H</w:t>
      </w:r>
      <w:r>
        <w:rPr>
          <w:sz w:val="18"/>
        </w:rPr>
        <w:t xml:space="preserve">uman </w:t>
      </w:r>
      <w:r w:rsidRPr="0005710F">
        <w:rPr>
          <w:sz w:val="18"/>
        </w:rPr>
        <w:t>R</w:t>
      </w:r>
      <w:r>
        <w:rPr>
          <w:sz w:val="18"/>
        </w:rPr>
        <w:t>esources</w:t>
      </w:r>
      <w:r w:rsidRPr="0005710F">
        <w:rPr>
          <w:sz w:val="18"/>
        </w:rPr>
        <w:t xml:space="preserve"> are funded from programme support costs (overhead), and I</w:t>
      </w:r>
      <w:r>
        <w:rPr>
          <w:sz w:val="18"/>
        </w:rPr>
        <w:t xml:space="preserve">nformation and </w:t>
      </w:r>
      <w:r w:rsidRPr="0005710F">
        <w:rPr>
          <w:sz w:val="18"/>
        </w:rPr>
        <w:t>C</w:t>
      </w:r>
      <w:r>
        <w:rPr>
          <w:sz w:val="18"/>
        </w:rPr>
        <w:t xml:space="preserve">ommunication </w:t>
      </w:r>
      <w:r w:rsidRPr="0005710F">
        <w:rPr>
          <w:sz w:val="18"/>
        </w:rPr>
        <w:t>T</w:t>
      </w:r>
      <w:r>
        <w:rPr>
          <w:sz w:val="18"/>
        </w:rPr>
        <w:t>echnology</w:t>
      </w:r>
      <w:r w:rsidRPr="0005710F">
        <w:rPr>
          <w:sz w:val="18"/>
        </w:rPr>
        <w:t xml:space="preserve"> is funded from the core budget, the supplementary budget and cost recovery.</w:t>
      </w:r>
    </w:p>
    <w:p w14:paraId="4CF31F2B" w14:textId="77777777" w:rsidR="008B2C48" w:rsidRDefault="008B2C48" w:rsidP="008B2C48">
      <w:pPr>
        <w:spacing w:line="200" w:lineRule="exact"/>
        <w:ind w:left="1134" w:firstLine="142"/>
        <w:rPr>
          <w:sz w:val="18"/>
        </w:rPr>
      </w:pPr>
      <w:r w:rsidRPr="0005710F">
        <w:rPr>
          <w:i/>
          <w:sz w:val="18"/>
          <w:vertAlign w:val="superscript"/>
        </w:rPr>
        <w:t>c</w:t>
      </w:r>
      <w:r w:rsidRPr="0005710F">
        <w:rPr>
          <w:sz w:val="18"/>
        </w:rPr>
        <w:t xml:space="preserve">  Provision for an annual grant to the </w:t>
      </w:r>
      <w:r>
        <w:rPr>
          <w:sz w:val="18"/>
        </w:rPr>
        <w:t>Intergovernmental Panel on Climate Change</w:t>
      </w:r>
      <w:r w:rsidRPr="0005710F">
        <w:rPr>
          <w:sz w:val="18"/>
        </w:rPr>
        <w:t>.</w:t>
      </w:r>
    </w:p>
    <w:p w14:paraId="25FF9894" w14:textId="77777777" w:rsidR="008B2C48" w:rsidRPr="0005710F" w:rsidRDefault="008B2C48" w:rsidP="008B2C48">
      <w:pPr>
        <w:spacing w:line="200" w:lineRule="exact"/>
        <w:ind w:left="1134" w:firstLine="142"/>
        <w:rPr>
          <w:sz w:val="18"/>
          <w:lang w:val="en-US"/>
        </w:rPr>
      </w:pPr>
      <w:r w:rsidRPr="0005710F">
        <w:rPr>
          <w:i/>
          <w:sz w:val="18"/>
          <w:vertAlign w:val="superscript"/>
        </w:rPr>
        <w:t>d</w:t>
      </w:r>
      <w:r w:rsidRPr="0005710F">
        <w:rPr>
          <w:sz w:val="18"/>
        </w:rPr>
        <w:t xml:space="preserve">  </w:t>
      </w:r>
      <w:r w:rsidRPr="00837964">
        <w:rPr>
          <w:sz w:val="18"/>
        </w:rPr>
        <w:t>Standard 13 per cent applied for administrative support.</w:t>
      </w:r>
    </w:p>
    <w:p w14:paraId="598D2514" w14:textId="399603D8" w:rsidR="008B2C48" w:rsidRPr="0005710F" w:rsidRDefault="008B2C48" w:rsidP="008B2C48">
      <w:pPr>
        <w:spacing w:after="180" w:line="200" w:lineRule="exact"/>
        <w:ind w:left="1134" w:firstLine="142"/>
        <w:rPr>
          <w:sz w:val="18"/>
        </w:rPr>
      </w:pPr>
      <w:r>
        <w:rPr>
          <w:i/>
          <w:sz w:val="18"/>
          <w:vertAlign w:val="superscript"/>
        </w:rPr>
        <w:t>e</w:t>
      </w:r>
      <w:r w:rsidRPr="0005710F">
        <w:rPr>
          <w:sz w:val="18"/>
        </w:rPr>
        <w:t xml:space="preserve"> </w:t>
      </w:r>
      <w:r w:rsidR="009B5DF9">
        <w:rPr>
          <w:sz w:val="18"/>
        </w:rPr>
        <w:t xml:space="preserve"> </w:t>
      </w:r>
      <w:r w:rsidRPr="0005710F">
        <w:rPr>
          <w:sz w:val="18"/>
        </w:rPr>
        <w:t xml:space="preserve">In accordance with the </w:t>
      </w:r>
      <w:r w:rsidR="001967A8">
        <w:rPr>
          <w:sz w:val="18"/>
        </w:rPr>
        <w:t xml:space="preserve">UNFCCC </w:t>
      </w:r>
      <w:r w:rsidRPr="0005710F">
        <w:rPr>
          <w:sz w:val="18"/>
        </w:rPr>
        <w:t>financial procedures, the core budget is required to maintain a working capital reserve of 8.3 per cent (one month of operating requirements). The working capital reserve amounts to EUR 3.</w:t>
      </w:r>
      <w:r>
        <w:rPr>
          <w:sz w:val="18"/>
        </w:rPr>
        <w:t xml:space="preserve">1 </w:t>
      </w:r>
      <w:r w:rsidRPr="00A61D53">
        <w:rPr>
          <w:sz w:val="18"/>
        </w:rPr>
        <w:t>million in 2024 and 2025</w:t>
      </w:r>
      <w:r w:rsidRPr="0005710F">
        <w:rPr>
          <w:sz w:val="18"/>
        </w:rPr>
        <w:t>.</w:t>
      </w:r>
    </w:p>
    <w:p w14:paraId="16D45CC4" w14:textId="6C0E1283" w:rsidR="008B2C48" w:rsidRPr="007F6556" w:rsidRDefault="008B2C48" w:rsidP="008B2C48">
      <w:pPr>
        <w:keepNext/>
        <w:ind w:left="1134" w:right="991"/>
      </w:pPr>
      <w:r w:rsidRPr="00120074">
        <w:t xml:space="preserve">Table </w:t>
      </w:r>
      <w:r>
        <w:t>2</w:t>
      </w:r>
    </w:p>
    <w:p w14:paraId="6BF77F47" w14:textId="77777777" w:rsidR="008B2C48" w:rsidRPr="0079125D" w:rsidRDefault="008B2C48" w:rsidP="008B2C48">
      <w:pPr>
        <w:keepNext/>
        <w:spacing w:after="120"/>
        <w:ind w:left="1134" w:right="992"/>
        <w:rPr>
          <w:bCs/>
        </w:rPr>
      </w:pPr>
      <w:r w:rsidRPr="00A61D53">
        <w:rPr>
          <w:b/>
        </w:rPr>
        <w:t>Secretariat</w:t>
      </w:r>
      <w:r>
        <w:rPr>
          <w:b/>
        </w:rPr>
        <w:t>-</w:t>
      </w:r>
      <w:r w:rsidRPr="00A61D53">
        <w:rPr>
          <w:b/>
        </w:rPr>
        <w:t>wide staffing funded from the core budget for 2024</w:t>
      </w:r>
      <w:r w:rsidRPr="00A61D53">
        <w:t>–</w:t>
      </w:r>
      <w:r w:rsidRPr="00A61D53">
        <w:rPr>
          <w:b/>
        </w:rPr>
        <w:t>2025</w:t>
      </w:r>
    </w:p>
    <w:tbl>
      <w:tblPr>
        <w:tblStyle w:val="TableGrid"/>
        <w:tblW w:w="7371"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751"/>
        <w:gridCol w:w="774"/>
        <w:gridCol w:w="923"/>
        <w:gridCol w:w="923"/>
      </w:tblGrid>
      <w:tr w:rsidR="008B2C48" w:rsidRPr="00A61D53" w14:paraId="2492BBD3" w14:textId="77777777">
        <w:trPr>
          <w:trHeight w:val="244"/>
          <w:tblHeader/>
        </w:trPr>
        <w:tc>
          <w:tcPr>
            <w:tcW w:w="4751" w:type="dxa"/>
            <w:tcBorders>
              <w:top w:val="single" w:sz="4" w:space="0" w:color="auto"/>
              <w:bottom w:val="single" w:sz="12" w:space="0" w:color="auto"/>
            </w:tcBorders>
            <w:shd w:val="clear" w:color="auto" w:fill="auto"/>
            <w:vAlign w:val="bottom"/>
          </w:tcPr>
          <w:p w14:paraId="10DAA9DA" w14:textId="77777777" w:rsidR="008B2C48" w:rsidRPr="00A61D53" w:rsidRDefault="008B2C48">
            <w:pPr>
              <w:snapToGrid w:val="0"/>
              <w:spacing w:before="40" w:after="40" w:line="180" w:lineRule="exact"/>
              <w:rPr>
                <w:i/>
                <w:sz w:val="16"/>
              </w:rPr>
            </w:pPr>
            <w:r w:rsidRPr="00A61D53">
              <w:rPr>
                <w:i/>
                <w:sz w:val="16"/>
              </w:rPr>
              <w:t>Grade of post</w:t>
            </w:r>
          </w:p>
        </w:tc>
        <w:tc>
          <w:tcPr>
            <w:tcW w:w="774" w:type="dxa"/>
            <w:tcBorders>
              <w:top w:val="single" w:sz="4" w:space="0" w:color="auto"/>
              <w:bottom w:val="single" w:sz="12" w:space="0" w:color="auto"/>
            </w:tcBorders>
            <w:shd w:val="clear" w:color="auto" w:fill="auto"/>
            <w:tcMar>
              <w:right w:w="108" w:type="dxa"/>
            </w:tcMar>
            <w:vAlign w:val="bottom"/>
          </w:tcPr>
          <w:p w14:paraId="2FB2C8C4" w14:textId="77777777" w:rsidR="008B2C48" w:rsidRPr="00A61D53" w:rsidRDefault="008B2C48">
            <w:pPr>
              <w:snapToGrid w:val="0"/>
              <w:spacing w:before="40" w:after="40" w:line="180" w:lineRule="exact"/>
              <w:jc w:val="right"/>
              <w:rPr>
                <w:i/>
                <w:sz w:val="16"/>
              </w:rPr>
            </w:pPr>
            <w:r w:rsidRPr="00A61D53">
              <w:rPr>
                <w:i/>
                <w:sz w:val="16"/>
              </w:rPr>
              <w:t>2023</w:t>
            </w:r>
          </w:p>
        </w:tc>
        <w:tc>
          <w:tcPr>
            <w:tcW w:w="923" w:type="dxa"/>
            <w:tcBorders>
              <w:top w:val="single" w:sz="4" w:space="0" w:color="auto"/>
              <w:bottom w:val="single" w:sz="12" w:space="0" w:color="auto"/>
            </w:tcBorders>
            <w:shd w:val="clear" w:color="auto" w:fill="auto"/>
            <w:vAlign w:val="bottom"/>
          </w:tcPr>
          <w:p w14:paraId="78CCE65C" w14:textId="77777777" w:rsidR="008B2C48" w:rsidRPr="00A61D53" w:rsidRDefault="008B2C48">
            <w:pPr>
              <w:snapToGrid w:val="0"/>
              <w:spacing w:before="40" w:after="40" w:line="180" w:lineRule="exact"/>
              <w:jc w:val="right"/>
              <w:rPr>
                <w:i/>
                <w:sz w:val="16"/>
              </w:rPr>
            </w:pPr>
            <w:r w:rsidRPr="00A61D53">
              <w:rPr>
                <w:i/>
                <w:sz w:val="16"/>
              </w:rPr>
              <w:t>2024</w:t>
            </w:r>
          </w:p>
        </w:tc>
        <w:tc>
          <w:tcPr>
            <w:tcW w:w="923" w:type="dxa"/>
            <w:tcBorders>
              <w:top w:val="single" w:sz="4" w:space="0" w:color="auto"/>
              <w:bottom w:val="single" w:sz="12" w:space="0" w:color="auto"/>
            </w:tcBorders>
            <w:shd w:val="clear" w:color="auto" w:fill="auto"/>
            <w:vAlign w:val="bottom"/>
          </w:tcPr>
          <w:p w14:paraId="67AE4B7C" w14:textId="77777777" w:rsidR="008B2C48" w:rsidRPr="00A61D53" w:rsidRDefault="008B2C48">
            <w:pPr>
              <w:snapToGrid w:val="0"/>
              <w:spacing w:before="40" w:after="40" w:line="180" w:lineRule="exact"/>
              <w:jc w:val="right"/>
              <w:rPr>
                <w:i/>
                <w:sz w:val="16"/>
              </w:rPr>
            </w:pPr>
            <w:r w:rsidRPr="00A61D53">
              <w:rPr>
                <w:i/>
                <w:sz w:val="16"/>
              </w:rPr>
              <w:t>2025</w:t>
            </w:r>
          </w:p>
        </w:tc>
      </w:tr>
      <w:tr w:rsidR="008B2C48" w:rsidRPr="00A61D53" w14:paraId="5E7040C1" w14:textId="77777777">
        <w:tc>
          <w:tcPr>
            <w:tcW w:w="4751" w:type="dxa"/>
            <w:tcBorders>
              <w:top w:val="single" w:sz="12" w:space="0" w:color="auto"/>
            </w:tcBorders>
            <w:shd w:val="clear" w:color="auto" w:fill="auto"/>
            <w:vAlign w:val="bottom"/>
          </w:tcPr>
          <w:p w14:paraId="2C3C5715" w14:textId="77777777" w:rsidR="008B2C48" w:rsidRPr="00A61D53" w:rsidRDefault="008B2C48" w:rsidP="00FD23A7">
            <w:pPr>
              <w:spacing w:before="40" w:after="40" w:line="200" w:lineRule="exact"/>
              <w:rPr>
                <w:sz w:val="18"/>
                <w:szCs w:val="18"/>
              </w:rPr>
            </w:pPr>
            <w:r w:rsidRPr="00A61D53">
              <w:rPr>
                <w:sz w:val="18"/>
                <w:szCs w:val="18"/>
              </w:rPr>
              <w:t>Professional category and above</w:t>
            </w:r>
          </w:p>
        </w:tc>
        <w:tc>
          <w:tcPr>
            <w:tcW w:w="774" w:type="dxa"/>
            <w:tcBorders>
              <w:top w:val="single" w:sz="12" w:space="0" w:color="auto"/>
            </w:tcBorders>
            <w:shd w:val="clear" w:color="auto" w:fill="auto"/>
            <w:tcMar>
              <w:right w:w="108" w:type="dxa"/>
            </w:tcMar>
          </w:tcPr>
          <w:p w14:paraId="21E59AC5" w14:textId="6BD98B79" w:rsidR="008B2C48" w:rsidRPr="00A61D53" w:rsidRDefault="008B2C48" w:rsidP="00FD23A7">
            <w:pPr>
              <w:spacing w:before="40" w:after="40" w:line="200" w:lineRule="exact"/>
              <w:jc w:val="right"/>
              <w:rPr>
                <w:sz w:val="18"/>
                <w:szCs w:val="18"/>
              </w:rPr>
            </w:pPr>
          </w:p>
        </w:tc>
        <w:tc>
          <w:tcPr>
            <w:tcW w:w="923" w:type="dxa"/>
            <w:tcBorders>
              <w:top w:val="single" w:sz="12" w:space="0" w:color="auto"/>
            </w:tcBorders>
            <w:shd w:val="clear" w:color="auto" w:fill="auto"/>
            <w:vAlign w:val="bottom"/>
          </w:tcPr>
          <w:p w14:paraId="006F3EC1" w14:textId="13C8A1E9" w:rsidR="008B2C48" w:rsidRPr="00A61D53" w:rsidRDefault="008B2C48" w:rsidP="00FD23A7">
            <w:pPr>
              <w:spacing w:before="40" w:after="40" w:line="200" w:lineRule="exact"/>
              <w:jc w:val="right"/>
              <w:rPr>
                <w:sz w:val="18"/>
                <w:szCs w:val="18"/>
              </w:rPr>
            </w:pPr>
          </w:p>
        </w:tc>
        <w:tc>
          <w:tcPr>
            <w:tcW w:w="923" w:type="dxa"/>
            <w:tcBorders>
              <w:top w:val="single" w:sz="12" w:space="0" w:color="auto"/>
            </w:tcBorders>
            <w:shd w:val="clear" w:color="auto" w:fill="auto"/>
            <w:vAlign w:val="bottom"/>
          </w:tcPr>
          <w:p w14:paraId="46C714A8" w14:textId="77777777" w:rsidR="008B2C48" w:rsidRPr="00A61D53" w:rsidRDefault="008B2C48" w:rsidP="00FD23A7">
            <w:pPr>
              <w:spacing w:before="40" w:after="40" w:line="200" w:lineRule="exact"/>
              <w:jc w:val="right"/>
              <w:rPr>
                <w:sz w:val="18"/>
                <w:szCs w:val="18"/>
              </w:rPr>
            </w:pPr>
          </w:p>
        </w:tc>
      </w:tr>
      <w:tr w:rsidR="008B2C48" w:rsidRPr="00A61D53" w14:paraId="0D183849" w14:textId="77777777">
        <w:tc>
          <w:tcPr>
            <w:tcW w:w="4751" w:type="dxa"/>
            <w:shd w:val="clear" w:color="auto" w:fill="auto"/>
            <w:vAlign w:val="bottom"/>
          </w:tcPr>
          <w:p w14:paraId="13711B9C" w14:textId="77777777" w:rsidR="008B2C48" w:rsidRPr="00A61D53" w:rsidRDefault="008B2C48" w:rsidP="00FD23A7">
            <w:pPr>
              <w:autoSpaceDE w:val="0"/>
              <w:autoSpaceDN w:val="0"/>
              <w:adjustRightInd w:val="0"/>
              <w:spacing w:before="40" w:after="40" w:line="200" w:lineRule="exact"/>
              <w:ind w:right="38" w:firstLine="284"/>
              <w:rPr>
                <w:sz w:val="18"/>
              </w:rPr>
            </w:pPr>
            <w:r w:rsidRPr="00A61D53">
              <w:rPr>
                <w:sz w:val="18"/>
              </w:rPr>
              <w:t>USG</w:t>
            </w:r>
          </w:p>
        </w:tc>
        <w:tc>
          <w:tcPr>
            <w:tcW w:w="774" w:type="dxa"/>
            <w:shd w:val="clear" w:color="auto" w:fill="auto"/>
            <w:tcMar>
              <w:right w:w="108" w:type="dxa"/>
            </w:tcMar>
            <w:vAlign w:val="bottom"/>
          </w:tcPr>
          <w:p w14:paraId="753CEDEF" w14:textId="77777777" w:rsidR="008B2C48" w:rsidRPr="00A61D53" w:rsidRDefault="008B2C48" w:rsidP="00FD23A7">
            <w:pPr>
              <w:spacing w:before="40" w:after="40" w:line="200" w:lineRule="exact"/>
              <w:jc w:val="right"/>
              <w:rPr>
                <w:sz w:val="18"/>
              </w:rPr>
            </w:pPr>
            <w:r w:rsidRPr="00A61D53">
              <w:rPr>
                <w:color w:val="000000"/>
                <w:sz w:val="18"/>
                <w:szCs w:val="18"/>
              </w:rPr>
              <w:t>1</w:t>
            </w:r>
          </w:p>
        </w:tc>
        <w:tc>
          <w:tcPr>
            <w:tcW w:w="923" w:type="dxa"/>
            <w:shd w:val="clear" w:color="auto" w:fill="auto"/>
            <w:vAlign w:val="bottom"/>
          </w:tcPr>
          <w:p w14:paraId="3D80E7DB" w14:textId="77777777" w:rsidR="008B2C48" w:rsidRPr="00A61D53" w:rsidRDefault="008B2C48" w:rsidP="00FD23A7">
            <w:pPr>
              <w:spacing w:before="40" w:after="40" w:line="200" w:lineRule="exact"/>
              <w:jc w:val="right"/>
              <w:rPr>
                <w:sz w:val="18"/>
              </w:rPr>
            </w:pPr>
            <w:r>
              <w:rPr>
                <w:color w:val="000000"/>
                <w:sz w:val="18"/>
                <w:szCs w:val="18"/>
              </w:rPr>
              <w:t>1</w:t>
            </w:r>
          </w:p>
        </w:tc>
        <w:tc>
          <w:tcPr>
            <w:tcW w:w="923" w:type="dxa"/>
            <w:shd w:val="clear" w:color="auto" w:fill="auto"/>
            <w:vAlign w:val="bottom"/>
          </w:tcPr>
          <w:p w14:paraId="154B841E" w14:textId="77777777" w:rsidR="008B2C48" w:rsidRPr="00A61D53" w:rsidRDefault="008B2C48" w:rsidP="00FD23A7">
            <w:pPr>
              <w:spacing w:before="40" w:after="40" w:line="200" w:lineRule="exact"/>
              <w:jc w:val="right"/>
              <w:rPr>
                <w:sz w:val="18"/>
              </w:rPr>
            </w:pPr>
            <w:r>
              <w:rPr>
                <w:color w:val="000000"/>
                <w:sz w:val="18"/>
                <w:szCs w:val="18"/>
              </w:rPr>
              <w:t>1</w:t>
            </w:r>
          </w:p>
        </w:tc>
      </w:tr>
      <w:tr w:rsidR="008B2C48" w:rsidRPr="00A61D53" w14:paraId="459E7285" w14:textId="77777777">
        <w:tc>
          <w:tcPr>
            <w:tcW w:w="4751" w:type="dxa"/>
            <w:shd w:val="clear" w:color="auto" w:fill="auto"/>
            <w:vAlign w:val="bottom"/>
          </w:tcPr>
          <w:p w14:paraId="753403A3" w14:textId="77777777" w:rsidR="008B2C48" w:rsidRPr="00A61D53" w:rsidRDefault="008B2C48" w:rsidP="00FD23A7">
            <w:pPr>
              <w:autoSpaceDE w:val="0"/>
              <w:autoSpaceDN w:val="0"/>
              <w:adjustRightInd w:val="0"/>
              <w:spacing w:before="40" w:after="40" w:line="200" w:lineRule="exact"/>
              <w:ind w:right="38" w:firstLine="284"/>
              <w:rPr>
                <w:sz w:val="18"/>
              </w:rPr>
            </w:pPr>
            <w:r w:rsidRPr="00A61D53">
              <w:rPr>
                <w:sz w:val="18"/>
              </w:rPr>
              <w:t>ASG</w:t>
            </w:r>
          </w:p>
        </w:tc>
        <w:tc>
          <w:tcPr>
            <w:tcW w:w="774" w:type="dxa"/>
            <w:shd w:val="clear" w:color="auto" w:fill="auto"/>
            <w:tcMar>
              <w:right w:w="108" w:type="dxa"/>
            </w:tcMar>
            <w:vAlign w:val="bottom"/>
          </w:tcPr>
          <w:p w14:paraId="677C6A1E" w14:textId="77777777" w:rsidR="008B2C48" w:rsidRPr="00A61D53" w:rsidRDefault="008B2C48" w:rsidP="00FD23A7">
            <w:pPr>
              <w:spacing w:before="40" w:after="40" w:line="200" w:lineRule="exact"/>
              <w:jc w:val="right"/>
              <w:rPr>
                <w:sz w:val="18"/>
              </w:rPr>
            </w:pPr>
            <w:r w:rsidRPr="00A61D53">
              <w:rPr>
                <w:color w:val="000000"/>
                <w:sz w:val="18"/>
                <w:szCs w:val="18"/>
              </w:rPr>
              <w:t>1</w:t>
            </w:r>
          </w:p>
        </w:tc>
        <w:tc>
          <w:tcPr>
            <w:tcW w:w="923" w:type="dxa"/>
            <w:shd w:val="clear" w:color="auto" w:fill="auto"/>
            <w:vAlign w:val="bottom"/>
          </w:tcPr>
          <w:p w14:paraId="2AFFDBF0" w14:textId="77777777" w:rsidR="008B2C48" w:rsidRPr="00A61D53" w:rsidRDefault="008B2C48" w:rsidP="00FD23A7">
            <w:pPr>
              <w:spacing w:before="40" w:after="40" w:line="200" w:lineRule="exact"/>
              <w:jc w:val="right"/>
              <w:rPr>
                <w:sz w:val="18"/>
              </w:rPr>
            </w:pPr>
            <w:r>
              <w:rPr>
                <w:color w:val="000000"/>
                <w:sz w:val="18"/>
                <w:szCs w:val="18"/>
              </w:rPr>
              <w:t>1</w:t>
            </w:r>
          </w:p>
        </w:tc>
        <w:tc>
          <w:tcPr>
            <w:tcW w:w="923" w:type="dxa"/>
            <w:shd w:val="clear" w:color="auto" w:fill="auto"/>
            <w:vAlign w:val="bottom"/>
          </w:tcPr>
          <w:p w14:paraId="34A55444" w14:textId="77777777" w:rsidR="008B2C48" w:rsidRPr="00A61D53" w:rsidRDefault="008B2C48" w:rsidP="00FD23A7">
            <w:pPr>
              <w:spacing w:before="40" w:after="40" w:line="200" w:lineRule="exact"/>
              <w:jc w:val="right"/>
              <w:rPr>
                <w:sz w:val="18"/>
              </w:rPr>
            </w:pPr>
            <w:r>
              <w:rPr>
                <w:color w:val="000000"/>
                <w:sz w:val="18"/>
                <w:szCs w:val="18"/>
              </w:rPr>
              <w:t>1</w:t>
            </w:r>
          </w:p>
        </w:tc>
      </w:tr>
      <w:tr w:rsidR="008B2C48" w:rsidRPr="00A61D53" w14:paraId="29E840AE" w14:textId="77777777">
        <w:tc>
          <w:tcPr>
            <w:tcW w:w="4751" w:type="dxa"/>
            <w:shd w:val="clear" w:color="auto" w:fill="auto"/>
            <w:vAlign w:val="bottom"/>
          </w:tcPr>
          <w:p w14:paraId="6A9C2C89" w14:textId="77777777" w:rsidR="008B2C48" w:rsidRPr="00A61D53" w:rsidRDefault="008B2C48" w:rsidP="00FD23A7">
            <w:pPr>
              <w:autoSpaceDE w:val="0"/>
              <w:autoSpaceDN w:val="0"/>
              <w:adjustRightInd w:val="0"/>
              <w:spacing w:before="40" w:after="40" w:line="200" w:lineRule="exact"/>
              <w:ind w:right="38" w:firstLine="284"/>
              <w:rPr>
                <w:sz w:val="18"/>
              </w:rPr>
            </w:pPr>
            <w:r w:rsidRPr="00A61D53">
              <w:rPr>
                <w:sz w:val="18"/>
              </w:rPr>
              <w:t>D</w:t>
            </w:r>
            <w:r>
              <w:rPr>
                <w:sz w:val="18"/>
              </w:rPr>
              <w:t>-</w:t>
            </w:r>
            <w:r w:rsidRPr="00A61D53">
              <w:rPr>
                <w:sz w:val="18"/>
              </w:rPr>
              <w:t>2</w:t>
            </w:r>
          </w:p>
        </w:tc>
        <w:tc>
          <w:tcPr>
            <w:tcW w:w="774" w:type="dxa"/>
            <w:shd w:val="clear" w:color="auto" w:fill="auto"/>
            <w:tcMar>
              <w:right w:w="108" w:type="dxa"/>
            </w:tcMar>
            <w:vAlign w:val="bottom"/>
          </w:tcPr>
          <w:p w14:paraId="046563E8" w14:textId="77777777" w:rsidR="008B2C48" w:rsidRPr="00A61D53" w:rsidRDefault="008B2C48" w:rsidP="00FD23A7">
            <w:pPr>
              <w:spacing w:before="40" w:after="40" w:line="200" w:lineRule="exact"/>
              <w:jc w:val="right"/>
              <w:rPr>
                <w:sz w:val="18"/>
              </w:rPr>
            </w:pPr>
            <w:r w:rsidRPr="00A61D53">
              <w:rPr>
                <w:color w:val="000000"/>
                <w:sz w:val="18"/>
                <w:szCs w:val="18"/>
              </w:rPr>
              <w:t>2</w:t>
            </w:r>
          </w:p>
        </w:tc>
        <w:tc>
          <w:tcPr>
            <w:tcW w:w="923" w:type="dxa"/>
            <w:shd w:val="clear" w:color="auto" w:fill="auto"/>
            <w:vAlign w:val="bottom"/>
          </w:tcPr>
          <w:p w14:paraId="40B6707B" w14:textId="77777777" w:rsidR="008B2C48" w:rsidRPr="00A61D53" w:rsidRDefault="008B2C48" w:rsidP="00FD23A7">
            <w:pPr>
              <w:spacing w:before="40" w:after="40" w:line="200" w:lineRule="exact"/>
              <w:jc w:val="right"/>
              <w:rPr>
                <w:sz w:val="18"/>
              </w:rPr>
            </w:pPr>
            <w:r>
              <w:rPr>
                <w:color w:val="000000"/>
                <w:sz w:val="18"/>
                <w:szCs w:val="18"/>
              </w:rPr>
              <w:t>2</w:t>
            </w:r>
          </w:p>
        </w:tc>
        <w:tc>
          <w:tcPr>
            <w:tcW w:w="923" w:type="dxa"/>
            <w:shd w:val="clear" w:color="auto" w:fill="auto"/>
            <w:vAlign w:val="bottom"/>
          </w:tcPr>
          <w:p w14:paraId="3205F72D" w14:textId="77777777" w:rsidR="008B2C48" w:rsidRPr="00A61D53" w:rsidRDefault="008B2C48" w:rsidP="00FD23A7">
            <w:pPr>
              <w:spacing w:before="40" w:after="40" w:line="200" w:lineRule="exact"/>
              <w:jc w:val="right"/>
              <w:rPr>
                <w:sz w:val="18"/>
              </w:rPr>
            </w:pPr>
            <w:r>
              <w:rPr>
                <w:color w:val="000000"/>
                <w:sz w:val="18"/>
                <w:szCs w:val="18"/>
              </w:rPr>
              <w:t>2</w:t>
            </w:r>
          </w:p>
        </w:tc>
      </w:tr>
      <w:tr w:rsidR="008B2C48" w:rsidRPr="00A61D53" w14:paraId="267DAA8E" w14:textId="77777777">
        <w:tc>
          <w:tcPr>
            <w:tcW w:w="4751" w:type="dxa"/>
            <w:shd w:val="clear" w:color="auto" w:fill="auto"/>
            <w:vAlign w:val="bottom"/>
          </w:tcPr>
          <w:p w14:paraId="4E062A0D" w14:textId="77777777" w:rsidR="008B2C48" w:rsidRPr="00A61D53" w:rsidRDefault="008B2C48" w:rsidP="00FD23A7">
            <w:pPr>
              <w:autoSpaceDE w:val="0"/>
              <w:autoSpaceDN w:val="0"/>
              <w:adjustRightInd w:val="0"/>
              <w:spacing w:before="40" w:after="40" w:line="200" w:lineRule="exact"/>
              <w:ind w:right="38" w:firstLine="284"/>
              <w:rPr>
                <w:sz w:val="18"/>
              </w:rPr>
            </w:pPr>
            <w:r w:rsidRPr="00A61D53">
              <w:rPr>
                <w:sz w:val="18"/>
              </w:rPr>
              <w:t>D</w:t>
            </w:r>
            <w:r>
              <w:rPr>
                <w:sz w:val="18"/>
              </w:rPr>
              <w:t>-</w:t>
            </w:r>
            <w:r w:rsidRPr="00A61D53">
              <w:rPr>
                <w:sz w:val="18"/>
              </w:rPr>
              <w:t>1</w:t>
            </w:r>
          </w:p>
        </w:tc>
        <w:tc>
          <w:tcPr>
            <w:tcW w:w="774" w:type="dxa"/>
            <w:shd w:val="clear" w:color="auto" w:fill="auto"/>
            <w:tcMar>
              <w:right w:w="108" w:type="dxa"/>
            </w:tcMar>
            <w:vAlign w:val="bottom"/>
          </w:tcPr>
          <w:p w14:paraId="5D882291" w14:textId="77777777" w:rsidR="008B2C48" w:rsidRPr="00A61D53" w:rsidRDefault="008B2C48" w:rsidP="00FD23A7">
            <w:pPr>
              <w:spacing w:before="40" w:after="40" w:line="200" w:lineRule="exact"/>
              <w:jc w:val="right"/>
              <w:rPr>
                <w:sz w:val="18"/>
              </w:rPr>
            </w:pPr>
            <w:r w:rsidRPr="00A61D53">
              <w:rPr>
                <w:color w:val="000000"/>
                <w:sz w:val="18"/>
                <w:szCs w:val="18"/>
              </w:rPr>
              <w:t>8</w:t>
            </w:r>
          </w:p>
        </w:tc>
        <w:tc>
          <w:tcPr>
            <w:tcW w:w="923" w:type="dxa"/>
            <w:shd w:val="clear" w:color="auto" w:fill="auto"/>
            <w:vAlign w:val="bottom"/>
          </w:tcPr>
          <w:p w14:paraId="4AA2F974" w14:textId="77777777" w:rsidR="008B2C48" w:rsidRPr="00A61D53" w:rsidRDefault="008B2C48" w:rsidP="00FD23A7">
            <w:pPr>
              <w:spacing w:before="40" w:after="40" w:line="200" w:lineRule="exact"/>
              <w:jc w:val="right"/>
              <w:rPr>
                <w:sz w:val="18"/>
              </w:rPr>
            </w:pPr>
            <w:r>
              <w:rPr>
                <w:color w:val="000000"/>
                <w:sz w:val="18"/>
                <w:szCs w:val="18"/>
              </w:rPr>
              <w:t>8</w:t>
            </w:r>
          </w:p>
        </w:tc>
        <w:tc>
          <w:tcPr>
            <w:tcW w:w="923" w:type="dxa"/>
            <w:shd w:val="clear" w:color="auto" w:fill="auto"/>
            <w:vAlign w:val="bottom"/>
          </w:tcPr>
          <w:p w14:paraId="6948BCBE" w14:textId="77777777" w:rsidR="008B2C48" w:rsidRPr="00A61D53" w:rsidRDefault="008B2C48" w:rsidP="00FD23A7">
            <w:pPr>
              <w:spacing w:before="40" w:after="40" w:line="200" w:lineRule="exact"/>
              <w:jc w:val="right"/>
              <w:rPr>
                <w:sz w:val="18"/>
              </w:rPr>
            </w:pPr>
            <w:r>
              <w:rPr>
                <w:color w:val="000000"/>
                <w:sz w:val="18"/>
                <w:szCs w:val="18"/>
              </w:rPr>
              <w:t>8</w:t>
            </w:r>
          </w:p>
        </w:tc>
      </w:tr>
      <w:tr w:rsidR="008B2C48" w:rsidRPr="00A61D53" w14:paraId="75D91901" w14:textId="77777777">
        <w:tc>
          <w:tcPr>
            <w:tcW w:w="4751" w:type="dxa"/>
            <w:shd w:val="clear" w:color="auto" w:fill="auto"/>
            <w:vAlign w:val="bottom"/>
          </w:tcPr>
          <w:p w14:paraId="3E04C1C8" w14:textId="77777777" w:rsidR="008B2C48" w:rsidRPr="00A61D53" w:rsidRDefault="008B2C48" w:rsidP="00FD23A7">
            <w:pPr>
              <w:autoSpaceDE w:val="0"/>
              <w:autoSpaceDN w:val="0"/>
              <w:adjustRightInd w:val="0"/>
              <w:spacing w:before="40" w:after="40" w:line="200" w:lineRule="exact"/>
              <w:ind w:right="38" w:firstLine="284"/>
              <w:rPr>
                <w:sz w:val="18"/>
              </w:rPr>
            </w:pPr>
            <w:r w:rsidRPr="00A61D53">
              <w:rPr>
                <w:sz w:val="18"/>
              </w:rPr>
              <w:t>P</w:t>
            </w:r>
            <w:r>
              <w:rPr>
                <w:sz w:val="18"/>
              </w:rPr>
              <w:t>-</w:t>
            </w:r>
            <w:r w:rsidRPr="00A61D53">
              <w:rPr>
                <w:sz w:val="18"/>
              </w:rPr>
              <w:t>5</w:t>
            </w:r>
          </w:p>
        </w:tc>
        <w:tc>
          <w:tcPr>
            <w:tcW w:w="774" w:type="dxa"/>
            <w:shd w:val="clear" w:color="auto" w:fill="auto"/>
            <w:tcMar>
              <w:right w:w="108" w:type="dxa"/>
            </w:tcMar>
            <w:vAlign w:val="bottom"/>
          </w:tcPr>
          <w:p w14:paraId="578AF856" w14:textId="77777777" w:rsidR="008B2C48" w:rsidRPr="00A61D53" w:rsidRDefault="008B2C48" w:rsidP="00FD23A7">
            <w:pPr>
              <w:spacing w:before="40" w:after="40" w:line="200" w:lineRule="exact"/>
              <w:jc w:val="right"/>
              <w:rPr>
                <w:sz w:val="18"/>
              </w:rPr>
            </w:pPr>
            <w:r w:rsidRPr="00A61D53">
              <w:rPr>
                <w:color w:val="000000"/>
                <w:sz w:val="18"/>
                <w:szCs w:val="18"/>
              </w:rPr>
              <w:t>18</w:t>
            </w:r>
          </w:p>
        </w:tc>
        <w:tc>
          <w:tcPr>
            <w:tcW w:w="923" w:type="dxa"/>
            <w:shd w:val="clear" w:color="auto" w:fill="auto"/>
            <w:vAlign w:val="bottom"/>
          </w:tcPr>
          <w:p w14:paraId="0965DD8D" w14:textId="77777777" w:rsidR="008B2C48" w:rsidRPr="00A61D53" w:rsidRDefault="008B2C48" w:rsidP="00FD23A7">
            <w:pPr>
              <w:spacing w:before="40" w:after="40" w:line="200" w:lineRule="exact"/>
              <w:jc w:val="right"/>
              <w:rPr>
                <w:sz w:val="18"/>
              </w:rPr>
            </w:pPr>
            <w:r>
              <w:rPr>
                <w:color w:val="000000"/>
                <w:sz w:val="18"/>
                <w:szCs w:val="18"/>
              </w:rPr>
              <w:t>18</w:t>
            </w:r>
          </w:p>
        </w:tc>
        <w:tc>
          <w:tcPr>
            <w:tcW w:w="923" w:type="dxa"/>
            <w:shd w:val="clear" w:color="auto" w:fill="auto"/>
            <w:vAlign w:val="bottom"/>
          </w:tcPr>
          <w:p w14:paraId="23F129B0" w14:textId="77777777" w:rsidR="008B2C48" w:rsidRPr="00A61D53" w:rsidRDefault="008B2C48" w:rsidP="00FD23A7">
            <w:pPr>
              <w:spacing w:before="40" w:after="40" w:line="200" w:lineRule="exact"/>
              <w:jc w:val="right"/>
              <w:rPr>
                <w:sz w:val="18"/>
              </w:rPr>
            </w:pPr>
            <w:r>
              <w:rPr>
                <w:color w:val="000000"/>
                <w:sz w:val="18"/>
                <w:szCs w:val="18"/>
              </w:rPr>
              <w:t>18</w:t>
            </w:r>
          </w:p>
        </w:tc>
      </w:tr>
      <w:tr w:rsidR="008B2C48" w:rsidRPr="00A61D53" w14:paraId="18C3C7B8" w14:textId="77777777">
        <w:tc>
          <w:tcPr>
            <w:tcW w:w="4751" w:type="dxa"/>
            <w:shd w:val="clear" w:color="auto" w:fill="auto"/>
            <w:vAlign w:val="bottom"/>
          </w:tcPr>
          <w:p w14:paraId="24A133ED" w14:textId="77777777" w:rsidR="008B2C48" w:rsidRPr="00A61D53" w:rsidRDefault="008B2C48" w:rsidP="00FD23A7">
            <w:pPr>
              <w:autoSpaceDE w:val="0"/>
              <w:autoSpaceDN w:val="0"/>
              <w:adjustRightInd w:val="0"/>
              <w:spacing w:before="40" w:after="40" w:line="200" w:lineRule="exact"/>
              <w:ind w:right="38" w:firstLine="284"/>
              <w:rPr>
                <w:sz w:val="18"/>
              </w:rPr>
            </w:pPr>
            <w:r w:rsidRPr="00A61D53">
              <w:rPr>
                <w:sz w:val="18"/>
              </w:rPr>
              <w:t>P</w:t>
            </w:r>
            <w:r>
              <w:rPr>
                <w:sz w:val="18"/>
              </w:rPr>
              <w:t>-</w:t>
            </w:r>
            <w:r w:rsidRPr="00A61D53">
              <w:rPr>
                <w:sz w:val="18"/>
              </w:rPr>
              <w:t>4</w:t>
            </w:r>
          </w:p>
        </w:tc>
        <w:tc>
          <w:tcPr>
            <w:tcW w:w="774" w:type="dxa"/>
            <w:shd w:val="clear" w:color="auto" w:fill="auto"/>
            <w:tcMar>
              <w:right w:w="108" w:type="dxa"/>
            </w:tcMar>
            <w:vAlign w:val="bottom"/>
          </w:tcPr>
          <w:p w14:paraId="5751C89D" w14:textId="77777777" w:rsidR="008B2C48" w:rsidRPr="00A61D53" w:rsidRDefault="008B2C48" w:rsidP="00FD23A7">
            <w:pPr>
              <w:spacing w:before="40" w:after="40" w:line="200" w:lineRule="exact"/>
              <w:jc w:val="right"/>
              <w:rPr>
                <w:sz w:val="18"/>
              </w:rPr>
            </w:pPr>
            <w:r w:rsidRPr="00A61D53">
              <w:rPr>
                <w:color w:val="000000"/>
                <w:sz w:val="18"/>
                <w:szCs w:val="18"/>
              </w:rPr>
              <w:t>35</w:t>
            </w:r>
          </w:p>
        </w:tc>
        <w:tc>
          <w:tcPr>
            <w:tcW w:w="923" w:type="dxa"/>
            <w:shd w:val="clear" w:color="auto" w:fill="auto"/>
            <w:vAlign w:val="bottom"/>
          </w:tcPr>
          <w:p w14:paraId="778A0DBE" w14:textId="77777777" w:rsidR="008B2C48" w:rsidRPr="00A61D53" w:rsidRDefault="008B2C48" w:rsidP="00FD23A7">
            <w:pPr>
              <w:spacing w:before="40" w:after="40" w:line="200" w:lineRule="exact"/>
              <w:jc w:val="right"/>
              <w:rPr>
                <w:sz w:val="18"/>
              </w:rPr>
            </w:pPr>
            <w:r>
              <w:rPr>
                <w:color w:val="000000"/>
                <w:sz w:val="18"/>
                <w:szCs w:val="18"/>
              </w:rPr>
              <w:t>35</w:t>
            </w:r>
          </w:p>
        </w:tc>
        <w:tc>
          <w:tcPr>
            <w:tcW w:w="923" w:type="dxa"/>
            <w:shd w:val="clear" w:color="auto" w:fill="auto"/>
            <w:vAlign w:val="bottom"/>
          </w:tcPr>
          <w:p w14:paraId="063E22A5" w14:textId="77777777" w:rsidR="008B2C48" w:rsidRPr="00A61D53" w:rsidRDefault="008B2C48" w:rsidP="00FD23A7">
            <w:pPr>
              <w:spacing w:before="40" w:after="40" w:line="200" w:lineRule="exact"/>
              <w:jc w:val="right"/>
              <w:rPr>
                <w:sz w:val="18"/>
              </w:rPr>
            </w:pPr>
            <w:r>
              <w:rPr>
                <w:color w:val="000000"/>
                <w:sz w:val="18"/>
                <w:szCs w:val="18"/>
              </w:rPr>
              <w:t>35</w:t>
            </w:r>
          </w:p>
        </w:tc>
      </w:tr>
      <w:tr w:rsidR="008B2C48" w:rsidRPr="00A61D53" w14:paraId="686132B0" w14:textId="77777777">
        <w:tc>
          <w:tcPr>
            <w:tcW w:w="4751" w:type="dxa"/>
            <w:shd w:val="clear" w:color="auto" w:fill="auto"/>
            <w:vAlign w:val="bottom"/>
          </w:tcPr>
          <w:p w14:paraId="29D1A507" w14:textId="77777777" w:rsidR="008B2C48" w:rsidRPr="00A61D53" w:rsidRDefault="008B2C48" w:rsidP="00FD23A7">
            <w:pPr>
              <w:autoSpaceDE w:val="0"/>
              <w:autoSpaceDN w:val="0"/>
              <w:adjustRightInd w:val="0"/>
              <w:spacing w:before="40" w:after="40" w:line="200" w:lineRule="exact"/>
              <w:ind w:right="38" w:firstLine="284"/>
              <w:rPr>
                <w:sz w:val="18"/>
              </w:rPr>
            </w:pPr>
            <w:r w:rsidRPr="00A61D53">
              <w:rPr>
                <w:sz w:val="18"/>
              </w:rPr>
              <w:t>P</w:t>
            </w:r>
            <w:r>
              <w:rPr>
                <w:sz w:val="18"/>
              </w:rPr>
              <w:t>-</w:t>
            </w:r>
            <w:r w:rsidRPr="00A61D53">
              <w:rPr>
                <w:sz w:val="18"/>
              </w:rPr>
              <w:t>3</w:t>
            </w:r>
          </w:p>
        </w:tc>
        <w:tc>
          <w:tcPr>
            <w:tcW w:w="774" w:type="dxa"/>
            <w:shd w:val="clear" w:color="auto" w:fill="auto"/>
            <w:tcMar>
              <w:right w:w="108" w:type="dxa"/>
            </w:tcMar>
            <w:vAlign w:val="bottom"/>
          </w:tcPr>
          <w:p w14:paraId="6AB4C672" w14:textId="77777777" w:rsidR="008B2C48" w:rsidRPr="00A61D53" w:rsidRDefault="008B2C48" w:rsidP="00FD23A7">
            <w:pPr>
              <w:spacing w:before="40" w:after="40" w:line="200" w:lineRule="exact"/>
              <w:jc w:val="right"/>
              <w:rPr>
                <w:sz w:val="18"/>
              </w:rPr>
            </w:pPr>
            <w:r w:rsidRPr="00A61D53">
              <w:rPr>
                <w:color w:val="000000"/>
                <w:sz w:val="18"/>
                <w:szCs w:val="18"/>
              </w:rPr>
              <w:t>44</w:t>
            </w:r>
          </w:p>
        </w:tc>
        <w:tc>
          <w:tcPr>
            <w:tcW w:w="923" w:type="dxa"/>
            <w:shd w:val="clear" w:color="auto" w:fill="auto"/>
            <w:vAlign w:val="bottom"/>
          </w:tcPr>
          <w:p w14:paraId="342DF981" w14:textId="77777777" w:rsidR="008B2C48" w:rsidRPr="00A61D53" w:rsidRDefault="008B2C48" w:rsidP="00FD23A7">
            <w:pPr>
              <w:spacing w:before="40" w:after="40" w:line="200" w:lineRule="exact"/>
              <w:jc w:val="right"/>
              <w:rPr>
                <w:sz w:val="18"/>
              </w:rPr>
            </w:pPr>
            <w:r>
              <w:rPr>
                <w:color w:val="000000"/>
                <w:sz w:val="18"/>
                <w:szCs w:val="18"/>
              </w:rPr>
              <w:t>44</w:t>
            </w:r>
          </w:p>
        </w:tc>
        <w:tc>
          <w:tcPr>
            <w:tcW w:w="923" w:type="dxa"/>
            <w:shd w:val="clear" w:color="auto" w:fill="auto"/>
            <w:vAlign w:val="bottom"/>
          </w:tcPr>
          <w:p w14:paraId="62C98787" w14:textId="77777777" w:rsidR="008B2C48" w:rsidRPr="00A61D53" w:rsidRDefault="008B2C48" w:rsidP="00FD23A7">
            <w:pPr>
              <w:spacing w:before="40" w:after="40" w:line="200" w:lineRule="exact"/>
              <w:jc w:val="right"/>
              <w:rPr>
                <w:sz w:val="18"/>
              </w:rPr>
            </w:pPr>
            <w:r>
              <w:rPr>
                <w:color w:val="000000"/>
                <w:sz w:val="18"/>
                <w:szCs w:val="18"/>
              </w:rPr>
              <w:t>44</w:t>
            </w:r>
          </w:p>
        </w:tc>
      </w:tr>
      <w:tr w:rsidR="008B2C48" w:rsidRPr="00A61D53" w14:paraId="5C900ABF" w14:textId="77777777">
        <w:tc>
          <w:tcPr>
            <w:tcW w:w="4751" w:type="dxa"/>
            <w:tcBorders>
              <w:bottom w:val="single" w:sz="4" w:space="0" w:color="auto"/>
            </w:tcBorders>
            <w:shd w:val="clear" w:color="auto" w:fill="auto"/>
            <w:vAlign w:val="bottom"/>
          </w:tcPr>
          <w:p w14:paraId="73E2724F" w14:textId="77777777" w:rsidR="008B2C48" w:rsidRPr="00A61D53" w:rsidRDefault="008B2C48" w:rsidP="00FD23A7">
            <w:pPr>
              <w:autoSpaceDE w:val="0"/>
              <w:autoSpaceDN w:val="0"/>
              <w:adjustRightInd w:val="0"/>
              <w:spacing w:before="40" w:after="40" w:line="200" w:lineRule="exact"/>
              <w:ind w:right="38" w:firstLine="284"/>
              <w:rPr>
                <w:sz w:val="18"/>
              </w:rPr>
            </w:pPr>
            <w:r w:rsidRPr="00A61D53">
              <w:rPr>
                <w:sz w:val="18"/>
              </w:rPr>
              <w:t>P</w:t>
            </w:r>
            <w:r>
              <w:rPr>
                <w:sz w:val="18"/>
              </w:rPr>
              <w:t>-</w:t>
            </w:r>
            <w:r w:rsidRPr="00A61D53">
              <w:rPr>
                <w:sz w:val="18"/>
              </w:rPr>
              <w:t>2</w:t>
            </w:r>
          </w:p>
        </w:tc>
        <w:tc>
          <w:tcPr>
            <w:tcW w:w="774" w:type="dxa"/>
            <w:tcBorders>
              <w:bottom w:val="single" w:sz="4" w:space="0" w:color="auto"/>
            </w:tcBorders>
            <w:shd w:val="clear" w:color="auto" w:fill="auto"/>
            <w:tcMar>
              <w:right w:w="108" w:type="dxa"/>
            </w:tcMar>
            <w:vAlign w:val="bottom"/>
          </w:tcPr>
          <w:p w14:paraId="514841E0" w14:textId="77777777" w:rsidR="008B2C48" w:rsidRPr="00A61D53" w:rsidRDefault="008B2C48" w:rsidP="00FD23A7">
            <w:pPr>
              <w:spacing w:before="40" w:after="40" w:line="200" w:lineRule="exact"/>
              <w:jc w:val="right"/>
              <w:rPr>
                <w:sz w:val="18"/>
              </w:rPr>
            </w:pPr>
            <w:r w:rsidRPr="00A61D53">
              <w:rPr>
                <w:color w:val="000000"/>
                <w:sz w:val="18"/>
                <w:szCs w:val="18"/>
              </w:rPr>
              <w:t>19</w:t>
            </w:r>
          </w:p>
        </w:tc>
        <w:tc>
          <w:tcPr>
            <w:tcW w:w="923" w:type="dxa"/>
            <w:tcBorders>
              <w:bottom w:val="single" w:sz="4" w:space="0" w:color="auto"/>
            </w:tcBorders>
            <w:shd w:val="clear" w:color="auto" w:fill="auto"/>
            <w:vAlign w:val="bottom"/>
          </w:tcPr>
          <w:p w14:paraId="5C140DE8" w14:textId="77777777" w:rsidR="008B2C48" w:rsidRPr="00A61D53" w:rsidRDefault="008B2C48" w:rsidP="00FD23A7">
            <w:pPr>
              <w:spacing w:before="40" w:after="40" w:line="200" w:lineRule="exact"/>
              <w:jc w:val="right"/>
              <w:rPr>
                <w:sz w:val="18"/>
              </w:rPr>
            </w:pPr>
            <w:r>
              <w:rPr>
                <w:color w:val="000000"/>
                <w:sz w:val="18"/>
                <w:szCs w:val="18"/>
              </w:rPr>
              <w:t>19</w:t>
            </w:r>
          </w:p>
        </w:tc>
        <w:tc>
          <w:tcPr>
            <w:tcW w:w="923" w:type="dxa"/>
            <w:tcBorders>
              <w:bottom w:val="single" w:sz="4" w:space="0" w:color="auto"/>
            </w:tcBorders>
            <w:shd w:val="clear" w:color="auto" w:fill="auto"/>
            <w:vAlign w:val="bottom"/>
          </w:tcPr>
          <w:p w14:paraId="08666DD4" w14:textId="77777777" w:rsidR="008B2C48" w:rsidRPr="00A61D53" w:rsidRDefault="008B2C48" w:rsidP="00FD23A7">
            <w:pPr>
              <w:spacing w:before="40" w:after="40" w:line="200" w:lineRule="exact"/>
              <w:jc w:val="right"/>
              <w:rPr>
                <w:sz w:val="18"/>
              </w:rPr>
            </w:pPr>
            <w:r>
              <w:rPr>
                <w:color w:val="000000"/>
                <w:sz w:val="18"/>
                <w:szCs w:val="18"/>
              </w:rPr>
              <w:t>19</w:t>
            </w:r>
          </w:p>
        </w:tc>
      </w:tr>
      <w:tr w:rsidR="008B2C48" w:rsidRPr="00A61D53" w14:paraId="49452913" w14:textId="77777777">
        <w:tc>
          <w:tcPr>
            <w:tcW w:w="4751" w:type="dxa"/>
            <w:tcBorders>
              <w:top w:val="single" w:sz="4" w:space="0" w:color="auto"/>
              <w:bottom w:val="single" w:sz="4" w:space="0" w:color="auto"/>
            </w:tcBorders>
            <w:shd w:val="clear" w:color="auto" w:fill="auto"/>
            <w:vAlign w:val="bottom"/>
          </w:tcPr>
          <w:p w14:paraId="1CF92C16" w14:textId="77777777" w:rsidR="008B2C48" w:rsidRPr="00A61D53" w:rsidRDefault="008B2C48" w:rsidP="00FD23A7">
            <w:pPr>
              <w:autoSpaceDE w:val="0"/>
              <w:autoSpaceDN w:val="0"/>
              <w:adjustRightInd w:val="0"/>
              <w:spacing w:before="40" w:after="40" w:line="200" w:lineRule="exact"/>
              <w:ind w:right="38" w:firstLine="284"/>
              <w:rPr>
                <w:b/>
                <w:sz w:val="18"/>
              </w:rPr>
            </w:pPr>
            <w:r w:rsidRPr="00A61D53">
              <w:rPr>
                <w:b/>
                <w:sz w:val="18"/>
              </w:rPr>
              <w:t>Subtotal Professional category and above</w:t>
            </w:r>
          </w:p>
        </w:tc>
        <w:tc>
          <w:tcPr>
            <w:tcW w:w="774" w:type="dxa"/>
            <w:tcBorders>
              <w:top w:val="single" w:sz="4" w:space="0" w:color="auto"/>
              <w:bottom w:val="single" w:sz="4" w:space="0" w:color="auto"/>
            </w:tcBorders>
            <w:shd w:val="clear" w:color="auto" w:fill="auto"/>
            <w:tcMar>
              <w:right w:w="108" w:type="dxa"/>
            </w:tcMar>
            <w:vAlign w:val="bottom"/>
          </w:tcPr>
          <w:p w14:paraId="1E1D14A5" w14:textId="77777777" w:rsidR="008B2C48" w:rsidRPr="00A61D53" w:rsidRDefault="008B2C48" w:rsidP="00FD23A7">
            <w:pPr>
              <w:spacing w:before="40" w:after="40" w:line="200" w:lineRule="exact"/>
              <w:jc w:val="right"/>
              <w:rPr>
                <w:sz w:val="18"/>
              </w:rPr>
            </w:pPr>
            <w:r w:rsidRPr="00A61D53">
              <w:rPr>
                <w:b/>
                <w:color w:val="000000"/>
                <w:sz w:val="18"/>
                <w:szCs w:val="18"/>
              </w:rPr>
              <w:t>128</w:t>
            </w:r>
          </w:p>
        </w:tc>
        <w:tc>
          <w:tcPr>
            <w:tcW w:w="923" w:type="dxa"/>
            <w:tcBorders>
              <w:top w:val="single" w:sz="4" w:space="0" w:color="auto"/>
              <w:bottom w:val="single" w:sz="4" w:space="0" w:color="auto"/>
            </w:tcBorders>
            <w:shd w:val="clear" w:color="auto" w:fill="auto"/>
            <w:vAlign w:val="bottom"/>
          </w:tcPr>
          <w:p w14:paraId="5CADD0D0" w14:textId="77777777" w:rsidR="008B2C48" w:rsidRPr="00A61D53" w:rsidRDefault="008B2C48" w:rsidP="00FD23A7">
            <w:pPr>
              <w:spacing w:before="40" w:after="40" w:line="200" w:lineRule="exact"/>
              <w:jc w:val="right"/>
              <w:rPr>
                <w:b/>
                <w:bCs/>
                <w:sz w:val="18"/>
              </w:rPr>
            </w:pPr>
            <w:r w:rsidRPr="00A86CFD">
              <w:rPr>
                <w:b/>
                <w:bCs/>
                <w:color w:val="000000"/>
                <w:sz w:val="18"/>
                <w:szCs w:val="18"/>
              </w:rPr>
              <w:t>128</w:t>
            </w:r>
          </w:p>
        </w:tc>
        <w:tc>
          <w:tcPr>
            <w:tcW w:w="923" w:type="dxa"/>
            <w:tcBorders>
              <w:top w:val="single" w:sz="4" w:space="0" w:color="auto"/>
              <w:bottom w:val="single" w:sz="4" w:space="0" w:color="auto"/>
            </w:tcBorders>
            <w:shd w:val="clear" w:color="auto" w:fill="auto"/>
            <w:vAlign w:val="bottom"/>
          </w:tcPr>
          <w:p w14:paraId="1330915C" w14:textId="77777777" w:rsidR="008B2C48" w:rsidRPr="00A61D53" w:rsidRDefault="008B2C48" w:rsidP="00FD23A7">
            <w:pPr>
              <w:spacing w:before="40" w:after="40" w:line="200" w:lineRule="exact"/>
              <w:jc w:val="right"/>
              <w:rPr>
                <w:b/>
                <w:bCs/>
                <w:sz w:val="18"/>
              </w:rPr>
            </w:pPr>
            <w:r w:rsidRPr="00A86CFD">
              <w:rPr>
                <w:b/>
                <w:bCs/>
                <w:color w:val="000000"/>
                <w:sz w:val="18"/>
                <w:szCs w:val="18"/>
              </w:rPr>
              <w:t>128</w:t>
            </w:r>
          </w:p>
        </w:tc>
      </w:tr>
      <w:tr w:rsidR="008B2C48" w:rsidRPr="00A61D53" w14:paraId="1DA77AB1" w14:textId="77777777">
        <w:tc>
          <w:tcPr>
            <w:tcW w:w="4751" w:type="dxa"/>
            <w:tcBorders>
              <w:top w:val="single" w:sz="4" w:space="0" w:color="auto"/>
              <w:bottom w:val="single" w:sz="4" w:space="0" w:color="auto"/>
            </w:tcBorders>
            <w:shd w:val="clear" w:color="auto" w:fill="auto"/>
            <w:vAlign w:val="bottom"/>
          </w:tcPr>
          <w:p w14:paraId="7D458FA5" w14:textId="77777777" w:rsidR="008B2C48" w:rsidRPr="00A61D53" w:rsidRDefault="008B2C48" w:rsidP="00FD23A7">
            <w:pPr>
              <w:autoSpaceDE w:val="0"/>
              <w:autoSpaceDN w:val="0"/>
              <w:adjustRightInd w:val="0"/>
              <w:spacing w:before="40" w:after="40" w:line="200" w:lineRule="exact"/>
              <w:ind w:left="278" w:right="38"/>
              <w:rPr>
                <w:b/>
                <w:sz w:val="18"/>
              </w:rPr>
            </w:pPr>
            <w:r w:rsidRPr="00A61D53">
              <w:rPr>
                <w:b/>
                <w:sz w:val="18"/>
              </w:rPr>
              <w:t>Subtotal General Service category</w:t>
            </w:r>
          </w:p>
        </w:tc>
        <w:tc>
          <w:tcPr>
            <w:tcW w:w="774" w:type="dxa"/>
            <w:tcBorders>
              <w:top w:val="single" w:sz="4" w:space="0" w:color="auto"/>
              <w:bottom w:val="single" w:sz="4" w:space="0" w:color="auto"/>
            </w:tcBorders>
            <w:shd w:val="clear" w:color="auto" w:fill="auto"/>
            <w:tcMar>
              <w:right w:w="108" w:type="dxa"/>
            </w:tcMar>
            <w:vAlign w:val="bottom"/>
          </w:tcPr>
          <w:p w14:paraId="70A4B3A9" w14:textId="77777777" w:rsidR="008B2C48" w:rsidRPr="00A61D53" w:rsidRDefault="008B2C48" w:rsidP="00FD23A7">
            <w:pPr>
              <w:spacing w:before="40" w:after="40" w:line="200" w:lineRule="exact"/>
              <w:jc w:val="right"/>
              <w:rPr>
                <w:b/>
                <w:sz w:val="18"/>
              </w:rPr>
            </w:pPr>
            <w:r w:rsidRPr="00A61D53">
              <w:rPr>
                <w:b/>
                <w:color w:val="000000"/>
                <w:sz w:val="18"/>
                <w:szCs w:val="18"/>
              </w:rPr>
              <w:t>53</w:t>
            </w:r>
          </w:p>
        </w:tc>
        <w:tc>
          <w:tcPr>
            <w:tcW w:w="923" w:type="dxa"/>
            <w:tcBorders>
              <w:top w:val="single" w:sz="4" w:space="0" w:color="auto"/>
              <w:bottom w:val="single" w:sz="4" w:space="0" w:color="auto"/>
            </w:tcBorders>
            <w:shd w:val="clear" w:color="auto" w:fill="auto"/>
            <w:vAlign w:val="bottom"/>
          </w:tcPr>
          <w:p w14:paraId="798D4B02" w14:textId="77777777" w:rsidR="008B2C48" w:rsidRPr="00A61D53" w:rsidRDefault="008B2C48" w:rsidP="00FD23A7">
            <w:pPr>
              <w:spacing w:before="40" w:after="40" w:line="200" w:lineRule="exact"/>
              <w:jc w:val="right"/>
              <w:rPr>
                <w:b/>
                <w:sz w:val="18"/>
              </w:rPr>
            </w:pPr>
            <w:r w:rsidRPr="00A86CFD">
              <w:rPr>
                <w:b/>
                <w:color w:val="000000"/>
                <w:sz w:val="18"/>
                <w:szCs w:val="18"/>
              </w:rPr>
              <w:t>53</w:t>
            </w:r>
          </w:p>
        </w:tc>
        <w:tc>
          <w:tcPr>
            <w:tcW w:w="923" w:type="dxa"/>
            <w:tcBorders>
              <w:top w:val="single" w:sz="4" w:space="0" w:color="auto"/>
              <w:bottom w:val="single" w:sz="4" w:space="0" w:color="auto"/>
            </w:tcBorders>
            <w:shd w:val="clear" w:color="auto" w:fill="auto"/>
            <w:vAlign w:val="bottom"/>
          </w:tcPr>
          <w:p w14:paraId="3C838C3B" w14:textId="77777777" w:rsidR="008B2C48" w:rsidRPr="00A61D53" w:rsidRDefault="008B2C48" w:rsidP="00FD23A7">
            <w:pPr>
              <w:spacing w:before="40" w:after="40" w:line="200" w:lineRule="exact"/>
              <w:jc w:val="right"/>
              <w:rPr>
                <w:b/>
                <w:sz w:val="18"/>
              </w:rPr>
            </w:pPr>
            <w:r w:rsidRPr="00A86CFD">
              <w:rPr>
                <w:b/>
                <w:color w:val="000000"/>
                <w:sz w:val="18"/>
                <w:szCs w:val="18"/>
              </w:rPr>
              <w:t>53</w:t>
            </w:r>
          </w:p>
        </w:tc>
      </w:tr>
      <w:tr w:rsidR="008B2C48" w:rsidRPr="00A61D53" w14:paraId="05BC5604" w14:textId="77777777">
        <w:tc>
          <w:tcPr>
            <w:tcW w:w="4751" w:type="dxa"/>
            <w:tcBorders>
              <w:top w:val="single" w:sz="4" w:space="0" w:color="auto"/>
              <w:bottom w:val="single" w:sz="12" w:space="0" w:color="auto"/>
            </w:tcBorders>
            <w:shd w:val="clear" w:color="auto" w:fill="auto"/>
            <w:vAlign w:val="bottom"/>
          </w:tcPr>
          <w:p w14:paraId="3D1AA82D" w14:textId="77777777" w:rsidR="008B2C48" w:rsidRPr="00A61D53" w:rsidRDefault="008B2C48" w:rsidP="00FD23A7">
            <w:pPr>
              <w:autoSpaceDE w:val="0"/>
              <w:autoSpaceDN w:val="0"/>
              <w:adjustRightInd w:val="0"/>
              <w:spacing w:before="40" w:after="40" w:line="200" w:lineRule="exact"/>
              <w:ind w:right="38" w:firstLine="284"/>
              <w:rPr>
                <w:b/>
                <w:sz w:val="18"/>
              </w:rPr>
            </w:pPr>
            <w:r w:rsidRPr="00A61D53">
              <w:rPr>
                <w:b/>
                <w:sz w:val="18"/>
              </w:rPr>
              <w:t>Total</w:t>
            </w:r>
          </w:p>
        </w:tc>
        <w:tc>
          <w:tcPr>
            <w:tcW w:w="774" w:type="dxa"/>
            <w:tcBorders>
              <w:top w:val="single" w:sz="4" w:space="0" w:color="auto"/>
              <w:bottom w:val="single" w:sz="12" w:space="0" w:color="auto"/>
            </w:tcBorders>
            <w:shd w:val="clear" w:color="auto" w:fill="auto"/>
            <w:tcMar>
              <w:right w:w="108" w:type="dxa"/>
            </w:tcMar>
            <w:vAlign w:val="bottom"/>
          </w:tcPr>
          <w:p w14:paraId="42B291F3" w14:textId="77777777" w:rsidR="008B2C48" w:rsidRPr="00A61D53" w:rsidRDefault="008B2C48" w:rsidP="00FD23A7">
            <w:pPr>
              <w:spacing w:before="40" w:after="40" w:line="200" w:lineRule="exact"/>
              <w:jc w:val="right"/>
              <w:rPr>
                <w:b/>
                <w:sz w:val="18"/>
              </w:rPr>
            </w:pPr>
            <w:r w:rsidRPr="00A61D53">
              <w:rPr>
                <w:b/>
                <w:bCs/>
                <w:color w:val="000000"/>
                <w:sz w:val="18"/>
                <w:szCs w:val="18"/>
              </w:rPr>
              <w:t>181</w:t>
            </w:r>
          </w:p>
        </w:tc>
        <w:tc>
          <w:tcPr>
            <w:tcW w:w="923" w:type="dxa"/>
            <w:tcBorders>
              <w:top w:val="single" w:sz="4" w:space="0" w:color="auto"/>
              <w:bottom w:val="single" w:sz="12" w:space="0" w:color="auto"/>
            </w:tcBorders>
            <w:shd w:val="clear" w:color="auto" w:fill="auto"/>
            <w:vAlign w:val="bottom"/>
          </w:tcPr>
          <w:p w14:paraId="5795FBAE" w14:textId="77777777" w:rsidR="008B2C48" w:rsidRPr="00A61D53" w:rsidRDefault="008B2C48" w:rsidP="00FD23A7">
            <w:pPr>
              <w:spacing w:before="40" w:after="40" w:line="200" w:lineRule="exact"/>
              <w:jc w:val="right"/>
              <w:rPr>
                <w:b/>
                <w:sz w:val="18"/>
              </w:rPr>
            </w:pPr>
            <w:r>
              <w:rPr>
                <w:b/>
                <w:bCs/>
                <w:color w:val="000000"/>
                <w:sz w:val="18"/>
                <w:szCs w:val="18"/>
              </w:rPr>
              <w:t>181</w:t>
            </w:r>
          </w:p>
        </w:tc>
        <w:tc>
          <w:tcPr>
            <w:tcW w:w="923" w:type="dxa"/>
            <w:tcBorders>
              <w:top w:val="single" w:sz="4" w:space="0" w:color="auto"/>
              <w:bottom w:val="single" w:sz="12" w:space="0" w:color="auto"/>
            </w:tcBorders>
            <w:shd w:val="clear" w:color="auto" w:fill="auto"/>
            <w:vAlign w:val="bottom"/>
          </w:tcPr>
          <w:p w14:paraId="2FE52B56" w14:textId="77777777" w:rsidR="008B2C48" w:rsidRPr="00A61D53" w:rsidRDefault="008B2C48" w:rsidP="00FD23A7">
            <w:pPr>
              <w:spacing w:before="40" w:after="40" w:line="200" w:lineRule="exact"/>
              <w:jc w:val="right"/>
              <w:rPr>
                <w:b/>
                <w:sz w:val="18"/>
              </w:rPr>
            </w:pPr>
            <w:r>
              <w:rPr>
                <w:b/>
                <w:bCs/>
                <w:color w:val="000000"/>
                <w:sz w:val="18"/>
                <w:szCs w:val="18"/>
              </w:rPr>
              <w:t>181</w:t>
            </w:r>
          </w:p>
        </w:tc>
      </w:tr>
    </w:tbl>
    <w:p w14:paraId="03D890C7" w14:textId="625AAC3D" w:rsidR="00654092" w:rsidRDefault="008B2C48" w:rsidP="00FA1506">
      <w:pPr>
        <w:keepNext/>
        <w:spacing w:before="60" w:after="180" w:line="200" w:lineRule="exact"/>
        <w:ind w:left="1134" w:right="992" w:firstLine="142"/>
      </w:pPr>
      <w:r w:rsidRPr="00A61D53">
        <w:rPr>
          <w:i/>
          <w:sz w:val="18"/>
          <w:szCs w:val="18"/>
        </w:rPr>
        <w:t>Abbreviations</w:t>
      </w:r>
      <w:r w:rsidRPr="00A61D53">
        <w:rPr>
          <w:sz w:val="18"/>
          <w:szCs w:val="18"/>
        </w:rPr>
        <w:t>: ASG = Assistant Secretary</w:t>
      </w:r>
      <w:r>
        <w:rPr>
          <w:sz w:val="18"/>
          <w:szCs w:val="18"/>
        </w:rPr>
        <w:t>-</w:t>
      </w:r>
      <w:r w:rsidRPr="00A61D53">
        <w:rPr>
          <w:sz w:val="18"/>
          <w:szCs w:val="18"/>
        </w:rPr>
        <w:t>General; D = Director; P = Professional; USG = Under</w:t>
      </w:r>
      <w:r>
        <w:rPr>
          <w:sz w:val="18"/>
          <w:szCs w:val="18"/>
        </w:rPr>
        <w:t>-</w:t>
      </w:r>
      <w:r w:rsidR="008E19E8" w:rsidRPr="008E19E8">
        <w:rPr>
          <w:sz w:val="18"/>
          <w:szCs w:val="18"/>
        </w:rPr>
        <w:t xml:space="preserve"> </w:t>
      </w:r>
      <w:r w:rsidR="008E19E8" w:rsidRPr="00A61D53">
        <w:rPr>
          <w:sz w:val="18"/>
          <w:szCs w:val="18"/>
        </w:rPr>
        <w:t>Secretary</w:t>
      </w:r>
      <w:r w:rsidR="008E19E8">
        <w:rPr>
          <w:sz w:val="18"/>
          <w:szCs w:val="18"/>
        </w:rPr>
        <w:t>-</w:t>
      </w:r>
      <w:r w:rsidR="008E19E8" w:rsidRPr="00A61D53">
        <w:rPr>
          <w:sz w:val="18"/>
          <w:szCs w:val="18"/>
        </w:rPr>
        <w:t>General.</w:t>
      </w:r>
    </w:p>
    <w:p w14:paraId="6B4AE31B" w14:textId="72F9867A" w:rsidR="003E4D45" w:rsidRDefault="003E4D45" w:rsidP="003E4D45">
      <w:pPr>
        <w:keepNext/>
        <w:ind w:left="1134" w:right="991"/>
      </w:pPr>
      <w:r w:rsidRPr="00120074">
        <w:t xml:space="preserve">Table </w:t>
      </w:r>
      <w:r>
        <w:t>3</w:t>
      </w:r>
    </w:p>
    <w:p w14:paraId="32F76A96" w14:textId="77777777" w:rsidR="003E4D45" w:rsidRPr="007F6556" w:rsidRDefault="003E4D45" w:rsidP="003E4D45">
      <w:pPr>
        <w:keepNext/>
        <w:keepLines/>
        <w:ind w:left="1134" w:right="1134"/>
        <w:rPr>
          <w:rFonts w:eastAsia="Times New Roman"/>
          <w:b/>
          <w:lang w:eastAsia="en-US"/>
        </w:rPr>
      </w:pPr>
      <w:r w:rsidRPr="007F6556">
        <w:rPr>
          <w:rFonts w:eastAsia="Times New Roman"/>
          <w:b/>
          <w:lang w:eastAsia="en-US"/>
        </w:rPr>
        <w:t>Resource requirements for the conference services contingency</w:t>
      </w:r>
      <w:r>
        <w:rPr>
          <w:rFonts w:eastAsia="Times New Roman"/>
          <w:b/>
          <w:lang w:eastAsia="en-US"/>
        </w:rPr>
        <w:t xml:space="preserve"> for 2024–2025</w:t>
      </w:r>
    </w:p>
    <w:p w14:paraId="58C0C5FF" w14:textId="77777777" w:rsidR="003E4D45" w:rsidRDefault="003E4D45" w:rsidP="003E4D45">
      <w:pPr>
        <w:spacing w:after="120" w:line="240" w:lineRule="auto"/>
        <w:ind w:left="1134" w:right="1134"/>
        <w:jc w:val="both"/>
        <w:rPr>
          <w:rFonts w:eastAsia="Times New Roman"/>
          <w:sz w:val="16"/>
          <w:szCs w:val="16"/>
          <w:lang w:eastAsia="en-US"/>
        </w:rPr>
      </w:pPr>
      <w:r w:rsidRPr="007F6556">
        <w:rPr>
          <w:rFonts w:eastAsia="Times New Roman"/>
          <w:sz w:val="16"/>
          <w:szCs w:val="16"/>
          <w:lang w:eastAsia="en-US"/>
        </w:rPr>
        <w:t>(Euros)</w:t>
      </w:r>
    </w:p>
    <w:tbl>
      <w:tblPr>
        <w:tblStyle w:val="TableGrid"/>
        <w:tblW w:w="7371"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42"/>
        <w:gridCol w:w="1422"/>
        <w:gridCol w:w="1421"/>
        <w:gridCol w:w="1686"/>
      </w:tblGrid>
      <w:tr w:rsidR="003E4D45" w:rsidRPr="007F6556" w14:paraId="2F403DFC" w14:textId="77777777" w:rsidTr="00FD7572">
        <w:trPr>
          <w:tblHeader/>
        </w:trPr>
        <w:tc>
          <w:tcPr>
            <w:tcW w:w="2835" w:type="dxa"/>
            <w:tcBorders>
              <w:top w:val="single" w:sz="4" w:space="0" w:color="auto"/>
              <w:bottom w:val="single" w:sz="12" w:space="0" w:color="auto"/>
            </w:tcBorders>
            <w:shd w:val="clear" w:color="auto" w:fill="auto"/>
            <w:vAlign w:val="bottom"/>
          </w:tcPr>
          <w:p w14:paraId="7678A8BE" w14:textId="77777777" w:rsidR="003E4D45" w:rsidRPr="007F6556" w:rsidRDefault="003E4D45" w:rsidP="00FD7572">
            <w:pPr>
              <w:spacing w:before="40" w:after="40" w:line="180" w:lineRule="exact"/>
              <w:rPr>
                <w:i/>
                <w:sz w:val="16"/>
              </w:rPr>
            </w:pPr>
            <w:r w:rsidRPr="007F6556">
              <w:rPr>
                <w:i/>
                <w:sz w:val="16"/>
              </w:rPr>
              <w:t>Object of expenditure</w:t>
            </w:r>
          </w:p>
        </w:tc>
        <w:tc>
          <w:tcPr>
            <w:tcW w:w="1418" w:type="dxa"/>
            <w:tcBorders>
              <w:top w:val="single" w:sz="4" w:space="0" w:color="auto"/>
              <w:bottom w:val="single" w:sz="12" w:space="0" w:color="auto"/>
            </w:tcBorders>
            <w:shd w:val="clear" w:color="auto" w:fill="auto"/>
            <w:vAlign w:val="bottom"/>
          </w:tcPr>
          <w:p w14:paraId="0DEE6A73" w14:textId="77777777" w:rsidR="003E4D45" w:rsidRPr="00460891" w:rsidRDefault="003E4D45" w:rsidP="00FD7572">
            <w:pPr>
              <w:spacing w:before="40" w:after="40" w:line="180" w:lineRule="exact"/>
              <w:jc w:val="right"/>
              <w:rPr>
                <w:i/>
                <w:sz w:val="16"/>
              </w:rPr>
            </w:pPr>
            <w:r w:rsidRPr="00460891">
              <w:rPr>
                <w:i/>
                <w:sz w:val="16"/>
              </w:rPr>
              <w:t>2024</w:t>
            </w:r>
          </w:p>
        </w:tc>
        <w:tc>
          <w:tcPr>
            <w:tcW w:w="1417" w:type="dxa"/>
            <w:tcBorders>
              <w:top w:val="single" w:sz="4" w:space="0" w:color="auto"/>
              <w:bottom w:val="single" w:sz="12" w:space="0" w:color="auto"/>
            </w:tcBorders>
            <w:shd w:val="clear" w:color="auto" w:fill="auto"/>
            <w:vAlign w:val="bottom"/>
          </w:tcPr>
          <w:p w14:paraId="0E768723" w14:textId="77777777" w:rsidR="003E4D45" w:rsidRPr="00460891" w:rsidRDefault="003E4D45" w:rsidP="00FD7572">
            <w:pPr>
              <w:spacing w:before="40" w:after="40" w:line="180" w:lineRule="exact"/>
              <w:jc w:val="right"/>
              <w:rPr>
                <w:i/>
                <w:sz w:val="16"/>
              </w:rPr>
            </w:pPr>
            <w:r w:rsidRPr="00460891">
              <w:rPr>
                <w:i/>
                <w:sz w:val="16"/>
              </w:rPr>
              <w:t>2025</w:t>
            </w:r>
          </w:p>
        </w:tc>
        <w:tc>
          <w:tcPr>
            <w:tcW w:w="1681" w:type="dxa"/>
            <w:tcBorders>
              <w:top w:val="single" w:sz="4" w:space="0" w:color="auto"/>
              <w:bottom w:val="single" w:sz="12" w:space="0" w:color="auto"/>
            </w:tcBorders>
            <w:shd w:val="clear" w:color="auto" w:fill="auto"/>
            <w:vAlign w:val="bottom"/>
          </w:tcPr>
          <w:p w14:paraId="742AF685" w14:textId="77777777" w:rsidR="003E4D45" w:rsidRPr="00460891" w:rsidRDefault="003E4D45" w:rsidP="00FD7572">
            <w:pPr>
              <w:spacing w:before="40" w:after="40" w:line="180" w:lineRule="exact"/>
              <w:jc w:val="right"/>
              <w:rPr>
                <w:i/>
                <w:sz w:val="16"/>
              </w:rPr>
            </w:pPr>
            <w:r w:rsidRPr="00460891">
              <w:rPr>
                <w:i/>
                <w:sz w:val="16"/>
              </w:rPr>
              <w:t>Total 2024–2025</w:t>
            </w:r>
          </w:p>
        </w:tc>
      </w:tr>
      <w:tr w:rsidR="003E4D45" w:rsidRPr="007F6556" w14:paraId="449C9BA7" w14:textId="77777777" w:rsidTr="00FD7572">
        <w:trPr>
          <w:trHeight w:val="80"/>
        </w:trPr>
        <w:tc>
          <w:tcPr>
            <w:tcW w:w="2835" w:type="dxa"/>
            <w:tcBorders>
              <w:top w:val="single" w:sz="12" w:space="0" w:color="auto"/>
            </w:tcBorders>
            <w:shd w:val="clear" w:color="auto" w:fill="auto"/>
            <w:vAlign w:val="bottom"/>
          </w:tcPr>
          <w:p w14:paraId="4E96B527" w14:textId="77777777" w:rsidR="003E4D45" w:rsidRPr="007F6556" w:rsidRDefault="003E4D45" w:rsidP="00FD7572">
            <w:pPr>
              <w:spacing w:before="40" w:after="40" w:line="200" w:lineRule="exact"/>
              <w:rPr>
                <w:sz w:val="18"/>
                <w:szCs w:val="18"/>
              </w:rPr>
            </w:pPr>
            <w:r w:rsidRPr="007F6556">
              <w:rPr>
                <w:sz w:val="18"/>
                <w:szCs w:val="18"/>
              </w:rPr>
              <w:t>Interpretation</w:t>
            </w:r>
          </w:p>
        </w:tc>
        <w:tc>
          <w:tcPr>
            <w:tcW w:w="1418" w:type="dxa"/>
            <w:tcBorders>
              <w:top w:val="single" w:sz="12" w:space="0" w:color="auto"/>
              <w:left w:val="nil"/>
              <w:bottom w:val="nil"/>
              <w:right w:val="nil"/>
            </w:tcBorders>
            <w:shd w:val="clear" w:color="auto" w:fill="auto"/>
            <w:vAlign w:val="center"/>
          </w:tcPr>
          <w:p w14:paraId="06B07363" w14:textId="77777777" w:rsidR="003E4D45" w:rsidRPr="00460891" w:rsidRDefault="003E4D45" w:rsidP="00FD7572">
            <w:pPr>
              <w:spacing w:before="40" w:after="40" w:line="200" w:lineRule="exact"/>
              <w:jc w:val="right"/>
              <w:rPr>
                <w:sz w:val="18"/>
                <w:szCs w:val="18"/>
              </w:rPr>
            </w:pPr>
            <w:r>
              <w:rPr>
                <w:color w:val="000000"/>
                <w:sz w:val="18"/>
                <w:szCs w:val="18"/>
              </w:rPr>
              <w:t>1 327 918</w:t>
            </w:r>
          </w:p>
        </w:tc>
        <w:tc>
          <w:tcPr>
            <w:tcW w:w="1417" w:type="dxa"/>
            <w:tcBorders>
              <w:top w:val="single" w:sz="12" w:space="0" w:color="auto"/>
              <w:left w:val="nil"/>
              <w:bottom w:val="nil"/>
              <w:right w:val="nil"/>
            </w:tcBorders>
            <w:shd w:val="clear" w:color="auto" w:fill="auto"/>
            <w:vAlign w:val="center"/>
          </w:tcPr>
          <w:p w14:paraId="3A4744C1" w14:textId="77777777" w:rsidR="003E4D45" w:rsidRPr="00460891" w:rsidRDefault="003E4D45" w:rsidP="00FD7572">
            <w:pPr>
              <w:spacing w:before="40" w:after="40" w:line="200" w:lineRule="exact"/>
              <w:jc w:val="right"/>
              <w:rPr>
                <w:sz w:val="18"/>
                <w:szCs w:val="18"/>
              </w:rPr>
            </w:pPr>
            <w:r>
              <w:rPr>
                <w:color w:val="000000"/>
                <w:sz w:val="18"/>
                <w:szCs w:val="18"/>
              </w:rPr>
              <w:t>1 367 755</w:t>
            </w:r>
          </w:p>
        </w:tc>
        <w:tc>
          <w:tcPr>
            <w:tcW w:w="1681" w:type="dxa"/>
            <w:tcBorders>
              <w:top w:val="single" w:sz="12" w:space="0" w:color="auto"/>
              <w:left w:val="nil"/>
              <w:bottom w:val="nil"/>
              <w:right w:val="nil"/>
            </w:tcBorders>
            <w:shd w:val="clear" w:color="auto" w:fill="auto"/>
            <w:vAlign w:val="center"/>
          </w:tcPr>
          <w:p w14:paraId="5B2564E5" w14:textId="77777777" w:rsidR="003E4D45" w:rsidRPr="00460891" w:rsidRDefault="003E4D45" w:rsidP="00FD7572">
            <w:pPr>
              <w:spacing w:before="40" w:after="40" w:line="200" w:lineRule="exact"/>
              <w:jc w:val="right"/>
              <w:rPr>
                <w:sz w:val="18"/>
                <w:szCs w:val="18"/>
              </w:rPr>
            </w:pPr>
            <w:r>
              <w:rPr>
                <w:color w:val="000000"/>
                <w:sz w:val="18"/>
                <w:szCs w:val="18"/>
              </w:rPr>
              <w:t>2 695 673</w:t>
            </w:r>
          </w:p>
        </w:tc>
      </w:tr>
      <w:tr w:rsidR="003E4D45" w:rsidRPr="007F6556" w14:paraId="378F45BF" w14:textId="77777777" w:rsidTr="00FD7572">
        <w:tc>
          <w:tcPr>
            <w:tcW w:w="2835" w:type="dxa"/>
            <w:shd w:val="clear" w:color="auto" w:fill="auto"/>
            <w:vAlign w:val="bottom"/>
          </w:tcPr>
          <w:p w14:paraId="470C362D" w14:textId="77777777" w:rsidR="003E4D45" w:rsidRPr="007F6556" w:rsidRDefault="003E4D45" w:rsidP="00FD7572">
            <w:pPr>
              <w:spacing w:before="40" w:after="40" w:line="200" w:lineRule="exact"/>
              <w:rPr>
                <w:sz w:val="18"/>
                <w:szCs w:val="18"/>
              </w:rPr>
            </w:pPr>
            <w:r w:rsidRPr="007F6556">
              <w:rPr>
                <w:sz w:val="18"/>
                <w:szCs w:val="18"/>
              </w:rPr>
              <w:t>Documentation</w:t>
            </w:r>
          </w:p>
        </w:tc>
        <w:tc>
          <w:tcPr>
            <w:tcW w:w="1418" w:type="dxa"/>
            <w:tcBorders>
              <w:top w:val="nil"/>
              <w:left w:val="nil"/>
              <w:bottom w:val="nil"/>
              <w:right w:val="nil"/>
            </w:tcBorders>
            <w:shd w:val="clear" w:color="auto" w:fill="auto"/>
            <w:vAlign w:val="center"/>
          </w:tcPr>
          <w:p w14:paraId="3A873464" w14:textId="77777777" w:rsidR="003E4D45" w:rsidRPr="00460891" w:rsidRDefault="003E4D45" w:rsidP="00FD7572">
            <w:pPr>
              <w:spacing w:before="40" w:after="40" w:line="200" w:lineRule="exact"/>
              <w:jc w:val="right"/>
              <w:rPr>
                <w:sz w:val="18"/>
                <w:szCs w:val="18"/>
              </w:rPr>
            </w:pPr>
          </w:p>
        </w:tc>
        <w:tc>
          <w:tcPr>
            <w:tcW w:w="1417" w:type="dxa"/>
            <w:tcBorders>
              <w:top w:val="nil"/>
              <w:left w:val="nil"/>
              <w:bottom w:val="nil"/>
              <w:right w:val="nil"/>
            </w:tcBorders>
            <w:shd w:val="clear" w:color="auto" w:fill="auto"/>
            <w:vAlign w:val="center"/>
          </w:tcPr>
          <w:p w14:paraId="6FF1A436" w14:textId="77777777" w:rsidR="003E4D45" w:rsidRPr="00460891" w:rsidRDefault="003E4D45" w:rsidP="00FD7572">
            <w:pPr>
              <w:spacing w:before="40" w:after="40" w:line="200" w:lineRule="exact"/>
              <w:jc w:val="right"/>
              <w:rPr>
                <w:sz w:val="18"/>
                <w:szCs w:val="18"/>
              </w:rPr>
            </w:pPr>
          </w:p>
        </w:tc>
        <w:tc>
          <w:tcPr>
            <w:tcW w:w="1681" w:type="dxa"/>
            <w:tcBorders>
              <w:top w:val="nil"/>
              <w:left w:val="nil"/>
              <w:bottom w:val="nil"/>
              <w:right w:val="nil"/>
            </w:tcBorders>
            <w:shd w:val="clear" w:color="auto" w:fill="auto"/>
            <w:vAlign w:val="center"/>
          </w:tcPr>
          <w:p w14:paraId="24359B30" w14:textId="77777777" w:rsidR="003E4D45" w:rsidRPr="00460891" w:rsidRDefault="003E4D45" w:rsidP="00FD7572">
            <w:pPr>
              <w:spacing w:before="40" w:after="40" w:line="200" w:lineRule="exact"/>
              <w:jc w:val="right"/>
              <w:rPr>
                <w:sz w:val="18"/>
                <w:szCs w:val="18"/>
              </w:rPr>
            </w:pPr>
          </w:p>
        </w:tc>
      </w:tr>
      <w:tr w:rsidR="003E4D45" w:rsidRPr="007F6556" w14:paraId="792D1BDE" w14:textId="77777777" w:rsidTr="00FD7572">
        <w:tc>
          <w:tcPr>
            <w:tcW w:w="2835" w:type="dxa"/>
            <w:shd w:val="clear" w:color="auto" w:fill="auto"/>
            <w:vAlign w:val="bottom"/>
          </w:tcPr>
          <w:p w14:paraId="0E738AE7" w14:textId="77777777" w:rsidR="003E4D45" w:rsidRPr="007F6556" w:rsidRDefault="003E4D45" w:rsidP="00FD7572">
            <w:pPr>
              <w:spacing w:before="40" w:after="40" w:line="200" w:lineRule="exact"/>
              <w:ind w:left="290"/>
              <w:rPr>
                <w:sz w:val="18"/>
                <w:szCs w:val="18"/>
              </w:rPr>
            </w:pPr>
            <w:r w:rsidRPr="007F6556">
              <w:rPr>
                <w:sz w:val="18"/>
                <w:szCs w:val="18"/>
              </w:rPr>
              <w:t>Translation</w:t>
            </w:r>
          </w:p>
        </w:tc>
        <w:tc>
          <w:tcPr>
            <w:tcW w:w="1418" w:type="dxa"/>
            <w:tcBorders>
              <w:top w:val="nil"/>
              <w:left w:val="nil"/>
              <w:bottom w:val="nil"/>
              <w:right w:val="nil"/>
            </w:tcBorders>
            <w:shd w:val="clear" w:color="auto" w:fill="auto"/>
            <w:vAlign w:val="center"/>
          </w:tcPr>
          <w:p w14:paraId="01A48395" w14:textId="77777777" w:rsidR="003E4D45" w:rsidRPr="00460891" w:rsidRDefault="003E4D45" w:rsidP="00FD7572">
            <w:pPr>
              <w:spacing w:before="40" w:after="40" w:line="200" w:lineRule="exact"/>
              <w:jc w:val="right"/>
              <w:rPr>
                <w:sz w:val="18"/>
                <w:szCs w:val="18"/>
              </w:rPr>
            </w:pPr>
            <w:r>
              <w:rPr>
                <w:color w:val="000000"/>
                <w:sz w:val="18"/>
                <w:szCs w:val="18"/>
              </w:rPr>
              <w:t>1 247 963</w:t>
            </w:r>
          </w:p>
        </w:tc>
        <w:tc>
          <w:tcPr>
            <w:tcW w:w="1417" w:type="dxa"/>
            <w:tcBorders>
              <w:top w:val="nil"/>
              <w:left w:val="nil"/>
              <w:bottom w:val="nil"/>
              <w:right w:val="nil"/>
            </w:tcBorders>
            <w:shd w:val="clear" w:color="auto" w:fill="auto"/>
            <w:vAlign w:val="center"/>
          </w:tcPr>
          <w:p w14:paraId="1F589F6E" w14:textId="77777777" w:rsidR="003E4D45" w:rsidRPr="00460891" w:rsidRDefault="003E4D45" w:rsidP="00FD7572">
            <w:pPr>
              <w:spacing w:before="40" w:after="40" w:line="200" w:lineRule="exact"/>
              <w:jc w:val="right"/>
              <w:rPr>
                <w:sz w:val="18"/>
                <w:szCs w:val="18"/>
              </w:rPr>
            </w:pPr>
            <w:r>
              <w:rPr>
                <w:color w:val="000000"/>
                <w:sz w:val="18"/>
                <w:szCs w:val="18"/>
              </w:rPr>
              <w:t>1 285 402</w:t>
            </w:r>
          </w:p>
        </w:tc>
        <w:tc>
          <w:tcPr>
            <w:tcW w:w="1681" w:type="dxa"/>
            <w:tcBorders>
              <w:top w:val="nil"/>
              <w:left w:val="nil"/>
              <w:bottom w:val="nil"/>
              <w:right w:val="nil"/>
            </w:tcBorders>
            <w:shd w:val="clear" w:color="auto" w:fill="auto"/>
            <w:vAlign w:val="center"/>
          </w:tcPr>
          <w:p w14:paraId="25E91090" w14:textId="77777777" w:rsidR="003E4D45" w:rsidRPr="00460891" w:rsidRDefault="003E4D45" w:rsidP="00FD7572">
            <w:pPr>
              <w:spacing w:before="40" w:after="40" w:line="200" w:lineRule="exact"/>
              <w:jc w:val="right"/>
              <w:rPr>
                <w:sz w:val="18"/>
                <w:szCs w:val="18"/>
              </w:rPr>
            </w:pPr>
            <w:r>
              <w:rPr>
                <w:color w:val="000000"/>
                <w:sz w:val="18"/>
                <w:szCs w:val="18"/>
              </w:rPr>
              <w:t>2 533 365</w:t>
            </w:r>
          </w:p>
        </w:tc>
      </w:tr>
      <w:tr w:rsidR="003E4D45" w:rsidRPr="007F6556" w14:paraId="4D9709CB" w14:textId="77777777" w:rsidTr="00FD7572">
        <w:tc>
          <w:tcPr>
            <w:tcW w:w="2835" w:type="dxa"/>
            <w:shd w:val="clear" w:color="auto" w:fill="auto"/>
            <w:vAlign w:val="bottom"/>
          </w:tcPr>
          <w:p w14:paraId="52931B01" w14:textId="77777777" w:rsidR="003E4D45" w:rsidRPr="007F6556" w:rsidRDefault="003E4D45" w:rsidP="00FD7572">
            <w:pPr>
              <w:spacing w:before="40" w:after="40" w:line="200" w:lineRule="exact"/>
              <w:ind w:left="290"/>
              <w:rPr>
                <w:sz w:val="18"/>
                <w:szCs w:val="18"/>
              </w:rPr>
            </w:pPr>
            <w:r w:rsidRPr="007F6556">
              <w:rPr>
                <w:sz w:val="18"/>
                <w:szCs w:val="18"/>
              </w:rPr>
              <w:t>Reproduction and distribution</w:t>
            </w:r>
          </w:p>
        </w:tc>
        <w:tc>
          <w:tcPr>
            <w:tcW w:w="1418" w:type="dxa"/>
            <w:tcBorders>
              <w:top w:val="nil"/>
              <w:left w:val="nil"/>
              <w:bottom w:val="nil"/>
              <w:right w:val="nil"/>
            </w:tcBorders>
            <w:shd w:val="clear" w:color="auto" w:fill="auto"/>
            <w:vAlign w:val="center"/>
          </w:tcPr>
          <w:p w14:paraId="707FE7A0" w14:textId="77777777" w:rsidR="003E4D45" w:rsidRPr="00B17789" w:rsidRDefault="003E4D45" w:rsidP="00FD7572">
            <w:pPr>
              <w:spacing w:before="40" w:after="40" w:line="200" w:lineRule="exact"/>
              <w:jc w:val="right"/>
              <w:rPr>
                <w:color w:val="000000"/>
                <w:sz w:val="18"/>
                <w:szCs w:val="18"/>
              </w:rPr>
            </w:pPr>
            <w:r>
              <w:rPr>
                <w:color w:val="000000"/>
                <w:sz w:val="18"/>
                <w:szCs w:val="18"/>
              </w:rPr>
              <w:t>1 226 687</w:t>
            </w:r>
          </w:p>
        </w:tc>
        <w:tc>
          <w:tcPr>
            <w:tcW w:w="1417" w:type="dxa"/>
            <w:tcBorders>
              <w:top w:val="nil"/>
              <w:left w:val="nil"/>
              <w:bottom w:val="nil"/>
              <w:right w:val="nil"/>
            </w:tcBorders>
            <w:shd w:val="clear" w:color="auto" w:fill="auto"/>
            <w:vAlign w:val="center"/>
          </w:tcPr>
          <w:p w14:paraId="75E5E566" w14:textId="77777777" w:rsidR="003E4D45" w:rsidRPr="00B17789" w:rsidRDefault="003E4D45" w:rsidP="00FD7572">
            <w:pPr>
              <w:spacing w:before="40" w:after="40" w:line="200" w:lineRule="exact"/>
              <w:jc w:val="right"/>
              <w:rPr>
                <w:color w:val="000000"/>
                <w:sz w:val="18"/>
                <w:szCs w:val="18"/>
              </w:rPr>
            </w:pPr>
            <w:r>
              <w:rPr>
                <w:color w:val="000000"/>
                <w:sz w:val="18"/>
                <w:szCs w:val="18"/>
              </w:rPr>
              <w:t>1 263 488</w:t>
            </w:r>
          </w:p>
        </w:tc>
        <w:tc>
          <w:tcPr>
            <w:tcW w:w="1681" w:type="dxa"/>
            <w:tcBorders>
              <w:top w:val="nil"/>
              <w:left w:val="nil"/>
              <w:bottom w:val="nil"/>
              <w:right w:val="nil"/>
            </w:tcBorders>
            <w:shd w:val="clear" w:color="auto" w:fill="auto"/>
            <w:vAlign w:val="center"/>
          </w:tcPr>
          <w:p w14:paraId="0F9E7910" w14:textId="77777777" w:rsidR="003E4D45" w:rsidRPr="00B17789" w:rsidRDefault="003E4D45" w:rsidP="00FD7572">
            <w:pPr>
              <w:spacing w:before="40" w:after="40" w:line="200" w:lineRule="exact"/>
              <w:jc w:val="right"/>
              <w:rPr>
                <w:color w:val="000000"/>
                <w:sz w:val="18"/>
                <w:szCs w:val="18"/>
              </w:rPr>
            </w:pPr>
            <w:r>
              <w:rPr>
                <w:color w:val="000000"/>
                <w:sz w:val="18"/>
                <w:szCs w:val="18"/>
              </w:rPr>
              <w:t>2 490 175</w:t>
            </w:r>
          </w:p>
        </w:tc>
      </w:tr>
      <w:tr w:rsidR="003E4D45" w:rsidRPr="007F6556" w14:paraId="2906D921" w14:textId="77777777" w:rsidTr="00FD7572">
        <w:tc>
          <w:tcPr>
            <w:tcW w:w="2835" w:type="dxa"/>
            <w:tcBorders>
              <w:bottom w:val="single" w:sz="4" w:space="0" w:color="auto"/>
            </w:tcBorders>
            <w:shd w:val="clear" w:color="auto" w:fill="auto"/>
            <w:vAlign w:val="bottom"/>
          </w:tcPr>
          <w:p w14:paraId="365F8651" w14:textId="77777777" w:rsidR="003E4D45" w:rsidRPr="007F6556" w:rsidRDefault="003E4D45" w:rsidP="00FD7572">
            <w:pPr>
              <w:spacing w:before="40" w:after="40" w:line="200" w:lineRule="exact"/>
              <w:rPr>
                <w:sz w:val="18"/>
                <w:szCs w:val="18"/>
              </w:rPr>
            </w:pPr>
            <w:r w:rsidRPr="007F6556">
              <w:rPr>
                <w:sz w:val="18"/>
                <w:szCs w:val="18"/>
              </w:rPr>
              <w:t>Meetings services support</w:t>
            </w:r>
          </w:p>
        </w:tc>
        <w:tc>
          <w:tcPr>
            <w:tcW w:w="1418" w:type="dxa"/>
            <w:tcBorders>
              <w:top w:val="nil"/>
              <w:left w:val="nil"/>
              <w:bottom w:val="nil"/>
              <w:right w:val="nil"/>
            </w:tcBorders>
            <w:shd w:val="clear" w:color="auto" w:fill="auto"/>
            <w:vAlign w:val="center"/>
          </w:tcPr>
          <w:p w14:paraId="09B0958A" w14:textId="77777777" w:rsidR="003E4D45" w:rsidRPr="00B17789" w:rsidRDefault="003E4D45" w:rsidP="00FD7572">
            <w:pPr>
              <w:spacing w:before="40" w:after="40" w:line="200" w:lineRule="exact"/>
              <w:jc w:val="right"/>
              <w:rPr>
                <w:color w:val="000000"/>
                <w:sz w:val="18"/>
                <w:szCs w:val="18"/>
              </w:rPr>
            </w:pPr>
            <w:r>
              <w:rPr>
                <w:color w:val="000000"/>
                <w:sz w:val="18"/>
                <w:szCs w:val="18"/>
              </w:rPr>
              <w:t xml:space="preserve"> 98 568</w:t>
            </w:r>
          </w:p>
        </w:tc>
        <w:tc>
          <w:tcPr>
            <w:tcW w:w="1417" w:type="dxa"/>
            <w:tcBorders>
              <w:top w:val="nil"/>
              <w:left w:val="nil"/>
              <w:bottom w:val="nil"/>
              <w:right w:val="nil"/>
            </w:tcBorders>
            <w:shd w:val="clear" w:color="auto" w:fill="auto"/>
            <w:vAlign w:val="center"/>
          </w:tcPr>
          <w:p w14:paraId="566586E1" w14:textId="77777777" w:rsidR="003E4D45" w:rsidRPr="00B17789" w:rsidRDefault="003E4D45" w:rsidP="00FD7572">
            <w:pPr>
              <w:spacing w:before="40" w:after="40" w:line="200" w:lineRule="exact"/>
              <w:jc w:val="right"/>
              <w:rPr>
                <w:color w:val="000000"/>
                <w:sz w:val="18"/>
                <w:szCs w:val="18"/>
              </w:rPr>
            </w:pPr>
            <w:r>
              <w:rPr>
                <w:color w:val="000000"/>
                <w:sz w:val="18"/>
                <w:szCs w:val="18"/>
              </w:rPr>
              <w:t xml:space="preserve"> 101 525</w:t>
            </w:r>
          </w:p>
        </w:tc>
        <w:tc>
          <w:tcPr>
            <w:tcW w:w="1681" w:type="dxa"/>
            <w:tcBorders>
              <w:top w:val="nil"/>
              <w:left w:val="nil"/>
              <w:bottom w:val="nil"/>
              <w:right w:val="nil"/>
            </w:tcBorders>
            <w:shd w:val="clear" w:color="auto" w:fill="auto"/>
            <w:vAlign w:val="center"/>
          </w:tcPr>
          <w:p w14:paraId="0FF444FA" w14:textId="77777777" w:rsidR="003E4D45" w:rsidRPr="00B17789" w:rsidRDefault="003E4D45" w:rsidP="00FD7572">
            <w:pPr>
              <w:spacing w:before="40" w:after="40" w:line="200" w:lineRule="exact"/>
              <w:jc w:val="right"/>
              <w:rPr>
                <w:color w:val="000000"/>
                <w:sz w:val="18"/>
                <w:szCs w:val="18"/>
              </w:rPr>
            </w:pPr>
            <w:r>
              <w:rPr>
                <w:color w:val="000000"/>
                <w:sz w:val="18"/>
                <w:szCs w:val="18"/>
              </w:rPr>
              <w:t xml:space="preserve"> 200 092</w:t>
            </w:r>
          </w:p>
        </w:tc>
      </w:tr>
      <w:tr w:rsidR="003E4D45" w:rsidRPr="007F6556" w14:paraId="440F88D2" w14:textId="77777777" w:rsidTr="00FD7572">
        <w:tc>
          <w:tcPr>
            <w:tcW w:w="2835" w:type="dxa"/>
            <w:tcBorders>
              <w:top w:val="single" w:sz="4" w:space="0" w:color="auto"/>
              <w:bottom w:val="single" w:sz="4" w:space="0" w:color="auto"/>
            </w:tcBorders>
            <w:shd w:val="clear" w:color="auto" w:fill="auto"/>
            <w:vAlign w:val="bottom"/>
          </w:tcPr>
          <w:p w14:paraId="06C48435" w14:textId="77777777" w:rsidR="003E4D45" w:rsidRPr="007F6556" w:rsidRDefault="003E4D45" w:rsidP="00FD7572">
            <w:pPr>
              <w:spacing w:before="40" w:after="40" w:line="200" w:lineRule="exact"/>
              <w:ind w:right="38" w:firstLine="297"/>
              <w:rPr>
                <w:b/>
                <w:sz w:val="18"/>
                <w:szCs w:val="18"/>
              </w:rPr>
            </w:pPr>
            <w:r w:rsidRPr="007F6556">
              <w:rPr>
                <w:rFonts w:eastAsia="Times New Roman"/>
                <w:b/>
                <w:sz w:val="18"/>
                <w:szCs w:val="18"/>
                <w:lang w:eastAsia="de-DE"/>
              </w:rPr>
              <w:t>Subtotal</w:t>
            </w:r>
          </w:p>
        </w:tc>
        <w:tc>
          <w:tcPr>
            <w:tcW w:w="1418" w:type="dxa"/>
            <w:tcBorders>
              <w:top w:val="single" w:sz="4" w:space="0" w:color="auto"/>
              <w:left w:val="nil"/>
              <w:bottom w:val="single" w:sz="4" w:space="0" w:color="auto"/>
              <w:right w:val="nil"/>
            </w:tcBorders>
            <w:shd w:val="clear" w:color="auto" w:fill="auto"/>
            <w:vAlign w:val="center"/>
          </w:tcPr>
          <w:p w14:paraId="3C10A817" w14:textId="77777777" w:rsidR="003E4D45" w:rsidRPr="00B17789" w:rsidRDefault="003E4D45" w:rsidP="00FD7572">
            <w:pPr>
              <w:spacing w:before="40" w:after="40" w:line="200" w:lineRule="exact"/>
              <w:jc w:val="right"/>
              <w:rPr>
                <w:b/>
                <w:color w:val="000000"/>
                <w:sz w:val="18"/>
                <w:szCs w:val="18"/>
              </w:rPr>
            </w:pPr>
            <w:r>
              <w:rPr>
                <w:b/>
                <w:bCs/>
                <w:color w:val="000000"/>
                <w:sz w:val="18"/>
                <w:szCs w:val="18"/>
              </w:rPr>
              <w:t>3 901 136</w:t>
            </w:r>
          </w:p>
        </w:tc>
        <w:tc>
          <w:tcPr>
            <w:tcW w:w="1417" w:type="dxa"/>
            <w:tcBorders>
              <w:top w:val="single" w:sz="4" w:space="0" w:color="auto"/>
              <w:left w:val="nil"/>
              <w:bottom w:val="single" w:sz="4" w:space="0" w:color="auto"/>
              <w:right w:val="nil"/>
            </w:tcBorders>
            <w:shd w:val="clear" w:color="auto" w:fill="auto"/>
            <w:vAlign w:val="center"/>
          </w:tcPr>
          <w:p w14:paraId="660D5517" w14:textId="77777777" w:rsidR="003E4D45" w:rsidRPr="00B17789" w:rsidRDefault="003E4D45" w:rsidP="00FD7572">
            <w:pPr>
              <w:spacing w:before="40" w:after="40" w:line="200" w:lineRule="exact"/>
              <w:jc w:val="right"/>
              <w:rPr>
                <w:b/>
                <w:color w:val="000000"/>
                <w:sz w:val="18"/>
                <w:szCs w:val="18"/>
              </w:rPr>
            </w:pPr>
            <w:r>
              <w:rPr>
                <w:b/>
                <w:bCs/>
                <w:color w:val="000000"/>
                <w:sz w:val="18"/>
                <w:szCs w:val="18"/>
              </w:rPr>
              <w:t>4 018 170</w:t>
            </w:r>
          </w:p>
        </w:tc>
        <w:tc>
          <w:tcPr>
            <w:tcW w:w="1681" w:type="dxa"/>
            <w:tcBorders>
              <w:top w:val="single" w:sz="4" w:space="0" w:color="auto"/>
              <w:left w:val="nil"/>
              <w:bottom w:val="single" w:sz="4" w:space="0" w:color="auto"/>
              <w:right w:val="nil"/>
            </w:tcBorders>
            <w:shd w:val="clear" w:color="auto" w:fill="auto"/>
            <w:vAlign w:val="center"/>
          </w:tcPr>
          <w:p w14:paraId="28865249" w14:textId="77777777" w:rsidR="003E4D45" w:rsidRPr="00B17789" w:rsidRDefault="003E4D45" w:rsidP="00FD7572">
            <w:pPr>
              <w:spacing w:before="40" w:after="40" w:line="200" w:lineRule="exact"/>
              <w:jc w:val="right"/>
              <w:rPr>
                <w:b/>
                <w:color w:val="000000"/>
                <w:sz w:val="18"/>
                <w:szCs w:val="18"/>
              </w:rPr>
            </w:pPr>
            <w:r>
              <w:rPr>
                <w:b/>
                <w:bCs/>
                <w:color w:val="000000"/>
                <w:sz w:val="18"/>
                <w:szCs w:val="18"/>
              </w:rPr>
              <w:t>7 919 305</w:t>
            </w:r>
          </w:p>
        </w:tc>
      </w:tr>
      <w:tr w:rsidR="003E4D45" w:rsidRPr="007F6556" w14:paraId="75C55E66" w14:textId="77777777" w:rsidTr="00FD7572">
        <w:tc>
          <w:tcPr>
            <w:tcW w:w="2835" w:type="dxa"/>
            <w:tcBorders>
              <w:top w:val="single" w:sz="4" w:space="0" w:color="auto"/>
            </w:tcBorders>
            <w:shd w:val="clear" w:color="auto" w:fill="auto"/>
            <w:vAlign w:val="bottom"/>
          </w:tcPr>
          <w:p w14:paraId="2300B303" w14:textId="77777777" w:rsidR="003E4D45" w:rsidRPr="007F6556" w:rsidRDefault="003E4D45" w:rsidP="00FD7572">
            <w:pPr>
              <w:spacing w:before="40" w:after="40" w:line="200" w:lineRule="exact"/>
              <w:rPr>
                <w:sz w:val="18"/>
                <w:szCs w:val="18"/>
              </w:rPr>
            </w:pPr>
            <w:r w:rsidRPr="007F6556">
              <w:rPr>
                <w:sz w:val="18"/>
                <w:szCs w:val="18"/>
              </w:rPr>
              <w:t>Overhead charge</w:t>
            </w:r>
          </w:p>
        </w:tc>
        <w:tc>
          <w:tcPr>
            <w:tcW w:w="1418" w:type="dxa"/>
            <w:tcBorders>
              <w:top w:val="nil"/>
              <w:left w:val="nil"/>
              <w:bottom w:val="nil"/>
              <w:right w:val="nil"/>
            </w:tcBorders>
            <w:shd w:val="clear" w:color="auto" w:fill="auto"/>
            <w:vAlign w:val="center"/>
          </w:tcPr>
          <w:p w14:paraId="6CE041F2" w14:textId="77777777" w:rsidR="003E4D45" w:rsidRPr="00B17789" w:rsidRDefault="003E4D45" w:rsidP="00FD7572">
            <w:pPr>
              <w:spacing w:before="40" w:after="40" w:line="200" w:lineRule="exact"/>
              <w:jc w:val="right"/>
              <w:rPr>
                <w:color w:val="000000"/>
                <w:sz w:val="18"/>
                <w:szCs w:val="18"/>
              </w:rPr>
            </w:pPr>
            <w:r>
              <w:rPr>
                <w:color w:val="000000"/>
                <w:sz w:val="18"/>
                <w:szCs w:val="18"/>
              </w:rPr>
              <w:t xml:space="preserve"> 507 148</w:t>
            </w:r>
          </w:p>
        </w:tc>
        <w:tc>
          <w:tcPr>
            <w:tcW w:w="1417" w:type="dxa"/>
            <w:tcBorders>
              <w:top w:val="nil"/>
              <w:left w:val="nil"/>
              <w:bottom w:val="nil"/>
              <w:right w:val="nil"/>
            </w:tcBorders>
            <w:shd w:val="clear" w:color="auto" w:fill="auto"/>
            <w:vAlign w:val="center"/>
          </w:tcPr>
          <w:p w14:paraId="724EC22B" w14:textId="77777777" w:rsidR="003E4D45" w:rsidRPr="00B17789" w:rsidRDefault="003E4D45" w:rsidP="00FD7572">
            <w:pPr>
              <w:spacing w:before="40" w:after="40" w:line="200" w:lineRule="exact"/>
              <w:jc w:val="right"/>
              <w:rPr>
                <w:color w:val="000000"/>
                <w:sz w:val="18"/>
                <w:szCs w:val="18"/>
              </w:rPr>
            </w:pPr>
            <w:r>
              <w:rPr>
                <w:color w:val="000000"/>
                <w:sz w:val="18"/>
                <w:szCs w:val="18"/>
              </w:rPr>
              <w:t xml:space="preserve"> 522 362</w:t>
            </w:r>
          </w:p>
        </w:tc>
        <w:tc>
          <w:tcPr>
            <w:tcW w:w="1681" w:type="dxa"/>
            <w:tcBorders>
              <w:top w:val="nil"/>
              <w:left w:val="nil"/>
              <w:bottom w:val="nil"/>
              <w:right w:val="nil"/>
            </w:tcBorders>
            <w:shd w:val="clear" w:color="auto" w:fill="auto"/>
            <w:vAlign w:val="center"/>
          </w:tcPr>
          <w:p w14:paraId="527BE322" w14:textId="77777777" w:rsidR="003E4D45" w:rsidRPr="00B17789" w:rsidRDefault="003E4D45" w:rsidP="00FD7572">
            <w:pPr>
              <w:spacing w:before="40" w:after="40" w:line="200" w:lineRule="exact"/>
              <w:jc w:val="right"/>
              <w:rPr>
                <w:color w:val="000000"/>
                <w:sz w:val="18"/>
                <w:szCs w:val="18"/>
              </w:rPr>
            </w:pPr>
            <w:r>
              <w:rPr>
                <w:color w:val="000000"/>
                <w:sz w:val="18"/>
                <w:szCs w:val="18"/>
              </w:rPr>
              <w:t>1 029 510</w:t>
            </w:r>
          </w:p>
        </w:tc>
      </w:tr>
      <w:tr w:rsidR="003E4D45" w:rsidRPr="007F6556" w14:paraId="1BC510FE" w14:textId="77777777" w:rsidTr="00FD7572">
        <w:tc>
          <w:tcPr>
            <w:tcW w:w="2835" w:type="dxa"/>
            <w:tcBorders>
              <w:bottom w:val="single" w:sz="4" w:space="0" w:color="auto"/>
            </w:tcBorders>
            <w:shd w:val="clear" w:color="auto" w:fill="auto"/>
            <w:vAlign w:val="bottom"/>
          </w:tcPr>
          <w:p w14:paraId="2FC36119" w14:textId="77777777" w:rsidR="003E4D45" w:rsidRPr="007F6556" w:rsidRDefault="003E4D45" w:rsidP="00FD7572">
            <w:pPr>
              <w:spacing w:before="40" w:after="40" w:line="200" w:lineRule="exact"/>
              <w:rPr>
                <w:sz w:val="18"/>
                <w:szCs w:val="18"/>
              </w:rPr>
            </w:pPr>
            <w:r w:rsidRPr="007F6556">
              <w:rPr>
                <w:sz w:val="18"/>
                <w:szCs w:val="18"/>
              </w:rPr>
              <w:t>Working capital reserve</w:t>
            </w:r>
          </w:p>
        </w:tc>
        <w:tc>
          <w:tcPr>
            <w:tcW w:w="1418" w:type="dxa"/>
            <w:tcBorders>
              <w:top w:val="nil"/>
              <w:left w:val="nil"/>
              <w:bottom w:val="single" w:sz="4" w:space="0" w:color="auto"/>
              <w:right w:val="nil"/>
            </w:tcBorders>
            <w:shd w:val="clear" w:color="auto" w:fill="auto"/>
            <w:vAlign w:val="center"/>
          </w:tcPr>
          <w:p w14:paraId="7570C13D" w14:textId="77777777" w:rsidR="003E4D45" w:rsidRPr="00854A38" w:rsidRDefault="003E4D45" w:rsidP="00FD7572">
            <w:pPr>
              <w:spacing w:before="40" w:after="40" w:line="200" w:lineRule="exact"/>
              <w:jc w:val="right"/>
              <w:rPr>
                <w:color w:val="000000"/>
                <w:sz w:val="18"/>
                <w:szCs w:val="18"/>
              </w:rPr>
            </w:pPr>
            <w:r>
              <w:rPr>
                <w:color w:val="000000"/>
                <w:sz w:val="18"/>
                <w:szCs w:val="18"/>
              </w:rPr>
              <w:t xml:space="preserve"> 365 888</w:t>
            </w:r>
          </w:p>
        </w:tc>
        <w:tc>
          <w:tcPr>
            <w:tcW w:w="1417" w:type="dxa"/>
            <w:tcBorders>
              <w:top w:val="nil"/>
              <w:left w:val="nil"/>
              <w:bottom w:val="single" w:sz="4" w:space="0" w:color="auto"/>
              <w:right w:val="nil"/>
            </w:tcBorders>
            <w:shd w:val="clear" w:color="auto" w:fill="auto"/>
            <w:vAlign w:val="bottom"/>
          </w:tcPr>
          <w:p w14:paraId="01B2341B" w14:textId="05F227C3" w:rsidR="003E4D45" w:rsidRPr="00854A38" w:rsidRDefault="003E4D45" w:rsidP="00FD7572">
            <w:pPr>
              <w:spacing w:before="40" w:after="40" w:line="200" w:lineRule="exact"/>
              <w:jc w:val="right"/>
              <w:rPr>
                <w:color w:val="000000"/>
                <w:sz w:val="18"/>
                <w:szCs w:val="18"/>
              </w:rPr>
            </w:pPr>
            <w:r w:rsidRPr="00854A38">
              <w:rPr>
                <w:color w:val="000000"/>
                <w:sz w:val="18"/>
                <w:szCs w:val="18"/>
              </w:rPr>
              <w:t xml:space="preserve"> 10 977</w:t>
            </w:r>
            <w:r w:rsidR="00AE07C1" w:rsidRPr="00315D1F">
              <w:rPr>
                <w:i/>
                <w:iCs/>
                <w:color w:val="000000"/>
                <w:sz w:val="18"/>
                <w:szCs w:val="18"/>
                <w:vertAlign w:val="superscript"/>
              </w:rPr>
              <w:t>a</w:t>
            </w:r>
          </w:p>
        </w:tc>
        <w:tc>
          <w:tcPr>
            <w:tcW w:w="1681" w:type="dxa"/>
            <w:tcBorders>
              <w:top w:val="nil"/>
              <w:left w:val="nil"/>
              <w:bottom w:val="single" w:sz="4" w:space="0" w:color="auto"/>
              <w:right w:val="nil"/>
            </w:tcBorders>
            <w:shd w:val="clear" w:color="auto" w:fill="auto"/>
            <w:vAlign w:val="bottom"/>
          </w:tcPr>
          <w:p w14:paraId="2C859580" w14:textId="77777777" w:rsidR="003E4D45" w:rsidRPr="00854A38" w:rsidRDefault="003E4D45" w:rsidP="00FD7572">
            <w:pPr>
              <w:spacing w:before="40" w:after="40" w:line="200" w:lineRule="exact"/>
              <w:jc w:val="right"/>
              <w:rPr>
                <w:color w:val="000000"/>
                <w:sz w:val="18"/>
                <w:szCs w:val="18"/>
              </w:rPr>
            </w:pPr>
            <w:r w:rsidRPr="00854A38">
              <w:rPr>
                <w:color w:val="000000"/>
                <w:sz w:val="18"/>
                <w:szCs w:val="18"/>
              </w:rPr>
              <w:t xml:space="preserve"> 376 864</w:t>
            </w:r>
          </w:p>
        </w:tc>
      </w:tr>
      <w:tr w:rsidR="003E4D45" w:rsidRPr="007F6556" w14:paraId="04B6DE21" w14:textId="77777777" w:rsidTr="00FD7572">
        <w:tc>
          <w:tcPr>
            <w:tcW w:w="2835" w:type="dxa"/>
            <w:tcBorders>
              <w:top w:val="single" w:sz="4" w:space="0" w:color="auto"/>
              <w:bottom w:val="single" w:sz="12" w:space="0" w:color="auto"/>
            </w:tcBorders>
            <w:shd w:val="clear" w:color="auto" w:fill="auto"/>
            <w:vAlign w:val="bottom"/>
          </w:tcPr>
          <w:p w14:paraId="7229A14F" w14:textId="353C7E8A" w:rsidR="003E4D45" w:rsidRPr="007F6556" w:rsidRDefault="003E4D45" w:rsidP="00FD7572">
            <w:pPr>
              <w:spacing w:before="40" w:after="40" w:line="200" w:lineRule="exact"/>
              <w:ind w:right="38" w:firstLine="297"/>
              <w:rPr>
                <w:b/>
                <w:sz w:val="18"/>
                <w:szCs w:val="18"/>
              </w:rPr>
            </w:pPr>
            <w:r w:rsidRPr="007F6556">
              <w:rPr>
                <w:rFonts w:eastAsia="Times New Roman"/>
                <w:b/>
                <w:sz w:val="18"/>
                <w:szCs w:val="18"/>
                <w:lang w:eastAsia="de-DE"/>
              </w:rPr>
              <w:t>Total</w:t>
            </w:r>
          </w:p>
        </w:tc>
        <w:tc>
          <w:tcPr>
            <w:tcW w:w="1418" w:type="dxa"/>
            <w:tcBorders>
              <w:top w:val="single" w:sz="4" w:space="0" w:color="auto"/>
              <w:left w:val="nil"/>
              <w:bottom w:val="single" w:sz="12" w:space="0" w:color="auto"/>
              <w:right w:val="nil"/>
            </w:tcBorders>
            <w:shd w:val="clear" w:color="auto" w:fill="auto"/>
            <w:vAlign w:val="center"/>
          </w:tcPr>
          <w:p w14:paraId="421E4704" w14:textId="77777777" w:rsidR="003E4D45" w:rsidRPr="00854A38" w:rsidRDefault="003E4D45" w:rsidP="00FD7572">
            <w:pPr>
              <w:spacing w:before="40" w:after="40" w:line="200" w:lineRule="exact"/>
              <w:jc w:val="right"/>
              <w:rPr>
                <w:b/>
                <w:color w:val="000000"/>
                <w:sz w:val="18"/>
                <w:szCs w:val="18"/>
              </w:rPr>
            </w:pPr>
            <w:r>
              <w:rPr>
                <w:b/>
                <w:bCs/>
                <w:color w:val="000000"/>
                <w:sz w:val="18"/>
                <w:szCs w:val="18"/>
              </w:rPr>
              <w:t>4 774 172</w:t>
            </w:r>
          </w:p>
        </w:tc>
        <w:tc>
          <w:tcPr>
            <w:tcW w:w="1417" w:type="dxa"/>
            <w:tcBorders>
              <w:top w:val="single" w:sz="4" w:space="0" w:color="auto"/>
              <w:left w:val="nil"/>
              <w:bottom w:val="single" w:sz="12" w:space="0" w:color="auto"/>
              <w:right w:val="nil"/>
            </w:tcBorders>
            <w:shd w:val="clear" w:color="auto" w:fill="auto"/>
            <w:vAlign w:val="center"/>
          </w:tcPr>
          <w:p w14:paraId="1E972CE9" w14:textId="77777777" w:rsidR="003E4D45" w:rsidRPr="00854A38" w:rsidRDefault="003E4D45" w:rsidP="00FD7572">
            <w:pPr>
              <w:spacing w:before="40" w:after="40" w:line="200" w:lineRule="exact"/>
              <w:jc w:val="right"/>
              <w:rPr>
                <w:b/>
                <w:color w:val="000000"/>
                <w:sz w:val="18"/>
                <w:szCs w:val="18"/>
              </w:rPr>
            </w:pPr>
            <w:r>
              <w:rPr>
                <w:b/>
                <w:bCs/>
                <w:color w:val="000000"/>
                <w:sz w:val="18"/>
                <w:szCs w:val="18"/>
              </w:rPr>
              <w:t>4 551 509</w:t>
            </w:r>
          </w:p>
        </w:tc>
        <w:tc>
          <w:tcPr>
            <w:tcW w:w="1681" w:type="dxa"/>
            <w:tcBorders>
              <w:top w:val="single" w:sz="4" w:space="0" w:color="auto"/>
              <w:left w:val="nil"/>
              <w:bottom w:val="single" w:sz="12" w:space="0" w:color="auto"/>
              <w:right w:val="nil"/>
            </w:tcBorders>
            <w:shd w:val="clear" w:color="auto" w:fill="auto"/>
            <w:vAlign w:val="center"/>
          </w:tcPr>
          <w:p w14:paraId="28A2B2EC" w14:textId="77777777" w:rsidR="003E4D45" w:rsidRPr="00854A38" w:rsidRDefault="003E4D45" w:rsidP="00FD7572">
            <w:pPr>
              <w:spacing w:before="40" w:after="40" w:line="200" w:lineRule="exact"/>
              <w:jc w:val="right"/>
              <w:rPr>
                <w:b/>
                <w:color w:val="000000"/>
                <w:sz w:val="18"/>
                <w:szCs w:val="18"/>
              </w:rPr>
            </w:pPr>
            <w:r>
              <w:rPr>
                <w:b/>
                <w:bCs/>
                <w:color w:val="000000"/>
                <w:sz w:val="18"/>
                <w:szCs w:val="18"/>
              </w:rPr>
              <w:t>9 325 679</w:t>
            </w:r>
          </w:p>
        </w:tc>
      </w:tr>
    </w:tbl>
    <w:p w14:paraId="5206C3C5" w14:textId="2933DF2D" w:rsidR="003E457A" w:rsidRDefault="003E457A" w:rsidP="003E457A">
      <w:pPr>
        <w:keepNext/>
        <w:spacing w:line="60" w:lineRule="exact"/>
        <w:ind w:right="1134"/>
        <w:jc w:val="both"/>
        <w:sectPr w:rsidR="003E457A" w:rsidSect="00441D67">
          <w:headerReference w:type="even" r:id="rId52"/>
          <w:headerReference w:type="default" r:id="rId53"/>
          <w:footerReference w:type="even" r:id="rId54"/>
          <w:footerReference w:type="default" r:id="rId55"/>
          <w:footnotePr>
            <w:numRestart w:val="eachSect"/>
          </w:footnotePr>
          <w:endnotePr>
            <w:numFmt w:val="lowerLetter"/>
            <w:numRestart w:val="eachSect"/>
          </w:endnotePr>
          <w:pgSz w:w="11906" w:h="16838" w:code="9"/>
          <w:pgMar w:top="1418" w:right="1134" w:bottom="1134" w:left="1134" w:header="851" w:footer="567" w:gutter="0"/>
          <w:cols w:space="708"/>
          <w:docGrid w:linePitch="360"/>
        </w:sectPr>
      </w:pPr>
      <w:r>
        <w:rPr>
          <w:rStyle w:val="EndnoteReference"/>
        </w:rPr>
        <w:endnoteReference w:id="2"/>
      </w:r>
    </w:p>
    <w:p w14:paraId="30B4AF7E" w14:textId="246B9C45" w:rsidR="00751FF8" w:rsidRDefault="00751FF8" w:rsidP="00D42319">
      <w:pPr>
        <w:keepNext/>
        <w:spacing w:before="180"/>
        <w:ind w:right="992"/>
      </w:pPr>
      <w:r w:rsidRPr="00371ADD">
        <w:t xml:space="preserve">Table </w:t>
      </w:r>
      <w:r>
        <w:t>4</w:t>
      </w:r>
    </w:p>
    <w:p w14:paraId="1EBD4579" w14:textId="3915B4FA" w:rsidR="00751FF8" w:rsidRDefault="00751FF8" w:rsidP="00751FF8">
      <w:pPr>
        <w:keepNext/>
        <w:spacing w:after="120"/>
        <w:ind w:right="-1"/>
        <w:rPr>
          <w:rFonts w:eastAsia="Times New Roman"/>
          <w:b/>
          <w:lang w:eastAsia="en-US"/>
        </w:rPr>
      </w:pPr>
      <w:r w:rsidRPr="00D15104">
        <w:rPr>
          <w:rFonts w:eastAsia="Times New Roman"/>
          <w:b/>
          <w:lang w:eastAsia="en-US"/>
        </w:rPr>
        <w:t>Overview of projects and funding requirements from the Trust Fund for Supplementary Activities for 2024–2025 (long–term, recurring activities (category 2) and temporary or short–term activities (category 3))</w:t>
      </w:r>
    </w:p>
    <w:p w14:paraId="5E1EFE7C" w14:textId="77777777" w:rsidR="00751FF8" w:rsidRPr="002E0F34" w:rsidRDefault="00751FF8" w:rsidP="00751FF8">
      <w:pPr>
        <w:spacing w:after="180"/>
        <w:jc w:val="right"/>
      </w:pPr>
      <w:r w:rsidRPr="00DD5154">
        <w:t>[English only]</w:t>
      </w:r>
    </w:p>
    <w:tbl>
      <w:tblPr>
        <w:tblW w:w="9639" w:type="dxa"/>
        <w:tblLayout w:type="fixed"/>
        <w:tblCellMar>
          <w:left w:w="0" w:type="dxa"/>
          <w:right w:w="70" w:type="dxa"/>
        </w:tblCellMar>
        <w:tblLook w:val="04A0" w:firstRow="1" w:lastRow="0" w:firstColumn="1" w:lastColumn="0" w:noHBand="0" w:noVBand="1"/>
      </w:tblPr>
      <w:tblGrid>
        <w:gridCol w:w="837"/>
        <w:gridCol w:w="1528"/>
        <w:gridCol w:w="4330"/>
        <w:gridCol w:w="1112"/>
        <w:gridCol w:w="973"/>
        <w:gridCol w:w="859"/>
      </w:tblGrid>
      <w:tr w:rsidR="00751FF8" w:rsidRPr="00A61D53" w14:paraId="47DCB2BC" w14:textId="77777777" w:rsidTr="00FD7572">
        <w:trPr>
          <w:trHeight w:val="116"/>
          <w:tblHeader/>
        </w:trPr>
        <w:tc>
          <w:tcPr>
            <w:tcW w:w="837" w:type="dxa"/>
            <w:vMerge w:val="restart"/>
            <w:tcBorders>
              <w:top w:val="single" w:sz="4" w:space="0" w:color="auto"/>
              <w:left w:val="nil"/>
              <w:right w:val="nil"/>
            </w:tcBorders>
            <w:shd w:val="clear" w:color="auto" w:fill="auto"/>
            <w:noWrap/>
            <w:vAlign w:val="bottom"/>
          </w:tcPr>
          <w:p w14:paraId="6615B87B" w14:textId="77777777" w:rsidR="00751FF8" w:rsidRPr="00A61D53" w:rsidRDefault="00751FF8" w:rsidP="00FD7572">
            <w:pPr>
              <w:spacing w:before="40" w:after="40" w:line="180" w:lineRule="exact"/>
              <w:rPr>
                <w:rFonts w:eastAsia="Times New Roman"/>
                <w:i/>
                <w:iCs/>
                <w:color w:val="000000"/>
                <w:sz w:val="16"/>
                <w:szCs w:val="16"/>
                <w:lang w:eastAsia="de-DE"/>
              </w:rPr>
            </w:pPr>
            <w:r w:rsidRPr="00A61D53">
              <w:rPr>
                <w:rFonts w:eastAsia="Times New Roman"/>
                <w:i/>
                <w:iCs/>
                <w:color w:val="000000"/>
                <w:sz w:val="16"/>
                <w:szCs w:val="16"/>
                <w:lang w:eastAsia="de-DE"/>
              </w:rPr>
              <w:t>Project number</w:t>
            </w:r>
          </w:p>
        </w:tc>
        <w:tc>
          <w:tcPr>
            <w:tcW w:w="1528" w:type="dxa"/>
            <w:vMerge w:val="restart"/>
            <w:tcBorders>
              <w:top w:val="single" w:sz="4" w:space="0" w:color="auto"/>
              <w:left w:val="nil"/>
              <w:right w:val="nil"/>
            </w:tcBorders>
            <w:vAlign w:val="bottom"/>
          </w:tcPr>
          <w:p w14:paraId="6A5333ED" w14:textId="77777777" w:rsidR="00751FF8" w:rsidRPr="00A61D53" w:rsidRDefault="00751FF8" w:rsidP="00FD7572">
            <w:pPr>
              <w:spacing w:before="40" w:after="40" w:line="180" w:lineRule="exact"/>
              <w:rPr>
                <w:rFonts w:eastAsia="Times New Roman"/>
                <w:i/>
                <w:iCs/>
                <w:color w:val="000000"/>
                <w:sz w:val="16"/>
                <w:szCs w:val="16"/>
                <w:lang w:eastAsia="de-DE"/>
              </w:rPr>
            </w:pPr>
            <w:r w:rsidRPr="00A61D53">
              <w:rPr>
                <w:rFonts w:eastAsia="Times New Roman"/>
                <w:i/>
                <w:color w:val="000000"/>
                <w:sz w:val="16"/>
                <w:szCs w:val="16"/>
                <w:lang w:eastAsia="de-DE"/>
              </w:rPr>
              <w:t>Division</w:t>
            </w:r>
          </w:p>
        </w:tc>
        <w:tc>
          <w:tcPr>
            <w:tcW w:w="4330" w:type="dxa"/>
            <w:vMerge w:val="restart"/>
            <w:tcBorders>
              <w:top w:val="single" w:sz="4" w:space="0" w:color="auto"/>
              <w:left w:val="nil"/>
              <w:right w:val="nil"/>
            </w:tcBorders>
            <w:shd w:val="clear" w:color="auto" w:fill="auto"/>
            <w:noWrap/>
            <w:vAlign w:val="bottom"/>
          </w:tcPr>
          <w:p w14:paraId="14FC04DC" w14:textId="6A3DB3E6" w:rsidR="00751FF8" w:rsidRPr="00A61D53" w:rsidRDefault="00751FF8" w:rsidP="00FD7572">
            <w:pPr>
              <w:spacing w:before="40" w:after="40" w:line="180" w:lineRule="exact"/>
              <w:rPr>
                <w:rFonts w:eastAsia="Times New Roman"/>
                <w:i/>
                <w:iCs/>
                <w:color w:val="000000"/>
                <w:sz w:val="16"/>
                <w:szCs w:val="16"/>
                <w:lang w:eastAsia="de-DE"/>
              </w:rPr>
            </w:pPr>
            <w:r w:rsidRPr="00A61D53">
              <w:rPr>
                <w:rFonts w:eastAsia="Times New Roman"/>
                <w:i/>
                <w:iCs/>
                <w:color w:val="000000"/>
                <w:sz w:val="16"/>
                <w:szCs w:val="16"/>
                <w:lang w:eastAsia="de-DE"/>
              </w:rPr>
              <w:t>Project/subproject</w:t>
            </w:r>
          </w:p>
        </w:tc>
        <w:tc>
          <w:tcPr>
            <w:tcW w:w="2944" w:type="dxa"/>
            <w:gridSpan w:val="3"/>
            <w:tcBorders>
              <w:top w:val="single" w:sz="4" w:space="0" w:color="auto"/>
              <w:left w:val="nil"/>
              <w:bottom w:val="single" w:sz="4" w:space="0" w:color="auto"/>
              <w:right w:val="nil"/>
            </w:tcBorders>
            <w:shd w:val="clear" w:color="auto" w:fill="auto"/>
            <w:vAlign w:val="bottom"/>
          </w:tcPr>
          <w:p w14:paraId="235325C5" w14:textId="77777777" w:rsidR="00751FF8" w:rsidRPr="00A61D53" w:rsidRDefault="00751FF8" w:rsidP="00FD7572">
            <w:pPr>
              <w:spacing w:before="40" w:after="40" w:line="180" w:lineRule="exact"/>
              <w:jc w:val="center"/>
              <w:rPr>
                <w:rFonts w:eastAsia="Times New Roman"/>
                <w:i/>
                <w:iCs/>
                <w:color w:val="000000"/>
                <w:sz w:val="16"/>
                <w:szCs w:val="16"/>
                <w:lang w:eastAsia="de-DE"/>
              </w:rPr>
            </w:pPr>
            <w:r w:rsidRPr="00A61D53">
              <w:rPr>
                <w:rFonts w:eastAsia="Times New Roman"/>
                <w:i/>
                <w:iCs/>
                <w:color w:val="000000"/>
                <w:sz w:val="16"/>
                <w:szCs w:val="16"/>
                <w:lang w:eastAsia="de-DE"/>
              </w:rPr>
              <w:t xml:space="preserve">Resource requirements for </w:t>
            </w:r>
            <w:r w:rsidRPr="00A61D53">
              <w:rPr>
                <w:rFonts w:eastAsia="Times New Roman"/>
                <w:i/>
                <w:color w:val="000000"/>
                <w:sz w:val="16"/>
                <w:szCs w:val="16"/>
                <w:lang w:eastAsia="de-DE"/>
              </w:rPr>
              <w:t>2024–2025</w:t>
            </w:r>
          </w:p>
        </w:tc>
      </w:tr>
      <w:tr w:rsidR="00751FF8" w:rsidRPr="00A61D53" w14:paraId="29BEB7C2" w14:textId="77777777" w:rsidTr="00FD7572">
        <w:trPr>
          <w:trHeight w:val="144"/>
          <w:tblHeader/>
        </w:trPr>
        <w:tc>
          <w:tcPr>
            <w:tcW w:w="837" w:type="dxa"/>
            <w:vMerge/>
            <w:tcBorders>
              <w:left w:val="nil"/>
              <w:bottom w:val="single" w:sz="12" w:space="0" w:color="auto"/>
              <w:right w:val="nil"/>
            </w:tcBorders>
            <w:shd w:val="clear" w:color="auto" w:fill="auto"/>
            <w:noWrap/>
            <w:vAlign w:val="bottom"/>
            <w:hideMark/>
          </w:tcPr>
          <w:p w14:paraId="78C1AAAA" w14:textId="77777777" w:rsidR="00751FF8" w:rsidRPr="00A61D53" w:rsidRDefault="00751FF8" w:rsidP="00FD7572">
            <w:pPr>
              <w:spacing w:before="40" w:after="40" w:line="180" w:lineRule="exact"/>
              <w:rPr>
                <w:rFonts w:eastAsia="Times New Roman"/>
                <w:i/>
                <w:color w:val="000000"/>
                <w:sz w:val="16"/>
                <w:szCs w:val="16"/>
                <w:lang w:eastAsia="de-DE"/>
              </w:rPr>
            </w:pPr>
          </w:p>
        </w:tc>
        <w:tc>
          <w:tcPr>
            <w:tcW w:w="1528" w:type="dxa"/>
            <w:vMerge/>
            <w:tcBorders>
              <w:left w:val="nil"/>
              <w:bottom w:val="single" w:sz="12" w:space="0" w:color="auto"/>
              <w:right w:val="nil"/>
            </w:tcBorders>
          </w:tcPr>
          <w:p w14:paraId="38BD29D4" w14:textId="77777777" w:rsidR="00751FF8" w:rsidRPr="00A61D53" w:rsidRDefault="00751FF8" w:rsidP="00FD7572">
            <w:pPr>
              <w:spacing w:before="40" w:after="40" w:line="180" w:lineRule="exact"/>
              <w:rPr>
                <w:rFonts w:eastAsia="Times New Roman"/>
                <w:i/>
                <w:color w:val="000000"/>
                <w:sz w:val="16"/>
                <w:szCs w:val="16"/>
                <w:lang w:eastAsia="de-DE"/>
              </w:rPr>
            </w:pPr>
          </w:p>
        </w:tc>
        <w:tc>
          <w:tcPr>
            <w:tcW w:w="4330" w:type="dxa"/>
            <w:vMerge/>
            <w:tcBorders>
              <w:left w:val="nil"/>
              <w:bottom w:val="single" w:sz="12" w:space="0" w:color="auto"/>
              <w:right w:val="nil"/>
            </w:tcBorders>
            <w:shd w:val="clear" w:color="auto" w:fill="auto"/>
            <w:noWrap/>
            <w:vAlign w:val="bottom"/>
            <w:hideMark/>
          </w:tcPr>
          <w:p w14:paraId="4BFA7D69" w14:textId="77777777" w:rsidR="00751FF8" w:rsidRPr="00A61D53" w:rsidRDefault="00751FF8" w:rsidP="00FD7572">
            <w:pPr>
              <w:spacing w:before="40" w:after="40" w:line="180" w:lineRule="exact"/>
              <w:rPr>
                <w:rFonts w:eastAsia="Times New Roman"/>
                <w:i/>
                <w:color w:val="000000"/>
                <w:sz w:val="16"/>
                <w:szCs w:val="16"/>
                <w:lang w:eastAsia="de-DE"/>
              </w:rPr>
            </w:pPr>
          </w:p>
        </w:tc>
        <w:tc>
          <w:tcPr>
            <w:tcW w:w="1112" w:type="dxa"/>
            <w:tcBorders>
              <w:top w:val="single" w:sz="4" w:space="0" w:color="auto"/>
              <w:left w:val="nil"/>
              <w:bottom w:val="single" w:sz="12" w:space="0" w:color="auto"/>
              <w:right w:val="nil"/>
            </w:tcBorders>
            <w:shd w:val="clear" w:color="auto" w:fill="auto"/>
            <w:vAlign w:val="bottom"/>
            <w:hideMark/>
          </w:tcPr>
          <w:p w14:paraId="63AA055A" w14:textId="69F53575" w:rsidR="00751FF8" w:rsidRPr="00A61D53" w:rsidRDefault="00751FF8" w:rsidP="00FD7572">
            <w:pPr>
              <w:spacing w:before="40" w:after="40" w:line="180" w:lineRule="exact"/>
              <w:jc w:val="right"/>
              <w:rPr>
                <w:rFonts w:eastAsia="Times New Roman"/>
                <w:i/>
                <w:color w:val="000000"/>
                <w:sz w:val="16"/>
                <w:szCs w:val="16"/>
                <w:lang w:eastAsia="de-DE"/>
              </w:rPr>
            </w:pPr>
            <w:r w:rsidRPr="00A61D53">
              <w:rPr>
                <w:rFonts w:eastAsia="Times New Roman"/>
                <w:i/>
                <w:color w:val="000000"/>
                <w:sz w:val="16"/>
                <w:szCs w:val="16"/>
                <w:lang w:eastAsia="de-DE"/>
              </w:rPr>
              <w:t>EUR</w:t>
            </w:r>
            <w:r w:rsidR="000477E9" w:rsidRPr="009A1559">
              <w:rPr>
                <w:rFonts w:eastAsia="Times New Roman"/>
                <w:i/>
                <w:color w:val="000000"/>
                <w:sz w:val="18"/>
                <w:szCs w:val="18"/>
                <w:vertAlign w:val="superscript"/>
                <w:lang w:eastAsia="de-DE"/>
              </w:rPr>
              <w:t>a</w:t>
            </w:r>
          </w:p>
        </w:tc>
        <w:tc>
          <w:tcPr>
            <w:tcW w:w="973" w:type="dxa"/>
            <w:tcBorders>
              <w:top w:val="single" w:sz="4" w:space="0" w:color="auto"/>
              <w:left w:val="nil"/>
              <w:bottom w:val="single" w:sz="12" w:space="0" w:color="auto"/>
              <w:right w:val="nil"/>
            </w:tcBorders>
            <w:shd w:val="clear" w:color="auto" w:fill="auto"/>
            <w:noWrap/>
            <w:vAlign w:val="bottom"/>
            <w:hideMark/>
          </w:tcPr>
          <w:p w14:paraId="0C9C303B" w14:textId="77777777" w:rsidR="00751FF8" w:rsidRPr="00A61D53" w:rsidRDefault="00751FF8" w:rsidP="00FD7572">
            <w:pPr>
              <w:spacing w:before="40" w:after="40" w:line="180" w:lineRule="exact"/>
              <w:jc w:val="right"/>
              <w:rPr>
                <w:rFonts w:eastAsia="Times New Roman"/>
                <w:i/>
                <w:color w:val="000000"/>
                <w:sz w:val="16"/>
                <w:szCs w:val="16"/>
                <w:lang w:eastAsia="de-DE"/>
              </w:rPr>
            </w:pPr>
            <w:r w:rsidRPr="00A61D53">
              <w:rPr>
                <w:rFonts w:eastAsia="Times New Roman"/>
                <w:i/>
                <w:color w:val="000000"/>
                <w:sz w:val="16"/>
                <w:szCs w:val="16"/>
                <w:lang w:eastAsia="de-DE"/>
              </w:rPr>
              <w:t>Professional level staff</w:t>
            </w:r>
          </w:p>
        </w:tc>
        <w:tc>
          <w:tcPr>
            <w:tcW w:w="859" w:type="dxa"/>
            <w:tcBorders>
              <w:top w:val="single" w:sz="4" w:space="0" w:color="auto"/>
              <w:left w:val="nil"/>
              <w:bottom w:val="single" w:sz="12" w:space="0" w:color="auto"/>
              <w:right w:val="nil"/>
            </w:tcBorders>
            <w:shd w:val="clear" w:color="auto" w:fill="auto"/>
            <w:noWrap/>
            <w:vAlign w:val="bottom"/>
            <w:hideMark/>
          </w:tcPr>
          <w:p w14:paraId="5EF2F570" w14:textId="77777777" w:rsidR="00751FF8" w:rsidRPr="00A61D53" w:rsidRDefault="00751FF8" w:rsidP="00FD7572">
            <w:pPr>
              <w:spacing w:before="40" w:after="40" w:line="180" w:lineRule="exact"/>
              <w:jc w:val="right"/>
              <w:rPr>
                <w:rFonts w:eastAsia="Times New Roman"/>
                <w:i/>
                <w:color w:val="000000"/>
                <w:sz w:val="16"/>
                <w:szCs w:val="16"/>
                <w:lang w:eastAsia="de-DE"/>
              </w:rPr>
            </w:pPr>
            <w:r w:rsidRPr="00A61D53">
              <w:rPr>
                <w:rFonts w:eastAsia="Times New Roman"/>
                <w:i/>
                <w:color w:val="000000"/>
                <w:sz w:val="16"/>
                <w:szCs w:val="16"/>
                <w:lang w:eastAsia="de-DE"/>
              </w:rPr>
              <w:t xml:space="preserve">General </w:t>
            </w:r>
            <w:r w:rsidRPr="00A61D53">
              <w:rPr>
                <w:rFonts w:eastAsia="Times New Roman"/>
                <w:i/>
                <w:iCs/>
                <w:color w:val="000000"/>
                <w:sz w:val="16"/>
                <w:szCs w:val="16"/>
                <w:lang w:eastAsia="de-DE"/>
              </w:rPr>
              <w:t>Service level</w:t>
            </w:r>
            <w:r w:rsidRPr="00A61D53">
              <w:rPr>
                <w:rFonts w:eastAsia="Times New Roman"/>
                <w:i/>
                <w:color w:val="000000"/>
                <w:sz w:val="16"/>
                <w:szCs w:val="16"/>
                <w:lang w:eastAsia="de-DE"/>
              </w:rPr>
              <w:t xml:space="preserve"> staff</w:t>
            </w:r>
          </w:p>
        </w:tc>
      </w:tr>
      <w:tr w:rsidR="00751FF8" w:rsidRPr="00A61D53" w14:paraId="2812A1B8" w14:textId="77777777" w:rsidTr="00FD7572">
        <w:trPr>
          <w:trHeight w:val="33"/>
        </w:trPr>
        <w:tc>
          <w:tcPr>
            <w:tcW w:w="837" w:type="dxa"/>
            <w:tcBorders>
              <w:top w:val="nil"/>
              <w:left w:val="nil"/>
              <w:bottom w:val="nil"/>
              <w:right w:val="nil"/>
            </w:tcBorders>
            <w:shd w:val="clear" w:color="auto" w:fill="auto"/>
            <w:noWrap/>
          </w:tcPr>
          <w:p w14:paraId="149C60CD"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b/>
                <w:bCs/>
                <w:color w:val="000000"/>
                <w:sz w:val="18"/>
                <w:szCs w:val="18"/>
              </w:rPr>
              <w:t>101</w:t>
            </w:r>
          </w:p>
        </w:tc>
        <w:tc>
          <w:tcPr>
            <w:tcW w:w="1528" w:type="dxa"/>
            <w:tcBorders>
              <w:top w:val="nil"/>
              <w:left w:val="nil"/>
              <w:bottom w:val="nil"/>
              <w:right w:val="nil"/>
            </w:tcBorders>
            <w:vAlign w:val="bottom"/>
          </w:tcPr>
          <w:p w14:paraId="4E3A4B59"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rFonts w:ascii="Calibri" w:hAnsi="Calibri" w:cs="Calibri"/>
                <w:b/>
                <w:color w:val="000000"/>
              </w:rPr>
              <w:t> </w:t>
            </w:r>
          </w:p>
        </w:tc>
        <w:tc>
          <w:tcPr>
            <w:tcW w:w="4330" w:type="dxa"/>
            <w:tcBorders>
              <w:top w:val="nil"/>
              <w:left w:val="nil"/>
              <w:bottom w:val="nil"/>
              <w:right w:val="nil"/>
            </w:tcBorders>
            <w:shd w:val="clear" w:color="auto" w:fill="auto"/>
            <w:vAlign w:val="bottom"/>
          </w:tcPr>
          <w:p w14:paraId="2D697BFC"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b/>
                <w:bCs/>
                <w:color w:val="000000"/>
                <w:sz w:val="18"/>
                <w:szCs w:val="18"/>
              </w:rPr>
              <w:t>Intergovernmental engagement</w:t>
            </w:r>
          </w:p>
        </w:tc>
        <w:tc>
          <w:tcPr>
            <w:tcW w:w="1112" w:type="dxa"/>
            <w:tcBorders>
              <w:top w:val="nil"/>
              <w:left w:val="nil"/>
              <w:bottom w:val="nil"/>
              <w:right w:val="nil"/>
            </w:tcBorders>
            <w:shd w:val="clear" w:color="auto" w:fill="auto"/>
            <w:noWrap/>
            <w:vAlign w:val="bottom"/>
          </w:tcPr>
          <w:p w14:paraId="42C6468B" w14:textId="77777777" w:rsidR="00751FF8" w:rsidRPr="00A61D53" w:rsidRDefault="00751FF8" w:rsidP="00C04CAB">
            <w:pPr>
              <w:spacing w:before="40" w:after="40" w:line="200" w:lineRule="exact"/>
              <w:jc w:val="right"/>
              <w:rPr>
                <w:rFonts w:eastAsia="Times New Roman"/>
                <w:color w:val="000000"/>
                <w:sz w:val="18"/>
                <w:szCs w:val="18"/>
                <w:lang w:eastAsia="de-DE"/>
              </w:rPr>
            </w:pPr>
            <w:r>
              <w:rPr>
                <w:b/>
                <w:bCs/>
                <w:color w:val="000000"/>
                <w:sz w:val="18"/>
                <w:szCs w:val="18"/>
              </w:rPr>
              <w:t>8 528 941</w:t>
            </w:r>
          </w:p>
        </w:tc>
        <w:tc>
          <w:tcPr>
            <w:tcW w:w="973" w:type="dxa"/>
            <w:tcBorders>
              <w:top w:val="nil"/>
              <w:left w:val="nil"/>
              <w:bottom w:val="nil"/>
              <w:right w:val="nil"/>
            </w:tcBorders>
            <w:shd w:val="clear" w:color="auto" w:fill="auto"/>
            <w:noWrap/>
            <w:vAlign w:val="bottom"/>
          </w:tcPr>
          <w:p w14:paraId="4B8D0DB9" w14:textId="77777777" w:rsidR="00751FF8" w:rsidRPr="00A61D53" w:rsidRDefault="00751FF8" w:rsidP="00C04CAB">
            <w:pPr>
              <w:spacing w:before="40" w:after="40" w:line="200" w:lineRule="exact"/>
              <w:jc w:val="right"/>
              <w:rPr>
                <w:color w:val="000000"/>
                <w:sz w:val="18"/>
                <w:szCs w:val="18"/>
              </w:rPr>
            </w:pPr>
            <w:r>
              <w:rPr>
                <w:b/>
                <w:bCs/>
                <w:color w:val="000000"/>
                <w:sz w:val="18"/>
                <w:szCs w:val="18"/>
              </w:rPr>
              <w:t>11.2</w:t>
            </w:r>
          </w:p>
        </w:tc>
        <w:tc>
          <w:tcPr>
            <w:tcW w:w="859" w:type="dxa"/>
            <w:tcBorders>
              <w:top w:val="nil"/>
              <w:left w:val="nil"/>
              <w:bottom w:val="nil"/>
              <w:right w:val="nil"/>
            </w:tcBorders>
            <w:shd w:val="clear" w:color="auto" w:fill="auto"/>
            <w:noWrap/>
            <w:vAlign w:val="bottom"/>
          </w:tcPr>
          <w:p w14:paraId="7D545A21" w14:textId="77777777" w:rsidR="00751FF8" w:rsidRPr="00A61D53" w:rsidRDefault="00751FF8" w:rsidP="00C04CAB">
            <w:pPr>
              <w:spacing w:before="40" w:after="40" w:line="200" w:lineRule="exact"/>
              <w:jc w:val="right"/>
              <w:rPr>
                <w:color w:val="000000"/>
                <w:sz w:val="18"/>
                <w:szCs w:val="18"/>
              </w:rPr>
            </w:pPr>
            <w:r>
              <w:rPr>
                <w:b/>
                <w:bCs/>
                <w:color w:val="000000"/>
                <w:sz w:val="18"/>
                <w:szCs w:val="18"/>
              </w:rPr>
              <w:t>4.0</w:t>
            </w:r>
          </w:p>
        </w:tc>
      </w:tr>
      <w:tr w:rsidR="00751FF8" w:rsidRPr="00A61D53" w14:paraId="2C08A903" w14:textId="77777777" w:rsidTr="00FD7572">
        <w:trPr>
          <w:trHeight w:val="33"/>
        </w:trPr>
        <w:tc>
          <w:tcPr>
            <w:tcW w:w="837" w:type="dxa"/>
            <w:tcBorders>
              <w:top w:val="nil"/>
              <w:left w:val="nil"/>
              <w:bottom w:val="nil"/>
              <w:right w:val="nil"/>
            </w:tcBorders>
            <w:shd w:val="clear" w:color="auto" w:fill="auto"/>
            <w:noWrap/>
          </w:tcPr>
          <w:p w14:paraId="6DD2E1E3" w14:textId="77777777" w:rsidR="00751FF8" w:rsidRPr="00A61D53" w:rsidRDefault="00751FF8" w:rsidP="00C04CAB">
            <w:pPr>
              <w:spacing w:before="40" w:after="40" w:line="200" w:lineRule="exact"/>
              <w:rPr>
                <w:rFonts w:eastAsia="Times New Roman"/>
                <w:b/>
                <w:color w:val="000000"/>
                <w:sz w:val="18"/>
                <w:szCs w:val="18"/>
                <w:lang w:eastAsia="de-DE"/>
              </w:rPr>
            </w:pPr>
            <w:r w:rsidRPr="00A61D53">
              <w:rPr>
                <w:color w:val="000000"/>
                <w:sz w:val="18"/>
                <w:szCs w:val="18"/>
              </w:rPr>
              <w:t>101</w:t>
            </w:r>
            <w:r>
              <w:rPr>
                <w:color w:val="000000"/>
                <w:sz w:val="18"/>
                <w:szCs w:val="18"/>
              </w:rPr>
              <w:t>-</w:t>
            </w:r>
            <w:r w:rsidRPr="00A61D53">
              <w:rPr>
                <w:color w:val="000000"/>
                <w:sz w:val="18"/>
                <w:szCs w:val="18"/>
              </w:rPr>
              <w:t>001</w:t>
            </w:r>
          </w:p>
        </w:tc>
        <w:tc>
          <w:tcPr>
            <w:tcW w:w="1528" w:type="dxa"/>
            <w:tcBorders>
              <w:top w:val="nil"/>
              <w:left w:val="nil"/>
              <w:bottom w:val="nil"/>
              <w:right w:val="nil"/>
            </w:tcBorders>
            <w:shd w:val="clear" w:color="auto" w:fill="auto"/>
          </w:tcPr>
          <w:p w14:paraId="4E30BDB2" w14:textId="77777777" w:rsidR="00751FF8" w:rsidRPr="00A61D53" w:rsidRDefault="00751FF8" w:rsidP="00C04CAB">
            <w:pPr>
              <w:spacing w:before="40" w:after="40" w:line="200" w:lineRule="exact"/>
              <w:rPr>
                <w:rFonts w:eastAsia="Times New Roman"/>
                <w:b/>
                <w:color w:val="000000"/>
                <w:sz w:val="18"/>
                <w:szCs w:val="18"/>
                <w:lang w:eastAsia="de-DE"/>
              </w:rPr>
            </w:pPr>
            <w:r w:rsidRPr="00A61D53">
              <w:rPr>
                <w:color w:val="000000"/>
                <w:sz w:val="18"/>
                <w:szCs w:val="18"/>
              </w:rPr>
              <w:t>Adaptation</w:t>
            </w:r>
          </w:p>
        </w:tc>
        <w:tc>
          <w:tcPr>
            <w:tcW w:w="4330" w:type="dxa"/>
            <w:tcBorders>
              <w:top w:val="nil"/>
              <w:left w:val="nil"/>
              <w:bottom w:val="nil"/>
              <w:right w:val="nil"/>
            </w:tcBorders>
            <w:shd w:val="clear" w:color="auto" w:fill="auto"/>
          </w:tcPr>
          <w:p w14:paraId="3EEA35CC" w14:textId="4F9380E1" w:rsidR="00751FF8" w:rsidRPr="00A61D53" w:rsidRDefault="00751FF8" w:rsidP="00C04CAB">
            <w:pPr>
              <w:spacing w:before="40" w:after="40" w:line="200" w:lineRule="exact"/>
              <w:rPr>
                <w:rFonts w:eastAsia="Times New Roman"/>
                <w:b/>
                <w:color w:val="000000"/>
                <w:sz w:val="18"/>
                <w:szCs w:val="18"/>
                <w:lang w:eastAsia="de-DE"/>
              </w:rPr>
            </w:pPr>
            <w:r w:rsidRPr="00A61D53">
              <w:rPr>
                <w:color w:val="000000"/>
                <w:sz w:val="18"/>
                <w:szCs w:val="18"/>
              </w:rPr>
              <w:t>Support for the Santiago network</w:t>
            </w:r>
            <w:r w:rsidRPr="00A61D53" w:rsidDel="008557B2">
              <w:rPr>
                <w:color w:val="000000"/>
                <w:sz w:val="18"/>
                <w:szCs w:val="18"/>
              </w:rPr>
              <w:t xml:space="preserve"> for </w:t>
            </w:r>
            <w:r w:rsidRPr="00A61D53">
              <w:rPr>
                <w:color w:val="000000"/>
                <w:sz w:val="18"/>
                <w:szCs w:val="18"/>
              </w:rPr>
              <w:t>loss and damage</w:t>
            </w:r>
          </w:p>
        </w:tc>
        <w:tc>
          <w:tcPr>
            <w:tcW w:w="1112" w:type="dxa"/>
            <w:tcBorders>
              <w:top w:val="nil"/>
              <w:left w:val="nil"/>
              <w:bottom w:val="nil"/>
              <w:right w:val="nil"/>
            </w:tcBorders>
            <w:shd w:val="clear" w:color="auto" w:fill="auto"/>
            <w:noWrap/>
          </w:tcPr>
          <w:p w14:paraId="3A1EAEAC" w14:textId="77777777" w:rsidR="00751FF8" w:rsidRPr="00A61D53" w:rsidRDefault="00751FF8" w:rsidP="00C04CAB">
            <w:pPr>
              <w:spacing w:before="40" w:after="40" w:line="200" w:lineRule="exact"/>
              <w:jc w:val="right"/>
              <w:rPr>
                <w:rFonts w:eastAsia="Times New Roman"/>
                <w:b/>
                <w:color w:val="000000"/>
                <w:sz w:val="18"/>
                <w:szCs w:val="18"/>
                <w:lang w:eastAsia="de-DE"/>
              </w:rPr>
            </w:pPr>
            <w:r>
              <w:rPr>
                <w:color w:val="000000"/>
                <w:sz w:val="18"/>
                <w:szCs w:val="18"/>
              </w:rPr>
              <w:t xml:space="preserve"> 553 193</w:t>
            </w:r>
          </w:p>
        </w:tc>
        <w:tc>
          <w:tcPr>
            <w:tcW w:w="973" w:type="dxa"/>
            <w:tcBorders>
              <w:top w:val="nil"/>
              <w:left w:val="nil"/>
              <w:bottom w:val="nil"/>
              <w:right w:val="nil"/>
            </w:tcBorders>
            <w:shd w:val="clear" w:color="auto" w:fill="auto"/>
            <w:noWrap/>
          </w:tcPr>
          <w:p w14:paraId="461FD4FA" w14:textId="77777777" w:rsidR="00751FF8" w:rsidRPr="00A61D53" w:rsidRDefault="00751FF8" w:rsidP="00C04CAB">
            <w:pPr>
              <w:spacing w:before="40" w:after="40" w:line="200" w:lineRule="exact"/>
              <w:jc w:val="right"/>
              <w:rPr>
                <w:b/>
                <w:color w:val="000000"/>
                <w:sz w:val="18"/>
                <w:szCs w:val="18"/>
              </w:rPr>
            </w:pPr>
            <w:r>
              <w:rPr>
                <w:color w:val="000000"/>
                <w:sz w:val="18"/>
                <w:szCs w:val="18"/>
              </w:rPr>
              <w:t>0.2</w:t>
            </w:r>
          </w:p>
        </w:tc>
        <w:tc>
          <w:tcPr>
            <w:tcW w:w="859" w:type="dxa"/>
            <w:tcBorders>
              <w:top w:val="nil"/>
              <w:left w:val="nil"/>
              <w:bottom w:val="nil"/>
              <w:right w:val="nil"/>
            </w:tcBorders>
            <w:shd w:val="clear" w:color="auto" w:fill="auto"/>
            <w:noWrap/>
          </w:tcPr>
          <w:p w14:paraId="4E3A4227" w14:textId="77777777" w:rsidR="00751FF8" w:rsidRPr="00A61D53" w:rsidRDefault="00751FF8" w:rsidP="00C04CAB">
            <w:pPr>
              <w:spacing w:before="40" w:after="40" w:line="200" w:lineRule="exact"/>
              <w:jc w:val="right"/>
              <w:rPr>
                <w:b/>
                <w:color w:val="000000"/>
                <w:sz w:val="18"/>
                <w:szCs w:val="18"/>
              </w:rPr>
            </w:pPr>
            <w:r>
              <w:rPr>
                <w:color w:val="000000"/>
                <w:sz w:val="18"/>
                <w:szCs w:val="18"/>
              </w:rPr>
              <w:t>–</w:t>
            </w:r>
          </w:p>
        </w:tc>
      </w:tr>
      <w:tr w:rsidR="00751FF8" w:rsidRPr="00A61D53" w14:paraId="3C47E2A5" w14:textId="77777777" w:rsidTr="00FD7572">
        <w:trPr>
          <w:trHeight w:val="33"/>
        </w:trPr>
        <w:tc>
          <w:tcPr>
            <w:tcW w:w="837" w:type="dxa"/>
            <w:tcBorders>
              <w:top w:val="nil"/>
              <w:left w:val="nil"/>
              <w:bottom w:val="nil"/>
              <w:right w:val="nil"/>
            </w:tcBorders>
            <w:shd w:val="clear" w:color="auto" w:fill="auto"/>
            <w:noWrap/>
          </w:tcPr>
          <w:p w14:paraId="63489F92"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101</w:t>
            </w:r>
            <w:r>
              <w:rPr>
                <w:color w:val="000000"/>
                <w:sz w:val="18"/>
                <w:szCs w:val="18"/>
              </w:rPr>
              <w:t>-</w:t>
            </w:r>
            <w:r w:rsidRPr="00A61D53">
              <w:rPr>
                <w:color w:val="000000"/>
                <w:sz w:val="18"/>
                <w:szCs w:val="18"/>
              </w:rPr>
              <w:t>002</w:t>
            </w:r>
          </w:p>
        </w:tc>
        <w:tc>
          <w:tcPr>
            <w:tcW w:w="1528" w:type="dxa"/>
            <w:tcBorders>
              <w:top w:val="nil"/>
              <w:left w:val="nil"/>
              <w:bottom w:val="nil"/>
              <w:right w:val="nil"/>
            </w:tcBorders>
            <w:shd w:val="clear" w:color="auto" w:fill="auto"/>
          </w:tcPr>
          <w:p w14:paraId="741E88D1"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Mitigation</w:t>
            </w:r>
          </w:p>
        </w:tc>
        <w:tc>
          <w:tcPr>
            <w:tcW w:w="4330" w:type="dxa"/>
            <w:tcBorders>
              <w:top w:val="nil"/>
              <w:left w:val="nil"/>
              <w:bottom w:val="nil"/>
              <w:right w:val="nil"/>
            </w:tcBorders>
            <w:shd w:val="clear" w:color="auto" w:fill="auto"/>
          </w:tcPr>
          <w:p w14:paraId="52739F87"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Catalysation of mitigation implementation through the high</w:t>
            </w:r>
            <w:r>
              <w:rPr>
                <w:color w:val="000000"/>
                <w:sz w:val="18"/>
                <w:szCs w:val="18"/>
              </w:rPr>
              <w:t>-</w:t>
            </w:r>
            <w:r w:rsidRPr="00A61D53">
              <w:rPr>
                <w:color w:val="000000"/>
                <w:sz w:val="18"/>
                <w:szCs w:val="18"/>
              </w:rPr>
              <w:t>level ministerial round table on pre</w:t>
            </w:r>
            <w:r>
              <w:rPr>
                <w:color w:val="000000"/>
                <w:sz w:val="18"/>
                <w:szCs w:val="18"/>
              </w:rPr>
              <w:t>-</w:t>
            </w:r>
            <w:r w:rsidRPr="00A61D53">
              <w:rPr>
                <w:color w:val="000000"/>
                <w:sz w:val="18"/>
                <w:szCs w:val="18"/>
              </w:rPr>
              <w:t>2030 ambition and the work programme for urgently scaling up mitigation ambition and implementation referred to in paragraph 27 of decision 1/CMA.3, and continued support for the implementation of nationally determined contributions and long</w:t>
            </w:r>
            <w:r>
              <w:rPr>
                <w:color w:val="000000"/>
                <w:sz w:val="18"/>
                <w:szCs w:val="18"/>
              </w:rPr>
              <w:t>-</w:t>
            </w:r>
            <w:r w:rsidRPr="00A61D53">
              <w:rPr>
                <w:color w:val="000000"/>
                <w:sz w:val="18"/>
                <w:szCs w:val="18"/>
              </w:rPr>
              <w:t>term low</w:t>
            </w:r>
            <w:r>
              <w:rPr>
                <w:color w:val="000000"/>
                <w:sz w:val="18"/>
                <w:szCs w:val="18"/>
              </w:rPr>
              <w:t>-</w:t>
            </w:r>
            <w:r w:rsidRPr="00A61D53">
              <w:rPr>
                <w:color w:val="000000"/>
                <w:sz w:val="18"/>
                <w:szCs w:val="18"/>
              </w:rPr>
              <w:t>emission development strategies</w:t>
            </w:r>
          </w:p>
        </w:tc>
        <w:tc>
          <w:tcPr>
            <w:tcW w:w="1112" w:type="dxa"/>
            <w:tcBorders>
              <w:top w:val="nil"/>
              <w:left w:val="nil"/>
              <w:bottom w:val="nil"/>
              <w:right w:val="nil"/>
            </w:tcBorders>
            <w:shd w:val="clear" w:color="auto" w:fill="auto"/>
            <w:noWrap/>
          </w:tcPr>
          <w:p w14:paraId="38BBE392"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1 633 754</w:t>
            </w:r>
          </w:p>
        </w:tc>
        <w:tc>
          <w:tcPr>
            <w:tcW w:w="973" w:type="dxa"/>
            <w:tcBorders>
              <w:top w:val="nil"/>
              <w:left w:val="nil"/>
              <w:bottom w:val="nil"/>
              <w:right w:val="nil"/>
            </w:tcBorders>
            <w:shd w:val="clear" w:color="auto" w:fill="auto"/>
            <w:noWrap/>
          </w:tcPr>
          <w:p w14:paraId="1B16369A" w14:textId="77777777" w:rsidR="00751FF8" w:rsidRPr="00A61D53" w:rsidRDefault="00751FF8" w:rsidP="00C04CAB">
            <w:pPr>
              <w:spacing w:before="40" w:after="40" w:line="200" w:lineRule="exact"/>
              <w:jc w:val="right"/>
              <w:rPr>
                <w:color w:val="000000"/>
                <w:sz w:val="18"/>
                <w:szCs w:val="18"/>
              </w:rPr>
            </w:pPr>
            <w:r>
              <w:rPr>
                <w:color w:val="000000"/>
                <w:sz w:val="18"/>
                <w:szCs w:val="18"/>
              </w:rPr>
              <w:t>2.0</w:t>
            </w:r>
          </w:p>
        </w:tc>
        <w:tc>
          <w:tcPr>
            <w:tcW w:w="859" w:type="dxa"/>
            <w:tcBorders>
              <w:top w:val="nil"/>
              <w:left w:val="nil"/>
              <w:bottom w:val="nil"/>
              <w:right w:val="nil"/>
            </w:tcBorders>
            <w:shd w:val="clear" w:color="auto" w:fill="auto"/>
            <w:noWrap/>
          </w:tcPr>
          <w:p w14:paraId="3E396E43" w14:textId="77777777" w:rsidR="00751FF8" w:rsidRPr="00A61D53" w:rsidRDefault="00751FF8" w:rsidP="00C04CAB">
            <w:pPr>
              <w:spacing w:before="40" w:after="40" w:line="200" w:lineRule="exact"/>
              <w:jc w:val="right"/>
              <w:rPr>
                <w:color w:val="000000"/>
                <w:sz w:val="18"/>
                <w:szCs w:val="18"/>
              </w:rPr>
            </w:pPr>
            <w:r>
              <w:rPr>
                <w:color w:val="000000"/>
                <w:sz w:val="18"/>
                <w:szCs w:val="18"/>
              </w:rPr>
              <w:t>–</w:t>
            </w:r>
          </w:p>
        </w:tc>
      </w:tr>
      <w:tr w:rsidR="00751FF8" w:rsidRPr="00A61D53" w14:paraId="0F14997E" w14:textId="77777777" w:rsidTr="00FD7572">
        <w:trPr>
          <w:trHeight w:val="33"/>
        </w:trPr>
        <w:tc>
          <w:tcPr>
            <w:tcW w:w="837" w:type="dxa"/>
            <w:tcBorders>
              <w:top w:val="nil"/>
              <w:left w:val="nil"/>
              <w:bottom w:val="nil"/>
              <w:right w:val="nil"/>
            </w:tcBorders>
            <w:shd w:val="clear" w:color="auto" w:fill="auto"/>
            <w:noWrap/>
          </w:tcPr>
          <w:p w14:paraId="2CCEB9C5"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101</w:t>
            </w:r>
            <w:r>
              <w:rPr>
                <w:color w:val="000000"/>
                <w:sz w:val="18"/>
                <w:szCs w:val="18"/>
              </w:rPr>
              <w:t>-</w:t>
            </w:r>
            <w:r w:rsidRPr="00A61D53">
              <w:rPr>
                <w:color w:val="000000"/>
                <w:sz w:val="18"/>
                <w:szCs w:val="18"/>
              </w:rPr>
              <w:t>005</w:t>
            </w:r>
          </w:p>
        </w:tc>
        <w:tc>
          <w:tcPr>
            <w:tcW w:w="1528" w:type="dxa"/>
            <w:tcBorders>
              <w:top w:val="nil"/>
              <w:left w:val="nil"/>
              <w:bottom w:val="nil"/>
              <w:right w:val="nil"/>
            </w:tcBorders>
            <w:shd w:val="clear" w:color="auto" w:fill="auto"/>
          </w:tcPr>
          <w:p w14:paraId="11B98EA4"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Intergovernmental Support and Collective Progress</w:t>
            </w:r>
          </w:p>
        </w:tc>
        <w:tc>
          <w:tcPr>
            <w:tcW w:w="4330" w:type="dxa"/>
            <w:tcBorders>
              <w:top w:val="nil"/>
              <w:left w:val="nil"/>
              <w:bottom w:val="nil"/>
              <w:right w:val="nil"/>
            </w:tcBorders>
            <w:shd w:val="clear" w:color="auto" w:fill="auto"/>
          </w:tcPr>
          <w:p w14:paraId="16A1D56A"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Enhancement of coordination and operational support for Presidency teams</w:t>
            </w:r>
          </w:p>
        </w:tc>
        <w:tc>
          <w:tcPr>
            <w:tcW w:w="1112" w:type="dxa"/>
            <w:tcBorders>
              <w:top w:val="nil"/>
              <w:left w:val="nil"/>
              <w:bottom w:val="nil"/>
              <w:right w:val="nil"/>
            </w:tcBorders>
            <w:shd w:val="clear" w:color="auto" w:fill="auto"/>
            <w:noWrap/>
          </w:tcPr>
          <w:p w14:paraId="598500F3"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2 150 184</w:t>
            </w:r>
          </w:p>
        </w:tc>
        <w:tc>
          <w:tcPr>
            <w:tcW w:w="973" w:type="dxa"/>
            <w:tcBorders>
              <w:top w:val="nil"/>
              <w:left w:val="nil"/>
              <w:bottom w:val="nil"/>
              <w:right w:val="nil"/>
            </w:tcBorders>
            <w:shd w:val="clear" w:color="auto" w:fill="auto"/>
            <w:noWrap/>
          </w:tcPr>
          <w:p w14:paraId="5E824204" w14:textId="77777777" w:rsidR="00751FF8" w:rsidRPr="00A61D53" w:rsidRDefault="00751FF8" w:rsidP="00C04CAB">
            <w:pPr>
              <w:spacing w:before="40" w:after="40" w:line="200" w:lineRule="exact"/>
              <w:jc w:val="right"/>
              <w:rPr>
                <w:color w:val="000000"/>
                <w:sz w:val="18"/>
                <w:szCs w:val="18"/>
              </w:rPr>
            </w:pPr>
            <w:r>
              <w:rPr>
                <w:color w:val="000000"/>
                <w:sz w:val="18"/>
                <w:szCs w:val="18"/>
              </w:rPr>
              <w:t>3.0</w:t>
            </w:r>
          </w:p>
        </w:tc>
        <w:tc>
          <w:tcPr>
            <w:tcW w:w="859" w:type="dxa"/>
            <w:tcBorders>
              <w:top w:val="nil"/>
              <w:left w:val="nil"/>
              <w:bottom w:val="nil"/>
              <w:right w:val="nil"/>
            </w:tcBorders>
            <w:shd w:val="clear" w:color="auto" w:fill="auto"/>
            <w:noWrap/>
          </w:tcPr>
          <w:p w14:paraId="462B8831" w14:textId="77777777" w:rsidR="00751FF8" w:rsidRPr="00A61D53" w:rsidRDefault="00751FF8" w:rsidP="00C04CAB">
            <w:pPr>
              <w:spacing w:before="40" w:after="40" w:line="200" w:lineRule="exact"/>
              <w:jc w:val="right"/>
              <w:rPr>
                <w:color w:val="000000"/>
                <w:sz w:val="18"/>
                <w:szCs w:val="18"/>
              </w:rPr>
            </w:pPr>
            <w:r>
              <w:rPr>
                <w:color w:val="000000"/>
                <w:sz w:val="18"/>
                <w:szCs w:val="18"/>
              </w:rPr>
              <w:t>2.0</w:t>
            </w:r>
          </w:p>
        </w:tc>
      </w:tr>
      <w:tr w:rsidR="00751FF8" w:rsidRPr="00A61D53" w14:paraId="71EB0A16" w14:textId="77777777" w:rsidTr="00FD7572">
        <w:trPr>
          <w:trHeight w:val="33"/>
        </w:trPr>
        <w:tc>
          <w:tcPr>
            <w:tcW w:w="837" w:type="dxa"/>
            <w:tcBorders>
              <w:top w:val="nil"/>
              <w:left w:val="nil"/>
              <w:bottom w:val="nil"/>
              <w:right w:val="nil"/>
            </w:tcBorders>
            <w:shd w:val="clear" w:color="auto" w:fill="auto"/>
            <w:noWrap/>
          </w:tcPr>
          <w:p w14:paraId="24513A83"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101</w:t>
            </w:r>
            <w:r>
              <w:rPr>
                <w:color w:val="000000"/>
                <w:sz w:val="18"/>
                <w:szCs w:val="18"/>
              </w:rPr>
              <w:t>-</w:t>
            </w:r>
            <w:r w:rsidRPr="00A61D53">
              <w:rPr>
                <w:color w:val="000000"/>
                <w:sz w:val="18"/>
                <w:szCs w:val="18"/>
              </w:rPr>
              <w:t>006</w:t>
            </w:r>
          </w:p>
        </w:tc>
        <w:tc>
          <w:tcPr>
            <w:tcW w:w="1528" w:type="dxa"/>
            <w:tcBorders>
              <w:top w:val="nil"/>
              <w:left w:val="nil"/>
              <w:bottom w:val="nil"/>
              <w:right w:val="nil"/>
            </w:tcBorders>
            <w:shd w:val="clear" w:color="auto" w:fill="auto"/>
          </w:tcPr>
          <w:p w14:paraId="5B3E6EDB"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Communications and Engagement</w:t>
            </w:r>
          </w:p>
        </w:tc>
        <w:tc>
          <w:tcPr>
            <w:tcW w:w="4330" w:type="dxa"/>
            <w:tcBorders>
              <w:top w:val="nil"/>
              <w:left w:val="nil"/>
              <w:bottom w:val="nil"/>
              <w:right w:val="nil"/>
            </w:tcBorders>
            <w:shd w:val="clear" w:color="auto" w:fill="auto"/>
          </w:tcPr>
          <w:p w14:paraId="052FBB67" w14:textId="5D7785E9"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 xml:space="preserve">Facilitation of the effective participation of observer organizations and </w:t>
            </w:r>
            <w:r w:rsidRPr="00A61D53" w:rsidDel="005E09F0">
              <w:rPr>
                <w:color w:val="000000"/>
                <w:sz w:val="18"/>
                <w:szCs w:val="18"/>
              </w:rPr>
              <w:t xml:space="preserve">other </w:t>
            </w:r>
            <w:r w:rsidRPr="00A61D53">
              <w:rPr>
                <w:color w:val="000000"/>
                <w:sz w:val="18"/>
                <w:szCs w:val="18"/>
              </w:rPr>
              <w:t>non</w:t>
            </w:r>
            <w:r>
              <w:rPr>
                <w:color w:val="000000"/>
                <w:sz w:val="18"/>
                <w:szCs w:val="18"/>
              </w:rPr>
              <w:t>-</w:t>
            </w:r>
            <w:r w:rsidRPr="00A61D53">
              <w:rPr>
                <w:color w:val="000000"/>
                <w:sz w:val="18"/>
                <w:szCs w:val="18"/>
              </w:rPr>
              <w:t>Party stakeholders in established UNFCCC processes</w:t>
            </w:r>
          </w:p>
        </w:tc>
        <w:tc>
          <w:tcPr>
            <w:tcW w:w="1112" w:type="dxa"/>
            <w:tcBorders>
              <w:top w:val="nil"/>
              <w:left w:val="nil"/>
              <w:bottom w:val="nil"/>
              <w:right w:val="nil"/>
            </w:tcBorders>
            <w:shd w:val="clear" w:color="auto" w:fill="auto"/>
            <w:noWrap/>
          </w:tcPr>
          <w:p w14:paraId="13350ADA"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 xml:space="preserve"> 957 849</w:t>
            </w:r>
          </w:p>
        </w:tc>
        <w:tc>
          <w:tcPr>
            <w:tcW w:w="973" w:type="dxa"/>
            <w:tcBorders>
              <w:top w:val="nil"/>
              <w:left w:val="nil"/>
              <w:bottom w:val="nil"/>
              <w:right w:val="nil"/>
            </w:tcBorders>
            <w:shd w:val="clear" w:color="auto" w:fill="auto"/>
            <w:noWrap/>
          </w:tcPr>
          <w:p w14:paraId="74EE1C04" w14:textId="77777777" w:rsidR="00751FF8" w:rsidRPr="00A61D53" w:rsidRDefault="00751FF8" w:rsidP="00C04CAB">
            <w:pPr>
              <w:spacing w:before="40" w:after="40" w:line="200" w:lineRule="exact"/>
              <w:jc w:val="right"/>
              <w:rPr>
                <w:color w:val="000000"/>
                <w:sz w:val="18"/>
                <w:szCs w:val="18"/>
              </w:rPr>
            </w:pPr>
            <w:r>
              <w:rPr>
                <w:color w:val="000000"/>
                <w:sz w:val="18"/>
                <w:szCs w:val="18"/>
              </w:rPr>
              <w:t>1.0</w:t>
            </w:r>
          </w:p>
        </w:tc>
        <w:tc>
          <w:tcPr>
            <w:tcW w:w="859" w:type="dxa"/>
            <w:tcBorders>
              <w:top w:val="nil"/>
              <w:left w:val="nil"/>
              <w:bottom w:val="nil"/>
              <w:right w:val="nil"/>
            </w:tcBorders>
            <w:shd w:val="clear" w:color="auto" w:fill="auto"/>
            <w:noWrap/>
          </w:tcPr>
          <w:p w14:paraId="6DB5C8F3" w14:textId="77777777" w:rsidR="00751FF8" w:rsidRPr="00A61D53" w:rsidRDefault="00751FF8" w:rsidP="00C04CAB">
            <w:pPr>
              <w:spacing w:before="40" w:after="40" w:line="200" w:lineRule="exact"/>
              <w:jc w:val="right"/>
              <w:rPr>
                <w:color w:val="000000"/>
                <w:sz w:val="18"/>
                <w:szCs w:val="18"/>
              </w:rPr>
            </w:pPr>
            <w:r>
              <w:rPr>
                <w:color w:val="000000"/>
                <w:sz w:val="18"/>
                <w:szCs w:val="18"/>
              </w:rPr>
              <w:t>1.0</w:t>
            </w:r>
          </w:p>
        </w:tc>
      </w:tr>
      <w:tr w:rsidR="00751FF8" w:rsidRPr="00A61D53" w14:paraId="1A0C022C" w14:textId="77777777" w:rsidTr="00FD7572">
        <w:trPr>
          <w:trHeight w:val="74"/>
        </w:trPr>
        <w:tc>
          <w:tcPr>
            <w:tcW w:w="837" w:type="dxa"/>
            <w:tcBorders>
              <w:top w:val="nil"/>
              <w:left w:val="nil"/>
              <w:bottom w:val="nil"/>
              <w:right w:val="nil"/>
            </w:tcBorders>
            <w:shd w:val="clear" w:color="auto" w:fill="auto"/>
            <w:noWrap/>
          </w:tcPr>
          <w:p w14:paraId="60EED8EA" w14:textId="77777777" w:rsidR="00751FF8" w:rsidRPr="00A61D53" w:rsidRDefault="00751FF8" w:rsidP="00C04CAB">
            <w:pPr>
              <w:spacing w:before="40" w:after="40" w:line="200" w:lineRule="exact"/>
              <w:rPr>
                <w:color w:val="000000"/>
                <w:sz w:val="18"/>
                <w:szCs w:val="18"/>
              </w:rPr>
            </w:pPr>
            <w:r>
              <w:rPr>
                <w:color w:val="000000"/>
                <w:sz w:val="18"/>
                <w:szCs w:val="18"/>
              </w:rPr>
              <w:t>101-010</w:t>
            </w:r>
          </w:p>
        </w:tc>
        <w:tc>
          <w:tcPr>
            <w:tcW w:w="1528" w:type="dxa"/>
            <w:tcBorders>
              <w:top w:val="nil"/>
              <w:left w:val="nil"/>
              <w:bottom w:val="nil"/>
              <w:right w:val="nil"/>
            </w:tcBorders>
            <w:shd w:val="clear" w:color="auto" w:fill="auto"/>
          </w:tcPr>
          <w:p w14:paraId="46046AA4" w14:textId="77777777" w:rsidR="00751FF8" w:rsidRPr="00A61D53" w:rsidRDefault="00751FF8" w:rsidP="00C04CAB">
            <w:pPr>
              <w:spacing w:before="40" w:after="40" w:line="200" w:lineRule="exact"/>
              <w:rPr>
                <w:color w:val="000000"/>
                <w:sz w:val="18"/>
                <w:szCs w:val="18"/>
              </w:rPr>
            </w:pPr>
            <w:r>
              <w:rPr>
                <w:color w:val="000000"/>
                <w:sz w:val="18"/>
                <w:szCs w:val="18"/>
              </w:rPr>
              <w:t xml:space="preserve">Executive </w:t>
            </w:r>
          </w:p>
        </w:tc>
        <w:tc>
          <w:tcPr>
            <w:tcW w:w="4330" w:type="dxa"/>
            <w:tcBorders>
              <w:top w:val="nil"/>
              <w:left w:val="nil"/>
              <w:bottom w:val="nil"/>
              <w:right w:val="nil"/>
            </w:tcBorders>
            <w:shd w:val="clear" w:color="auto" w:fill="auto"/>
          </w:tcPr>
          <w:p w14:paraId="327BE30E" w14:textId="2F84C6B9" w:rsidR="00751FF8" w:rsidRPr="00A61D53" w:rsidRDefault="00751FF8" w:rsidP="00C04CAB">
            <w:pPr>
              <w:spacing w:before="40" w:after="40" w:line="200" w:lineRule="exact"/>
              <w:rPr>
                <w:color w:val="000000"/>
                <w:sz w:val="18"/>
                <w:szCs w:val="18"/>
              </w:rPr>
            </w:pPr>
            <w:r>
              <w:rPr>
                <w:color w:val="000000"/>
                <w:sz w:val="18"/>
                <w:szCs w:val="18"/>
              </w:rPr>
              <w:t>Engagement by the Executive Secretary and Deputy Executive Secretary in United Nations</w:t>
            </w:r>
            <w:r w:rsidR="005E542A">
              <w:rPr>
                <w:color w:val="000000"/>
                <w:sz w:val="18"/>
                <w:szCs w:val="18"/>
              </w:rPr>
              <w:t xml:space="preserve"> </w:t>
            </w:r>
            <w:r>
              <w:rPr>
                <w:color w:val="000000"/>
                <w:sz w:val="18"/>
                <w:szCs w:val="18"/>
              </w:rPr>
              <w:t>wide management and coordination activities</w:t>
            </w:r>
          </w:p>
        </w:tc>
        <w:tc>
          <w:tcPr>
            <w:tcW w:w="1112" w:type="dxa"/>
            <w:tcBorders>
              <w:top w:val="nil"/>
              <w:left w:val="nil"/>
              <w:bottom w:val="nil"/>
              <w:right w:val="nil"/>
            </w:tcBorders>
            <w:shd w:val="clear" w:color="auto" w:fill="auto"/>
            <w:noWrap/>
          </w:tcPr>
          <w:p w14:paraId="55C262E1"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 xml:space="preserve"> 117 192</w:t>
            </w:r>
          </w:p>
        </w:tc>
        <w:tc>
          <w:tcPr>
            <w:tcW w:w="973" w:type="dxa"/>
            <w:tcBorders>
              <w:top w:val="nil"/>
              <w:left w:val="nil"/>
              <w:bottom w:val="nil"/>
              <w:right w:val="nil"/>
            </w:tcBorders>
            <w:shd w:val="clear" w:color="auto" w:fill="auto"/>
            <w:noWrap/>
          </w:tcPr>
          <w:p w14:paraId="1D5846EE" w14:textId="77777777" w:rsidR="00751FF8" w:rsidRPr="00A61D53" w:rsidRDefault="00751FF8" w:rsidP="00C04CAB">
            <w:pPr>
              <w:spacing w:before="40" w:after="40" w:line="200" w:lineRule="exact"/>
              <w:jc w:val="right"/>
              <w:rPr>
                <w:color w:val="000000"/>
                <w:sz w:val="18"/>
                <w:szCs w:val="18"/>
              </w:rPr>
            </w:pPr>
            <w:r>
              <w:rPr>
                <w:color w:val="000000"/>
                <w:sz w:val="18"/>
                <w:szCs w:val="18"/>
              </w:rPr>
              <w:t>–</w:t>
            </w:r>
          </w:p>
        </w:tc>
        <w:tc>
          <w:tcPr>
            <w:tcW w:w="859" w:type="dxa"/>
            <w:tcBorders>
              <w:top w:val="nil"/>
              <w:left w:val="nil"/>
              <w:bottom w:val="nil"/>
              <w:right w:val="nil"/>
            </w:tcBorders>
            <w:shd w:val="clear" w:color="auto" w:fill="auto"/>
            <w:noWrap/>
          </w:tcPr>
          <w:p w14:paraId="5EA5CF3B" w14:textId="77777777" w:rsidR="00751FF8" w:rsidRPr="00A61D53" w:rsidRDefault="00751FF8" w:rsidP="00C04CAB">
            <w:pPr>
              <w:spacing w:before="40" w:after="40" w:line="200" w:lineRule="exact"/>
              <w:jc w:val="right"/>
              <w:rPr>
                <w:color w:val="000000"/>
                <w:sz w:val="18"/>
                <w:szCs w:val="18"/>
              </w:rPr>
            </w:pPr>
            <w:r>
              <w:rPr>
                <w:color w:val="000000"/>
                <w:sz w:val="18"/>
                <w:szCs w:val="18"/>
              </w:rPr>
              <w:t>–</w:t>
            </w:r>
          </w:p>
        </w:tc>
      </w:tr>
      <w:tr w:rsidR="00751FF8" w:rsidRPr="00A61D53" w14:paraId="7ECA0576" w14:textId="77777777" w:rsidTr="00FD7572">
        <w:trPr>
          <w:trHeight w:val="74"/>
        </w:trPr>
        <w:tc>
          <w:tcPr>
            <w:tcW w:w="837" w:type="dxa"/>
            <w:tcBorders>
              <w:top w:val="nil"/>
              <w:left w:val="nil"/>
              <w:bottom w:val="nil"/>
              <w:right w:val="nil"/>
            </w:tcBorders>
            <w:shd w:val="clear" w:color="auto" w:fill="auto"/>
            <w:noWrap/>
          </w:tcPr>
          <w:p w14:paraId="59BC0F80"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101</w:t>
            </w:r>
            <w:r>
              <w:rPr>
                <w:color w:val="000000"/>
                <w:sz w:val="18"/>
                <w:szCs w:val="18"/>
              </w:rPr>
              <w:t>-</w:t>
            </w:r>
            <w:r w:rsidRPr="00A61D53">
              <w:rPr>
                <w:color w:val="000000"/>
                <w:sz w:val="18"/>
                <w:szCs w:val="18"/>
              </w:rPr>
              <w:t>011</w:t>
            </w:r>
          </w:p>
        </w:tc>
        <w:tc>
          <w:tcPr>
            <w:tcW w:w="1528" w:type="dxa"/>
            <w:tcBorders>
              <w:top w:val="nil"/>
              <w:left w:val="nil"/>
              <w:bottom w:val="nil"/>
              <w:right w:val="nil"/>
            </w:tcBorders>
            <w:shd w:val="clear" w:color="auto" w:fill="auto"/>
          </w:tcPr>
          <w:p w14:paraId="1EAB8036"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Programmes Coordination</w:t>
            </w:r>
          </w:p>
        </w:tc>
        <w:tc>
          <w:tcPr>
            <w:tcW w:w="4330" w:type="dxa"/>
            <w:tcBorders>
              <w:top w:val="nil"/>
              <w:left w:val="nil"/>
              <w:bottom w:val="nil"/>
              <w:right w:val="nil"/>
            </w:tcBorders>
            <w:shd w:val="clear" w:color="auto" w:fill="auto"/>
          </w:tcPr>
          <w:p w14:paraId="346261DF" w14:textId="70376E22"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Enhancement of coordination and synergies in facilitating implementation of climate action</w:t>
            </w:r>
          </w:p>
        </w:tc>
        <w:tc>
          <w:tcPr>
            <w:tcW w:w="1112" w:type="dxa"/>
            <w:tcBorders>
              <w:top w:val="nil"/>
              <w:left w:val="nil"/>
              <w:bottom w:val="nil"/>
              <w:right w:val="nil"/>
            </w:tcBorders>
            <w:shd w:val="clear" w:color="auto" w:fill="auto"/>
            <w:noWrap/>
          </w:tcPr>
          <w:p w14:paraId="3D518213"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1 585 832</w:t>
            </w:r>
          </w:p>
        </w:tc>
        <w:tc>
          <w:tcPr>
            <w:tcW w:w="973" w:type="dxa"/>
            <w:tcBorders>
              <w:top w:val="nil"/>
              <w:left w:val="nil"/>
              <w:bottom w:val="nil"/>
              <w:right w:val="nil"/>
            </w:tcBorders>
            <w:shd w:val="clear" w:color="auto" w:fill="auto"/>
            <w:noWrap/>
          </w:tcPr>
          <w:p w14:paraId="7AF7F97A" w14:textId="77777777" w:rsidR="00751FF8" w:rsidRPr="00A61D53" w:rsidRDefault="00751FF8" w:rsidP="00C04CAB">
            <w:pPr>
              <w:spacing w:before="40" w:after="40" w:line="200" w:lineRule="exact"/>
              <w:jc w:val="right"/>
              <w:rPr>
                <w:color w:val="000000"/>
                <w:sz w:val="18"/>
                <w:szCs w:val="18"/>
              </w:rPr>
            </w:pPr>
            <w:r>
              <w:rPr>
                <w:color w:val="000000"/>
                <w:sz w:val="18"/>
                <w:szCs w:val="18"/>
              </w:rPr>
              <w:t>3.0</w:t>
            </w:r>
          </w:p>
        </w:tc>
        <w:tc>
          <w:tcPr>
            <w:tcW w:w="859" w:type="dxa"/>
            <w:tcBorders>
              <w:top w:val="nil"/>
              <w:left w:val="nil"/>
              <w:bottom w:val="nil"/>
              <w:right w:val="nil"/>
            </w:tcBorders>
            <w:shd w:val="clear" w:color="auto" w:fill="auto"/>
            <w:noWrap/>
          </w:tcPr>
          <w:p w14:paraId="162AB0B6" w14:textId="77777777" w:rsidR="00751FF8" w:rsidRPr="00A61D53" w:rsidRDefault="00751FF8" w:rsidP="00C04CAB">
            <w:pPr>
              <w:spacing w:before="40" w:after="40" w:line="200" w:lineRule="exact"/>
              <w:jc w:val="right"/>
              <w:rPr>
                <w:color w:val="000000"/>
                <w:sz w:val="18"/>
                <w:szCs w:val="18"/>
              </w:rPr>
            </w:pPr>
            <w:r>
              <w:rPr>
                <w:color w:val="000000"/>
                <w:sz w:val="18"/>
                <w:szCs w:val="18"/>
              </w:rPr>
              <w:t>–</w:t>
            </w:r>
          </w:p>
        </w:tc>
      </w:tr>
      <w:tr w:rsidR="00751FF8" w:rsidRPr="00A61D53" w14:paraId="613524C8" w14:textId="77777777" w:rsidTr="0079125D">
        <w:trPr>
          <w:trHeight w:val="33"/>
        </w:trPr>
        <w:tc>
          <w:tcPr>
            <w:tcW w:w="837" w:type="dxa"/>
            <w:tcBorders>
              <w:top w:val="nil"/>
              <w:left w:val="nil"/>
              <w:bottom w:val="nil"/>
              <w:right w:val="nil"/>
            </w:tcBorders>
            <w:shd w:val="clear" w:color="auto" w:fill="auto"/>
            <w:noWrap/>
          </w:tcPr>
          <w:p w14:paraId="27408DC9"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101</w:t>
            </w:r>
            <w:r>
              <w:rPr>
                <w:color w:val="000000"/>
                <w:sz w:val="18"/>
                <w:szCs w:val="18"/>
              </w:rPr>
              <w:t>-</w:t>
            </w:r>
            <w:r w:rsidRPr="00A61D53">
              <w:rPr>
                <w:color w:val="000000"/>
                <w:sz w:val="18"/>
                <w:szCs w:val="18"/>
              </w:rPr>
              <w:t>012</w:t>
            </w:r>
          </w:p>
        </w:tc>
        <w:tc>
          <w:tcPr>
            <w:tcW w:w="1528" w:type="dxa"/>
            <w:tcBorders>
              <w:top w:val="nil"/>
              <w:left w:val="nil"/>
              <w:bottom w:val="nil"/>
              <w:right w:val="nil"/>
            </w:tcBorders>
            <w:shd w:val="clear" w:color="auto" w:fill="auto"/>
          </w:tcPr>
          <w:p w14:paraId="728C0CB1"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Operations Coordination</w:t>
            </w:r>
          </w:p>
        </w:tc>
        <w:tc>
          <w:tcPr>
            <w:tcW w:w="4330" w:type="dxa"/>
            <w:tcBorders>
              <w:top w:val="nil"/>
              <w:left w:val="nil"/>
              <w:bottom w:val="nil"/>
              <w:right w:val="nil"/>
            </w:tcBorders>
            <w:shd w:val="clear" w:color="auto" w:fill="auto"/>
          </w:tcPr>
          <w:p w14:paraId="01CFD6BE" w14:textId="77777777" w:rsidR="00751FF8" w:rsidRPr="00A61D53" w:rsidRDefault="00751FF8" w:rsidP="00AD1FAA">
            <w:pPr>
              <w:spacing w:before="40" w:after="40" w:line="200" w:lineRule="exact"/>
              <w:rPr>
                <w:rFonts w:eastAsia="Times New Roman"/>
                <w:color w:val="000000"/>
                <w:sz w:val="18"/>
                <w:szCs w:val="18"/>
                <w:lang w:eastAsia="de-DE"/>
              </w:rPr>
            </w:pPr>
            <w:r w:rsidRPr="00A61D53">
              <w:rPr>
                <w:color w:val="000000"/>
                <w:sz w:val="18"/>
                <w:szCs w:val="18"/>
              </w:rPr>
              <w:t>Support for partnerships for transformative climate action</w:t>
            </w:r>
          </w:p>
        </w:tc>
        <w:tc>
          <w:tcPr>
            <w:tcW w:w="1112" w:type="dxa"/>
            <w:tcBorders>
              <w:top w:val="nil"/>
              <w:left w:val="nil"/>
              <w:bottom w:val="nil"/>
              <w:right w:val="nil"/>
            </w:tcBorders>
            <w:shd w:val="clear" w:color="auto" w:fill="auto"/>
            <w:noWrap/>
          </w:tcPr>
          <w:p w14:paraId="1D6DF4FE"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1 530 936</w:t>
            </w:r>
          </w:p>
        </w:tc>
        <w:tc>
          <w:tcPr>
            <w:tcW w:w="973" w:type="dxa"/>
            <w:tcBorders>
              <w:top w:val="nil"/>
              <w:left w:val="nil"/>
              <w:bottom w:val="nil"/>
              <w:right w:val="nil"/>
            </w:tcBorders>
            <w:shd w:val="clear" w:color="auto" w:fill="auto"/>
            <w:noWrap/>
          </w:tcPr>
          <w:p w14:paraId="1E5C7012" w14:textId="77777777" w:rsidR="00751FF8" w:rsidRPr="00A61D53" w:rsidRDefault="00751FF8" w:rsidP="00C04CAB">
            <w:pPr>
              <w:spacing w:before="40" w:after="40" w:line="200" w:lineRule="exact"/>
              <w:jc w:val="right"/>
              <w:rPr>
                <w:color w:val="000000"/>
                <w:sz w:val="18"/>
                <w:szCs w:val="18"/>
              </w:rPr>
            </w:pPr>
            <w:r>
              <w:rPr>
                <w:color w:val="000000"/>
                <w:sz w:val="18"/>
                <w:szCs w:val="18"/>
              </w:rPr>
              <w:t>2.0</w:t>
            </w:r>
          </w:p>
        </w:tc>
        <w:tc>
          <w:tcPr>
            <w:tcW w:w="859" w:type="dxa"/>
            <w:tcBorders>
              <w:top w:val="nil"/>
              <w:left w:val="nil"/>
              <w:bottom w:val="nil"/>
              <w:right w:val="nil"/>
            </w:tcBorders>
            <w:shd w:val="clear" w:color="auto" w:fill="auto"/>
            <w:noWrap/>
          </w:tcPr>
          <w:p w14:paraId="5B442B11" w14:textId="77777777" w:rsidR="00751FF8" w:rsidRPr="00A61D53" w:rsidRDefault="00751FF8" w:rsidP="00C04CAB">
            <w:pPr>
              <w:spacing w:before="40" w:after="40" w:line="200" w:lineRule="exact"/>
              <w:jc w:val="right"/>
              <w:rPr>
                <w:color w:val="000000"/>
                <w:sz w:val="18"/>
                <w:szCs w:val="18"/>
              </w:rPr>
            </w:pPr>
            <w:r>
              <w:rPr>
                <w:color w:val="000000"/>
                <w:sz w:val="18"/>
                <w:szCs w:val="18"/>
              </w:rPr>
              <w:t>1.0</w:t>
            </w:r>
          </w:p>
        </w:tc>
      </w:tr>
      <w:tr w:rsidR="00751FF8" w:rsidRPr="00A61D53" w14:paraId="1612A406" w14:textId="77777777" w:rsidTr="00FD7572">
        <w:trPr>
          <w:trHeight w:val="33"/>
        </w:trPr>
        <w:tc>
          <w:tcPr>
            <w:tcW w:w="837" w:type="dxa"/>
            <w:tcBorders>
              <w:top w:val="nil"/>
              <w:left w:val="nil"/>
              <w:bottom w:val="nil"/>
              <w:right w:val="nil"/>
            </w:tcBorders>
            <w:shd w:val="clear" w:color="auto" w:fill="auto"/>
            <w:noWrap/>
          </w:tcPr>
          <w:p w14:paraId="4ED1054A"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b/>
                <w:bCs/>
                <w:color w:val="000000"/>
                <w:sz w:val="18"/>
                <w:szCs w:val="18"/>
              </w:rPr>
              <w:t>102</w:t>
            </w:r>
          </w:p>
        </w:tc>
        <w:tc>
          <w:tcPr>
            <w:tcW w:w="1528" w:type="dxa"/>
            <w:tcBorders>
              <w:top w:val="nil"/>
              <w:left w:val="nil"/>
              <w:bottom w:val="nil"/>
              <w:right w:val="nil"/>
            </w:tcBorders>
            <w:shd w:val="clear" w:color="auto" w:fill="auto"/>
            <w:vAlign w:val="bottom"/>
          </w:tcPr>
          <w:p w14:paraId="43C4D2A8"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rFonts w:ascii="Calibri" w:hAnsi="Calibri" w:cs="Calibri"/>
                <w:b/>
                <w:color w:val="000000"/>
              </w:rPr>
              <w:t> </w:t>
            </w:r>
          </w:p>
        </w:tc>
        <w:tc>
          <w:tcPr>
            <w:tcW w:w="4330" w:type="dxa"/>
            <w:tcBorders>
              <w:top w:val="nil"/>
              <w:left w:val="nil"/>
              <w:bottom w:val="nil"/>
              <w:right w:val="nil"/>
            </w:tcBorders>
            <w:shd w:val="clear" w:color="auto" w:fill="auto"/>
            <w:vAlign w:val="bottom"/>
          </w:tcPr>
          <w:p w14:paraId="70D24AA6"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b/>
                <w:bCs/>
                <w:color w:val="000000"/>
                <w:sz w:val="18"/>
                <w:szCs w:val="18"/>
              </w:rPr>
              <w:t>Intergovernmental processes</w:t>
            </w:r>
          </w:p>
        </w:tc>
        <w:tc>
          <w:tcPr>
            <w:tcW w:w="1112" w:type="dxa"/>
            <w:tcBorders>
              <w:top w:val="nil"/>
              <w:left w:val="nil"/>
              <w:bottom w:val="nil"/>
              <w:right w:val="nil"/>
            </w:tcBorders>
            <w:shd w:val="clear" w:color="auto" w:fill="auto"/>
            <w:noWrap/>
          </w:tcPr>
          <w:p w14:paraId="4E86B76B" w14:textId="77777777" w:rsidR="00751FF8" w:rsidRPr="00A61D53" w:rsidRDefault="00751FF8" w:rsidP="00C04CAB">
            <w:pPr>
              <w:spacing w:before="40" w:after="40" w:line="200" w:lineRule="exact"/>
              <w:jc w:val="right"/>
              <w:rPr>
                <w:rFonts w:eastAsia="Times New Roman"/>
                <w:color w:val="000000"/>
                <w:sz w:val="18"/>
                <w:szCs w:val="18"/>
                <w:lang w:eastAsia="de-DE"/>
              </w:rPr>
            </w:pPr>
            <w:r>
              <w:rPr>
                <w:b/>
                <w:bCs/>
                <w:color w:val="000000"/>
                <w:sz w:val="18"/>
                <w:szCs w:val="18"/>
              </w:rPr>
              <w:t>48 737 477</w:t>
            </w:r>
          </w:p>
        </w:tc>
        <w:tc>
          <w:tcPr>
            <w:tcW w:w="973" w:type="dxa"/>
            <w:tcBorders>
              <w:top w:val="nil"/>
              <w:left w:val="nil"/>
              <w:bottom w:val="nil"/>
              <w:right w:val="nil"/>
            </w:tcBorders>
            <w:shd w:val="clear" w:color="auto" w:fill="auto"/>
            <w:noWrap/>
          </w:tcPr>
          <w:p w14:paraId="21375A1E" w14:textId="77777777" w:rsidR="00751FF8" w:rsidRPr="00A61D53" w:rsidRDefault="00751FF8" w:rsidP="00C04CAB">
            <w:pPr>
              <w:spacing w:before="40" w:after="40" w:line="200" w:lineRule="exact"/>
              <w:jc w:val="right"/>
              <w:rPr>
                <w:color w:val="000000"/>
                <w:sz w:val="18"/>
                <w:szCs w:val="18"/>
              </w:rPr>
            </w:pPr>
            <w:r>
              <w:rPr>
                <w:b/>
                <w:bCs/>
                <w:color w:val="000000"/>
                <w:sz w:val="18"/>
                <w:szCs w:val="18"/>
              </w:rPr>
              <w:t>50.8</w:t>
            </w:r>
          </w:p>
        </w:tc>
        <w:tc>
          <w:tcPr>
            <w:tcW w:w="859" w:type="dxa"/>
            <w:tcBorders>
              <w:top w:val="nil"/>
              <w:left w:val="nil"/>
              <w:bottom w:val="nil"/>
              <w:right w:val="nil"/>
            </w:tcBorders>
            <w:shd w:val="clear" w:color="auto" w:fill="auto"/>
            <w:noWrap/>
          </w:tcPr>
          <w:p w14:paraId="6388E6FF" w14:textId="77777777" w:rsidR="00751FF8" w:rsidRPr="00A61D53" w:rsidRDefault="00751FF8" w:rsidP="00C04CAB">
            <w:pPr>
              <w:spacing w:before="40" w:after="40" w:line="200" w:lineRule="exact"/>
              <w:jc w:val="right"/>
              <w:rPr>
                <w:color w:val="000000"/>
                <w:sz w:val="18"/>
                <w:szCs w:val="18"/>
              </w:rPr>
            </w:pPr>
            <w:r>
              <w:rPr>
                <w:b/>
                <w:bCs/>
                <w:color w:val="000000"/>
                <w:sz w:val="18"/>
                <w:szCs w:val="18"/>
              </w:rPr>
              <w:t>19.9</w:t>
            </w:r>
          </w:p>
        </w:tc>
      </w:tr>
      <w:tr w:rsidR="00751FF8" w:rsidRPr="00A61D53" w14:paraId="61E6CFB9" w14:textId="77777777" w:rsidTr="00FD7572">
        <w:trPr>
          <w:trHeight w:val="33"/>
        </w:trPr>
        <w:tc>
          <w:tcPr>
            <w:tcW w:w="837" w:type="dxa"/>
            <w:tcBorders>
              <w:top w:val="nil"/>
              <w:left w:val="nil"/>
              <w:bottom w:val="nil"/>
              <w:right w:val="nil"/>
            </w:tcBorders>
            <w:shd w:val="clear" w:color="auto" w:fill="auto"/>
            <w:noWrap/>
          </w:tcPr>
          <w:p w14:paraId="642B366C" w14:textId="77777777" w:rsidR="00751FF8" w:rsidRPr="00A61D53" w:rsidRDefault="00751FF8" w:rsidP="00C04CAB">
            <w:pPr>
              <w:spacing w:before="40" w:after="40" w:line="200" w:lineRule="exact"/>
              <w:rPr>
                <w:rFonts w:eastAsia="Times New Roman"/>
                <w:b/>
                <w:color w:val="000000"/>
                <w:sz w:val="18"/>
                <w:szCs w:val="18"/>
                <w:lang w:eastAsia="de-DE"/>
              </w:rPr>
            </w:pPr>
            <w:r w:rsidRPr="00A61D53">
              <w:rPr>
                <w:color w:val="000000"/>
                <w:sz w:val="18"/>
                <w:szCs w:val="18"/>
              </w:rPr>
              <w:t>102</w:t>
            </w:r>
            <w:r>
              <w:rPr>
                <w:color w:val="000000"/>
                <w:sz w:val="18"/>
                <w:szCs w:val="18"/>
              </w:rPr>
              <w:t>-</w:t>
            </w:r>
            <w:r w:rsidRPr="00A61D53">
              <w:rPr>
                <w:color w:val="000000"/>
                <w:sz w:val="18"/>
                <w:szCs w:val="18"/>
              </w:rPr>
              <w:t>001</w:t>
            </w:r>
          </w:p>
        </w:tc>
        <w:tc>
          <w:tcPr>
            <w:tcW w:w="1528" w:type="dxa"/>
            <w:tcBorders>
              <w:top w:val="nil"/>
              <w:left w:val="nil"/>
              <w:bottom w:val="nil"/>
              <w:right w:val="nil"/>
            </w:tcBorders>
            <w:shd w:val="clear" w:color="auto" w:fill="auto"/>
          </w:tcPr>
          <w:p w14:paraId="68D3A892" w14:textId="77777777" w:rsidR="00751FF8" w:rsidRPr="00A61D53" w:rsidRDefault="00751FF8" w:rsidP="00C04CAB">
            <w:pPr>
              <w:spacing w:before="40" w:after="40" w:line="200" w:lineRule="exact"/>
              <w:rPr>
                <w:rFonts w:eastAsia="Times New Roman"/>
                <w:b/>
                <w:color w:val="000000"/>
                <w:sz w:val="18"/>
                <w:szCs w:val="18"/>
                <w:lang w:eastAsia="de-DE"/>
              </w:rPr>
            </w:pPr>
            <w:r w:rsidRPr="00A61D53">
              <w:rPr>
                <w:color w:val="000000"/>
                <w:sz w:val="18"/>
                <w:szCs w:val="18"/>
              </w:rPr>
              <w:t>Adaptation</w:t>
            </w:r>
          </w:p>
        </w:tc>
        <w:tc>
          <w:tcPr>
            <w:tcW w:w="4330" w:type="dxa"/>
            <w:tcBorders>
              <w:top w:val="nil"/>
              <w:left w:val="nil"/>
              <w:bottom w:val="nil"/>
              <w:right w:val="nil"/>
            </w:tcBorders>
            <w:shd w:val="clear" w:color="auto" w:fill="auto"/>
          </w:tcPr>
          <w:p w14:paraId="1AF6D2FE" w14:textId="77777777" w:rsidR="00751FF8" w:rsidRPr="00A61D53" w:rsidRDefault="00751FF8" w:rsidP="00C04CAB">
            <w:pPr>
              <w:spacing w:before="40" w:after="40" w:line="200" w:lineRule="exact"/>
              <w:rPr>
                <w:rFonts w:eastAsia="Times New Roman"/>
                <w:b/>
                <w:color w:val="000000"/>
                <w:sz w:val="18"/>
                <w:szCs w:val="18"/>
                <w:lang w:eastAsia="de-DE"/>
              </w:rPr>
            </w:pPr>
            <w:r w:rsidRPr="00A61D53">
              <w:rPr>
                <w:color w:val="000000"/>
                <w:sz w:val="18"/>
                <w:szCs w:val="18"/>
              </w:rPr>
              <w:t>Enhancement of support for established work programmes, including the Nairobi work programme on impacts, vulnerability and adaptation to climate change, the process to formulate and implement national adaptation plans and adaptation</w:t>
            </w:r>
            <w:r>
              <w:rPr>
                <w:color w:val="000000"/>
                <w:sz w:val="18"/>
                <w:szCs w:val="18"/>
              </w:rPr>
              <w:t>-</w:t>
            </w:r>
            <w:r w:rsidRPr="00A61D53">
              <w:rPr>
                <w:color w:val="000000"/>
                <w:sz w:val="18"/>
                <w:szCs w:val="18"/>
              </w:rPr>
              <w:t>related transparency provisions</w:t>
            </w:r>
          </w:p>
        </w:tc>
        <w:tc>
          <w:tcPr>
            <w:tcW w:w="1112" w:type="dxa"/>
            <w:tcBorders>
              <w:top w:val="nil"/>
              <w:left w:val="nil"/>
              <w:bottom w:val="nil"/>
              <w:right w:val="nil"/>
            </w:tcBorders>
            <w:shd w:val="clear" w:color="auto" w:fill="auto"/>
            <w:noWrap/>
          </w:tcPr>
          <w:p w14:paraId="0A09079C" w14:textId="77777777" w:rsidR="00751FF8" w:rsidRPr="00552368" w:rsidRDefault="00751FF8" w:rsidP="00C04CAB">
            <w:pPr>
              <w:spacing w:before="40" w:after="40" w:line="200" w:lineRule="exact"/>
              <w:jc w:val="right"/>
              <w:rPr>
                <w:rFonts w:eastAsia="Times New Roman"/>
                <w:bCs/>
                <w:color w:val="000000"/>
                <w:sz w:val="18"/>
                <w:szCs w:val="18"/>
                <w:lang w:eastAsia="de-DE"/>
              </w:rPr>
            </w:pPr>
            <w:r w:rsidRPr="00552368">
              <w:rPr>
                <w:rFonts w:eastAsia="Times New Roman"/>
                <w:bCs/>
                <w:color w:val="000000"/>
                <w:sz w:val="18"/>
                <w:szCs w:val="18"/>
                <w:lang w:eastAsia="de-DE"/>
              </w:rPr>
              <w:t>3 210 354</w:t>
            </w:r>
          </w:p>
        </w:tc>
        <w:tc>
          <w:tcPr>
            <w:tcW w:w="973" w:type="dxa"/>
            <w:tcBorders>
              <w:top w:val="nil"/>
              <w:left w:val="nil"/>
              <w:bottom w:val="nil"/>
              <w:right w:val="nil"/>
            </w:tcBorders>
            <w:shd w:val="clear" w:color="auto" w:fill="auto"/>
            <w:noWrap/>
          </w:tcPr>
          <w:p w14:paraId="17759B08" w14:textId="77777777" w:rsidR="00751FF8" w:rsidRPr="00552368" w:rsidRDefault="00751FF8" w:rsidP="00C04CAB">
            <w:pPr>
              <w:spacing w:before="40" w:after="40" w:line="200" w:lineRule="exact"/>
              <w:jc w:val="right"/>
              <w:rPr>
                <w:bCs/>
                <w:color w:val="000000"/>
                <w:sz w:val="18"/>
                <w:szCs w:val="18"/>
              </w:rPr>
            </w:pPr>
            <w:r w:rsidRPr="00552368">
              <w:rPr>
                <w:bCs/>
                <w:color w:val="000000"/>
                <w:sz w:val="18"/>
                <w:szCs w:val="18"/>
              </w:rPr>
              <w:t>2.8</w:t>
            </w:r>
          </w:p>
        </w:tc>
        <w:tc>
          <w:tcPr>
            <w:tcW w:w="859" w:type="dxa"/>
            <w:tcBorders>
              <w:top w:val="nil"/>
              <w:left w:val="nil"/>
              <w:bottom w:val="nil"/>
              <w:right w:val="nil"/>
            </w:tcBorders>
            <w:shd w:val="clear" w:color="auto" w:fill="auto"/>
            <w:noWrap/>
          </w:tcPr>
          <w:p w14:paraId="15C92D98" w14:textId="77777777" w:rsidR="00751FF8" w:rsidRPr="00552368" w:rsidRDefault="00751FF8" w:rsidP="00C04CAB">
            <w:pPr>
              <w:spacing w:before="40" w:after="40" w:line="200" w:lineRule="exact"/>
              <w:jc w:val="right"/>
              <w:rPr>
                <w:bCs/>
                <w:color w:val="000000"/>
                <w:sz w:val="18"/>
                <w:szCs w:val="18"/>
              </w:rPr>
            </w:pPr>
            <w:r w:rsidRPr="00552368">
              <w:rPr>
                <w:bCs/>
                <w:color w:val="000000"/>
                <w:sz w:val="18"/>
                <w:szCs w:val="18"/>
              </w:rPr>
              <w:t>0.5</w:t>
            </w:r>
          </w:p>
        </w:tc>
      </w:tr>
      <w:tr w:rsidR="00751FF8" w:rsidRPr="00A61D53" w14:paraId="6DF4AC15" w14:textId="77777777" w:rsidTr="00FD7572">
        <w:trPr>
          <w:trHeight w:val="33"/>
        </w:trPr>
        <w:tc>
          <w:tcPr>
            <w:tcW w:w="837" w:type="dxa"/>
            <w:tcBorders>
              <w:top w:val="nil"/>
              <w:left w:val="nil"/>
              <w:bottom w:val="nil"/>
              <w:right w:val="nil"/>
            </w:tcBorders>
            <w:shd w:val="clear" w:color="auto" w:fill="auto"/>
            <w:noWrap/>
          </w:tcPr>
          <w:p w14:paraId="6EBBCC30"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102</w:t>
            </w:r>
            <w:r>
              <w:rPr>
                <w:color w:val="000000"/>
                <w:sz w:val="18"/>
                <w:szCs w:val="18"/>
              </w:rPr>
              <w:t>-</w:t>
            </w:r>
            <w:r w:rsidRPr="00A61D53">
              <w:rPr>
                <w:color w:val="000000"/>
                <w:sz w:val="18"/>
                <w:szCs w:val="18"/>
              </w:rPr>
              <w:t>002</w:t>
            </w:r>
          </w:p>
        </w:tc>
        <w:tc>
          <w:tcPr>
            <w:tcW w:w="1528" w:type="dxa"/>
            <w:tcBorders>
              <w:top w:val="nil"/>
              <w:left w:val="nil"/>
              <w:bottom w:val="nil"/>
              <w:right w:val="nil"/>
            </w:tcBorders>
            <w:shd w:val="clear" w:color="auto" w:fill="auto"/>
          </w:tcPr>
          <w:p w14:paraId="3595416D"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Mitigation</w:t>
            </w:r>
          </w:p>
        </w:tc>
        <w:tc>
          <w:tcPr>
            <w:tcW w:w="4330" w:type="dxa"/>
            <w:tcBorders>
              <w:top w:val="nil"/>
              <w:left w:val="nil"/>
              <w:bottom w:val="nil"/>
              <w:right w:val="nil"/>
            </w:tcBorders>
            <w:shd w:val="clear" w:color="auto" w:fill="auto"/>
          </w:tcPr>
          <w:p w14:paraId="39FBD355"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Support for the operationalization of Article 6, paragraphs 2 and 8, of the Paris Agreement and the implementation of response measures</w:t>
            </w:r>
          </w:p>
        </w:tc>
        <w:tc>
          <w:tcPr>
            <w:tcW w:w="1112" w:type="dxa"/>
            <w:tcBorders>
              <w:top w:val="nil"/>
              <w:left w:val="nil"/>
              <w:bottom w:val="nil"/>
              <w:right w:val="nil"/>
            </w:tcBorders>
            <w:shd w:val="clear" w:color="auto" w:fill="auto"/>
            <w:noWrap/>
          </w:tcPr>
          <w:p w14:paraId="0CE72A77"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10 205 171</w:t>
            </w:r>
          </w:p>
        </w:tc>
        <w:tc>
          <w:tcPr>
            <w:tcW w:w="973" w:type="dxa"/>
            <w:tcBorders>
              <w:top w:val="nil"/>
              <w:left w:val="nil"/>
              <w:bottom w:val="nil"/>
              <w:right w:val="nil"/>
            </w:tcBorders>
            <w:shd w:val="clear" w:color="auto" w:fill="auto"/>
            <w:noWrap/>
          </w:tcPr>
          <w:p w14:paraId="1B54CEC1" w14:textId="77777777" w:rsidR="00751FF8" w:rsidRPr="00A61D53" w:rsidRDefault="00751FF8" w:rsidP="00C04CAB">
            <w:pPr>
              <w:spacing w:before="40" w:after="40" w:line="200" w:lineRule="exact"/>
              <w:jc w:val="right"/>
              <w:rPr>
                <w:color w:val="000000"/>
                <w:sz w:val="18"/>
                <w:szCs w:val="18"/>
              </w:rPr>
            </w:pPr>
            <w:r>
              <w:rPr>
                <w:color w:val="000000"/>
                <w:sz w:val="18"/>
                <w:szCs w:val="18"/>
              </w:rPr>
              <w:t>9.0</w:t>
            </w:r>
          </w:p>
        </w:tc>
        <w:tc>
          <w:tcPr>
            <w:tcW w:w="859" w:type="dxa"/>
            <w:tcBorders>
              <w:top w:val="nil"/>
              <w:left w:val="nil"/>
              <w:bottom w:val="nil"/>
              <w:right w:val="nil"/>
            </w:tcBorders>
            <w:shd w:val="clear" w:color="auto" w:fill="auto"/>
            <w:noWrap/>
          </w:tcPr>
          <w:p w14:paraId="1F8C8C72" w14:textId="77777777" w:rsidR="00751FF8" w:rsidRPr="00A61D53" w:rsidRDefault="00751FF8" w:rsidP="00C04CAB">
            <w:pPr>
              <w:spacing w:before="40" w:after="40" w:line="200" w:lineRule="exact"/>
              <w:jc w:val="right"/>
              <w:rPr>
                <w:color w:val="000000"/>
                <w:sz w:val="18"/>
                <w:szCs w:val="18"/>
              </w:rPr>
            </w:pPr>
            <w:r>
              <w:rPr>
                <w:color w:val="000000"/>
                <w:sz w:val="18"/>
                <w:szCs w:val="18"/>
              </w:rPr>
              <w:t>3.0</w:t>
            </w:r>
          </w:p>
        </w:tc>
      </w:tr>
      <w:tr w:rsidR="00751FF8" w:rsidRPr="00A61D53" w14:paraId="78D7D86D" w14:textId="77777777" w:rsidTr="00FD7572">
        <w:trPr>
          <w:trHeight w:val="33"/>
        </w:trPr>
        <w:tc>
          <w:tcPr>
            <w:tcW w:w="837" w:type="dxa"/>
            <w:tcBorders>
              <w:top w:val="nil"/>
              <w:left w:val="nil"/>
              <w:bottom w:val="nil"/>
              <w:right w:val="nil"/>
            </w:tcBorders>
            <w:shd w:val="clear" w:color="auto" w:fill="auto"/>
            <w:noWrap/>
          </w:tcPr>
          <w:p w14:paraId="5E7A8415"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102</w:t>
            </w:r>
            <w:r>
              <w:rPr>
                <w:color w:val="000000"/>
                <w:sz w:val="18"/>
                <w:szCs w:val="18"/>
              </w:rPr>
              <w:t>-</w:t>
            </w:r>
            <w:r w:rsidRPr="00A61D53">
              <w:rPr>
                <w:color w:val="000000"/>
                <w:sz w:val="18"/>
                <w:szCs w:val="18"/>
              </w:rPr>
              <w:t>003</w:t>
            </w:r>
          </w:p>
        </w:tc>
        <w:tc>
          <w:tcPr>
            <w:tcW w:w="1528" w:type="dxa"/>
            <w:tcBorders>
              <w:top w:val="nil"/>
              <w:left w:val="nil"/>
              <w:bottom w:val="nil"/>
              <w:right w:val="nil"/>
            </w:tcBorders>
            <w:shd w:val="clear" w:color="auto" w:fill="auto"/>
          </w:tcPr>
          <w:p w14:paraId="1D2A0D8C"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Means of Implementation</w:t>
            </w:r>
          </w:p>
        </w:tc>
        <w:tc>
          <w:tcPr>
            <w:tcW w:w="4330" w:type="dxa"/>
            <w:tcBorders>
              <w:top w:val="nil"/>
              <w:left w:val="nil"/>
              <w:bottom w:val="nil"/>
              <w:right w:val="nil"/>
            </w:tcBorders>
            <w:shd w:val="clear" w:color="auto" w:fill="auto"/>
          </w:tcPr>
          <w:p w14:paraId="71566742"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Enhancement of support, engagement and outreach in support of the development of the biennial assessment and overview of climate finance flows, including in relation to Article 2, paragraph 1(c), of the Paris Agreement, determination of the needs of developing country Parties related to implementing the Convention and the Paris Agreement, and the new collective quantified goal on climate finance</w:t>
            </w:r>
          </w:p>
        </w:tc>
        <w:tc>
          <w:tcPr>
            <w:tcW w:w="1112" w:type="dxa"/>
            <w:tcBorders>
              <w:top w:val="nil"/>
              <w:left w:val="nil"/>
              <w:bottom w:val="nil"/>
              <w:right w:val="nil"/>
            </w:tcBorders>
            <w:shd w:val="clear" w:color="auto" w:fill="auto"/>
            <w:noWrap/>
          </w:tcPr>
          <w:p w14:paraId="1AC4400C"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6 501 215</w:t>
            </w:r>
          </w:p>
        </w:tc>
        <w:tc>
          <w:tcPr>
            <w:tcW w:w="973" w:type="dxa"/>
            <w:tcBorders>
              <w:top w:val="nil"/>
              <w:left w:val="nil"/>
              <w:bottom w:val="nil"/>
              <w:right w:val="nil"/>
            </w:tcBorders>
            <w:shd w:val="clear" w:color="auto" w:fill="auto"/>
            <w:noWrap/>
          </w:tcPr>
          <w:p w14:paraId="75D9C394" w14:textId="77777777" w:rsidR="00751FF8" w:rsidRPr="00A61D53" w:rsidRDefault="00751FF8" w:rsidP="00C04CAB">
            <w:pPr>
              <w:spacing w:before="40" w:after="40" w:line="200" w:lineRule="exact"/>
              <w:jc w:val="right"/>
              <w:rPr>
                <w:color w:val="000000"/>
                <w:sz w:val="18"/>
                <w:szCs w:val="18"/>
              </w:rPr>
            </w:pPr>
            <w:r>
              <w:rPr>
                <w:color w:val="000000"/>
                <w:sz w:val="18"/>
                <w:szCs w:val="18"/>
              </w:rPr>
              <w:t>4.0</w:t>
            </w:r>
          </w:p>
        </w:tc>
        <w:tc>
          <w:tcPr>
            <w:tcW w:w="859" w:type="dxa"/>
            <w:tcBorders>
              <w:top w:val="nil"/>
              <w:left w:val="nil"/>
              <w:bottom w:val="nil"/>
              <w:right w:val="nil"/>
            </w:tcBorders>
            <w:shd w:val="clear" w:color="auto" w:fill="auto"/>
            <w:noWrap/>
          </w:tcPr>
          <w:p w14:paraId="3E30FFF3" w14:textId="77777777" w:rsidR="00751FF8" w:rsidRPr="00A61D53" w:rsidRDefault="00751FF8" w:rsidP="00C04CAB">
            <w:pPr>
              <w:spacing w:before="40" w:after="40" w:line="200" w:lineRule="exact"/>
              <w:jc w:val="right"/>
              <w:rPr>
                <w:color w:val="000000"/>
                <w:sz w:val="18"/>
                <w:szCs w:val="18"/>
              </w:rPr>
            </w:pPr>
            <w:r>
              <w:rPr>
                <w:color w:val="000000"/>
                <w:sz w:val="18"/>
                <w:szCs w:val="18"/>
              </w:rPr>
              <w:t>2.0</w:t>
            </w:r>
          </w:p>
        </w:tc>
      </w:tr>
      <w:tr w:rsidR="00751FF8" w:rsidRPr="00A61D53" w14:paraId="59C485C0" w14:textId="77777777" w:rsidTr="00FD7572">
        <w:trPr>
          <w:trHeight w:val="33"/>
        </w:trPr>
        <w:tc>
          <w:tcPr>
            <w:tcW w:w="837" w:type="dxa"/>
            <w:tcBorders>
              <w:top w:val="nil"/>
              <w:left w:val="nil"/>
              <w:bottom w:val="nil"/>
              <w:right w:val="nil"/>
            </w:tcBorders>
            <w:shd w:val="clear" w:color="auto" w:fill="auto"/>
            <w:noWrap/>
          </w:tcPr>
          <w:p w14:paraId="0B96D4EC"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102</w:t>
            </w:r>
            <w:r>
              <w:rPr>
                <w:color w:val="000000"/>
                <w:sz w:val="18"/>
                <w:szCs w:val="18"/>
              </w:rPr>
              <w:t>-</w:t>
            </w:r>
            <w:r w:rsidRPr="00A61D53">
              <w:rPr>
                <w:color w:val="000000"/>
                <w:sz w:val="18"/>
                <w:szCs w:val="18"/>
              </w:rPr>
              <w:t>004</w:t>
            </w:r>
          </w:p>
        </w:tc>
        <w:tc>
          <w:tcPr>
            <w:tcW w:w="1528" w:type="dxa"/>
            <w:tcBorders>
              <w:top w:val="nil"/>
              <w:left w:val="nil"/>
              <w:bottom w:val="nil"/>
              <w:right w:val="nil"/>
            </w:tcBorders>
            <w:shd w:val="clear" w:color="auto" w:fill="auto"/>
          </w:tcPr>
          <w:p w14:paraId="34731702"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Transparency</w:t>
            </w:r>
          </w:p>
        </w:tc>
        <w:tc>
          <w:tcPr>
            <w:tcW w:w="4330" w:type="dxa"/>
            <w:tcBorders>
              <w:top w:val="nil"/>
              <w:left w:val="nil"/>
              <w:bottom w:val="nil"/>
              <w:right w:val="nil"/>
            </w:tcBorders>
            <w:shd w:val="clear" w:color="auto" w:fill="auto"/>
          </w:tcPr>
          <w:p w14:paraId="3E468730"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Comprehensive support for the technical reviews of national reports under the enhanced transparency framework and measurement, reporting and verification processes</w:t>
            </w:r>
          </w:p>
        </w:tc>
        <w:tc>
          <w:tcPr>
            <w:tcW w:w="1112" w:type="dxa"/>
            <w:tcBorders>
              <w:top w:val="nil"/>
              <w:left w:val="nil"/>
              <w:bottom w:val="nil"/>
              <w:right w:val="nil"/>
            </w:tcBorders>
            <w:shd w:val="clear" w:color="auto" w:fill="auto"/>
            <w:noWrap/>
          </w:tcPr>
          <w:p w14:paraId="32BCFFA6"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21 094 989</w:t>
            </w:r>
          </w:p>
        </w:tc>
        <w:tc>
          <w:tcPr>
            <w:tcW w:w="973" w:type="dxa"/>
            <w:tcBorders>
              <w:top w:val="nil"/>
              <w:left w:val="nil"/>
              <w:bottom w:val="nil"/>
              <w:right w:val="nil"/>
            </w:tcBorders>
            <w:shd w:val="clear" w:color="auto" w:fill="auto"/>
            <w:noWrap/>
          </w:tcPr>
          <w:p w14:paraId="17A85A86" w14:textId="77777777" w:rsidR="00751FF8" w:rsidRPr="00A61D53" w:rsidRDefault="00751FF8" w:rsidP="00C04CAB">
            <w:pPr>
              <w:spacing w:before="40" w:after="40" w:line="200" w:lineRule="exact"/>
              <w:jc w:val="right"/>
              <w:rPr>
                <w:color w:val="000000"/>
                <w:sz w:val="18"/>
                <w:szCs w:val="18"/>
              </w:rPr>
            </w:pPr>
            <w:r>
              <w:rPr>
                <w:color w:val="000000"/>
                <w:sz w:val="18"/>
                <w:szCs w:val="18"/>
              </w:rPr>
              <w:t>26.0</w:t>
            </w:r>
          </w:p>
        </w:tc>
        <w:tc>
          <w:tcPr>
            <w:tcW w:w="859" w:type="dxa"/>
            <w:tcBorders>
              <w:top w:val="nil"/>
              <w:left w:val="nil"/>
              <w:bottom w:val="nil"/>
              <w:right w:val="nil"/>
            </w:tcBorders>
            <w:shd w:val="clear" w:color="auto" w:fill="auto"/>
            <w:noWrap/>
          </w:tcPr>
          <w:p w14:paraId="30A58AA4" w14:textId="77777777" w:rsidR="00751FF8" w:rsidRPr="00A61D53" w:rsidRDefault="00751FF8" w:rsidP="00C04CAB">
            <w:pPr>
              <w:spacing w:before="40" w:after="40" w:line="200" w:lineRule="exact"/>
              <w:jc w:val="right"/>
              <w:rPr>
                <w:color w:val="000000"/>
                <w:sz w:val="18"/>
                <w:szCs w:val="18"/>
              </w:rPr>
            </w:pPr>
            <w:r>
              <w:rPr>
                <w:color w:val="000000"/>
                <w:sz w:val="18"/>
                <w:szCs w:val="18"/>
              </w:rPr>
              <w:t>9.4</w:t>
            </w:r>
          </w:p>
        </w:tc>
      </w:tr>
      <w:tr w:rsidR="00751FF8" w:rsidRPr="00A61D53" w14:paraId="68382361" w14:textId="77777777" w:rsidTr="00FD7572">
        <w:trPr>
          <w:trHeight w:val="33"/>
        </w:trPr>
        <w:tc>
          <w:tcPr>
            <w:tcW w:w="837" w:type="dxa"/>
            <w:tcBorders>
              <w:top w:val="nil"/>
              <w:left w:val="nil"/>
              <w:bottom w:val="nil"/>
              <w:right w:val="nil"/>
            </w:tcBorders>
            <w:shd w:val="clear" w:color="auto" w:fill="auto"/>
            <w:noWrap/>
          </w:tcPr>
          <w:p w14:paraId="634BFE39"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102</w:t>
            </w:r>
            <w:r>
              <w:rPr>
                <w:color w:val="000000"/>
                <w:sz w:val="18"/>
                <w:szCs w:val="18"/>
              </w:rPr>
              <w:t>-</w:t>
            </w:r>
            <w:r w:rsidRPr="00A61D53">
              <w:rPr>
                <w:color w:val="000000"/>
                <w:sz w:val="18"/>
                <w:szCs w:val="18"/>
              </w:rPr>
              <w:t>005</w:t>
            </w:r>
          </w:p>
        </w:tc>
        <w:tc>
          <w:tcPr>
            <w:tcW w:w="1528" w:type="dxa"/>
            <w:tcBorders>
              <w:top w:val="nil"/>
              <w:left w:val="nil"/>
              <w:bottom w:val="nil"/>
              <w:right w:val="nil"/>
            </w:tcBorders>
            <w:shd w:val="clear" w:color="auto" w:fill="auto"/>
          </w:tcPr>
          <w:p w14:paraId="7564CAFD"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Intergovernmental Support and Collective Progress</w:t>
            </w:r>
          </w:p>
        </w:tc>
        <w:tc>
          <w:tcPr>
            <w:tcW w:w="4330" w:type="dxa"/>
            <w:tcBorders>
              <w:top w:val="nil"/>
              <w:left w:val="nil"/>
              <w:bottom w:val="nil"/>
              <w:right w:val="nil"/>
            </w:tcBorders>
            <w:shd w:val="clear" w:color="auto" w:fill="auto"/>
          </w:tcPr>
          <w:p w14:paraId="36CC3689"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Comprehensive support for the response to the first global stocktake, preparation for the second global stocktake, consideration of research and systematic observation, science, enhanced collaboration with the Intergovernmental Panel on Climate Change and enhanced ocean</w:t>
            </w:r>
            <w:r>
              <w:rPr>
                <w:color w:val="000000"/>
                <w:sz w:val="18"/>
                <w:szCs w:val="18"/>
              </w:rPr>
              <w:t>-</w:t>
            </w:r>
            <w:r w:rsidRPr="00A61D53">
              <w:rPr>
                <w:color w:val="000000"/>
                <w:sz w:val="18"/>
                <w:szCs w:val="18"/>
              </w:rPr>
              <w:t>based climate action</w:t>
            </w:r>
          </w:p>
        </w:tc>
        <w:tc>
          <w:tcPr>
            <w:tcW w:w="1112" w:type="dxa"/>
            <w:tcBorders>
              <w:top w:val="nil"/>
              <w:left w:val="nil"/>
              <w:bottom w:val="nil"/>
              <w:right w:val="nil"/>
            </w:tcBorders>
            <w:shd w:val="clear" w:color="auto" w:fill="auto"/>
            <w:noWrap/>
          </w:tcPr>
          <w:p w14:paraId="5354EB87"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2 590 556</w:t>
            </w:r>
          </w:p>
        </w:tc>
        <w:tc>
          <w:tcPr>
            <w:tcW w:w="973" w:type="dxa"/>
            <w:tcBorders>
              <w:top w:val="nil"/>
              <w:left w:val="nil"/>
              <w:bottom w:val="nil"/>
              <w:right w:val="nil"/>
            </w:tcBorders>
            <w:shd w:val="clear" w:color="auto" w:fill="auto"/>
            <w:noWrap/>
          </w:tcPr>
          <w:p w14:paraId="7BDC7800" w14:textId="77777777" w:rsidR="00751FF8" w:rsidRPr="00A61D53" w:rsidRDefault="00751FF8" w:rsidP="00C04CAB">
            <w:pPr>
              <w:spacing w:before="40" w:after="40" w:line="200" w:lineRule="exact"/>
              <w:jc w:val="right"/>
              <w:rPr>
                <w:color w:val="000000"/>
                <w:sz w:val="18"/>
                <w:szCs w:val="18"/>
              </w:rPr>
            </w:pPr>
            <w:r>
              <w:rPr>
                <w:color w:val="000000"/>
                <w:sz w:val="18"/>
                <w:szCs w:val="18"/>
              </w:rPr>
              <w:t>3.0</w:t>
            </w:r>
          </w:p>
        </w:tc>
        <w:tc>
          <w:tcPr>
            <w:tcW w:w="859" w:type="dxa"/>
            <w:tcBorders>
              <w:top w:val="nil"/>
              <w:left w:val="nil"/>
              <w:bottom w:val="nil"/>
              <w:right w:val="nil"/>
            </w:tcBorders>
            <w:shd w:val="clear" w:color="auto" w:fill="auto"/>
            <w:noWrap/>
          </w:tcPr>
          <w:p w14:paraId="53F48FA9" w14:textId="77777777" w:rsidR="00751FF8" w:rsidRPr="00A61D53" w:rsidRDefault="00751FF8" w:rsidP="00C04CAB">
            <w:pPr>
              <w:spacing w:before="40" w:after="40" w:line="200" w:lineRule="exact"/>
              <w:jc w:val="right"/>
              <w:rPr>
                <w:color w:val="000000"/>
                <w:sz w:val="18"/>
                <w:szCs w:val="18"/>
              </w:rPr>
            </w:pPr>
            <w:r>
              <w:rPr>
                <w:color w:val="000000"/>
                <w:sz w:val="18"/>
                <w:szCs w:val="18"/>
              </w:rPr>
              <w:t>1.0</w:t>
            </w:r>
          </w:p>
        </w:tc>
      </w:tr>
      <w:tr w:rsidR="00751FF8" w:rsidRPr="00A61D53" w14:paraId="430FB519" w14:textId="77777777" w:rsidTr="00FD7572">
        <w:trPr>
          <w:trHeight w:val="33"/>
        </w:trPr>
        <w:tc>
          <w:tcPr>
            <w:tcW w:w="837" w:type="dxa"/>
            <w:tcBorders>
              <w:top w:val="nil"/>
              <w:left w:val="nil"/>
              <w:bottom w:val="nil"/>
              <w:right w:val="nil"/>
            </w:tcBorders>
            <w:shd w:val="clear" w:color="auto" w:fill="auto"/>
            <w:noWrap/>
          </w:tcPr>
          <w:p w14:paraId="4CB22A09"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102</w:t>
            </w:r>
            <w:r>
              <w:rPr>
                <w:color w:val="000000"/>
                <w:sz w:val="18"/>
                <w:szCs w:val="18"/>
              </w:rPr>
              <w:t>-</w:t>
            </w:r>
            <w:r w:rsidRPr="00A61D53">
              <w:rPr>
                <w:color w:val="000000"/>
                <w:sz w:val="18"/>
                <w:szCs w:val="18"/>
              </w:rPr>
              <w:t>006</w:t>
            </w:r>
          </w:p>
        </w:tc>
        <w:tc>
          <w:tcPr>
            <w:tcW w:w="1528" w:type="dxa"/>
            <w:tcBorders>
              <w:top w:val="nil"/>
              <w:left w:val="nil"/>
              <w:bottom w:val="nil"/>
              <w:right w:val="nil"/>
            </w:tcBorders>
            <w:shd w:val="clear" w:color="auto" w:fill="auto"/>
          </w:tcPr>
          <w:p w14:paraId="6A038764"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Communications and Engagement</w:t>
            </w:r>
          </w:p>
        </w:tc>
        <w:tc>
          <w:tcPr>
            <w:tcW w:w="4330" w:type="dxa"/>
            <w:tcBorders>
              <w:top w:val="nil"/>
              <w:left w:val="nil"/>
              <w:bottom w:val="nil"/>
              <w:right w:val="nil"/>
            </w:tcBorders>
            <w:shd w:val="clear" w:color="auto" w:fill="auto"/>
          </w:tcPr>
          <w:p w14:paraId="246DE54A" w14:textId="7D6963A2"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Mobilization of non</w:t>
            </w:r>
            <w:r>
              <w:rPr>
                <w:color w:val="000000"/>
                <w:sz w:val="18"/>
                <w:szCs w:val="18"/>
              </w:rPr>
              <w:t>-</w:t>
            </w:r>
            <w:r w:rsidRPr="00A61D53">
              <w:rPr>
                <w:color w:val="000000"/>
                <w:sz w:val="18"/>
                <w:szCs w:val="18"/>
              </w:rPr>
              <w:t>Party stakeholders, including developing climate action events at sessions of the governing bodies and other impactful platforms</w:t>
            </w:r>
          </w:p>
        </w:tc>
        <w:tc>
          <w:tcPr>
            <w:tcW w:w="1112" w:type="dxa"/>
            <w:tcBorders>
              <w:top w:val="nil"/>
              <w:left w:val="nil"/>
              <w:bottom w:val="nil"/>
              <w:right w:val="nil"/>
            </w:tcBorders>
            <w:shd w:val="clear" w:color="auto" w:fill="auto"/>
            <w:noWrap/>
          </w:tcPr>
          <w:p w14:paraId="2702192F"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 xml:space="preserve"> 970 643</w:t>
            </w:r>
          </w:p>
        </w:tc>
        <w:tc>
          <w:tcPr>
            <w:tcW w:w="973" w:type="dxa"/>
            <w:tcBorders>
              <w:top w:val="nil"/>
              <w:left w:val="nil"/>
              <w:bottom w:val="nil"/>
              <w:right w:val="nil"/>
            </w:tcBorders>
            <w:shd w:val="clear" w:color="auto" w:fill="auto"/>
            <w:noWrap/>
          </w:tcPr>
          <w:p w14:paraId="168CD6A0" w14:textId="77777777" w:rsidR="00751FF8" w:rsidRPr="00A61D53" w:rsidRDefault="00751FF8" w:rsidP="00C04CAB">
            <w:pPr>
              <w:spacing w:before="40" w:after="40" w:line="200" w:lineRule="exact"/>
              <w:jc w:val="right"/>
              <w:rPr>
                <w:color w:val="000000"/>
                <w:sz w:val="18"/>
                <w:szCs w:val="18"/>
              </w:rPr>
            </w:pPr>
            <w:r>
              <w:rPr>
                <w:color w:val="000000"/>
                <w:sz w:val="18"/>
                <w:szCs w:val="18"/>
              </w:rPr>
              <w:t>1.0</w:t>
            </w:r>
          </w:p>
        </w:tc>
        <w:tc>
          <w:tcPr>
            <w:tcW w:w="859" w:type="dxa"/>
            <w:tcBorders>
              <w:top w:val="nil"/>
              <w:left w:val="nil"/>
              <w:bottom w:val="nil"/>
              <w:right w:val="nil"/>
            </w:tcBorders>
            <w:shd w:val="clear" w:color="auto" w:fill="auto"/>
            <w:noWrap/>
          </w:tcPr>
          <w:p w14:paraId="34127498" w14:textId="77777777" w:rsidR="00751FF8" w:rsidRPr="00A61D53" w:rsidRDefault="00751FF8" w:rsidP="00C04CAB">
            <w:pPr>
              <w:spacing w:before="40" w:after="40" w:line="200" w:lineRule="exact"/>
              <w:jc w:val="right"/>
              <w:rPr>
                <w:color w:val="000000"/>
                <w:sz w:val="18"/>
                <w:szCs w:val="18"/>
              </w:rPr>
            </w:pPr>
            <w:r>
              <w:rPr>
                <w:color w:val="000000"/>
                <w:sz w:val="18"/>
                <w:szCs w:val="18"/>
              </w:rPr>
              <w:t>1.0</w:t>
            </w:r>
          </w:p>
        </w:tc>
      </w:tr>
      <w:tr w:rsidR="00751FF8" w:rsidRPr="00A61D53" w14:paraId="32801804" w14:textId="77777777" w:rsidTr="00FD7572">
        <w:trPr>
          <w:trHeight w:val="33"/>
        </w:trPr>
        <w:tc>
          <w:tcPr>
            <w:tcW w:w="837" w:type="dxa"/>
            <w:tcBorders>
              <w:top w:val="nil"/>
              <w:left w:val="nil"/>
              <w:bottom w:val="nil"/>
              <w:right w:val="nil"/>
            </w:tcBorders>
            <w:shd w:val="clear" w:color="auto" w:fill="auto"/>
            <w:noWrap/>
          </w:tcPr>
          <w:p w14:paraId="4CA35DAB"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102</w:t>
            </w:r>
            <w:r>
              <w:rPr>
                <w:color w:val="000000"/>
                <w:sz w:val="18"/>
                <w:szCs w:val="18"/>
              </w:rPr>
              <w:t>-</w:t>
            </w:r>
            <w:r w:rsidRPr="00A61D53">
              <w:rPr>
                <w:color w:val="000000"/>
                <w:sz w:val="18"/>
                <w:szCs w:val="18"/>
              </w:rPr>
              <w:t>006</w:t>
            </w:r>
          </w:p>
        </w:tc>
        <w:tc>
          <w:tcPr>
            <w:tcW w:w="1528" w:type="dxa"/>
            <w:tcBorders>
              <w:top w:val="nil"/>
              <w:left w:val="nil"/>
              <w:bottom w:val="nil"/>
              <w:right w:val="nil"/>
            </w:tcBorders>
            <w:shd w:val="clear" w:color="auto" w:fill="auto"/>
          </w:tcPr>
          <w:p w14:paraId="324D3DF1"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Communications and Engagement</w:t>
            </w:r>
          </w:p>
        </w:tc>
        <w:tc>
          <w:tcPr>
            <w:tcW w:w="4330" w:type="dxa"/>
            <w:tcBorders>
              <w:top w:val="nil"/>
              <w:left w:val="nil"/>
              <w:bottom w:val="nil"/>
              <w:right w:val="nil"/>
            </w:tcBorders>
            <w:shd w:val="clear" w:color="auto" w:fill="auto"/>
            <w:vAlign w:val="bottom"/>
          </w:tcPr>
          <w:p w14:paraId="584E11B4"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 xml:space="preserve">Comprehensive support for work related to Action for Climate Empowerment, including enhancing inclusive stakeholder engagement </w:t>
            </w:r>
          </w:p>
        </w:tc>
        <w:tc>
          <w:tcPr>
            <w:tcW w:w="1112" w:type="dxa"/>
            <w:tcBorders>
              <w:top w:val="nil"/>
              <w:left w:val="nil"/>
              <w:bottom w:val="nil"/>
              <w:right w:val="nil"/>
            </w:tcBorders>
            <w:shd w:val="clear" w:color="auto" w:fill="auto"/>
            <w:noWrap/>
          </w:tcPr>
          <w:p w14:paraId="460A0759"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 xml:space="preserve"> 928 060</w:t>
            </w:r>
          </w:p>
        </w:tc>
        <w:tc>
          <w:tcPr>
            <w:tcW w:w="973" w:type="dxa"/>
            <w:tcBorders>
              <w:top w:val="nil"/>
              <w:left w:val="nil"/>
              <w:bottom w:val="nil"/>
              <w:right w:val="nil"/>
            </w:tcBorders>
            <w:shd w:val="clear" w:color="auto" w:fill="auto"/>
            <w:noWrap/>
          </w:tcPr>
          <w:p w14:paraId="09C8BCD3" w14:textId="77777777" w:rsidR="00751FF8" w:rsidRPr="00A61D53" w:rsidRDefault="00751FF8" w:rsidP="00C04CAB">
            <w:pPr>
              <w:spacing w:before="40" w:after="40" w:line="200" w:lineRule="exact"/>
              <w:jc w:val="right"/>
              <w:rPr>
                <w:color w:val="000000"/>
                <w:sz w:val="18"/>
                <w:szCs w:val="18"/>
              </w:rPr>
            </w:pPr>
            <w:r>
              <w:rPr>
                <w:color w:val="000000"/>
                <w:sz w:val="18"/>
                <w:szCs w:val="18"/>
              </w:rPr>
              <w:t>1.5</w:t>
            </w:r>
          </w:p>
        </w:tc>
        <w:tc>
          <w:tcPr>
            <w:tcW w:w="859" w:type="dxa"/>
            <w:tcBorders>
              <w:top w:val="nil"/>
              <w:left w:val="nil"/>
              <w:bottom w:val="nil"/>
              <w:right w:val="nil"/>
            </w:tcBorders>
            <w:shd w:val="clear" w:color="auto" w:fill="auto"/>
            <w:noWrap/>
          </w:tcPr>
          <w:p w14:paraId="750095CF" w14:textId="77777777" w:rsidR="00751FF8" w:rsidRPr="00A61D53" w:rsidRDefault="00751FF8" w:rsidP="00C04CAB">
            <w:pPr>
              <w:spacing w:before="40" w:after="40" w:line="200" w:lineRule="exact"/>
              <w:jc w:val="right"/>
              <w:rPr>
                <w:color w:val="000000"/>
                <w:sz w:val="18"/>
                <w:szCs w:val="18"/>
              </w:rPr>
            </w:pPr>
            <w:r>
              <w:rPr>
                <w:color w:val="000000"/>
                <w:sz w:val="18"/>
                <w:szCs w:val="18"/>
              </w:rPr>
              <w:t>–</w:t>
            </w:r>
          </w:p>
        </w:tc>
      </w:tr>
      <w:tr w:rsidR="00751FF8" w:rsidRPr="00A61D53" w14:paraId="7961DA82" w14:textId="77777777" w:rsidTr="00FD7572">
        <w:trPr>
          <w:trHeight w:val="33"/>
        </w:trPr>
        <w:tc>
          <w:tcPr>
            <w:tcW w:w="837" w:type="dxa"/>
            <w:tcBorders>
              <w:top w:val="nil"/>
              <w:left w:val="nil"/>
              <w:bottom w:val="nil"/>
              <w:right w:val="nil"/>
            </w:tcBorders>
            <w:shd w:val="clear" w:color="auto" w:fill="auto"/>
            <w:noWrap/>
          </w:tcPr>
          <w:p w14:paraId="772627FE" w14:textId="77777777" w:rsidR="00751FF8" w:rsidRPr="00A61D53" w:rsidRDefault="00751FF8" w:rsidP="00C04CAB">
            <w:pPr>
              <w:spacing w:before="40" w:after="40" w:line="200" w:lineRule="exact"/>
              <w:rPr>
                <w:rFonts w:eastAsia="Times New Roman"/>
                <w:b/>
                <w:color w:val="000000"/>
                <w:sz w:val="18"/>
                <w:szCs w:val="18"/>
                <w:lang w:eastAsia="de-DE"/>
              </w:rPr>
            </w:pPr>
            <w:r w:rsidRPr="00A61D53">
              <w:rPr>
                <w:color w:val="000000"/>
                <w:sz w:val="18"/>
                <w:szCs w:val="18"/>
              </w:rPr>
              <w:t>102</w:t>
            </w:r>
            <w:r>
              <w:rPr>
                <w:color w:val="000000"/>
                <w:sz w:val="18"/>
                <w:szCs w:val="18"/>
              </w:rPr>
              <w:t>-</w:t>
            </w:r>
            <w:r w:rsidRPr="00A61D53">
              <w:rPr>
                <w:color w:val="000000"/>
                <w:sz w:val="18"/>
                <w:szCs w:val="18"/>
              </w:rPr>
              <w:t>006</w:t>
            </w:r>
          </w:p>
        </w:tc>
        <w:tc>
          <w:tcPr>
            <w:tcW w:w="1528" w:type="dxa"/>
            <w:tcBorders>
              <w:top w:val="nil"/>
              <w:left w:val="nil"/>
              <w:bottom w:val="nil"/>
              <w:right w:val="nil"/>
            </w:tcBorders>
            <w:shd w:val="clear" w:color="auto" w:fill="auto"/>
          </w:tcPr>
          <w:p w14:paraId="0DD9339D" w14:textId="77777777" w:rsidR="00751FF8" w:rsidRPr="00A61D53" w:rsidRDefault="00751FF8" w:rsidP="00C04CAB">
            <w:pPr>
              <w:spacing w:before="40" w:after="40" w:line="200" w:lineRule="exact"/>
              <w:rPr>
                <w:rFonts w:eastAsia="Times New Roman"/>
                <w:b/>
                <w:color w:val="000000"/>
                <w:sz w:val="18"/>
                <w:szCs w:val="18"/>
                <w:lang w:eastAsia="de-DE"/>
              </w:rPr>
            </w:pPr>
            <w:r w:rsidRPr="00A61D53">
              <w:rPr>
                <w:color w:val="000000"/>
                <w:sz w:val="18"/>
                <w:szCs w:val="18"/>
              </w:rPr>
              <w:t>Communications and Engagement</w:t>
            </w:r>
          </w:p>
        </w:tc>
        <w:tc>
          <w:tcPr>
            <w:tcW w:w="4330" w:type="dxa"/>
            <w:tcBorders>
              <w:top w:val="nil"/>
              <w:left w:val="nil"/>
              <w:bottom w:val="nil"/>
              <w:right w:val="nil"/>
            </w:tcBorders>
            <w:shd w:val="clear" w:color="auto" w:fill="auto"/>
          </w:tcPr>
          <w:p w14:paraId="609DB6B8" w14:textId="77777777" w:rsidR="00751FF8" w:rsidRPr="00A61D53" w:rsidRDefault="00751FF8" w:rsidP="00C04CAB">
            <w:pPr>
              <w:spacing w:before="40" w:after="40" w:line="200" w:lineRule="exact"/>
              <w:rPr>
                <w:rFonts w:eastAsia="Times New Roman"/>
                <w:b/>
                <w:color w:val="000000"/>
                <w:sz w:val="18"/>
                <w:szCs w:val="18"/>
                <w:lang w:eastAsia="de-DE"/>
              </w:rPr>
            </w:pPr>
            <w:r w:rsidRPr="00A61D53">
              <w:rPr>
                <w:color w:val="000000"/>
                <w:sz w:val="18"/>
                <w:szCs w:val="18"/>
              </w:rPr>
              <w:t>Comprehensive support for work related to gender, including enhancing inclusive stakeholder engagement</w:t>
            </w:r>
          </w:p>
        </w:tc>
        <w:tc>
          <w:tcPr>
            <w:tcW w:w="1112" w:type="dxa"/>
            <w:tcBorders>
              <w:top w:val="nil"/>
              <w:left w:val="nil"/>
              <w:bottom w:val="nil"/>
              <w:right w:val="nil"/>
            </w:tcBorders>
            <w:shd w:val="clear" w:color="auto" w:fill="auto"/>
            <w:noWrap/>
          </w:tcPr>
          <w:p w14:paraId="1D77A2E3" w14:textId="77777777" w:rsidR="00751FF8" w:rsidRPr="00A61D53" w:rsidRDefault="00751FF8" w:rsidP="00C04CAB">
            <w:pPr>
              <w:spacing w:before="40" w:after="40" w:line="200" w:lineRule="exact"/>
              <w:jc w:val="right"/>
              <w:rPr>
                <w:rFonts w:eastAsia="Times New Roman"/>
                <w:b/>
                <w:color w:val="000000"/>
                <w:sz w:val="18"/>
                <w:szCs w:val="18"/>
                <w:lang w:eastAsia="de-DE"/>
              </w:rPr>
            </w:pPr>
            <w:r>
              <w:rPr>
                <w:color w:val="000000"/>
                <w:sz w:val="18"/>
                <w:szCs w:val="18"/>
              </w:rPr>
              <w:t>1 262 600</w:t>
            </w:r>
          </w:p>
        </w:tc>
        <w:tc>
          <w:tcPr>
            <w:tcW w:w="973" w:type="dxa"/>
            <w:tcBorders>
              <w:top w:val="nil"/>
              <w:left w:val="nil"/>
              <w:bottom w:val="nil"/>
              <w:right w:val="nil"/>
            </w:tcBorders>
            <w:shd w:val="clear" w:color="auto" w:fill="auto"/>
            <w:noWrap/>
          </w:tcPr>
          <w:p w14:paraId="11B0A37A" w14:textId="77777777" w:rsidR="00751FF8" w:rsidRPr="00A61D53" w:rsidRDefault="00751FF8" w:rsidP="00C04CAB">
            <w:pPr>
              <w:spacing w:before="40" w:after="40" w:line="200" w:lineRule="exact"/>
              <w:jc w:val="right"/>
              <w:rPr>
                <w:b/>
                <w:color w:val="000000"/>
                <w:sz w:val="18"/>
                <w:szCs w:val="18"/>
              </w:rPr>
            </w:pPr>
            <w:r>
              <w:rPr>
                <w:color w:val="000000"/>
                <w:sz w:val="18"/>
                <w:szCs w:val="18"/>
              </w:rPr>
              <w:t>1.5</w:t>
            </w:r>
          </w:p>
        </w:tc>
        <w:tc>
          <w:tcPr>
            <w:tcW w:w="859" w:type="dxa"/>
            <w:tcBorders>
              <w:top w:val="nil"/>
              <w:left w:val="nil"/>
              <w:bottom w:val="nil"/>
              <w:right w:val="nil"/>
            </w:tcBorders>
            <w:shd w:val="clear" w:color="auto" w:fill="auto"/>
            <w:noWrap/>
          </w:tcPr>
          <w:p w14:paraId="407C3DF6" w14:textId="77777777" w:rsidR="00751FF8" w:rsidRPr="00A61D53" w:rsidRDefault="00751FF8" w:rsidP="00C04CAB">
            <w:pPr>
              <w:spacing w:before="40" w:after="40" w:line="200" w:lineRule="exact"/>
              <w:jc w:val="right"/>
              <w:rPr>
                <w:b/>
                <w:color w:val="000000"/>
                <w:sz w:val="18"/>
                <w:szCs w:val="18"/>
              </w:rPr>
            </w:pPr>
            <w:r>
              <w:rPr>
                <w:color w:val="000000"/>
                <w:sz w:val="18"/>
                <w:szCs w:val="18"/>
              </w:rPr>
              <w:t>1.0</w:t>
            </w:r>
          </w:p>
        </w:tc>
      </w:tr>
      <w:tr w:rsidR="00751FF8" w:rsidRPr="00A61D53" w14:paraId="57AC26DB" w14:textId="77777777" w:rsidTr="00FD7572">
        <w:trPr>
          <w:trHeight w:val="33"/>
        </w:trPr>
        <w:tc>
          <w:tcPr>
            <w:tcW w:w="837" w:type="dxa"/>
            <w:tcBorders>
              <w:top w:val="nil"/>
              <w:left w:val="nil"/>
              <w:bottom w:val="nil"/>
              <w:right w:val="nil"/>
            </w:tcBorders>
            <w:shd w:val="clear" w:color="auto" w:fill="auto"/>
            <w:noWrap/>
          </w:tcPr>
          <w:p w14:paraId="3A08ACC1"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102</w:t>
            </w:r>
            <w:r>
              <w:rPr>
                <w:color w:val="000000"/>
                <w:sz w:val="18"/>
                <w:szCs w:val="18"/>
              </w:rPr>
              <w:t>-</w:t>
            </w:r>
            <w:r w:rsidRPr="00A61D53">
              <w:rPr>
                <w:color w:val="000000"/>
                <w:sz w:val="18"/>
                <w:szCs w:val="18"/>
              </w:rPr>
              <w:t>008</w:t>
            </w:r>
          </w:p>
        </w:tc>
        <w:tc>
          <w:tcPr>
            <w:tcW w:w="1528" w:type="dxa"/>
            <w:tcBorders>
              <w:top w:val="nil"/>
              <w:left w:val="nil"/>
              <w:bottom w:val="nil"/>
              <w:right w:val="nil"/>
            </w:tcBorders>
            <w:shd w:val="clear" w:color="auto" w:fill="auto"/>
          </w:tcPr>
          <w:p w14:paraId="79D847F2"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Conference Affairs</w:t>
            </w:r>
          </w:p>
        </w:tc>
        <w:tc>
          <w:tcPr>
            <w:tcW w:w="4330" w:type="dxa"/>
            <w:tcBorders>
              <w:top w:val="nil"/>
              <w:left w:val="nil"/>
              <w:bottom w:val="nil"/>
              <w:right w:val="nil"/>
            </w:tcBorders>
            <w:shd w:val="clear" w:color="auto" w:fill="auto"/>
          </w:tcPr>
          <w:p w14:paraId="794CF4F7"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Organization and facilitation of future sessions of the governing bodies</w:t>
            </w:r>
          </w:p>
        </w:tc>
        <w:tc>
          <w:tcPr>
            <w:tcW w:w="1112" w:type="dxa"/>
            <w:tcBorders>
              <w:top w:val="nil"/>
              <w:left w:val="nil"/>
              <w:bottom w:val="nil"/>
              <w:right w:val="nil"/>
            </w:tcBorders>
            <w:shd w:val="clear" w:color="auto" w:fill="auto"/>
            <w:noWrap/>
          </w:tcPr>
          <w:p w14:paraId="185E90DC" w14:textId="77777777" w:rsidR="00751FF8" w:rsidRPr="00A61D53" w:rsidRDefault="00751FF8" w:rsidP="00C04CAB">
            <w:pPr>
              <w:spacing w:before="40" w:after="40" w:line="200" w:lineRule="exact"/>
              <w:jc w:val="right"/>
              <w:rPr>
                <w:rFonts w:eastAsia="Times New Roman"/>
                <w:color w:val="000000"/>
                <w:sz w:val="18"/>
                <w:szCs w:val="18"/>
                <w:lang w:eastAsia="de-DE"/>
              </w:rPr>
            </w:pPr>
            <w:r>
              <w:rPr>
                <w:rFonts w:eastAsia="Times New Roman"/>
                <w:color w:val="000000"/>
                <w:sz w:val="18"/>
                <w:szCs w:val="18"/>
                <w:lang w:eastAsia="de-DE"/>
              </w:rPr>
              <w:t>1 915 213</w:t>
            </w:r>
          </w:p>
        </w:tc>
        <w:tc>
          <w:tcPr>
            <w:tcW w:w="973" w:type="dxa"/>
            <w:tcBorders>
              <w:top w:val="nil"/>
              <w:left w:val="nil"/>
              <w:bottom w:val="nil"/>
              <w:right w:val="nil"/>
            </w:tcBorders>
            <w:shd w:val="clear" w:color="auto" w:fill="auto"/>
            <w:noWrap/>
          </w:tcPr>
          <w:p w14:paraId="7EE7F566" w14:textId="77777777" w:rsidR="00751FF8" w:rsidRPr="00A61D53" w:rsidRDefault="00751FF8" w:rsidP="00C04CAB">
            <w:pPr>
              <w:spacing w:before="40" w:after="40" w:line="200" w:lineRule="exact"/>
              <w:jc w:val="right"/>
              <w:rPr>
                <w:color w:val="000000"/>
                <w:sz w:val="18"/>
                <w:szCs w:val="18"/>
              </w:rPr>
            </w:pPr>
            <w:r>
              <w:rPr>
                <w:color w:val="000000"/>
                <w:sz w:val="18"/>
                <w:szCs w:val="18"/>
              </w:rPr>
              <w:t>2.0</w:t>
            </w:r>
          </w:p>
        </w:tc>
        <w:tc>
          <w:tcPr>
            <w:tcW w:w="859" w:type="dxa"/>
            <w:tcBorders>
              <w:top w:val="nil"/>
              <w:left w:val="nil"/>
              <w:bottom w:val="nil"/>
              <w:right w:val="nil"/>
            </w:tcBorders>
            <w:shd w:val="clear" w:color="auto" w:fill="auto"/>
            <w:noWrap/>
          </w:tcPr>
          <w:p w14:paraId="23BE5413" w14:textId="77777777" w:rsidR="00751FF8" w:rsidRPr="00A61D53" w:rsidRDefault="00751FF8" w:rsidP="00C04CAB">
            <w:pPr>
              <w:spacing w:before="40" w:after="40" w:line="200" w:lineRule="exact"/>
              <w:jc w:val="right"/>
              <w:rPr>
                <w:color w:val="000000"/>
                <w:sz w:val="18"/>
                <w:szCs w:val="18"/>
              </w:rPr>
            </w:pPr>
            <w:r>
              <w:rPr>
                <w:color w:val="000000"/>
                <w:sz w:val="18"/>
                <w:szCs w:val="18"/>
              </w:rPr>
              <w:t>2.0</w:t>
            </w:r>
          </w:p>
        </w:tc>
      </w:tr>
      <w:tr w:rsidR="00751FF8" w:rsidRPr="00A61D53" w14:paraId="4EBA55D0" w14:textId="77777777" w:rsidTr="00FD7572">
        <w:trPr>
          <w:trHeight w:val="33"/>
        </w:trPr>
        <w:tc>
          <w:tcPr>
            <w:tcW w:w="837" w:type="dxa"/>
            <w:tcBorders>
              <w:top w:val="nil"/>
              <w:left w:val="nil"/>
              <w:bottom w:val="nil"/>
              <w:right w:val="nil"/>
            </w:tcBorders>
            <w:shd w:val="clear" w:color="auto" w:fill="auto"/>
            <w:noWrap/>
          </w:tcPr>
          <w:p w14:paraId="025B841E"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b/>
                <w:color w:val="000000"/>
                <w:sz w:val="18"/>
                <w:szCs w:val="18"/>
              </w:rPr>
              <w:t>200</w:t>
            </w:r>
          </w:p>
        </w:tc>
        <w:tc>
          <w:tcPr>
            <w:tcW w:w="1528" w:type="dxa"/>
            <w:tcBorders>
              <w:top w:val="nil"/>
              <w:left w:val="nil"/>
              <w:bottom w:val="nil"/>
              <w:right w:val="nil"/>
            </w:tcBorders>
            <w:shd w:val="clear" w:color="auto" w:fill="auto"/>
            <w:vAlign w:val="bottom"/>
          </w:tcPr>
          <w:p w14:paraId="0BE81D3D"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rFonts w:ascii="Calibri" w:hAnsi="Calibri" w:cs="Calibri"/>
                <w:b/>
                <w:color w:val="000000"/>
              </w:rPr>
              <w:t> </w:t>
            </w:r>
          </w:p>
        </w:tc>
        <w:tc>
          <w:tcPr>
            <w:tcW w:w="4330" w:type="dxa"/>
            <w:tcBorders>
              <w:top w:val="nil"/>
              <w:left w:val="nil"/>
              <w:bottom w:val="nil"/>
              <w:right w:val="nil"/>
            </w:tcBorders>
            <w:shd w:val="clear" w:color="auto" w:fill="auto"/>
            <w:vAlign w:val="bottom"/>
          </w:tcPr>
          <w:p w14:paraId="62B65253"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b/>
                <w:bCs/>
                <w:color w:val="000000"/>
                <w:sz w:val="18"/>
                <w:szCs w:val="18"/>
              </w:rPr>
              <w:t>Constituted bodies</w:t>
            </w:r>
          </w:p>
        </w:tc>
        <w:tc>
          <w:tcPr>
            <w:tcW w:w="1112" w:type="dxa"/>
            <w:tcBorders>
              <w:top w:val="nil"/>
              <w:left w:val="nil"/>
              <w:bottom w:val="nil"/>
              <w:right w:val="nil"/>
            </w:tcBorders>
            <w:shd w:val="clear" w:color="auto" w:fill="auto"/>
            <w:noWrap/>
          </w:tcPr>
          <w:p w14:paraId="07812E96" w14:textId="77777777" w:rsidR="00751FF8" w:rsidRPr="00A61D53" w:rsidRDefault="00751FF8" w:rsidP="00C04CAB">
            <w:pPr>
              <w:spacing w:before="40" w:after="40" w:line="200" w:lineRule="exact"/>
              <w:jc w:val="right"/>
              <w:rPr>
                <w:rFonts w:eastAsia="Times New Roman"/>
                <w:color w:val="000000"/>
                <w:sz w:val="18"/>
                <w:szCs w:val="18"/>
                <w:lang w:eastAsia="de-DE"/>
              </w:rPr>
            </w:pPr>
            <w:r>
              <w:rPr>
                <w:b/>
                <w:bCs/>
                <w:color w:val="000000"/>
                <w:sz w:val="18"/>
                <w:szCs w:val="18"/>
              </w:rPr>
              <w:t>13 569 024</w:t>
            </w:r>
          </w:p>
        </w:tc>
        <w:tc>
          <w:tcPr>
            <w:tcW w:w="973" w:type="dxa"/>
            <w:tcBorders>
              <w:top w:val="nil"/>
              <w:left w:val="nil"/>
              <w:bottom w:val="nil"/>
              <w:right w:val="nil"/>
            </w:tcBorders>
            <w:shd w:val="clear" w:color="auto" w:fill="auto"/>
            <w:noWrap/>
          </w:tcPr>
          <w:p w14:paraId="01E4DF07" w14:textId="77777777" w:rsidR="00751FF8" w:rsidRPr="00A61D53" w:rsidRDefault="00751FF8" w:rsidP="00C04CAB">
            <w:pPr>
              <w:spacing w:before="40" w:after="40" w:line="200" w:lineRule="exact"/>
              <w:jc w:val="right"/>
              <w:rPr>
                <w:color w:val="000000"/>
                <w:sz w:val="18"/>
                <w:szCs w:val="18"/>
              </w:rPr>
            </w:pPr>
            <w:r>
              <w:rPr>
                <w:b/>
                <w:bCs/>
                <w:color w:val="000000"/>
                <w:sz w:val="18"/>
                <w:szCs w:val="18"/>
              </w:rPr>
              <w:t>11.2</w:t>
            </w:r>
          </w:p>
        </w:tc>
        <w:tc>
          <w:tcPr>
            <w:tcW w:w="859" w:type="dxa"/>
            <w:tcBorders>
              <w:top w:val="nil"/>
              <w:left w:val="nil"/>
              <w:bottom w:val="nil"/>
              <w:right w:val="nil"/>
            </w:tcBorders>
            <w:shd w:val="clear" w:color="auto" w:fill="auto"/>
            <w:noWrap/>
          </w:tcPr>
          <w:p w14:paraId="444CBB4D" w14:textId="77777777" w:rsidR="00751FF8" w:rsidRPr="00A61D53" w:rsidRDefault="00751FF8" w:rsidP="00C04CAB">
            <w:pPr>
              <w:spacing w:before="40" w:after="40" w:line="200" w:lineRule="exact"/>
              <w:jc w:val="right"/>
              <w:rPr>
                <w:color w:val="000000"/>
                <w:sz w:val="18"/>
                <w:szCs w:val="18"/>
              </w:rPr>
            </w:pPr>
            <w:r>
              <w:rPr>
                <w:b/>
                <w:bCs/>
                <w:color w:val="000000"/>
                <w:sz w:val="18"/>
                <w:szCs w:val="18"/>
              </w:rPr>
              <w:t>4.9</w:t>
            </w:r>
          </w:p>
        </w:tc>
      </w:tr>
      <w:tr w:rsidR="00751FF8" w:rsidRPr="00A61D53" w14:paraId="5B1C9CCF" w14:textId="77777777" w:rsidTr="00FD7572">
        <w:trPr>
          <w:trHeight w:val="33"/>
        </w:trPr>
        <w:tc>
          <w:tcPr>
            <w:tcW w:w="837" w:type="dxa"/>
            <w:tcBorders>
              <w:top w:val="nil"/>
              <w:left w:val="nil"/>
              <w:bottom w:val="nil"/>
              <w:right w:val="nil"/>
            </w:tcBorders>
            <w:shd w:val="clear" w:color="auto" w:fill="auto"/>
            <w:noWrap/>
          </w:tcPr>
          <w:p w14:paraId="5D7AD910"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200</w:t>
            </w:r>
            <w:r>
              <w:rPr>
                <w:color w:val="000000"/>
                <w:sz w:val="18"/>
                <w:szCs w:val="18"/>
              </w:rPr>
              <w:t>-</w:t>
            </w:r>
            <w:r w:rsidRPr="00A61D53">
              <w:rPr>
                <w:color w:val="000000"/>
                <w:sz w:val="18"/>
                <w:szCs w:val="18"/>
              </w:rPr>
              <w:t>001</w:t>
            </w:r>
          </w:p>
        </w:tc>
        <w:tc>
          <w:tcPr>
            <w:tcW w:w="1528" w:type="dxa"/>
            <w:tcBorders>
              <w:top w:val="nil"/>
              <w:left w:val="nil"/>
              <w:bottom w:val="nil"/>
              <w:right w:val="nil"/>
            </w:tcBorders>
            <w:shd w:val="clear" w:color="auto" w:fill="auto"/>
          </w:tcPr>
          <w:p w14:paraId="4CE6261C"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Adaptation</w:t>
            </w:r>
          </w:p>
        </w:tc>
        <w:tc>
          <w:tcPr>
            <w:tcW w:w="4330" w:type="dxa"/>
            <w:tcBorders>
              <w:top w:val="nil"/>
              <w:left w:val="nil"/>
              <w:bottom w:val="nil"/>
              <w:right w:val="nil"/>
            </w:tcBorders>
            <w:shd w:val="clear" w:color="auto" w:fill="auto"/>
          </w:tcPr>
          <w:p w14:paraId="3450DE35" w14:textId="21392E52"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Support for the full extent of activities envisaged in the workplans of the Adaptation Committee, the</w:t>
            </w:r>
            <w:r w:rsidRPr="00A61D53">
              <w:t xml:space="preserve"> </w:t>
            </w:r>
            <w:r w:rsidRPr="00A61D53">
              <w:rPr>
                <w:color w:val="000000"/>
                <w:sz w:val="18"/>
                <w:szCs w:val="18"/>
              </w:rPr>
              <w:t>Facilitative Working Group</w:t>
            </w:r>
            <w:r>
              <w:rPr>
                <w:color w:val="000000"/>
                <w:sz w:val="18"/>
                <w:szCs w:val="18"/>
              </w:rPr>
              <w:t xml:space="preserve"> of the </w:t>
            </w:r>
            <w:r w:rsidRPr="00A61D53">
              <w:rPr>
                <w:color w:val="000000"/>
                <w:sz w:val="18"/>
                <w:szCs w:val="18"/>
              </w:rPr>
              <w:t>Local Communities and Indigenous Peoples Platform, the Least Developed Countries Expert Group and the Executive Committee</w:t>
            </w:r>
            <w:r>
              <w:rPr>
                <w:color w:val="000000"/>
                <w:sz w:val="18"/>
                <w:szCs w:val="18"/>
              </w:rPr>
              <w:t xml:space="preserve"> of the </w:t>
            </w:r>
            <w:r w:rsidRPr="00A61D53">
              <w:rPr>
                <w:color w:val="000000"/>
                <w:sz w:val="18"/>
                <w:szCs w:val="18"/>
              </w:rPr>
              <w:t xml:space="preserve">Warsaw International Mechanism for Loss and Damage associated with Climate Change Impacts </w:t>
            </w:r>
          </w:p>
        </w:tc>
        <w:tc>
          <w:tcPr>
            <w:tcW w:w="1112" w:type="dxa"/>
            <w:tcBorders>
              <w:top w:val="nil"/>
              <w:left w:val="nil"/>
              <w:bottom w:val="nil"/>
              <w:right w:val="nil"/>
            </w:tcBorders>
            <w:shd w:val="clear" w:color="auto" w:fill="auto"/>
            <w:noWrap/>
          </w:tcPr>
          <w:p w14:paraId="1D696F86"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5 831 720</w:t>
            </w:r>
          </w:p>
        </w:tc>
        <w:tc>
          <w:tcPr>
            <w:tcW w:w="973" w:type="dxa"/>
            <w:tcBorders>
              <w:top w:val="nil"/>
              <w:left w:val="nil"/>
              <w:bottom w:val="nil"/>
              <w:right w:val="nil"/>
            </w:tcBorders>
            <w:shd w:val="clear" w:color="auto" w:fill="auto"/>
            <w:noWrap/>
          </w:tcPr>
          <w:p w14:paraId="70E81A1B" w14:textId="77777777" w:rsidR="00751FF8" w:rsidRPr="00A61D53" w:rsidRDefault="00751FF8" w:rsidP="00C04CAB">
            <w:pPr>
              <w:spacing w:before="40" w:after="40" w:line="200" w:lineRule="exact"/>
              <w:jc w:val="right"/>
              <w:rPr>
                <w:color w:val="000000"/>
                <w:sz w:val="18"/>
                <w:szCs w:val="18"/>
              </w:rPr>
            </w:pPr>
            <w:r>
              <w:rPr>
                <w:color w:val="000000"/>
                <w:sz w:val="18"/>
                <w:szCs w:val="18"/>
              </w:rPr>
              <w:t>3.4</w:t>
            </w:r>
          </w:p>
        </w:tc>
        <w:tc>
          <w:tcPr>
            <w:tcW w:w="859" w:type="dxa"/>
            <w:tcBorders>
              <w:top w:val="nil"/>
              <w:left w:val="nil"/>
              <w:bottom w:val="nil"/>
              <w:right w:val="nil"/>
            </w:tcBorders>
            <w:shd w:val="clear" w:color="auto" w:fill="auto"/>
            <w:noWrap/>
          </w:tcPr>
          <w:p w14:paraId="133E6104" w14:textId="77777777" w:rsidR="00751FF8" w:rsidRPr="00A61D53" w:rsidRDefault="00751FF8" w:rsidP="00C04CAB">
            <w:pPr>
              <w:spacing w:before="40" w:after="40" w:line="200" w:lineRule="exact"/>
              <w:jc w:val="right"/>
              <w:rPr>
                <w:color w:val="000000"/>
                <w:sz w:val="18"/>
                <w:szCs w:val="18"/>
              </w:rPr>
            </w:pPr>
            <w:r>
              <w:rPr>
                <w:color w:val="000000"/>
                <w:sz w:val="18"/>
                <w:szCs w:val="18"/>
              </w:rPr>
              <w:t>1.8</w:t>
            </w:r>
          </w:p>
        </w:tc>
      </w:tr>
      <w:tr w:rsidR="00751FF8" w:rsidRPr="00A61D53" w14:paraId="20E6FFEC" w14:textId="77777777" w:rsidTr="00FD7572">
        <w:trPr>
          <w:trHeight w:val="33"/>
        </w:trPr>
        <w:tc>
          <w:tcPr>
            <w:tcW w:w="837" w:type="dxa"/>
            <w:tcBorders>
              <w:top w:val="nil"/>
              <w:left w:val="nil"/>
              <w:bottom w:val="nil"/>
              <w:right w:val="nil"/>
            </w:tcBorders>
            <w:shd w:val="clear" w:color="auto" w:fill="auto"/>
            <w:noWrap/>
          </w:tcPr>
          <w:p w14:paraId="73B8A08A" w14:textId="77777777" w:rsidR="00751FF8" w:rsidRPr="00A61D53" w:rsidRDefault="00751FF8" w:rsidP="00C04CAB">
            <w:pPr>
              <w:spacing w:before="40" w:after="40" w:line="200" w:lineRule="exact"/>
              <w:rPr>
                <w:color w:val="000000"/>
                <w:sz w:val="18"/>
                <w:szCs w:val="18"/>
              </w:rPr>
            </w:pPr>
            <w:r>
              <w:rPr>
                <w:color w:val="000000"/>
                <w:sz w:val="18"/>
                <w:szCs w:val="18"/>
              </w:rPr>
              <w:t>200-002</w:t>
            </w:r>
          </w:p>
        </w:tc>
        <w:tc>
          <w:tcPr>
            <w:tcW w:w="1528" w:type="dxa"/>
            <w:tcBorders>
              <w:top w:val="nil"/>
              <w:left w:val="nil"/>
              <w:bottom w:val="nil"/>
              <w:right w:val="nil"/>
            </w:tcBorders>
            <w:shd w:val="clear" w:color="auto" w:fill="auto"/>
          </w:tcPr>
          <w:p w14:paraId="0CF3CB31" w14:textId="55927CE6" w:rsidR="00751FF8" w:rsidRPr="00A61D53" w:rsidRDefault="00751FF8" w:rsidP="00C04CAB">
            <w:pPr>
              <w:spacing w:before="40" w:after="40" w:line="200" w:lineRule="exact"/>
              <w:rPr>
                <w:color w:val="000000"/>
                <w:sz w:val="18"/>
                <w:szCs w:val="18"/>
              </w:rPr>
            </w:pPr>
            <w:r>
              <w:rPr>
                <w:color w:val="000000"/>
                <w:sz w:val="18"/>
                <w:szCs w:val="18"/>
              </w:rPr>
              <w:t xml:space="preserve">Mitigation </w:t>
            </w:r>
          </w:p>
        </w:tc>
        <w:tc>
          <w:tcPr>
            <w:tcW w:w="4330" w:type="dxa"/>
            <w:tcBorders>
              <w:top w:val="nil"/>
              <w:left w:val="nil"/>
              <w:bottom w:val="nil"/>
              <w:right w:val="nil"/>
            </w:tcBorders>
            <w:shd w:val="clear" w:color="auto" w:fill="auto"/>
          </w:tcPr>
          <w:p w14:paraId="7FC6D06B" w14:textId="1841DF58" w:rsidR="00751FF8" w:rsidRPr="00A61D53" w:rsidRDefault="00751FF8" w:rsidP="00C04CAB">
            <w:pPr>
              <w:spacing w:before="40" w:after="40" w:line="200" w:lineRule="exact"/>
              <w:rPr>
                <w:color w:val="000000"/>
                <w:sz w:val="18"/>
                <w:szCs w:val="18"/>
              </w:rPr>
            </w:pPr>
            <w:r>
              <w:rPr>
                <w:color w:val="000000"/>
                <w:sz w:val="18"/>
                <w:szCs w:val="18"/>
              </w:rPr>
              <w:t xml:space="preserve">Support </w:t>
            </w:r>
            <w:r w:rsidDel="002D10D7">
              <w:rPr>
                <w:color w:val="000000"/>
                <w:sz w:val="18"/>
                <w:szCs w:val="18"/>
              </w:rPr>
              <w:t>to</w:t>
            </w:r>
            <w:r>
              <w:rPr>
                <w:color w:val="000000"/>
                <w:sz w:val="18"/>
                <w:szCs w:val="18"/>
              </w:rPr>
              <w:t xml:space="preserve"> the operationalization of Article</w:t>
            </w:r>
            <w:r w:rsidDel="002D10D7">
              <w:rPr>
                <w:color w:val="000000"/>
                <w:sz w:val="18"/>
                <w:szCs w:val="18"/>
              </w:rPr>
              <w:t>s</w:t>
            </w:r>
            <w:r>
              <w:rPr>
                <w:color w:val="000000"/>
                <w:sz w:val="18"/>
                <w:szCs w:val="18"/>
              </w:rPr>
              <w:t xml:space="preserve"> 6</w:t>
            </w:r>
            <w:r w:rsidDel="002D10D7">
              <w:rPr>
                <w:color w:val="000000"/>
                <w:sz w:val="18"/>
                <w:szCs w:val="18"/>
              </w:rPr>
              <w:t>.</w:t>
            </w:r>
            <w:r>
              <w:rPr>
                <w:color w:val="000000"/>
                <w:sz w:val="18"/>
                <w:szCs w:val="18"/>
              </w:rPr>
              <w:t xml:space="preserve">2 and </w:t>
            </w:r>
            <w:r w:rsidDel="002D10D7">
              <w:rPr>
                <w:color w:val="000000"/>
                <w:sz w:val="18"/>
                <w:szCs w:val="18"/>
              </w:rPr>
              <w:t>6.</w:t>
            </w:r>
            <w:r>
              <w:rPr>
                <w:color w:val="000000"/>
                <w:sz w:val="18"/>
                <w:szCs w:val="18"/>
              </w:rPr>
              <w:t>8 of the Paris Agreement and the implementation of Response Measures</w:t>
            </w:r>
          </w:p>
        </w:tc>
        <w:tc>
          <w:tcPr>
            <w:tcW w:w="1112" w:type="dxa"/>
            <w:tcBorders>
              <w:top w:val="nil"/>
              <w:left w:val="nil"/>
              <w:bottom w:val="nil"/>
              <w:right w:val="nil"/>
            </w:tcBorders>
            <w:shd w:val="clear" w:color="auto" w:fill="auto"/>
            <w:noWrap/>
          </w:tcPr>
          <w:p w14:paraId="09368CDD"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 xml:space="preserve"> 328 249</w:t>
            </w:r>
          </w:p>
        </w:tc>
        <w:tc>
          <w:tcPr>
            <w:tcW w:w="973" w:type="dxa"/>
            <w:tcBorders>
              <w:top w:val="nil"/>
              <w:left w:val="nil"/>
              <w:bottom w:val="nil"/>
              <w:right w:val="nil"/>
            </w:tcBorders>
            <w:shd w:val="clear" w:color="auto" w:fill="auto"/>
            <w:noWrap/>
          </w:tcPr>
          <w:p w14:paraId="0CC6B4A8" w14:textId="77777777" w:rsidR="00751FF8" w:rsidRPr="00A61D53" w:rsidRDefault="00751FF8" w:rsidP="00C04CAB">
            <w:pPr>
              <w:spacing w:before="40" w:after="40" w:line="200" w:lineRule="exact"/>
              <w:jc w:val="right"/>
              <w:rPr>
                <w:color w:val="000000"/>
                <w:sz w:val="18"/>
                <w:szCs w:val="18"/>
              </w:rPr>
            </w:pPr>
            <w:r>
              <w:rPr>
                <w:color w:val="000000"/>
                <w:sz w:val="18"/>
                <w:szCs w:val="18"/>
              </w:rPr>
              <w:t>1.0</w:t>
            </w:r>
          </w:p>
        </w:tc>
        <w:tc>
          <w:tcPr>
            <w:tcW w:w="859" w:type="dxa"/>
            <w:tcBorders>
              <w:top w:val="nil"/>
              <w:left w:val="nil"/>
              <w:bottom w:val="nil"/>
              <w:right w:val="nil"/>
            </w:tcBorders>
            <w:shd w:val="clear" w:color="auto" w:fill="auto"/>
            <w:noWrap/>
          </w:tcPr>
          <w:p w14:paraId="3E0D579D" w14:textId="77777777" w:rsidR="00751FF8" w:rsidRPr="00A61D53" w:rsidRDefault="00751FF8" w:rsidP="00C04CAB">
            <w:pPr>
              <w:spacing w:before="40" w:after="40" w:line="200" w:lineRule="exact"/>
              <w:jc w:val="right"/>
              <w:rPr>
                <w:color w:val="000000"/>
                <w:sz w:val="18"/>
                <w:szCs w:val="18"/>
              </w:rPr>
            </w:pPr>
            <w:r>
              <w:rPr>
                <w:color w:val="000000"/>
                <w:sz w:val="18"/>
                <w:szCs w:val="18"/>
              </w:rPr>
              <w:t>–</w:t>
            </w:r>
          </w:p>
        </w:tc>
      </w:tr>
      <w:tr w:rsidR="00751FF8" w:rsidRPr="00A61D53" w14:paraId="79EB70A0" w14:textId="77777777" w:rsidTr="00FD7572">
        <w:trPr>
          <w:trHeight w:val="33"/>
        </w:trPr>
        <w:tc>
          <w:tcPr>
            <w:tcW w:w="837" w:type="dxa"/>
            <w:tcBorders>
              <w:top w:val="nil"/>
              <w:left w:val="nil"/>
              <w:bottom w:val="nil"/>
              <w:right w:val="nil"/>
            </w:tcBorders>
            <w:shd w:val="clear" w:color="auto" w:fill="auto"/>
            <w:noWrap/>
          </w:tcPr>
          <w:p w14:paraId="58F4CB10"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200</w:t>
            </w:r>
            <w:r>
              <w:rPr>
                <w:color w:val="000000"/>
                <w:sz w:val="18"/>
                <w:szCs w:val="18"/>
              </w:rPr>
              <w:t>-</w:t>
            </w:r>
            <w:r w:rsidRPr="00A61D53">
              <w:rPr>
                <w:color w:val="000000"/>
                <w:sz w:val="18"/>
                <w:szCs w:val="18"/>
              </w:rPr>
              <w:t>003</w:t>
            </w:r>
          </w:p>
        </w:tc>
        <w:tc>
          <w:tcPr>
            <w:tcW w:w="1528" w:type="dxa"/>
            <w:tcBorders>
              <w:top w:val="nil"/>
              <w:left w:val="nil"/>
              <w:bottom w:val="nil"/>
              <w:right w:val="nil"/>
            </w:tcBorders>
            <w:shd w:val="clear" w:color="auto" w:fill="auto"/>
          </w:tcPr>
          <w:p w14:paraId="421F05D8"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Means of Implementation</w:t>
            </w:r>
          </w:p>
        </w:tc>
        <w:tc>
          <w:tcPr>
            <w:tcW w:w="4330" w:type="dxa"/>
            <w:tcBorders>
              <w:top w:val="nil"/>
              <w:left w:val="nil"/>
              <w:bottom w:val="nil"/>
              <w:right w:val="nil"/>
            </w:tcBorders>
            <w:shd w:val="clear" w:color="auto" w:fill="auto"/>
          </w:tcPr>
          <w:p w14:paraId="3B3011ED"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Support for the full extent of activities envisaged in the workplans of the Paris Committee on Capacity</w:t>
            </w:r>
            <w:r>
              <w:rPr>
                <w:color w:val="000000"/>
                <w:sz w:val="18"/>
                <w:szCs w:val="18"/>
              </w:rPr>
              <w:t>-</w:t>
            </w:r>
            <w:r w:rsidRPr="00A61D53">
              <w:rPr>
                <w:color w:val="000000"/>
                <w:sz w:val="18"/>
                <w:szCs w:val="18"/>
              </w:rPr>
              <w:t>building, the Standing Committee on Finance and the Technology Executive Committee</w:t>
            </w:r>
          </w:p>
        </w:tc>
        <w:tc>
          <w:tcPr>
            <w:tcW w:w="1112" w:type="dxa"/>
            <w:tcBorders>
              <w:top w:val="nil"/>
              <w:left w:val="nil"/>
              <w:bottom w:val="nil"/>
              <w:right w:val="nil"/>
            </w:tcBorders>
            <w:shd w:val="clear" w:color="auto" w:fill="auto"/>
            <w:noWrap/>
          </w:tcPr>
          <w:p w14:paraId="3E2C7E80"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2 604 861</w:t>
            </w:r>
          </w:p>
        </w:tc>
        <w:tc>
          <w:tcPr>
            <w:tcW w:w="973" w:type="dxa"/>
            <w:tcBorders>
              <w:top w:val="nil"/>
              <w:left w:val="nil"/>
              <w:bottom w:val="nil"/>
              <w:right w:val="nil"/>
            </w:tcBorders>
            <w:shd w:val="clear" w:color="auto" w:fill="auto"/>
            <w:noWrap/>
          </w:tcPr>
          <w:p w14:paraId="4BFDC054" w14:textId="77777777" w:rsidR="00751FF8" w:rsidRPr="00A61D53" w:rsidRDefault="00751FF8" w:rsidP="00C04CAB">
            <w:pPr>
              <w:spacing w:before="40" w:after="40" w:line="200" w:lineRule="exact"/>
              <w:jc w:val="right"/>
              <w:rPr>
                <w:color w:val="000000"/>
                <w:sz w:val="18"/>
                <w:szCs w:val="18"/>
              </w:rPr>
            </w:pPr>
            <w:r>
              <w:rPr>
                <w:color w:val="000000"/>
                <w:sz w:val="18"/>
                <w:szCs w:val="18"/>
              </w:rPr>
              <w:t>3.8</w:t>
            </w:r>
          </w:p>
        </w:tc>
        <w:tc>
          <w:tcPr>
            <w:tcW w:w="859" w:type="dxa"/>
            <w:tcBorders>
              <w:top w:val="nil"/>
              <w:left w:val="nil"/>
              <w:bottom w:val="nil"/>
              <w:right w:val="nil"/>
            </w:tcBorders>
            <w:shd w:val="clear" w:color="auto" w:fill="auto"/>
            <w:noWrap/>
          </w:tcPr>
          <w:p w14:paraId="60C82976" w14:textId="77777777" w:rsidR="00751FF8" w:rsidRPr="00A61D53" w:rsidRDefault="00751FF8" w:rsidP="00C04CAB">
            <w:pPr>
              <w:spacing w:before="40" w:after="40" w:line="200" w:lineRule="exact"/>
              <w:jc w:val="right"/>
              <w:rPr>
                <w:color w:val="000000"/>
                <w:sz w:val="18"/>
                <w:szCs w:val="18"/>
              </w:rPr>
            </w:pPr>
            <w:r>
              <w:rPr>
                <w:color w:val="000000"/>
                <w:sz w:val="18"/>
                <w:szCs w:val="18"/>
              </w:rPr>
              <w:t>1.0</w:t>
            </w:r>
          </w:p>
        </w:tc>
      </w:tr>
      <w:tr w:rsidR="00751FF8" w:rsidRPr="00A61D53" w14:paraId="1064A32A" w14:textId="77777777" w:rsidTr="00FD7572">
        <w:trPr>
          <w:trHeight w:val="33"/>
        </w:trPr>
        <w:tc>
          <w:tcPr>
            <w:tcW w:w="837" w:type="dxa"/>
            <w:tcBorders>
              <w:top w:val="nil"/>
              <w:left w:val="nil"/>
              <w:bottom w:val="nil"/>
              <w:right w:val="nil"/>
            </w:tcBorders>
            <w:shd w:val="clear" w:color="auto" w:fill="auto"/>
            <w:noWrap/>
          </w:tcPr>
          <w:p w14:paraId="584CA562" w14:textId="77777777" w:rsidR="00751FF8" w:rsidRPr="00A61D53" w:rsidRDefault="00751FF8" w:rsidP="00C04CAB">
            <w:pPr>
              <w:spacing w:before="40" w:after="40" w:line="200" w:lineRule="exact"/>
              <w:rPr>
                <w:rFonts w:eastAsia="Times New Roman"/>
                <w:b/>
                <w:color w:val="000000"/>
                <w:sz w:val="18"/>
                <w:szCs w:val="18"/>
                <w:lang w:eastAsia="de-DE"/>
              </w:rPr>
            </w:pPr>
            <w:r w:rsidRPr="00A61D53">
              <w:rPr>
                <w:color w:val="000000"/>
                <w:sz w:val="18"/>
                <w:szCs w:val="18"/>
              </w:rPr>
              <w:t>200</w:t>
            </w:r>
            <w:r>
              <w:rPr>
                <w:color w:val="000000"/>
                <w:sz w:val="18"/>
                <w:szCs w:val="18"/>
              </w:rPr>
              <w:t>-</w:t>
            </w:r>
            <w:r w:rsidRPr="00A61D53">
              <w:rPr>
                <w:color w:val="000000"/>
                <w:sz w:val="18"/>
                <w:szCs w:val="18"/>
              </w:rPr>
              <w:t>004</w:t>
            </w:r>
          </w:p>
        </w:tc>
        <w:tc>
          <w:tcPr>
            <w:tcW w:w="1528" w:type="dxa"/>
            <w:tcBorders>
              <w:top w:val="nil"/>
              <w:left w:val="nil"/>
              <w:bottom w:val="nil"/>
              <w:right w:val="nil"/>
            </w:tcBorders>
            <w:shd w:val="clear" w:color="auto" w:fill="auto"/>
          </w:tcPr>
          <w:p w14:paraId="0F7172CD" w14:textId="77777777" w:rsidR="00751FF8" w:rsidRPr="00A61D53" w:rsidRDefault="00751FF8" w:rsidP="00C04CAB">
            <w:pPr>
              <w:spacing w:before="40" w:after="40" w:line="200" w:lineRule="exact"/>
              <w:rPr>
                <w:rFonts w:eastAsia="Times New Roman"/>
                <w:b/>
                <w:color w:val="000000"/>
                <w:sz w:val="18"/>
                <w:szCs w:val="18"/>
                <w:lang w:eastAsia="de-DE"/>
              </w:rPr>
            </w:pPr>
            <w:r w:rsidRPr="00A61D53">
              <w:rPr>
                <w:color w:val="000000"/>
                <w:sz w:val="18"/>
                <w:szCs w:val="18"/>
              </w:rPr>
              <w:t>Transparency</w:t>
            </w:r>
          </w:p>
        </w:tc>
        <w:tc>
          <w:tcPr>
            <w:tcW w:w="4330" w:type="dxa"/>
            <w:tcBorders>
              <w:top w:val="nil"/>
              <w:left w:val="nil"/>
              <w:bottom w:val="nil"/>
              <w:right w:val="nil"/>
            </w:tcBorders>
            <w:shd w:val="clear" w:color="auto" w:fill="auto"/>
            <w:vAlign w:val="bottom"/>
          </w:tcPr>
          <w:p w14:paraId="0E4DDFEB" w14:textId="77777777" w:rsidR="00751FF8" w:rsidRPr="00A61D53" w:rsidRDefault="00751FF8" w:rsidP="00C04CAB">
            <w:pPr>
              <w:spacing w:before="40" w:after="40" w:line="200" w:lineRule="exact"/>
              <w:rPr>
                <w:rFonts w:eastAsia="Times New Roman"/>
                <w:b/>
                <w:color w:val="000000"/>
                <w:sz w:val="18"/>
                <w:szCs w:val="18"/>
                <w:lang w:eastAsia="de-DE"/>
              </w:rPr>
            </w:pPr>
            <w:r w:rsidRPr="00A61D53">
              <w:rPr>
                <w:color w:val="000000"/>
                <w:sz w:val="18"/>
                <w:szCs w:val="18"/>
              </w:rPr>
              <w:t>Extensive support to developing countries to implement measurement, reporting and verification and the enhanced transparency framework, including through the work of the Consultative Group of Experts</w:t>
            </w:r>
          </w:p>
        </w:tc>
        <w:tc>
          <w:tcPr>
            <w:tcW w:w="1112" w:type="dxa"/>
            <w:tcBorders>
              <w:top w:val="nil"/>
              <w:left w:val="nil"/>
              <w:bottom w:val="nil"/>
              <w:right w:val="nil"/>
            </w:tcBorders>
            <w:shd w:val="clear" w:color="auto" w:fill="auto"/>
            <w:noWrap/>
          </w:tcPr>
          <w:p w14:paraId="5C93EBBF" w14:textId="77777777" w:rsidR="00751FF8" w:rsidRPr="00A61D53" w:rsidRDefault="00751FF8" w:rsidP="00C04CAB">
            <w:pPr>
              <w:spacing w:before="40" w:after="40" w:line="200" w:lineRule="exact"/>
              <w:jc w:val="right"/>
              <w:rPr>
                <w:rFonts w:eastAsia="Times New Roman"/>
                <w:b/>
                <w:color w:val="000000"/>
                <w:sz w:val="18"/>
                <w:szCs w:val="18"/>
                <w:lang w:eastAsia="de-DE"/>
              </w:rPr>
            </w:pPr>
            <w:r>
              <w:rPr>
                <w:color w:val="000000"/>
                <w:sz w:val="18"/>
                <w:szCs w:val="18"/>
              </w:rPr>
              <w:t>3 573 889</w:t>
            </w:r>
          </w:p>
        </w:tc>
        <w:tc>
          <w:tcPr>
            <w:tcW w:w="973" w:type="dxa"/>
            <w:tcBorders>
              <w:top w:val="nil"/>
              <w:left w:val="nil"/>
              <w:bottom w:val="nil"/>
              <w:right w:val="nil"/>
            </w:tcBorders>
            <w:shd w:val="clear" w:color="auto" w:fill="auto"/>
            <w:noWrap/>
          </w:tcPr>
          <w:p w14:paraId="31C7F320" w14:textId="77777777" w:rsidR="00751FF8" w:rsidRPr="00A61D53" w:rsidRDefault="00751FF8" w:rsidP="00C04CAB">
            <w:pPr>
              <w:spacing w:before="40" w:after="40" w:line="200" w:lineRule="exact"/>
              <w:jc w:val="right"/>
              <w:rPr>
                <w:b/>
                <w:color w:val="000000"/>
                <w:sz w:val="18"/>
                <w:szCs w:val="18"/>
              </w:rPr>
            </w:pPr>
            <w:r>
              <w:rPr>
                <w:color w:val="000000"/>
                <w:sz w:val="18"/>
                <w:szCs w:val="18"/>
              </w:rPr>
              <w:t>1.5</w:t>
            </w:r>
          </w:p>
        </w:tc>
        <w:tc>
          <w:tcPr>
            <w:tcW w:w="859" w:type="dxa"/>
            <w:tcBorders>
              <w:top w:val="nil"/>
              <w:left w:val="nil"/>
              <w:bottom w:val="nil"/>
              <w:right w:val="nil"/>
            </w:tcBorders>
            <w:shd w:val="clear" w:color="auto" w:fill="auto"/>
            <w:noWrap/>
          </w:tcPr>
          <w:p w14:paraId="5EC6EC50" w14:textId="77777777" w:rsidR="00751FF8" w:rsidRPr="00A61D53" w:rsidRDefault="00751FF8" w:rsidP="00C04CAB">
            <w:pPr>
              <w:spacing w:before="40" w:after="40" w:line="200" w:lineRule="exact"/>
              <w:jc w:val="right"/>
              <w:rPr>
                <w:b/>
                <w:color w:val="000000"/>
                <w:sz w:val="18"/>
                <w:szCs w:val="18"/>
              </w:rPr>
            </w:pPr>
            <w:r>
              <w:rPr>
                <w:color w:val="000000"/>
                <w:sz w:val="18"/>
                <w:szCs w:val="18"/>
              </w:rPr>
              <w:t>1.1</w:t>
            </w:r>
          </w:p>
        </w:tc>
      </w:tr>
      <w:tr w:rsidR="00751FF8" w:rsidRPr="00A61D53" w14:paraId="381D9A30" w14:textId="77777777" w:rsidTr="00FD7572">
        <w:trPr>
          <w:trHeight w:val="33"/>
        </w:trPr>
        <w:tc>
          <w:tcPr>
            <w:tcW w:w="837" w:type="dxa"/>
            <w:tcBorders>
              <w:top w:val="nil"/>
              <w:left w:val="nil"/>
              <w:bottom w:val="nil"/>
              <w:right w:val="nil"/>
            </w:tcBorders>
            <w:shd w:val="clear" w:color="auto" w:fill="auto"/>
            <w:noWrap/>
          </w:tcPr>
          <w:p w14:paraId="7FD43D86"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200</w:t>
            </w:r>
            <w:r>
              <w:rPr>
                <w:color w:val="000000"/>
                <w:sz w:val="18"/>
                <w:szCs w:val="18"/>
              </w:rPr>
              <w:t>-</w:t>
            </w:r>
            <w:r w:rsidRPr="00A61D53">
              <w:rPr>
                <w:color w:val="000000"/>
                <w:sz w:val="18"/>
                <w:szCs w:val="18"/>
              </w:rPr>
              <w:t>007</w:t>
            </w:r>
          </w:p>
        </w:tc>
        <w:tc>
          <w:tcPr>
            <w:tcW w:w="1528" w:type="dxa"/>
            <w:tcBorders>
              <w:top w:val="nil"/>
              <w:left w:val="nil"/>
              <w:bottom w:val="nil"/>
              <w:right w:val="nil"/>
            </w:tcBorders>
            <w:shd w:val="clear" w:color="auto" w:fill="auto"/>
          </w:tcPr>
          <w:p w14:paraId="0C493186"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Legal Affairs</w:t>
            </w:r>
          </w:p>
        </w:tc>
        <w:tc>
          <w:tcPr>
            <w:tcW w:w="4330" w:type="dxa"/>
            <w:tcBorders>
              <w:top w:val="nil"/>
              <w:left w:val="nil"/>
              <w:bottom w:val="nil"/>
              <w:right w:val="nil"/>
            </w:tcBorders>
            <w:shd w:val="clear" w:color="auto" w:fill="auto"/>
          </w:tcPr>
          <w:p w14:paraId="6EFD8E42"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Comprehensive support for the full extent of activities of the compliance committees under the Kyoto Protocol and the Paris Agreement</w:t>
            </w:r>
          </w:p>
        </w:tc>
        <w:tc>
          <w:tcPr>
            <w:tcW w:w="1112" w:type="dxa"/>
            <w:tcBorders>
              <w:top w:val="nil"/>
              <w:left w:val="nil"/>
              <w:bottom w:val="nil"/>
              <w:right w:val="nil"/>
            </w:tcBorders>
            <w:shd w:val="clear" w:color="auto" w:fill="auto"/>
            <w:noWrap/>
          </w:tcPr>
          <w:p w14:paraId="10477D1B"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1 230 304</w:t>
            </w:r>
          </w:p>
        </w:tc>
        <w:tc>
          <w:tcPr>
            <w:tcW w:w="973" w:type="dxa"/>
            <w:tcBorders>
              <w:top w:val="nil"/>
              <w:left w:val="nil"/>
              <w:bottom w:val="nil"/>
              <w:right w:val="nil"/>
            </w:tcBorders>
            <w:shd w:val="clear" w:color="auto" w:fill="auto"/>
            <w:noWrap/>
          </w:tcPr>
          <w:p w14:paraId="2197237E" w14:textId="77777777" w:rsidR="00751FF8" w:rsidRPr="00A61D53" w:rsidRDefault="00751FF8" w:rsidP="00C04CAB">
            <w:pPr>
              <w:spacing w:before="40" w:after="40" w:line="200" w:lineRule="exact"/>
              <w:jc w:val="right"/>
              <w:rPr>
                <w:color w:val="000000"/>
                <w:sz w:val="18"/>
                <w:szCs w:val="18"/>
              </w:rPr>
            </w:pPr>
            <w:r>
              <w:rPr>
                <w:color w:val="000000"/>
                <w:sz w:val="18"/>
                <w:szCs w:val="18"/>
              </w:rPr>
              <w:t>1.5</w:t>
            </w:r>
          </w:p>
        </w:tc>
        <w:tc>
          <w:tcPr>
            <w:tcW w:w="859" w:type="dxa"/>
            <w:tcBorders>
              <w:top w:val="nil"/>
              <w:left w:val="nil"/>
              <w:bottom w:val="nil"/>
              <w:right w:val="nil"/>
            </w:tcBorders>
            <w:shd w:val="clear" w:color="auto" w:fill="auto"/>
            <w:noWrap/>
          </w:tcPr>
          <w:p w14:paraId="3E395278" w14:textId="77777777" w:rsidR="00751FF8" w:rsidRPr="00A61D53" w:rsidRDefault="00751FF8" w:rsidP="00C04CAB">
            <w:pPr>
              <w:spacing w:before="40" w:after="40" w:line="200" w:lineRule="exact"/>
              <w:jc w:val="right"/>
              <w:rPr>
                <w:color w:val="000000"/>
                <w:sz w:val="18"/>
                <w:szCs w:val="18"/>
              </w:rPr>
            </w:pPr>
            <w:r>
              <w:rPr>
                <w:color w:val="000000"/>
                <w:sz w:val="18"/>
                <w:szCs w:val="18"/>
              </w:rPr>
              <w:t>1.0</w:t>
            </w:r>
          </w:p>
        </w:tc>
      </w:tr>
      <w:tr w:rsidR="00751FF8" w:rsidRPr="00A61D53" w14:paraId="10C839E6" w14:textId="77777777" w:rsidTr="00FD7572">
        <w:trPr>
          <w:trHeight w:val="33"/>
        </w:trPr>
        <w:tc>
          <w:tcPr>
            <w:tcW w:w="837" w:type="dxa"/>
            <w:tcBorders>
              <w:top w:val="nil"/>
              <w:left w:val="nil"/>
              <w:bottom w:val="nil"/>
              <w:right w:val="nil"/>
            </w:tcBorders>
            <w:shd w:val="clear" w:color="auto" w:fill="auto"/>
            <w:noWrap/>
          </w:tcPr>
          <w:p w14:paraId="62B1000C"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b/>
                <w:color w:val="000000"/>
                <w:sz w:val="18"/>
                <w:szCs w:val="18"/>
              </w:rPr>
              <w:t>300</w:t>
            </w:r>
          </w:p>
        </w:tc>
        <w:tc>
          <w:tcPr>
            <w:tcW w:w="1528" w:type="dxa"/>
            <w:tcBorders>
              <w:top w:val="nil"/>
              <w:left w:val="nil"/>
              <w:bottom w:val="nil"/>
              <w:right w:val="nil"/>
            </w:tcBorders>
            <w:shd w:val="clear" w:color="auto" w:fill="auto"/>
            <w:vAlign w:val="bottom"/>
          </w:tcPr>
          <w:p w14:paraId="3B5BB9AE"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rFonts w:ascii="Calibri" w:hAnsi="Calibri" w:cs="Calibri"/>
                <w:b/>
                <w:color w:val="000000"/>
              </w:rPr>
              <w:t> </w:t>
            </w:r>
          </w:p>
        </w:tc>
        <w:tc>
          <w:tcPr>
            <w:tcW w:w="4330" w:type="dxa"/>
            <w:tcBorders>
              <w:top w:val="nil"/>
              <w:left w:val="nil"/>
              <w:bottom w:val="nil"/>
              <w:right w:val="nil"/>
            </w:tcBorders>
            <w:shd w:val="clear" w:color="auto" w:fill="auto"/>
            <w:vAlign w:val="bottom"/>
          </w:tcPr>
          <w:p w14:paraId="48EF2293"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b/>
                <w:bCs/>
                <w:color w:val="000000"/>
                <w:sz w:val="18"/>
                <w:szCs w:val="18"/>
              </w:rPr>
              <w:t>Data and information management</w:t>
            </w:r>
          </w:p>
        </w:tc>
        <w:tc>
          <w:tcPr>
            <w:tcW w:w="1112" w:type="dxa"/>
            <w:tcBorders>
              <w:top w:val="nil"/>
              <w:left w:val="nil"/>
              <w:bottom w:val="nil"/>
              <w:right w:val="nil"/>
            </w:tcBorders>
            <w:shd w:val="clear" w:color="auto" w:fill="auto"/>
            <w:noWrap/>
          </w:tcPr>
          <w:p w14:paraId="190E3D7E" w14:textId="77777777" w:rsidR="00751FF8" w:rsidRPr="00A61D53" w:rsidRDefault="00751FF8" w:rsidP="00C04CAB">
            <w:pPr>
              <w:spacing w:before="40" w:after="40" w:line="200" w:lineRule="exact"/>
              <w:jc w:val="right"/>
              <w:rPr>
                <w:rFonts w:eastAsia="Times New Roman"/>
                <w:color w:val="000000"/>
                <w:sz w:val="18"/>
                <w:szCs w:val="18"/>
                <w:lang w:eastAsia="de-DE"/>
              </w:rPr>
            </w:pPr>
            <w:r>
              <w:rPr>
                <w:b/>
                <w:bCs/>
                <w:color w:val="000000"/>
                <w:sz w:val="18"/>
                <w:szCs w:val="18"/>
              </w:rPr>
              <w:t>19 687 255</w:t>
            </w:r>
          </w:p>
        </w:tc>
        <w:tc>
          <w:tcPr>
            <w:tcW w:w="973" w:type="dxa"/>
            <w:tcBorders>
              <w:top w:val="nil"/>
              <w:left w:val="nil"/>
              <w:bottom w:val="nil"/>
              <w:right w:val="nil"/>
            </w:tcBorders>
            <w:shd w:val="clear" w:color="auto" w:fill="auto"/>
            <w:noWrap/>
          </w:tcPr>
          <w:p w14:paraId="5259C751" w14:textId="77777777" w:rsidR="00751FF8" w:rsidRPr="00A61D53" w:rsidRDefault="00751FF8" w:rsidP="00C04CAB">
            <w:pPr>
              <w:spacing w:before="40" w:after="40" w:line="200" w:lineRule="exact"/>
              <w:jc w:val="right"/>
              <w:rPr>
                <w:color w:val="000000"/>
                <w:sz w:val="18"/>
                <w:szCs w:val="18"/>
              </w:rPr>
            </w:pPr>
            <w:r>
              <w:rPr>
                <w:b/>
                <w:bCs/>
                <w:color w:val="000000"/>
                <w:sz w:val="18"/>
                <w:szCs w:val="18"/>
              </w:rPr>
              <w:t>11.3</w:t>
            </w:r>
          </w:p>
        </w:tc>
        <w:tc>
          <w:tcPr>
            <w:tcW w:w="859" w:type="dxa"/>
            <w:tcBorders>
              <w:top w:val="nil"/>
              <w:left w:val="nil"/>
              <w:bottom w:val="nil"/>
              <w:right w:val="nil"/>
            </w:tcBorders>
            <w:shd w:val="clear" w:color="auto" w:fill="auto"/>
            <w:noWrap/>
          </w:tcPr>
          <w:p w14:paraId="59403F46" w14:textId="77777777" w:rsidR="00751FF8" w:rsidRPr="00A61D53" w:rsidRDefault="00751FF8" w:rsidP="00C04CAB">
            <w:pPr>
              <w:spacing w:before="40" w:after="40" w:line="200" w:lineRule="exact"/>
              <w:jc w:val="right"/>
              <w:rPr>
                <w:color w:val="000000"/>
                <w:sz w:val="18"/>
                <w:szCs w:val="18"/>
              </w:rPr>
            </w:pPr>
            <w:r>
              <w:rPr>
                <w:b/>
                <w:bCs/>
                <w:color w:val="000000"/>
                <w:sz w:val="18"/>
                <w:szCs w:val="18"/>
              </w:rPr>
              <w:t>3.2</w:t>
            </w:r>
          </w:p>
        </w:tc>
      </w:tr>
      <w:tr w:rsidR="00751FF8" w:rsidRPr="00A61D53" w14:paraId="249F28B9" w14:textId="77777777" w:rsidTr="00FD7572">
        <w:trPr>
          <w:trHeight w:val="33"/>
        </w:trPr>
        <w:tc>
          <w:tcPr>
            <w:tcW w:w="837" w:type="dxa"/>
            <w:tcBorders>
              <w:top w:val="nil"/>
              <w:left w:val="nil"/>
              <w:bottom w:val="nil"/>
              <w:right w:val="nil"/>
            </w:tcBorders>
            <w:shd w:val="clear" w:color="auto" w:fill="auto"/>
            <w:noWrap/>
          </w:tcPr>
          <w:p w14:paraId="6C61DB62"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300</w:t>
            </w:r>
            <w:r>
              <w:rPr>
                <w:color w:val="000000"/>
                <w:sz w:val="18"/>
                <w:szCs w:val="18"/>
              </w:rPr>
              <w:t>-</w:t>
            </w:r>
            <w:r w:rsidRPr="00A61D53">
              <w:rPr>
                <w:color w:val="000000"/>
                <w:sz w:val="18"/>
                <w:szCs w:val="18"/>
              </w:rPr>
              <w:t>001</w:t>
            </w:r>
          </w:p>
        </w:tc>
        <w:tc>
          <w:tcPr>
            <w:tcW w:w="1528" w:type="dxa"/>
            <w:tcBorders>
              <w:top w:val="nil"/>
              <w:left w:val="nil"/>
              <w:bottom w:val="nil"/>
              <w:right w:val="nil"/>
            </w:tcBorders>
            <w:shd w:val="clear" w:color="auto" w:fill="auto"/>
          </w:tcPr>
          <w:p w14:paraId="012A2C9A"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Adaptation</w:t>
            </w:r>
          </w:p>
        </w:tc>
        <w:tc>
          <w:tcPr>
            <w:tcW w:w="4330" w:type="dxa"/>
            <w:tcBorders>
              <w:top w:val="nil"/>
              <w:left w:val="nil"/>
              <w:bottom w:val="nil"/>
              <w:right w:val="nil"/>
            </w:tcBorders>
            <w:shd w:val="clear" w:color="auto" w:fill="auto"/>
          </w:tcPr>
          <w:p w14:paraId="49FDB5EF"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Development and enhancement of adaptation</w:t>
            </w:r>
            <w:r>
              <w:rPr>
                <w:color w:val="000000"/>
                <w:sz w:val="18"/>
                <w:szCs w:val="18"/>
              </w:rPr>
              <w:t>-</w:t>
            </w:r>
            <w:r w:rsidRPr="00A61D53">
              <w:rPr>
                <w:color w:val="000000"/>
                <w:sz w:val="18"/>
                <w:szCs w:val="18"/>
              </w:rPr>
              <w:t>related data portals</w:t>
            </w:r>
          </w:p>
        </w:tc>
        <w:tc>
          <w:tcPr>
            <w:tcW w:w="1112" w:type="dxa"/>
            <w:tcBorders>
              <w:top w:val="nil"/>
              <w:left w:val="nil"/>
              <w:bottom w:val="nil"/>
              <w:right w:val="nil"/>
            </w:tcBorders>
            <w:shd w:val="clear" w:color="auto" w:fill="auto"/>
            <w:noWrap/>
          </w:tcPr>
          <w:p w14:paraId="25396F30"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1 013 851</w:t>
            </w:r>
          </w:p>
        </w:tc>
        <w:tc>
          <w:tcPr>
            <w:tcW w:w="973" w:type="dxa"/>
            <w:tcBorders>
              <w:top w:val="nil"/>
              <w:left w:val="nil"/>
              <w:bottom w:val="nil"/>
              <w:right w:val="nil"/>
            </w:tcBorders>
            <w:shd w:val="clear" w:color="auto" w:fill="auto"/>
            <w:noWrap/>
          </w:tcPr>
          <w:p w14:paraId="276B4FD1" w14:textId="77777777" w:rsidR="00751FF8" w:rsidRPr="00A61D53" w:rsidRDefault="00751FF8" w:rsidP="00C04CAB">
            <w:pPr>
              <w:spacing w:before="40" w:after="40" w:line="200" w:lineRule="exact"/>
              <w:jc w:val="right"/>
              <w:rPr>
                <w:color w:val="000000"/>
                <w:sz w:val="18"/>
                <w:szCs w:val="18"/>
              </w:rPr>
            </w:pPr>
            <w:r>
              <w:rPr>
                <w:color w:val="000000"/>
                <w:sz w:val="18"/>
                <w:szCs w:val="18"/>
              </w:rPr>
              <w:t>1.6</w:t>
            </w:r>
          </w:p>
        </w:tc>
        <w:tc>
          <w:tcPr>
            <w:tcW w:w="859" w:type="dxa"/>
            <w:tcBorders>
              <w:top w:val="nil"/>
              <w:left w:val="nil"/>
              <w:bottom w:val="nil"/>
              <w:right w:val="nil"/>
            </w:tcBorders>
            <w:shd w:val="clear" w:color="auto" w:fill="auto"/>
            <w:noWrap/>
          </w:tcPr>
          <w:p w14:paraId="5AE1D46C" w14:textId="77777777" w:rsidR="00751FF8" w:rsidRPr="00A61D53" w:rsidRDefault="00751FF8" w:rsidP="00C04CAB">
            <w:pPr>
              <w:spacing w:before="40" w:after="40" w:line="200" w:lineRule="exact"/>
              <w:jc w:val="right"/>
              <w:rPr>
                <w:color w:val="000000"/>
                <w:sz w:val="18"/>
                <w:szCs w:val="18"/>
              </w:rPr>
            </w:pPr>
            <w:r>
              <w:rPr>
                <w:color w:val="000000"/>
                <w:sz w:val="18"/>
                <w:szCs w:val="18"/>
              </w:rPr>
              <w:t>0.7</w:t>
            </w:r>
          </w:p>
        </w:tc>
      </w:tr>
      <w:tr w:rsidR="00751FF8" w:rsidRPr="00A61D53" w14:paraId="361D5D97" w14:textId="77777777" w:rsidTr="00FD7572">
        <w:trPr>
          <w:trHeight w:val="33"/>
        </w:trPr>
        <w:tc>
          <w:tcPr>
            <w:tcW w:w="837" w:type="dxa"/>
            <w:tcBorders>
              <w:top w:val="nil"/>
              <w:left w:val="nil"/>
              <w:bottom w:val="nil"/>
              <w:right w:val="nil"/>
            </w:tcBorders>
            <w:shd w:val="clear" w:color="auto" w:fill="auto"/>
            <w:noWrap/>
          </w:tcPr>
          <w:p w14:paraId="08EA13DB"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300</w:t>
            </w:r>
            <w:r>
              <w:rPr>
                <w:color w:val="000000"/>
                <w:sz w:val="18"/>
                <w:szCs w:val="18"/>
              </w:rPr>
              <w:t>-</w:t>
            </w:r>
            <w:r w:rsidRPr="00A61D53">
              <w:rPr>
                <w:color w:val="000000"/>
                <w:sz w:val="18"/>
                <w:szCs w:val="18"/>
              </w:rPr>
              <w:t>003</w:t>
            </w:r>
          </w:p>
        </w:tc>
        <w:tc>
          <w:tcPr>
            <w:tcW w:w="1528" w:type="dxa"/>
            <w:tcBorders>
              <w:top w:val="nil"/>
              <w:left w:val="nil"/>
              <w:bottom w:val="nil"/>
              <w:right w:val="nil"/>
            </w:tcBorders>
            <w:shd w:val="clear" w:color="auto" w:fill="auto"/>
          </w:tcPr>
          <w:p w14:paraId="17087973"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Means of Implementation</w:t>
            </w:r>
          </w:p>
        </w:tc>
        <w:tc>
          <w:tcPr>
            <w:tcW w:w="4330" w:type="dxa"/>
            <w:tcBorders>
              <w:top w:val="nil"/>
              <w:left w:val="nil"/>
              <w:bottom w:val="nil"/>
              <w:right w:val="nil"/>
            </w:tcBorders>
            <w:shd w:val="clear" w:color="auto" w:fill="auto"/>
          </w:tcPr>
          <w:p w14:paraId="3B27EFCB"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Support for the full extent of activities envisaged in the workplans of the Paris Committee on Capacity</w:t>
            </w:r>
            <w:r>
              <w:rPr>
                <w:color w:val="000000"/>
                <w:sz w:val="18"/>
                <w:szCs w:val="18"/>
              </w:rPr>
              <w:t>-</w:t>
            </w:r>
            <w:r w:rsidRPr="00A61D53">
              <w:rPr>
                <w:color w:val="000000"/>
                <w:sz w:val="18"/>
                <w:szCs w:val="18"/>
              </w:rPr>
              <w:t>building, the Standing Committee on Finance and the Technology Executive Committee</w:t>
            </w:r>
          </w:p>
        </w:tc>
        <w:tc>
          <w:tcPr>
            <w:tcW w:w="1112" w:type="dxa"/>
            <w:tcBorders>
              <w:top w:val="nil"/>
              <w:left w:val="nil"/>
              <w:bottom w:val="nil"/>
              <w:right w:val="nil"/>
            </w:tcBorders>
            <w:shd w:val="clear" w:color="auto" w:fill="auto"/>
            <w:noWrap/>
          </w:tcPr>
          <w:p w14:paraId="06270F5F"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 xml:space="preserve"> 80 959</w:t>
            </w:r>
          </w:p>
        </w:tc>
        <w:tc>
          <w:tcPr>
            <w:tcW w:w="973" w:type="dxa"/>
            <w:tcBorders>
              <w:top w:val="nil"/>
              <w:left w:val="nil"/>
              <w:bottom w:val="nil"/>
              <w:right w:val="nil"/>
            </w:tcBorders>
            <w:shd w:val="clear" w:color="auto" w:fill="auto"/>
            <w:noWrap/>
          </w:tcPr>
          <w:p w14:paraId="23857413" w14:textId="77777777" w:rsidR="00751FF8" w:rsidRPr="00A61D53" w:rsidRDefault="00751FF8" w:rsidP="00C04CAB">
            <w:pPr>
              <w:spacing w:before="40" w:after="40" w:line="200" w:lineRule="exact"/>
              <w:jc w:val="right"/>
              <w:rPr>
                <w:color w:val="000000"/>
                <w:sz w:val="18"/>
                <w:szCs w:val="18"/>
              </w:rPr>
            </w:pPr>
            <w:r>
              <w:rPr>
                <w:color w:val="000000"/>
                <w:sz w:val="18"/>
                <w:szCs w:val="18"/>
              </w:rPr>
              <w:t>0.2</w:t>
            </w:r>
          </w:p>
        </w:tc>
        <w:tc>
          <w:tcPr>
            <w:tcW w:w="859" w:type="dxa"/>
            <w:tcBorders>
              <w:top w:val="nil"/>
              <w:left w:val="nil"/>
              <w:bottom w:val="nil"/>
              <w:right w:val="nil"/>
            </w:tcBorders>
            <w:shd w:val="clear" w:color="auto" w:fill="auto"/>
            <w:noWrap/>
          </w:tcPr>
          <w:p w14:paraId="51C2B818" w14:textId="77777777" w:rsidR="00751FF8" w:rsidRPr="00A61D53" w:rsidRDefault="00751FF8" w:rsidP="00C04CAB">
            <w:pPr>
              <w:spacing w:before="40" w:after="40" w:line="200" w:lineRule="exact"/>
              <w:jc w:val="right"/>
              <w:rPr>
                <w:color w:val="000000"/>
                <w:sz w:val="18"/>
                <w:szCs w:val="18"/>
              </w:rPr>
            </w:pPr>
            <w:r>
              <w:rPr>
                <w:color w:val="000000"/>
                <w:sz w:val="18"/>
                <w:szCs w:val="18"/>
              </w:rPr>
              <w:t>–</w:t>
            </w:r>
          </w:p>
        </w:tc>
      </w:tr>
      <w:tr w:rsidR="00751FF8" w:rsidRPr="00A61D53" w14:paraId="7C66FE9A" w14:textId="77777777" w:rsidTr="00FD7572">
        <w:trPr>
          <w:trHeight w:val="33"/>
        </w:trPr>
        <w:tc>
          <w:tcPr>
            <w:tcW w:w="837" w:type="dxa"/>
            <w:tcBorders>
              <w:top w:val="nil"/>
              <w:left w:val="nil"/>
              <w:bottom w:val="nil"/>
              <w:right w:val="nil"/>
            </w:tcBorders>
            <w:shd w:val="clear" w:color="auto" w:fill="auto"/>
            <w:noWrap/>
          </w:tcPr>
          <w:p w14:paraId="1F9C40C6"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300</w:t>
            </w:r>
            <w:r>
              <w:rPr>
                <w:color w:val="000000"/>
                <w:sz w:val="18"/>
                <w:szCs w:val="18"/>
              </w:rPr>
              <w:t>-</w:t>
            </w:r>
            <w:r w:rsidRPr="00A61D53">
              <w:rPr>
                <w:color w:val="000000"/>
                <w:sz w:val="18"/>
                <w:szCs w:val="18"/>
              </w:rPr>
              <w:t>004</w:t>
            </w:r>
          </w:p>
        </w:tc>
        <w:tc>
          <w:tcPr>
            <w:tcW w:w="1528" w:type="dxa"/>
            <w:tcBorders>
              <w:top w:val="nil"/>
              <w:left w:val="nil"/>
              <w:bottom w:val="nil"/>
              <w:right w:val="nil"/>
            </w:tcBorders>
            <w:shd w:val="clear" w:color="auto" w:fill="auto"/>
          </w:tcPr>
          <w:p w14:paraId="486DBA61"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Transparency</w:t>
            </w:r>
          </w:p>
        </w:tc>
        <w:tc>
          <w:tcPr>
            <w:tcW w:w="4330" w:type="dxa"/>
            <w:tcBorders>
              <w:top w:val="nil"/>
              <w:left w:val="nil"/>
              <w:bottom w:val="nil"/>
              <w:right w:val="nil"/>
            </w:tcBorders>
            <w:shd w:val="clear" w:color="auto" w:fill="auto"/>
          </w:tcPr>
          <w:p w14:paraId="3493FBE6"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Development of the information hub and related reporting and review systems and tools used under the enhanced transparency framework and streamlining of existing data management and tools used under the current transparency arrangements</w:t>
            </w:r>
          </w:p>
        </w:tc>
        <w:tc>
          <w:tcPr>
            <w:tcW w:w="1112" w:type="dxa"/>
            <w:tcBorders>
              <w:top w:val="nil"/>
              <w:left w:val="nil"/>
              <w:bottom w:val="nil"/>
              <w:right w:val="nil"/>
            </w:tcBorders>
            <w:shd w:val="clear" w:color="auto" w:fill="auto"/>
            <w:noWrap/>
          </w:tcPr>
          <w:p w14:paraId="2C33662C"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10 816 604</w:t>
            </w:r>
          </w:p>
        </w:tc>
        <w:tc>
          <w:tcPr>
            <w:tcW w:w="973" w:type="dxa"/>
            <w:tcBorders>
              <w:top w:val="nil"/>
              <w:left w:val="nil"/>
              <w:bottom w:val="nil"/>
              <w:right w:val="nil"/>
            </w:tcBorders>
            <w:shd w:val="clear" w:color="auto" w:fill="auto"/>
            <w:noWrap/>
          </w:tcPr>
          <w:p w14:paraId="4AE361A1" w14:textId="77777777" w:rsidR="00751FF8" w:rsidRPr="00A61D53" w:rsidRDefault="00751FF8" w:rsidP="00C04CAB">
            <w:pPr>
              <w:spacing w:before="40" w:after="40" w:line="200" w:lineRule="exact"/>
              <w:jc w:val="right"/>
              <w:rPr>
                <w:color w:val="000000"/>
                <w:sz w:val="18"/>
                <w:szCs w:val="18"/>
              </w:rPr>
            </w:pPr>
            <w:r>
              <w:rPr>
                <w:color w:val="000000"/>
                <w:sz w:val="18"/>
                <w:szCs w:val="18"/>
              </w:rPr>
              <w:t>2.5</w:t>
            </w:r>
          </w:p>
        </w:tc>
        <w:tc>
          <w:tcPr>
            <w:tcW w:w="859" w:type="dxa"/>
            <w:tcBorders>
              <w:top w:val="nil"/>
              <w:left w:val="nil"/>
              <w:bottom w:val="nil"/>
              <w:right w:val="nil"/>
            </w:tcBorders>
            <w:shd w:val="clear" w:color="auto" w:fill="auto"/>
            <w:noWrap/>
          </w:tcPr>
          <w:p w14:paraId="10252772" w14:textId="77777777" w:rsidR="00751FF8" w:rsidRPr="00A61D53" w:rsidRDefault="00751FF8" w:rsidP="00C04CAB">
            <w:pPr>
              <w:spacing w:before="40" w:after="40" w:line="200" w:lineRule="exact"/>
              <w:jc w:val="right"/>
              <w:rPr>
                <w:color w:val="000000"/>
                <w:sz w:val="18"/>
                <w:szCs w:val="18"/>
              </w:rPr>
            </w:pPr>
            <w:r>
              <w:rPr>
                <w:color w:val="000000"/>
                <w:sz w:val="18"/>
                <w:szCs w:val="18"/>
              </w:rPr>
              <w:t>1.5</w:t>
            </w:r>
          </w:p>
        </w:tc>
      </w:tr>
      <w:tr w:rsidR="00751FF8" w:rsidRPr="00A61D53" w14:paraId="7FCD6604" w14:textId="77777777" w:rsidTr="00FD7572">
        <w:trPr>
          <w:trHeight w:val="33"/>
        </w:trPr>
        <w:tc>
          <w:tcPr>
            <w:tcW w:w="837" w:type="dxa"/>
            <w:tcBorders>
              <w:top w:val="nil"/>
              <w:left w:val="nil"/>
              <w:bottom w:val="nil"/>
              <w:right w:val="nil"/>
            </w:tcBorders>
            <w:shd w:val="clear" w:color="auto" w:fill="auto"/>
            <w:noWrap/>
          </w:tcPr>
          <w:p w14:paraId="16425102"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300</w:t>
            </w:r>
            <w:r>
              <w:rPr>
                <w:color w:val="000000"/>
                <w:sz w:val="18"/>
                <w:szCs w:val="18"/>
              </w:rPr>
              <w:t>-</w:t>
            </w:r>
            <w:r w:rsidRPr="00A61D53">
              <w:rPr>
                <w:color w:val="000000"/>
                <w:sz w:val="18"/>
                <w:szCs w:val="18"/>
              </w:rPr>
              <w:t>006</w:t>
            </w:r>
          </w:p>
        </w:tc>
        <w:tc>
          <w:tcPr>
            <w:tcW w:w="1528" w:type="dxa"/>
            <w:tcBorders>
              <w:top w:val="nil"/>
              <w:left w:val="nil"/>
              <w:bottom w:val="nil"/>
              <w:right w:val="nil"/>
            </w:tcBorders>
            <w:shd w:val="clear" w:color="auto" w:fill="auto"/>
          </w:tcPr>
          <w:p w14:paraId="092A8555"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Communications and Engagement</w:t>
            </w:r>
          </w:p>
        </w:tc>
        <w:tc>
          <w:tcPr>
            <w:tcW w:w="4330" w:type="dxa"/>
            <w:tcBorders>
              <w:top w:val="nil"/>
              <w:left w:val="nil"/>
              <w:bottom w:val="nil"/>
              <w:right w:val="nil"/>
            </w:tcBorders>
            <w:shd w:val="clear" w:color="auto" w:fill="auto"/>
          </w:tcPr>
          <w:p w14:paraId="3F49CBEB"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Enhancement of digital communication capabilities for effective engagement with Parties, non</w:t>
            </w:r>
            <w:r>
              <w:rPr>
                <w:color w:val="000000"/>
                <w:sz w:val="18"/>
                <w:szCs w:val="18"/>
              </w:rPr>
              <w:t>-</w:t>
            </w:r>
            <w:r w:rsidRPr="00A61D53">
              <w:rPr>
                <w:color w:val="000000"/>
                <w:sz w:val="18"/>
                <w:szCs w:val="18"/>
              </w:rPr>
              <w:t>Party stakeholders and the public</w:t>
            </w:r>
          </w:p>
        </w:tc>
        <w:tc>
          <w:tcPr>
            <w:tcW w:w="1112" w:type="dxa"/>
            <w:tcBorders>
              <w:top w:val="nil"/>
              <w:left w:val="nil"/>
              <w:bottom w:val="nil"/>
              <w:right w:val="nil"/>
            </w:tcBorders>
            <w:shd w:val="clear" w:color="auto" w:fill="auto"/>
            <w:noWrap/>
          </w:tcPr>
          <w:p w14:paraId="0D20DF80"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2 976 140</w:t>
            </w:r>
          </w:p>
        </w:tc>
        <w:tc>
          <w:tcPr>
            <w:tcW w:w="973" w:type="dxa"/>
            <w:tcBorders>
              <w:top w:val="nil"/>
              <w:left w:val="nil"/>
              <w:bottom w:val="nil"/>
              <w:right w:val="nil"/>
            </w:tcBorders>
            <w:shd w:val="clear" w:color="auto" w:fill="auto"/>
            <w:noWrap/>
          </w:tcPr>
          <w:p w14:paraId="412ADEE8" w14:textId="77777777" w:rsidR="00751FF8" w:rsidRPr="00A61D53" w:rsidRDefault="00751FF8" w:rsidP="00C04CAB">
            <w:pPr>
              <w:spacing w:before="40" w:after="40" w:line="200" w:lineRule="exact"/>
              <w:jc w:val="right"/>
              <w:rPr>
                <w:color w:val="000000"/>
                <w:sz w:val="18"/>
                <w:szCs w:val="18"/>
              </w:rPr>
            </w:pPr>
            <w:r>
              <w:rPr>
                <w:color w:val="000000"/>
                <w:sz w:val="18"/>
                <w:szCs w:val="18"/>
              </w:rPr>
              <w:t>6.0</w:t>
            </w:r>
          </w:p>
        </w:tc>
        <w:tc>
          <w:tcPr>
            <w:tcW w:w="859" w:type="dxa"/>
            <w:tcBorders>
              <w:top w:val="nil"/>
              <w:left w:val="nil"/>
              <w:bottom w:val="nil"/>
              <w:right w:val="nil"/>
            </w:tcBorders>
            <w:shd w:val="clear" w:color="auto" w:fill="auto"/>
            <w:noWrap/>
          </w:tcPr>
          <w:p w14:paraId="24B646F8" w14:textId="77777777" w:rsidR="00751FF8" w:rsidRPr="00A61D53" w:rsidRDefault="00751FF8" w:rsidP="00C04CAB">
            <w:pPr>
              <w:spacing w:before="40" w:after="40" w:line="200" w:lineRule="exact"/>
              <w:jc w:val="right"/>
              <w:rPr>
                <w:color w:val="000000"/>
                <w:sz w:val="18"/>
                <w:szCs w:val="18"/>
              </w:rPr>
            </w:pPr>
            <w:r>
              <w:rPr>
                <w:color w:val="000000"/>
                <w:sz w:val="18"/>
                <w:szCs w:val="18"/>
              </w:rPr>
              <w:t>1.0</w:t>
            </w:r>
          </w:p>
        </w:tc>
      </w:tr>
      <w:tr w:rsidR="00751FF8" w:rsidRPr="00A61D53" w14:paraId="241D2325" w14:textId="77777777" w:rsidTr="00FD7572">
        <w:trPr>
          <w:trHeight w:val="33"/>
        </w:trPr>
        <w:tc>
          <w:tcPr>
            <w:tcW w:w="837" w:type="dxa"/>
            <w:tcBorders>
              <w:top w:val="nil"/>
              <w:left w:val="nil"/>
              <w:bottom w:val="nil"/>
              <w:right w:val="nil"/>
            </w:tcBorders>
            <w:shd w:val="clear" w:color="auto" w:fill="auto"/>
            <w:noWrap/>
          </w:tcPr>
          <w:p w14:paraId="05CFA410"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300</w:t>
            </w:r>
            <w:r>
              <w:rPr>
                <w:color w:val="000000"/>
                <w:sz w:val="18"/>
                <w:szCs w:val="18"/>
              </w:rPr>
              <w:t>-</w:t>
            </w:r>
            <w:r w:rsidRPr="00A61D53">
              <w:rPr>
                <w:color w:val="000000"/>
                <w:sz w:val="18"/>
                <w:szCs w:val="18"/>
              </w:rPr>
              <w:t>012</w:t>
            </w:r>
          </w:p>
        </w:tc>
        <w:tc>
          <w:tcPr>
            <w:tcW w:w="1528" w:type="dxa"/>
            <w:tcBorders>
              <w:top w:val="nil"/>
              <w:left w:val="nil"/>
              <w:bottom w:val="nil"/>
              <w:right w:val="nil"/>
            </w:tcBorders>
            <w:shd w:val="clear" w:color="auto" w:fill="auto"/>
          </w:tcPr>
          <w:p w14:paraId="09D5AFFD"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Operations Coordination</w:t>
            </w:r>
          </w:p>
        </w:tc>
        <w:tc>
          <w:tcPr>
            <w:tcW w:w="4330" w:type="dxa"/>
            <w:tcBorders>
              <w:top w:val="nil"/>
              <w:left w:val="nil"/>
              <w:bottom w:val="nil"/>
              <w:right w:val="nil"/>
            </w:tcBorders>
            <w:shd w:val="clear" w:color="auto" w:fill="auto"/>
          </w:tcPr>
          <w:p w14:paraId="65CD3CE6"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Enhancement of digital access to UNFCCC archives</w:t>
            </w:r>
          </w:p>
        </w:tc>
        <w:tc>
          <w:tcPr>
            <w:tcW w:w="1112" w:type="dxa"/>
            <w:tcBorders>
              <w:top w:val="nil"/>
              <w:left w:val="nil"/>
              <w:bottom w:val="nil"/>
              <w:right w:val="nil"/>
            </w:tcBorders>
            <w:shd w:val="clear" w:color="auto" w:fill="auto"/>
            <w:noWrap/>
          </w:tcPr>
          <w:p w14:paraId="0DA6220B"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1 787 781</w:t>
            </w:r>
          </w:p>
        </w:tc>
        <w:tc>
          <w:tcPr>
            <w:tcW w:w="973" w:type="dxa"/>
            <w:tcBorders>
              <w:top w:val="nil"/>
              <w:left w:val="nil"/>
              <w:bottom w:val="nil"/>
              <w:right w:val="nil"/>
            </w:tcBorders>
            <w:shd w:val="clear" w:color="auto" w:fill="auto"/>
            <w:noWrap/>
          </w:tcPr>
          <w:p w14:paraId="3974B559" w14:textId="77777777" w:rsidR="00751FF8" w:rsidRPr="00A61D53" w:rsidRDefault="00751FF8" w:rsidP="00C04CAB">
            <w:pPr>
              <w:spacing w:before="40" w:after="40" w:line="200" w:lineRule="exact"/>
              <w:jc w:val="right"/>
              <w:rPr>
                <w:color w:val="000000"/>
                <w:sz w:val="18"/>
                <w:szCs w:val="18"/>
              </w:rPr>
            </w:pPr>
            <w:r>
              <w:rPr>
                <w:color w:val="000000"/>
                <w:sz w:val="18"/>
                <w:szCs w:val="18"/>
              </w:rPr>
              <w:t>–</w:t>
            </w:r>
          </w:p>
        </w:tc>
        <w:tc>
          <w:tcPr>
            <w:tcW w:w="859" w:type="dxa"/>
            <w:tcBorders>
              <w:top w:val="nil"/>
              <w:left w:val="nil"/>
              <w:bottom w:val="nil"/>
              <w:right w:val="nil"/>
            </w:tcBorders>
            <w:shd w:val="clear" w:color="auto" w:fill="auto"/>
            <w:noWrap/>
          </w:tcPr>
          <w:p w14:paraId="4D5DD765" w14:textId="77777777" w:rsidR="00751FF8" w:rsidRPr="00A61D53" w:rsidRDefault="00751FF8" w:rsidP="00C04CAB">
            <w:pPr>
              <w:spacing w:before="40" w:after="40" w:line="200" w:lineRule="exact"/>
              <w:jc w:val="right"/>
              <w:rPr>
                <w:color w:val="000000"/>
                <w:sz w:val="18"/>
                <w:szCs w:val="18"/>
              </w:rPr>
            </w:pPr>
            <w:r>
              <w:rPr>
                <w:color w:val="000000"/>
                <w:sz w:val="18"/>
                <w:szCs w:val="18"/>
              </w:rPr>
              <w:t>–</w:t>
            </w:r>
          </w:p>
        </w:tc>
      </w:tr>
      <w:tr w:rsidR="00751FF8" w:rsidRPr="00A61D53" w14:paraId="4913C6A5" w14:textId="77777777" w:rsidTr="00FD7572">
        <w:trPr>
          <w:trHeight w:val="33"/>
        </w:trPr>
        <w:tc>
          <w:tcPr>
            <w:tcW w:w="837" w:type="dxa"/>
            <w:tcBorders>
              <w:top w:val="nil"/>
              <w:left w:val="nil"/>
              <w:bottom w:val="nil"/>
              <w:right w:val="nil"/>
            </w:tcBorders>
            <w:shd w:val="clear" w:color="auto" w:fill="auto"/>
            <w:noWrap/>
          </w:tcPr>
          <w:p w14:paraId="0CDA1A09" w14:textId="77777777" w:rsidR="00751FF8" w:rsidRPr="00A61D53" w:rsidRDefault="00751FF8" w:rsidP="00C04CAB">
            <w:pPr>
              <w:spacing w:before="40" w:after="40" w:line="200" w:lineRule="exact"/>
              <w:rPr>
                <w:rFonts w:eastAsia="Times New Roman"/>
                <w:b/>
                <w:color w:val="000000"/>
                <w:sz w:val="18"/>
                <w:szCs w:val="18"/>
                <w:lang w:eastAsia="de-DE"/>
              </w:rPr>
            </w:pPr>
            <w:r w:rsidRPr="00A61D53">
              <w:rPr>
                <w:color w:val="000000"/>
                <w:sz w:val="18"/>
                <w:szCs w:val="18"/>
              </w:rPr>
              <w:t>300</w:t>
            </w:r>
            <w:r>
              <w:rPr>
                <w:color w:val="000000"/>
                <w:sz w:val="18"/>
                <w:szCs w:val="18"/>
              </w:rPr>
              <w:t>-</w:t>
            </w:r>
            <w:r w:rsidRPr="00A61D53">
              <w:rPr>
                <w:color w:val="000000"/>
                <w:sz w:val="18"/>
                <w:szCs w:val="18"/>
              </w:rPr>
              <w:t>012</w:t>
            </w:r>
          </w:p>
        </w:tc>
        <w:tc>
          <w:tcPr>
            <w:tcW w:w="1528" w:type="dxa"/>
            <w:tcBorders>
              <w:top w:val="nil"/>
              <w:left w:val="nil"/>
              <w:bottom w:val="nil"/>
              <w:right w:val="nil"/>
            </w:tcBorders>
            <w:shd w:val="clear" w:color="auto" w:fill="auto"/>
          </w:tcPr>
          <w:p w14:paraId="26258BB6" w14:textId="77777777" w:rsidR="00751FF8" w:rsidRPr="00A61D53" w:rsidRDefault="00751FF8" w:rsidP="00C04CAB">
            <w:pPr>
              <w:spacing w:before="40" w:after="40" w:line="200" w:lineRule="exact"/>
              <w:rPr>
                <w:rFonts w:eastAsia="Times New Roman"/>
                <w:b/>
                <w:color w:val="000000"/>
                <w:sz w:val="18"/>
                <w:szCs w:val="18"/>
                <w:lang w:eastAsia="de-DE"/>
              </w:rPr>
            </w:pPr>
            <w:r w:rsidRPr="00A61D53">
              <w:rPr>
                <w:color w:val="000000"/>
                <w:sz w:val="18"/>
                <w:szCs w:val="18"/>
              </w:rPr>
              <w:t>Operations Coordination</w:t>
            </w:r>
          </w:p>
        </w:tc>
        <w:tc>
          <w:tcPr>
            <w:tcW w:w="4330" w:type="dxa"/>
            <w:tcBorders>
              <w:top w:val="nil"/>
              <w:left w:val="nil"/>
              <w:bottom w:val="nil"/>
              <w:right w:val="nil"/>
            </w:tcBorders>
            <w:shd w:val="clear" w:color="auto" w:fill="auto"/>
          </w:tcPr>
          <w:p w14:paraId="096D80B0" w14:textId="77777777" w:rsidR="00751FF8" w:rsidRPr="00A61D53" w:rsidRDefault="00751FF8" w:rsidP="00C04CAB">
            <w:pPr>
              <w:spacing w:before="40" w:after="40" w:line="200" w:lineRule="exact"/>
              <w:rPr>
                <w:rFonts w:eastAsia="Times New Roman"/>
                <w:b/>
                <w:color w:val="000000"/>
                <w:sz w:val="18"/>
                <w:szCs w:val="18"/>
                <w:lang w:eastAsia="de-DE"/>
              </w:rPr>
            </w:pPr>
            <w:r w:rsidRPr="00A61D53">
              <w:rPr>
                <w:color w:val="000000"/>
                <w:sz w:val="18"/>
                <w:szCs w:val="18"/>
              </w:rPr>
              <w:t>Development and maintenance of the Digital Platform for Climate Change Events</w:t>
            </w:r>
          </w:p>
        </w:tc>
        <w:tc>
          <w:tcPr>
            <w:tcW w:w="1112" w:type="dxa"/>
            <w:tcBorders>
              <w:top w:val="nil"/>
              <w:left w:val="nil"/>
              <w:bottom w:val="nil"/>
              <w:right w:val="nil"/>
            </w:tcBorders>
            <w:shd w:val="clear" w:color="auto" w:fill="auto"/>
            <w:noWrap/>
          </w:tcPr>
          <w:p w14:paraId="48EEA2EC" w14:textId="77777777" w:rsidR="00751FF8" w:rsidRPr="00A61D53" w:rsidRDefault="00751FF8" w:rsidP="00C04CAB">
            <w:pPr>
              <w:spacing w:before="40" w:after="40" w:line="200" w:lineRule="exact"/>
              <w:jc w:val="right"/>
              <w:rPr>
                <w:rFonts w:eastAsia="Times New Roman"/>
                <w:b/>
                <w:color w:val="000000"/>
                <w:sz w:val="18"/>
                <w:szCs w:val="18"/>
                <w:lang w:eastAsia="de-DE"/>
              </w:rPr>
            </w:pPr>
            <w:r>
              <w:rPr>
                <w:color w:val="000000"/>
                <w:sz w:val="18"/>
                <w:szCs w:val="18"/>
              </w:rPr>
              <w:t>3 011 920</w:t>
            </w:r>
          </w:p>
        </w:tc>
        <w:tc>
          <w:tcPr>
            <w:tcW w:w="973" w:type="dxa"/>
            <w:tcBorders>
              <w:top w:val="nil"/>
              <w:left w:val="nil"/>
              <w:bottom w:val="nil"/>
              <w:right w:val="nil"/>
            </w:tcBorders>
            <w:shd w:val="clear" w:color="auto" w:fill="auto"/>
            <w:noWrap/>
          </w:tcPr>
          <w:p w14:paraId="05ED206A" w14:textId="77777777" w:rsidR="00751FF8" w:rsidRPr="00A61D53" w:rsidRDefault="00751FF8" w:rsidP="00C04CAB">
            <w:pPr>
              <w:spacing w:before="40" w:after="40" w:line="200" w:lineRule="exact"/>
              <w:jc w:val="right"/>
              <w:rPr>
                <w:b/>
                <w:color w:val="000000"/>
                <w:sz w:val="18"/>
                <w:szCs w:val="18"/>
              </w:rPr>
            </w:pPr>
            <w:r>
              <w:rPr>
                <w:color w:val="000000"/>
                <w:sz w:val="18"/>
                <w:szCs w:val="18"/>
              </w:rPr>
              <w:t>1.0</w:t>
            </w:r>
          </w:p>
        </w:tc>
        <w:tc>
          <w:tcPr>
            <w:tcW w:w="859" w:type="dxa"/>
            <w:tcBorders>
              <w:top w:val="nil"/>
              <w:left w:val="nil"/>
              <w:bottom w:val="nil"/>
              <w:right w:val="nil"/>
            </w:tcBorders>
            <w:shd w:val="clear" w:color="auto" w:fill="auto"/>
            <w:noWrap/>
          </w:tcPr>
          <w:p w14:paraId="75012C77" w14:textId="77777777" w:rsidR="00751FF8" w:rsidRPr="00A61D53" w:rsidRDefault="00751FF8" w:rsidP="00C04CAB">
            <w:pPr>
              <w:spacing w:before="40" w:after="40" w:line="200" w:lineRule="exact"/>
              <w:jc w:val="right"/>
              <w:rPr>
                <w:b/>
                <w:color w:val="000000"/>
                <w:sz w:val="18"/>
                <w:szCs w:val="18"/>
              </w:rPr>
            </w:pPr>
            <w:r>
              <w:rPr>
                <w:color w:val="000000"/>
                <w:sz w:val="18"/>
                <w:szCs w:val="18"/>
              </w:rPr>
              <w:t>–</w:t>
            </w:r>
          </w:p>
        </w:tc>
      </w:tr>
      <w:tr w:rsidR="00751FF8" w:rsidRPr="00A61D53" w14:paraId="36F517BD" w14:textId="77777777" w:rsidTr="00FD7572">
        <w:trPr>
          <w:trHeight w:val="33"/>
        </w:trPr>
        <w:tc>
          <w:tcPr>
            <w:tcW w:w="837" w:type="dxa"/>
            <w:tcBorders>
              <w:top w:val="nil"/>
              <w:left w:val="nil"/>
              <w:bottom w:val="nil"/>
              <w:right w:val="nil"/>
            </w:tcBorders>
            <w:shd w:val="clear" w:color="auto" w:fill="auto"/>
            <w:noWrap/>
          </w:tcPr>
          <w:p w14:paraId="16B873B2"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b/>
                <w:color w:val="000000"/>
                <w:sz w:val="18"/>
                <w:szCs w:val="18"/>
              </w:rPr>
              <w:t>400</w:t>
            </w:r>
          </w:p>
        </w:tc>
        <w:tc>
          <w:tcPr>
            <w:tcW w:w="1528" w:type="dxa"/>
            <w:tcBorders>
              <w:top w:val="nil"/>
              <w:left w:val="nil"/>
              <w:bottom w:val="nil"/>
              <w:right w:val="nil"/>
            </w:tcBorders>
            <w:shd w:val="clear" w:color="auto" w:fill="auto"/>
            <w:vAlign w:val="bottom"/>
          </w:tcPr>
          <w:p w14:paraId="3D3B3FA4"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rFonts w:ascii="Calibri" w:hAnsi="Calibri" w:cs="Calibri"/>
                <w:b/>
                <w:color w:val="000000"/>
              </w:rPr>
              <w:t> </w:t>
            </w:r>
          </w:p>
        </w:tc>
        <w:tc>
          <w:tcPr>
            <w:tcW w:w="4330" w:type="dxa"/>
            <w:tcBorders>
              <w:top w:val="nil"/>
              <w:left w:val="nil"/>
              <w:bottom w:val="nil"/>
              <w:right w:val="nil"/>
            </w:tcBorders>
            <w:shd w:val="clear" w:color="auto" w:fill="auto"/>
            <w:vAlign w:val="bottom"/>
          </w:tcPr>
          <w:p w14:paraId="25055776"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b/>
                <w:bCs/>
                <w:color w:val="000000"/>
                <w:sz w:val="18"/>
                <w:szCs w:val="18"/>
              </w:rPr>
              <w:t>Enhanced engagement</w:t>
            </w:r>
          </w:p>
        </w:tc>
        <w:tc>
          <w:tcPr>
            <w:tcW w:w="1112" w:type="dxa"/>
            <w:tcBorders>
              <w:top w:val="nil"/>
              <w:left w:val="nil"/>
              <w:bottom w:val="nil"/>
              <w:right w:val="nil"/>
            </w:tcBorders>
            <w:shd w:val="clear" w:color="auto" w:fill="auto"/>
            <w:noWrap/>
          </w:tcPr>
          <w:p w14:paraId="58F91E63" w14:textId="77777777" w:rsidR="00751FF8" w:rsidRPr="00A61D53" w:rsidRDefault="00751FF8" w:rsidP="00C04CAB">
            <w:pPr>
              <w:spacing w:before="40" w:after="40" w:line="200" w:lineRule="exact"/>
              <w:jc w:val="right"/>
              <w:rPr>
                <w:rFonts w:eastAsia="Times New Roman"/>
                <w:color w:val="000000"/>
                <w:sz w:val="18"/>
                <w:szCs w:val="18"/>
                <w:lang w:eastAsia="de-DE"/>
              </w:rPr>
            </w:pPr>
            <w:r>
              <w:rPr>
                <w:b/>
                <w:bCs/>
                <w:color w:val="000000"/>
                <w:sz w:val="18"/>
                <w:szCs w:val="18"/>
              </w:rPr>
              <w:t>5 893 760</w:t>
            </w:r>
          </w:p>
        </w:tc>
        <w:tc>
          <w:tcPr>
            <w:tcW w:w="973" w:type="dxa"/>
            <w:tcBorders>
              <w:top w:val="nil"/>
              <w:left w:val="nil"/>
              <w:bottom w:val="nil"/>
              <w:right w:val="nil"/>
            </w:tcBorders>
            <w:shd w:val="clear" w:color="auto" w:fill="auto"/>
            <w:noWrap/>
          </w:tcPr>
          <w:p w14:paraId="680F919B" w14:textId="77777777" w:rsidR="00751FF8" w:rsidRPr="00A61D53" w:rsidRDefault="00751FF8" w:rsidP="00C04CAB">
            <w:pPr>
              <w:spacing w:before="40" w:after="40" w:line="200" w:lineRule="exact"/>
              <w:jc w:val="right"/>
              <w:rPr>
                <w:color w:val="000000"/>
                <w:sz w:val="18"/>
                <w:szCs w:val="18"/>
              </w:rPr>
            </w:pPr>
            <w:r>
              <w:rPr>
                <w:b/>
                <w:bCs/>
                <w:color w:val="000000"/>
                <w:sz w:val="18"/>
                <w:szCs w:val="18"/>
              </w:rPr>
              <w:t>8.0</w:t>
            </w:r>
          </w:p>
        </w:tc>
        <w:tc>
          <w:tcPr>
            <w:tcW w:w="859" w:type="dxa"/>
            <w:tcBorders>
              <w:top w:val="nil"/>
              <w:left w:val="nil"/>
              <w:bottom w:val="nil"/>
              <w:right w:val="nil"/>
            </w:tcBorders>
            <w:shd w:val="clear" w:color="auto" w:fill="auto"/>
            <w:noWrap/>
          </w:tcPr>
          <w:p w14:paraId="3851D8C0" w14:textId="77777777" w:rsidR="00751FF8" w:rsidRPr="00A61D53" w:rsidRDefault="00751FF8" w:rsidP="00C04CAB">
            <w:pPr>
              <w:spacing w:before="40" w:after="40" w:line="200" w:lineRule="exact"/>
              <w:jc w:val="right"/>
              <w:rPr>
                <w:color w:val="000000"/>
                <w:sz w:val="18"/>
                <w:szCs w:val="18"/>
              </w:rPr>
            </w:pPr>
            <w:r>
              <w:rPr>
                <w:b/>
                <w:bCs/>
                <w:color w:val="000000"/>
                <w:sz w:val="18"/>
                <w:szCs w:val="18"/>
              </w:rPr>
              <w:t>2.0</w:t>
            </w:r>
          </w:p>
        </w:tc>
      </w:tr>
      <w:tr w:rsidR="00751FF8" w:rsidRPr="00A61D53" w14:paraId="721FBAC9" w14:textId="77777777" w:rsidTr="00FD7572">
        <w:trPr>
          <w:trHeight w:val="33"/>
        </w:trPr>
        <w:tc>
          <w:tcPr>
            <w:tcW w:w="837" w:type="dxa"/>
            <w:tcBorders>
              <w:top w:val="nil"/>
              <w:left w:val="nil"/>
              <w:bottom w:val="nil"/>
              <w:right w:val="nil"/>
            </w:tcBorders>
            <w:shd w:val="clear" w:color="auto" w:fill="auto"/>
            <w:noWrap/>
          </w:tcPr>
          <w:p w14:paraId="739C8D44" w14:textId="77777777" w:rsidR="00751FF8" w:rsidRPr="00A61D53" w:rsidRDefault="00751FF8" w:rsidP="00C04CAB">
            <w:pPr>
              <w:spacing w:before="40" w:after="40" w:line="200" w:lineRule="exact"/>
              <w:rPr>
                <w:color w:val="000000"/>
                <w:sz w:val="18"/>
                <w:szCs w:val="18"/>
              </w:rPr>
            </w:pPr>
            <w:r>
              <w:rPr>
                <w:color w:val="000000"/>
                <w:sz w:val="18"/>
                <w:szCs w:val="18"/>
              </w:rPr>
              <w:t>400-001</w:t>
            </w:r>
          </w:p>
        </w:tc>
        <w:tc>
          <w:tcPr>
            <w:tcW w:w="1528" w:type="dxa"/>
            <w:tcBorders>
              <w:top w:val="nil"/>
              <w:left w:val="nil"/>
              <w:bottom w:val="nil"/>
              <w:right w:val="nil"/>
            </w:tcBorders>
            <w:shd w:val="clear" w:color="auto" w:fill="auto"/>
          </w:tcPr>
          <w:p w14:paraId="57E46136" w14:textId="702F330C" w:rsidR="00751FF8" w:rsidRPr="00A61D53" w:rsidRDefault="00751FF8" w:rsidP="00C04CAB">
            <w:pPr>
              <w:spacing w:before="40" w:after="40" w:line="200" w:lineRule="exact"/>
              <w:rPr>
                <w:color w:val="000000"/>
                <w:sz w:val="18"/>
                <w:szCs w:val="18"/>
              </w:rPr>
            </w:pPr>
            <w:r>
              <w:rPr>
                <w:color w:val="000000"/>
                <w:sz w:val="18"/>
                <w:szCs w:val="18"/>
              </w:rPr>
              <w:t xml:space="preserve">Adaptation </w:t>
            </w:r>
          </w:p>
        </w:tc>
        <w:tc>
          <w:tcPr>
            <w:tcW w:w="4330" w:type="dxa"/>
            <w:tcBorders>
              <w:top w:val="nil"/>
              <w:left w:val="nil"/>
              <w:bottom w:val="nil"/>
              <w:right w:val="nil"/>
            </w:tcBorders>
            <w:shd w:val="clear" w:color="auto" w:fill="auto"/>
          </w:tcPr>
          <w:p w14:paraId="6F724A07" w14:textId="77777777" w:rsidR="00751FF8" w:rsidRPr="00A61D53" w:rsidRDefault="00751FF8" w:rsidP="00C04CAB">
            <w:pPr>
              <w:spacing w:before="40" w:after="40" w:line="200" w:lineRule="exact"/>
              <w:rPr>
                <w:color w:val="000000"/>
                <w:sz w:val="18"/>
                <w:szCs w:val="18"/>
              </w:rPr>
            </w:pPr>
            <w:r>
              <w:rPr>
                <w:color w:val="000000"/>
                <w:sz w:val="18"/>
                <w:szCs w:val="18"/>
              </w:rPr>
              <w:t>Enhanced engagement with respect to climate change impacts, vulnerability and adaptation</w:t>
            </w:r>
          </w:p>
        </w:tc>
        <w:tc>
          <w:tcPr>
            <w:tcW w:w="1112" w:type="dxa"/>
            <w:tcBorders>
              <w:top w:val="nil"/>
              <w:left w:val="nil"/>
              <w:bottom w:val="nil"/>
              <w:right w:val="nil"/>
            </w:tcBorders>
            <w:shd w:val="clear" w:color="auto" w:fill="auto"/>
            <w:noWrap/>
          </w:tcPr>
          <w:p w14:paraId="0E8EE096"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 xml:space="preserve"> 328 249</w:t>
            </w:r>
          </w:p>
        </w:tc>
        <w:tc>
          <w:tcPr>
            <w:tcW w:w="973" w:type="dxa"/>
            <w:tcBorders>
              <w:top w:val="nil"/>
              <w:left w:val="nil"/>
              <w:bottom w:val="nil"/>
              <w:right w:val="nil"/>
            </w:tcBorders>
            <w:shd w:val="clear" w:color="auto" w:fill="auto"/>
            <w:noWrap/>
          </w:tcPr>
          <w:p w14:paraId="1A4A9FA7" w14:textId="77777777" w:rsidR="00751FF8" w:rsidRPr="00A61D53" w:rsidRDefault="00751FF8" w:rsidP="00C04CAB">
            <w:pPr>
              <w:spacing w:before="40" w:after="40" w:line="200" w:lineRule="exact"/>
              <w:jc w:val="right"/>
              <w:rPr>
                <w:color w:val="000000"/>
                <w:sz w:val="18"/>
                <w:szCs w:val="18"/>
              </w:rPr>
            </w:pPr>
            <w:r>
              <w:rPr>
                <w:color w:val="000000"/>
                <w:sz w:val="18"/>
                <w:szCs w:val="18"/>
              </w:rPr>
              <w:t>1.0</w:t>
            </w:r>
          </w:p>
        </w:tc>
        <w:tc>
          <w:tcPr>
            <w:tcW w:w="859" w:type="dxa"/>
            <w:tcBorders>
              <w:top w:val="nil"/>
              <w:left w:val="nil"/>
              <w:bottom w:val="nil"/>
              <w:right w:val="nil"/>
            </w:tcBorders>
            <w:shd w:val="clear" w:color="auto" w:fill="auto"/>
            <w:noWrap/>
          </w:tcPr>
          <w:p w14:paraId="3BDB963F" w14:textId="77777777" w:rsidR="00751FF8" w:rsidRPr="00A61D53" w:rsidRDefault="00751FF8" w:rsidP="00C04CAB">
            <w:pPr>
              <w:spacing w:before="40" w:after="40" w:line="200" w:lineRule="exact"/>
              <w:jc w:val="right"/>
              <w:rPr>
                <w:color w:val="000000"/>
                <w:sz w:val="18"/>
                <w:szCs w:val="18"/>
              </w:rPr>
            </w:pPr>
            <w:r>
              <w:rPr>
                <w:color w:val="000000"/>
                <w:sz w:val="18"/>
                <w:szCs w:val="18"/>
              </w:rPr>
              <w:t>–</w:t>
            </w:r>
          </w:p>
        </w:tc>
      </w:tr>
      <w:tr w:rsidR="00751FF8" w:rsidRPr="00A61D53" w14:paraId="231966F8" w14:textId="77777777" w:rsidTr="00FD7572">
        <w:trPr>
          <w:trHeight w:val="33"/>
        </w:trPr>
        <w:tc>
          <w:tcPr>
            <w:tcW w:w="837" w:type="dxa"/>
            <w:tcBorders>
              <w:top w:val="nil"/>
              <w:left w:val="nil"/>
              <w:bottom w:val="nil"/>
              <w:right w:val="nil"/>
            </w:tcBorders>
            <w:shd w:val="clear" w:color="auto" w:fill="auto"/>
            <w:noWrap/>
          </w:tcPr>
          <w:p w14:paraId="464DB14C"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400</w:t>
            </w:r>
            <w:r>
              <w:rPr>
                <w:color w:val="000000"/>
                <w:sz w:val="18"/>
                <w:szCs w:val="18"/>
              </w:rPr>
              <w:t>-</w:t>
            </w:r>
            <w:r w:rsidRPr="00A61D53">
              <w:rPr>
                <w:color w:val="000000"/>
                <w:sz w:val="18"/>
                <w:szCs w:val="18"/>
              </w:rPr>
              <w:t>004</w:t>
            </w:r>
          </w:p>
        </w:tc>
        <w:tc>
          <w:tcPr>
            <w:tcW w:w="1528" w:type="dxa"/>
            <w:tcBorders>
              <w:top w:val="nil"/>
              <w:left w:val="nil"/>
              <w:bottom w:val="nil"/>
              <w:right w:val="nil"/>
            </w:tcBorders>
            <w:shd w:val="clear" w:color="auto" w:fill="auto"/>
          </w:tcPr>
          <w:p w14:paraId="2D978940"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Transparency</w:t>
            </w:r>
          </w:p>
        </w:tc>
        <w:tc>
          <w:tcPr>
            <w:tcW w:w="4330" w:type="dxa"/>
            <w:tcBorders>
              <w:top w:val="nil"/>
              <w:left w:val="nil"/>
              <w:bottom w:val="nil"/>
              <w:right w:val="nil"/>
            </w:tcBorders>
            <w:shd w:val="clear" w:color="auto" w:fill="auto"/>
            <w:vAlign w:val="bottom"/>
          </w:tcPr>
          <w:p w14:paraId="29793185"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Additional support and enhanced engagement for the development and implementation of the enhanced transparency framework</w:t>
            </w:r>
          </w:p>
        </w:tc>
        <w:tc>
          <w:tcPr>
            <w:tcW w:w="1112" w:type="dxa"/>
            <w:tcBorders>
              <w:top w:val="nil"/>
              <w:left w:val="nil"/>
              <w:bottom w:val="nil"/>
              <w:right w:val="nil"/>
            </w:tcBorders>
            <w:shd w:val="clear" w:color="auto" w:fill="auto"/>
            <w:noWrap/>
          </w:tcPr>
          <w:p w14:paraId="296D89EB"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3 872 093</w:t>
            </w:r>
          </w:p>
        </w:tc>
        <w:tc>
          <w:tcPr>
            <w:tcW w:w="973" w:type="dxa"/>
            <w:tcBorders>
              <w:top w:val="nil"/>
              <w:left w:val="nil"/>
              <w:bottom w:val="nil"/>
              <w:right w:val="nil"/>
            </w:tcBorders>
            <w:shd w:val="clear" w:color="auto" w:fill="auto"/>
            <w:noWrap/>
          </w:tcPr>
          <w:p w14:paraId="6A50C49A" w14:textId="77777777" w:rsidR="00751FF8" w:rsidRPr="00A61D53" w:rsidRDefault="00751FF8" w:rsidP="00C04CAB">
            <w:pPr>
              <w:spacing w:before="40" w:after="40" w:line="200" w:lineRule="exact"/>
              <w:jc w:val="right"/>
              <w:rPr>
                <w:color w:val="000000"/>
                <w:sz w:val="18"/>
                <w:szCs w:val="18"/>
              </w:rPr>
            </w:pPr>
            <w:r>
              <w:rPr>
                <w:color w:val="000000"/>
                <w:sz w:val="18"/>
                <w:szCs w:val="18"/>
              </w:rPr>
              <w:t>3.0</w:t>
            </w:r>
          </w:p>
        </w:tc>
        <w:tc>
          <w:tcPr>
            <w:tcW w:w="859" w:type="dxa"/>
            <w:tcBorders>
              <w:top w:val="nil"/>
              <w:left w:val="nil"/>
              <w:bottom w:val="nil"/>
              <w:right w:val="nil"/>
            </w:tcBorders>
            <w:shd w:val="clear" w:color="auto" w:fill="auto"/>
            <w:noWrap/>
          </w:tcPr>
          <w:p w14:paraId="379325AE" w14:textId="77777777" w:rsidR="00751FF8" w:rsidRPr="00A61D53" w:rsidRDefault="00751FF8" w:rsidP="00C04CAB">
            <w:pPr>
              <w:spacing w:before="40" w:after="40" w:line="200" w:lineRule="exact"/>
              <w:jc w:val="right"/>
              <w:rPr>
                <w:color w:val="000000"/>
                <w:sz w:val="18"/>
                <w:szCs w:val="18"/>
              </w:rPr>
            </w:pPr>
            <w:r>
              <w:rPr>
                <w:color w:val="000000"/>
                <w:sz w:val="18"/>
                <w:szCs w:val="18"/>
              </w:rPr>
              <w:t>2.0</w:t>
            </w:r>
          </w:p>
        </w:tc>
      </w:tr>
      <w:tr w:rsidR="00751FF8" w:rsidRPr="00A61D53" w14:paraId="10FB788C" w14:textId="77777777" w:rsidTr="00FD7572">
        <w:trPr>
          <w:trHeight w:val="33"/>
        </w:trPr>
        <w:tc>
          <w:tcPr>
            <w:tcW w:w="837" w:type="dxa"/>
            <w:tcBorders>
              <w:top w:val="nil"/>
              <w:left w:val="nil"/>
              <w:bottom w:val="nil"/>
              <w:right w:val="nil"/>
            </w:tcBorders>
            <w:shd w:val="clear" w:color="auto" w:fill="auto"/>
            <w:noWrap/>
          </w:tcPr>
          <w:p w14:paraId="208FFB02"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400</w:t>
            </w:r>
            <w:r>
              <w:rPr>
                <w:color w:val="000000"/>
                <w:sz w:val="18"/>
                <w:szCs w:val="18"/>
              </w:rPr>
              <w:t>-</w:t>
            </w:r>
            <w:r w:rsidRPr="00A61D53">
              <w:rPr>
                <w:color w:val="000000"/>
                <w:sz w:val="18"/>
                <w:szCs w:val="18"/>
              </w:rPr>
              <w:t>006</w:t>
            </w:r>
          </w:p>
        </w:tc>
        <w:tc>
          <w:tcPr>
            <w:tcW w:w="1528" w:type="dxa"/>
            <w:tcBorders>
              <w:top w:val="nil"/>
              <w:left w:val="nil"/>
              <w:bottom w:val="nil"/>
              <w:right w:val="nil"/>
            </w:tcBorders>
            <w:shd w:val="clear" w:color="auto" w:fill="auto"/>
          </w:tcPr>
          <w:p w14:paraId="4E9D3712"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Communications and Engagement</w:t>
            </w:r>
          </w:p>
        </w:tc>
        <w:tc>
          <w:tcPr>
            <w:tcW w:w="4330" w:type="dxa"/>
            <w:tcBorders>
              <w:top w:val="nil"/>
              <w:left w:val="nil"/>
              <w:bottom w:val="nil"/>
              <w:right w:val="nil"/>
            </w:tcBorders>
            <w:shd w:val="clear" w:color="auto" w:fill="auto"/>
          </w:tcPr>
          <w:p w14:paraId="005681FD"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Comprehensive support for communications campaigns for promoting achievements in the UNFCCC process and multilingual content for the UNFCCC website, mobile application and social media</w:t>
            </w:r>
          </w:p>
        </w:tc>
        <w:tc>
          <w:tcPr>
            <w:tcW w:w="1112" w:type="dxa"/>
            <w:tcBorders>
              <w:top w:val="nil"/>
              <w:left w:val="nil"/>
              <w:bottom w:val="nil"/>
              <w:right w:val="nil"/>
            </w:tcBorders>
            <w:shd w:val="clear" w:color="auto" w:fill="auto"/>
            <w:noWrap/>
          </w:tcPr>
          <w:p w14:paraId="11C56F3A"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1 693 418</w:t>
            </w:r>
          </w:p>
        </w:tc>
        <w:tc>
          <w:tcPr>
            <w:tcW w:w="973" w:type="dxa"/>
            <w:tcBorders>
              <w:top w:val="nil"/>
              <w:left w:val="nil"/>
              <w:bottom w:val="nil"/>
              <w:right w:val="nil"/>
            </w:tcBorders>
            <w:shd w:val="clear" w:color="auto" w:fill="auto"/>
            <w:noWrap/>
          </w:tcPr>
          <w:p w14:paraId="5E48ACE8" w14:textId="77777777" w:rsidR="00751FF8" w:rsidRPr="00A61D53" w:rsidRDefault="00751FF8" w:rsidP="00C04CAB">
            <w:pPr>
              <w:spacing w:before="40" w:after="40" w:line="200" w:lineRule="exact"/>
              <w:jc w:val="right"/>
              <w:rPr>
                <w:color w:val="000000"/>
                <w:sz w:val="18"/>
                <w:szCs w:val="18"/>
              </w:rPr>
            </w:pPr>
            <w:r>
              <w:rPr>
                <w:color w:val="000000"/>
                <w:sz w:val="18"/>
                <w:szCs w:val="18"/>
              </w:rPr>
              <w:t>4.0</w:t>
            </w:r>
          </w:p>
        </w:tc>
        <w:tc>
          <w:tcPr>
            <w:tcW w:w="859" w:type="dxa"/>
            <w:tcBorders>
              <w:top w:val="nil"/>
              <w:left w:val="nil"/>
              <w:bottom w:val="nil"/>
              <w:right w:val="nil"/>
            </w:tcBorders>
            <w:shd w:val="clear" w:color="auto" w:fill="auto"/>
            <w:noWrap/>
          </w:tcPr>
          <w:p w14:paraId="251E2844" w14:textId="77777777" w:rsidR="00751FF8" w:rsidRPr="00A61D53" w:rsidRDefault="00751FF8" w:rsidP="00C04CAB">
            <w:pPr>
              <w:spacing w:before="40" w:after="40" w:line="200" w:lineRule="exact"/>
              <w:jc w:val="right"/>
              <w:rPr>
                <w:color w:val="000000"/>
                <w:sz w:val="18"/>
                <w:szCs w:val="18"/>
              </w:rPr>
            </w:pPr>
            <w:r>
              <w:rPr>
                <w:color w:val="000000"/>
                <w:sz w:val="18"/>
                <w:szCs w:val="18"/>
              </w:rPr>
              <w:t>–</w:t>
            </w:r>
          </w:p>
        </w:tc>
      </w:tr>
      <w:tr w:rsidR="00751FF8" w:rsidRPr="00A61D53" w14:paraId="2E5903B2" w14:textId="77777777" w:rsidTr="00FD7572">
        <w:trPr>
          <w:trHeight w:val="33"/>
        </w:trPr>
        <w:tc>
          <w:tcPr>
            <w:tcW w:w="837" w:type="dxa"/>
            <w:tcBorders>
              <w:top w:val="nil"/>
              <w:left w:val="nil"/>
              <w:bottom w:val="nil"/>
              <w:right w:val="nil"/>
            </w:tcBorders>
            <w:shd w:val="clear" w:color="auto" w:fill="auto"/>
            <w:noWrap/>
          </w:tcPr>
          <w:p w14:paraId="1A4C3D0C"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b/>
                <w:bCs/>
                <w:color w:val="000000"/>
                <w:sz w:val="18"/>
                <w:szCs w:val="18"/>
              </w:rPr>
              <w:t>500</w:t>
            </w:r>
          </w:p>
        </w:tc>
        <w:tc>
          <w:tcPr>
            <w:tcW w:w="1528" w:type="dxa"/>
            <w:tcBorders>
              <w:top w:val="nil"/>
              <w:left w:val="nil"/>
              <w:bottom w:val="nil"/>
              <w:right w:val="nil"/>
            </w:tcBorders>
            <w:shd w:val="clear" w:color="auto" w:fill="auto"/>
            <w:vAlign w:val="bottom"/>
          </w:tcPr>
          <w:p w14:paraId="79CEB2F2"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rFonts w:ascii="Calibri" w:hAnsi="Calibri" w:cs="Calibri"/>
                <w:b/>
                <w:color w:val="000000"/>
              </w:rPr>
              <w:t> </w:t>
            </w:r>
          </w:p>
        </w:tc>
        <w:tc>
          <w:tcPr>
            <w:tcW w:w="4330" w:type="dxa"/>
            <w:tcBorders>
              <w:top w:val="nil"/>
              <w:left w:val="nil"/>
              <w:bottom w:val="nil"/>
              <w:right w:val="nil"/>
            </w:tcBorders>
            <w:shd w:val="clear" w:color="auto" w:fill="auto"/>
            <w:vAlign w:val="bottom"/>
          </w:tcPr>
          <w:p w14:paraId="09B3F9F5"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b/>
                <w:bCs/>
                <w:color w:val="000000"/>
                <w:sz w:val="18"/>
                <w:szCs w:val="18"/>
              </w:rPr>
              <w:t>Oversight and management</w:t>
            </w:r>
          </w:p>
        </w:tc>
        <w:tc>
          <w:tcPr>
            <w:tcW w:w="1112" w:type="dxa"/>
            <w:tcBorders>
              <w:top w:val="nil"/>
              <w:left w:val="nil"/>
              <w:bottom w:val="nil"/>
              <w:right w:val="nil"/>
            </w:tcBorders>
            <w:shd w:val="clear" w:color="auto" w:fill="auto"/>
            <w:noWrap/>
          </w:tcPr>
          <w:p w14:paraId="5888F236" w14:textId="77777777" w:rsidR="00751FF8" w:rsidRPr="00A61D53" w:rsidRDefault="00751FF8" w:rsidP="00C04CAB">
            <w:pPr>
              <w:spacing w:before="40" w:after="40" w:line="200" w:lineRule="exact"/>
              <w:jc w:val="right"/>
              <w:rPr>
                <w:rFonts w:eastAsia="Times New Roman"/>
                <w:color w:val="000000"/>
                <w:sz w:val="18"/>
                <w:szCs w:val="18"/>
                <w:lang w:eastAsia="de-DE"/>
              </w:rPr>
            </w:pPr>
            <w:r>
              <w:rPr>
                <w:b/>
                <w:bCs/>
                <w:color w:val="000000"/>
                <w:sz w:val="18"/>
                <w:szCs w:val="18"/>
              </w:rPr>
              <w:t>3 720 998</w:t>
            </w:r>
          </w:p>
        </w:tc>
        <w:tc>
          <w:tcPr>
            <w:tcW w:w="973" w:type="dxa"/>
            <w:tcBorders>
              <w:top w:val="nil"/>
              <w:left w:val="nil"/>
              <w:bottom w:val="nil"/>
              <w:right w:val="nil"/>
            </w:tcBorders>
            <w:shd w:val="clear" w:color="auto" w:fill="auto"/>
            <w:noWrap/>
          </w:tcPr>
          <w:p w14:paraId="18C0E307" w14:textId="77777777" w:rsidR="00751FF8" w:rsidRPr="00A61D53" w:rsidRDefault="00751FF8" w:rsidP="00C04CAB">
            <w:pPr>
              <w:spacing w:before="40" w:after="40" w:line="200" w:lineRule="exact"/>
              <w:jc w:val="right"/>
              <w:rPr>
                <w:color w:val="000000"/>
                <w:sz w:val="18"/>
                <w:szCs w:val="18"/>
              </w:rPr>
            </w:pPr>
            <w:r>
              <w:rPr>
                <w:b/>
                <w:bCs/>
                <w:color w:val="000000"/>
                <w:sz w:val="18"/>
                <w:szCs w:val="18"/>
              </w:rPr>
              <w:t>5.5</w:t>
            </w:r>
          </w:p>
        </w:tc>
        <w:tc>
          <w:tcPr>
            <w:tcW w:w="859" w:type="dxa"/>
            <w:tcBorders>
              <w:top w:val="nil"/>
              <w:left w:val="nil"/>
              <w:bottom w:val="nil"/>
              <w:right w:val="nil"/>
            </w:tcBorders>
            <w:shd w:val="clear" w:color="auto" w:fill="auto"/>
            <w:noWrap/>
          </w:tcPr>
          <w:p w14:paraId="3AD23C1D" w14:textId="77777777" w:rsidR="00751FF8" w:rsidRPr="00A61D53" w:rsidRDefault="00751FF8" w:rsidP="00C04CAB">
            <w:pPr>
              <w:spacing w:before="40" w:after="40" w:line="200" w:lineRule="exact"/>
              <w:jc w:val="right"/>
              <w:rPr>
                <w:color w:val="000000"/>
                <w:sz w:val="18"/>
                <w:szCs w:val="18"/>
              </w:rPr>
            </w:pPr>
            <w:r>
              <w:rPr>
                <w:b/>
                <w:bCs/>
                <w:color w:val="000000"/>
                <w:sz w:val="18"/>
                <w:szCs w:val="18"/>
              </w:rPr>
              <w:t>1.0</w:t>
            </w:r>
          </w:p>
        </w:tc>
      </w:tr>
      <w:tr w:rsidR="00751FF8" w:rsidRPr="00A61D53" w14:paraId="7F15A0D1" w14:textId="77777777" w:rsidTr="00FD7572">
        <w:trPr>
          <w:trHeight w:val="33"/>
        </w:trPr>
        <w:tc>
          <w:tcPr>
            <w:tcW w:w="837" w:type="dxa"/>
            <w:tcBorders>
              <w:top w:val="nil"/>
              <w:left w:val="nil"/>
              <w:bottom w:val="nil"/>
              <w:right w:val="nil"/>
            </w:tcBorders>
            <w:shd w:val="clear" w:color="auto" w:fill="auto"/>
            <w:noWrap/>
          </w:tcPr>
          <w:p w14:paraId="27EF915E" w14:textId="77777777" w:rsidR="00751FF8" w:rsidRPr="00A61D53" w:rsidRDefault="00751FF8" w:rsidP="00C04CAB">
            <w:pPr>
              <w:spacing w:before="40" w:after="40" w:line="200" w:lineRule="exact"/>
              <w:rPr>
                <w:color w:val="000000"/>
                <w:sz w:val="18"/>
                <w:szCs w:val="18"/>
              </w:rPr>
            </w:pPr>
            <w:r>
              <w:rPr>
                <w:color w:val="000000"/>
                <w:sz w:val="18"/>
                <w:szCs w:val="18"/>
              </w:rPr>
              <w:t>500-004</w:t>
            </w:r>
          </w:p>
        </w:tc>
        <w:tc>
          <w:tcPr>
            <w:tcW w:w="1528" w:type="dxa"/>
            <w:tcBorders>
              <w:top w:val="nil"/>
              <w:left w:val="nil"/>
              <w:bottom w:val="nil"/>
              <w:right w:val="nil"/>
            </w:tcBorders>
            <w:shd w:val="clear" w:color="auto" w:fill="auto"/>
          </w:tcPr>
          <w:p w14:paraId="2CA8847D" w14:textId="12033964" w:rsidR="00751FF8" w:rsidRPr="00A61D53" w:rsidRDefault="00751FF8" w:rsidP="00C04CAB">
            <w:pPr>
              <w:spacing w:before="40" w:after="40" w:line="200" w:lineRule="exact"/>
              <w:rPr>
                <w:color w:val="000000"/>
                <w:sz w:val="18"/>
                <w:szCs w:val="18"/>
              </w:rPr>
            </w:pPr>
            <w:r>
              <w:rPr>
                <w:color w:val="000000"/>
                <w:sz w:val="18"/>
                <w:szCs w:val="18"/>
              </w:rPr>
              <w:t xml:space="preserve">Transparency </w:t>
            </w:r>
          </w:p>
        </w:tc>
        <w:tc>
          <w:tcPr>
            <w:tcW w:w="4330" w:type="dxa"/>
            <w:tcBorders>
              <w:top w:val="nil"/>
              <w:left w:val="nil"/>
              <w:bottom w:val="nil"/>
              <w:right w:val="nil"/>
            </w:tcBorders>
            <w:shd w:val="clear" w:color="auto" w:fill="auto"/>
          </w:tcPr>
          <w:p w14:paraId="57EF71DF" w14:textId="363CC509" w:rsidR="00751FF8" w:rsidRPr="00A61D53" w:rsidRDefault="00751FF8" w:rsidP="00C04CAB">
            <w:pPr>
              <w:spacing w:before="40" w:after="40" w:line="200" w:lineRule="exact"/>
              <w:rPr>
                <w:color w:val="000000"/>
                <w:sz w:val="18"/>
                <w:szCs w:val="18"/>
              </w:rPr>
            </w:pPr>
            <w:r>
              <w:rPr>
                <w:color w:val="000000"/>
                <w:sz w:val="18"/>
                <w:szCs w:val="18"/>
              </w:rPr>
              <w:t xml:space="preserve">Extensive support to developing countries to implement </w:t>
            </w:r>
            <w:r w:rsidDel="007C75C3">
              <w:rPr>
                <w:color w:val="000000"/>
                <w:sz w:val="18"/>
                <w:szCs w:val="18"/>
              </w:rPr>
              <w:t>MRV and ETF</w:t>
            </w:r>
            <w:r>
              <w:rPr>
                <w:color w:val="000000"/>
                <w:sz w:val="18"/>
                <w:szCs w:val="18"/>
              </w:rPr>
              <w:t xml:space="preserve">, including through the work of the </w:t>
            </w:r>
            <w:r w:rsidDel="007C75C3">
              <w:rPr>
                <w:color w:val="000000"/>
                <w:sz w:val="18"/>
                <w:szCs w:val="18"/>
              </w:rPr>
              <w:t>CGE</w:t>
            </w:r>
          </w:p>
        </w:tc>
        <w:tc>
          <w:tcPr>
            <w:tcW w:w="1112" w:type="dxa"/>
            <w:tcBorders>
              <w:top w:val="nil"/>
              <w:left w:val="nil"/>
              <w:bottom w:val="nil"/>
              <w:right w:val="nil"/>
            </w:tcBorders>
            <w:shd w:val="clear" w:color="auto" w:fill="auto"/>
            <w:noWrap/>
          </w:tcPr>
          <w:p w14:paraId="17F05646"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 xml:space="preserve"> 548 520</w:t>
            </w:r>
          </w:p>
        </w:tc>
        <w:tc>
          <w:tcPr>
            <w:tcW w:w="973" w:type="dxa"/>
            <w:tcBorders>
              <w:top w:val="nil"/>
              <w:left w:val="nil"/>
              <w:bottom w:val="nil"/>
              <w:right w:val="nil"/>
            </w:tcBorders>
            <w:shd w:val="clear" w:color="auto" w:fill="auto"/>
            <w:noWrap/>
          </w:tcPr>
          <w:p w14:paraId="7A2A823C" w14:textId="77777777" w:rsidR="00751FF8" w:rsidRPr="00A61D53" w:rsidRDefault="00751FF8" w:rsidP="00C04CAB">
            <w:pPr>
              <w:spacing w:before="40" w:after="40" w:line="200" w:lineRule="exact"/>
              <w:jc w:val="right"/>
              <w:rPr>
                <w:color w:val="000000"/>
                <w:sz w:val="18"/>
                <w:szCs w:val="18"/>
              </w:rPr>
            </w:pPr>
            <w:r>
              <w:rPr>
                <w:color w:val="000000"/>
                <w:sz w:val="18"/>
                <w:szCs w:val="18"/>
              </w:rPr>
              <w:t>1.0</w:t>
            </w:r>
          </w:p>
        </w:tc>
        <w:tc>
          <w:tcPr>
            <w:tcW w:w="859" w:type="dxa"/>
            <w:tcBorders>
              <w:top w:val="nil"/>
              <w:left w:val="nil"/>
              <w:bottom w:val="nil"/>
              <w:right w:val="nil"/>
            </w:tcBorders>
            <w:shd w:val="clear" w:color="auto" w:fill="auto"/>
            <w:noWrap/>
          </w:tcPr>
          <w:p w14:paraId="4BD32A96" w14:textId="77777777" w:rsidR="00751FF8" w:rsidRPr="00A61D53" w:rsidRDefault="00751FF8" w:rsidP="00C04CAB">
            <w:pPr>
              <w:spacing w:before="40" w:after="40" w:line="200" w:lineRule="exact"/>
              <w:jc w:val="right"/>
              <w:rPr>
                <w:color w:val="000000"/>
                <w:sz w:val="18"/>
                <w:szCs w:val="18"/>
              </w:rPr>
            </w:pPr>
            <w:r>
              <w:rPr>
                <w:color w:val="000000"/>
                <w:sz w:val="18"/>
                <w:szCs w:val="18"/>
              </w:rPr>
              <w:t>–</w:t>
            </w:r>
          </w:p>
        </w:tc>
      </w:tr>
      <w:tr w:rsidR="00751FF8" w:rsidRPr="00A61D53" w14:paraId="5B9C8BAA" w14:textId="77777777" w:rsidTr="00FD7572">
        <w:trPr>
          <w:trHeight w:val="33"/>
        </w:trPr>
        <w:tc>
          <w:tcPr>
            <w:tcW w:w="837" w:type="dxa"/>
            <w:tcBorders>
              <w:top w:val="nil"/>
              <w:left w:val="nil"/>
              <w:bottom w:val="nil"/>
              <w:right w:val="nil"/>
            </w:tcBorders>
            <w:shd w:val="clear" w:color="auto" w:fill="auto"/>
            <w:noWrap/>
          </w:tcPr>
          <w:p w14:paraId="7BC77A71" w14:textId="77777777" w:rsidR="00751FF8" w:rsidRPr="00A61D53" w:rsidRDefault="00751FF8" w:rsidP="00C04CAB">
            <w:pPr>
              <w:spacing w:before="40" w:after="40" w:line="200" w:lineRule="exact"/>
              <w:rPr>
                <w:color w:val="000000"/>
                <w:sz w:val="18"/>
                <w:szCs w:val="18"/>
              </w:rPr>
            </w:pPr>
            <w:r>
              <w:rPr>
                <w:color w:val="000000"/>
                <w:sz w:val="18"/>
                <w:szCs w:val="18"/>
              </w:rPr>
              <w:t>500-007</w:t>
            </w:r>
          </w:p>
        </w:tc>
        <w:tc>
          <w:tcPr>
            <w:tcW w:w="1528" w:type="dxa"/>
            <w:tcBorders>
              <w:top w:val="nil"/>
              <w:left w:val="nil"/>
              <w:bottom w:val="nil"/>
              <w:right w:val="nil"/>
            </w:tcBorders>
            <w:shd w:val="clear" w:color="auto" w:fill="auto"/>
          </w:tcPr>
          <w:p w14:paraId="2EB13F75" w14:textId="08602A9C" w:rsidR="00751FF8" w:rsidRPr="00A61D53" w:rsidRDefault="00751FF8" w:rsidP="00C04CAB">
            <w:pPr>
              <w:spacing w:before="40" w:after="40" w:line="200" w:lineRule="exact"/>
              <w:rPr>
                <w:color w:val="000000"/>
                <w:sz w:val="18"/>
                <w:szCs w:val="18"/>
              </w:rPr>
            </w:pPr>
            <w:r>
              <w:rPr>
                <w:color w:val="000000"/>
                <w:sz w:val="18"/>
                <w:szCs w:val="18"/>
              </w:rPr>
              <w:t xml:space="preserve">Legal Affairs </w:t>
            </w:r>
          </w:p>
        </w:tc>
        <w:tc>
          <w:tcPr>
            <w:tcW w:w="4330" w:type="dxa"/>
            <w:tcBorders>
              <w:top w:val="nil"/>
              <w:left w:val="nil"/>
              <w:bottom w:val="nil"/>
              <w:right w:val="nil"/>
            </w:tcBorders>
            <w:shd w:val="clear" w:color="auto" w:fill="auto"/>
          </w:tcPr>
          <w:p w14:paraId="60DC2F76" w14:textId="20C5A2E5" w:rsidR="00751FF8" w:rsidRPr="00A61D53" w:rsidRDefault="00751FF8" w:rsidP="00C04CAB">
            <w:pPr>
              <w:spacing w:before="40" w:after="40" w:line="200" w:lineRule="exact"/>
              <w:rPr>
                <w:color w:val="000000"/>
                <w:sz w:val="18"/>
                <w:szCs w:val="18"/>
              </w:rPr>
            </w:pPr>
            <w:r>
              <w:rPr>
                <w:color w:val="000000"/>
                <w:sz w:val="18"/>
                <w:szCs w:val="18"/>
              </w:rPr>
              <w:t xml:space="preserve">Enhancing the capacity of young negotiators, presiding officers, </w:t>
            </w:r>
            <w:r w:rsidDel="00CC33FC">
              <w:rPr>
                <w:color w:val="000000"/>
                <w:sz w:val="18"/>
                <w:szCs w:val="18"/>
              </w:rPr>
              <w:t xml:space="preserve">UNFCCC </w:t>
            </w:r>
            <w:r>
              <w:rPr>
                <w:color w:val="000000"/>
                <w:sz w:val="18"/>
                <w:szCs w:val="18"/>
              </w:rPr>
              <w:t>secretariat staff, observer organizations, policymakers and legislators to actively engage in the UNFCCC process and implement international climate commitments</w:t>
            </w:r>
          </w:p>
        </w:tc>
        <w:tc>
          <w:tcPr>
            <w:tcW w:w="1112" w:type="dxa"/>
            <w:tcBorders>
              <w:top w:val="nil"/>
              <w:left w:val="nil"/>
              <w:bottom w:val="nil"/>
              <w:right w:val="nil"/>
            </w:tcBorders>
            <w:shd w:val="clear" w:color="auto" w:fill="auto"/>
            <w:noWrap/>
          </w:tcPr>
          <w:p w14:paraId="7A15B867"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 xml:space="preserve"> 164 125</w:t>
            </w:r>
          </w:p>
        </w:tc>
        <w:tc>
          <w:tcPr>
            <w:tcW w:w="973" w:type="dxa"/>
            <w:tcBorders>
              <w:top w:val="nil"/>
              <w:left w:val="nil"/>
              <w:bottom w:val="nil"/>
              <w:right w:val="nil"/>
            </w:tcBorders>
            <w:shd w:val="clear" w:color="auto" w:fill="auto"/>
            <w:noWrap/>
          </w:tcPr>
          <w:p w14:paraId="2E502EE5" w14:textId="77777777" w:rsidR="00751FF8" w:rsidRPr="00A61D53" w:rsidRDefault="00751FF8" w:rsidP="00C04CAB">
            <w:pPr>
              <w:spacing w:before="40" w:after="40" w:line="200" w:lineRule="exact"/>
              <w:jc w:val="right"/>
              <w:rPr>
                <w:color w:val="000000"/>
                <w:sz w:val="18"/>
                <w:szCs w:val="18"/>
              </w:rPr>
            </w:pPr>
            <w:r>
              <w:rPr>
                <w:color w:val="000000"/>
                <w:sz w:val="18"/>
                <w:szCs w:val="18"/>
              </w:rPr>
              <w:t>0.5</w:t>
            </w:r>
          </w:p>
        </w:tc>
        <w:tc>
          <w:tcPr>
            <w:tcW w:w="859" w:type="dxa"/>
            <w:tcBorders>
              <w:top w:val="nil"/>
              <w:left w:val="nil"/>
              <w:bottom w:val="nil"/>
              <w:right w:val="nil"/>
            </w:tcBorders>
            <w:shd w:val="clear" w:color="auto" w:fill="auto"/>
            <w:noWrap/>
          </w:tcPr>
          <w:p w14:paraId="5523DB2F" w14:textId="77777777" w:rsidR="00751FF8" w:rsidRPr="00A61D53" w:rsidRDefault="00751FF8" w:rsidP="00C04CAB">
            <w:pPr>
              <w:spacing w:before="40" w:after="40" w:line="200" w:lineRule="exact"/>
              <w:jc w:val="right"/>
              <w:rPr>
                <w:color w:val="000000"/>
                <w:sz w:val="18"/>
                <w:szCs w:val="18"/>
              </w:rPr>
            </w:pPr>
            <w:r>
              <w:rPr>
                <w:color w:val="000000"/>
                <w:sz w:val="18"/>
                <w:szCs w:val="18"/>
              </w:rPr>
              <w:t>–</w:t>
            </w:r>
          </w:p>
        </w:tc>
      </w:tr>
      <w:tr w:rsidR="00751FF8" w:rsidRPr="00A61D53" w14:paraId="06F6E62D" w14:textId="77777777" w:rsidTr="00FD7572">
        <w:trPr>
          <w:trHeight w:val="33"/>
        </w:trPr>
        <w:tc>
          <w:tcPr>
            <w:tcW w:w="837" w:type="dxa"/>
            <w:tcBorders>
              <w:top w:val="nil"/>
              <w:left w:val="nil"/>
              <w:bottom w:val="nil"/>
              <w:right w:val="nil"/>
            </w:tcBorders>
            <w:shd w:val="clear" w:color="auto" w:fill="auto"/>
            <w:noWrap/>
          </w:tcPr>
          <w:p w14:paraId="1FA6E0B0"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500</w:t>
            </w:r>
            <w:r>
              <w:rPr>
                <w:color w:val="000000"/>
                <w:sz w:val="18"/>
                <w:szCs w:val="18"/>
              </w:rPr>
              <w:t>-</w:t>
            </w:r>
            <w:r w:rsidRPr="00A61D53">
              <w:rPr>
                <w:color w:val="000000"/>
                <w:sz w:val="18"/>
                <w:szCs w:val="18"/>
              </w:rPr>
              <w:t>007</w:t>
            </w:r>
          </w:p>
        </w:tc>
        <w:tc>
          <w:tcPr>
            <w:tcW w:w="1528" w:type="dxa"/>
            <w:tcBorders>
              <w:top w:val="nil"/>
              <w:left w:val="nil"/>
              <w:bottom w:val="nil"/>
              <w:right w:val="nil"/>
            </w:tcBorders>
            <w:shd w:val="clear" w:color="auto" w:fill="auto"/>
          </w:tcPr>
          <w:p w14:paraId="600670F0"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Legal Affairs</w:t>
            </w:r>
          </w:p>
        </w:tc>
        <w:tc>
          <w:tcPr>
            <w:tcW w:w="4330" w:type="dxa"/>
            <w:tcBorders>
              <w:top w:val="nil"/>
              <w:left w:val="nil"/>
              <w:bottom w:val="nil"/>
              <w:right w:val="nil"/>
            </w:tcBorders>
            <w:shd w:val="clear" w:color="auto" w:fill="auto"/>
          </w:tcPr>
          <w:p w14:paraId="72279F72"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Comprehensive provision of institutional and general legal review and advice with respect to all activities and operations of the secretariat</w:t>
            </w:r>
          </w:p>
        </w:tc>
        <w:tc>
          <w:tcPr>
            <w:tcW w:w="1112" w:type="dxa"/>
            <w:tcBorders>
              <w:top w:val="nil"/>
              <w:left w:val="nil"/>
              <w:bottom w:val="nil"/>
              <w:right w:val="nil"/>
            </w:tcBorders>
            <w:shd w:val="clear" w:color="auto" w:fill="auto"/>
            <w:noWrap/>
          </w:tcPr>
          <w:p w14:paraId="751CC6B5"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1 092 480</w:t>
            </w:r>
          </w:p>
        </w:tc>
        <w:tc>
          <w:tcPr>
            <w:tcW w:w="973" w:type="dxa"/>
            <w:tcBorders>
              <w:top w:val="nil"/>
              <w:left w:val="nil"/>
              <w:bottom w:val="nil"/>
              <w:right w:val="nil"/>
            </w:tcBorders>
            <w:shd w:val="clear" w:color="auto" w:fill="auto"/>
            <w:noWrap/>
          </w:tcPr>
          <w:p w14:paraId="6BFFF5FA" w14:textId="77777777" w:rsidR="00751FF8" w:rsidRPr="00A61D53" w:rsidRDefault="00751FF8" w:rsidP="00C04CAB">
            <w:pPr>
              <w:spacing w:before="40" w:after="40" w:line="200" w:lineRule="exact"/>
              <w:jc w:val="right"/>
              <w:rPr>
                <w:color w:val="000000"/>
                <w:sz w:val="18"/>
                <w:szCs w:val="18"/>
              </w:rPr>
            </w:pPr>
            <w:r>
              <w:rPr>
                <w:color w:val="000000"/>
                <w:sz w:val="18"/>
                <w:szCs w:val="18"/>
              </w:rPr>
              <w:t>2.0</w:t>
            </w:r>
          </w:p>
        </w:tc>
        <w:tc>
          <w:tcPr>
            <w:tcW w:w="859" w:type="dxa"/>
            <w:tcBorders>
              <w:top w:val="nil"/>
              <w:left w:val="nil"/>
              <w:bottom w:val="nil"/>
              <w:right w:val="nil"/>
            </w:tcBorders>
            <w:shd w:val="clear" w:color="auto" w:fill="auto"/>
            <w:noWrap/>
          </w:tcPr>
          <w:p w14:paraId="558C6B22" w14:textId="77777777" w:rsidR="00751FF8" w:rsidRPr="00A61D53" w:rsidRDefault="00751FF8" w:rsidP="00C04CAB">
            <w:pPr>
              <w:spacing w:before="40" w:after="40" w:line="200" w:lineRule="exact"/>
              <w:jc w:val="right"/>
              <w:rPr>
                <w:color w:val="000000"/>
                <w:sz w:val="18"/>
                <w:szCs w:val="18"/>
              </w:rPr>
            </w:pPr>
            <w:r>
              <w:rPr>
                <w:color w:val="000000"/>
                <w:sz w:val="18"/>
                <w:szCs w:val="18"/>
              </w:rPr>
              <w:t>–</w:t>
            </w:r>
          </w:p>
        </w:tc>
      </w:tr>
      <w:tr w:rsidR="00751FF8" w:rsidRPr="00A61D53" w14:paraId="216297E6" w14:textId="77777777" w:rsidTr="00FD7572">
        <w:trPr>
          <w:trHeight w:val="33"/>
        </w:trPr>
        <w:tc>
          <w:tcPr>
            <w:tcW w:w="837" w:type="dxa"/>
            <w:tcBorders>
              <w:top w:val="nil"/>
              <w:left w:val="nil"/>
              <w:bottom w:val="nil"/>
              <w:right w:val="nil"/>
            </w:tcBorders>
            <w:shd w:val="clear" w:color="auto" w:fill="auto"/>
            <w:noWrap/>
          </w:tcPr>
          <w:p w14:paraId="48E8F243" w14:textId="77777777" w:rsidR="00751FF8" w:rsidRPr="00A61D53" w:rsidRDefault="00751FF8" w:rsidP="00C04CAB">
            <w:pPr>
              <w:spacing w:before="40" w:after="40" w:line="200" w:lineRule="exact"/>
              <w:rPr>
                <w:color w:val="000000"/>
                <w:sz w:val="18"/>
                <w:szCs w:val="18"/>
              </w:rPr>
            </w:pPr>
            <w:r>
              <w:rPr>
                <w:color w:val="000000"/>
                <w:sz w:val="18"/>
                <w:szCs w:val="18"/>
              </w:rPr>
              <w:t>500-010</w:t>
            </w:r>
          </w:p>
        </w:tc>
        <w:tc>
          <w:tcPr>
            <w:tcW w:w="1528" w:type="dxa"/>
            <w:tcBorders>
              <w:top w:val="nil"/>
              <w:left w:val="nil"/>
              <w:bottom w:val="nil"/>
              <w:right w:val="nil"/>
            </w:tcBorders>
            <w:shd w:val="clear" w:color="auto" w:fill="auto"/>
          </w:tcPr>
          <w:p w14:paraId="2BA2CABC" w14:textId="54286BC9" w:rsidR="00751FF8" w:rsidRPr="00A61D53" w:rsidRDefault="00751FF8" w:rsidP="00C04CAB">
            <w:pPr>
              <w:spacing w:before="40" w:after="40" w:line="200" w:lineRule="exact"/>
              <w:rPr>
                <w:color w:val="000000"/>
                <w:sz w:val="18"/>
                <w:szCs w:val="18"/>
              </w:rPr>
            </w:pPr>
            <w:r>
              <w:rPr>
                <w:color w:val="000000"/>
                <w:sz w:val="18"/>
                <w:szCs w:val="18"/>
              </w:rPr>
              <w:t xml:space="preserve">Executive </w:t>
            </w:r>
          </w:p>
        </w:tc>
        <w:tc>
          <w:tcPr>
            <w:tcW w:w="4330" w:type="dxa"/>
            <w:tcBorders>
              <w:top w:val="nil"/>
              <w:left w:val="nil"/>
              <w:bottom w:val="nil"/>
              <w:right w:val="nil"/>
            </w:tcBorders>
            <w:shd w:val="clear" w:color="auto" w:fill="auto"/>
          </w:tcPr>
          <w:p w14:paraId="1F485256" w14:textId="3ACEDD26" w:rsidR="00751FF8" w:rsidRPr="00A61D53" w:rsidRDefault="00751FF8" w:rsidP="00C04CAB">
            <w:pPr>
              <w:spacing w:before="40" w:after="40" w:line="200" w:lineRule="exact"/>
              <w:rPr>
                <w:color w:val="000000"/>
                <w:sz w:val="18"/>
                <w:szCs w:val="18"/>
              </w:rPr>
            </w:pPr>
            <w:r>
              <w:rPr>
                <w:color w:val="000000"/>
                <w:sz w:val="18"/>
                <w:szCs w:val="18"/>
              </w:rPr>
              <w:t xml:space="preserve">Fostering an agile, inclusive and diverse </w:t>
            </w:r>
            <w:r w:rsidDel="0040404C">
              <w:rPr>
                <w:color w:val="000000"/>
                <w:sz w:val="18"/>
                <w:szCs w:val="18"/>
              </w:rPr>
              <w:t xml:space="preserve">UNFCCC </w:t>
            </w:r>
            <w:r>
              <w:rPr>
                <w:color w:val="000000"/>
                <w:sz w:val="18"/>
                <w:szCs w:val="18"/>
              </w:rPr>
              <w:t xml:space="preserve">Secretariat </w:t>
            </w:r>
          </w:p>
        </w:tc>
        <w:tc>
          <w:tcPr>
            <w:tcW w:w="1112" w:type="dxa"/>
            <w:tcBorders>
              <w:top w:val="nil"/>
              <w:left w:val="nil"/>
              <w:bottom w:val="nil"/>
              <w:right w:val="nil"/>
            </w:tcBorders>
            <w:shd w:val="clear" w:color="auto" w:fill="auto"/>
            <w:noWrap/>
          </w:tcPr>
          <w:p w14:paraId="348B5E06"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 xml:space="preserve"> 400 201</w:t>
            </w:r>
          </w:p>
        </w:tc>
        <w:tc>
          <w:tcPr>
            <w:tcW w:w="973" w:type="dxa"/>
            <w:tcBorders>
              <w:top w:val="nil"/>
              <w:left w:val="nil"/>
              <w:bottom w:val="nil"/>
              <w:right w:val="nil"/>
            </w:tcBorders>
            <w:shd w:val="clear" w:color="auto" w:fill="auto"/>
            <w:noWrap/>
          </w:tcPr>
          <w:p w14:paraId="61A2C92B" w14:textId="77777777" w:rsidR="00751FF8" w:rsidRPr="00A61D53" w:rsidRDefault="00751FF8" w:rsidP="00C04CAB">
            <w:pPr>
              <w:spacing w:before="40" w:after="40" w:line="200" w:lineRule="exact"/>
              <w:jc w:val="right"/>
              <w:rPr>
                <w:color w:val="000000"/>
                <w:sz w:val="18"/>
                <w:szCs w:val="18"/>
              </w:rPr>
            </w:pPr>
            <w:r>
              <w:rPr>
                <w:color w:val="000000"/>
                <w:sz w:val="18"/>
                <w:szCs w:val="18"/>
              </w:rPr>
              <w:t>1.0</w:t>
            </w:r>
          </w:p>
        </w:tc>
        <w:tc>
          <w:tcPr>
            <w:tcW w:w="859" w:type="dxa"/>
            <w:tcBorders>
              <w:top w:val="nil"/>
              <w:left w:val="nil"/>
              <w:bottom w:val="nil"/>
              <w:right w:val="nil"/>
            </w:tcBorders>
            <w:shd w:val="clear" w:color="auto" w:fill="auto"/>
            <w:noWrap/>
          </w:tcPr>
          <w:p w14:paraId="3D0C7147" w14:textId="77777777" w:rsidR="00751FF8" w:rsidRPr="00A61D53" w:rsidRDefault="00751FF8" w:rsidP="00C04CAB">
            <w:pPr>
              <w:spacing w:before="40" w:after="40" w:line="200" w:lineRule="exact"/>
              <w:jc w:val="right"/>
              <w:rPr>
                <w:color w:val="000000"/>
                <w:sz w:val="18"/>
                <w:szCs w:val="18"/>
              </w:rPr>
            </w:pPr>
            <w:r>
              <w:rPr>
                <w:color w:val="000000"/>
                <w:sz w:val="18"/>
                <w:szCs w:val="18"/>
              </w:rPr>
              <w:t>–</w:t>
            </w:r>
          </w:p>
        </w:tc>
      </w:tr>
      <w:tr w:rsidR="00751FF8" w:rsidRPr="00A61D53" w14:paraId="28A6F9F5" w14:textId="77777777" w:rsidTr="00FD7572">
        <w:trPr>
          <w:trHeight w:val="33"/>
        </w:trPr>
        <w:tc>
          <w:tcPr>
            <w:tcW w:w="837" w:type="dxa"/>
            <w:tcBorders>
              <w:top w:val="nil"/>
              <w:left w:val="nil"/>
              <w:bottom w:val="nil"/>
              <w:right w:val="nil"/>
            </w:tcBorders>
            <w:shd w:val="clear" w:color="auto" w:fill="auto"/>
            <w:noWrap/>
          </w:tcPr>
          <w:p w14:paraId="5E6A03A2" w14:textId="77777777"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500</w:t>
            </w:r>
            <w:r>
              <w:rPr>
                <w:color w:val="000000"/>
                <w:sz w:val="18"/>
                <w:szCs w:val="18"/>
              </w:rPr>
              <w:t>-</w:t>
            </w:r>
            <w:r w:rsidRPr="00A61D53">
              <w:rPr>
                <w:color w:val="000000"/>
                <w:sz w:val="18"/>
                <w:szCs w:val="18"/>
              </w:rPr>
              <w:t>012</w:t>
            </w:r>
          </w:p>
        </w:tc>
        <w:tc>
          <w:tcPr>
            <w:tcW w:w="1528" w:type="dxa"/>
            <w:tcBorders>
              <w:top w:val="nil"/>
              <w:left w:val="nil"/>
              <w:bottom w:val="nil"/>
              <w:right w:val="nil"/>
            </w:tcBorders>
            <w:shd w:val="clear" w:color="auto" w:fill="auto"/>
          </w:tcPr>
          <w:p w14:paraId="241A36B8" w14:textId="16C24952"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Operations Coordination</w:t>
            </w:r>
          </w:p>
        </w:tc>
        <w:tc>
          <w:tcPr>
            <w:tcW w:w="4330" w:type="dxa"/>
            <w:tcBorders>
              <w:top w:val="nil"/>
              <w:left w:val="nil"/>
              <w:bottom w:val="nil"/>
              <w:right w:val="nil"/>
            </w:tcBorders>
            <w:shd w:val="clear" w:color="auto" w:fill="auto"/>
          </w:tcPr>
          <w:p w14:paraId="1CB1F4A8" w14:textId="36838902" w:rsidR="00751FF8" w:rsidRPr="00A61D53" w:rsidRDefault="00751FF8" w:rsidP="00C04CAB">
            <w:pPr>
              <w:spacing w:before="40" w:after="40" w:line="200" w:lineRule="exact"/>
              <w:rPr>
                <w:rFonts w:eastAsia="Times New Roman"/>
                <w:color w:val="000000"/>
                <w:sz w:val="18"/>
                <w:szCs w:val="18"/>
                <w:lang w:eastAsia="de-DE"/>
              </w:rPr>
            </w:pPr>
            <w:r w:rsidRPr="00A61D53">
              <w:rPr>
                <w:color w:val="000000"/>
                <w:sz w:val="18"/>
                <w:szCs w:val="18"/>
              </w:rPr>
              <w:t>Integration and harmonization of the UNFCCC administrative process to adapt to new mandates that transition from negotiations of the Paris Agreement rule book to operationalization of the Paris Agreement, and continuation of the implementation of recommendations from the structural review of the secretariat to improve the effectiveness and efficiency of the organization</w:t>
            </w:r>
          </w:p>
        </w:tc>
        <w:tc>
          <w:tcPr>
            <w:tcW w:w="1112" w:type="dxa"/>
            <w:tcBorders>
              <w:top w:val="nil"/>
              <w:left w:val="nil"/>
              <w:bottom w:val="nil"/>
              <w:right w:val="nil"/>
            </w:tcBorders>
            <w:shd w:val="clear" w:color="auto" w:fill="auto"/>
            <w:noWrap/>
          </w:tcPr>
          <w:p w14:paraId="72039344" w14:textId="77777777" w:rsidR="00751FF8" w:rsidRPr="00A61D53" w:rsidRDefault="00751FF8" w:rsidP="00C04CAB">
            <w:pPr>
              <w:spacing w:before="40" w:after="40" w:line="200" w:lineRule="exact"/>
              <w:jc w:val="right"/>
              <w:rPr>
                <w:rFonts w:eastAsia="Times New Roman"/>
                <w:color w:val="000000"/>
                <w:sz w:val="18"/>
                <w:szCs w:val="18"/>
                <w:lang w:eastAsia="de-DE"/>
              </w:rPr>
            </w:pPr>
            <w:r>
              <w:rPr>
                <w:color w:val="000000"/>
                <w:sz w:val="18"/>
                <w:szCs w:val="18"/>
              </w:rPr>
              <w:t>1 515 673</w:t>
            </w:r>
          </w:p>
        </w:tc>
        <w:tc>
          <w:tcPr>
            <w:tcW w:w="973" w:type="dxa"/>
            <w:tcBorders>
              <w:top w:val="nil"/>
              <w:left w:val="nil"/>
              <w:bottom w:val="nil"/>
              <w:right w:val="nil"/>
            </w:tcBorders>
            <w:shd w:val="clear" w:color="auto" w:fill="auto"/>
            <w:noWrap/>
          </w:tcPr>
          <w:p w14:paraId="0E35876D" w14:textId="77777777" w:rsidR="00751FF8" w:rsidRPr="00A61D53" w:rsidRDefault="00751FF8" w:rsidP="00C04CAB">
            <w:pPr>
              <w:spacing w:before="40" w:after="40" w:line="200" w:lineRule="exact"/>
              <w:jc w:val="right"/>
              <w:rPr>
                <w:color w:val="000000"/>
                <w:sz w:val="18"/>
                <w:szCs w:val="18"/>
              </w:rPr>
            </w:pPr>
            <w:r>
              <w:rPr>
                <w:color w:val="000000"/>
                <w:sz w:val="18"/>
                <w:szCs w:val="18"/>
              </w:rPr>
              <w:t>1.0</w:t>
            </w:r>
          </w:p>
        </w:tc>
        <w:tc>
          <w:tcPr>
            <w:tcW w:w="859" w:type="dxa"/>
            <w:tcBorders>
              <w:top w:val="nil"/>
              <w:left w:val="nil"/>
              <w:bottom w:val="nil"/>
              <w:right w:val="nil"/>
            </w:tcBorders>
            <w:shd w:val="clear" w:color="auto" w:fill="auto"/>
            <w:noWrap/>
          </w:tcPr>
          <w:p w14:paraId="36990D7B" w14:textId="77777777" w:rsidR="00751FF8" w:rsidRPr="00A61D53" w:rsidRDefault="00751FF8" w:rsidP="00C04CAB">
            <w:pPr>
              <w:spacing w:before="40" w:after="40" w:line="200" w:lineRule="exact"/>
              <w:jc w:val="right"/>
              <w:rPr>
                <w:color w:val="000000"/>
                <w:sz w:val="18"/>
                <w:szCs w:val="18"/>
              </w:rPr>
            </w:pPr>
            <w:r>
              <w:rPr>
                <w:color w:val="000000"/>
                <w:sz w:val="18"/>
                <w:szCs w:val="18"/>
              </w:rPr>
              <w:t>1.0</w:t>
            </w:r>
          </w:p>
        </w:tc>
      </w:tr>
      <w:tr w:rsidR="00751FF8" w:rsidRPr="00A61D53" w14:paraId="23D26083" w14:textId="77777777" w:rsidTr="00AA13D1">
        <w:trPr>
          <w:trHeight w:val="83"/>
        </w:trPr>
        <w:tc>
          <w:tcPr>
            <w:tcW w:w="6695" w:type="dxa"/>
            <w:gridSpan w:val="3"/>
            <w:tcBorders>
              <w:top w:val="single" w:sz="4" w:space="0" w:color="auto"/>
              <w:left w:val="nil"/>
              <w:bottom w:val="single" w:sz="12" w:space="0" w:color="auto"/>
              <w:right w:val="nil"/>
            </w:tcBorders>
            <w:shd w:val="clear" w:color="auto" w:fill="auto"/>
            <w:noWrap/>
          </w:tcPr>
          <w:p w14:paraId="28CFF06A" w14:textId="785346FB" w:rsidR="00751FF8" w:rsidRPr="00A61D53" w:rsidRDefault="00751FF8" w:rsidP="00C04CAB">
            <w:pPr>
              <w:spacing w:before="40" w:after="40" w:line="200" w:lineRule="exact"/>
              <w:ind w:firstLine="284"/>
              <w:rPr>
                <w:b/>
                <w:color w:val="000000"/>
                <w:sz w:val="18"/>
                <w:szCs w:val="18"/>
              </w:rPr>
            </w:pPr>
            <w:r w:rsidRPr="00A61D53">
              <w:rPr>
                <w:b/>
                <w:color w:val="000000"/>
                <w:sz w:val="18"/>
                <w:szCs w:val="18"/>
              </w:rPr>
              <w:t>Total (including programme support costs)</w:t>
            </w:r>
          </w:p>
        </w:tc>
        <w:tc>
          <w:tcPr>
            <w:tcW w:w="1112" w:type="dxa"/>
            <w:tcBorders>
              <w:top w:val="single" w:sz="4" w:space="0" w:color="auto"/>
              <w:left w:val="nil"/>
              <w:bottom w:val="single" w:sz="12" w:space="0" w:color="auto"/>
              <w:right w:val="nil"/>
            </w:tcBorders>
            <w:shd w:val="clear" w:color="000000" w:fill="FFFFFF"/>
            <w:noWrap/>
          </w:tcPr>
          <w:p w14:paraId="4C46E621" w14:textId="77777777" w:rsidR="00751FF8" w:rsidRPr="00A61D53" w:rsidRDefault="00751FF8" w:rsidP="00C04CAB">
            <w:pPr>
              <w:spacing w:before="40" w:after="40" w:line="200" w:lineRule="exact"/>
              <w:jc w:val="right"/>
              <w:rPr>
                <w:b/>
                <w:bCs/>
                <w:color w:val="000000"/>
                <w:sz w:val="18"/>
                <w:szCs w:val="18"/>
              </w:rPr>
            </w:pPr>
            <w:r>
              <w:rPr>
                <w:b/>
                <w:bCs/>
                <w:color w:val="000000"/>
                <w:sz w:val="18"/>
                <w:szCs w:val="18"/>
              </w:rPr>
              <w:t>100 137 455</w:t>
            </w:r>
          </w:p>
        </w:tc>
        <w:tc>
          <w:tcPr>
            <w:tcW w:w="973" w:type="dxa"/>
            <w:tcBorders>
              <w:top w:val="single" w:sz="4" w:space="0" w:color="auto"/>
              <w:left w:val="nil"/>
              <w:bottom w:val="single" w:sz="12" w:space="0" w:color="auto"/>
              <w:right w:val="nil"/>
            </w:tcBorders>
            <w:shd w:val="clear" w:color="000000" w:fill="FFFFFF"/>
            <w:noWrap/>
          </w:tcPr>
          <w:p w14:paraId="56F74EBD" w14:textId="77777777" w:rsidR="00751FF8" w:rsidRPr="00A61D53" w:rsidRDefault="00751FF8" w:rsidP="00C04CAB">
            <w:pPr>
              <w:spacing w:before="40" w:after="40" w:line="200" w:lineRule="exact"/>
              <w:jc w:val="right"/>
              <w:rPr>
                <w:b/>
                <w:bCs/>
                <w:color w:val="000000"/>
                <w:sz w:val="18"/>
                <w:szCs w:val="18"/>
              </w:rPr>
            </w:pPr>
            <w:r>
              <w:rPr>
                <w:b/>
                <w:bCs/>
                <w:color w:val="000000"/>
                <w:sz w:val="18"/>
                <w:szCs w:val="18"/>
              </w:rPr>
              <w:t>98.0</w:t>
            </w:r>
          </w:p>
        </w:tc>
        <w:tc>
          <w:tcPr>
            <w:tcW w:w="859" w:type="dxa"/>
            <w:tcBorders>
              <w:top w:val="single" w:sz="4" w:space="0" w:color="auto"/>
              <w:left w:val="nil"/>
              <w:bottom w:val="single" w:sz="12" w:space="0" w:color="auto"/>
              <w:right w:val="nil"/>
            </w:tcBorders>
            <w:shd w:val="clear" w:color="000000" w:fill="FFFFFF"/>
            <w:noWrap/>
          </w:tcPr>
          <w:p w14:paraId="68947ED3" w14:textId="77777777" w:rsidR="00751FF8" w:rsidRPr="00A61D53" w:rsidRDefault="00751FF8" w:rsidP="00C04CAB">
            <w:pPr>
              <w:spacing w:before="40" w:after="40" w:line="200" w:lineRule="exact"/>
              <w:jc w:val="right"/>
              <w:rPr>
                <w:b/>
                <w:bCs/>
                <w:color w:val="000000"/>
                <w:sz w:val="18"/>
                <w:szCs w:val="18"/>
              </w:rPr>
            </w:pPr>
            <w:r>
              <w:rPr>
                <w:b/>
                <w:bCs/>
                <w:color w:val="000000"/>
                <w:sz w:val="18"/>
                <w:szCs w:val="18"/>
              </w:rPr>
              <w:t xml:space="preserve">35.0 </w:t>
            </w:r>
          </w:p>
        </w:tc>
      </w:tr>
    </w:tbl>
    <w:p w14:paraId="1A3A32B4" w14:textId="77777777" w:rsidR="00A644D4" w:rsidRDefault="00A644D4" w:rsidP="001677A7">
      <w:pPr>
        <w:keepNext/>
        <w:spacing w:line="60" w:lineRule="exact"/>
        <w:ind w:right="1134"/>
        <w:jc w:val="both"/>
      </w:pPr>
      <w:bookmarkStart w:id="77" w:name="_Toc128166507"/>
    </w:p>
    <w:p w14:paraId="496DA5D2" w14:textId="0A602BC5" w:rsidR="00505AAE" w:rsidRDefault="00505AAE" w:rsidP="001677A7">
      <w:pPr>
        <w:keepNext/>
        <w:spacing w:line="60" w:lineRule="exact"/>
        <w:ind w:right="1134"/>
        <w:jc w:val="both"/>
        <w:sectPr w:rsidR="00505AAE" w:rsidSect="00FA5947">
          <w:footnotePr>
            <w:numRestart w:val="eachSect"/>
          </w:footnotePr>
          <w:endnotePr>
            <w:numFmt w:val="lowerLetter"/>
            <w:numRestart w:val="eachSect"/>
          </w:endnotePr>
          <w:type w:val="continuous"/>
          <w:pgSz w:w="11906" w:h="16838" w:code="9"/>
          <w:pgMar w:top="1418" w:right="1134" w:bottom="1134" w:left="1134" w:header="851" w:footer="567" w:gutter="0"/>
          <w:cols w:space="708"/>
          <w:docGrid w:linePitch="360"/>
        </w:sectPr>
      </w:pPr>
    </w:p>
    <w:p w14:paraId="229C819D" w14:textId="5EFDE09F" w:rsidR="00CF2999" w:rsidRPr="00B75C51" w:rsidRDefault="001E0A88" w:rsidP="00B75C51">
      <w:pPr>
        <w:spacing w:after="180" w:line="200" w:lineRule="exact"/>
        <w:ind w:firstLine="142"/>
        <w:rPr>
          <w:sz w:val="18"/>
          <w:szCs w:val="18"/>
        </w:rPr>
      </w:pPr>
      <w:r w:rsidRPr="00B75C51">
        <w:rPr>
          <w:i/>
          <w:iCs/>
          <w:sz w:val="18"/>
          <w:szCs w:val="18"/>
          <w:vertAlign w:val="superscript"/>
        </w:rPr>
        <w:t>a</w:t>
      </w:r>
      <w:r w:rsidR="00751782" w:rsidRPr="00B75C51">
        <w:rPr>
          <w:sz w:val="18"/>
          <w:szCs w:val="18"/>
        </w:rPr>
        <w:t xml:space="preserve"> </w:t>
      </w:r>
      <w:r w:rsidR="00751782">
        <w:rPr>
          <w:sz w:val="18"/>
          <w:szCs w:val="18"/>
        </w:rPr>
        <w:t xml:space="preserve"> </w:t>
      </w:r>
      <w:r w:rsidR="00751782" w:rsidRPr="00B75C51">
        <w:rPr>
          <w:sz w:val="18"/>
          <w:szCs w:val="18"/>
        </w:rPr>
        <w:t xml:space="preserve">Gross requirements, excluding any unspent balances that may be available at the </w:t>
      </w:r>
      <w:r w:rsidRPr="00B75C51">
        <w:rPr>
          <w:sz w:val="18"/>
          <w:szCs w:val="18"/>
        </w:rPr>
        <w:t>beginning of the biennium.</w:t>
      </w:r>
    </w:p>
    <w:p w14:paraId="018038FB" w14:textId="1B26BB3A" w:rsidR="00CF2999" w:rsidRPr="00371ADD" w:rsidRDefault="00CF2999" w:rsidP="00B75C51">
      <w:r>
        <w:t>Table 5</w:t>
      </w:r>
    </w:p>
    <w:p w14:paraId="12A591B6" w14:textId="385EC02D" w:rsidR="00D96136" w:rsidRDefault="00D96136" w:rsidP="00D96136">
      <w:pPr>
        <w:keepNext/>
        <w:keepLines/>
        <w:spacing w:after="120"/>
        <w:rPr>
          <w:b/>
        </w:rPr>
      </w:pPr>
      <w:r w:rsidRPr="00676B53">
        <w:rPr>
          <w:b/>
        </w:rPr>
        <w:t>Overview of projects and funding requirements from the Trust Fund for Supplementary Activities for 202</w:t>
      </w:r>
      <w:r>
        <w:rPr>
          <w:b/>
        </w:rPr>
        <w:t>4</w:t>
      </w:r>
      <w:r w:rsidRPr="00676B53">
        <w:rPr>
          <w:b/>
        </w:rPr>
        <w:t>–202</w:t>
      </w:r>
      <w:r>
        <w:rPr>
          <w:b/>
        </w:rPr>
        <w:t xml:space="preserve">5 </w:t>
      </w:r>
      <w:r w:rsidRPr="006D0145">
        <w:rPr>
          <w:b/>
        </w:rPr>
        <w:t>(</w:t>
      </w:r>
      <w:r w:rsidRPr="004445CD">
        <w:rPr>
          <w:b/>
        </w:rPr>
        <w:t>complementary activities beneficial to achieving the objectives and goals of the Convention, the Kyoto Protocol and the Paris Agreement (category 4)</w:t>
      </w:r>
      <w:r w:rsidRPr="006D0145">
        <w:rPr>
          <w:b/>
        </w:rPr>
        <w:t>)</w:t>
      </w:r>
      <w:bookmarkEnd w:id="77"/>
    </w:p>
    <w:p w14:paraId="74D3A192" w14:textId="77777777" w:rsidR="00D96136" w:rsidRPr="002E0F34" w:rsidRDefault="00D96136" w:rsidP="00D96136">
      <w:pPr>
        <w:spacing w:after="180"/>
        <w:jc w:val="right"/>
      </w:pPr>
      <w:r w:rsidRPr="00DD5154">
        <w:t>[English only]</w:t>
      </w:r>
    </w:p>
    <w:tbl>
      <w:tblPr>
        <w:tblW w:w="9639" w:type="dxa"/>
        <w:tblLayout w:type="fixed"/>
        <w:tblCellMar>
          <w:left w:w="0" w:type="dxa"/>
          <w:right w:w="70" w:type="dxa"/>
        </w:tblCellMar>
        <w:tblLook w:val="04A0" w:firstRow="1" w:lastRow="0" w:firstColumn="1" w:lastColumn="0" w:noHBand="0" w:noVBand="1"/>
      </w:tblPr>
      <w:tblGrid>
        <w:gridCol w:w="837"/>
        <w:gridCol w:w="1528"/>
        <w:gridCol w:w="4330"/>
        <w:gridCol w:w="1112"/>
        <w:gridCol w:w="973"/>
        <w:gridCol w:w="859"/>
      </w:tblGrid>
      <w:tr w:rsidR="00D96136" w:rsidRPr="00A61D53" w14:paraId="45C40716" w14:textId="77777777" w:rsidTr="00FD7572">
        <w:trPr>
          <w:trHeight w:val="116"/>
          <w:tblHeader/>
        </w:trPr>
        <w:tc>
          <w:tcPr>
            <w:tcW w:w="837" w:type="dxa"/>
            <w:vMerge w:val="restart"/>
            <w:tcBorders>
              <w:top w:val="single" w:sz="4" w:space="0" w:color="auto"/>
              <w:left w:val="nil"/>
              <w:right w:val="nil"/>
            </w:tcBorders>
            <w:shd w:val="clear" w:color="auto" w:fill="auto"/>
            <w:noWrap/>
            <w:vAlign w:val="bottom"/>
          </w:tcPr>
          <w:p w14:paraId="75EA4F8D" w14:textId="77777777" w:rsidR="00D96136" w:rsidRPr="00A61D53" w:rsidRDefault="00D96136" w:rsidP="00FD7572">
            <w:pPr>
              <w:spacing w:before="40" w:after="40" w:line="180" w:lineRule="exact"/>
              <w:rPr>
                <w:rFonts w:eastAsia="Times New Roman"/>
                <w:i/>
                <w:iCs/>
                <w:color w:val="000000"/>
                <w:sz w:val="16"/>
                <w:szCs w:val="16"/>
                <w:lang w:eastAsia="de-DE"/>
              </w:rPr>
            </w:pPr>
            <w:r w:rsidRPr="00A61D53">
              <w:rPr>
                <w:rFonts w:eastAsia="Times New Roman"/>
                <w:i/>
                <w:iCs/>
                <w:color w:val="000000"/>
                <w:sz w:val="16"/>
                <w:szCs w:val="16"/>
                <w:lang w:eastAsia="de-DE"/>
              </w:rPr>
              <w:t>Project number</w:t>
            </w:r>
          </w:p>
        </w:tc>
        <w:tc>
          <w:tcPr>
            <w:tcW w:w="1528" w:type="dxa"/>
            <w:vMerge w:val="restart"/>
            <w:tcBorders>
              <w:top w:val="single" w:sz="4" w:space="0" w:color="auto"/>
              <w:left w:val="nil"/>
              <w:right w:val="nil"/>
            </w:tcBorders>
            <w:vAlign w:val="bottom"/>
          </w:tcPr>
          <w:p w14:paraId="38FADB9E" w14:textId="77777777" w:rsidR="00D96136" w:rsidRPr="00A61D53" w:rsidRDefault="00D96136" w:rsidP="00FD7572">
            <w:pPr>
              <w:spacing w:before="40" w:after="40" w:line="180" w:lineRule="exact"/>
              <w:rPr>
                <w:rFonts w:eastAsia="Times New Roman"/>
                <w:i/>
                <w:iCs/>
                <w:color w:val="000000"/>
                <w:sz w:val="16"/>
                <w:szCs w:val="16"/>
                <w:lang w:eastAsia="de-DE"/>
              </w:rPr>
            </w:pPr>
            <w:r w:rsidRPr="00A61D53">
              <w:rPr>
                <w:rFonts w:eastAsia="Times New Roman"/>
                <w:i/>
                <w:color w:val="000000"/>
                <w:sz w:val="16"/>
                <w:szCs w:val="16"/>
                <w:lang w:eastAsia="de-DE"/>
              </w:rPr>
              <w:t>Division</w:t>
            </w:r>
          </w:p>
        </w:tc>
        <w:tc>
          <w:tcPr>
            <w:tcW w:w="4330" w:type="dxa"/>
            <w:vMerge w:val="restart"/>
            <w:tcBorders>
              <w:top w:val="single" w:sz="4" w:space="0" w:color="auto"/>
              <w:left w:val="nil"/>
              <w:right w:val="nil"/>
            </w:tcBorders>
            <w:shd w:val="clear" w:color="auto" w:fill="auto"/>
            <w:noWrap/>
            <w:vAlign w:val="bottom"/>
          </w:tcPr>
          <w:p w14:paraId="0AC81EEF" w14:textId="77777777" w:rsidR="00D96136" w:rsidRPr="00A61D53" w:rsidRDefault="00D96136" w:rsidP="00FD7572">
            <w:pPr>
              <w:spacing w:before="40" w:after="40" w:line="180" w:lineRule="exact"/>
              <w:rPr>
                <w:rFonts w:eastAsia="Times New Roman"/>
                <w:i/>
                <w:iCs/>
                <w:color w:val="000000"/>
                <w:sz w:val="16"/>
                <w:szCs w:val="16"/>
                <w:lang w:eastAsia="de-DE"/>
              </w:rPr>
            </w:pPr>
            <w:r w:rsidRPr="00A61D53">
              <w:rPr>
                <w:rFonts w:eastAsia="Times New Roman"/>
                <w:i/>
                <w:iCs/>
                <w:color w:val="000000"/>
                <w:sz w:val="16"/>
                <w:szCs w:val="16"/>
                <w:lang w:eastAsia="de-DE"/>
              </w:rPr>
              <w:t>Project/subproject</w:t>
            </w:r>
          </w:p>
        </w:tc>
        <w:tc>
          <w:tcPr>
            <w:tcW w:w="2944" w:type="dxa"/>
            <w:gridSpan w:val="3"/>
            <w:tcBorders>
              <w:top w:val="single" w:sz="4" w:space="0" w:color="auto"/>
              <w:left w:val="nil"/>
              <w:bottom w:val="single" w:sz="4" w:space="0" w:color="auto"/>
              <w:right w:val="nil"/>
            </w:tcBorders>
            <w:shd w:val="clear" w:color="auto" w:fill="auto"/>
            <w:vAlign w:val="bottom"/>
          </w:tcPr>
          <w:p w14:paraId="3A5764D5" w14:textId="77777777" w:rsidR="00D96136" w:rsidRPr="00A61D53" w:rsidRDefault="00D96136" w:rsidP="00FD7572">
            <w:pPr>
              <w:spacing w:before="40" w:after="40" w:line="180" w:lineRule="exact"/>
              <w:jc w:val="center"/>
              <w:rPr>
                <w:rFonts w:eastAsia="Times New Roman"/>
                <w:i/>
                <w:iCs/>
                <w:color w:val="000000"/>
                <w:sz w:val="16"/>
                <w:szCs w:val="16"/>
                <w:lang w:eastAsia="de-DE"/>
              </w:rPr>
            </w:pPr>
            <w:r w:rsidRPr="00A61D53">
              <w:rPr>
                <w:rFonts w:eastAsia="Times New Roman"/>
                <w:i/>
                <w:iCs/>
                <w:color w:val="000000"/>
                <w:sz w:val="16"/>
                <w:szCs w:val="16"/>
                <w:lang w:eastAsia="de-DE"/>
              </w:rPr>
              <w:t xml:space="preserve">Resource requirements for </w:t>
            </w:r>
            <w:r w:rsidRPr="00A61D53">
              <w:rPr>
                <w:rFonts w:eastAsia="Times New Roman"/>
                <w:i/>
                <w:color w:val="000000"/>
                <w:sz w:val="16"/>
                <w:szCs w:val="16"/>
                <w:lang w:eastAsia="de-DE"/>
              </w:rPr>
              <w:t>2024–2025</w:t>
            </w:r>
          </w:p>
        </w:tc>
      </w:tr>
      <w:tr w:rsidR="00D96136" w:rsidRPr="00A61D53" w14:paraId="35FD0F9C" w14:textId="77777777" w:rsidTr="00FD7572">
        <w:trPr>
          <w:trHeight w:val="144"/>
          <w:tblHeader/>
        </w:trPr>
        <w:tc>
          <w:tcPr>
            <w:tcW w:w="837" w:type="dxa"/>
            <w:vMerge/>
            <w:tcBorders>
              <w:left w:val="nil"/>
              <w:bottom w:val="single" w:sz="12" w:space="0" w:color="auto"/>
              <w:right w:val="nil"/>
            </w:tcBorders>
            <w:shd w:val="clear" w:color="auto" w:fill="auto"/>
            <w:noWrap/>
            <w:vAlign w:val="bottom"/>
            <w:hideMark/>
          </w:tcPr>
          <w:p w14:paraId="0C50AA51" w14:textId="77777777" w:rsidR="00D96136" w:rsidRPr="00A61D53" w:rsidRDefault="00D96136" w:rsidP="00FD7572">
            <w:pPr>
              <w:spacing w:before="40" w:after="40" w:line="180" w:lineRule="exact"/>
              <w:rPr>
                <w:rFonts w:eastAsia="Times New Roman"/>
                <w:i/>
                <w:color w:val="000000"/>
                <w:sz w:val="16"/>
                <w:szCs w:val="16"/>
                <w:lang w:eastAsia="de-DE"/>
              </w:rPr>
            </w:pPr>
          </w:p>
        </w:tc>
        <w:tc>
          <w:tcPr>
            <w:tcW w:w="1528" w:type="dxa"/>
            <w:vMerge/>
            <w:tcBorders>
              <w:left w:val="nil"/>
              <w:bottom w:val="single" w:sz="12" w:space="0" w:color="auto"/>
              <w:right w:val="nil"/>
            </w:tcBorders>
          </w:tcPr>
          <w:p w14:paraId="0DA2984E" w14:textId="77777777" w:rsidR="00D96136" w:rsidRPr="00A61D53" w:rsidRDefault="00D96136" w:rsidP="00FD7572">
            <w:pPr>
              <w:spacing w:before="40" w:after="40" w:line="180" w:lineRule="exact"/>
              <w:rPr>
                <w:rFonts w:eastAsia="Times New Roman"/>
                <w:i/>
                <w:color w:val="000000"/>
                <w:sz w:val="16"/>
                <w:szCs w:val="16"/>
                <w:lang w:eastAsia="de-DE"/>
              </w:rPr>
            </w:pPr>
          </w:p>
        </w:tc>
        <w:tc>
          <w:tcPr>
            <w:tcW w:w="4330" w:type="dxa"/>
            <w:vMerge/>
            <w:tcBorders>
              <w:left w:val="nil"/>
              <w:bottom w:val="single" w:sz="12" w:space="0" w:color="auto"/>
              <w:right w:val="nil"/>
            </w:tcBorders>
            <w:shd w:val="clear" w:color="auto" w:fill="auto"/>
            <w:noWrap/>
            <w:vAlign w:val="bottom"/>
            <w:hideMark/>
          </w:tcPr>
          <w:p w14:paraId="31B9A8A0" w14:textId="77777777" w:rsidR="00D96136" w:rsidRPr="00A61D53" w:rsidRDefault="00D96136" w:rsidP="00FD7572">
            <w:pPr>
              <w:spacing w:before="40" w:after="40" w:line="180" w:lineRule="exact"/>
              <w:rPr>
                <w:rFonts w:eastAsia="Times New Roman"/>
                <w:i/>
                <w:color w:val="000000"/>
                <w:sz w:val="16"/>
                <w:szCs w:val="16"/>
                <w:lang w:eastAsia="de-DE"/>
              </w:rPr>
            </w:pPr>
          </w:p>
        </w:tc>
        <w:tc>
          <w:tcPr>
            <w:tcW w:w="1112" w:type="dxa"/>
            <w:tcBorders>
              <w:top w:val="single" w:sz="4" w:space="0" w:color="auto"/>
              <w:left w:val="nil"/>
              <w:bottom w:val="single" w:sz="12" w:space="0" w:color="auto"/>
              <w:right w:val="nil"/>
            </w:tcBorders>
            <w:shd w:val="clear" w:color="auto" w:fill="auto"/>
            <w:vAlign w:val="bottom"/>
            <w:hideMark/>
          </w:tcPr>
          <w:p w14:paraId="3A86D61F" w14:textId="7EFEE985" w:rsidR="00D96136" w:rsidRPr="00A61D53" w:rsidRDefault="00D96136" w:rsidP="00FD7572">
            <w:pPr>
              <w:spacing w:before="40" w:after="40" w:line="180" w:lineRule="exact"/>
              <w:jc w:val="right"/>
              <w:rPr>
                <w:rFonts w:eastAsia="Times New Roman"/>
                <w:i/>
                <w:color w:val="000000"/>
                <w:sz w:val="16"/>
                <w:szCs w:val="16"/>
                <w:lang w:eastAsia="de-DE"/>
              </w:rPr>
            </w:pPr>
            <w:r w:rsidRPr="00A61D53">
              <w:rPr>
                <w:rFonts w:eastAsia="Times New Roman"/>
                <w:i/>
                <w:color w:val="000000"/>
                <w:sz w:val="16"/>
                <w:szCs w:val="16"/>
                <w:lang w:eastAsia="de-DE"/>
              </w:rPr>
              <w:t>EUR</w:t>
            </w:r>
            <w:r w:rsidR="001E0A88" w:rsidRPr="00F0221D">
              <w:rPr>
                <w:rFonts w:eastAsia="Times New Roman"/>
                <w:i/>
                <w:color w:val="000000"/>
                <w:sz w:val="18"/>
                <w:szCs w:val="18"/>
                <w:vertAlign w:val="superscript"/>
                <w:lang w:eastAsia="de-DE"/>
              </w:rPr>
              <w:t>a</w:t>
            </w:r>
          </w:p>
        </w:tc>
        <w:tc>
          <w:tcPr>
            <w:tcW w:w="973" w:type="dxa"/>
            <w:tcBorders>
              <w:top w:val="single" w:sz="4" w:space="0" w:color="auto"/>
              <w:left w:val="nil"/>
              <w:bottom w:val="single" w:sz="12" w:space="0" w:color="auto"/>
              <w:right w:val="nil"/>
            </w:tcBorders>
            <w:shd w:val="clear" w:color="auto" w:fill="auto"/>
            <w:noWrap/>
            <w:vAlign w:val="bottom"/>
            <w:hideMark/>
          </w:tcPr>
          <w:p w14:paraId="61D12E7D" w14:textId="77777777" w:rsidR="00D96136" w:rsidRPr="00A61D53" w:rsidRDefault="00D96136" w:rsidP="00FD7572">
            <w:pPr>
              <w:spacing w:before="40" w:after="40" w:line="180" w:lineRule="exact"/>
              <w:jc w:val="right"/>
              <w:rPr>
                <w:rFonts w:eastAsia="Times New Roman"/>
                <w:i/>
                <w:color w:val="000000"/>
                <w:sz w:val="16"/>
                <w:szCs w:val="16"/>
                <w:lang w:eastAsia="de-DE"/>
              </w:rPr>
            </w:pPr>
            <w:r w:rsidRPr="00A61D53">
              <w:rPr>
                <w:rFonts w:eastAsia="Times New Roman"/>
                <w:i/>
                <w:color w:val="000000"/>
                <w:sz w:val="16"/>
                <w:szCs w:val="16"/>
                <w:lang w:eastAsia="de-DE"/>
              </w:rPr>
              <w:t>Professional level staff</w:t>
            </w:r>
          </w:p>
        </w:tc>
        <w:tc>
          <w:tcPr>
            <w:tcW w:w="859" w:type="dxa"/>
            <w:tcBorders>
              <w:top w:val="single" w:sz="4" w:space="0" w:color="auto"/>
              <w:left w:val="nil"/>
              <w:bottom w:val="single" w:sz="12" w:space="0" w:color="auto"/>
              <w:right w:val="nil"/>
            </w:tcBorders>
            <w:shd w:val="clear" w:color="auto" w:fill="auto"/>
            <w:noWrap/>
            <w:vAlign w:val="bottom"/>
            <w:hideMark/>
          </w:tcPr>
          <w:p w14:paraId="30F15956" w14:textId="77777777" w:rsidR="00D96136" w:rsidRPr="00A61D53" w:rsidRDefault="00D96136" w:rsidP="00FD7572">
            <w:pPr>
              <w:spacing w:before="40" w:after="40" w:line="180" w:lineRule="exact"/>
              <w:jc w:val="right"/>
              <w:rPr>
                <w:rFonts w:eastAsia="Times New Roman"/>
                <w:i/>
                <w:color w:val="000000"/>
                <w:sz w:val="16"/>
                <w:szCs w:val="16"/>
                <w:lang w:eastAsia="de-DE"/>
              </w:rPr>
            </w:pPr>
            <w:r w:rsidRPr="00A61D53">
              <w:rPr>
                <w:rFonts w:eastAsia="Times New Roman"/>
                <w:i/>
                <w:color w:val="000000"/>
                <w:sz w:val="16"/>
                <w:szCs w:val="16"/>
                <w:lang w:eastAsia="de-DE"/>
              </w:rPr>
              <w:t xml:space="preserve">General </w:t>
            </w:r>
            <w:r w:rsidRPr="00A61D53">
              <w:rPr>
                <w:rFonts w:eastAsia="Times New Roman"/>
                <w:i/>
                <w:iCs/>
                <w:color w:val="000000"/>
                <w:sz w:val="16"/>
                <w:szCs w:val="16"/>
                <w:lang w:eastAsia="de-DE"/>
              </w:rPr>
              <w:t>Service level</w:t>
            </w:r>
            <w:r w:rsidRPr="00A61D53">
              <w:rPr>
                <w:rFonts w:eastAsia="Times New Roman"/>
                <w:i/>
                <w:color w:val="000000"/>
                <w:sz w:val="16"/>
                <w:szCs w:val="16"/>
                <w:lang w:eastAsia="de-DE"/>
              </w:rPr>
              <w:t xml:space="preserve"> staff</w:t>
            </w:r>
          </w:p>
        </w:tc>
      </w:tr>
      <w:tr w:rsidR="00D96136" w:rsidRPr="00A61D53" w14:paraId="1AC4B99D" w14:textId="77777777" w:rsidTr="00FD7572">
        <w:trPr>
          <w:trHeight w:val="33"/>
        </w:trPr>
        <w:tc>
          <w:tcPr>
            <w:tcW w:w="837" w:type="dxa"/>
            <w:tcBorders>
              <w:top w:val="nil"/>
              <w:left w:val="nil"/>
              <w:bottom w:val="nil"/>
              <w:right w:val="nil"/>
            </w:tcBorders>
            <w:shd w:val="clear" w:color="auto" w:fill="auto"/>
            <w:noWrap/>
          </w:tcPr>
          <w:p w14:paraId="484CA591"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b/>
                <w:bCs/>
                <w:color w:val="000000"/>
                <w:sz w:val="18"/>
                <w:szCs w:val="18"/>
              </w:rPr>
              <w:t>101</w:t>
            </w:r>
          </w:p>
        </w:tc>
        <w:tc>
          <w:tcPr>
            <w:tcW w:w="1528" w:type="dxa"/>
            <w:tcBorders>
              <w:top w:val="nil"/>
              <w:left w:val="nil"/>
              <w:bottom w:val="nil"/>
              <w:right w:val="nil"/>
            </w:tcBorders>
          </w:tcPr>
          <w:p w14:paraId="3F7899F8"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b/>
                <w:bCs/>
                <w:color w:val="000000"/>
                <w:sz w:val="18"/>
                <w:szCs w:val="18"/>
              </w:rPr>
              <w:t> </w:t>
            </w:r>
          </w:p>
        </w:tc>
        <w:tc>
          <w:tcPr>
            <w:tcW w:w="4330" w:type="dxa"/>
            <w:tcBorders>
              <w:top w:val="nil"/>
              <w:left w:val="nil"/>
              <w:bottom w:val="nil"/>
              <w:right w:val="nil"/>
            </w:tcBorders>
            <w:shd w:val="clear" w:color="auto" w:fill="auto"/>
          </w:tcPr>
          <w:p w14:paraId="10B7A752"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b/>
                <w:bCs/>
                <w:color w:val="000000"/>
                <w:sz w:val="18"/>
                <w:szCs w:val="18"/>
              </w:rPr>
              <w:t>Intergovernmental engagement</w:t>
            </w:r>
          </w:p>
        </w:tc>
        <w:tc>
          <w:tcPr>
            <w:tcW w:w="1112" w:type="dxa"/>
            <w:tcBorders>
              <w:top w:val="nil"/>
              <w:left w:val="nil"/>
              <w:bottom w:val="nil"/>
              <w:right w:val="nil"/>
            </w:tcBorders>
            <w:shd w:val="clear" w:color="auto" w:fill="auto"/>
            <w:noWrap/>
          </w:tcPr>
          <w:p w14:paraId="709AC1AA" w14:textId="77777777" w:rsidR="00D96136" w:rsidRPr="00A61D53" w:rsidRDefault="00D96136" w:rsidP="00FD7572">
            <w:pPr>
              <w:spacing w:before="40" w:after="40" w:line="200" w:lineRule="exact"/>
              <w:jc w:val="right"/>
              <w:rPr>
                <w:rFonts w:eastAsia="Times New Roman"/>
                <w:color w:val="000000"/>
                <w:sz w:val="18"/>
                <w:szCs w:val="18"/>
                <w:lang w:eastAsia="de-DE"/>
              </w:rPr>
            </w:pPr>
            <w:r>
              <w:rPr>
                <w:b/>
                <w:bCs/>
                <w:color w:val="000000"/>
                <w:sz w:val="18"/>
                <w:szCs w:val="18"/>
              </w:rPr>
              <w:t>5 547 771</w:t>
            </w:r>
          </w:p>
        </w:tc>
        <w:tc>
          <w:tcPr>
            <w:tcW w:w="973" w:type="dxa"/>
            <w:tcBorders>
              <w:top w:val="nil"/>
              <w:left w:val="nil"/>
              <w:bottom w:val="nil"/>
              <w:right w:val="nil"/>
            </w:tcBorders>
            <w:shd w:val="clear" w:color="auto" w:fill="auto"/>
            <w:noWrap/>
          </w:tcPr>
          <w:p w14:paraId="7C047E88" w14:textId="77777777" w:rsidR="00D96136" w:rsidRPr="00A61D53" w:rsidRDefault="00D96136" w:rsidP="00FD7572">
            <w:pPr>
              <w:spacing w:before="40" w:after="40" w:line="200" w:lineRule="exact"/>
              <w:jc w:val="right"/>
              <w:rPr>
                <w:color w:val="000000"/>
                <w:sz w:val="18"/>
                <w:szCs w:val="18"/>
              </w:rPr>
            </w:pPr>
            <w:r>
              <w:rPr>
                <w:b/>
                <w:bCs/>
                <w:color w:val="000000"/>
                <w:sz w:val="18"/>
                <w:szCs w:val="18"/>
              </w:rPr>
              <w:t>6.5</w:t>
            </w:r>
          </w:p>
        </w:tc>
        <w:tc>
          <w:tcPr>
            <w:tcW w:w="859" w:type="dxa"/>
            <w:tcBorders>
              <w:top w:val="nil"/>
              <w:left w:val="nil"/>
              <w:bottom w:val="nil"/>
              <w:right w:val="nil"/>
            </w:tcBorders>
            <w:shd w:val="clear" w:color="auto" w:fill="auto"/>
            <w:noWrap/>
          </w:tcPr>
          <w:p w14:paraId="53771746" w14:textId="77777777" w:rsidR="00D96136" w:rsidRPr="00A61D53" w:rsidRDefault="00D96136" w:rsidP="00FD7572">
            <w:pPr>
              <w:spacing w:before="40" w:after="40" w:line="200" w:lineRule="exact"/>
              <w:jc w:val="right"/>
              <w:rPr>
                <w:color w:val="000000"/>
                <w:sz w:val="18"/>
                <w:szCs w:val="18"/>
              </w:rPr>
            </w:pPr>
            <w:r>
              <w:rPr>
                <w:b/>
                <w:bCs/>
                <w:color w:val="000000"/>
                <w:sz w:val="18"/>
                <w:szCs w:val="18"/>
              </w:rPr>
              <w:t>1.0</w:t>
            </w:r>
          </w:p>
        </w:tc>
      </w:tr>
      <w:tr w:rsidR="00D96136" w:rsidRPr="00A61D53" w14:paraId="18DCB46C" w14:textId="77777777" w:rsidTr="00FD7572">
        <w:trPr>
          <w:trHeight w:val="33"/>
        </w:trPr>
        <w:tc>
          <w:tcPr>
            <w:tcW w:w="837" w:type="dxa"/>
            <w:tcBorders>
              <w:top w:val="nil"/>
              <w:left w:val="nil"/>
              <w:bottom w:val="nil"/>
              <w:right w:val="nil"/>
            </w:tcBorders>
            <w:shd w:val="clear" w:color="auto" w:fill="auto"/>
            <w:noWrap/>
          </w:tcPr>
          <w:p w14:paraId="08118611" w14:textId="77777777" w:rsidR="00D96136" w:rsidRPr="00A61D53" w:rsidRDefault="00D96136" w:rsidP="00FD7572">
            <w:pPr>
              <w:spacing w:before="40" w:after="40" w:line="200" w:lineRule="exact"/>
              <w:rPr>
                <w:rFonts w:eastAsia="Times New Roman"/>
                <w:b/>
                <w:color w:val="000000"/>
                <w:sz w:val="18"/>
                <w:szCs w:val="18"/>
                <w:lang w:eastAsia="de-DE"/>
              </w:rPr>
            </w:pPr>
            <w:r w:rsidRPr="00A61D53">
              <w:rPr>
                <w:color w:val="000000"/>
                <w:sz w:val="18"/>
                <w:szCs w:val="18"/>
              </w:rPr>
              <w:t>101</w:t>
            </w:r>
            <w:r>
              <w:rPr>
                <w:color w:val="000000"/>
                <w:sz w:val="18"/>
                <w:szCs w:val="18"/>
              </w:rPr>
              <w:t>-</w:t>
            </w:r>
            <w:r w:rsidRPr="00A61D53">
              <w:rPr>
                <w:color w:val="000000"/>
                <w:sz w:val="18"/>
                <w:szCs w:val="18"/>
              </w:rPr>
              <w:t>002</w:t>
            </w:r>
          </w:p>
        </w:tc>
        <w:tc>
          <w:tcPr>
            <w:tcW w:w="1528" w:type="dxa"/>
            <w:tcBorders>
              <w:top w:val="nil"/>
              <w:left w:val="nil"/>
              <w:bottom w:val="nil"/>
              <w:right w:val="nil"/>
            </w:tcBorders>
            <w:shd w:val="clear" w:color="auto" w:fill="auto"/>
          </w:tcPr>
          <w:p w14:paraId="2350FF56" w14:textId="77777777" w:rsidR="00D96136" w:rsidRPr="00A61D53" w:rsidRDefault="00D96136" w:rsidP="00FD7572">
            <w:pPr>
              <w:spacing w:before="40" w:after="40" w:line="200" w:lineRule="exact"/>
              <w:rPr>
                <w:rFonts w:eastAsia="Times New Roman"/>
                <w:b/>
                <w:color w:val="000000"/>
                <w:sz w:val="18"/>
                <w:szCs w:val="18"/>
                <w:lang w:eastAsia="de-DE"/>
              </w:rPr>
            </w:pPr>
            <w:r w:rsidRPr="00A61D53">
              <w:rPr>
                <w:color w:val="000000"/>
                <w:sz w:val="18"/>
                <w:szCs w:val="18"/>
              </w:rPr>
              <w:t>Mitigation</w:t>
            </w:r>
          </w:p>
        </w:tc>
        <w:tc>
          <w:tcPr>
            <w:tcW w:w="4330" w:type="dxa"/>
            <w:tcBorders>
              <w:top w:val="nil"/>
              <w:left w:val="nil"/>
              <w:bottom w:val="nil"/>
              <w:right w:val="nil"/>
            </w:tcBorders>
            <w:shd w:val="clear" w:color="auto" w:fill="auto"/>
          </w:tcPr>
          <w:p w14:paraId="756052D1" w14:textId="77777777" w:rsidR="00D96136" w:rsidRPr="00A61D53" w:rsidRDefault="00D96136" w:rsidP="00FD7572">
            <w:pPr>
              <w:spacing w:before="40" w:after="40" w:line="200" w:lineRule="exact"/>
              <w:rPr>
                <w:rFonts w:eastAsia="Times New Roman"/>
                <w:b/>
                <w:color w:val="000000"/>
                <w:sz w:val="18"/>
                <w:szCs w:val="18"/>
                <w:lang w:eastAsia="de-DE"/>
              </w:rPr>
            </w:pPr>
            <w:r w:rsidRPr="00A61D53">
              <w:rPr>
                <w:color w:val="000000"/>
                <w:sz w:val="18"/>
                <w:szCs w:val="18"/>
              </w:rPr>
              <w:t>Catalysation of mitigation implementation through the high</w:t>
            </w:r>
            <w:r>
              <w:rPr>
                <w:color w:val="000000"/>
                <w:sz w:val="18"/>
                <w:szCs w:val="18"/>
              </w:rPr>
              <w:t>-</w:t>
            </w:r>
            <w:r w:rsidRPr="00A61D53">
              <w:rPr>
                <w:color w:val="000000"/>
                <w:sz w:val="18"/>
                <w:szCs w:val="18"/>
              </w:rPr>
              <w:t>level ministerial round table on pre</w:t>
            </w:r>
            <w:r>
              <w:rPr>
                <w:color w:val="000000"/>
                <w:sz w:val="18"/>
                <w:szCs w:val="18"/>
              </w:rPr>
              <w:t>-</w:t>
            </w:r>
            <w:r w:rsidRPr="00A61D53">
              <w:rPr>
                <w:color w:val="000000"/>
                <w:sz w:val="18"/>
                <w:szCs w:val="18"/>
              </w:rPr>
              <w:t>2030 ambition and the work programme for urgently scaling up mitigation ambition and implementation referred to in paragraph 27 of decision 1/CMA.3, and continued support for the implementation of nationally determined contributions and long</w:t>
            </w:r>
            <w:r>
              <w:rPr>
                <w:color w:val="000000"/>
                <w:sz w:val="18"/>
                <w:szCs w:val="18"/>
              </w:rPr>
              <w:t>-</w:t>
            </w:r>
            <w:r w:rsidRPr="00A61D53">
              <w:rPr>
                <w:color w:val="000000"/>
                <w:sz w:val="18"/>
                <w:szCs w:val="18"/>
              </w:rPr>
              <w:t>term low</w:t>
            </w:r>
            <w:r>
              <w:rPr>
                <w:color w:val="000000"/>
                <w:sz w:val="18"/>
                <w:szCs w:val="18"/>
              </w:rPr>
              <w:t>-</w:t>
            </w:r>
            <w:r w:rsidRPr="00A61D53">
              <w:rPr>
                <w:color w:val="000000"/>
                <w:sz w:val="18"/>
                <w:szCs w:val="18"/>
              </w:rPr>
              <w:t>emission development strategies</w:t>
            </w:r>
          </w:p>
        </w:tc>
        <w:tc>
          <w:tcPr>
            <w:tcW w:w="1112" w:type="dxa"/>
            <w:tcBorders>
              <w:top w:val="nil"/>
              <w:left w:val="nil"/>
              <w:bottom w:val="nil"/>
              <w:right w:val="nil"/>
            </w:tcBorders>
            <w:shd w:val="clear" w:color="auto" w:fill="auto"/>
            <w:noWrap/>
          </w:tcPr>
          <w:p w14:paraId="0B560E32" w14:textId="77777777" w:rsidR="00D96136" w:rsidRPr="00A61D53" w:rsidRDefault="00D96136" w:rsidP="00FD7572">
            <w:pPr>
              <w:spacing w:before="40" w:after="40" w:line="200" w:lineRule="exact"/>
              <w:jc w:val="right"/>
              <w:rPr>
                <w:rFonts w:eastAsia="Times New Roman"/>
                <w:b/>
                <w:color w:val="000000"/>
                <w:sz w:val="18"/>
                <w:szCs w:val="18"/>
                <w:lang w:eastAsia="de-DE"/>
              </w:rPr>
            </w:pPr>
            <w:r>
              <w:rPr>
                <w:color w:val="000000"/>
                <w:sz w:val="18"/>
                <w:szCs w:val="18"/>
              </w:rPr>
              <w:t>3 608 045</w:t>
            </w:r>
          </w:p>
        </w:tc>
        <w:tc>
          <w:tcPr>
            <w:tcW w:w="973" w:type="dxa"/>
            <w:tcBorders>
              <w:top w:val="nil"/>
              <w:left w:val="nil"/>
              <w:bottom w:val="nil"/>
              <w:right w:val="nil"/>
            </w:tcBorders>
            <w:shd w:val="clear" w:color="auto" w:fill="auto"/>
            <w:noWrap/>
          </w:tcPr>
          <w:p w14:paraId="7F6B47C9" w14:textId="77777777" w:rsidR="00D96136" w:rsidRPr="00A61D53" w:rsidRDefault="00D96136" w:rsidP="00FD7572">
            <w:pPr>
              <w:spacing w:before="40" w:after="40" w:line="200" w:lineRule="exact"/>
              <w:jc w:val="right"/>
              <w:rPr>
                <w:b/>
                <w:color w:val="000000"/>
                <w:sz w:val="18"/>
                <w:szCs w:val="18"/>
              </w:rPr>
            </w:pPr>
            <w:r>
              <w:rPr>
                <w:color w:val="000000"/>
                <w:sz w:val="18"/>
                <w:szCs w:val="18"/>
              </w:rPr>
              <w:t>2.5</w:t>
            </w:r>
          </w:p>
        </w:tc>
        <w:tc>
          <w:tcPr>
            <w:tcW w:w="859" w:type="dxa"/>
            <w:tcBorders>
              <w:top w:val="nil"/>
              <w:left w:val="nil"/>
              <w:bottom w:val="nil"/>
              <w:right w:val="nil"/>
            </w:tcBorders>
            <w:shd w:val="clear" w:color="auto" w:fill="auto"/>
            <w:noWrap/>
          </w:tcPr>
          <w:p w14:paraId="51ADEFFE" w14:textId="77777777" w:rsidR="00D96136" w:rsidRPr="00A61D53" w:rsidRDefault="00D96136" w:rsidP="00FD7572">
            <w:pPr>
              <w:spacing w:before="40" w:after="40" w:line="200" w:lineRule="exact"/>
              <w:jc w:val="right"/>
              <w:rPr>
                <w:b/>
                <w:color w:val="000000"/>
                <w:sz w:val="18"/>
                <w:szCs w:val="18"/>
              </w:rPr>
            </w:pPr>
            <w:r>
              <w:rPr>
                <w:color w:val="000000"/>
                <w:sz w:val="18"/>
                <w:szCs w:val="18"/>
              </w:rPr>
              <w:t>–</w:t>
            </w:r>
          </w:p>
        </w:tc>
      </w:tr>
      <w:tr w:rsidR="00D96136" w:rsidRPr="00A61D53" w14:paraId="363FC101" w14:textId="77777777" w:rsidTr="00FD7572">
        <w:trPr>
          <w:trHeight w:val="33"/>
        </w:trPr>
        <w:tc>
          <w:tcPr>
            <w:tcW w:w="837" w:type="dxa"/>
            <w:tcBorders>
              <w:top w:val="nil"/>
              <w:left w:val="nil"/>
              <w:bottom w:val="nil"/>
              <w:right w:val="nil"/>
            </w:tcBorders>
            <w:shd w:val="clear" w:color="auto" w:fill="auto"/>
            <w:noWrap/>
          </w:tcPr>
          <w:p w14:paraId="66026235"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101</w:t>
            </w:r>
            <w:r>
              <w:rPr>
                <w:color w:val="000000"/>
                <w:sz w:val="18"/>
                <w:szCs w:val="18"/>
              </w:rPr>
              <w:t>-</w:t>
            </w:r>
            <w:r w:rsidRPr="00A61D53">
              <w:rPr>
                <w:color w:val="000000"/>
                <w:sz w:val="18"/>
                <w:szCs w:val="18"/>
              </w:rPr>
              <w:t>006</w:t>
            </w:r>
          </w:p>
        </w:tc>
        <w:tc>
          <w:tcPr>
            <w:tcW w:w="1528" w:type="dxa"/>
            <w:tcBorders>
              <w:top w:val="nil"/>
              <w:left w:val="nil"/>
              <w:bottom w:val="nil"/>
              <w:right w:val="nil"/>
            </w:tcBorders>
            <w:shd w:val="clear" w:color="auto" w:fill="auto"/>
          </w:tcPr>
          <w:p w14:paraId="047E7655"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Communications and Engagement</w:t>
            </w:r>
          </w:p>
        </w:tc>
        <w:tc>
          <w:tcPr>
            <w:tcW w:w="4330" w:type="dxa"/>
            <w:tcBorders>
              <w:top w:val="nil"/>
              <w:left w:val="nil"/>
              <w:bottom w:val="nil"/>
              <w:right w:val="nil"/>
            </w:tcBorders>
            <w:shd w:val="clear" w:color="auto" w:fill="auto"/>
          </w:tcPr>
          <w:p w14:paraId="028E3DA6" w14:textId="5AF40A2E"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 xml:space="preserve">Facilitation of the effective participation of observer organizations and </w:t>
            </w:r>
            <w:r w:rsidRPr="00A61D53" w:rsidDel="00A60E8C">
              <w:rPr>
                <w:color w:val="000000"/>
                <w:sz w:val="18"/>
                <w:szCs w:val="18"/>
              </w:rPr>
              <w:t xml:space="preserve">other </w:t>
            </w:r>
            <w:r w:rsidRPr="00A61D53">
              <w:rPr>
                <w:color w:val="000000"/>
                <w:sz w:val="18"/>
                <w:szCs w:val="18"/>
              </w:rPr>
              <w:t>non</w:t>
            </w:r>
            <w:r>
              <w:rPr>
                <w:color w:val="000000"/>
                <w:sz w:val="18"/>
                <w:szCs w:val="18"/>
              </w:rPr>
              <w:t>-</w:t>
            </w:r>
            <w:r w:rsidRPr="00A61D53">
              <w:rPr>
                <w:color w:val="000000"/>
                <w:sz w:val="18"/>
                <w:szCs w:val="18"/>
              </w:rPr>
              <w:t>Party stakeholders in established UNFCCC processes</w:t>
            </w:r>
          </w:p>
        </w:tc>
        <w:tc>
          <w:tcPr>
            <w:tcW w:w="1112" w:type="dxa"/>
            <w:tcBorders>
              <w:top w:val="nil"/>
              <w:left w:val="nil"/>
              <w:bottom w:val="nil"/>
              <w:right w:val="nil"/>
            </w:tcBorders>
            <w:shd w:val="clear" w:color="auto" w:fill="auto"/>
            <w:noWrap/>
          </w:tcPr>
          <w:p w14:paraId="25DFC792" w14:textId="77777777" w:rsidR="00D96136" w:rsidRPr="00A61D53" w:rsidRDefault="00D96136" w:rsidP="00FD7572">
            <w:pPr>
              <w:spacing w:before="40" w:after="40" w:line="200" w:lineRule="exact"/>
              <w:jc w:val="right"/>
              <w:rPr>
                <w:rFonts w:eastAsia="Times New Roman"/>
                <w:color w:val="000000"/>
                <w:sz w:val="18"/>
                <w:szCs w:val="18"/>
                <w:lang w:eastAsia="de-DE"/>
              </w:rPr>
            </w:pPr>
            <w:r>
              <w:rPr>
                <w:color w:val="000000"/>
                <w:sz w:val="18"/>
                <w:szCs w:val="18"/>
              </w:rPr>
              <w:t>1 939 726</w:t>
            </w:r>
          </w:p>
        </w:tc>
        <w:tc>
          <w:tcPr>
            <w:tcW w:w="973" w:type="dxa"/>
            <w:tcBorders>
              <w:top w:val="nil"/>
              <w:left w:val="nil"/>
              <w:bottom w:val="nil"/>
              <w:right w:val="nil"/>
            </w:tcBorders>
            <w:shd w:val="clear" w:color="auto" w:fill="auto"/>
            <w:noWrap/>
          </w:tcPr>
          <w:p w14:paraId="14F803B6" w14:textId="77777777" w:rsidR="00D96136" w:rsidRPr="00A61D53" w:rsidRDefault="00D96136" w:rsidP="00FD7572">
            <w:pPr>
              <w:spacing w:before="40" w:after="40" w:line="200" w:lineRule="exact"/>
              <w:jc w:val="right"/>
              <w:rPr>
                <w:color w:val="000000"/>
                <w:sz w:val="18"/>
                <w:szCs w:val="18"/>
              </w:rPr>
            </w:pPr>
            <w:r>
              <w:rPr>
                <w:color w:val="000000"/>
                <w:sz w:val="18"/>
                <w:szCs w:val="18"/>
              </w:rPr>
              <w:t>4.0</w:t>
            </w:r>
          </w:p>
        </w:tc>
        <w:tc>
          <w:tcPr>
            <w:tcW w:w="859" w:type="dxa"/>
            <w:tcBorders>
              <w:top w:val="nil"/>
              <w:left w:val="nil"/>
              <w:bottom w:val="nil"/>
              <w:right w:val="nil"/>
            </w:tcBorders>
            <w:shd w:val="clear" w:color="auto" w:fill="auto"/>
            <w:noWrap/>
          </w:tcPr>
          <w:p w14:paraId="09B3152B" w14:textId="77777777" w:rsidR="00D96136" w:rsidRPr="00A61D53" w:rsidRDefault="00D96136" w:rsidP="00FD7572">
            <w:pPr>
              <w:spacing w:before="40" w:after="40" w:line="200" w:lineRule="exact"/>
              <w:jc w:val="right"/>
              <w:rPr>
                <w:color w:val="000000"/>
                <w:sz w:val="18"/>
                <w:szCs w:val="18"/>
              </w:rPr>
            </w:pPr>
            <w:r>
              <w:rPr>
                <w:color w:val="000000"/>
                <w:sz w:val="18"/>
                <w:szCs w:val="18"/>
              </w:rPr>
              <w:t>1.0</w:t>
            </w:r>
          </w:p>
        </w:tc>
      </w:tr>
      <w:tr w:rsidR="00D96136" w:rsidRPr="00A61D53" w14:paraId="571711FD" w14:textId="77777777" w:rsidTr="00FD7572">
        <w:trPr>
          <w:trHeight w:val="33"/>
        </w:trPr>
        <w:tc>
          <w:tcPr>
            <w:tcW w:w="837" w:type="dxa"/>
            <w:tcBorders>
              <w:top w:val="nil"/>
              <w:left w:val="nil"/>
              <w:bottom w:val="nil"/>
              <w:right w:val="nil"/>
            </w:tcBorders>
            <w:shd w:val="clear" w:color="auto" w:fill="auto"/>
            <w:noWrap/>
          </w:tcPr>
          <w:p w14:paraId="46DC078C"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b/>
                <w:bCs/>
                <w:color w:val="000000"/>
                <w:sz w:val="18"/>
                <w:szCs w:val="18"/>
              </w:rPr>
              <w:t>102</w:t>
            </w:r>
          </w:p>
        </w:tc>
        <w:tc>
          <w:tcPr>
            <w:tcW w:w="1528" w:type="dxa"/>
            <w:tcBorders>
              <w:top w:val="nil"/>
              <w:left w:val="nil"/>
              <w:bottom w:val="nil"/>
              <w:right w:val="nil"/>
            </w:tcBorders>
            <w:shd w:val="clear" w:color="auto" w:fill="auto"/>
          </w:tcPr>
          <w:p w14:paraId="021A6AF1"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b/>
                <w:bCs/>
                <w:color w:val="000000"/>
                <w:sz w:val="18"/>
                <w:szCs w:val="18"/>
              </w:rPr>
              <w:t> </w:t>
            </w:r>
          </w:p>
        </w:tc>
        <w:tc>
          <w:tcPr>
            <w:tcW w:w="4330" w:type="dxa"/>
            <w:tcBorders>
              <w:top w:val="nil"/>
              <w:left w:val="nil"/>
              <w:bottom w:val="nil"/>
              <w:right w:val="nil"/>
            </w:tcBorders>
            <w:shd w:val="clear" w:color="auto" w:fill="auto"/>
          </w:tcPr>
          <w:p w14:paraId="4A85544D"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b/>
                <w:bCs/>
                <w:color w:val="000000"/>
                <w:sz w:val="18"/>
                <w:szCs w:val="18"/>
              </w:rPr>
              <w:t>Intergovernmental processes</w:t>
            </w:r>
          </w:p>
        </w:tc>
        <w:tc>
          <w:tcPr>
            <w:tcW w:w="1112" w:type="dxa"/>
            <w:tcBorders>
              <w:top w:val="nil"/>
              <w:left w:val="nil"/>
              <w:bottom w:val="nil"/>
              <w:right w:val="nil"/>
            </w:tcBorders>
            <w:shd w:val="clear" w:color="auto" w:fill="auto"/>
            <w:noWrap/>
          </w:tcPr>
          <w:p w14:paraId="77FFE304" w14:textId="77777777" w:rsidR="00D96136" w:rsidRPr="00A61D53" w:rsidRDefault="00D96136" w:rsidP="00FD7572">
            <w:pPr>
              <w:spacing w:before="40" w:after="40" w:line="200" w:lineRule="exact"/>
              <w:jc w:val="right"/>
              <w:rPr>
                <w:rFonts w:eastAsia="Times New Roman"/>
                <w:color w:val="000000"/>
                <w:sz w:val="18"/>
                <w:szCs w:val="18"/>
                <w:lang w:eastAsia="de-DE"/>
              </w:rPr>
            </w:pPr>
            <w:r>
              <w:rPr>
                <w:b/>
                <w:bCs/>
                <w:color w:val="000000"/>
                <w:sz w:val="18"/>
                <w:szCs w:val="18"/>
              </w:rPr>
              <w:t>3 566 476</w:t>
            </w:r>
          </w:p>
        </w:tc>
        <w:tc>
          <w:tcPr>
            <w:tcW w:w="973" w:type="dxa"/>
            <w:tcBorders>
              <w:top w:val="nil"/>
              <w:left w:val="nil"/>
              <w:bottom w:val="nil"/>
              <w:right w:val="nil"/>
            </w:tcBorders>
            <w:shd w:val="clear" w:color="auto" w:fill="auto"/>
            <w:noWrap/>
          </w:tcPr>
          <w:p w14:paraId="2EB50784" w14:textId="77777777" w:rsidR="00D96136" w:rsidRPr="00A61D53" w:rsidRDefault="00D96136" w:rsidP="00FD7572">
            <w:pPr>
              <w:spacing w:before="40" w:after="40" w:line="200" w:lineRule="exact"/>
              <w:jc w:val="right"/>
              <w:rPr>
                <w:color w:val="000000"/>
                <w:sz w:val="18"/>
                <w:szCs w:val="18"/>
              </w:rPr>
            </w:pPr>
            <w:r>
              <w:rPr>
                <w:b/>
                <w:bCs/>
                <w:color w:val="000000"/>
                <w:sz w:val="18"/>
                <w:szCs w:val="18"/>
              </w:rPr>
              <w:t>6.4</w:t>
            </w:r>
          </w:p>
        </w:tc>
        <w:tc>
          <w:tcPr>
            <w:tcW w:w="859" w:type="dxa"/>
            <w:tcBorders>
              <w:top w:val="nil"/>
              <w:left w:val="nil"/>
              <w:bottom w:val="nil"/>
              <w:right w:val="nil"/>
            </w:tcBorders>
            <w:shd w:val="clear" w:color="auto" w:fill="auto"/>
            <w:noWrap/>
          </w:tcPr>
          <w:p w14:paraId="71EE1E8E" w14:textId="77777777" w:rsidR="00D96136" w:rsidRPr="00A61D53" w:rsidRDefault="00D96136" w:rsidP="00FD7572">
            <w:pPr>
              <w:spacing w:before="40" w:after="40" w:line="200" w:lineRule="exact"/>
              <w:jc w:val="right"/>
              <w:rPr>
                <w:color w:val="000000"/>
                <w:sz w:val="18"/>
                <w:szCs w:val="18"/>
              </w:rPr>
            </w:pPr>
            <w:r>
              <w:rPr>
                <w:b/>
                <w:bCs/>
                <w:color w:val="000000"/>
                <w:sz w:val="18"/>
                <w:szCs w:val="18"/>
              </w:rPr>
              <w:t>1.2</w:t>
            </w:r>
          </w:p>
        </w:tc>
      </w:tr>
      <w:tr w:rsidR="00D96136" w:rsidRPr="00A61D53" w14:paraId="1D40B602" w14:textId="77777777" w:rsidTr="00FD7572">
        <w:trPr>
          <w:trHeight w:val="33"/>
        </w:trPr>
        <w:tc>
          <w:tcPr>
            <w:tcW w:w="837" w:type="dxa"/>
            <w:tcBorders>
              <w:top w:val="nil"/>
              <w:left w:val="nil"/>
              <w:bottom w:val="nil"/>
              <w:right w:val="nil"/>
            </w:tcBorders>
            <w:shd w:val="clear" w:color="auto" w:fill="auto"/>
            <w:noWrap/>
          </w:tcPr>
          <w:p w14:paraId="2B1A0009"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102</w:t>
            </w:r>
            <w:r>
              <w:rPr>
                <w:color w:val="000000"/>
                <w:sz w:val="18"/>
                <w:szCs w:val="18"/>
              </w:rPr>
              <w:t>-</w:t>
            </w:r>
            <w:r w:rsidRPr="00A61D53">
              <w:rPr>
                <w:color w:val="000000"/>
                <w:sz w:val="18"/>
                <w:szCs w:val="18"/>
              </w:rPr>
              <w:t>002</w:t>
            </w:r>
          </w:p>
        </w:tc>
        <w:tc>
          <w:tcPr>
            <w:tcW w:w="1528" w:type="dxa"/>
            <w:tcBorders>
              <w:top w:val="nil"/>
              <w:left w:val="nil"/>
              <w:bottom w:val="nil"/>
              <w:right w:val="nil"/>
            </w:tcBorders>
            <w:shd w:val="clear" w:color="auto" w:fill="auto"/>
          </w:tcPr>
          <w:p w14:paraId="1F802D0B"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Mitigation</w:t>
            </w:r>
          </w:p>
        </w:tc>
        <w:tc>
          <w:tcPr>
            <w:tcW w:w="4330" w:type="dxa"/>
            <w:tcBorders>
              <w:top w:val="nil"/>
              <w:left w:val="nil"/>
              <w:bottom w:val="nil"/>
              <w:right w:val="nil"/>
            </w:tcBorders>
            <w:shd w:val="clear" w:color="auto" w:fill="auto"/>
          </w:tcPr>
          <w:p w14:paraId="134CB552"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Support for the operationalization of Article 6, paragraphs 2 and 8, of the Paris Agreement and the implementation of response measures</w:t>
            </w:r>
          </w:p>
        </w:tc>
        <w:tc>
          <w:tcPr>
            <w:tcW w:w="1112" w:type="dxa"/>
            <w:tcBorders>
              <w:top w:val="nil"/>
              <w:left w:val="nil"/>
              <w:bottom w:val="nil"/>
              <w:right w:val="nil"/>
            </w:tcBorders>
            <w:shd w:val="clear" w:color="auto" w:fill="auto"/>
            <w:noWrap/>
          </w:tcPr>
          <w:p w14:paraId="00D4D8B8" w14:textId="77777777" w:rsidR="00D96136" w:rsidRPr="00A61D53" w:rsidRDefault="00D96136" w:rsidP="00FD7572">
            <w:pPr>
              <w:spacing w:before="40" w:after="40" w:line="200" w:lineRule="exact"/>
              <w:jc w:val="right"/>
              <w:rPr>
                <w:rFonts w:eastAsia="Times New Roman"/>
                <w:color w:val="000000"/>
                <w:sz w:val="18"/>
                <w:szCs w:val="18"/>
                <w:lang w:eastAsia="de-DE"/>
              </w:rPr>
            </w:pPr>
            <w:r>
              <w:rPr>
                <w:color w:val="000000"/>
                <w:sz w:val="18"/>
                <w:szCs w:val="18"/>
              </w:rPr>
              <w:t>1 049 844</w:t>
            </w:r>
          </w:p>
        </w:tc>
        <w:tc>
          <w:tcPr>
            <w:tcW w:w="973" w:type="dxa"/>
            <w:tcBorders>
              <w:top w:val="nil"/>
              <w:left w:val="nil"/>
              <w:bottom w:val="nil"/>
              <w:right w:val="nil"/>
            </w:tcBorders>
            <w:shd w:val="clear" w:color="auto" w:fill="auto"/>
            <w:noWrap/>
          </w:tcPr>
          <w:p w14:paraId="008ABABA" w14:textId="77777777" w:rsidR="00D96136" w:rsidRPr="00A61D53" w:rsidRDefault="00D96136" w:rsidP="00FD7572">
            <w:pPr>
              <w:spacing w:before="40" w:after="40" w:line="200" w:lineRule="exact"/>
              <w:jc w:val="right"/>
              <w:rPr>
                <w:color w:val="000000"/>
                <w:sz w:val="18"/>
                <w:szCs w:val="18"/>
              </w:rPr>
            </w:pPr>
            <w:r>
              <w:rPr>
                <w:color w:val="000000"/>
                <w:sz w:val="18"/>
                <w:szCs w:val="18"/>
              </w:rPr>
              <w:t>1.0</w:t>
            </w:r>
          </w:p>
        </w:tc>
        <w:tc>
          <w:tcPr>
            <w:tcW w:w="859" w:type="dxa"/>
            <w:tcBorders>
              <w:top w:val="nil"/>
              <w:left w:val="nil"/>
              <w:bottom w:val="nil"/>
              <w:right w:val="nil"/>
            </w:tcBorders>
            <w:shd w:val="clear" w:color="auto" w:fill="auto"/>
            <w:noWrap/>
          </w:tcPr>
          <w:p w14:paraId="652A27AB" w14:textId="77777777" w:rsidR="00D96136" w:rsidRPr="00A61D53" w:rsidRDefault="00D96136" w:rsidP="00FD7572">
            <w:pPr>
              <w:spacing w:before="40" w:after="40" w:line="200" w:lineRule="exact"/>
              <w:jc w:val="right"/>
              <w:rPr>
                <w:color w:val="000000"/>
                <w:sz w:val="18"/>
                <w:szCs w:val="18"/>
              </w:rPr>
            </w:pPr>
            <w:r>
              <w:rPr>
                <w:color w:val="000000"/>
                <w:sz w:val="18"/>
                <w:szCs w:val="18"/>
              </w:rPr>
              <w:t>–</w:t>
            </w:r>
          </w:p>
        </w:tc>
      </w:tr>
      <w:tr w:rsidR="00D96136" w:rsidRPr="00A61D53" w14:paraId="2C3BBC41" w14:textId="77777777" w:rsidTr="00FD7572">
        <w:trPr>
          <w:trHeight w:val="74"/>
        </w:trPr>
        <w:tc>
          <w:tcPr>
            <w:tcW w:w="837" w:type="dxa"/>
            <w:tcBorders>
              <w:top w:val="nil"/>
              <w:left w:val="nil"/>
              <w:bottom w:val="nil"/>
              <w:right w:val="nil"/>
            </w:tcBorders>
            <w:shd w:val="clear" w:color="auto" w:fill="auto"/>
            <w:noWrap/>
          </w:tcPr>
          <w:p w14:paraId="56931EA7"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102</w:t>
            </w:r>
            <w:r>
              <w:rPr>
                <w:color w:val="000000"/>
                <w:sz w:val="18"/>
                <w:szCs w:val="18"/>
              </w:rPr>
              <w:t>-</w:t>
            </w:r>
            <w:r w:rsidRPr="00A61D53">
              <w:rPr>
                <w:color w:val="000000"/>
                <w:sz w:val="18"/>
                <w:szCs w:val="18"/>
              </w:rPr>
              <w:t>004</w:t>
            </w:r>
          </w:p>
        </w:tc>
        <w:tc>
          <w:tcPr>
            <w:tcW w:w="1528" w:type="dxa"/>
            <w:tcBorders>
              <w:top w:val="nil"/>
              <w:left w:val="nil"/>
              <w:bottom w:val="nil"/>
              <w:right w:val="nil"/>
            </w:tcBorders>
            <w:shd w:val="clear" w:color="auto" w:fill="auto"/>
          </w:tcPr>
          <w:p w14:paraId="650BC1C9"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Transparency</w:t>
            </w:r>
          </w:p>
        </w:tc>
        <w:tc>
          <w:tcPr>
            <w:tcW w:w="4330" w:type="dxa"/>
            <w:tcBorders>
              <w:top w:val="nil"/>
              <w:left w:val="nil"/>
              <w:bottom w:val="nil"/>
              <w:right w:val="nil"/>
            </w:tcBorders>
            <w:shd w:val="clear" w:color="auto" w:fill="auto"/>
          </w:tcPr>
          <w:p w14:paraId="0F16230D"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Comprehensive support for the technical reviews of national reports under the enhanced transparency framework and measurement, reporting and verification processes</w:t>
            </w:r>
          </w:p>
        </w:tc>
        <w:tc>
          <w:tcPr>
            <w:tcW w:w="1112" w:type="dxa"/>
            <w:tcBorders>
              <w:top w:val="nil"/>
              <w:left w:val="nil"/>
              <w:bottom w:val="nil"/>
              <w:right w:val="nil"/>
            </w:tcBorders>
            <w:shd w:val="clear" w:color="auto" w:fill="auto"/>
            <w:noWrap/>
          </w:tcPr>
          <w:p w14:paraId="5F4B53D5" w14:textId="77777777" w:rsidR="00D96136" w:rsidRPr="00A61D53" w:rsidRDefault="00D96136" w:rsidP="00FD7572">
            <w:pPr>
              <w:spacing w:before="40" w:after="40" w:line="200" w:lineRule="exact"/>
              <w:jc w:val="right"/>
              <w:rPr>
                <w:rFonts w:eastAsia="Times New Roman"/>
                <w:color w:val="000000"/>
                <w:sz w:val="18"/>
                <w:szCs w:val="18"/>
                <w:lang w:eastAsia="de-DE"/>
              </w:rPr>
            </w:pPr>
            <w:r>
              <w:rPr>
                <w:color w:val="000000"/>
                <w:sz w:val="18"/>
                <w:szCs w:val="18"/>
              </w:rPr>
              <w:t xml:space="preserve"> 463 049</w:t>
            </w:r>
          </w:p>
        </w:tc>
        <w:tc>
          <w:tcPr>
            <w:tcW w:w="973" w:type="dxa"/>
            <w:tcBorders>
              <w:top w:val="nil"/>
              <w:left w:val="nil"/>
              <w:bottom w:val="nil"/>
              <w:right w:val="nil"/>
            </w:tcBorders>
            <w:shd w:val="clear" w:color="auto" w:fill="auto"/>
            <w:noWrap/>
          </w:tcPr>
          <w:p w14:paraId="67DBEF5D" w14:textId="77777777" w:rsidR="00D96136" w:rsidRPr="00A61D53" w:rsidRDefault="00D96136" w:rsidP="00FD7572">
            <w:pPr>
              <w:spacing w:before="40" w:after="40" w:line="200" w:lineRule="exact"/>
              <w:jc w:val="right"/>
              <w:rPr>
                <w:color w:val="000000"/>
                <w:sz w:val="18"/>
                <w:szCs w:val="18"/>
              </w:rPr>
            </w:pPr>
            <w:r>
              <w:rPr>
                <w:color w:val="000000"/>
                <w:sz w:val="18"/>
                <w:szCs w:val="18"/>
              </w:rPr>
              <w:t>0.4</w:t>
            </w:r>
          </w:p>
        </w:tc>
        <w:tc>
          <w:tcPr>
            <w:tcW w:w="859" w:type="dxa"/>
            <w:tcBorders>
              <w:top w:val="nil"/>
              <w:left w:val="nil"/>
              <w:bottom w:val="nil"/>
              <w:right w:val="nil"/>
            </w:tcBorders>
            <w:shd w:val="clear" w:color="auto" w:fill="auto"/>
            <w:noWrap/>
          </w:tcPr>
          <w:p w14:paraId="7B7AAC95" w14:textId="77777777" w:rsidR="00D96136" w:rsidRPr="00A61D53" w:rsidRDefault="00D96136" w:rsidP="00FD7572">
            <w:pPr>
              <w:spacing w:before="40" w:after="40" w:line="200" w:lineRule="exact"/>
              <w:jc w:val="right"/>
              <w:rPr>
                <w:color w:val="000000"/>
                <w:sz w:val="18"/>
                <w:szCs w:val="18"/>
              </w:rPr>
            </w:pPr>
            <w:r>
              <w:rPr>
                <w:color w:val="000000"/>
                <w:sz w:val="18"/>
                <w:szCs w:val="18"/>
              </w:rPr>
              <w:t>0.2</w:t>
            </w:r>
          </w:p>
        </w:tc>
      </w:tr>
      <w:tr w:rsidR="00D96136" w:rsidRPr="00A61D53" w14:paraId="1E4E3825" w14:textId="77777777" w:rsidTr="00FD7572">
        <w:trPr>
          <w:trHeight w:val="33"/>
        </w:trPr>
        <w:tc>
          <w:tcPr>
            <w:tcW w:w="837" w:type="dxa"/>
            <w:tcBorders>
              <w:top w:val="nil"/>
              <w:left w:val="nil"/>
              <w:bottom w:val="nil"/>
              <w:right w:val="nil"/>
            </w:tcBorders>
            <w:shd w:val="clear" w:color="auto" w:fill="auto"/>
            <w:noWrap/>
          </w:tcPr>
          <w:p w14:paraId="0AB1C14A"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102</w:t>
            </w:r>
            <w:r>
              <w:rPr>
                <w:color w:val="000000"/>
                <w:sz w:val="18"/>
                <w:szCs w:val="18"/>
              </w:rPr>
              <w:t>-</w:t>
            </w:r>
            <w:r w:rsidRPr="00A61D53">
              <w:rPr>
                <w:color w:val="000000"/>
                <w:sz w:val="18"/>
                <w:szCs w:val="18"/>
              </w:rPr>
              <w:t>006</w:t>
            </w:r>
          </w:p>
        </w:tc>
        <w:tc>
          <w:tcPr>
            <w:tcW w:w="1528" w:type="dxa"/>
            <w:tcBorders>
              <w:top w:val="nil"/>
              <w:left w:val="nil"/>
              <w:bottom w:val="nil"/>
              <w:right w:val="nil"/>
            </w:tcBorders>
            <w:shd w:val="clear" w:color="auto" w:fill="auto"/>
          </w:tcPr>
          <w:p w14:paraId="6050E5C9"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Communications and Engagement</w:t>
            </w:r>
          </w:p>
        </w:tc>
        <w:tc>
          <w:tcPr>
            <w:tcW w:w="4330" w:type="dxa"/>
            <w:tcBorders>
              <w:top w:val="nil"/>
              <w:left w:val="nil"/>
              <w:bottom w:val="nil"/>
              <w:right w:val="nil"/>
            </w:tcBorders>
            <w:shd w:val="clear" w:color="auto" w:fill="auto"/>
          </w:tcPr>
          <w:p w14:paraId="1A8C28D0" w14:textId="314E384A"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Mobilization of non</w:t>
            </w:r>
            <w:r>
              <w:rPr>
                <w:color w:val="000000"/>
                <w:sz w:val="18"/>
                <w:szCs w:val="18"/>
              </w:rPr>
              <w:t>-</w:t>
            </w:r>
            <w:r w:rsidRPr="00A61D53">
              <w:rPr>
                <w:color w:val="000000"/>
                <w:sz w:val="18"/>
                <w:szCs w:val="18"/>
              </w:rPr>
              <w:t>Party stakeholders, including developing climate action events at sessions of the governing bodies and other impactful platforms</w:t>
            </w:r>
          </w:p>
        </w:tc>
        <w:tc>
          <w:tcPr>
            <w:tcW w:w="1112" w:type="dxa"/>
            <w:tcBorders>
              <w:top w:val="nil"/>
              <w:left w:val="nil"/>
              <w:bottom w:val="nil"/>
              <w:right w:val="nil"/>
            </w:tcBorders>
            <w:shd w:val="clear" w:color="auto" w:fill="auto"/>
            <w:noWrap/>
          </w:tcPr>
          <w:p w14:paraId="0E067068" w14:textId="77777777" w:rsidR="00D96136" w:rsidRPr="00A61D53" w:rsidRDefault="00D96136" w:rsidP="00FD7572">
            <w:pPr>
              <w:spacing w:before="40" w:after="40" w:line="200" w:lineRule="exact"/>
              <w:jc w:val="right"/>
              <w:rPr>
                <w:rFonts w:eastAsia="Times New Roman"/>
                <w:color w:val="000000"/>
                <w:sz w:val="18"/>
                <w:szCs w:val="18"/>
                <w:lang w:eastAsia="de-DE"/>
              </w:rPr>
            </w:pPr>
            <w:r>
              <w:rPr>
                <w:color w:val="000000"/>
                <w:sz w:val="18"/>
                <w:szCs w:val="18"/>
              </w:rPr>
              <w:t>1 397 085</w:t>
            </w:r>
          </w:p>
        </w:tc>
        <w:tc>
          <w:tcPr>
            <w:tcW w:w="973" w:type="dxa"/>
            <w:tcBorders>
              <w:top w:val="nil"/>
              <w:left w:val="nil"/>
              <w:bottom w:val="nil"/>
              <w:right w:val="nil"/>
            </w:tcBorders>
            <w:shd w:val="clear" w:color="auto" w:fill="auto"/>
            <w:noWrap/>
          </w:tcPr>
          <w:p w14:paraId="28130C24" w14:textId="77777777" w:rsidR="00D96136" w:rsidRPr="00A61D53" w:rsidRDefault="00D96136" w:rsidP="00FD7572">
            <w:pPr>
              <w:spacing w:before="40" w:after="40" w:line="200" w:lineRule="exact"/>
              <w:jc w:val="right"/>
              <w:rPr>
                <w:color w:val="000000"/>
                <w:sz w:val="18"/>
                <w:szCs w:val="18"/>
              </w:rPr>
            </w:pPr>
            <w:r>
              <w:rPr>
                <w:color w:val="000000"/>
                <w:sz w:val="18"/>
                <w:szCs w:val="18"/>
              </w:rPr>
              <w:t>3.0</w:t>
            </w:r>
          </w:p>
        </w:tc>
        <w:tc>
          <w:tcPr>
            <w:tcW w:w="859" w:type="dxa"/>
            <w:tcBorders>
              <w:top w:val="nil"/>
              <w:left w:val="nil"/>
              <w:bottom w:val="nil"/>
              <w:right w:val="nil"/>
            </w:tcBorders>
            <w:shd w:val="clear" w:color="auto" w:fill="auto"/>
            <w:noWrap/>
          </w:tcPr>
          <w:p w14:paraId="7DC58A0E" w14:textId="77777777" w:rsidR="00D96136" w:rsidRPr="00A61D53" w:rsidRDefault="00D96136" w:rsidP="00FD7572">
            <w:pPr>
              <w:spacing w:before="40" w:after="40" w:line="200" w:lineRule="exact"/>
              <w:jc w:val="right"/>
              <w:rPr>
                <w:color w:val="000000"/>
                <w:sz w:val="18"/>
                <w:szCs w:val="18"/>
              </w:rPr>
            </w:pPr>
            <w:r>
              <w:rPr>
                <w:color w:val="000000"/>
                <w:sz w:val="18"/>
                <w:szCs w:val="18"/>
              </w:rPr>
              <w:t>1.0</w:t>
            </w:r>
          </w:p>
        </w:tc>
      </w:tr>
      <w:tr w:rsidR="00D96136" w:rsidRPr="00A61D53" w14:paraId="27759211" w14:textId="77777777" w:rsidTr="00FD7572">
        <w:trPr>
          <w:trHeight w:val="33"/>
        </w:trPr>
        <w:tc>
          <w:tcPr>
            <w:tcW w:w="837" w:type="dxa"/>
            <w:tcBorders>
              <w:top w:val="nil"/>
              <w:left w:val="nil"/>
              <w:bottom w:val="nil"/>
              <w:right w:val="nil"/>
            </w:tcBorders>
            <w:shd w:val="clear" w:color="auto" w:fill="auto"/>
            <w:noWrap/>
          </w:tcPr>
          <w:p w14:paraId="39CC9D10"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102</w:t>
            </w:r>
            <w:r>
              <w:rPr>
                <w:color w:val="000000"/>
                <w:sz w:val="18"/>
                <w:szCs w:val="18"/>
              </w:rPr>
              <w:t>-</w:t>
            </w:r>
            <w:r w:rsidRPr="00A61D53">
              <w:rPr>
                <w:color w:val="000000"/>
                <w:sz w:val="18"/>
                <w:szCs w:val="18"/>
              </w:rPr>
              <w:t>006</w:t>
            </w:r>
          </w:p>
        </w:tc>
        <w:tc>
          <w:tcPr>
            <w:tcW w:w="1528" w:type="dxa"/>
            <w:tcBorders>
              <w:top w:val="nil"/>
              <w:left w:val="nil"/>
              <w:bottom w:val="nil"/>
              <w:right w:val="nil"/>
            </w:tcBorders>
            <w:shd w:val="clear" w:color="auto" w:fill="auto"/>
          </w:tcPr>
          <w:p w14:paraId="79B23C6F"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Communications and Engagement</w:t>
            </w:r>
          </w:p>
        </w:tc>
        <w:tc>
          <w:tcPr>
            <w:tcW w:w="4330" w:type="dxa"/>
            <w:tcBorders>
              <w:top w:val="nil"/>
              <w:left w:val="nil"/>
              <w:bottom w:val="nil"/>
              <w:right w:val="nil"/>
            </w:tcBorders>
            <w:shd w:val="clear" w:color="auto" w:fill="auto"/>
          </w:tcPr>
          <w:p w14:paraId="45C5756B"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Comprehensive support for work related to gender, including enhancing inclusive stakeholder engagement</w:t>
            </w:r>
          </w:p>
        </w:tc>
        <w:tc>
          <w:tcPr>
            <w:tcW w:w="1112" w:type="dxa"/>
            <w:tcBorders>
              <w:top w:val="nil"/>
              <w:left w:val="nil"/>
              <w:bottom w:val="nil"/>
              <w:right w:val="nil"/>
            </w:tcBorders>
            <w:shd w:val="clear" w:color="auto" w:fill="auto"/>
            <w:noWrap/>
          </w:tcPr>
          <w:p w14:paraId="433676E4" w14:textId="77777777" w:rsidR="00D96136" w:rsidRPr="00A61D53" w:rsidRDefault="00D96136" w:rsidP="00FD7572">
            <w:pPr>
              <w:spacing w:before="40" w:after="40" w:line="200" w:lineRule="exact"/>
              <w:jc w:val="right"/>
              <w:rPr>
                <w:rFonts w:eastAsia="Times New Roman"/>
                <w:color w:val="000000"/>
                <w:sz w:val="18"/>
                <w:szCs w:val="18"/>
                <w:lang w:eastAsia="de-DE"/>
              </w:rPr>
            </w:pPr>
            <w:r>
              <w:rPr>
                <w:color w:val="000000"/>
                <w:sz w:val="18"/>
                <w:szCs w:val="18"/>
              </w:rPr>
              <w:t xml:space="preserve"> 656 498</w:t>
            </w:r>
          </w:p>
        </w:tc>
        <w:tc>
          <w:tcPr>
            <w:tcW w:w="973" w:type="dxa"/>
            <w:tcBorders>
              <w:top w:val="nil"/>
              <w:left w:val="nil"/>
              <w:bottom w:val="nil"/>
              <w:right w:val="nil"/>
            </w:tcBorders>
            <w:shd w:val="clear" w:color="auto" w:fill="auto"/>
            <w:noWrap/>
          </w:tcPr>
          <w:p w14:paraId="1B7BEDAF" w14:textId="77777777" w:rsidR="00D96136" w:rsidRPr="00A61D53" w:rsidRDefault="00D96136" w:rsidP="00FD7572">
            <w:pPr>
              <w:spacing w:before="40" w:after="40" w:line="200" w:lineRule="exact"/>
              <w:jc w:val="right"/>
              <w:rPr>
                <w:color w:val="000000"/>
                <w:sz w:val="18"/>
                <w:szCs w:val="18"/>
              </w:rPr>
            </w:pPr>
            <w:r>
              <w:rPr>
                <w:color w:val="000000"/>
                <w:sz w:val="18"/>
                <w:szCs w:val="18"/>
              </w:rPr>
              <w:t>2.0</w:t>
            </w:r>
          </w:p>
        </w:tc>
        <w:tc>
          <w:tcPr>
            <w:tcW w:w="859" w:type="dxa"/>
            <w:tcBorders>
              <w:top w:val="nil"/>
              <w:left w:val="nil"/>
              <w:bottom w:val="nil"/>
              <w:right w:val="nil"/>
            </w:tcBorders>
            <w:shd w:val="clear" w:color="auto" w:fill="auto"/>
            <w:noWrap/>
          </w:tcPr>
          <w:p w14:paraId="7C5A18C7" w14:textId="77777777" w:rsidR="00D96136" w:rsidRPr="00A61D53" w:rsidRDefault="00D96136" w:rsidP="00FD7572">
            <w:pPr>
              <w:spacing w:before="40" w:after="40" w:line="200" w:lineRule="exact"/>
              <w:jc w:val="right"/>
              <w:rPr>
                <w:color w:val="000000"/>
                <w:sz w:val="18"/>
                <w:szCs w:val="18"/>
              </w:rPr>
            </w:pPr>
            <w:r>
              <w:rPr>
                <w:color w:val="000000"/>
                <w:sz w:val="18"/>
                <w:szCs w:val="18"/>
              </w:rPr>
              <w:t>–</w:t>
            </w:r>
          </w:p>
        </w:tc>
      </w:tr>
      <w:tr w:rsidR="00D96136" w:rsidRPr="00A61D53" w14:paraId="1000F40F" w14:textId="77777777" w:rsidTr="00FD7572">
        <w:trPr>
          <w:trHeight w:val="33"/>
        </w:trPr>
        <w:tc>
          <w:tcPr>
            <w:tcW w:w="837" w:type="dxa"/>
            <w:tcBorders>
              <w:top w:val="nil"/>
              <w:left w:val="nil"/>
              <w:bottom w:val="nil"/>
              <w:right w:val="nil"/>
            </w:tcBorders>
            <w:shd w:val="clear" w:color="auto" w:fill="auto"/>
            <w:noWrap/>
          </w:tcPr>
          <w:p w14:paraId="64714EBF" w14:textId="77777777" w:rsidR="00D96136" w:rsidRPr="00A61D53" w:rsidRDefault="00D96136" w:rsidP="00FD7572">
            <w:pPr>
              <w:spacing w:before="40" w:after="40" w:line="200" w:lineRule="exact"/>
              <w:rPr>
                <w:rFonts w:eastAsia="Times New Roman"/>
                <w:b/>
                <w:color w:val="000000"/>
                <w:sz w:val="18"/>
                <w:szCs w:val="18"/>
                <w:lang w:eastAsia="de-DE"/>
              </w:rPr>
            </w:pPr>
            <w:r w:rsidRPr="00A61D53">
              <w:rPr>
                <w:b/>
                <w:bCs/>
                <w:color w:val="000000"/>
                <w:sz w:val="18"/>
                <w:szCs w:val="18"/>
              </w:rPr>
              <w:t>200</w:t>
            </w:r>
          </w:p>
        </w:tc>
        <w:tc>
          <w:tcPr>
            <w:tcW w:w="1528" w:type="dxa"/>
            <w:tcBorders>
              <w:top w:val="nil"/>
              <w:left w:val="nil"/>
              <w:bottom w:val="nil"/>
              <w:right w:val="nil"/>
            </w:tcBorders>
            <w:shd w:val="clear" w:color="auto" w:fill="auto"/>
          </w:tcPr>
          <w:p w14:paraId="69E6D48B" w14:textId="77777777" w:rsidR="00D96136" w:rsidRPr="00A61D53" w:rsidRDefault="00D96136" w:rsidP="00FD7572">
            <w:pPr>
              <w:spacing w:before="40" w:after="40" w:line="200" w:lineRule="exact"/>
              <w:rPr>
                <w:rFonts w:eastAsia="Times New Roman"/>
                <w:b/>
                <w:color w:val="000000"/>
                <w:sz w:val="18"/>
                <w:szCs w:val="18"/>
                <w:lang w:eastAsia="de-DE"/>
              </w:rPr>
            </w:pPr>
            <w:r w:rsidRPr="00A61D53">
              <w:rPr>
                <w:b/>
                <w:bCs/>
                <w:color w:val="000000"/>
                <w:sz w:val="18"/>
                <w:szCs w:val="18"/>
              </w:rPr>
              <w:t> </w:t>
            </w:r>
          </w:p>
        </w:tc>
        <w:tc>
          <w:tcPr>
            <w:tcW w:w="4330" w:type="dxa"/>
            <w:tcBorders>
              <w:top w:val="nil"/>
              <w:left w:val="nil"/>
              <w:bottom w:val="nil"/>
              <w:right w:val="nil"/>
            </w:tcBorders>
            <w:shd w:val="clear" w:color="auto" w:fill="auto"/>
          </w:tcPr>
          <w:p w14:paraId="5774CC8F" w14:textId="77777777" w:rsidR="00D96136" w:rsidRPr="00A61D53" w:rsidRDefault="00D96136" w:rsidP="00FD7572">
            <w:pPr>
              <w:spacing w:before="40" w:after="40" w:line="200" w:lineRule="exact"/>
              <w:rPr>
                <w:rFonts w:eastAsia="Times New Roman"/>
                <w:b/>
                <w:color w:val="000000"/>
                <w:sz w:val="18"/>
                <w:szCs w:val="18"/>
                <w:lang w:eastAsia="de-DE"/>
              </w:rPr>
            </w:pPr>
            <w:r w:rsidRPr="00A61D53">
              <w:rPr>
                <w:b/>
                <w:bCs/>
                <w:color w:val="000000"/>
                <w:sz w:val="18"/>
                <w:szCs w:val="18"/>
              </w:rPr>
              <w:t>Constituted bodies</w:t>
            </w:r>
          </w:p>
        </w:tc>
        <w:tc>
          <w:tcPr>
            <w:tcW w:w="1112" w:type="dxa"/>
            <w:tcBorders>
              <w:top w:val="nil"/>
              <w:left w:val="nil"/>
              <w:bottom w:val="nil"/>
              <w:right w:val="nil"/>
            </w:tcBorders>
            <w:shd w:val="clear" w:color="auto" w:fill="auto"/>
            <w:noWrap/>
          </w:tcPr>
          <w:p w14:paraId="36D871A7" w14:textId="77777777" w:rsidR="00D96136" w:rsidRPr="00A61D53" w:rsidRDefault="00D96136" w:rsidP="00FD7572">
            <w:pPr>
              <w:spacing w:before="40" w:after="40" w:line="200" w:lineRule="exact"/>
              <w:jc w:val="right"/>
              <w:rPr>
                <w:rFonts w:eastAsia="Times New Roman"/>
                <w:b/>
                <w:color w:val="000000"/>
                <w:sz w:val="18"/>
                <w:szCs w:val="18"/>
                <w:lang w:eastAsia="de-DE"/>
              </w:rPr>
            </w:pPr>
            <w:r>
              <w:rPr>
                <w:b/>
                <w:bCs/>
                <w:color w:val="000000"/>
                <w:sz w:val="18"/>
                <w:szCs w:val="18"/>
              </w:rPr>
              <w:t>5 920 319</w:t>
            </w:r>
          </w:p>
        </w:tc>
        <w:tc>
          <w:tcPr>
            <w:tcW w:w="973" w:type="dxa"/>
            <w:tcBorders>
              <w:top w:val="nil"/>
              <w:left w:val="nil"/>
              <w:bottom w:val="nil"/>
              <w:right w:val="nil"/>
            </w:tcBorders>
            <w:shd w:val="clear" w:color="auto" w:fill="auto"/>
            <w:noWrap/>
          </w:tcPr>
          <w:p w14:paraId="288CD622" w14:textId="77777777" w:rsidR="00D96136" w:rsidRPr="00A61D53" w:rsidRDefault="00D96136" w:rsidP="00FD7572">
            <w:pPr>
              <w:spacing w:before="40" w:after="40" w:line="200" w:lineRule="exact"/>
              <w:jc w:val="right"/>
              <w:rPr>
                <w:b/>
                <w:color w:val="000000"/>
                <w:sz w:val="18"/>
                <w:szCs w:val="18"/>
              </w:rPr>
            </w:pPr>
            <w:r>
              <w:rPr>
                <w:b/>
                <w:bCs/>
                <w:color w:val="000000"/>
                <w:sz w:val="18"/>
                <w:szCs w:val="18"/>
              </w:rPr>
              <w:t>2.2</w:t>
            </w:r>
          </w:p>
        </w:tc>
        <w:tc>
          <w:tcPr>
            <w:tcW w:w="859" w:type="dxa"/>
            <w:tcBorders>
              <w:top w:val="nil"/>
              <w:left w:val="nil"/>
              <w:bottom w:val="nil"/>
              <w:right w:val="nil"/>
            </w:tcBorders>
            <w:shd w:val="clear" w:color="auto" w:fill="auto"/>
            <w:noWrap/>
          </w:tcPr>
          <w:p w14:paraId="3DFF8E40" w14:textId="77777777" w:rsidR="00D96136" w:rsidRPr="00A61D53" w:rsidRDefault="00D96136" w:rsidP="00FD7572">
            <w:pPr>
              <w:spacing w:before="40" w:after="40" w:line="200" w:lineRule="exact"/>
              <w:jc w:val="right"/>
              <w:rPr>
                <w:b/>
                <w:color w:val="000000"/>
                <w:sz w:val="18"/>
                <w:szCs w:val="18"/>
              </w:rPr>
            </w:pPr>
            <w:r>
              <w:rPr>
                <w:b/>
                <w:bCs/>
                <w:color w:val="000000"/>
                <w:sz w:val="18"/>
                <w:szCs w:val="18"/>
              </w:rPr>
              <w:t>2.1</w:t>
            </w:r>
          </w:p>
        </w:tc>
      </w:tr>
      <w:tr w:rsidR="00D96136" w:rsidRPr="00A61D53" w14:paraId="42C0E93B" w14:textId="77777777" w:rsidTr="00FD7572">
        <w:trPr>
          <w:trHeight w:val="33"/>
        </w:trPr>
        <w:tc>
          <w:tcPr>
            <w:tcW w:w="837" w:type="dxa"/>
            <w:tcBorders>
              <w:top w:val="nil"/>
              <w:left w:val="nil"/>
              <w:bottom w:val="nil"/>
              <w:right w:val="nil"/>
            </w:tcBorders>
            <w:shd w:val="clear" w:color="auto" w:fill="auto"/>
            <w:noWrap/>
          </w:tcPr>
          <w:p w14:paraId="0F9FAFE1"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200</w:t>
            </w:r>
            <w:r>
              <w:rPr>
                <w:color w:val="000000"/>
                <w:sz w:val="18"/>
                <w:szCs w:val="18"/>
              </w:rPr>
              <w:t>-</w:t>
            </w:r>
            <w:r w:rsidRPr="00A61D53">
              <w:rPr>
                <w:color w:val="000000"/>
                <w:sz w:val="18"/>
                <w:szCs w:val="18"/>
              </w:rPr>
              <w:t>004</w:t>
            </w:r>
          </w:p>
        </w:tc>
        <w:tc>
          <w:tcPr>
            <w:tcW w:w="1528" w:type="dxa"/>
            <w:tcBorders>
              <w:top w:val="nil"/>
              <w:left w:val="nil"/>
              <w:bottom w:val="nil"/>
              <w:right w:val="nil"/>
            </w:tcBorders>
            <w:shd w:val="clear" w:color="auto" w:fill="auto"/>
          </w:tcPr>
          <w:p w14:paraId="7C2B08B3"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Transparency</w:t>
            </w:r>
          </w:p>
        </w:tc>
        <w:tc>
          <w:tcPr>
            <w:tcW w:w="4330" w:type="dxa"/>
            <w:tcBorders>
              <w:top w:val="nil"/>
              <w:left w:val="nil"/>
              <w:bottom w:val="nil"/>
              <w:right w:val="nil"/>
            </w:tcBorders>
            <w:shd w:val="clear" w:color="auto" w:fill="auto"/>
          </w:tcPr>
          <w:p w14:paraId="19F9C38D"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Extensive support to developing countries to implement measurement, reporting and verification and the enhanced transparency framework, including through the work of the Consultative Group of Experts</w:t>
            </w:r>
          </w:p>
        </w:tc>
        <w:tc>
          <w:tcPr>
            <w:tcW w:w="1112" w:type="dxa"/>
            <w:tcBorders>
              <w:top w:val="nil"/>
              <w:left w:val="nil"/>
              <w:bottom w:val="nil"/>
              <w:right w:val="nil"/>
            </w:tcBorders>
            <w:shd w:val="clear" w:color="auto" w:fill="auto"/>
            <w:noWrap/>
          </w:tcPr>
          <w:p w14:paraId="1DCFA9E7" w14:textId="77777777" w:rsidR="00D96136" w:rsidRPr="00A61D53" w:rsidRDefault="00D96136" w:rsidP="00FD7572">
            <w:pPr>
              <w:spacing w:before="40" w:after="40" w:line="200" w:lineRule="exact"/>
              <w:jc w:val="right"/>
              <w:rPr>
                <w:rFonts w:eastAsia="Times New Roman"/>
                <w:color w:val="000000"/>
                <w:sz w:val="18"/>
                <w:szCs w:val="18"/>
                <w:lang w:eastAsia="de-DE"/>
              </w:rPr>
            </w:pPr>
            <w:r>
              <w:rPr>
                <w:color w:val="000000"/>
                <w:sz w:val="18"/>
                <w:szCs w:val="18"/>
              </w:rPr>
              <w:t>5 920 319</w:t>
            </w:r>
          </w:p>
        </w:tc>
        <w:tc>
          <w:tcPr>
            <w:tcW w:w="973" w:type="dxa"/>
            <w:tcBorders>
              <w:top w:val="nil"/>
              <w:left w:val="nil"/>
              <w:bottom w:val="nil"/>
              <w:right w:val="nil"/>
            </w:tcBorders>
            <w:shd w:val="clear" w:color="auto" w:fill="auto"/>
            <w:noWrap/>
          </w:tcPr>
          <w:p w14:paraId="42B5C6CE" w14:textId="77777777" w:rsidR="00D96136" w:rsidRPr="00A61D53" w:rsidRDefault="00D96136" w:rsidP="00FD7572">
            <w:pPr>
              <w:spacing w:before="40" w:after="40" w:line="200" w:lineRule="exact"/>
              <w:jc w:val="right"/>
              <w:rPr>
                <w:color w:val="000000"/>
                <w:sz w:val="18"/>
                <w:szCs w:val="18"/>
              </w:rPr>
            </w:pPr>
            <w:r>
              <w:rPr>
                <w:color w:val="000000"/>
                <w:sz w:val="18"/>
                <w:szCs w:val="18"/>
              </w:rPr>
              <w:t>2.2</w:t>
            </w:r>
          </w:p>
        </w:tc>
        <w:tc>
          <w:tcPr>
            <w:tcW w:w="859" w:type="dxa"/>
            <w:tcBorders>
              <w:top w:val="nil"/>
              <w:left w:val="nil"/>
              <w:bottom w:val="nil"/>
              <w:right w:val="nil"/>
            </w:tcBorders>
            <w:shd w:val="clear" w:color="auto" w:fill="auto"/>
            <w:noWrap/>
          </w:tcPr>
          <w:p w14:paraId="5298960A" w14:textId="77777777" w:rsidR="00D96136" w:rsidRPr="00A61D53" w:rsidRDefault="00D96136" w:rsidP="00FD7572">
            <w:pPr>
              <w:spacing w:before="40" w:after="40" w:line="200" w:lineRule="exact"/>
              <w:jc w:val="right"/>
              <w:rPr>
                <w:color w:val="000000"/>
                <w:sz w:val="18"/>
                <w:szCs w:val="18"/>
              </w:rPr>
            </w:pPr>
            <w:r>
              <w:rPr>
                <w:color w:val="000000"/>
                <w:sz w:val="18"/>
                <w:szCs w:val="18"/>
              </w:rPr>
              <w:t>2.1</w:t>
            </w:r>
          </w:p>
        </w:tc>
      </w:tr>
      <w:tr w:rsidR="00D96136" w:rsidRPr="00A61D53" w14:paraId="7E84F6D7" w14:textId="77777777" w:rsidTr="00FD7572">
        <w:trPr>
          <w:trHeight w:val="33"/>
        </w:trPr>
        <w:tc>
          <w:tcPr>
            <w:tcW w:w="837" w:type="dxa"/>
            <w:tcBorders>
              <w:top w:val="nil"/>
              <w:left w:val="nil"/>
              <w:bottom w:val="nil"/>
              <w:right w:val="nil"/>
            </w:tcBorders>
            <w:shd w:val="clear" w:color="auto" w:fill="auto"/>
            <w:noWrap/>
          </w:tcPr>
          <w:p w14:paraId="7DC04FFA"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b/>
                <w:bCs/>
                <w:color w:val="000000"/>
                <w:sz w:val="18"/>
                <w:szCs w:val="18"/>
              </w:rPr>
              <w:t>300</w:t>
            </w:r>
          </w:p>
        </w:tc>
        <w:tc>
          <w:tcPr>
            <w:tcW w:w="1528" w:type="dxa"/>
            <w:tcBorders>
              <w:top w:val="nil"/>
              <w:left w:val="nil"/>
              <w:bottom w:val="nil"/>
              <w:right w:val="nil"/>
            </w:tcBorders>
            <w:shd w:val="clear" w:color="auto" w:fill="auto"/>
          </w:tcPr>
          <w:p w14:paraId="55C917F7"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b/>
                <w:bCs/>
                <w:color w:val="000000"/>
                <w:sz w:val="18"/>
                <w:szCs w:val="18"/>
              </w:rPr>
              <w:t> </w:t>
            </w:r>
          </w:p>
        </w:tc>
        <w:tc>
          <w:tcPr>
            <w:tcW w:w="4330" w:type="dxa"/>
            <w:tcBorders>
              <w:top w:val="nil"/>
              <w:left w:val="nil"/>
              <w:bottom w:val="nil"/>
              <w:right w:val="nil"/>
            </w:tcBorders>
            <w:shd w:val="clear" w:color="auto" w:fill="auto"/>
          </w:tcPr>
          <w:p w14:paraId="1EA9392C"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b/>
                <w:bCs/>
                <w:color w:val="000000"/>
                <w:sz w:val="18"/>
                <w:szCs w:val="18"/>
              </w:rPr>
              <w:t>Data and information management</w:t>
            </w:r>
          </w:p>
        </w:tc>
        <w:tc>
          <w:tcPr>
            <w:tcW w:w="1112" w:type="dxa"/>
            <w:tcBorders>
              <w:top w:val="nil"/>
              <w:left w:val="nil"/>
              <w:bottom w:val="nil"/>
              <w:right w:val="nil"/>
            </w:tcBorders>
            <w:shd w:val="clear" w:color="auto" w:fill="auto"/>
            <w:noWrap/>
          </w:tcPr>
          <w:p w14:paraId="5D0309AD" w14:textId="77777777" w:rsidR="00D96136" w:rsidRPr="00A61D53" w:rsidRDefault="00D96136" w:rsidP="00FD7572">
            <w:pPr>
              <w:spacing w:before="40" w:after="40" w:line="200" w:lineRule="exact"/>
              <w:jc w:val="right"/>
              <w:rPr>
                <w:rFonts w:eastAsia="Times New Roman"/>
                <w:color w:val="000000"/>
                <w:sz w:val="18"/>
                <w:szCs w:val="18"/>
                <w:lang w:eastAsia="de-DE"/>
              </w:rPr>
            </w:pPr>
            <w:r>
              <w:rPr>
                <w:b/>
                <w:bCs/>
                <w:color w:val="000000"/>
                <w:sz w:val="18"/>
                <w:szCs w:val="18"/>
              </w:rPr>
              <w:t>5 924 850</w:t>
            </w:r>
          </w:p>
        </w:tc>
        <w:tc>
          <w:tcPr>
            <w:tcW w:w="973" w:type="dxa"/>
            <w:tcBorders>
              <w:top w:val="nil"/>
              <w:left w:val="nil"/>
              <w:bottom w:val="nil"/>
              <w:right w:val="nil"/>
            </w:tcBorders>
            <w:shd w:val="clear" w:color="auto" w:fill="auto"/>
            <w:noWrap/>
          </w:tcPr>
          <w:p w14:paraId="589710A1" w14:textId="77777777" w:rsidR="00D96136" w:rsidRPr="00A61D53" w:rsidRDefault="00D96136" w:rsidP="00FD7572">
            <w:pPr>
              <w:spacing w:before="40" w:after="40" w:line="200" w:lineRule="exact"/>
              <w:jc w:val="right"/>
              <w:rPr>
                <w:color w:val="000000"/>
                <w:sz w:val="18"/>
                <w:szCs w:val="18"/>
              </w:rPr>
            </w:pPr>
            <w:r>
              <w:rPr>
                <w:b/>
                <w:bCs/>
                <w:color w:val="000000"/>
                <w:sz w:val="18"/>
                <w:szCs w:val="18"/>
              </w:rPr>
              <w:t>8.0</w:t>
            </w:r>
          </w:p>
        </w:tc>
        <w:tc>
          <w:tcPr>
            <w:tcW w:w="859" w:type="dxa"/>
            <w:tcBorders>
              <w:top w:val="nil"/>
              <w:left w:val="nil"/>
              <w:bottom w:val="nil"/>
              <w:right w:val="nil"/>
            </w:tcBorders>
            <w:shd w:val="clear" w:color="auto" w:fill="auto"/>
            <w:noWrap/>
          </w:tcPr>
          <w:p w14:paraId="3665E813" w14:textId="77777777" w:rsidR="00D96136" w:rsidRPr="00A61D53" w:rsidRDefault="00D96136" w:rsidP="00FD7572">
            <w:pPr>
              <w:spacing w:before="40" w:after="40" w:line="200" w:lineRule="exact"/>
              <w:jc w:val="right"/>
              <w:rPr>
                <w:color w:val="000000"/>
                <w:sz w:val="18"/>
                <w:szCs w:val="18"/>
              </w:rPr>
            </w:pPr>
            <w:r>
              <w:rPr>
                <w:b/>
                <w:bCs/>
                <w:color w:val="000000"/>
                <w:sz w:val="18"/>
                <w:szCs w:val="18"/>
              </w:rPr>
              <w:t>2.0</w:t>
            </w:r>
          </w:p>
        </w:tc>
      </w:tr>
      <w:tr w:rsidR="00D96136" w:rsidRPr="00A61D53" w14:paraId="62D6C6CD" w14:textId="77777777" w:rsidTr="00FD7572">
        <w:trPr>
          <w:trHeight w:val="33"/>
        </w:trPr>
        <w:tc>
          <w:tcPr>
            <w:tcW w:w="837" w:type="dxa"/>
            <w:tcBorders>
              <w:top w:val="nil"/>
              <w:left w:val="nil"/>
              <w:bottom w:val="nil"/>
              <w:right w:val="nil"/>
            </w:tcBorders>
            <w:shd w:val="clear" w:color="auto" w:fill="auto"/>
            <w:noWrap/>
          </w:tcPr>
          <w:p w14:paraId="4DFEA36B"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300</w:t>
            </w:r>
            <w:r>
              <w:rPr>
                <w:color w:val="000000"/>
                <w:sz w:val="18"/>
                <w:szCs w:val="18"/>
              </w:rPr>
              <w:t>-</w:t>
            </w:r>
            <w:r w:rsidRPr="00A61D53">
              <w:rPr>
                <w:color w:val="000000"/>
                <w:sz w:val="18"/>
                <w:szCs w:val="18"/>
              </w:rPr>
              <w:t>006</w:t>
            </w:r>
          </w:p>
        </w:tc>
        <w:tc>
          <w:tcPr>
            <w:tcW w:w="1528" w:type="dxa"/>
            <w:tcBorders>
              <w:top w:val="nil"/>
              <w:left w:val="nil"/>
              <w:bottom w:val="nil"/>
              <w:right w:val="nil"/>
            </w:tcBorders>
            <w:shd w:val="clear" w:color="auto" w:fill="auto"/>
          </w:tcPr>
          <w:p w14:paraId="3CD02FE4"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Communications and Engagement</w:t>
            </w:r>
          </w:p>
        </w:tc>
        <w:tc>
          <w:tcPr>
            <w:tcW w:w="4330" w:type="dxa"/>
            <w:tcBorders>
              <w:top w:val="nil"/>
              <w:left w:val="nil"/>
              <w:bottom w:val="nil"/>
              <w:right w:val="nil"/>
            </w:tcBorders>
            <w:shd w:val="clear" w:color="auto" w:fill="auto"/>
          </w:tcPr>
          <w:p w14:paraId="19CA0683" w14:textId="77777777" w:rsidR="00D96136" w:rsidRPr="00A61D53" w:rsidRDefault="00D96136" w:rsidP="00FD7572">
            <w:pPr>
              <w:suppressAutoHyphens w:val="0"/>
              <w:spacing w:line="240" w:lineRule="auto"/>
              <w:rPr>
                <w:rFonts w:eastAsia="Times New Roman"/>
                <w:color w:val="000000"/>
                <w:sz w:val="18"/>
                <w:szCs w:val="18"/>
                <w:lang w:eastAsia="de-DE"/>
              </w:rPr>
            </w:pPr>
            <w:r>
              <w:rPr>
                <w:color w:val="000000"/>
                <w:sz w:val="18"/>
                <w:szCs w:val="18"/>
              </w:rPr>
              <w:t>Participation in climate action globally is enabled, enhanced and recognized through the global climate action portal</w:t>
            </w:r>
          </w:p>
        </w:tc>
        <w:tc>
          <w:tcPr>
            <w:tcW w:w="1112" w:type="dxa"/>
            <w:tcBorders>
              <w:top w:val="nil"/>
              <w:left w:val="nil"/>
              <w:bottom w:val="nil"/>
              <w:right w:val="nil"/>
            </w:tcBorders>
            <w:shd w:val="clear" w:color="auto" w:fill="auto"/>
            <w:noWrap/>
          </w:tcPr>
          <w:p w14:paraId="76688A68" w14:textId="77777777" w:rsidR="00D96136" w:rsidRPr="00A61D53" w:rsidRDefault="00D96136" w:rsidP="00FD7572">
            <w:pPr>
              <w:spacing w:before="40" w:after="40" w:line="200" w:lineRule="exact"/>
              <w:jc w:val="right"/>
              <w:rPr>
                <w:rFonts w:eastAsia="Times New Roman"/>
                <w:color w:val="000000"/>
                <w:sz w:val="18"/>
                <w:szCs w:val="18"/>
                <w:lang w:eastAsia="de-DE"/>
              </w:rPr>
            </w:pPr>
            <w:r>
              <w:rPr>
                <w:color w:val="000000"/>
                <w:sz w:val="18"/>
                <w:szCs w:val="18"/>
              </w:rPr>
              <w:t>4 229 850</w:t>
            </w:r>
          </w:p>
        </w:tc>
        <w:tc>
          <w:tcPr>
            <w:tcW w:w="973" w:type="dxa"/>
            <w:tcBorders>
              <w:top w:val="nil"/>
              <w:left w:val="nil"/>
              <w:bottom w:val="nil"/>
              <w:right w:val="nil"/>
            </w:tcBorders>
            <w:shd w:val="clear" w:color="auto" w:fill="auto"/>
            <w:noWrap/>
          </w:tcPr>
          <w:p w14:paraId="2392A82D" w14:textId="77777777" w:rsidR="00D96136" w:rsidRPr="00A61D53" w:rsidRDefault="00D96136" w:rsidP="00FD7572">
            <w:pPr>
              <w:spacing w:before="40" w:after="40" w:line="200" w:lineRule="exact"/>
              <w:jc w:val="right"/>
              <w:rPr>
                <w:color w:val="000000"/>
                <w:sz w:val="18"/>
                <w:szCs w:val="18"/>
              </w:rPr>
            </w:pPr>
            <w:r>
              <w:rPr>
                <w:color w:val="000000"/>
                <w:sz w:val="18"/>
                <w:szCs w:val="18"/>
              </w:rPr>
              <w:t>8.0</w:t>
            </w:r>
          </w:p>
        </w:tc>
        <w:tc>
          <w:tcPr>
            <w:tcW w:w="859" w:type="dxa"/>
            <w:tcBorders>
              <w:top w:val="nil"/>
              <w:left w:val="nil"/>
              <w:bottom w:val="nil"/>
              <w:right w:val="nil"/>
            </w:tcBorders>
            <w:shd w:val="clear" w:color="auto" w:fill="auto"/>
            <w:noWrap/>
          </w:tcPr>
          <w:p w14:paraId="4C4A8B82" w14:textId="77777777" w:rsidR="00D96136" w:rsidRPr="00A61D53" w:rsidRDefault="00D96136" w:rsidP="00FD7572">
            <w:pPr>
              <w:spacing w:before="40" w:after="40" w:line="200" w:lineRule="exact"/>
              <w:jc w:val="right"/>
              <w:rPr>
                <w:color w:val="000000"/>
                <w:sz w:val="18"/>
                <w:szCs w:val="18"/>
              </w:rPr>
            </w:pPr>
            <w:r>
              <w:rPr>
                <w:color w:val="000000"/>
                <w:sz w:val="18"/>
                <w:szCs w:val="18"/>
              </w:rPr>
              <w:t>2.0</w:t>
            </w:r>
          </w:p>
        </w:tc>
      </w:tr>
      <w:tr w:rsidR="00D96136" w:rsidRPr="00A61D53" w14:paraId="1CAA426A" w14:textId="77777777" w:rsidTr="00FD7572">
        <w:trPr>
          <w:trHeight w:val="33"/>
        </w:trPr>
        <w:tc>
          <w:tcPr>
            <w:tcW w:w="837" w:type="dxa"/>
            <w:tcBorders>
              <w:top w:val="nil"/>
              <w:left w:val="nil"/>
              <w:bottom w:val="nil"/>
              <w:right w:val="nil"/>
            </w:tcBorders>
            <w:shd w:val="clear" w:color="auto" w:fill="auto"/>
            <w:noWrap/>
          </w:tcPr>
          <w:p w14:paraId="649598BD"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300</w:t>
            </w:r>
            <w:r>
              <w:rPr>
                <w:color w:val="000000"/>
                <w:sz w:val="18"/>
                <w:szCs w:val="18"/>
              </w:rPr>
              <w:t>-</w:t>
            </w:r>
            <w:r w:rsidRPr="00A61D53">
              <w:rPr>
                <w:color w:val="000000"/>
                <w:sz w:val="18"/>
                <w:szCs w:val="18"/>
              </w:rPr>
              <w:t>009</w:t>
            </w:r>
          </w:p>
        </w:tc>
        <w:tc>
          <w:tcPr>
            <w:tcW w:w="1528" w:type="dxa"/>
            <w:tcBorders>
              <w:top w:val="nil"/>
              <w:left w:val="nil"/>
              <w:bottom w:val="nil"/>
              <w:right w:val="nil"/>
            </w:tcBorders>
            <w:shd w:val="clear" w:color="auto" w:fill="auto"/>
          </w:tcPr>
          <w:p w14:paraId="5A116493"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rFonts w:eastAsia="MS Mincho"/>
                <w:sz w:val="18"/>
                <w:szCs w:val="18"/>
                <w:lang w:eastAsia="de-DE"/>
              </w:rPr>
              <w:t>Administrative Services, Human Resources, and Information and Communication Technology</w:t>
            </w:r>
          </w:p>
        </w:tc>
        <w:tc>
          <w:tcPr>
            <w:tcW w:w="4330" w:type="dxa"/>
            <w:tcBorders>
              <w:top w:val="nil"/>
              <w:left w:val="nil"/>
              <w:bottom w:val="nil"/>
              <w:right w:val="nil"/>
            </w:tcBorders>
            <w:shd w:val="clear" w:color="auto" w:fill="auto"/>
          </w:tcPr>
          <w:p w14:paraId="684C340A"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Enhancement and modernization of platforms and strengthening of the security of infrastructure and platforms</w:t>
            </w:r>
          </w:p>
        </w:tc>
        <w:tc>
          <w:tcPr>
            <w:tcW w:w="1112" w:type="dxa"/>
            <w:tcBorders>
              <w:top w:val="nil"/>
              <w:left w:val="nil"/>
              <w:bottom w:val="nil"/>
              <w:right w:val="nil"/>
            </w:tcBorders>
            <w:shd w:val="clear" w:color="auto" w:fill="auto"/>
            <w:noWrap/>
          </w:tcPr>
          <w:p w14:paraId="4E755F44" w14:textId="77777777" w:rsidR="00D96136" w:rsidRPr="00A61D53" w:rsidRDefault="00D96136" w:rsidP="00FD7572">
            <w:pPr>
              <w:spacing w:before="40" w:after="40" w:line="200" w:lineRule="exact"/>
              <w:jc w:val="right"/>
              <w:rPr>
                <w:rFonts w:eastAsia="Times New Roman"/>
                <w:color w:val="000000"/>
                <w:sz w:val="18"/>
                <w:szCs w:val="18"/>
                <w:lang w:eastAsia="de-DE"/>
              </w:rPr>
            </w:pPr>
            <w:r>
              <w:rPr>
                <w:color w:val="000000"/>
                <w:sz w:val="18"/>
                <w:szCs w:val="18"/>
              </w:rPr>
              <w:t>1 695 000</w:t>
            </w:r>
          </w:p>
        </w:tc>
        <w:tc>
          <w:tcPr>
            <w:tcW w:w="973" w:type="dxa"/>
            <w:tcBorders>
              <w:top w:val="nil"/>
              <w:left w:val="nil"/>
              <w:bottom w:val="nil"/>
              <w:right w:val="nil"/>
            </w:tcBorders>
            <w:shd w:val="clear" w:color="auto" w:fill="auto"/>
            <w:noWrap/>
          </w:tcPr>
          <w:p w14:paraId="07D4824F" w14:textId="77777777" w:rsidR="00D96136" w:rsidRPr="00A61D53" w:rsidRDefault="00D96136" w:rsidP="00FD7572">
            <w:pPr>
              <w:spacing w:before="40" w:after="40" w:line="200" w:lineRule="exact"/>
              <w:jc w:val="right"/>
              <w:rPr>
                <w:color w:val="000000"/>
                <w:sz w:val="18"/>
                <w:szCs w:val="18"/>
              </w:rPr>
            </w:pPr>
            <w:r>
              <w:rPr>
                <w:color w:val="000000"/>
                <w:sz w:val="18"/>
                <w:szCs w:val="18"/>
              </w:rPr>
              <w:t>–</w:t>
            </w:r>
          </w:p>
        </w:tc>
        <w:tc>
          <w:tcPr>
            <w:tcW w:w="859" w:type="dxa"/>
            <w:tcBorders>
              <w:top w:val="nil"/>
              <w:left w:val="nil"/>
              <w:bottom w:val="nil"/>
              <w:right w:val="nil"/>
            </w:tcBorders>
            <w:shd w:val="clear" w:color="auto" w:fill="auto"/>
            <w:noWrap/>
          </w:tcPr>
          <w:p w14:paraId="7E97B290" w14:textId="77777777" w:rsidR="00D96136" w:rsidRPr="00A61D53" w:rsidRDefault="00D96136" w:rsidP="00FD7572">
            <w:pPr>
              <w:spacing w:before="40" w:after="40" w:line="200" w:lineRule="exact"/>
              <w:jc w:val="right"/>
              <w:rPr>
                <w:color w:val="000000"/>
                <w:sz w:val="18"/>
                <w:szCs w:val="18"/>
              </w:rPr>
            </w:pPr>
            <w:r>
              <w:rPr>
                <w:color w:val="000000"/>
                <w:sz w:val="18"/>
                <w:szCs w:val="18"/>
              </w:rPr>
              <w:t>–</w:t>
            </w:r>
          </w:p>
        </w:tc>
      </w:tr>
      <w:tr w:rsidR="00D96136" w:rsidRPr="00A61D53" w14:paraId="5D75EA63" w14:textId="77777777" w:rsidTr="00FD7572">
        <w:trPr>
          <w:trHeight w:val="33"/>
        </w:trPr>
        <w:tc>
          <w:tcPr>
            <w:tcW w:w="837" w:type="dxa"/>
            <w:tcBorders>
              <w:top w:val="nil"/>
              <w:left w:val="nil"/>
              <w:bottom w:val="nil"/>
              <w:right w:val="nil"/>
            </w:tcBorders>
            <w:shd w:val="clear" w:color="auto" w:fill="auto"/>
            <w:noWrap/>
          </w:tcPr>
          <w:p w14:paraId="4AC298FA"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b/>
                <w:bCs/>
                <w:color w:val="000000"/>
                <w:sz w:val="18"/>
                <w:szCs w:val="18"/>
              </w:rPr>
              <w:t>400</w:t>
            </w:r>
          </w:p>
        </w:tc>
        <w:tc>
          <w:tcPr>
            <w:tcW w:w="1528" w:type="dxa"/>
            <w:tcBorders>
              <w:top w:val="nil"/>
              <w:left w:val="nil"/>
              <w:bottom w:val="nil"/>
              <w:right w:val="nil"/>
            </w:tcBorders>
            <w:shd w:val="clear" w:color="auto" w:fill="auto"/>
          </w:tcPr>
          <w:p w14:paraId="267378B4"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b/>
                <w:bCs/>
                <w:color w:val="000000"/>
                <w:sz w:val="18"/>
                <w:szCs w:val="18"/>
              </w:rPr>
              <w:t> </w:t>
            </w:r>
          </w:p>
        </w:tc>
        <w:tc>
          <w:tcPr>
            <w:tcW w:w="4330" w:type="dxa"/>
            <w:tcBorders>
              <w:top w:val="nil"/>
              <w:left w:val="nil"/>
              <w:bottom w:val="nil"/>
              <w:right w:val="nil"/>
            </w:tcBorders>
            <w:shd w:val="clear" w:color="auto" w:fill="auto"/>
          </w:tcPr>
          <w:p w14:paraId="36EA489D"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b/>
                <w:bCs/>
                <w:color w:val="000000"/>
                <w:sz w:val="18"/>
                <w:szCs w:val="18"/>
              </w:rPr>
              <w:t>Enhanced engagement</w:t>
            </w:r>
          </w:p>
        </w:tc>
        <w:tc>
          <w:tcPr>
            <w:tcW w:w="1112" w:type="dxa"/>
            <w:tcBorders>
              <w:top w:val="nil"/>
              <w:left w:val="nil"/>
              <w:bottom w:val="nil"/>
              <w:right w:val="nil"/>
            </w:tcBorders>
            <w:shd w:val="clear" w:color="auto" w:fill="auto"/>
            <w:noWrap/>
          </w:tcPr>
          <w:p w14:paraId="54F083DA" w14:textId="77777777" w:rsidR="00D96136" w:rsidRPr="00A61D53" w:rsidRDefault="00D96136" w:rsidP="00FD7572">
            <w:pPr>
              <w:spacing w:before="40" w:after="40" w:line="200" w:lineRule="exact"/>
              <w:jc w:val="right"/>
              <w:rPr>
                <w:rFonts w:eastAsia="Times New Roman"/>
                <w:color w:val="000000"/>
                <w:sz w:val="18"/>
                <w:szCs w:val="18"/>
                <w:lang w:eastAsia="de-DE"/>
              </w:rPr>
            </w:pPr>
            <w:r>
              <w:rPr>
                <w:b/>
                <w:bCs/>
                <w:color w:val="000000"/>
                <w:sz w:val="18"/>
                <w:szCs w:val="18"/>
              </w:rPr>
              <w:t>29 521 020</w:t>
            </w:r>
          </w:p>
        </w:tc>
        <w:tc>
          <w:tcPr>
            <w:tcW w:w="973" w:type="dxa"/>
            <w:tcBorders>
              <w:top w:val="nil"/>
              <w:left w:val="nil"/>
              <w:bottom w:val="nil"/>
              <w:right w:val="nil"/>
            </w:tcBorders>
            <w:shd w:val="clear" w:color="auto" w:fill="auto"/>
            <w:noWrap/>
          </w:tcPr>
          <w:p w14:paraId="29FF33B7" w14:textId="77777777" w:rsidR="00D96136" w:rsidRPr="00A61D53" w:rsidRDefault="00D96136" w:rsidP="00FD7572">
            <w:pPr>
              <w:spacing w:before="40" w:after="40" w:line="200" w:lineRule="exact"/>
              <w:jc w:val="right"/>
              <w:rPr>
                <w:color w:val="000000"/>
                <w:sz w:val="18"/>
                <w:szCs w:val="18"/>
              </w:rPr>
            </w:pPr>
            <w:r>
              <w:rPr>
                <w:b/>
                <w:bCs/>
                <w:color w:val="000000"/>
                <w:sz w:val="18"/>
                <w:szCs w:val="18"/>
              </w:rPr>
              <w:t>33.9</w:t>
            </w:r>
          </w:p>
        </w:tc>
        <w:tc>
          <w:tcPr>
            <w:tcW w:w="859" w:type="dxa"/>
            <w:tcBorders>
              <w:top w:val="nil"/>
              <w:left w:val="nil"/>
              <w:bottom w:val="nil"/>
              <w:right w:val="nil"/>
            </w:tcBorders>
            <w:shd w:val="clear" w:color="auto" w:fill="auto"/>
            <w:noWrap/>
          </w:tcPr>
          <w:p w14:paraId="3E6FAE13" w14:textId="77777777" w:rsidR="00D96136" w:rsidRPr="00A61D53" w:rsidRDefault="00D96136" w:rsidP="00FD7572">
            <w:pPr>
              <w:spacing w:before="40" w:after="40" w:line="200" w:lineRule="exact"/>
              <w:jc w:val="right"/>
              <w:rPr>
                <w:color w:val="000000"/>
                <w:sz w:val="18"/>
                <w:szCs w:val="18"/>
              </w:rPr>
            </w:pPr>
            <w:r>
              <w:rPr>
                <w:b/>
                <w:bCs/>
                <w:color w:val="000000"/>
                <w:sz w:val="18"/>
                <w:szCs w:val="18"/>
              </w:rPr>
              <w:t>6.7</w:t>
            </w:r>
          </w:p>
        </w:tc>
      </w:tr>
      <w:tr w:rsidR="00D96136" w:rsidRPr="00A61D53" w14:paraId="27C7C34D" w14:textId="77777777" w:rsidTr="00FD7572">
        <w:trPr>
          <w:trHeight w:val="33"/>
        </w:trPr>
        <w:tc>
          <w:tcPr>
            <w:tcW w:w="837" w:type="dxa"/>
            <w:tcBorders>
              <w:top w:val="nil"/>
              <w:left w:val="nil"/>
              <w:bottom w:val="nil"/>
              <w:right w:val="nil"/>
            </w:tcBorders>
            <w:shd w:val="clear" w:color="auto" w:fill="auto"/>
            <w:noWrap/>
          </w:tcPr>
          <w:p w14:paraId="0FADCFDA" w14:textId="77777777" w:rsidR="00D96136" w:rsidRPr="00A61D53" w:rsidRDefault="00D96136" w:rsidP="00FD7572">
            <w:pPr>
              <w:spacing w:before="40" w:after="40" w:line="200" w:lineRule="exact"/>
              <w:rPr>
                <w:rFonts w:eastAsia="Times New Roman"/>
                <w:b/>
                <w:color w:val="000000"/>
                <w:sz w:val="18"/>
                <w:szCs w:val="18"/>
                <w:lang w:eastAsia="de-DE"/>
              </w:rPr>
            </w:pPr>
            <w:r w:rsidRPr="00A61D53">
              <w:rPr>
                <w:color w:val="000000"/>
                <w:sz w:val="18"/>
                <w:szCs w:val="18"/>
              </w:rPr>
              <w:t>400</w:t>
            </w:r>
            <w:r>
              <w:rPr>
                <w:color w:val="000000"/>
                <w:sz w:val="18"/>
                <w:szCs w:val="18"/>
              </w:rPr>
              <w:t>-</w:t>
            </w:r>
            <w:r w:rsidRPr="00A61D53">
              <w:rPr>
                <w:color w:val="000000"/>
                <w:sz w:val="18"/>
                <w:szCs w:val="18"/>
              </w:rPr>
              <w:t>001</w:t>
            </w:r>
          </w:p>
        </w:tc>
        <w:tc>
          <w:tcPr>
            <w:tcW w:w="1528" w:type="dxa"/>
            <w:tcBorders>
              <w:top w:val="nil"/>
              <w:left w:val="nil"/>
              <w:bottom w:val="nil"/>
              <w:right w:val="nil"/>
            </w:tcBorders>
            <w:shd w:val="clear" w:color="auto" w:fill="auto"/>
          </w:tcPr>
          <w:p w14:paraId="1A0BA9A7" w14:textId="77777777" w:rsidR="00D96136" w:rsidRPr="00A61D53" w:rsidRDefault="00D96136" w:rsidP="00FD7572">
            <w:pPr>
              <w:spacing w:before="40" w:after="40" w:line="200" w:lineRule="exact"/>
              <w:rPr>
                <w:rFonts w:eastAsia="Times New Roman"/>
                <w:b/>
                <w:color w:val="000000"/>
                <w:sz w:val="18"/>
                <w:szCs w:val="18"/>
                <w:lang w:eastAsia="de-DE"/>
              </w:rPr>
            </w:pPr>
            <w:r w:rsidRPr="00A61D53">
              <w:rPr>
                <w:color w:val="000000"/>
                <w:sz w:val="18"/>
                <w:szCs w:val="18"/>
              </w:rPr>
              <w:t>Adaptation</w:t>
            </w:r>
          </w:p>
        </w:tc>
        <w:tc>
          <w:tcPr>
            <w:tcW w:w="4330" w:type="dxa"/>
            <w:tcBorders>
              <w:top w:val="nil"/>
              <w:left w:val="nil"/>
              <w:bottom w:val="nil"/>
              <w:right w:val="nil"/>
            </w:tcBorders>
            <w:shd w:val="clear" w:color="auto" w:fill="auto"/>
          </w:tcPr>
          <w:p w14:paraId="4C781BC6" w14:textId="77777777" w:rsidR="00D96136" w:rsidRPr="00A61D53" w:rsidRDefault="00D96136" w:rsidP="00FD7572">
            <w:pPr>
              <w:spacing w:before="40" w:after="40" w:line="200" w:lineRule="exact"/>
              <w:rPr>
                <w:rFonts w:eastAsia="Times New Roman"/>
                <w:b/>
                <w:color w:val="000000"/>
                <w:sz w:val="18"/>
                <w:szCs w:val="18"/>
                <w:lang w:eastAsia="de-DE"/>
              </w:rPr>
            </w:pPr>
            <w:r w:rsidRPr="00A61D53">
              <w:rPr>
                <w:color w:val="000000"/>
                <w:sz w:val="18"/>
                <w:szCs w:val="18"/>
              </w:rPr>
              <w:t>Enhanced engagement with respect to climate change impacts, vulnerability and adaptation, including on anticipatory approaches and foresight to the attainment of long</w:t>
            </w:r>
            <w:r>
              <w:rPr>
                <w:color w:val="000000"/>
                <w:sz w:val="18"/>
                <w:szCs w:val="18"/>
              </w:rPr>
              <w:t>-</w:t>
            </w:r>
            <w:r w:rsidRPr="00A61D53">
              <w:rPr>
                <w:color w:val="000000"/>
                <w:sz w:val="18"/>
                <w:szCs w:val="18"/>
              </w:rPr>
              <w:t>term resilience</w:t>
            </w:r>
          </w:p>
        </w:tc>
        <w:tc>
          <w:tcPr>
            <w:tcW w:w="1112" w:type="dxa"/>
            <w:tcBorders>
              <w:top w:val="nil"/>
              <w:left w:val="nil"/>
              <w:bottom w:val="nil"/>
              <w:right w:val="nil"/>
            </w:tcBorders>
            <w:shd w:val="clear" w:color="auto" w:fill="auto"/>
            <w:noWrap/>
          </w:tcPr>
          <w:p w14:paraId="36CE45EF" w14:textId="77777777" w:rsidR="00D96136" w:rsidRPr="00A61D53" w:rsidRDefault="00D96136" w:rsidP="00FD7572">
            <w:pPr>
              <w:spacing w:before="40" w:after="40" w:line="200" w:lineRule="exact"/>
              <w:jc w:val="right"/>
              <w:rPr>
                <w:rFonts w:eastAsia="Times New Roman"/>
                <w:b/>
                <w:color w:val="000000"/>
                <w:sz w:val="18"/>
                <w:szCs w:val="18"/>
                <w:lang w:eastAsia="de-DE"/>
              </w:rPr>
            </w:pPr>
            <w:r>
              <w:rPr>
                <w:color w:val="000000"/>
                <w:sz w:val="18"/>
                <w:szCs w:val="18"/>
              </w:rPr>
              <w:t>2 371 463</w:t>
            </w:r>
          </w:p>
        </w:tc>
        <w:tc>
          <w:tcPr>
            <w:tcW w:w="973" w:type="dxa"/>
            <w:tcBorders>
              <w:top w:val="nil"/>
              <w:left w:val="nil"/>
              <w:bottom w:val="nil"/>
              <w:right w:val="nil"/>
            </w:tcBorders>
            <w:shd w:val="clear" w:color="auto" w:fill="auto"/>
            <w:noWrap/>
          </w:tcPr>
          <w:p w14:paraId="225DB4D9" w14:textId="77777777" w:rsidR="00D96136" w:rsidRPr="00A61D53" w:rsidRDefault="00D96136" w:rsidP="00FD7572">
            <w:pPr>
              <w:spacing w:before="40" w:after="40" w:line="200" w:lineRule="exact"/>
              <w:jc w:val="right"/>
              <w:rPr>
                <w:b/>
                <w:color w:val="000000"/>
                <w:sz w:val="18"/>
                <w:szCs w:val="18"/>
              </w:rPr>
            </w:pPr>
            <w:r>
              <w:rPr>
                <w:color w:val="000000"/>
                <w:sz w:val="18"/>
                <w:szCs w:val="18"/>
              </w:rPr>
              <w:t>1.0</w:t>
            </w:r>
          </w:p>
        </w:tc>
        <w:tc>
          <w:tcPr>
            <w:tcW w:w="859" w:type="dxa"/>
            <w:tcBorders>
              <w:top w:val="nil"/>
              <w:left w:val="nil"/>
              <w:bottom w:val="nil"/>
              <w:right w:val="nil"/>
            </w:tcBorders>
            <w:shd w:val="clear" w:color="auto" w:fill="auto"/>
            <w:noWrap/>
          </w:tcPr>
          <w:p w14:paraId="7FEFA632" w14:textId="77777777" w:rsidR="00D96136" w:rsidRPr="00A61D53" w:rsidRDefault="00D96136" w:rsidP="00FD7572">
            <w:pPr>
              <w:spacing w:before="40" w:after="40" w:line="200" w:lineRule="exact"/>
              <w:jc w:val="right"/>
              <w:rPr>
                <w:b/>
                <w:color w:val="000000"/>
                <w:sz w:val="18"/>
                <w:szCs w:val="18"/>
              </w:rPr>
            </w:pPr>
            <w:r>
              <w:rPr>
                <w:color w:val="000000"/>
                <w:sz w:val="18"/>
                <w:szCs w:val="18"/>
              </w:rPr>
              <w:t>–</w:t>
            </w:r>
          </w:p>
        </w:tc>
      </w:tr>
      <w:tr w:rsidR="00D96136" w:rsidRPr="00A61D53" w14:paraId="7E289799" w14:textId="77777777" w:rsidTr="00FD7572">
        <w:trPr>
          <w:trHeight w:val="33"/>
        </w:trPr>
        <w:tc>
          <w:tcPr>
            <w:tcW w:w="837" w:type="dxa"/>
            <w:tcBorders>
              <w:top w:val="nil"/>
              <w:left w:val="nil"/>
              <w:bottom w:val="nil"/>
              <w:right w:val="nil"/>
            </w:tcBorders>
            <w:shd w:val="clear" w:color="auto" w:fill="auto"/>
            <w:noWrap/>
          </w:tcPr>
          <w:p w14:paraId="359C339F"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400</w:t>
            </w:r>
            <w:r>
              <w:rPr>
                <w:color w:val="000000"/>
                <w:sz w:val="18"/>
                <w:szCs w:val="18"/>
              </w:rPr>
              <w:t>-</w:t>
            </w:r>
            <w:r w:rsidRPr="00A61D53">
              <w:rPr>
                <w:color w:val="000000"/>
                <w:sz w:val="18"/>
                <w:szCs w:val="18"/>
              </w:rPr>
              <w:t>002</w:t>
            </w:r>
          </w:p>
        </w:tc>
        <w:tc>
          <w:tcPr>
            <w:tcW w:w="1528" w:type="dxa"/>
            <w:tcBorders>
              <w:top w:val="nil"/>
              <w:left w:val="nil"/>
              <w:bottom w:val="nil"/>
              <w:right w:val="nil"/>
            </w:tcBorders>
            <w:shd w:val="clear" w:color="auto" w:fill="auto"/>
          </w:tcPr>
          <w:p w14:paraId="44751BA6"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Mitigation</w:t>
            </w:r>
          </w:p>
        </w:tc>
        <w:tc>
          <w:tcPr>
            <w:tcW w:w="4330" w:type="dxa"/>
            <w:tcBorders>
              <w:top w:val="nil"/>
              <w:left w:val="nil"/>
              <w:bottom w:val="nil"/>
              <w:right w:val="nil"/>
            </w:tcBorders>
            <w:shd w:val="clear" w:color="auto" w:fill="auto"/>
          </w:tcPr>
          <w:p w14:paraId="5BB294AE"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rFonts w:eastAsia="Times New Roman"/>
                <w:color w:val="000000"/>
                <w:sz w:val="18"/>
                <w:szCs w:val="18"/>
                <w:lang w:eastAsia="de-DE"/>
              </w:rPr>
              <w:t>Unlocking transformative climate solutions in collaboration with Parties and non</w:t>
            </w:r>
            <w:r>
              <w:rPr>
                <w:rFonts w:eastAsia="Times New Roman"/>
                <w:color w:val="000000"/>
                <w:sz w:val="18"/>
                <w:szCs w:val="18"/>
                <w:lang w:eastAsia="de-DE"/>
              </w:rPr>
              <w:t>-</w:t>
            </w:r>
            <w:r w:rsidRPr="00A61D53">
              <w:rPr>
                <w:rFonts w:eastAsia="Times New Roman"/>
                <w:color w:val="000000"/>
                <w:sz w:val="18"/>
                <w:szCs w:val="18"/>
                <w:lang w:eastAsia="de-DE"/>
              </w:rPr>
              <w:t>State actors</w:t>
            </w:r>
          </w:p>
        </w:tc>
        <w:tc>
          <w:tcPr>
            <w:tcW w:w="1112" w:type="dxa"/>
            <w:tcBorders>
              <w:top w:val="nil"/>
              <w:left w:val="nil"/>
              <w:bottom w:val="nil"/>
              <w:right w:val="nil"/>
            </w:tcBorders>
            <w:shd w:val="clear" w:color="auto" w:fill="auto"/>
            <w:noWrap/>
          </w:tcPr>
          <w:p w14:paraId="6CFECE32" w14:textId="77777777" w:rsidR="00D96136" w:rsidRPr="00A61D53" w:rsidRDefault="00D96136" w:rsidP="00FD7572">
            <w:pPr>
              <w:spacing w:before="40" w:after="40" w:line="200" w:lineRule="exact"/>
              <w:jc w:val="right"/>
              <w:rPr>
                <w:rFonts w:eastAsia="Times New Roman"/>
                <w:color w:val="000000"/>
                <w:sz w:val="18"/>
                <w:szCs w:val="18"/>
                <w:lang w:eastAsia="de-DE"/>
              </w:rPr>
            </w:pPr>
            <w:r>
              <w:rPr>
                <w:color w:val="000000"/>
                <w:sz w:val="18"/>
                <w:szCs w:val="18"/>
              </w:rPr>
              <w:t>13 363 567</w:t>
            </w:r>
          </w:p>
        </w:tc>
        <w:tc>
          <w:tcPr>
            <w:tcW w:w="973" w:type="dxa"/>
            <w:tcBorders>
              <w:top w:val="nil"/>
              <w:left w:val="nil"/>
              <w:bottom w:val="nil"/>
              <w:right w:val="nil"/>
            </w:tcBorders>
            <w:shd w:val="clear" w:color="auto" w:fill="auto"/>
            <w:noWrap/>
          </w:tcPr>
          <w:p w14:paraId="06393F17" w14:textId="77777777" w:rsidR="00D96136" w:rsidRPr="00A61D53" w:rsidRDefault="00D96136" w:rsidP="00FD7572">
            <w:pPr>
              <w:spacing w:before="40" w:after="40" w:line="200" w:lineRule="exact"/>
              <w:jc w:val="right"/>
              <w:rPr>
                <w:color w:val="000000"/>
                <w:sz w:val="18"/>
                <w:szCs w:val="18"/>
              </w:rPr>
            </w:pPr>
            <w:r>
              <w:rPr>
                <w:color w:val="000000"/>
                <w:sz w:val="18"/>
                <w:szCs w:val="18"/>
              </w:rPr>
              <w:t>11.5</w:t>
            </w:r>
          </w:p>
        </w:tc>
        <w:tc>
          <w:tcPr>
            <w:tcW w:w="859" w:type="dxa"/>
            <w:tcBorders>
              <w:top w:val="nil"/>
              <w:left w:val="nil"/>
              <w:bottom w:val="nil"/>
              <w:right w:val="nil"/>
            </w:tcBorders>
            <w:shd w:val="clear" w:color="auto" w:fill="auto"/>
            <w:noWrap/>
          </w:tcPr>
          <w:p w14:paraId="5D36109F" w14:textId="77777777" w:rsidR="00D96136" w:rsidRPr="00A61D53" w:rsidRDefault="00D96136" w:rsidP="00FD7572">
            <w:pPr>
              <w:spacing w:before="40" w:after="40" w:line="200" w:lineRule="exact"/>
              <w:jc w:val="right"/>
              <w:rPr>
                <w:color w:val="000000"/>
                <w:sz w:val="18"/>
                <w:szCs w:val="18"/>
              </w:rPr>
            </w:pPr>
            <w:r>
              <w:rPr>
                <w:color w:val="000000"/>
                <w:sz w:val="18"/>
                <w:szCs w:val="18"/>
              </w:rPr>
              <w:t>2.0</w:t>
            </w:r>
          </w:p>
        </w:tc>
      </w:tr>
      <w:tr w:rsidR="00D96136" w:rsidRPr="00A61D53" w14:paraId="3997CFE9" w14:textId="77777777" w:rsidTr="00FD7572">
        <w:trPr>
          <w:trHeight w:val="33"/>
        </w:trPr>
        <w:tc>
          <w:tcPr>
            <w:tcW w:w="837" w:type="dxa"/>
            <w:tcBorders>
              <w:top w:val="nil"/>
              <w:left w:val="nil"/>
              <w:bottom w:val="nil"/>
              <w:right w:val="nil"/>
            </w:tcBorders>
            <w:shd w:val="clear" w:color="auto" w:fill="auto"/>
            <w:noWrap/>
          </w:tcPr>
          <w:p w14:paraId="764CC1BD"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400</w:t>
            </w:r>
            <w:r>
              <w:rPr>
                <w:color w:val="000000"/>
                <w:sz w:val="18"/>
                <w:szCs w:val="18"/>
              </w:rPr>
              <w:t>-</w:t>
            </w:r>
            <w:r w:rsidRPr="00A61D53">
              <w:rPr>
                <w:color w:val="000000"/>
                <w:sz w:val="18"/>
                <w:szCs w:val="18"/>
              </w:rPr>
              <w:t>003</w:t>
            </w:r>
          </w:p>
        </w:tc>
        <w:tc>
          <w:tcPr>
            <w:tcW w:w="1528" w:type="dxa"/>
            <w:tcBorders>
              <w:top w:val="nil"/>
              <w:left w:val="nil"/>
              <w:bottom w:val="nil"/>
              <w:right w:val="nil"/>
            </w:tcBorders>
            <w:shd w:val="clear" w:color="auto" w:fill="auto"/>
          </w:tcPr>
          <w:p w14:paraId="79B164EB"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Means of Implementation</w:t>
            </w:r>
          </w:p>
        </w:tc>
        <w:tc>
          <w:tcPr>
            <w:tcW w:w="4330" w:type="dxa"/>
            <w:tcBorders>
              <w:top w:val="nil"/>
              <w:left w:val="nil"/>
              <w:bottom w:val="nil"/>
              <w:right w:val="nil"/>
            </w:tcBorders>
            <w:shd w:val="clear" w:color="auto" w:fill="auto"/>
          </w:tcPr>
          <w:p w14:paraId="257995EA"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Needs</w:t>
            </w:r>
            <w:r>
              <w:rPr>
                <w:color w:val="000000"/>
                <w:sz w:val="18"/>
                <w:szCs w:val="18"/>
              </w:rPr>
              <w:t>-</w:t>
            </w:r>
            <w:r w:rsidRPr="00A61D53">
              <w:rPr>
                <w:color w:val="000000"/>
                <w:sz w:val="18"/>
                <w:szCs w:val="18"/>
              </w:rPr>
              <w:t>based finance. Facilitating the access and mobilization of climate finance to support the priority mitigation and adaptation actions of developing countries</w:t>
            </w:r>
          </w:p>
        </w:tc>
        <w:tc>
          <w:tcPr>
            <w:tcW w:w="1112" w:type="dxa"/>
            <w:tcBorders>
              <w:top w:val="nil"/>
              <w:left w:val="nil"/>
              <w:bottom w:val="nil"/>
              <w:right w:val="nil"/>
            </w:tcBorders>
            <w:shd w:val="clear" w:color="auto" w:fill="auto"/>
            <w:noWrap/>
          </w:tcPr>
          <w:p w14:paraId="4479064D" w14:textId="77777777" w:rsidR="00D96136" w:rsidRPr="00A61D53" w:rsidRDefault="00D96136" w:rsidP="00FD7572">
            <w:pPr>
              <w:spacing w:before="40" w:after="40" w:line="200" w:lineRule="exact"/>
              <w:jc w:val="right"/>
              <w:rPr>
                <w:rFonts w:eastAsia="Times New Roman"/>
                <w:color w:val="000000"/>
                <w:sz w:val="18"/>
                <w:szCs w:val="18"/>
                <w:lang w:eastAsia="de-DE"/>
              </w:rPr>
            </w:pPr>
            <w:r>
              <w:rPr>
                <w:color w:val="000000"/>
                <w:sz w:val="18"/>
                <w:szCs w:val="18"/>
              </w:rPr>
              <w:t>2 397 453</w:t>
            </w:r>
          </w:p>
        </w:tc>
        <w:tc>
          <w:tcPr>
            <w:tcW w:w="973" w:type="dxa"/>
            <w:tcBorders>
              <w:top w:val="nil"/>
              <w:left w:val="nil"/>
              <w:bottom w:val="nil"/>
              <w:right w:val="nil"/>
            </w:tcBorders>
            <w:shd w:val="clear" w:color="auto" w:fill="auto"/>
            <w:noWrap/>
          </w:tcPr>
          <w:p w14:paraId="71F39F12" w14:textId="77777777" w:rsidR="00D96136" w:rsidRPr="00A61D53" w:rsidRDefault="00D96136" w:rsidP="00FD7572">
            <w:pPr>
              <w:spacing w:before="40" w:after="40" w:line="200" w:lineRule="exact"/>
              <w:jc w:val="right"/>
              <w:rPr>
                <w:color w:val="000000"/>
                <w:sz w:val="18"/>
                <w:szCs w:val="18"/>
              </w:rPr>
            </w:pPr>
            <w:r>
              <w:rPr>
                <w:color w:val="000000"/>
                <w:sz w:val="18"/>
                <w:szCs w:val="18"/>
              </w:rPr>
              <w:t>2.0</w:t>
            </w:r>
          </w:p>
        </w:tc>
        <w:tc>
          <w:tcPr>
            <w:tcW w:w="859" w:type="dxa"/>
            <w:tcBorders>
              <w:top w:val="nil"/>
              <w:left w:val="nil"/>
              <w:bottom w:val="nil"/>
              <w:right w:val="nil"/>
            </w:tcBorders>
            <w:shd w:val="clear" w:color="auto" w:fill="auto"/>
            <w:noWrap/>
          </w:tcPr>
          <w:p w14:paraId="2A2A7358" w14:textId="77777777" w:rsidR="00D96136" w:rsidRPr="00A61D53" w:rsidRDefault="00D96136" w:rsidP="00FD7572">
            <w:pPr>
              <w:spacing w:before="40" w:after="40" w:line="200" w:lineRule="exact"/>
              <w:jc w:val="right"/>
              <w:rPr>
                <w:color w:val="000000"/>
                <w:sz w:val="18"/>
                <w:szCs w:val="18"/>
              </w:rPr>
            </w:pPr>
            <w:r>
              <w:rPr>
                <w:color w:val="000000"/>
                <w:sz w:val="18"/>
                <w:szCs w:val="18"/>
              </w:rPr>
              <w:t>–</w:t>
            </w:r>
          </w:p>
        </w:tc>
      </w:tr>
      <w:tr w:rsidR="00D96136" w:rsidRPr="00A61D53" w14:paraId="7698144E" w14:textId="77777777" w:rsidTr="00FD7572">
        <w:trPr>
          <w:trHeight w:val="33"/>
        </w:trPr>
        <w:tc>
          <w:tcPr>
            <w:tcW w:w="837" w:type="dxa"/>
            <w:tcBorders>
              <w:top w:val="nil"/>
              <w:left w:val="nil"/>
              <w:bottom w:val="nil"/>
              <w:right w:val="nil"/>
            </w:tcBorders>
            <w:shd w:val="clear" w:color="auto" w:fill="auto"/>
            <w:noWrap/>
          </w:tcPr>
          <w:p w14:paraId="100FE86D"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400</w:t>
            </w:r>
            <w:r>
              <w:rPr>
                <w:color w:val="000000"/>
                <w:sz w:val="18"/>
                <w:szCs w:val="18"/>
              </w:rPr>
              <w:t>-</w:t>
            </w:r>
            <w:r w:rsidRPr="00A61D53">
              <w:rPr>
                <w:color w:val="000000"/>
                <w:sz w:val="18"/>
                <w:szCs w:val="18"/>
              </w:rPr>
              <w:t>004</w:t>
            </w:r>
          </w:p>
        </w:tc>
        <w:tc>
          <w:tcPr>
            <w:tcW w:w="1528" w:type="dxa"/>
            <w:tcBorders>
              <w:top w:val="nil"/>
              <w:left w:val="nil"/>
              <w:bottom w:val="nil"/>
              <w:right w:val="nil"/>
            </w:tcBorders>
            <w:shd w:val="clear" w:color="auto" w:fill="auto"/>
          </w:tcPr>
          <w:p w14:paraId="4D545BB6"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Transparency</w:t>
            </w:r>
          </w:p>
        </w:tc>
        <w:tc>
          <w:tcPr>
            <w:tcW w:w="4330" w:type="dxa"/>
            <w:tcBorders>
              <w:top w:val="nil"/>
              <w:left w:val="nil"/>
              <w:bottom w:val="nil"/>
              <w:right w:val="nil"/>
            </w:tcBorders>
            <w:shd w:val="clear" w:color="auto" w:fill="auto"/>
          </w:tcPr>
          <w:p w14:paraId="384F4536"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 xml:space="preserve">Additional support and enhanced engagement for the development and implementation of the </w:t>
            </w:r>
            <w:r>
              <w:rPr>
                <w:color w:val="000000"/>
                <w:sz w:val="18"/>
                <w:szCs w:val="18"/>
              </w:rPr>
              <w:t>enhanced transparency framework</w:t>
            </w:r>
          </w:p>
        </w:tc>
        <w:tc>
          <w:tcPr>
            <w:tcW w:w="1112" w:type="dxa"/>
            <w:tcBorders>
              <w:top w:val="nil"/>
              <w:left w:val="nil"/>
              <w:bottom w:val="nil"/>
              <w:right w:val="nil"/>
            </w:tcBorders>
            <w:shd w:val="clear" w:color="auto" w:fill="auto"/>
            <w:noWrap/>
          </w:tcPr>
          <w:p w14:paraId="541EF844" w14:textId="77777777" w:rsidR="00D96136" w:rsidRPr="00A61D53" w:rsidRDefault="00D96136" w:rsidP="00FD7572">
            <w:pPr>
              <w:spacing w:before="40" w:after="40" w:line="200" w:lineRule="exact"/>
              <w:jc w:val="right"/>
              <w:rPr>
                <w:rFonts w:eastAsia="Times New Roman"/>
                <w:color w:val="000000"/>
                <w:sz w:val="18"/>
                <w:szCs w:val="18"/>
                <w:lang w:eastAsia="de-DE"/>
              </w:rPr>
            </w:pPr>
            <w:r>
              <w:rPr>
                <w:color w:val="000000"/>
                <w:sz w:val="18"/>
                <w:szCs w:val="18"/>
              </w:rPr>
              <w:t>1 058 507</w:t>
            </w:r>
          </w:p>
        </w:tc>
        <w:tc>
          <w:tcPr>
            <w:tcW w:w="973" w:type="dxa"/>
            <w:tcBorders>
              <w:top w:val="nil"/>
              <w:left w:val="nil"/>
              <w:bottom w:val="nil"/>
              <w:right w:val="nil"/>
            </w:tcBorders>
            <w:shd w:val="clear" w:color="auto" w:fill="auto"/>
            <w:noWrap/>
          </w:tcPr>
          <w:p w14:paraId="432725C4" w14:textId="77777777" w:rsidR="00D96136" w:rsidRPr="00A61D53" w:rsidRDefault="00D96136" w:rsidP="00FD7572">
            <w:pPr>
              <w:spacing w:before="40" w:after="40" w:line="200" w:lineRule="exact"/>
              <w:jc w:val="right"/>
              <w:rPr>
                <w:color w:val="000000"/>
                <w:sz w:val="18"/>
                <w:szCs w:val="18"/>
              </w:rPr>
            </w:pPr>
            <w:r>
              <w:rPr>
                <w:color w:val="000000"/>
                <w:sz w:val="18"/>
                <w:szCs w:val="18"/>
              </w:rPr>
              <w:t>0.4</w:t>
            </w:r>
          </w:p>
        </w:tc>
        <w:tc>
          <w:tcPr>
            <w:tcW w:w="859" w:type="dxa"/>
            <w:tcBorders>
              <w:top w:val="nil"/>
              <w:left w:val="nil"/>
              <w:bottom w:val="nil"/>
              <w:right w:val="nil"/>
            </w:tcBorders>
            <w:shd w:val="clear" w:color="auto" w:fill="auto"/>
            <w:noWrap/>
          </w:tcPr>
          <w:p w14:paraId="4FE09A9B" w14:textId="77777777" w:rsidR="00D96136" w:rsidRPr="00A61D53" w:rsidRDefault="00D96136" w:rsidP="00FD7572">
            <w:pPr>
              <w:spacing w:before="40" w:after="40" w:line="200" w:lineRule="exact"/>
              <w:jc w:val="right"/>
              <w:rPr>
                <w:color w:val="000000"/>
                <w:sz w:val="18"/>
                <w:szCs w:val="18"/>
              </w:rPr>
            </w:pPr>
            <w:r>
              <w:rPr>
                <w:color w:val="000000"/>
                <w:sz w:val="18"/>
                <w:szCs w:val="18"/>
              </w:rPr>
              <w:t>0.7</w:t>
            </w:r>
          </w:p>
        </w:tc>
      </w:tr>
      <w:tr w:rsidR="00D96136" w:rsidRPr="00A61D53" w14:paraId="60DFF64D" w14:textId="77777777" w:rsidTr="00FD7572">
        <w:trPr>
          <w:trHeight w:val="33"/>
        </w:trPr>
        <w:tc>
          <w:tcPr>
            <w:tcW w:w="837" w:type="dxa"/>
            <w:tcBorders>
              <w:top w:val="nil"/>
              <w:left w:val="nil"/>
              <w:bottom w:val="nil"/>
              <w:right w:val="nil"/>
            </w:tcBorders>
            <w:shd w:val="clear" w:color="auto" w:fill="auto"/>
            <w:noWrap/>
          </w:tcPr>
          <w:p w14:paraId="434FF909"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400</w:t>
            </w:r>
            <w:r>
              <w:rPr>
                <w:color w:val="000000"/>
                <w:sz w:val="18"/>
                <w:szCs w:val="18"/>
              </w:rPr>
              <w:t>-</w:t>
            </w:r>
            <w:r w:rsidRPr="00A61D53">
              <w:rPr>
                <w:color w:val="000000"/>
                <w:sz w:val="18"/>
                <w:szCs w:val="18"/>
              </w:rPr>
              <w:t>005</w:t>
            </w:r>
          </w:p>
        </w:tc>
        <w:tc>
          <w:tcPr>
            <w:tcW w:w="1528" w:type="dxa"/>
            <w:tcBorders>
              <w:top w:val="nil"/>
              <w:left w:val="nil"/>
              <w:bottom w:val="nil"/>
              <w:right w:val="nil"/>
            </w:tcBorders>
            <w:shd w:val="clear" w:color="auto" w:fill="auto"/>
          </w:tcPr>
          <w:p w14:paraId="6E119C1E"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Intergovernmental Support and Collective Progress</w:t>
            </w:r>
          </w:p>
        </w:tc>
        <w:tc>
          <w:tcPr>
            <w:tcW w:w="4330" w:type="dxa"/>
            <w:tcBorders>
              <w:top w:val="nil"/>
              <w:left w:val="nil"/>
              <w:bottom w:val="nil"/>
              <w:right w:val="nil"/>
            </w:tcBorders>
            <w:shd w:val="clear" w:color="auto" w:fill="auto"/>
          </w:tcPr>
          <w:p w14:paraId="349F2089"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Strengthening engagement with Parties, observer States and negotiating groups on issues related to the intergovernmental process globally and regionally</w:t>
            </w:r>
          </w:p>
        </w:tc>
        <w:tc>
          <w:tcPr>
            <w:tcW w:w="1112" w:type="dxa"/>
            <w:tcBorders>
              <w:top w:val="nil"/>
              <w:left w:val="nil"/>
              <w:bottom w:val="nil"/>
              <w:right w:val="nil"/>
            </w:tcBorders>
            <w:shd w:val="clear" w:color="auto" w:fill="auto"/>
            <w:noWrap/>
          </w:tcPr>
          <w:p w14:paraId="57B00880" w14:textId="77777777" w:rsidR="00D96136" w:rsidRPr="00A61D53" w:rsidRDefault="00D96136" w:rsidP="00FD7572">
            <w:pPr>
              <w:spacing w:before="40" w:after="40" w:line="200" w:lineRule="exact"/>
              <w:jc w:val="right"/>
              <w:rPr>
                <w:rFonts w:eastAsia="Times New Roman"/>
                <w:color w:val="000000"/>
                <w:sz w:val="18"/>
                <w:szCs w:val="18"/>
                <w:lang w:eastAsia="de-DE"/>
              </w:rPr>
            </w:pPr>
            <w:r>
              <w:rPr>
                <w:color w:val="000000"/>
                <w:sz w:val="18"/>
                <w:szCs w:val="18"/>
              </w:rPr>
              <w:t>1 274 587</w:t>
            </w:r>
          </w:p>
        </w:tc>
        <w:tc>
          <w:tcPr>
            <w:tcW w:w="973" w:type="dxa"/>
            <w:tcBorders>
              <w:top w:val="nil"/>
              <w:left w:val="nil"/>
              <w:bottom w:val="nil"/>
              <w:right w:val="nil"/>
            </w:tcBorders>
            <w:shd w:val="clear" w:color="auto" w:fill="auto"/>
            <w:noWrap/>
          </w:tcPr>
          <w:p w14:paraId="17430373" w14:textId="77777777" w:rsidR="00D96136" w:rsidRPr="00A61D53" w:rsidRDefault="00D96136" w:rsidP="00FD7572">
            <w:pPr>
              <w:spacing w:before="40" w:after="40" w:line="200" w:lineRule="exact"/>
              <w:jc w:val="right"/>
              <w:rPr>
                <w:color w:val="000000"/>
                <w:sz w:val="18"/>
                <w:szCs w:val="18"/>
              </w:rPr>
            </w:pPr>
            <w:r>
              <w:rPr>
                <w:color w:val="000000"/>
                <w:sz w:val="18"/>
                <w:szCs w:val="18"/>
              </w:rPr>
              <w:t>1.0</w:t>
            </w:r>
          </w:p>
        </w:tc>
        <w:tc>
          <w:tcPr>
            <w:tcW w:w="859" w:type="dxa"/>
            <w:tcBorders>
              <w:top w:val="nil"/>
              <w:left w:val="nil"/>
              <w:bottom w:val="nil"/>
              <w:right w:val="nil"/>
            </w:tcBorders>
            <w:shd w:val="clear" w:color="auto" w:fill="auto"/>
            <w:noWrap/>
          </w:tcPr>
          <w:p w14:paraId="00E80A4E" w14:textId="77777777" w:rsidR="00D96136" w:rsidRPr="00A61D53" w:rsidRDefault="00D96136" w:rsidP="00FD7572">
            <w:pPr>
              <w:spacing w:before="40" w:after="40" w:line="200" w:lineRule="exact"/>
              <w:jc w:val="right"/>
              <w:rPr>
                <w:color w:val="000000"/>
                <w:sz w:val="18"/>
                <w:szCs w:val="18"/>
              </w:rPr>
            </w:pPr>
            <w:r>
              <w:rPr>
                <w:color w:val="000000"/>
                <w:sz w:val="18"/>
                <w:szCs w:val="18"/>
              </w:rPr>
              <w:t>1.0</w:t>
            </w:r>
          </w:p>
        </w:tc>
      </w:tr>
      <w:tr w:rsidR="00D96136" w:rsidRPr="00A61D53" w14:paraId="398D0112" w14:textId="77777777" w:rsidTr="00FD7572">
        <w:trPr>
          <w:trHeight w:val="33"/>
        </w:trPr>
        <w:tc>
          <w:tcPr>
            <w:tcW w:w="837" w:type="dxa"/>
            <w:tcBorders>
              <w:top w:val="nil"/>
              <w:left w:val="nil"/>
              <w:bottom w:val="nil"/>
              <w:right w:val="nil"/>
            </w:tcBorders>
            <w:shd w:val="clear" w:color="auto" w:fill="auto"/>
            <w:noWrap/>
          </w:tcPr>
          <w:p w14:paraId="0AF8C902" w14:textId="77777777" w:rsidR="00D96136" w:rsidRPr="00A61D53" w:rsidRDefault="00D96136" w:rsidP="00FD7572">
            <w:pPr>
              <w:spacing w:before="40" w:after="40" w:line="200" w:lineRule="exact"/>
              <w:rPr>
                <w:rFonts w:eastAsia="Times New Roman"/>
                <w:b/>
                <w:color w:val="000000"/>
                <w:sz w:val="18"/>
                <w:szCs w:val="18"/>
                <w:lang w:eastAsia="de-DE"/>
              </w:rPr>
            </w:pPr>
            <w:r w:rsidRPr="00A61D53">
              <w:rPr>
                <w:color w:val="000000"/>
                <w:sz w:val="18"/>
                <w:szCs w:val="18"/>
              </w:rPr>
              <w:t>400</w:t>
            </w:r>
            <w:r>
              <w:rPr>
                <w:color w:val="000000"/>
                <w:sz w:val="18"/>
                <w:szCs w:val="18"/>
              </w:rPr>
              <w:t>-</w:t>
            </w:r>
            <w:r w:rsidRPr="00A61D53">
              <w:rPr>
                <w:color w:val="000000"/>
                <w:sz w:val="18"/>
                <w:szCs w:val="18"/>
              </w:rPr>
              <w:t>006</w:t>
            </w:r>
          </w:p>
        </w:tc>
        <w:tc>
          <w:tcPr>
            <w:tcW w:w="1528" w:type="dxa"/>
            <w:tcBorders>
              <w:top w:val="nil"/>
              <w:left w:val="nil"/>
              <w:bottom w:val="nil"/>
              <w:right w:val="nil"/>
            </w:tcBorders>
            <w:shd w:val="clear" w:color="auto" w:fill="auto"/>
          </w:tcPr>
          <w:p w14:paraId="05441949" w14:textId="77777777" w:rsidR="00D96136" w:rsidRPr="00A61D53" w:rsidRDefault="00D96136" w:rsidP="00FD7572">
            <w:pPr>
              <w:spacing w:before="40" w:after="40" w:line="200" w:lineRule="exact"/>
              <w:rPr>
                <w:rFonts w:eastAsia="Times New Roman"/>
                <w:b/>
                <w:color w:val="000000"/>
                <w:sz w:val="18"/>
                <w:szCs w:val="18"/>
                <w:lang w:eastAsia="de-DE"/>
              </w:rPr>
            </w:pPr>
            <w:r w:rsidRPr="00A61D53">
              <w:rPr>
                <w:color w:val="000000"/>
                <w:sz w:val="18"/>
                <w:szCs w:val="18"/>
              </w:rPr>
              <w:t>Communications and Engagement</w:t>
            </w:r>
          </w:p>
        </w:tc>
        <w:tc>
          <w:tcPr>
            <w:tcW w:w="4330" w:type="dxa"/>
            <w:tcBorders>
              <w:top w:val="nil"/>
              <w:left w:val="nil"/>
              <w:bottom w:val="nil"/>
              <w:right w:val="nil"/>
            </w:tcBorders>
            <w:shd w:val="clear" w:color="auto" w:fill="auto"/>
          </w:tcPr>
          <w:p w14:paraId="208ACAE8" w14:textId="77777777" w:rsidR="00D96136" w:rsidRPr="00A61D53" w:rsidRDefault="00D96136" w:rsidP="00FD7572">
            <w:pPr>
              <w:spacing w:before="40" w:after="40" w:line="200" w:lineRule="exact"/>
              <w:rPr>
                <w:rFonts w:eastAsia="Times New Roman"/>
                <w:b/>
                <w:color w:val="000000"/>
                <w:sz w:val="18"/>
                <w:szCs w:val="18"/>
                <w:lang w:eastAsia="de-DE"/>
              </w:rPr>
            </w:pPr>
            <w:r w:rsidRPr="00A61D53">
              <w:rPr>
                <w:color w:val="000000"/>
                <w:sz w:val="18"/>
                <w:szCs w:val="18"/>
              </w:rPr>
              <w:t>Administration and expansion of the Marrakech Partnership for Global Climate Action in order to catalyse collaborative climate action among Parties and non</w:t>
            </w:r>
            <w:r>
              <w:rPr>
                <w:color w:val="000000"/>
                <w:sz w:val="18"/>
                <w:szCs w:val="18"/>
              </w:rPr>
              <w:t>-</w:t>
            </w:r>
            <w:r w:rsidRPr="00A61D53">
              <w:rPr>
                <w:color w:val="000000"/>
                <w:sz w:val="18"/>
                <w:szCs w:val="18"/>
              </w:rPr>
              <w:t>Party stakeholders</w:t>
            </w:r>
          </w:p>
        </w:tc>
        <w:tc>
          <w:tcPr>
            <w:tcW w:w="1112" w:type="dxa"/>
            <w:tcBorders>
              <w:top w:val="nil"/>
              <w:left w:val="nil"/>
              <w:bottom w:val="nil"/>
              <w:right w:val="nil"/>
            </w:tcBorders>
            <w:shd w:val="clear" w:color="auto" w:fill="auto"/>
            <w:noWrap/>
          </w:tcPr>
          <w:p w14:paraId="0796E167" w14:textId="77777777" w:rsidR="00D96136" w:rsidRPr="00A61D53" w:rsidRDefault="00D96136" w:rsidP="00FD7572">
            <w:pPr>
              <w:spacing w:before="40" w:after="40" w:line="200" w:lineRule="exact"/>
              <w:jc w:val="right"/>
              <w:rPr>
                <w:rFonts w:eastAsia="Times New Roman"/>
                <w:b/>
                <w:color w:val="000000"/>
                <w:sz w:val="18"/>
                <w:szCs w:val="18"/>
                <w:lang w:eastAsia="de-DE"/>
              </w:rPr>
            </w:pPr>
            <w:r>
              <w:rPr>
                <w:color w:val="000000"/>
                <w:sz w:val="18"/>
                <w:szCs w:val="18"/>
              </w:rPr>
              <w:t>3 366 129</w:t>
            </w:r>
          </w:p>
        </w:tc>
        <w:tc>
          <w:tcPr>
            <w:tcW w:w="973" w:type="dxa"/>
            <w:tcBorders>
              <w:top w:val="nil"/>
              <w:left w:val="nil"/>
              <w:bottom w:val="nil"/>
              <w:right w:val="nil"/>
            </w:tcBorders>
            <w:shd w:val="clear" w:color="auto" w:fill="auto"/>
            <w:noWrap/>
          </w:tcPr>
          <w:p w14:paraId="4251EBF5" w14:textId="77777777" w:rsidR="00D96136" w:rsidRPr="00A61D53" w:rsidRDefault="00D96136" w:rsidP="00FD7572">
            <w:pPr>
              <w:spacing w:before="40" w:after="40" w:line="200" w:lineRule="exact"/>
              <w:jc w:val="right"/>
              <w:rPr>
                <w:b/>
                <w:color w:val="000000"/>
                <w:sz w:val="18"/>
                <w:szCs w:val="18"/>
              </w:rPr>
            </w:pPr>
            <w:r>
              <w:rPr>
                <w:color w:val="000000"/>
                <w:sz w:val="18"/>
                <w:szCs w:val="18"/>
              </w:rPr>
              <w:t>7.0</w:t>
            </w:r>
          </w:p>
        </w:tc>
        <w:tc>
          <w:tcPr>
            <w:tcW w:w="859" w:type="dxa"/>
            <w:tcBorders>
              <w:top w:val="nil"/>
              <w:left w:val="nil"/>
              <w:bottom w:val="nil"/>
              <w:right w:val="nil"/>
            </w:tcBorders>
            <w:shd w:val="clear" w:color="auto" w:fill="auto"/>
            <w:noWrap/>
          </w:tcPr>
          <w:p w14:paraId="5BD5F10A" w14:textId="77777777" w:rsidR="00D96136" w:rsidRPr="00A61D53" w:rsidRDefault="00D96136" w:rsidP="00FD7572">
            <w:pPr>
              <w:spacing w:before="40" w:after="40" w:line="200" w:lineRule="exact"/>
              <w:jc w:val="right"/>
              <w:rPr>
                <w:b/>
                <w:color w:val="000000"/>
                <w:sz w:val="18"/>
                <w:szCs w:val="18"/>
              </w:rPr>
            </w:pPr>
            <w:r>
              <w:rPr>
                <w:color w:val="000000"/>
                <w:sz w:val="18"/>
                <w:szCs w:val="18"/>
              </w:rPr>
              <w:t>2.0</w:t>
            </w:r>
          </w:p>
        </w:tc>
      </w:tr>
      <w:tr w:rsidR="00D96136" w:rsidRPr="00A61D53" w14:paraId="41DB3809" w14:textId="77777777" w:rsidTr="00FD7572">
        <w:trPr>
          <w:trHeight w:val="33"/>
        </w:trPr>
        <w:tc>
          <w:tcPr>
            <w:tcW w:w="837" w:type="dxa"/>
            <w:tcBorders>
              <w:top w:val="nil"/>
              <w:left w:val="nil"/>
              <w:bottom w:val="nil"/>
              <w:right w:val="nil"/>
            </w:tcBorders>
            <w:shd w:val="clear" w:color="auto" w:fill="auto"/>
            <w:noWrap/>
          </w:tcPr>
          <w:p w14:paraId="716EF3B7"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400</w:t>
            </w:r>
            <w:r>
              <w:rPr>
                <w:color w:val="000000"/>
                <w:sz w:val="18"/>
                <w:szCs w:val="18"/>
              </w:rPr>
              <w:t>-</w:t>
            </w:r>
            <w:r w:rsidRPr="00A61D53">
              <w:rPr>
                <w:color w:val="000000"/>
                <w:sz w:val="18"/>
                <w:szCs w:val="18"/>
              </w:rPr>
              <w:t>006</w:t>
            </w:r>
          </w:p>
        </w:tc>
        <w:tc>
          <w:tcPr>
            <w:tcW w:w="1528" w:type="dxa"/>
            <w:tcBorders>
              <w:top w:val="nil"/>
              <w:left w:val="nil"/>
              <w:bottom w:val="nil"/>
              <w:right w:val="nil"/>
            </w:tcBorders>
            <w:shd w:val="clear" w:color="auto" w:fill="auto"/>
          </w:tcPr>
          <w:p w14:paraId="4888AE10"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Communications and Engagement</w:t>
            </w:r>
          </w:p>
        </w:tc>
        <w:tc>
          <w:tcPr>
            <w:tcW w:w="4330" w:type="dxa"/>
            <w:tcBorders>
              <w:top w:val="nil"/>
              <w:left w:val="nil"/>
              <w:bottom w:val="nil"/>
              <w:right w:val="nil"/>
            </w:tcBorders>
            <w:shd w:val="clear" w:color="auto" w:fill="auto"/>
          </w:tcPr>
          <w:p w14:paraId="3E8A7BF2"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Comprehensive support for communications campaigns for promoting achievements in the UNFCCC process and multilingual content for the UNFCCC website, mobile application and social media</w:t>
            </w:r>
          </w:p>
        </w:tc>
        <w:tc>
          <w:tcPr>
            <w:tcW w:w="1112" w:type="dxa"/>
            <w:tcBorders>
              <w:top w:val="nil"/>
              <w:left w:val="nil"/>
              <w:bottom w:val="nil"/>
              <w:right w:val="nil"/>
            </w:tcBorders>
            <w:shd w:val="clear" w:color="auto" w:fill="auto"/>
            <w:noWrap/>
          </w:tcPr>
          <w:p w14:paraId="61C1CE7A" w14:textId="77777777" w:rsidR="00D96136" w:rsidRPr="00A61D53" w:rsidRDefault="00D96136" w:rsidP="00FD7572">
            <w:pPr>
              <w:spacing w:before="40" w:after="40" w:line="200" w:lineRule="exact"/>
              <w:jc w:val="right"/>
              <w:rPr>
                <w:rFonts w:eastAsia="Times New Roman"/>
                <w:color w:val="000000"/>
                <w:sz w:val="18"/>
                <w:szCs w:val="18"/>
                <w:lang w:eastAsia="de-DE"/>
              </w:rPr>
            </w:pPr>
            <w:r>
              <w:rPr>
                <w:color w:val="000000"/>
                <w:sz w:val="18"/>
                <w:szCs w:val="18"/>
              </w:rPr>
              <w:t>3 145 970</w:t>
            </w:r>
          </w:p>
        </w:tc>
        <w:tc>
          <w:tcPr>
            <w:tcW w:w="973" w:type="dxa"/>
            <w:tcBorders>
              <w:top w:val="nil"/>
              <w:left w:val="nil"/>
              <w:bottom w:val="nil"/>
              <w:right w:val="nil"/>
            </w:tcBorders>
            <w:shd w:val="clear" w:color="auto" w:fill="auto"/>
            <w:noWrap/>
          </w:tcPr>
          <w:p w14:paraId="631AF6CF" w14:textId="77777777" w:rsidR="00D96136" w:rsidRPr="00A61D53" w:rsidRDefault="00D96136" w:rsidP="00FD7572">
            <w:pPr>
              <w:spacing w:before="40" w:after="40" w:line="200" w:lineRule="exact"/>
              <w:jc w:val="right"/>
              <w:rPr>
                <w:color w:val="000000"/>
                <w:sz w:val="18"/>
                <w:szCs w:val="18"/>
              </w:rPr>
            </w:pPr>
            <w:r>
              <w:rPr>
                <w:color w:val="000000"/>
                <w:sz w:val="18"/>
                <w:szCs w:val="18"/>
              </w:rPr>
              <w:t>7.0</w:t>
            </w:r>
          </w:p>
        </w:tc>
        <w:tc>
          <w:tcPr>
            <w:tcW w:w="859" w:type="dxa"/>
            <w:tcBorders>
              <w:top w:val="nil"/>
              <w:left w:val="nil"/>
              <w:bottom w:val="nil"/>
              <w:right w:val="nil"/>
            </w:tcBorders>
            <w:shd w:val="clear" w:color="auto" w:fill="auto"/>
            <w:noWrap/>
          </w:tcPr>
          <w:p w14:paraId="1C7B50E6" w14:textId="77777777" w:rsidR="00D96136" w:rsidRPr="00A61D53" w:rsidRDefault="00D96136" w:rsidP="00FD7572">
            <w:pPr>
              <w:spacing w:before="40" w:after="40" w:line="200" w:lineRule="exact"/>
              <w:jc w:val="right"/>
              <w:rPr>
                <w:color w:val="000000"/>
                <w:sz w:val="18"/>
                <w:szCs w:val="18"/>
              </w:rPr>
            </w:pPr>
            <w:r>
              <w:rPr>
                <w:color w:val="000000"/>
                <w:sz w:val="18"/>
                <w:szCs w:val="18"/>
              </w:rPr>
              <w:t>–</w:t>
            </w:r>
          </w:p>
        </w:tc>
      </w:tr>
      <w:tr w:rsidR="00D96136" w:rsidRPr="00A61D53" w14:paraId="79B07822" w14:textId="77777777" w:rsidTr="00FD7572">
        <w:trPr>
          <w:trHeight w:val="33"/>
        </w:trPr>
        <w:tc>
          <w:tcPr>
            <w:tcW w:w="837" w:type="dxa"/>
            <w:tcBorders>
              <w:top w:val="nil"/>
              <w:left w:val="nil"/>
              <w:bottom w:val="nil"/>
              <w:right w:val="nil"/>
            </w:tcBorders>
            <w:shd w:val="clear" w:color="auto" w:fill="auto"/>
            <w:noWrap/>
          </w:tcPr>
          <w:p w14:paraId="120178C1"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400</w:t>
            </w:r>
            <w:r>
              <w:rPr>
                <w:color w:val="000000"/>
                <w:sz w:val="18"/>
                <w:szCs w:val="18"/>
              </w:rPr>
              <w:t>-</w:t>
            </w:r>
            <w:r w:rsidRPr="00A61D53">
              <w:rPr>
                <w:color w:val="000000"/>
                <w:sz w:val="18"/>
                <w:szCs w:val="18"/>
              </w:rPr>
              <w:t>006</w:t>
            </w:r>
          </w:p>
        </w:tc>
        <w:tc>
          <w:tcPr>
            <w:tcW w:w="1528" w:type="dxa"/>
            <w:tcBorders>
              <w:top w:val="nil"/>
              <w:left w:val="nil"/>
              <w:bottom w:val="nil"/>
              <w:right w:val="nil"/>
            </w:tcBorders>
            <w:shd w:val="clear" w:color="auto" w:fill="auto"/>
          </w:tcPr>
          <w:p w14:paraId="5D824287"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Communications and Engagement</w:t>
            </w:r>
          </w:p>
        </w:tc>
        <w:tc>
          <w:tcPr>
            <w:tcW w:w="4330" w:type="dxa"/>
            <w:tcBorders>
              <w:top w:val="nil"/>
              <w:left w:val="nil"/>
              <w:bottom w:val="nil"/>
              <w:right w:val="nil"/>
            </w:tcBorders>
            <w:shd w:val="clear" w:color="auto" w:fill="auto"/>
          </w:tcPr>
          <w:p w14:paraId="693F1AA5" w14:textId="313BA461"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 xml:space="preserve">Comprehensive support for work related to ACE, including enhancing inclusive stakeholder engagement </w:t>
            </w:r>
          </w:p>
        </w:tc>
        <w:tc>
          <w:tcPr>
            <w:tcW w:w="1112" w:type="dxa"/>
            <w:tcBorders>
              <w:top w:val="nil"/>
              <w:left w:val="nil"/>
              <w:bottom w:val="nil"/>
              <w:right w:val="nil"/>
            </w:tcBorders>
            <w:shd w:val="clear" w:color="auto" w:fill="auto"/>
            <w:noWrap/>
          </w:tcPr>
          <w:p w14:paraId="34EE1178" w14:textId="77777777" w:rsidR="00D96136" w:rsidRPr="00A61D53" w:rsidRDefault="00D96136" w:rsidP="00FD7572">
            <w:pPr>
              <w:spacing w:before="40" w:after="40" w:line="200" w:lineRule="exact"/>
              <w:jc w:val="right"/>
              <w:rPr>
                <w:rFonts w:eastAsia="Times New Roman"/>
                <w:color w:val="000000"/>
                <w:sz w:val="18"/>
                <w:szCs w:val="18"/>
                <w:lang w:eastAsia="de-DE"/>
              </w:rPr>
            </w:pPr>
            <w:r>
              <w:rPr>
                <w:color w:val="000000"/>
                <w:sz w:val="18"/>
                <w:szCs w:val="18"/>
              </w:rPr>
              <w:t>1 685 711</w:t>
            </w:r>
          </w:p>
        </w:tc>
        <w:tc>
          <w:tcPr>
            <w:tcW w:w="973" w:type="dxa"/>
            <w:tcBorders>
              <w:top w:val="nil"/>
              <w:left w:val="nil"/>
              <w:bottom w:val="nil"/>
              <w:right w:val="nil"/>
            </w:tcBorders>
            <w:shd w:val="clear" w:color="auto" w:fill="auto"/>
            <w:noWrap/>
          </w:tcPr>
          <w:p w14:paraId="2C210728" w14:textId="77777777" w:rsidR="00D96136" w:rsidRPr="00A61D53" w:rsidRDefault="00D96136" w:rsidP="00FD7572">
            <w:pPr>
              <w:spacing w:before="40" w:after="40" w:line="200" w:lineRule="exact"/>
              <w:jc w:val="right"/>
              <w:rPr>
                <w:color w:val="000000"/>
                <w:sz w:val="18"/>
                <w:szCs w:val="18"/>
              </w:rPr>
            </w:pPr>
            <w:r>
              <w:rPr>
                <w:color w:val="000000"/>
                <w:sz w:val="18"/>
                <w:szCs w:val="18"/>
              </w:rPr>
              <w:t>4.0</w:t>
            </w:r>
          </w:p>
        </w:tc>
        <w:tc>
          <w:tcPr>
            <w:tcW w:w="859" w:type="dxa"/>
            <w:tcBorders>
              <w:top w:val="nil"/>
              <w:left w:val="nil"/>
              <w:bottom w:val="nil"/>
              <w:right w:val="nil"/>
            </w:tcBorders>
            <w:shd w:val="clear" w:color="auto" w:fill="auto"/>
            <w:noWrap/>
          </w:tcPr>
          <w:p w14:paraId="0A1C45DA" w14:textId="77777777" w:rsidR="00D96136" w:rsidRPr="00A61D53" w:rsidRDefault="00D96136" w:rsidP="00FD7572">
            <w:pPr>
              <w:spacing w:before="40" w:after="40" w:line="200" w:lineRule="exact"/>
              <w:jc w:val="right"/>
              <w:rPr>
                <w:color w:val="000000"/>
                <w:sz w:val="18"/>
                <w:szCs w:val="18"/>
              </w:rPr>
            </w:pPr>
            <w:r>
              <w:rPr>
                <w:color w:val="000000"/>
                <w:sz w:val="18"/>
                <w:szCs w:val="18"/>
              </w:rPr>
              <w:t>1.0</w:t>
            </w:r>
          </w:p>
        </w:tc>
      </w:tr>
      <w:tr w:rsidR="00D96136" w:rsidRPr="00A61D53" w14:paraId="0C018030" w14:textId="77777777" w:rsidTr="00FD7572">
        <w:trPr>
          <w:trHeight w:val="33"/>
        </w:trPr>
        <w:tc>
          <w:tcPr>
            <w:tcW w:w="837" w:type="dxa"/>
            <w:tcBorders>
              <w:top w:val="nil"/>
              <w:left w:val="nil"/>
              <w:bottom w:val="nil"/>
              <w:right w:val="nil"/>
            </w:tcBorders>
            <w:shd w:val="clear" w:color="auto" w:fill="auto"/>
            <w:noWrap/>
          </w:tcPr>
          <w:p w14:paraId="01FDBC8C"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400</w:t>
            </w:r>
            <w:r>
              <w:rPr>
                <w:color w:val="000000"/>
                <w:sz w:val="18"/>
                <w:szCs w:val="18"/>
              </w:rPr>
              <w:t>-</w:t>
            </w:r>
            <w:r w:rsidRPr="00A61D53">
              <w:rPr>
                <w:color w:val="000000"/>
                <w:sz w:val="18"/>
                <w:szCs w:val="18"/>
              </w:rPr>
              <w:t>007</w:t>
            </w:r>
          </w:p>
        </w:tc>
        <w:tc>
          <w:tcPr>
            <w:tcW w:w="1528" w:type="dxa"/>
            <w:tcBorders>
              <w:top w:val="nil"/>
              <w:left w:val="nil"/>
              <w:bottom w:val="nil"/>
              <w:right w:val="nil"/>
            </w:tcBorders>
            <w:shd w:val="clear" w:color="auto" w:fill="auto"/>
          </w:tcPr>
          <w:p w14:paraId="7E36F4A3"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Legal Affairs</w:t>
            </w:r>
          </w:p>
        </w:tc>
        <w:tc>
          <w:tcPr>
            <w:tcW w:w="4330" w:type="dxa"/>
            <w:tcBorders>
              <w:top w:val="nil"/>
              <w:left w:val="nil"/>
              <w:bottom w:val="nil"/>
              <w:right w:val="nil"/>
            </w:tcBorders>
            <w:shd w:val="clear" w:color="auto" w:fill="auto"/>
          </w:tcPr>
          <w:p w14:paraId="1D5410BF"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Enhancement of the capacity of young negotiators, presiding officers, secretariat staff, observer organizations, policymakers and legislators to actively engage in the intergovernmental process and implement international climate commitments</w:t>
            </w:r>
          </w:p>
        </w:tc>
        <w:tc>
          <w:tcPr>
            <w:tcW w:w="1112" w:type="dxa"/>
            <w:tcBorders>
              <w:top w:val="nil"/>
              <w:left w:val="nil"/>
              <w:bottom w:val="nil"/>
              <w:right w:val="nil"/>
            </w:tcBorders>
            <w:shd w:val="clear" w:color="auto" w:fill="auto"/>
            <w:noWrap/>
          </w:tcPr>
          <w:p w14:paraId="3D133FC9" w14:textId="77777777" w:rsidR="00D96136" w:rsidRPr="00A61D53" w:rsidRDefault="00D96136" w:rsidP="00FD7572">
            <w:pPr>
              <w:spacing w:before="40" w:after="40" w:line="200" w:lineRule="exact"/>
              <w:jc w:val="right"/>
              <w:rPr>
                <w:rFonts w:eastAsia="Times New Roman"/>
                <w:color w:val="000000"/>
                <w:sz w:val="18"/>
                <w:szCs w:val="18"/>
                <w:lang w:eastAsia="de-DE"/>
              </w:rPr>
            </w:pPr>
            <w:r>
              <w:rPr>
                <w:color w:val="000000"/>
                <w:sz w:val="18"/>
                <w:szCs w:val="18"/>
              </w:rPr>
              <w:t xml:space="preserve"> 744 631</w:t>
            </w:r>
          </w:p>
        </w:tc>
        <w:tc>
          <w:tcPr>
            <w:tcW w:w="973" w:type="dxa"/>
            <w:tcBorders>
              <w:top w:val="nil"/>
              <w:left w:val="nil"/>
              <w:bottom w:val="nil"/>
              <w:right w:val="nil"/>
            </w:tcBorders>
            <w:shd w:val="clear" w:color="auto" w:fill="auto"/>
            <w:noWrap/>
          </w:tcPr>
          <w:p w14:paraId="2682D80A" w14:textId="77777777" w:rsidR="00D96136" w:rsidRPr="00A61D53" w:rsidRDefault="00D96136" w:rsidP="00FD7572">
            <w:pPr>
              <w:spacing w:before="40" w:after="40" w:line="200" w:lineRule="exact"/>
              <w:jc w:val="right"/>
              <w:rPr>
                <w:color w:val="000000"/>
                <w:sz w:val="18"/>
                <w:szCs w:val="18"/>
              </w:rPr>
            </w:pPr>
            <w:r>
              <w:rPr>
                <w:color w:val="000000"/>
                <w:sz w:val="18"/>
                <w:szCs w:val="18"/>
              </w:rPr>
              <w:t>–</w:t>
            </w:r>
          </w:p>
        </w:tc>
        <w:tc>
          <w:tcPr>
            <w:tcW w:w="859" w:type="dxa"/>
            <w:tcBorders>
              <w:top w:val="nil"/>
              <w:left w:val="nil"/>
              <w:bottom w:val="nil"/>
              <w:right w:val="nil"/>
            </w:tcBorders>
            <w:shd w:val="clear" w:color="auto" w:fill="auto"/>
            <w:noWrap/>
          </w:tcPr>
          <w:p w14:paraId="04A6BF31" w14:textId="77777777" w:rsidR="00D96136" w:rsidRPr="00A61D53" w:rsidRDefault="00D96136" w:rsidP="00FD7572">
            <w:pPr>
              <w:spacing w:before="40" w:after="40" w:line="200" w:lineRule="exact"/>
              <w:jc w:val="right"/>
              <w:rPr>
                <w:color w:val="000000"/>
                <w:sz w:val="18"/>
                <w:szCs w:val="18"/>
              </w:rPr>
            </w:pPr>
            <w:r>
              <w:rPr>
                <w:color w:val="000000"/>
                <w:sz w:val="18"/>
                <w:szCs w:val="18"/>
              </w:rPr>
              <w:t>–</w:t>
            </w:r>
          </w:p>
        </w:tc>
      </w:tr>
      <w:tr w:rsidR="00D96136" w:rsidRPr="00A61D53" w14:paraId="4ECB4CF2" w14:textId="77777777" w:rsidTr="00FD7572">
        <w:trPr>
          <w:trHeight w:val="33"/>
        </w:trPr>
        <w:tc>
          <w:tcPr>
            <w:tcW w:w="837" w:type="dxa"/>
            <w:tcBorders>
              <w:top w:val="nil"/>
              <w:left w:val="nil"/>
              <w:bottom w:val="nil"/>
              <w:right w:val="nil"/>
            </w:tcBorders>
            <w:shd w:val="clear" w:color="auto" w:fill="auto"/>
            <w:noWrap/>
          </w:tcPr>
          <w:p w14:paraId="309F6C8F"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400</w:t>
            </w:r>
            <w:r>
              <w:rPr>
                <w:color w:val="000000"/>
                <w:sz w:val="18"/>
                <w:szCs w:val="18"/>
              </w:rPr>
              <w:t>-</w:t>
            </w:r>
            <w:r w:rsidRPr="00A61D53">
              <w:rPr>
                <w:color w:val="000000"/>
                <w:sz w:val="18"/>
                <w:szCs w:val="18"/>
              </w:rPr>
              <w:t>009</w:t>
            </w:r>
          </w:p>
        </w:tc>
        <w:tc>
          <w:tcPr>
            <w:tcW w:w="1528" w:type="dxa"/>
            <w:tcBorders>
              <w:top w:val="nil"/>
              <w:left w:val="nil"/>
              <w:bottom w:val="nil"/>
              <w:right w:val="nil"/>
            </w:tcBorders>
            <w:shd w:val="clear" w:color="auto" w:fill="auto"/>
          </w:tcPr>
          <w:p w14:paraId="6F14697C"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rFonts w:eastAsia="MS Mincho"/>
                <w:sz w:val="18"/>
                <w:szCs w:val="18"/>
                <w:lang w:eastAsia="de-DE"/>
              </w:rPr>
              <w:t>Administrative Services, Human Resources, and Information and Communication Technology</w:t>
            </w:r>
          </w:p>
        </w:tc>
        <w:tc>
          <w:tcPr>
            <w:tcW w:w="4330" w:type="dxa"/>
            <w:tcBorders>
              <w:top w:val="nil"/>
              <w:left w:val="nil"/>
              <w:bottom w:val="nil"/>
              <w:right w:val="nil"/>
            </w:tcBorders>
            <w:shd w:val="clear" w:color="auto" w:fill="auto"/>
          </w:tcPr>
          <w:p w14:paraId="7D1FBB72"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Enhancement of capacity for conferences and workshops</w:t>
            </w:r>
          </w:p>
        </w:tc>
        <w:tc>
          <w:tcPr>
            <w:tcW w:w="1112" w:type="dxa"/>
            <w:tcBorders>
              <w:top w:val="nil"/>
              <w:left w:val="nil"/>
              <w:bottom w:val="nil"/>
              <w:right w:val="nil"/>
            </w:tcBorders>
            <w:shd w:val="clear" w:color="auto" w:fill="auto"/>
            <w:noWrap/>
          </w:tcPr>
          <w:p w14:paraId="4566F8ED" w14:textId="77777777" w:rsidR="00D96136" w:rsidRPr="00A61D53" w:rsidRDefault="00D96136" w:rsidP="00FD7572">
            <w:pPr>
              <w:spacing w:before="40" w:after="40" w:line="200" w:lineRule="exact"/>
              <w:jc w:val="right"/>
              <w:rPr>
                <w:rFonts w:eastAsia="Times New Roman"/>
                <w:color w:val="000000"/>
                <w:sz w:val="18"/>
                <w:szCs w:val="18"/>
                <w:lang w:eastAsia="de-DE"/>
              </w:rPr>
            </w:pPr>
            <w:r>
              <w:rPr>
                <w:color w:val="000000"/>
                <w:sz w:val="18"/>
                <w:szCs w:val="18"/>
              </w:rPr>
              <w:t xml:space="preserve"> 113 000</w:t>
            </w:r>
          </w:p>
        </w:tc>
        <w:tc>
          <w:tcPr>
            <w:tcW w:w="973" w:type="dxa"/>
            <w:tcBorders>
              <w:top w:val="nil"/>
              <w:left w:val="nil"/>
              <w:bottom w:val="nil"/>
              <w:right w:val="nil"/>
            </w:tcBorders>
            <w:shd w:val="clear" w:color="auto" w:fill="auto"/>
            <w:noWrap/>
          </w:tcPr>
          <w:p w14:paraId="1A688753" w14:textId="77777777" w:rsidR="00D96136" w:rsidRPr="00A61D53" w:rsidRDefault="00D96136" w:rsidP="00FD7572">
            <w:pPr>
              <w:spacing w:before="40" w:after="40" w:line="200" w:lineRule="exact"/>
              <w:jc w:val="right"/>
              <w:rPr>
                <w:color w:val="000000"/>
                <w:sz w:val="18"/>
                <w:szCs w:val="18"/>
              </w:rPr>
            </w:pPr>
            <w:r>
              <w:rPr>
                <w:color w:val="000000"/>
                <w:sz w:val="18"/>
                <w:szCs w:val="18"/>
              </w:rPr>
              <w:t>–</w:t>
            </w:r>
          </w:p>
        </w:tc>
        <w:tc>
          <w:tcPr>
            <w:tcW w:w="859" w:type="dxa"/>
            <w:tcBorders>
              <w:top w:val="nil"/>
              <w:left w:val="nil"/>
              <w:bottom w:val="nil"/>
              <w:right w:val="nil"/>
            </w:tcBorders>
            <w:shd w:val="clear" w:color="auto" w:fill="auto"/>
            <w:noWrap/>
          </w:tcPr>
          <w:p w14:paraId="371C2BDB" w14:textId="77777777" w:rsidR="00D96136" w:rsidRPr="00A61D53" w:rsidRDefault="00D96136" w:rsidP="00FD7572">
            <w:pPr>
              <w:spacing w:before="40" w:after="40" w:line="200" w:lineRule="exact"/>
              <w:jc w:val="right"/>
              <w:rPr>
                <w:color w:val="000000"/>
                <w:sz w:val="18"/>
                <w:szCs w:val="18"/>
              </w:rPr>
            </w:pPr>
            <w:r>
              <w:rPr>
                <w:color w:val="000000"/>
                <w:sz w:val="18"/>
                <w:szCs w:val="18"/>
              </w:rPr>
              <w:t>–</w:t>
            </w:r>
          </w:p>
        </w:tc>
      </w:tr>
      <w:tr w:rsidR="00D96136" w:rsidRPr="00A61D53" w14:paraId="14405991" w14:textId="77777777" w:rsidTr="00FD7572">
        <w:trPr>
          <w:trHeight w:val="33"/>
        </w:trPr>
        <w:tc>
          <w:tcPr>
            <w:tcW w:w="837" w:type="dxa"/>
            <w:tcBorders>
              <w:top w:val="nil"/>
              <w:left w:val="nil"/>
              <w:bottom w:val="nil"/>
              <w:right w:val="nil"/>
            </w:tcBorders>
            <w:shd w:val="clear" w:color="auto" w:fill="auto"/>
            <w:noWrap/>
          </w:tcPr>
          <w:p w14:paraId="6853B854"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b/>
                <w:bCs/>
                <w:color w:val="000000"/>
                <w:sz w:val="18"/>
                <w:szCs w:val="18"/>
              </w:rPr>
              <w:t>500</w:t>
            </w:r>
          </w:p>
        </w:tc>
        <w:tc>
          <w:tcPr>
            <w:tcW w:w="1528" w:type="dxa"/>
            <w:tcBorders>
              <w:top w:val="nil"/>
              <w:left w:val="nil"/>
              <w:bottom w:val="nil"/>
              <w:right w:val="nil"/>
            </w:tcBorders>
            <w:shd w:val="clear" w:color="auto" w:fill="auto"/>
          </w:tcPr>
          <w:p w14:paraId="6ED3553D"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b/>
                <w:bCs/>
                <w:color w:val="000000"/>
                <w:sz w:val="18"/>
                <w:szCs w:val="18"/>
              </w:rPr>
              <w:t> </w:t>
            </w:r>
          </w:p>
        </w:tc>
        <w:tc>
          <w:tcPr>
            <w:tcW w:w="4330" w:type="dxa"/>
            <w:tcBorders>
              <w:top w:val="nil"/>
              <w:left w:val="nil"/>
              <w:bottom w:val="nil"/>
              <w:right w:val="nil"/>
            </w:tcBorders>
            <w:shd w:val="clear" w:color="auto" w:fill="auto"/>
          </w:tcPr>
          <w:p w14:paraId="3C7A067D"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b/>
                <w:bCs/>
                <w:color w:val="000000"/>
                <w:sz w:val="18"/>
                <w:szCs w:val="18"/>
              </w:rPr>
              <w:t>Oversight and management</w:t>
            </w:r>
          </w:p>
        </w:tc>
        <w:tc>
          <w:tcPr>
            <w:tcW w:w="1112" w:type="dxa"/>
            <w:tcBorders>
              <w:top w:val="nil"/>
              <w:left w:val="nil"/>
              <w:bottom w:val="nil"/>
              <w:right w:val="nil"/>
            </w:tcBorders>
            <w:shd w:val="clear" w:color="auto" w:fill="auto"/>
            <w:noWrap/>
          </w:tcPr>
          <w:p w14:paraId="3057B0AB" w14:textId="77777777" w:rsidR="00D96136" w:rsidRPr="00A61D53" w:rsidRDefault="00D96136" w:rsidP="00FD7572">
            <w:pPr>
              <w:spacing w:before="40" w:after="40" w:line="200" w:lineRule="exact"/>
              <w:jc w:val="right"/>
              <w:rPr>
                <w:rFonts w:eastAsia="Times New Roman"/>
                <w:color w:val="000000"/>
                <w:sz w:val="18"/>
                <w:szCs w:val="18"/>
                <w:lang w:eastAsia="de-DE"/>
              </w:rPr>
            </w:pPr>
            <w:r>
              <w:rPr>
                <w:b/>
                <w:bCs/>
                <w:color w:val="000000"/>
                <w:sz w:val="18"/>
                <w:szCs w:val="18"/>
              </w:rPr>
              <w:t>1 702 458</w:t>
            </w:r>
          </w:p>
        </w:tc>
        <w:tc>
          <w:tcPr>
            <w:tcW w:w="973" w:type="dxa"/>
            <w:tcBorders>
              <w:top w:val="nil"/>
              <w:left w:val="nil"/>
              <w:bottom w:val="nil"/>
              <w:right w:val="nil"/>
            </w:tcBorders>
            <w:shd w:val="clear" w:color="auto" w:fill="auto"/>
            <w:noWrap/>
          </w:tcPr>
          <w:p w14:paraId="2F215FFF" w14:textId="77777777" w:rsidR="00D96136" w:rsidRPr="00A61D53" w:rsidRDefault="00D96136" w:rsidP="00FD7572">
            <w:pPr>
              <w:spacing w:before="40" w:after="40" w:line="200" w:lineRule="exact"/>
              <w:jc w:val="right"/>
              <w:rPr>
                <w:color w:val="000000"/>
                <w:sz w:val="18"/>
                <w:szCs w:val="18"/>
              </w:rPr>
            </w:pPr>
            <w:r>
              <w:rPr>
                <w:b/>
                <w:bCs/>
                <w:color w:val="000000"/>
                <w:sz w:val="18"/>
                <w:szCs w:val="18"/>
              </w:rPr>
              <w:t>–</w:t>
            </w:r>
          </w:p>
        </w:tc>
        <w:tc>
          <w:tcPr>
            <w:tcW w:w="859" w:type="dxa"/>
            <w:tcBorders>
              <w:top w:val="nil"/>
              <w:left w:val="nil"/>
              <w:bottom w:val="nil"/>
              <w:right w:val="nil"/>
            </w:tcBorders>
            <w:shd w:val="clear" w:color="auto" w:fill="auto"/>
            <w:noWrap/>
          </w:tcPr>
          <w:p w14:paraId="2E6C853E" w14:textId="77777777" w:rsidR="00D96136" w:rsidRPr="00A61D53" w:rsidRDefault="00D96136" w:rsidP="00FD7572">
            <w:pPr>
              <w:spacing w:before="40" w:after="40" w:line="200" w:lineRule="exact"/>
              <w:jc w:val="right"/>
              <w:rPr>
                <w:color w:val="000000"/>
                <w:sz w:val="18"/>
                <w:szCs w:val="18"/>
              </w:rPr>
            </w:pPr>
            <w:r>
              <w:rPr>
                <w:b/>
                <w:bCs/>
                <w:color w:val="000000"/>
                <w:sz w:val="18"/>
                <w:szCs w:val="18"/>
              </w:rPr>
              <w:t>–</w:t>
            </w:r>
          </w:p>
        </w:tc>
      </w:tr>
      <w:tr w:rsidR="00D96136" w:rsidRPr="00A61D53" w14:paraId="3339E691" w14:textId="77777777" w:rsidTr="00FD7572">
        <w:trPr>
          <w:trHeight w:val="33"/>
        </w:trPr>
        <w:tc>
          <w:tcPr>
            <w:tcW w:w="837" w:type="dxa"/>
            <w:tcBorders>
              <w:top w:val="nil"/>
              <w:left w:val="nil"/>
              <w:bottom w:val="nil"/>
              <w:right w:val="nil"/>
            </w:tcBorders>
            <w:shd w:val="clear" w:color="auto" w:fill="auto"/>
            <w:noWrap/>
          </w:tcPr>
          <w:p w14:paraId="03B8D271"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500</w:t>
            </w:r>
            <w:r>
              <w:rPr>
                <w:color w:val="000000"/>
                <w:sz w:val="18"/>
                <w:szCs w:val="18"/>
              </w:rPr>
              <w:t>-</w:t>
            </w:r>
            <w:r w:rsidRPr="00A61D53">
              <w:rPr>
                <w:color w:val="000000"/>
                <w:sz w:val="18"/>
                <w:szCs w:val="18"/>
              </w:rPr>
              <w:t>007</w:t>
            </w:r>
          </w:p>
        </w:tc>
        <w:tc>
          <w:tcPr>
            <w:tcW w:w="1528" w:type="dxa"/>
            <w:tcBorders>
              <w:top w:val="nil"/>
              <w:left w:val="nil"/>
              <w:bottom w:val="nil"/>
              <w:right w:val="nil"/>
            </w:tcBorders>
            <w:shd w:val="clear" w:color="auto" w:fill="auto"/>
          </w:tcPr>
          <w:p w14:paraId="646DE675"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Legal Affairs</w:t>
            </w:r>
          </w:p>
        </w:tc>
        <w:tc>
          <w:tcPr>
            <w:tcW w:w="4330" w:type="dxa"/>
            <w:tcBorders>
              <w:top w:val="nil"/>
              <w:left w:val="nil"/>
              <w:bottom w:val="nil"/>
              <w:right w:val="nil"/>
            </w:tcBorders>
            <w:shd w:val="clear" w:color="auto" w:fill="auto"/>
          </w:tcPr>
          <w:p w14:paraId="672EF330"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Comprehensive provision of institutional and general legal review and advice with respect to all activities and operations of the secretariat</w:t>
            </w:r>
          </w:p>
        </w:tc>
        <w:tc>
          <w:tcPr>
            <w:tcW w:w="1112" w:type="dxa"/>
            <w:tcBorders>
              <w:top w:val="nil"/>
              <w:left w:val="nil"/>
              <w:bottom w:val="nil"/>
              <w:right w:val="nil"/>
            </w:tcBorders>
            <w:shd w:val="clear" w:color="auto" w:fill="auto"/>
            <w:noWrap/>
          </w:tcPr>
          <w:p w14:paraId="0F346CBB" w14:textId="77777777" w:rsidR="00D96136" w:rsidRPr="00A61D53" w:rsidRDefault="00D96136" w:rsidP="00FD7572">
            <w:pPr>
              <w:spacing w:before="40" w:after="40" w:line="200" w:lineRule="exact"/>
              <w:jc w:val="right"/>
              <w:rPr>
                <w:rFonts w:eastAsia="Times New Roman"/>
                <w:color w:val="000000"/>
                <w:sz w:val="18"/>
                <w:szCs w:val="18"/>
                <w:lang w:eastAsia="de-DE"/>
              </w:rPr>
            </w:pPr>
            <w:r>
              <w:rPr>
                <w:color w:val="000000"/>
                <w:sz w:val="18"/>
                <w:szCs w:val="18"/>
              </w:rPr>
              <w:t xml:space="preserve"> 7 458</w:t>
            </w:r>
          </w:p>
        </w:tc>
        <w:tc>
          <w:tcPr>
            <w:tcW w:w="973" w:type="dxa"/>
            <w:tcBorders>
              <w:top w:val="nil"/>
              <w:left w:val="nil"/>
              <w:bottom w:val="nil"/>
              <w:right w:val="nil"/>
            </w:tcBorders>
            <w:shd w:val="clear" w:color="auto" w:fill="auto"/>
            <w:noWrap/>
          </w:tcPr>
          <w:p w14:paraId="693BF1D0" w14:textId="77777777" w:rsidR="00D96136" w:rsidRPr="00A61D53" w:rsidRDefault="00D96136" w:rsidP="00FD7572">
            <w:pPr>
              <w:spacing w:before="40" w:after="40" w:line="200" w:lineRule="exact"/>
              <w:jc w:val="right"/>
              <w:rPr>
                <w:color w:val="000000"/>
                <w:sz w:val="18"/>
                <w:szCs w:val="18"/>
              </w:rPr>
            </w:pPr>
            <w:r>
              <w:rPr>
                <w:color w:val="000000"/>
                <w:sz w:val="18"/>
                <w:szCs w:val="18"/>
              </w:rPr>
              <w:t>–</w:t>
            </w:r>
          </w:p>
        </w:tc>
        <w:tc>
          <w:tcPr>
            <w:tcW w:w="859" w:type="dxa"/>
            <w:tcBorders>
              <w:top w:val="nil"/>
              <w:left w:val="nil"/>
              <w:bottom w:val="nil"/>
              <w:right w:val="nil"/>
            </w:tcBorders>
            <w:shd w:val="clear" w:color="auto" w:fill="auto"/>
            <w:noWrap/>
          </w:tcPr>
          <w:p w14:paraId="3BB89506" w14:textId="77777777" w:rsidR="00D96136" w:rsidRPr="00A61D53" w:rsidRDefault="00D96136" w:rsidP="00FD7572">
            <w:pPr>
              <w:spacing w:before="40" w:after="40" w:line="200" w:lineRule="exact"/>
              <w:jc w:val="right"/>
              <w:rPr>
                <w:color w:val="000000"/>
                <w:sz w:val="18"/>
                <w:szCs w:val="18"/>
              </w:rPr>
            </w:pPr>
            <w:r>
              <w:rPr>
                <w:color w:val="000000"/>
                <w:sz w:val="18"/>
                <w:szCs w:val="18"/>
              </w:rPr>
              <w:t>–</w:t>
            </w:r>
          </w:p>
        </w:tc>
      </w:tr>
      <w:tr w:rsidR="00D96136" w:rsidRPr="00A61D53" w14:paraId="6C282A33" w14:textId="77777777" w:rsidTr="00FD7572">
        <w:trPr>
          <w:trHeight w:val="33"/>
        </w:trPr>
        <w:tc>
          <w:tcPr>
            <w:tcW w:w="837" w:type="dxa"/>
            <w:tcBorders>
              <w:top w:val="nil"/>
              <w:left w:val="nil"/>
              <w:bottom w:val="nil"/>
              <w:right w:val="nil"/>
            </w:tcBorders>
            <w:shd w:val="clear" w:color="auto" w:fill="auto"/>
            <w:noWrap/>
          </w:tcPr>
          <w:p w14:paraId="4F4F04EB"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500</w:t>
            </w:r>
            <w:r>
              <w:rPr>
                <w:color w:val="000000"/>
                <w:sz w:val="18"/>
                <w:szCs w:val="18"/>
              </w:rPr>
              <w:t>-</w:t>
            </w:r>
            <w:r w:rsidRPr="00A61D53">
              <w:rPr>
                <w:color w:val="000000"/>
                <w:sz w:val="18"/>
                <w:szCs w:val="18"/>
              </w:rPr>
              <w:t>009</w:t>
            </w:r>
          </w:p>
        </w:tc>
        <w:tc>
          <w:tcPr>
            <w:tcW w:w="1528" w:type="dxa"/>
            <w:tcBorders>
              <w:top w:val="nil"/>
              <w:left w:val="nil"/>
              <w:bottom w:val="nil"/>
              <w:right w:val="nil"/>
            </w:tcBorders>
            <w:shd w:val="clear" w:color="auto" w:fill="auto"/>
          </w:tcPr>
          <w:p w14:paraId="257C86B6"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rFonts w:eastAsia="MS Mincho"/>
                <w:sz w:val="18"/>
                <w:szCs w:val="18"/>
                <w:lang w:eastAsia="de-DE"/>
              </w:rPr>
              <w:t>Administrative Services, Human Resources, and Information and Communication Technology</w:t>
            </w:r>
          </w:p>
        </w:tc>
        <w:tc>
          <w:tcPr>
            <w:tcW w:w="4330" w:type="dxa"/>
            <w:tcBorders>
              <w:top w:val="nil"/>
              <w:left w:val="nil"/>
              <w:bottom w:val="nil"/>
              <w:right w:val="nil"/>
            </w:tcBorders>
            <w:shd w:val="clear" w:color="auto" w:fill="auto"/>
          </w:tcPr>
          <w:p w14:paraId="3548B7B4" w14:textId="77777777" w:rsidR="00D96136" w:rsidRPr="00A61D53" w:rsidRDefault="00D96136" w:rsidP="00FD7572">
            <w:pPr>
              <w:spacing w:before="40" w:after="40" w:line="200" w:lineRule="exact"/>
              <w:rPr>
                <w:rFonts w:eastAsia="Times New Roman"/>
                <w:color w:val="000000"/>
                <w:sz w:val="18"/>
                <w:szCs w:val="18"/>
                <w:lang w:eastAsia="de-DE"/>
              </w:rPr>
            </w:pPr>
            <w:r w:rsidRPr="00A61D53">
              <w:rPr>
                <w:color w:val="000000"/>
                <w:sz w:val="18"/>
                <w:szCs w:val="18"/>
              </w:rPr>
              <w:t>Enhancement and modernization of infrastructure, networks and end</w:t>
            </w:r>
            <w:r>
              <w:rPr>
                <w:color w:val="000000"/>
                <w:sz w:val="18"/>
                <w:szCs w:val="18"/>
              </w:rPr>
              <w:t>-</w:t>
            </w:r>
            <w:r w:rsidRPr="00A61D53">
              <w:rPr>
                <w:color w:val="000000"/>
                <w:sz w:val="18"/>
                <w:szCs w:val="18"/>
              </w:rPr>
              <w:t>user equipment and productivity tools</w:t>
            </w:r>
          </w:p>
        </w:tc>
        <w:tc>
          <w:tcPr>
            <w:tcW w:w="1112" w:type="dxa"/>
            <w:tcBorders>
              <w:top w:val="nil"/>
              <w:left w:val="nil"/>
              <w:bottom w:val="nil"/>
              <w:right w:val="nil"/>
            </w:tcBorders>
            <w:shd w:val="clear" w:color="auto" w:fill="auto"/>
            <w:noWrap/>
          </w:tcPr>
          <w:p w14:paraId="41BC4816" w14:textId="77777777" w:rsidR="00D96136" w:rsidRPr="00A61D53" w:rsidRDefault="00D96136" w:rsidP="00FD7572">
            <w:pPr>
              <w:spacing w:before="40" w:after="40" w:line="200" w:lineRule="exact"/>
              <w:jc w:val="right"/>
              <w:rPr>
                <w:rFonts w:eastAsia="Times New Roman"/>
                <w:color w:val="000000"/>
                <w:sz w:val="18"/>
                <w:szCs w:val="18"/>
                <w:lang w:eastAsia="de-DE"/>
              </w:rPr>
            </w:pPr>
            <w:r>
              <w:rPr>
                <w:color w:val="000000"/>
                <w:sz w:val="18"/>
                <w:szCs w:val="18"/>
              </w:rPr>
              <w:t>1 695 000</w:t>
            </w:r>
          </w:p>
        </w:tc>
        <w:tc>
          <w:tcPr>
            <w:tcW w:w="973" w:type="dxa"/>
            <w:tcBorders>
              <w:top w:val="nil"/>
              <w:left w:val="nil"/>
              <w:bottom w:val="nil"/>
              <w:right w:val="nil"/>
            </w:tcBorders>
            <w:shd w:val="clear" w:color="auto" w:fill="auto"/>
            <w:noWrap/>
          </w:tcPr>
          <w:p w14:paraId="6F2649B5" w14:textId="77777777" w:rsidR="00D96136" w:rsidRPr="00A61D53" w:rsidRDefault="00D96136" w:rsidP="00FD7572">
            <w:pPr>
              <w:spacing w:before="40" w:after="40" w:line="200" w:lineRule="exact"/>
              <w:jc w:val="right"/>
              <w:rPr>
                <w:color w:val="000000"/>
                <w:sz w:val="18"/>
                <w:szCs w:val="18"/>
              </w:rPr>
            </w:pPr>
            <w:r>
              <w:rPr>
                <w:color w:val="000000"/>
                <w:sz w:val="18"/>
                <w:szCs w:val="18"/>
              </w:rPr>
              <w:t>–</w:t>
            </w:r>
          </w:p>
        </w:tc>
        <w:tc>
          <w:tcPr>
            <w:tcW w:w="859" w:type="dxa"/>
            <w:tcBorders>
              <w:top w:val="nil"/>
              <w:left w:val="nil"/>
              <w:bottom w:val="nil"/>
              <w:right w:val="nil"/>
            </w:tcBorders>
            <w:shd w:val="clear" w:color="auto" w:fill="auto"/>
            <w:noWrap/>
          </w:tcPr>
          <w:p w14:paraId="2AE69D2A" w14:textId="77777777" w:rsidR="00D96136" w:rsidRPr="00A61D53" w:rsidRDefault="00D96136" w:rsidP="00FD7572">
            <w:pPr>
              <w:spacing w:before="40" w:after="40" w:line="200" w:lineRule="exact"/>
              <w:jc w:val="right"/>
              <w:rPr>
                <w:color w:val="000000"/>
                <w:sz w:val="18"/>
                <w:szCs w:val="18"/>
              </w:rPr>
            </w:pPr>
            <w:r>
              <w:rPr>
                <w:color w:val="000000"/>
                <w:sz w:val="18"/>
                <w:szCs w:val="18"/>
              </w:rPr>
              <w:t>–</w:t>
            </w:r>
          </w:p>
        </w:tc>
      </w:tr>
      <w:tr w:rsidR="00D96136" w:rsidRPr="00A61D53" w14:paraId="003A076D" w14:textId="77777777" w:rsidTr="00FD7572">
        <w:trPr>
          <w:trHeight w:val="56"/>
        </w:trPr>
        <w:tc>
          <w:tcPr>
            <w:tcW w:w="6695" w:type="dxa"/>
            <w:gridSpan w:val="3"/>
            <w:tcBorders>
              <w:top w:val="single" w:sz="4" w:space="0" w:color="auto"/>
              <w:left w:val="nil"/>
              <w:bottom w:val="single" w:sz="12" w:space="0" w:color="auto"/>
              <w:right w:val="nil"/>
            </w:tcBorders>
            <w:shd w:val="clear" w:color="auto" w:fill="auto"/>
            <w:noWrap/>
          </w:tcPr>
          <w:p w14:paraId="5BE7CD7A" w14:textId="64D7491D" w:rsidR="00D96136" w:rsidRPr="00A61D53" w:rsidRDefault="00D96136" w:rsidP="00FD7572">
            <w:pPr>
              <w:spacing w:before="40" w:after="40" w:line="200" w:lineRule="exact"/>
              <w:ind w:firstLine="284"/>
              <w:rPr>
                <w:b/>
                <w:color w:val="000000"/>
                <w:sz w:val="18"/>
                <w:szCs w:val="18"/>
              </w:rPr>
            </w:pPr>
            <w:r>
              <w:rPr>
                <w:b/>
                <w:bCs/>
                <w:color w:val="000000"/>
                <w:sz w:val="18"/>
                <w:szCs w:val="18"/>
              </w:rPr>
              <w:t>T</w:t>
            </w:r>
            <w:r w:rsidRPr="00A61D53">
              <w:rPr>
                <w:b/>
                <w:bCs/>
                <w:color w:val="000000"/>
                <w:sz w:val="18"/>
                <w:szCs w:val="18"/>
              </w:rPr>
              <w:t>otal</w:t>
            </w:r>
            <w:r w:rsidRPr="00A61D53">
              <w:rPr>
                <w:b/>
                <w:color w:val="000000"/>
                <w:sz w:val="18"/>
                <w:szCs w:val="18"/>
              </w:rPr>
              <w:t xml:space="preserve"> (including programme support costs)</w:t>
            </w:r>
            <w:r w:rsidR="00A63575">
              <w:rPr>
                <w:b/>
                <w:color w:val="000000"/>
                <w:sz w:val="18"/>
                <w:szCs w:val="18"/>
              </w:rPr>
              <w:t xml:space="preserve"> </w:t>
            </w:r>
          </w:p>
        </w:tc>
        <w:tc>
          <w:tcPr>
            <w:tcW w:w="1112" w:type="dxa"/>
            <w:tcBorders>
              <w:top w:val="single" w:sz="4" w:space="0" w:color="auto"/>
              <w:left w:val="nil"/>
              <w:bottom w:val="single" w:sz="12" w:space="0" w:color="auto"/>
              <w:right w:val="nil"/>
            </w:tcBorders>
            <w:shd w:val="clear" w:color="000000" w:fill="FFFFFF"/>
            <w:noWrap/>
          </w:tcPr>
          <w:p w14:paraId="66C2B156" w14:textId="77777777" w:rsidR="00D96136" w:rsidRPr="00A61D53" w:rsidRDefault="00D96136" w:rsidP="00FD7572">
            <w:pPr>
              <w:spacing w:before="40" w:after="40" w:line="200" w:lineRule="exact"/>
              <w:jc w:val="right"/>
              <w:rPr>
                <w:b/>
                <w:bCs/>
                <w:color w:val="000000"/>
                <w:sz w:val="18"/>
                <w:szCs w:val="18"/>
              </w:rPr>
            </w:pPr>
            <w:r>
              <w:rPr>
                <w:b/>
                <w:bCs/>
                <w:color w:val="000000"/>
                <w:sz w:val="18"/>
                <w:szCs w:val="18"/>
              </w:rPr>
              <w:t>52 182 893</w:t>
            </w:r>
          </w:p>
        </w:tc>
        <w:tc>
          <w:tcPr>
            <w:tcW w:w="973" w:type="dxa"/>
            <w:tcBorders>
              <w:top w:val="single" w:sz="4" w:space="0" w:color="auto"/>
              <w:left w:val="nil"/>
              <w:bottom w:val="single" w:sz="12" w:space="0" w:color="auto"/>
              <w:right w:val="nil"/>
            </w:tcBorders>
            <w:shd w:val="clear" w:color="000000" w:fill="FFFFFF"/>
            <w:noWrap/>
          </w:tcPr>
          <w:p w14:paraId="561A1F49" w14:textId="77777777" w:rsidR="00D96136" w:rsidRPr="00A61D53" w:rsidRDefault="00D96136" w:rsidP="00FD7572">
            <w:pPr>
              <w:spacing w:before="40" w:after="40" w:line="200" w:lineRule="exact"/>
              <w:jc w:val="right"/>
              <w:rPr>
                <w:b/>
                <w:bCs/>
                <w:color w:val="000000"/>
                <w:sz w:val="18"/>
                <w:szCs w:val="18"/>
              </w:rPr>
            </w:pPr>
            <w:r>
              <w:rPr>
                <w:b/>
                <w:bCs/>
                <w:color w:val="000000"/>
                <w:sz w:val="18"/>
                <w:szCs w:val="18"/>
              </w:rPr>
              <w:t xml:space="preserve">57.0 </w:t>
            </w:r>
          </w:p>
        </w:tc>
        <w:tc>
          <w:tcPr>
            <w:tcW w:w="859" w:type="dxa"/>
            <w:tcBorders>
              <w:top w:val="single" w:sz="4" w:space="0" w:color="auto"/>
              <w:left w:val="nil"/>
              <w:bottom w:val="single" w:sz="12" w:space="0" w:color="auto"/>
              <w:right w:val="nil"/>
            </w:tcBorders>
            <w:shd w:val="clear" w:color="000000" w:fill="FFFFFF"/>
            <w:noWrap/>
          </w:tcPr>
          <w:p w14:paraId="432F14B4" w14:textId="77777777" w:rsidR="00D96136" w:rsidRPr="00A61D53" w:rsidRDefault="00D96136" w:rsidP="00FD7572">
            <w:pPr>
              <w:spacing w:before="40" w:after="40" w:line="200" w:lineRule="exact"/>
              <w:jc w:val="right"/>
              <w:rPr>
                <w:b/>
                <w:bCs/>
                <w:color w:val="000000"/>
                <w:sz w:val="18"/>
                <w:szCs w:val="18"/>
              </w:rPr>
            </w:pPr>
            <w:r>
              <w:rPr>
                <w:b/>
                <w:bCs/>
                <w:color w:val="000000"/>
                <w:sz w:val="18"/>
                <w:szCs w:val="18"/>
              </w:rPr>
              <w:t xml:space="preserve">13.0 </w:t>
            </w:r>
          </w:p>
        </w:tc>
      </w:tr>
    </w:tbl>
    <w:p w14:paraId="3D436BAC" w14:textId="485643A5" w:rsidR="00EC33C1" w:rsidRPr="00A810A9" w:rsidRDefault="00A613B4" w:rsidP="00A810A9">
      <w:pPr>
        <w:spacing w:before="60" w:after="180" w:line="200" w:lineRule="exact"/>
        <w:ind w:left="142"/>
        <w:rPr>
          <w:sz w:val="18"/>
          <w:szCs w:val="18"/>
        </w:rPr>
      </w:pPr>
      <w:r w:rsidRPr="00A810A9">
        <w:rPr>
          <w:i/>
          <w:iCs/>
          <w:sz w:val="18"/>
          <w:szCs w:val="18"/>
          <w:vertAlign w:val="superscript"/>
        </w:rPr>
        <w:t>a</w:t>
      </w:r>
      <w:r w:rsidR="00EC33C1" w:rsidRPr="00A810A9">
        <w:rPr>
          <w:sz w:val="18"/>
          <w:szCs w:val="18"/>
        </w:rPr>
        <w:t xml:space="preserve"> </w:t>
      </w:r>
      <w:r w:rsidR="00EC33C1">
        <w:rPr>
          <w:sz w:val="18"/>
          <w:szCs w:val="18"/>
        </w:rPr>
        <w:t xml:space="preserve"> </w:t>
      </w:r>
      <w:r w:rsidR="00EC33C1" w:rsidRPr="00A810A9">
        <w:rPr>
          <w:sz w:val="18"/>
          <w:szCs w:val="18"/>
        </w:rPr>
        <w:t>Gross requirements, excluding any unspent balances that may be available at the beginning of the biennium</w:t>
      </w:r>
      <w:r w:rsidRPr="00A810A9">
        <w:rPr>
          <w:sz w:val="18"/>
          <w:szCs w:val="18"/>
        </w:rPr>
        <w:t>.</w:t>
      </w:r>
    </w:p>
    <w:p w14:paraId="1DB57734" w14:textId="1D693A24" w:rsidR="008B2C48" w:rsidRPr="008C2AD0" w:rsidRDefault="005A1A63" w:rsidP="005A1A63">
      <w:pPr>
        <w:keepNext/>
        <w:keepLines/>
        <w:tabs>
          <w:tab w:val="left" w:pos="1135"/>
        </w:tabs>
        <w:spacing w:before="360" w:after="240" w:line="300" w:lineRule="exact"/>
        <w:ind w:left="1135" w:right="1134" w:hanging="284"/>
        <w:rPr>
          <w:b/>
          <w:sz w:val="28"/>
        </w:rPr>
      </w:pPr>
      <w:r w:rsidRPr="008C2AD0">
        <w:rPr>
          <w:b/>
          <w:sz w:val="28"/>
        </w:rPr>
        <w:t>II.</w:t>
      </w:r>
      <w:r w:rsidRPr="008C2AD0">
        <w:rPr>
          <w:b/>
          <w:sz w:val="28"/>
        </w:rPr>
        <w:tab/>
      </w:r>
      <w:r w:rsidR="008B2C48" w:rsidRPr="00D550E3">
        <w:rPr>
          <w:b/>
          <w:bCs/>
          <w:sz w:val="28"/>
          <w:szCs w:val="28"/>
        </w:rPr>
        <w:t>Budget performance for the biennium 2022–2023</w:t>
      </w:r>
    </w:p>
    <w:p w14:paraId="55AAD34A" w14:textId="12D2007B" w:rsidR="008B2C48" w:rsidRPr="0079125D" w:rsidRDefault="005A1A63" w:rsidP="005A1A63">
      <w:pPr>
        <w:pStyle w:val="RegSingleTxtG"/>
      </w:pPr>
      <w:r w:rsidRPr="0079125D">
        <w:t>30.</w:t>
      </w:r>
      <w:r w:rsidRPr="0079125D">
        <w:tab/>
      </w:r>
      <w:r w:rsidR="008B2C48" w:rsidRPr="0079125D">
        <w:rPr>
          <w:i/>
          <w:iCs/>
        </w:rPr>
        <w:t>Takes note</w:t>
      </w:r>
      <w:r w:rsidR="008B2C48" w:rsidRPr="0079125D">
        <w:t xml:space="preserve"> of the information contained in the documents on the budget performance for the biennium 2022–2023,</w:t>
      </w:r>
      <w:r w:rsidR="008B2C48" w:rsidRPr="0079125D">
        <w:rPr>
          <w:sz w:val="18"/>
          <w:szCs w:val="18"/>
          <w:vertAlign w:val="superscript"/>
        </w:rPr>
        <w:footnoteReference w:id="45"/>
      </w:r>
      <w:r w:rsidR="008B2C48" w:rsidRPr="0079125D">
        <w:t xml:space="preserve"> the updated work programme of the secretariat for the biennium 2022–2023</w:t>
      </w:r>
      <w:r w:rsidR="008B2C48" w:rsidRPr="0079125D">
        <w:rPr>
          <w:sz w:val="18"/>
          <w:szCs w:val="18"/>
          <w:vertAlign w:val="superscript"/>
        </w:rPr>
        <w:footnoteReference w:id="46"/>
      </w:r>
      <w:r w:rsidR="008B2C48" w:rsidRPr="0079125D">
        <w:t xml:space="preserve"> and the status of contributions and fees as at 19 May 2023;</w:t>
      </w:r>
      <w:r w:rsidR="008B2C48" w:rsidRPr="0079125D">
        <w:rPr>
          <w:sz w:val="18"/>
          <w:szCs w:val="18"/>
          <w:vertAlign w:val="superscript"/>
        </w:rPr>
        <w:footnoteReference w:id="47"/>
      </w:r>
    </w:p>
    <w:p w14:paraId="1578B014" w14:textId="0D94717A" w:rsidR="008B2C48" w:rsidRPr="00116528" w:rsidRDefault="005A1A63" w:rsidP="005A1A63">
      <w:pPr>
        <w:pStyle w:val="RegSingleTxtG"/>
      </w:pPr>
      <w:r w:rsidRPr="00116528">
        <w:t>31.</w:t>
      </w:r>
      <w:r w:rsidRPr="00116528">
        <w:tab/>
      </w:r>
      <w:r w:rsidR="008B2C48" w:rsidRPr="0079125D">
        <w:rPr>
          <w:i/>
          <w:iCs/>
        </w:rPr>
        <w:t>Expresses appreciation</w:t>
      </w:r>
      <w:r w:rsidR="008B2C48" w:rsidRPr="00116528">
        <w:t xml:space="preserve"> to Parties that made contributions to the core budget in a timely manner;</w:t>
      </w:r>
    </w:p>
    <w:p w14:paraId="52079BD9" w14:textId="2EB9162C" w:rsidR="008B2C48" w:rsidRPr="00116528" w:rsidRDefault="005A1A63" w:rsidP="005A1A63">
      <w:pPr>
        <w:pStyle w:val="RegSingleTxtG"/>
      </w:pPr>
      <w:r w:rsidRPr="00116528">
        <w:t>32.</w:t>
      </w:r>
      <w:r w:rsidRPr="00116528">
        <w:tab/>
      </w:r>
      <w:r w:rsidR="008B2C48" w:rsidRPr="0079125D">
        <w:rPr>
          <w:i/>
          <w:iCs/>
        </w:rPr>
        <w:t>Expresses concern</w:t>
      </w:r>
      <w:r w:rsidR="008B2C48" w:rsidRPr="00116528">
        <w:t xml:space="preserve"> regarding the high level of outstanding contributions to the core budget</w:t>
      </w:r>
      <w:r w:rsidR="008B2C48" w:rsidRPr="00B371AF">
        <w:rPr>
          <w:sz w:val="18"/>
          <w:szCs w:val="14"/>
          <w:vertAlign w:val="superscript"/>
        </w:rPr>
        <w:footnoteReference w:id="48"/>
      </w:r>
      <w:r w:rsidR="008B2C48" w:rsidRPr="00116528">
        <w:t xml:space="preserve"> for the current and previous bienniums, which has resulted in difficulties with cash flow and the effective implementation of activities;</w:t>
      </w:r>
    </w:p>
    <w:p w14:paraId="08F2B099" w14:textId="181668A4" w:rsidR="008B2C48" w:rsidRDefault="005A1A63" w:rsidP="005A1A63">
      <w:pPr>
        <w:pStyle w:val="RegSingleTxtG"/>
      </w:pPr>
      <w:r>
        <w:t>33.</w:t>
      </w:r>
      <w:r>
        <w:tab/>
      </w:r>
      <w:r w:rsidR="008B2C48" w:rsidRPr="0079125D">
        <w:rPr>
          <w:i/>
          <w:iCs/>
        </w:rPr>
        <w:t>Strongly urges</w:t>
      </w:r>
      <w:r w:rsidR="008B2C48" w:rsidRPr="00116528">
        <w:t xml:space="preserve"> Parties that have not made contributions in full to the core budget for the current and/or previous bienniums to do so without further delay;</w:t>
      </w:r>
    </w:p>
    <w:p w14:paraId="616D8C1C" w14:textId="1523C3AC" w:rsidR="008B2C48" w:rsidRPr="00116528" w:rsidRDefault="005A1A63" w:rsidP="005A1A63">
      <w:pPr>
        <w:pStyle w:val="RegSingleTxtG"/>
      </w:pPr>
      <w:r w:rsidRPr="00116528">
        <w:t>34.</w:t>
      </w:r>
      <w:r w:rsidRPr="00116528">
        <w:tab/>
      </w:r>
      <w:r w:rsidR="008B2C48" w:rsidRPr="0079125D">
        <w:rPr>
          <w:i/>
          <w:iCs/>
        </w:rPr>
        <w:t>Expresses appreciation</w:t>
      </w:r>
      <w:r w:rsidR="008B2C48" w:rsidRPr="00116528">
        <w:t xml:space="preserve"> for the contributions to the Trust Fund for Participation in the UNFCCC Process and to the Trust Fund for Supplementary Activities received from Parties, including those contributions that allow for greater flexibility in allocation;</w:t>
      </w:r>
    </w:p>
    <w:p w14:paraId="42A506A8" w14:textId="3FBEC8A2" w:rsidR="008B2C48" w:rsidRPr="0079125D" w:rsidRDefault="005A1A63" w:rsidP="005A1A63">
      <w:pPr>
        <w:pStyle w:val="RegSingleTxtG"/>
      </w:pPr>
      <w:r w:rsidRPr="0079125D">
        <w:t>35.</w:t>
      </w:r>
      <w:r w:rsidRPr="0079125D">
        <w:tab/>
      </w:r>
      <w:r w:rsidR="008B2C48" w:rsidRPr="0079125D">
        <w:rPr>
          <w:i/>
          <w:iCs/>
        </w:rPr>
        <w:t>Reiterates</w:t>
      </w:r>
      <w:r w:rsidR="008B2C48" w:rsidRPr="0079125D">
        <w:t xml:space="preserve"> its appreciation</w:t>
      </w:r>
      <w:r w:rsidR="008B2C48" w:rsidRPr="00116528">
        <w:t xml:space="preserve"> to the Government of Germany for its special contribution</w:t>
      </w:r>
      <w:r w:rsidR="008B2C48" w:rsidRPr="0079125D">
        <w:t xml:space="preserve"> of EUR 1,789,522 as Host Government of the secretariat;</w:t>
      </w:r>
    </w:p>
    <w:p w14:paraId="4FFD37DE" w14:textId="2FBB4E7C" w:rsidR="008B2C48" w:rsidRPr="0079125D" w:rsidRDefault="005A1A63" w:rsidP="005A1A63">
      <w:pPr>
        <w:pStyle w:val="RegSingleTxtG"/>
      </w:pPr>
      <w:r w:rsidRPr="0079125D">
        <w:t>36.</w:t>
      </w:r>
      <w:r w:rsidRPr="0079125D">
        <w:tab/>
      </w:r>
      <w:r w:rsidR="008B2C48" w:rsidRPr="0079125D">
        <w:rPr>
          <w:i/>
          <w:iCs/>
        </w:rPr>
        <w:t>Requests</w:t>
      </w:r>
      <w:r w:rsidR="008B2C48" w:rsidRPr="00116528">
        <w:rPr>
          <w:lang w:eastAsia="en-US"/>
        </w:rPr>
        <w:t xml:space="preserve"> the Executive Secretary to take further measures to </w:t>
      </w:r>
      <w:r w:rsidR="008B2C48" w:rsidRPr="0079125D">
        <w:t>reduce Parties’ outstanding contributions;</w:t>
      </w:r>
    </w:p>
    <w:p w14:paraId="40551B83" w14:textId="40B9B757" w:rsidR="008B2C48" w:rsidRPr="0079125D" w:rsidRDefault="005A1A63" w:rsidP="005A1A63">
      <w:pPr>
        <w:pStyle w:val="RegSingleTxtG"/>
      </w:pPr>
      <w:r w:rsidRPr="0079125D">
        <w:t>37.</w:t>
      </w:r>
      <w:r w:rsidRPr="0079125D">
        <w:tab/>
      </w:r>
      <w:r w:rsidR="008B2C48" w:rsidRPr="0079125D">
        <w:rPr>
          <w:i/>
          <w:iCs/>
        </w:rPr>
        <w:t>Expresses concern</w:t>
      </w:r>
      <w:r w:rsidR="008B2C48" w:rsidRPr="0079125D">
        <w:t xml:space="preserve"> regarding the high number of recommendations made by the United Nations Board of Auditors that remain unimplemented and </w:t>
      </w:r>
      <w:r w:rsidR="008B2C48" w:rsidRPr="0079125D">
        <w:rPr>
          <w:i/>
          <w:iCs/>
        </w:rPr>
        <w:t>urges</w:t>
      </w:r>
      <w:r w:rsidR="008B2C48" w:rsidRPr="0079125D">
        <w:t xml:space="preserve"> the Executive Secretary to implement the standing recommendations of the auditors as soon as possible and provide information to Parties on the planned implementation of new recommendations;</w:t>
      </w:r>
    </w:p>
    <w:p w14:paraId="1C0D3E98" w14:textId="2E1D9A6B" w:rsidR="008B2C48" w:rsidRPr="00A61D53" w:rsidRDefault="005A1A63" w:rsidP="005A1A63">
      <w:pPr>
        <w:keepNext/>
        <w:keepLines/>
        <w:tabs>
          <w:tab w:val="left" w:pos="1135"/>
        </w:tabs>
        <w:spacing w:before="360" w:after="240" w:line="300" w:lineRule="exact"/>
        <w:ind w:left="1135" w:right="1134" w:hanging="284"/>
        <w:rPr>
          <w:rFonts w:eastAsiaTheme="minorHAnsi"/>
          <w:b/>
          <w:sz w:val="28"/>
        </w:rPr>
      </w:pPr>
      <w:r w:rsidRPr="00A61D53">
        <w:rPr>
          <w:rFonts w:eastAsiaTheme="minorHAnsi"/>
          <w:b/>
          <w:sz w:val="28"/>
        </w:rPr>
        <w:t>III.</w:t>
      </w:r>
      <w:r w:rsidRPr="00A61D53">
        <w:rPr>
          <w:rFonts w:eastAsiaTheme="minorHAnsi"/>
          <w:b/>
          <w:sz w:val="28"/>
        </w:rPr>
        <w:tab/>
      </w:r>
      <w:r w:rsidR="008B2C48" w:rsidRPr="00A61D53">
        <w:rPr>
          <w:b/>
          <w:sz w:val="28"/>
        </w:rPr>
        <w:t>Other financial and budgetary matters</w:t>
      </w:r>
    </w:p>
    <w:p w14:paraId="43270411" w14:textId="70D4C885" w:rsidR="008B2C48" w:rsidRDefault="005A1A63" w:rsidP="005A1A63">
      <w:pPr>
        <w:pStyle w:val="RegSingleTxtG"/>
        <w:rPr>
          <w:lang w:eastAsia="en-US"/>
        </w:rPr>
      </w:pPr>
      <w:r>
        <w:rPr>
          <w:lang w:eastAsia="en-US"/>
        </w:rPr>
        <w:t>38.</w:t>
      </w:r>
      <w:r>
        <w:rPr>
          <w:lang w:eastAsia="en-US"/>
        </w:rPr>
        <w:tab/>
      </w:r>
      <w:r w:rsidR="008B2C48" w:rsidRPr="0079125D">
        <w:rPr>
          <w:i/>
          <w:iCs/>
        </w:rPr>
        <w:t>Takes note</w:t>
      </w:r>
      <w:r w:rsidR="008B2C48" w:rsidRPr="0079125D">
        <w:t xml:space="preserve"> </w:t>
      </w:r>
      <w:r w:rsidR="008B2C48" w:rsidRPr="009850E8">
        <w:rPr>
          <w:rFonts w:hint="eastAsia"/>
          <w:lang w:eastAsia="en-US"/>
        </w:rPr>
        <w:t>of the information contained in the documents prepared by the secretariat on other financial and budgetary matters, including on efforts to further improve the efficiency and transparency of the UNFCCC budget process</w:t>
      </w:r>
      <w:r w:rsidR="008B2C48" w:rsidRPr="0079125D">
        <w:rPr>
          <w:sz w:val="18"/>
          <w:szCs w:val="18"/>
          <w:vertAlign w:val="superscript"/>
        </w:rPr>
        <w:footnoteReference w:id="49"/>
      </w:r>
      <w:r w:rsidR="008B2C48" w:rsidRPr="009850E8">
        <w:rPr>
          <w:lang w:eastAsia="en-US"/>
        </w:rPr>
        <w:t xml:space="preserve"> and secretariat activities, programme delivery highlights and financial performance.</w:t>
      </w:r>
      <w:r w:rsidR="008B2C48" w:rsidRPr="0079125D">
        <w:rPr>
          <w:sz w:val="18"/>
          <w:szCs w:val="18"/>
          <w:vertAlign w:val="superscript"/>
        </w:rPr>
        <w:footnoteReference w:id="50"/>
      </w:r>
    </w:p>
    <w:p w14:paraId="1298DA03" w14:textId="542F4FB6" w:rsidR="004D6857" w:rsidRPr="0079125D" w:rsidRDefault="005A1A63" w:rsidP="005A1A63">
      <w:pPr>
        <w:tabs>
          <w:tab w:val="left" w:pos="1701"/>
        </w:tabs>
        <w:spacing w:after="120"/>
        <w:ind w:left="1134" w:right="1134"/>
        <w:jc w:val="both"/>
        <w:rPr>
          <w:lang w:eastAsia="en-US"/>
        </w:rPr>
        <w:sectPr w:rsidR="004D6857" w:rsidRPr="0079125D" w:rsidSect="00FF22FF">
          <w:footnotePr>
            <w:numRestart w:val="eachSect"/>
          </w:footnotePr>
          <w:type w:val="continuous"/>
          <w:pgSz w:w="11906" w:h="16838" w:code="9"/>
          <w:pgMar w:top="1418" w:right="1134" w:bottom="1134" w:left="1134" w:header="851" w:footer="567" w:gutter="0"/>
          <w:cols w:space="708"/>
          <w:docGrid w:linePitch="360"/>
        </w:sectPr>
      </w:pPr>
      <w:bookmarkStart w:id="78" w:name="_Hlk7168646"/>
      <w:r w:rsidRPr="0079125D">
        <w:rPr>
          <w:lang w:eastAsia="en-US"/>
        </w:rPr>
        <w:t>11.</w:t>
      </w:r>
      <w:r w:rsidRPr="0079125D">
        <w:rPr>
          <w:lang w:eastAsia="en-US"/>
        </w:rPr>
        <w:tab/>
      </w:r>
    </w:p>
    <w:p w14:paraId="3C261FB6" w14:textId="77777777" w:rsidR="008B2C48" w:rsidRPr="00A61D53" w:rsidRDefault="008B2C48" w:rsidP="005A1A63">
      <w:pPr>
        <w:pStyle w:val="RegHChG"/>
        <w:tabs>
          <w:tab w:val="clear" w:pos="1135"/>
        </w:tabs>
        <w:ind w:left="0" w:hanging="454"/>
      </w:pPr>
      <w:bookmarkStart w:id="79" w:name="_Toc161216140"/>
      <w:r w:rsidRPr="00EC1A36">
        <w:t>Annex</w:t>
      </w:r>
      <w:bookmarkEnd w:id="79"/>
    </w:p>
    <w:p w14:paraId="1D9B6834" w14:textId="4B46841C" w:rsidR="008B2C48" w:rsidRDefault="008B2C48" w:rsidP="00F4126C">
      <w:pPr>
        <w:pStyle w:val="HChG"/>
      </w:pPr>
      <w:bookmarkStart w:id="80" w:name="_Toc485284858"/>
      <w:bookmarkStart w:id="81" w:name="_Toc485284941"/>
      <w:r w:rsidRPr="00A61D53">
        <w:tab/>
      </w:r>
      <w:r w:rsidR="0079125D">
        <w:tab/>
      </w:r>
      <w:r>
        <w:tab/>
      </w:r>
      <w:r w:rsidRPr="007B18A8">
        <w:t>Indicative</w:t>
      </w:r>
      <w:r w:rsidRPr="00A61D53">
        <w:t xml:space="preserve"> scale of contributions from Parties to the Convention </w:t>
      </w:r>
      <w:r w:rsidRPr="009D2A6C">
        <w:t>for</w:t>
      </w:r>
      <w:r w:rsidRPr="00A61D53">
        <w:t xml:space="preserve"> 2024–202</w:t>
      </w:r>
      <w:bookmarkEnd w:id="78"/>
      <w:bookmarkEnd w:id="80"/>
      <w:bookmarkEnd w:id="81"/>
      <w:r w:rsidRPr="00A61D53">
        <w:t>5</w:t>
      </w:r>
    </w:p>
    <w:tbl>
      <w:tblPr>
        <w:tblW w:w="8519" w:type="dxa"/>
        <w:tblInd w:w="11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30" w:type="dxa"/>
          <w:right w:w="57" w:type="dxa"/>
        </w:tblCellMar>
        <w:tblLook w:val="0000" w:firstRow="0" w:lastRow="0" w:firstColumn="0" w:lastColumn="0" w:noHBand="0" w:noVBand="0"/>
      </w:tblPr>
      <w:tblGrid>
        <w:gridCol w:w="3828"/>
        <w:gridCol w:w="2281"/>
        <w:gridCol w:w="2410"/>
      </w:tblGrid>
      <w:tr w:rsidR="008B2C48" w:rsidRPr="00A61D53" w14:paraId="721E6F6A" w14:textId="77777777">
        <w:trPr>
          <w:tblHeader/>
        </w:trPr>
        <w:tc>
          <w:tcPr>
            <w:tcW w:w="3828" w:type="dxa"/>
            <w:tcBorders>
              <w:top w:val="single" w:sz="4" w:space="0" w:color="auto"/>
              <w:left w:val="nil"/>
              <w:bottom w:val="single" w:sz="12" w:space="0" w:color="auto"/>
              <w:right w:val="nil"/>
            </w:tcBorders>
            <w:vAlign w:val="bottom"/>
          </w:tcPr>
          <w:p w14:paraId="6DF9599F" w14:textId="77777777" w:rsidR="008B2C48" w:rsidRPr="00A61D53" w:rsidRDefault="008B2C48" w:rsidP="0079125D">
            <w:pPr>
              <w:suppressAutoHyphens w:val="0"/>
              <w:spacing w:before="40" w:after="40" w:line="180" w:lineRule="exact"/>
              <w:rPr>
                <w:rFonts w:eastAsia="MS Mincho"/>
                <w:i/>
                <w:color w:val="000000"/>
                <w:sz w:val="16"/>
                <w:szCs w:val="16"/>
                <w:lang w:eastAsia="de-DE"/>
              </w:rPr>
            </w:pPr>
            <w:r w:rsidRPr="00A61D53">
              <w:rPr>
                <w:i/>
                <w:sz w:val="16"/>
              </w:rPr>
              <w:t>Party</w:t>
            </w:r>
          </w:p>
        </w:tc>
        <w:tc>
          <w:tcPr>
            <w:tcW w:w="2281" w:type="dxa"/>
            <w:tcBorders>
              <w:top w:val="single" w:sz="4" w:space="0" w:color="auto"/>
              <w:left w:val="nil"/>
              <w:bottom w:val="single" w:sz="12" w:space="0" w:color="auto"/>
              <w:right w:val="nil"/>
            </w:tcBorders>
            <w:vAlign w:val="bottom"/>
          </w:tcPr>
          <w:p w14:paraId="11F01496" w14:textId="77777777" w:rsidR="008B2C48" w:rsidRPr="00A61D53" w:rsidRDefault="008B2C48" w:rsidP="0079125D">
            <w:pPr>
              <w:suppressAutoHyphens w:val="0"/>
              <w:spacing w:before="40" w:after="40" w:line="180" w:lineRule="exact"/>
              <w:ind w:right="19"/>
              <w:jc w:val="right"/>
              <w:rPr>
                <w:rFonts w:eastAsia="MS Mincho"/>
                <w:i/>
                <w:color w:val="000000"/>
                <w:sz w:val="16"/>
                <w:szCs w:val="16"/>
                <w:lang w:eastAsia="de-DE"/>
              </w:rPr>
            </w:pPr>
            <w:r w:rsidRPr="00A61D53">
              <w:rPr>
                <w:rFonts w:eastAsia="MS Mincho"/>
                <w:i/>
                <w:sz w:val="16"/>
                <w:szCs w:val="16"/>
                <w:lang w:eastAsia="de-DE"/>
              </w:rPr>
              <w:t>United Nations scale of assessments for 2022–‍2024 (%)</w:t>
            </w:r>
          </w:p>
        </w:tc>
        <w:tc>
          <w:tcPr>
            <w:tcW w:w="2410" w:type="dxa"/>
            <w:tcBorders>
              <w:top w:val="single" w:sz="4" w:space="0" w:color="auto"/>
              <w:left w:val="nil"/>
              <w:bottom w:val="single" w:sz="12" w:space="0" w:color="auto"/>
              <w:right w:val="nil"/>
            </w:tcBorders>
            <w:vAlign w:val="bottom"/>
          </w:tcPr>
          <w:p w14:paraId="425280A7" w14:textId="77777777" w:rsidR="008B2C48" w:rsidRPr="00A61D53" w:rsidRDefault="008B2C48" w:rsidP="0079125D">
            <w:pPr>
              <w:suppressAutoHyphens w:val="0"/>
              <w:spacing w:before="40" w:after="40" w:line="180" w:lineRule="exact"/>
              <w:ind w:left="113" w:right="-35"/>
              <w:jc w:val="right"/>
              <w:rPr>
                <w:rFonts w:eastAsia="MS Mincho"/>
                <w:i/>
                <w:color w:val="000000"/>
                <w:sz w:val="16"/>
                <w:szCs w:val="16"/>
                <w:lang w:eastAsia="de-DE"/>
              </w:rPr>
            </w:pPr>
            <w:r w:rsidRPr="00A61D53">
              <w:rPr>
                <w:rFonts w:eastAsia="MS Mincho"/>
                <w:i/>
                <w:sz w:val="16"/>
                <w:szCs w:val="16"/>
                <w:lang w:eastAsia="de-DE"/>
              </w:rPr>
              <w:t>Convention and Paris Agreement adjusted scale for 2024–2025 (%)</w:t>
            </w:r>
          </w:p>
        </w:tc>
      </w:tr>
      <w:tr w:rsidR="008B2C48" w:rsidRPr="00A61D53" w14:paraId="1A833B27" w14:textId="77777777">
        <w:tc>
          <w:tcPr>
            <w:tcW w:w="3828" w:type="dxa"/>
            <w:tcBorders>
              <w:top w:val="nil"/>
              <w:left w:val="nil"/>
              <w:bottom w:val="nil"/>
              <w:right w:val="nil"/>
            </w:tcBorders>
            <w:vAlign w:val="center"/>
          </w:tcPr>
          <w:p w14:paraId="14A5332A" w14:textId="77777777" w:rsidR="008B2C48" w:rsidRPr="00A61D53" w:rsidRDefault="008B2C48">
            <w:pPr>
              <w:suppressAutoHyphens w:val="0"/>
              <w:spacing w:before="40" w:after="40" w:line="200" w:lineRule="exact"/>
              <w:rPr>
                <w:rFonts w:eastAsia="Arial Unicode MS"/>
                <w:color w:val="000000"/>
                <w:sz w:val="18"/>
                <w:szCs w:val="18"/>
                <w:lang w:eastAsia="de-DE"/>
              </w:rPr>
            </w:pPr>
            <w:r w:rsidRPr="00A61D53">
              <w:rPr>
                <w:color w:val="000000"/>
                <w:sz w:val="18"/>
                <w:szCs w:val="18"/>
              </w:rPr>
              <w:t>Afghanistan</w:t>
            </w:r>
          </w:p>
        </w:tc>
        <w:tc>
          <w:tcPr>
            <w:tcW w:w="2281" w:type="dxa"/>
            <w:tcBorders>
              <w:top w:val="nil"/>
              <w:left w:val="nil"/>
              <w:bottom w:val="nil"/>
              <w:right w:val="nil"/>
            </w:tcBorders>
            <w:shd w:val="clear" w:color="auto" w:fill="auto"/>
            <w:vAlign w:val="bottom"/>
          </w:tcPr>
          <w:p w14:paraId="20A89D43"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0.006</w:t>
            </w:r>
          </w:p>
        </w:tc>
        <w:tc>
          <w:tcPr>
            <w:tcW w:w="2410" w:type="dxa"/>
            <w:tcBorders>
              <w:top w:val="nil"/>
              <w:left w:val="nil"/>
              <w:bottom w:val="nil"/>
              <w:right w:val="nil"/>
            </w:tcBorders>
            <w:shd w:val="clear" w:color="auto" w:fill="auto"/>
            <w:vAlign w:val="bottom"/>
          </w:tcPr>
          <w:p w14:paraId="7FA5E65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0.006</w:t>
            </w:r>
          </w:p>
        </w:tc>
      </w:tr>
      <w:tr w:rsidR="008B2C48" w:rsidRPr="00A61D53" w14:paraId="0E5CD863" w14:textId="77777777">
        <w:tc>
          <w:tcPr>
            <w:tcW w:w="3828" w:type="dxa"/>
            <w:tcBorders>
              <w:top w:val="nil"/>
              <w:left w:val="nil"/>
              <w:bottom w:val="nil"/>
              <w:right w:val="nil"/>
            </w:tcBorders>
            <w:vAlign w:val="center"/>
          </w:tcPr>
          <w:p w14:paraId="37811804" w14:textId="77777777" w:rsidR="008B2C48" w:rsidRPr="00A61D53" w:rsidRDefault="008B2C48">
            <w:pPr>
              <w:suppressAutoHyphens w:val="0"/>
              <w:spacing w:before="40" w:after="40" w:line="200" w:lineRule="exact"/>
              <w:rPr>
                <w:rFonts w:eastAsia="Arial Unicode MS"/>
                <w:color w:val="000000"/>
                <w:sz w:val="18"/>
                <w:szCs w:val="18"/>
                <w:lang w:eastAsia="de-DE"/>
              </w:rPr>
            </w:pPr>
            <w:r w:rsidRPr="00A61D53">
              <w:rPr>
                <w:color w:val="000000"/>
                <w:sz w:val="18"/>
                <w:szCs w:val="18"/>
              </w:rPr>
              <w:t>Albania</w:t>
            </w:r>
          </w:p>
        </w:tc>
        <w:tc>
          <w:tcPr>
            <w:tcW w:w="2281" w:type="dxa"/>
            <w:tcBorders>
              <w:top w:val="nil"/>
              <w:left w:val="nil"/>
              <w:bottom w:val="nil"/>
              <w:right w:val="nil"/>
            </w:tcBorders>
            <w:shd w:val="clear" w:color="auto" w:fill="auto"/>
            <w:vAlign w:val="bottom"/>
          </w:tcPr>
          <w:p w14:paraId="6E832AE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0.008</w:t>
            </w:r>
          </w:p>
        </w:tc>
        <w:tc>
          <w:tcPr>
            <w:tcW w:w="2410" w:type="dxa"/>
            <w:tcBorders>
              <w:top w:val="nil"/>
              <w:left w:val="nil"/>
              <w:bottom w:val="nil"/>
              <w:right w:val="nil"/>
            </w:tcBorders>
            <w:shd w:val="clear" w:color="auto" w:fill="auto"/>
            <w:vAlign w:val="bottom"/>
          </w:tcPr>
          <w:p w14:paraId="39124E9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0.008</w:t>
            </w:r>
          </w:p>
        </w:tc>
      </w:tr>
      <w:tr w:rsidR="008B2C48" w:rsidRPr="00A61D53" w14:paraId="6AFF492A" w14:textId="77777777">
        <w:tc>
          <w:tcPr>
            <w:tcW w:w="3828" w:type="dxa"/>
            <w:tcBorders>
              <w:top w:val="nil"/>
              <w:left w:val="nil"/>
              <w:bottom w:val="nil"/>
              <w:right w:val="nil"/>
            </w:tcBorders>
            <w:vAlign w:val="center"/>
          </w:tcPr>
          <w:p w14:paraId="1AE5FAED" w14:textId="77777777" w:rsidR="008B2C48" w:rsidRPr="00A61D53" w:rsidRDefault="008B2C48">
            <w:pPr>
              <w:suppressAutoHyphens w:val="0"/>
              <w:spacing w:before="40" w:after="40" w:line="200" w:lineRule="exact"/>
              <w:rPr>
                <w:rFonts w:eastAsia="MS Mincho"/>
                <w:sz w:val="18"/>
                <w:szCs w:val="18"/>
                <w:lang w:eastAsia="de-DE"/>
              </w:rPr>
            </w:pPr>
            <w:r w:rsidRPr="00A61D53">
              <w:rPr>
                <w:color w:val="000000"/>
                <w:sz w:val="18"/>
                <w:szCs w:val="18"/>
              </w:rPr>
              <w:t>Algeria</w:t>
            </w:r>
          </w:p>
        </w:tc>
        <w:tc>
          <w:tcPr>
            <w:tcW w:w="2281" w:type="dxa"/>
            <w:tcBorders>
              <w:top w:val="nil"/>
              <w:left w:val="nil"/>
              <w:bottom w:val="nil"/>
              <w:right w:val="nil"/>
            </w:tcBorders>
            <w:shd w:val="clear" w:color="auto" w:fill="auto"/>
            <w:vAlign w:val="bottom"/>
          </w:tcPr>
          <w:p w14:paraId="03D808F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0.109</w:t>
            </w:r>
          </w:p>
        </w:tc>
        <w:tc>
          <w:tcPr>
            <w:tcW w:w="2410" w:type="dxa"/>
            <w:tcBorders>
              <w:top w:val="nil"/>
              <w:left w:val="nil"/>
              <w:bottom w:val="nil"/>
              <w:right w:val="nil"/>
            </w:tcBorders>
            <w:shd w:val="clear" w:color="auto" w:fill="auto"/>
            <w:vAlign w:val="bottom"/>
          </w:tcPr>
          <w:p w14:paraId="11DD1F1D"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0.106</w:t>
            </w:r>
          </w:p>
        </w:tc>
      </w:tr>
      <w:tr w:rsidR="008B2C48" w:rsidRPr="00A61D53" w14:paraId="586C665D" w14:textId="77777777">
        <w:tc>
          <w:tcPr>
            <w:tcW w:w="3828" w:type="dxa"/>
            <w:tcBorders>
              <w:top w:val="nil"/>
              <w:left w:val="nil"/>
              <w:bottom w:val="nil"/>
              <w:right w:val="nil"/>
            </w:tcBorders>
            <w:vAlign w:val="center"/>
          </w:tcPr>
          <w:p w14:paraId="5EA6C1D9" w14:textId="77777777" w:rsidR="008B2C48" w:rsidRPr="00A61D53" w:rsidRDefault="008B2C48">
            <w:pPr>
              <w:suppressAutoHyphens w:val="0"/>
              <w:spacing w:before="40" w:after="40" w:line="200" w:lineRule="exact"/>
              <w:rPr>
                <w:rFonts w:eastAsia="Arial Unicode MS"/>
                <w:color w:val="000000"/>
                <w:sz w:val="18"/>
                <w:szCs w:val="18"/>
                <w:lang w:eastAsia="de-DE"/>
              </w:rPr>
            </w:pPr>
            <w:r w:rsidRPr="00A61D53">
              <w:rPr>
                <w:color w:val="000000"/>
                <w:sz w:val="18"/>
                <w:szCs w:val="18"/>
              </w:rPr>
              <w:t>Andorra</w:t>
            </w:r>
          </w:p>
        </w:tc>
        <w:tc>
          <w:tcPr>
            <w:tcW w:w="2281" w:type="dxa"/>
            <w:tcBorders>
              <w:top w:val="nil"/>
              <w:left w:val="nil"/>
              <w:bottom w:val="nil"/>
              <w:right w:val="nil"/>
            </w:tcBorders>
            <w:shd w:val="clear" w:color="auto" w:fill="auto"/>
            <w:vAlign w:val="bottom"/>
          </w:tcPr>
          <w:p w14:paraId="3E6789C2"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0.005</w:t>
            </w:r>
          </w:p>
        </w:tc>
        <w:tc>
          <w:tcPr>
            <w:tcW w:w="2410" w:type="dxa"/>
            <w:tcBorders>
              <w:top w:val="nil"/>
              <w:left w:val="nil"/>
              <w:bottom w:val="nil"/>
              <w:right w:val="nil"/>
            </w:tcBorders>
            <w:shd w:val="clear" w:color="auto" w:fill="auto"/>
            <w:vAlign w:val="bottom"/>
          </w:tcPr>
          <w:p w14:paraId="251CAED8"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0.005</w:t>
            </w:r>
          </w:p>
        </w:tc>
      </w:tr>
      <w:tr w:rsidR="008B2C48" w:rsidRPr="00A61D53" w14:paraId="0C02F93C" w14:textId="77777777">
        <w:tc>
          <w:tcPr>
            <w:tcW w:w="3828" w:type="dxa"/>
            <w:tcBorders>
              <w:top w:val="nil"/>
              <w:left w:val="nil"/>
              <w:bottom w:val="nil"/>
              <w:right w:val="nil"/>
            </w:tcBorders>
            <w:vAlign w:val="center"/>
          </w:tcPr>
          <w:p w14:paraId="519FEC14"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Angola</w:t>
            </w:r>
          </w:p>
        </w:tc>
        <w:tc>
          <w:tcPr>
            <w:tcW w:w="2281" w:type="dxa"/>
            <w:tcBorders>
              <w:top w:val="nil"/>
              <w:left w:val="nil"/>
              <w:bottom w:val="nil"/>
              <w:right w:val="nil"/>
            </w:tcBorders>
            <w:shd w:val="clear" w:color="auto" w:fill="auto"/>
            <w:vAlign w:val="bottom"/>
          </w:tcPr>
          <w:p w14:paraId="7F30A37D"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0.010</w:t>
            </w:r>
          </w:p>
        </w:tc>
        <w:tc>
          <w:tcPr>
            <w:tcW w:w="2410" w:type="dxa"/>
            <w:tcBorders>
              <w:top w:val="nil"/>
              <w:left w:val="nil"/>
              <w:bottom w:val="nil"/>
              <w:right w:val="nil"/>
            </w:tcBorders>
            <w:shd w:val="clear" w:color="auto" w:fill="auto"/>
            <w:vAlign w:val="bottom"/>
          </w:tcPr>
          <w:p w14:paraId="07FCE5A7"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0.010</w:t>
            </w:r>
          </w:p>
        </w:tc>
      </w:tr>
      <w:tr w:rsidR="008B2C48" w:rsidRPr="00A61D53" w14:paraId="68905446" w14:textId="77777777">
        <w:tc>
          <w:tcPr>
            <w:tcW w:w="3828" w:type="dxa"/>
            <w:tcBorders>
              <w:top w:val="nil"/>
              <w:left w:val="nil"/>
              <w:bottom w:val="nil"/>
              <w:right w:val="nil"/>
            </w:tcBorders>
            <w:vAlign w:val="center"/>
          </w:tcPr>
          <w:p w14:paraId="692023CC"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Antigua and Barbuda</w:t>
            </w:r>
          </w:p>
        </w:tc>
        <w:tc>
          <w:tcPr>
            <w:tcW w:w="2281" w:type="dxa"/>
            <w:tcBorders>
              <w:top w:val="nil"/>
              <w:left w:val="nil"/>
              <w:bottom w:val="nil"/>
              <w:right w:val="nil"/>
            </w:tcBorders>
            <w:shd w:val="clear" w:color="auto" w:fill="auto"/>
            <w:vAlign w:val="bottom"/>
          </w:tcPr>
          <w:p w14:paraId="110A415F"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0.002</w:t>
            </w:r>
          </w:p>
        </w:tc>
        <w:tc>
          <w:tcPr>
            <w:tcW w:w="2410" w:type="dxa"/>
            <w:tcBorders>
              <w:top w:val="nil"/>
              <w:left w:val="nil"/>
              <w:bottom w:val="nil"/>
              <w:right w:val="nil"/>
            </w:tcBorders>
            <w:shd w:val="clear" w:color="auto" w:fill="auto"/>
            <w:vAlign w:val="bottom"/>
          </w:tcPr>
          <w:p w14:paraId="517AA17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0.002</w:t>
            </w:r>
          </w:p>
        </w:tc>
      </w:tr>
      <w:tr w:rsidR="008B2C48" w:rsidRPr="00A61D53" w14:paraId="115DA0B0" w14:textId="77777777">
        <w:tc>
          <w:tcPr>
            <w:tcW w:w="3828" w:type="dxa"/>
            <w:tcBorders>
              <w:top w:val="nil"/>
              <w:left w:val="nil"/>
              <w:bottom w:val="nil"/>
              <w:right w:val="nil"/>
            </w:tcBorders>
            <w:vAlign w:val="center"/>
          </w:tcPr>
          <w:p w14:paraId="03FDF4AC"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Argentina</w:t>
            </w:r>
          </w:p>
        </w:tc>
        <w:tc>
          <w:tcPr>
            <w:tcW w:w="2281" w:type="dxa"/>
            <w:tcBorders>
              <w:top w:val="nil"/>
              <w:left w:val="nil"/>
              <w:bottom w:val="nil"/>
              <w:right w:val="nil"/>
            </w:tcBorders>
            <w:shd w:val="clear" w:color="auto" w:fill="auto"/>
            <w:vAlign w:val="bottom"/>
          </w:tcPr>
          <w:p w14:paraId="40A02BE6"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0.719</w:t>
            </w:r>
          </w:p>
        </w:tc>
        <w:tc>
          <w:tcPr>
            <w:tcW w:w="2410" w:type="dxa"/>
            <w:tcBorders>
              <w:top w:val="nil"/>
              <w:left w:val="nil"/>
              <w:bottom w:val="nil"/>
              <w:right w:val="nil"/>
            </w:tcBorders>
            <w:shd w:val="clear" w:color="auto" w:fill="auto"/>
            <w:vAlign w:val="bottom"/>
          </w:tcPr>
          <w:p w14:paraId="5BC0DFF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0.701</w:t>
            </w:r>
          </w:p>
        </w:tc>
      </w:tr>
      <w:tr w:rsidR="008B2C48" w:rsidRPr="00A61D53" w14:paraId="19AF7200" w14:textId="77777777">
        <w:tc>
          <w:tcPr>
            <w:tcW w:w="3828" w:type="dxa"/>
            <w:tcBorders>
              <w:top w:val="nil"/>
              <w:left w:val="nil"/>
              <w:bottom w:val="nil"/>
              <w:right w:val="nil"/>
            </w:tcBorders>
            <w:vAlign w:val="center"/>
          </w:tcPr>
          <w:p w14:paraId="4FEA471E"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Armenia</w:t>
            </w:r>
          </w:p>
        </w:tc>
        <w:tc>
          <w:tcPr>
            <w:tcW w:w="2281" w:type="dxa"/>
            <w:tcBorders>
              <w:top w:val="nil"/>
              <w:left w:val="nil"/>
              <w:bottom w:val="nil"/>
              <w:right w:val="nil"/>
            </w:tcBorders>
            <w:shd w:val="clear" w:color="auto" w:fill="auto"/>
            <w:vAlign w:val="bottom"/>
          </w:tcPr>
          <w:p w14:paraId="69B7392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0.007</w:t>
            </w:r>
          </w:p>
        </w:tc>
        <w:tc>
          <w:tcPr>
            <w:tcW w:w="2410" w:type="dxa"/>
            <w:tcBorders>
              <w:top w:val="nil"/>
              <w:left w:val="nil"/>
              <w:bottom w:val="nil"/>
              <w:right w:val="nil"/>
            </w:tcBorders>
            <w:shd w:val="clear" w:color="auto" w:fill="auto"/>
            <w:vAlign w:val="bottom"/>
          </w:tcPr>
          <w:p w14:paraId="3518F659"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0.007</w:t>
            </w:r>
          </w:p>
        </w:tc>
      </w:tr>
      <w:tr w:rsidR="008B2C48" w:rsidRPr="00A61D53" w14:paraId="7A21A1BF" w14:textId="77777777">
        <w:tc>
          <w:tcPr>
            <w:tcW w:w="3828" w:type="dxa"/>
            <w:tcBorders>
              <w:top w:val="nil"/>
              <w:left w:val="nil"/>
              <w:bottom w:val="nil"/>
              <w:right w:val="nil"/>
            </w:tcBorders>
            <w:vAlign w:val="center"/>
          </w:tcPr>
          <w:p w14:paraId="7AB53048"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Australia</w:t>
            </w:r>
          </w:p>
        </w:tc>
        <w:tc>
          <w:tcPr>
            <w:tcW w:w="2281" w:type="dxa"/>
            <w:tcBorders>
              <w:top w:val="nil"/>
              <w:left w:val="nil"/>
              <w:bottom w:val="nil"/>
              <w:right w:val="nil"/>
            </w:tcBorders>
            <w:shd w:val="clear" w:color="auto" w:fill="auto"/>
            <w:vAlign w:val="bottom"/>
          </w:tcPr>
          <w:p w14:paraId="140A2289"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2.111</w:t>
            </w:r>
          </w:p>
        </w:tc>
        <w:tc>
          <w:tcPr>
            <w:tcW w:w="2410" w:type="dxa"/>
            <w:tcBorders>
              <w:top w:val="nil"/>
              <w:left w:val="nil"/>
              <w:bottom w:val="nil"/>
              <w:right w:val="nil"/>
            </w:tcBorders>
            <w:shd w:val="clear" w:color="auto" w:fill="auto"/>
            <w:vAlign w:val="bottom"/>
          </w:tcPr>
          <w:p w14:paraId="63DB964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2.058</w:t>
            </w:r>
          </w:p>
        </w:tc>
      </w:tr>
      <w:tr w:rsidR="008B2C48" w:rsidRPr="00A61D53" w14:paraId="64F256DA" w14:textId="77777777">
        <w:tc>
          <w:tcPr>
            <w:tcW w:w="3828" w:type="dxa"/>
            <w:tcBorders>
              <w:top w:val="nil"/>
              <w:left w:val="nil"/>
              <w:bottom w:val="nil"/>
              <w:right w:val="nil"/>
            </w:tcBorders>
            <w:vAlign w:val="center"/>
          </w:tcPr>
          <w:p w14:paraId="774708CE"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Austria</w:t>
            </w:r>
          </w:p>
        </w:tc>
        <w:tc>
          <w:tcPr>
            <w:tcW w:w="2281" w:type="dxa"/>
            <w:tcBorders>
              <w:top w:val="nil"/>
              <w:left w:val="nil"/>
              <w:bottom w:val="nil"/>
              <w:right w:val="nil"/>
            </w:tcBorders>
            <w:shd w:val="clear" w:color="auto" w:fill="auto"/>
            <w:vAlign w:val="bottom"/>
          </w:tcPr>
          <w:p w14:paraId="7B29C0BE"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0.679</w:t>
            </w:r>
          </w:p>
        </w:tc>
        <w:tc>
          <w:tcPr>
            <w:tcW w:w="2410" w:type="dxa"/>
            <w:tcBorders>
              <w:top w:val="nil"/>
              <w:left w:val="nil"/>
              <w:bottom w:val="nil"/>
              <w:right w:val="nil"/>
            </w:tcBorders>
            <w:shd w:val="clear" w:color="auto" w:fill="auto"/>
            <w:vAlign w:val="bottom"/>
          </w:tcPr>
          <w:p w14:paraId="0BD4273F"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0.662</w:t>
            </w:r>
          </w:p>
        </w:tc>
      </w:tr>
      <w:tr w:rsidR="008B2C48" w:rsidRPr="00A61D53" w14:paraId="7109A585" w14:textId="77777777">
        <w:tc>
          <w:tcPr>
            <w:tcW w:w="3828" w:type="dxa"/>
            <w:tcBorders>
              <w:top w:val="nil"/>
              <w:left w:val="nil"/>
              <w:bottom w:val="nil"/>
              <w:right w:val="nil"/>
            </w:tcBorders>
            <w:vAlign w:val="center"/>
          </w:tcPr>
          <w:p w14:paraId="3FFAE786"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Azerbaijan</w:t>
            </w:r>
          </w:p>
        </w:tc>
        <w:tc>
          <w:tcPr>
            <w:tcW w:w="2281" w:type="dxa"/>
            <w:tcBorders>
              <w:top w:val="nil"/>
              <w:left w:val="nil"/>
              <w:bottom w:val="nil"/>
              <w:right w:val="nil"/>
            </w:tcBorders>
            <w:shd w:val="clear" w:color="auto" w:fill="auto"/>
            <w:vAlign w:val="bottom"/>
          </w:tcPr>
          <w:p w14:paraId="1790E2F6"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0.030</w:t>
            </w:r>
          </w:p>
        </w:tc>
        <w:tc>
          <w:tcPr>
            <w:tcW w:w="2410" w:type="dxa"/>
            <w:tcBorders>
              <w:top w:val="nil"/>
              <w:left w:val="nil"/>
              <w:bottom w:val="nil"/>
              <w:right w:val="nil"/>
            </w:tcBorders>
            <w:shd w:val="clear" w:color="auto" w:fill="auto"/>
            <w:vAlign w:val="bottom"/>
          </w:tcPr>
          <w:p w14:paraId="2C5FC4B2"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0.029</w:t>
            </w:r>
          </w:p>
        </w:tc>
      </w:tr>
      <w:tr w:rsidR="008B2C48" w:rsidRPr="00A61D53" w14:paraId="1890BD7B" w14:textId="77777777">
        <w:tc>
          <w:tcPr>
            <w:tcW w:w="3828" w:type="dxa"/>
            <w:tcBorders>
              <w:top w:val="nil"/>
              <w:left w:val="nil"/>
              <w:bottom w:val="nil"/>
              <w:right w:val="nil"/>
            </w:tcBorders>
            <w:vAlign w:val="center"/>
          </w:tcPr>
          <w:p w14:paraId="1A1FDCC0"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Bahamas</w:t>
            </w:r>
          </w:p>
        </w:tc>
        <w:tc>
          <w:tcPr>
            <w:tcW w:w="2281" w:type="dxa"/>
            <w:tcBorders>
              <w:top w:val="nil"/>
              <w:left w:val="nil"/>
              <w:bottom w:val="nil"/>
              <w:right w:val="nil"/>
            </w:tcBorders>
            <w:shd w:val="clear" w:color="auto" w:fill="auto"/>
            <w:vAlign w:val="bottom"/>
          </w:tcPr>
          <w:p w14:paraId="536467E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0.019</w:t>
            </w:r>
          </w:p>
        </w:tc>
        <w:tc>
          <w:tcPr>
            <w:tcW w:w="2410" w:type="dxa"/>
            <w:tcBorders>
              <w:top w:val="nil"/>
              <w:left w:val="nil"/>
              <w:bottom w:val="nil"/>
              <w:right w:val="nil"/>
            </w:tcBorders>
            <w:shd w:val="clear" w:color="auto" w:fill="auto"/>
            <w:vAlign w:val="bottom"/>
          </w:tcPr>
          <w:p w14:paraId="4DF3AF16"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0.019</w:t>
            </w:r>
          </w:p>
        </w:tc>
      </w:tr>
      <w:tr w:rsidR="008B2C48" w:rsidRPr="00A61D53" w14:paraId="00ED1079" w14:textId="77777777">
        <w:tc>
          <w:tcPr>
            <w:tcW w:w="3828" w:type="dxa"/>
            <w:tcBorders>
              <w:top w:val="nil"/>
              <w:left w:val="nil"/>
              <w:bottom w:val="nil"/>
              <w:right w:val="nil"/>
            </w:tcBorders>
            <w:vAlign w:val="center"/>
          </w:tcPr>
          <w:p w14:paraId="03C1CD09"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Bahrain</w:t>
            </w:r>
          </w:p>
        </w:tc>
        <w:tc>
          <w:tcPr>
            <w:tcW w:w="2281" w:type="dxa"/>
            <w:tcBorders>
              <w:top w:val="nil"/>
              <w:left w:val="nil"/>
              <w:bottom w:val="nil"/>
              <w:right w:val="nil"/>
            </w:tcBorders>
            <w:shd w:val="clear" w:color="auto" w:fill="auto"/>
            <w:vAlign w:val="bottom"/>
          </w:tcPr>
          <w:p w14:paraId="3CE39255"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0.054</w:t>
            </w:r>
          </w:p>
        </w:tc>
        <w:tc>
          <w:tcPr>
            <w:tcW w:w="2410" w:type="dxa"/>
            <w:tcBorders>
              <w:top w:val="nil"/>
              <w:left w:val="nil"/>
              <w:bottom w:val="nil"/>
              <w:right w:val="nil"/>
            </w:tcBorders>
            <w:shd w:val="clear" w:color="auto" w:fill="auto"/>
            <w:vAlign w:val="bottom"/>
          </w:tcPr>
          <w:p w14:paraId="0171AC56"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0.053</w:t>
            </w:r>
          </w:p>
        </w:tc>
      </w:tr>
      <w:tr w:rsidR="008B2C48" w:rsidRPr="00A61D53" w14:paraId="0C5567CF" w14:textId="77777777">
        <w:tc>
          <w:tcPr>
            <w:tcW w:w="3828" w:type="dxa"/>
            <w:tcBorders>
              <w:top w:val="nil"/>
              <w:left w:val="nil"/>
              <w:bottom w:val="nil"/>
              <w:right w:val="nil"/>
            </w:tcBorders>
            <w:vAlign w:val="center"/>
          </w:tcPr>
          <w:p w14:paraId="219DB266"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Bangladesh</w:t>
            </w:r>
          </w:p>
        </w:tc>
        <w:tc>
          <w:tcPr>
            <w:tcW w:w="2281" w:type="dxa"/>
            <w:tcBorders>
              <w:top w:val="nil"/>
              <w:left w:val="nil"/>
              <w:bottom w:val="nil"/>
              <w:right w:val="nil"/>
            </w:tcBorders>
            <w:shd w:val="clear" w:color="auto" w:fill="auto"/>
            <w:vAlign w:val="bottom"/>
          </w:tcPr>
          <w:p w14:paraId="39D1BA1F"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0.010</w:t>
            </w:r>
          </w:p>
        </w:tc>
        <w:tc>
          <w:tcPr>
            <w:tcW w:w="2410" w:type="dxa"/>
            <w:tcBorders>
              <w:top w:val="nil"/>
              <w:left w:val="nil"/>
              <w:bottom w:val="nil"/>
              <w:right w:val="nil"/>
            </w:tcBorders>
            <w:shd w:val="clear" w:color="auto" w:fill="auto"/>
            <w:vAlign w:val="bottom"/>
          </w:tcPr>
          <w:p w14:paraId="3DDE1842"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0.010</w:t>
            </w:r>
          </w:p>
        </w:tc>
      </w:tr>
      <w:tr w:rsidR="008B2C48" w:rsidRPr="00A61D53" w14:paraId="77A34352" w14:textId="77777777">
        <w:tc>
          <w:tcPr>
            <w:tcW w:w="3828" w:type="dxa"/>
            <w:tcBorders>
              <w:top w:val="nil"/>
              <w:left w:val="nil"/>
              <w:bottom w:val="nil"/>
              <w:right w:val="nil"/>
            </w:tcBorders>
            <w:vAlign w:val="center"/>
          </w:tcPr>
          <w:p w14:paraId="437C1CC8"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Barbados</w:t>
            </w:r>
          </w:p>
        </w:tc>
        <w:tc>
          <w:tcPr>
            <w:tcW w:w="2281" w:type="dxa"/>
            <w:tcBorders>
              <w:top w:val="nil"/>
              <w:left w:val="nil"/>
              <w:bottom w:val="nil"/>
              <w:right w:val="nil"/>
            </w:tcBorders>
            <w:shd w:val="clear" w:color="auto" w:fill="auto"/>
            <w:vAlign w:val="bottom"/>
          </w:tcPr>
          <w:p w14:paraId="0B69016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0.008</w:t>
            </w:r>
          </w:p>
        </w:tc>
        <w:tc>
          <w:tcPr>
            <w:tcW w:w="2410" w:type="dxa"/>
            <w:tcBorders>
              <w:top w:val="nil"/>
              <w:left w:val="nil"/>
              <w:bottom w:val="nil"/>
              <w:right w:val="nil"/>
            </w:tcBorders>
            <w:shd w:val="clear" w:color="auto" w:fill="auto"/>
            <w:vAlign w:val="bottom"/>
          </w:tcPr>
          <w:p w14:paraId="56683AC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0.008</w:t>
            </w:r>
          </w:p>
        </w:tc>
      </w:tr>
      <w:tr w:rsidR="008B2C48" w:rsidRPr="00A61D53" w14:paraId="3245C290" w14:textId="77777777">
        <w:tc>
          <w:tcPr>
            <w:tcW w:w="3828" w:type="dxa"/>
            <w:tcBorders>
              <w:top w:val="nil"/>
              <w:left w:val="nil"/>
              <w:bottom w:val="nil"/>
              <w:right w:val="nil"/>
            </w:tcBorders>
            <w:vAlign w:val="center"/>
          </w:tcPr>
          <w:p w14:paraId="4D5AA3FD"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Belarus</w:t>
            </w:r>
          </w:p>
        </w:tc>
        <w:tc>
          <w:tcPr>
            <w:tcW w:w="2281" w:type="dxa"/>
            <w:tcBorders>
              <w:top w:val="nil"/>
              <w:left w:val="nil"/>
              <w:bottom w:val="nil"/>
              <w:right w:val="nil"/>
            </w:tcBorders>
            <w:shd w:val="clear" w:color="auto" w:fill="auto"/>
            <w:vAlign w:val="bottom"/>
          </w:tcPr>
          <w:p w14:paraId="2951FCD9"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0.041</w:t>
            </w:r>
          </w:p>
        </w:tc>
        <w:tc>
          <w:tcPr>
            <w:tcW w:w="2410" w:type="dxa"/>
            <w:tcBorders>
              <w:top w:val="nil"/>
              <w:left w:val="nil"/>
              <w:bottom w:val="nil"/>
              <w:right w:val="nil"/>
            </w:tcBorders>
            <w:shd w:val="clear" w:color="auto" w:fill="auto"/>
            <w:vAlign w:val="bottom"/>
          </w:tcPr>
          <w:p w14:paraId="495DE5CD"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0.040</w:t>
            </w:r>
          </w:p>
        </w:tc>
      </w:tr>
      <w:tr w:rsidR="008B2C48" w:rsidRPr="00A61D53" w14:paraId="0C958953" w14:textId="77777777">
        <w:tc>
          <w:tcPr>
            <w:tcW w:w="3828" w:type="dxa"/>
            <w:tcBorders>
              <w:top w:val="nil"/>
              <w:left w:val="nil"/>
              <w:bottom w:val="nil"/>
              <w:right w:val="nil"/>
            </w:tcBorders>
            <w:vAlign w:val="center"/>
          </w:tcPr>
          <w:p w14:paraId="3945E707"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Belgium</w:t>
            </w:r>
          </w:p>
        </w:tc>
        <w:tc>
          <w:tcPr>
            <w:tcW w:w="2281" w:type="dxa"/>
            <w:tcBorders>
              <w:top w:val="nil"/>
              <w:left w:val="nil"/>
              <w:bottom w:val="nil"/>
              <w:right w:val="nil"/>
            </w:tcBorders>
            <w:shd w:val="clear" w:color="auto" w:fill="auto"/>
            <w:vAlign w:val="bottom"/>
          </w:tcPr>
          <w:p w14:paraId="49BCD3C8"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0.828</w:t>
            </w:r>
          </w:p>
        </w:tc>
        <w:tc>
          <w:tcPr>
            <w:tcW w:w="2410" w:type="dxa"/>
            <w:tcBorders>
              <w:top w:val="nil"/>
              <w:left w:val="nil"/>
              <w:bottom w:val="nil"/>
              <w:right w:val="nil"/>
            </w:tcBorders>
            <w:shd w:val="clear" w:color="auto" w:fill="auto"/>
            <w:vAlign w:val="bottom"/>
          </w:tcPr>
          <w:p w14:paraId="6C156A22"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0.807</w:t>
            </w:r>
          </w:p>
        </w:tc>
      </w:tr>
      <w:tr w:rsidR="008B2C48" w:rsidRPr="00A61D53" w14:paraId="0F316FF7" w14:textId="77777777">
        <w:tc>
          <w:tcPr>
            <w:tcW w:w="3828" w:type="dxa"/>
            <w:tcBorders>
              <w:top w:val="nil"/>
              <w:left w:val="nil"/>
              <w:bottom w:val="nil"/>
              <w:right w:val="nil"/>
            </w:tcBorders>
            <w:vAlign w:val="center"/>
          </w:tcPr>
          <w:p w14:paraId="5FC1E913"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Belize</w:t>
            </w:r>
          </w:p>
        </w:tc>
        <w:tc>
          <w:tcPr>
            <w:tcW w:w="2281" w:type="dxa"/>
            <w:tcBorders>
              <w:top w:val="nil"/>
              <w:left w:val="nil"/>
              <w:bottom w:val="nil"/>
              <w:right w:val="nil"/>
            </w:tcBorders>
            <w:shd w:val="clear" w:color="auto" w:fill="auto"/>
            <w:vAlign w:val="bottom"/>
          </w:tcPr>
          <w:p w14:paraId="2D177963"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78988BA0"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6E1E5F4C" w14:textId="77777777">
        <w:tc>
          <w:tcPr>
            <w:tcW w:w="3828" w:type="dxa"/>
            <w:tcBorders>
              <w:top w:val="nil"/>
              <w:left w:val="nil"/>
              <w:bottom w:val="nil"/>
              <w:right w:val="nil"/>
            </w:tcBorders>
            <w:vAlign w:val="center"/>
          </w:tcPr>
          <w:p w14:paraId="76A10D80"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Benin</w:t>
            </w:r>
          </w:p>
        </w:tc>
        <w:tc>
          <w:tcPr>
            <w:tcW w:w="2281" w:type="dxa"/>
            <w:tcBorders>
              <w:top w:val="nil"/>
              <w:left w:val="nil"/>
              <w:bottom w:val="nil"/>
              <w:right w:val="nil"/>
            </w:tcBorders>
            <w:shd w:val="clear" w:color="auto" w:fill="auto"/>
            <w:vAlign w:val="bottom"/>
          </w:tcPr>
          <w:p w14:paraId="1B8FDF3D"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0.005</w:t>
            </w:r>
          </w:p>
        </w:tc>
        <w:tc>
          <w:tcPr>
            <w:tcW w:w="2410" w:type="dxa"/>
            <w:tcBorders>
              <w:top w:val="nil"/>
              <w:left w:val="nil"/>
              <w:bottom w:val="nil"/>
              <w:right w:val="nil"/>
            </w:tcBorders>
            <w:shd w:val="clear" w:color="auto" w:fill="auto"/>
            <w:vAlign w:val="bottom"/>
          </w:tcPr>
          <w:p w14:paraId="7973E4D3"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0.005</w:t>
            </w:r>
          </w:p>
        </w:tc>
      </w:tr>
      <w:tr w:rsidR="008B2C48" w:rsidRPr="00A61D53" w14:paraId="4B29A77B" w14:textId="77777777">
        <w:tc>
          <w:tcPr>
            <w:tcW w:w="3828" w:type="dxa"/>
            <w:tcBorders>
              <w:top w:val="nil"/>
              <w:left w:val="nil"/>
              <w:bottom w:val="nil"/>
              <w:right w:val="nil"/>
            </w:tcBorders>
            <w:vAlign w:val="center"/>
          </w:tcPr>
          <w:p w14:paraId="1E3ACF23"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Bhutan</w:t>
            </w:r>
          </w:p>
        </w:tc>
        <w:tc>
          <w:tcPr>
            <w:tcW w:w="2281" w:type="dxa"/>
            <w:tcBorders>
              <w:top w:val="nil"/>
              <w:left w:val="nil"/>
              <w:bottom w:val="nil"/>
              <w:right w:val="nil"/>
            </w:tcBorders>
            <w:shd w:val="clear" w:color="auto" w:fill="auto"/>
            <w:vAlign w:val="bottom"/>
          </w:tcPr>
          <w:p w14:paraId="5129342D"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34C3809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0DBA9913" w14:textId="77777777">
        <w:tc>
          <w:tcPr>
            <w:tcW w:w="3828" w:type="dxa"/>
            <w:tcBorders>
              <w:top w:val="nil"/>
              <w:left w:val="nil"/>
              <w:bottom w:val="nil"/>
              <w:right w:val="nil"/>
            </w:tcBorders>
            <w:vAlign w:val="center"/>
          </w:tcPr>
          <w:p w14:paraId="180AE61D"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Bolivia (Plurinational State of)</w:t>
            </w:r>
          </w:p>
        </w:tc>
        <w:tc>
          <w:tcPr>
            <w:tcW w:w="2281" w:type="dxa"/>
            <w:tcBorders>
              <w:top w:val="nil"/>
              <w:left w:val="nil"/>
              <w:bottom w:val="nil"/>
              <w:right w:val="nil"/>
            </w:tcBorders>
            <w:shd w:val="clear" w:color="auto" w:fill="auto"/>
            <w:vAlign w:val="bottom"/>
          </w:tcPr>
          <w:p w14:paraId="752AA47F"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0.019</w:t>
            </w:r>
          </w:p>
        </w:tc>
        <w:tc>
          <w:tcPr>
            <w:tcW w:w="2410" w:type="dxa"/>
            <w:tcBorders>
              <w:top w:val="nil"/>
              <w:left w:val="nil"/>
              <w:bottom w:val="nil"/>
              <w:right w:val="nil"/>
            </w:tcBorders>
            <w:shd w:val="clear" w:color="auto" w:fill="auto"/>
            <w:vAlign w:val="bottom"/>
          </w:tcPr>
          <w:p w14:paraId="7FF5A4A7"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0.019</w:t>
            </w:r>
          </w:p>
        </w:tc>
      </w:tr>
      <w:tr w:rsidR="008B2C48" w:rsidRPr="00A61D53" w14:paraId="0194972F" w14:textId="77777777">
        <w:tc>
          <w:tcPr>
            <w:tcW w:w="3828" w:type="dxa"/>
            <w:tcBorders>
              <w:top w:val="nil"/>
              <w:left w:val="nil"/>
              <w:bottom w:val="nil"/>
              <w:right w:val="nil"/>
            </w:tcBorders>
            <w:vAlign w:val="center"/>
          </w:tcPr>
          <w:p w14:paraId="4A8F31DD"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Bosnia and Herzegovina</w:t>
            </w:r>
          </w:p>
        </w:tc>
        <w:tc>
          <w:tcPr>
            <w:tcW w:w="2281" w:type="dxa"/>
            <w:tcBorders>
              <w:top w:val="nil"/>
              <w:left w:val="nil"/>
              <w:bottom w:val="nil"/>
              <w:right w:val="nil"/>
            </w:tcBorders>
            <w:shd w:val="clear" w:color="auto" w:fill="auto"/>
            <w:vAlign w:val="bottom"/>
          </w:tcPr>
          <w:p w14:paraId="7278BB75"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0.012</w:t>
            </w:r>
          </w:p>
        </w:tc>
        <w:tc>
          <w:tcPr>
            <w:tcW w:w="2410" w:type="dxa"/>
            <w:tcBorders>
              <w:top w:val="nil"/>
              <w:left w:val="nil"/>
              <w:bottom w:val="nil"/>
              <w:right w:val="nil"/>
            </w:tcBorders>
            <w:shd w:val="clear" w:color="auto" w:fill="auto"/>
            <w:vAlign w:val="bottom"/>
          </w:tcPr>
          <w:p w14:paraId="1CBC5EF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0.012</w:t>
            </w:r>
          </w:p>
        </w:tc>
      </w:tr>
      <w:tr w:rsidR="008B2C48" w:rsidRPr="00A61D53" w14:paraId="664C181A" w14:textId="77777777">
        <w:tc>
          <w:tcPr>
            <w:tcW w:w="3828" w:type="dxa"/>
            <w:tcBorders>
              <w:top w:val="nil"/>
              <w:left w:val="nil"/>
              <w:bottom w:val="nil"/>
              <w:right w:val="nil"/>
            </w:tcBorders>
            <w:vAlign w:val="center"/>
          </w:tcPr>
          <w:p w14:paraId="3C788AF1"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Botswana</w:t>
            </w:r>
          </w:p>
        </w:tc>
        <w:tc>
          <w:tcPr>
            <w:tcW w:w="2281" w:type="dxa"/>
            <w:tcBorders>
              <w:top w:val="nil"/>
              <w:left w:val="nil"/>
              <w:bottom w:val="nil"/>
              <w:right w:val="nil"/>
            </w:tcBorders>
            <w:shd w:val="clear" w:color="auto" w:fill="auto"/>
            <w:vAlign w:val="bottom"/>
          </w:tcPr>
          <w:p w14:paraId="7777011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0.015</w:t>
            </w:r>
          </w:p>
        </w:tc>
        <w:tc>
          <w:tcPr>
            <w:tcW w:w="2410" w:type="dxa"/>
            <w:tcBorders>
              <w:top w:val="nil"/>
              <w:left w:val="nil"/>
              <w:bottom w:val="nil"/>
              <w:right w:val="nil"/>
            </w:tcBorders>
            <w:shd w:val="clear" w:color="auto" w:fill="auto"/>
            <w:vAlign w:val="bottom"/>
          </w:tcPr>
          <w:p w14:paraId="2B72985E"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0.015</w:t>
            </w:r>
          </w:p>
        </w:tc>
      </w:tr>
      <w:tr w:rsidR="008B2C48" w:rsidRPr="00A61D53" w14:paraId="01856507" w14:textId="77777777">
        <w:tc>
          <w:tcPr>
            <w:tcW w:w="3828" w:type="dxa"/>
            <w:tcBorders>
              <w:top w:val="nil"/>
              <w:left w:val="nil"/>
              <w:bottom w:val="nil"/>
              <w:right w:val="nil"/>
            </w:tcBorders>
            <w:vAlign w:val="center"/>
          </w:tcPr>
          <w:p w14:paraId="10458201" w14:textId="77777777" w:rsidR="008B2C48" w:rsidRPr="00A61D53" w:rsidRDefault="008B2C48">
            <w:pPr>
              <w:suppressAutoHyphens w:val="0"/>
              <w:spacing w:before="40" w:after="40" w:line="200" w:lineRule="exact"/>
              <w:ind w:left="360" w:hanging="360"/>
              <w:rPr>
                <w:rFonts w:eastAsia="MS Mincho"/>
                <w:color w:val="000000"/>
                <w:sz w:val="18"/>
                <w:szCs w:val="18"/>
                <w:lang w:eastAsia="de-DE"/>
              </w:rPr>
            </w:pPr>
            <w:r w:rsidRPr="00A61D53">
              <w:rPr>
                <w:color w:val="000000"/>
                <w:sz w:val="18"/>
                <w:szCs w:val="18"/>
              </w:rPr>
              <w:t>Brazil</w:t>
            </w:r>
          </w:p>
        </w:tc>
        <w:tc>
          <w:tcPr>
            <w:tcW w:w="2281" w:type="dxa"/>
            <w:tcBorders>
              <w:top w:val="nil"/>
              <w:left w:val="nil"/>
              <w:bottom w:val="nil"/>
              <w:right w:val="nil"/>
            </w:tcBorders>
            <w:shd w:val="clear" w:color="auto" w:fill="auto"/>
            <w:vAlign w:val="bottom"/>
          </w:tcPr>
          <w:p w14:paraId="55990AB2"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2.013</w:t>
            </w:r>
          </w:p>
        </w:tc>
        <w:tc>
          <w:tcPr>
            <w:tcW w:w="2410" w:type="dxa"/>
            <w:tcBorders>
              <w:top w:val="nil"/>
              <w:left w:val="nil"/>
              <w:bottom w:val="nil"/>
              <w:right w:val="nil"/>
            </w:tcBorders>
            <w:shd w:val="clear" w:color="auto" w:fill="auto"/>
            <w:vAlign w:val="bottom"/>
          </w:tcPr>
          <w:p w14:paraId="6B3C408E"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1.962</w:t>
            </w:r>
          </w:p>
        </w:tc>
      </w:tr>
      <w:tr w:rsidR="008B2C48" w:rsidRPr="00A61D53" w14:paraId="67BB11C2" w14:textId="77777777">
        <w:tc>
          <w:tcPr>
            <w:tcW w:w="3828" w:type="dxa"/>
            <w:tcBorders>
              <w:top w:val="nil"/>
              <w:left w:val="nil"/>
              <w:bottom w:val="nil"/>
              <w:right w:val="nil"/>
            </w:tcBorders>
            <w:vAlign w:val="center"/>
          </w:tcPr>
          <w:p w14:paraId="75815E22"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Brunei Darussalam</w:t>
            </w:r>
          </w:p>
        </w:tc>
        <w:tc>
          <w:tcPr>
            <w:tcW w:w="2281" w:type="dxa"/>
            <w:tcBorders>
              <w:top w:val="nil"/>
              <w:left w:val="nil"/>
              <w:bottom w:val="nil"/>
              <w:right w:val="nil"/>
            </w:tcBorders>
            <w:shd w:val="clear" w:color="auto" w:fill="auto"/>
            <w:vAlign w:val="bottom"/>
          </w:tcPr>
          <w:p w14:paraId="7F053F13"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0.021</w:t>
            </w:r>
          </w:p>
        </w:tc>
        <w:tc>
          <w:tcPr>
            <w:tcW w:w="2410" w:type="dxa"/>
            <w:tcBorders>
              <w:top w:val="nil"/>
              <w:left w:val="nil"/>
              <w:bottom w:val="nil"/>
              <w:right w:val="nil"/>
            </w:tcBorders>
            <w:shd w:val="clear" w:color="auto" w:fill="auto"/>
            <w:vAlign w:val="bottom"/>
          </w:tcPr>
          <w:p w14:paraId="0751C9E5"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0.020</w:t>
            </w:r>
          </w:p>
        </w:tc>
      </w:tr>
      <w:tr w:rsidR="008B2C48" w:rsidRPr="00A61D53" w14:paraId="6FA5DC27" w14:textId="77777777">
        <w:tc>
          <w:tcPr>
            <w:tcW w:w="3828" w:type="dxa"/>
            <w:tcBorders>
              <w:top w:val="nil"/>
              <w:left w:val="nil"/>
              <w:bottom w:val="nil"/>
              <w:right w:val="nil"/>
            </w:tcBorders>
            <w:vAlign w:val="center"/>
          </w:tcPr>
          <w:p w14:paraId="0EA528D4"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Bulgaria</w:t>
            </w:r>
          </w:p>
        </w:tc>
        <w:tc>
          <w:tcPr>
            <w:tcW w:w="2281" w:type="dxa"/>
            <w:tcBorders>
              <w:top w:val="nil"/>
              <w:left w:val="nil"/>
              <w:bottom w:val="nil"/>
              <w:right w:val="nil"/>
            </w:tcBorders>
            <w:shd w:val="clear" w:color="auto" w:fill="auto"/>
            <w:vAlign w:val="bottom"/>
          </w:tcPr>
          <w:p w14:paraId="711C0F53"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0.056</w:t>
            </w:r>
          </w:p>
        </w:tc>
        <w:tc>
          <w:tcPr>
            <w:tcW w:w="2410" w:type="dxa"/>
            <w:tcBorders>
              <w:top w:val="nil"/>
              <w:left w:val="nil"/>
              <w:bottom w:val="nil"/>
              <w:right w:val="nil"/>
            </w:tcBorders>
            <w:shd w:val="clear" w:color="auto" w:fill="auto"/>
            <w:vAlign w:val="bottom"/>
          </w:tcPr>
          <w:p w14:paraId="5C84D9D6"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0.055</w:t>
            </w:r>
          </w:p>
        </w:tc>
      </w:tr>
      <w:tr w:rsidR="008B2C48" w:rsidRPr="00A61D53" w14:paraId="3004E711" w14:textId="77777777">
        <w:tc>
          <w:tcPr>
            <w:tcW w:w="3828" w:type="dxa"/>
            <w:tcBorders>
              <w:top w:val="nil"/>
              <w:left w:val="nil"/>
              <w:bottom w:val="nil"/>
              <w:right w:val="nil"/>
            </w:tcBorders>
            <w:vAlign w:val="center"/>
          </w:tcPr>
          <w:p w14:paraId="48FBB635"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Burkina Faso</w:t>
            </w:r>
          </w:p>
        </w:tc>
        <w:tc>
          <w:tcPr>
            <w:tcW w:w="2281" w:type="dxa"/>
            <w:tcBorders>
              <w:top w:val="nil"/>
              <w:left w:val="nil"/>
              <w:bottom w:val="nil"/>
              <w:right w:val="nil"/>
            </w:tcBorders>
            <w:shd w:val="clear" w:color="auto" w:fill="auto"/>
            <w:vAlign w:val="bottom"/>
          </w:tcPr>
          <w:p w14:paraId="7B89FAC6"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0.004</w:t>
            </w:r>
          </w:p>
        </w:tc>
        <w:tc>
          <w:tcPr>
            <w:tcW w:w="2410" w:type="dxa"/>
            <w:tcBorders>
              <w:top w:val="nil"/>
              <w:left w:val="nil"/>
              <w:bottom w:val="nil"/>
              <w:right w:val="nil"/>
            </w:tcBorders>
            <w:shd w:val="clear" w:color="auto" w:fill="auto"/>
            <w:vAlign w:val="bottom"/>
          </w:tcPr>
          <w:p w14:paraId="776670DE"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0.004</w:t>
            </w:r>
          </w:p>
        </w:tc>
      </w:tr>
      <w:tr w:rsidR="008B2C48" w:rsidRPr="00A61D53" w14:paraId="0AD56EFC" w14:textId="77777777">
        <w:tc>
          <w:tcPr>
            <w:tcW w:w="3828" w:type="dxa"/>
            <w:tcBorders>
              <w:top w:val="nil"/>
              <w:left w:val="nil"/>
              <w:bottom w:val="nil"/>
              <w:right w:val="nil"/>
            </w:tcBorders>
            <w:vAlign w:val="center"/>
          </w:tcPr>
          <w:p w14:paraId="472138BD" w14:textId="77777777" w:rsidR="008B2C48" w:rsidRPr="00A61D53" w:rsidRDefault="008B2C48">
            <w:pPr>
              <w:suppressAutoHyphens w:val="0"/>
              <w:spacing w:before="40" w:after="40" w:line="200" w:lineRule="exact"/>
              <w:ind w:left="360" w:hanging="360"/>
              <w:rPr>
                <w:rFonts w:eastAsia="MS Mincho"/>
                <w:color w:val="000000"/>
                <w:sz w:val="18"/>
                <w:szCs w:val="18"/>
                <w:lang w:eastAsia="de-DE"/>
              </w:rPr>
            </w:pPr>
            <w:r w:rsidRPr="00A61D53">
              <w:rPr>
                <w:color w:val="000000"/>
                <w:sz w:val="18"/>
                <w:szCs w:val="18"/>
              </w:rPr>
              <w:t>Burundi</w:t>
            </w:r>
          </w:p>
        </w:tc>
        <w:tc>
          <w:tcPr>
            <w:tcW w:w="2281" w:type="dxa"/>
            <w:tcBorders>
              <w:top w:val="nil"/>
              <w:left w:val="nil"/>
              <w:bottom w:val="nil"/>
              <w:right w:val="nil"/>
            </w:tcBorders>
            <w:shd w:val="clear" w:color="auto" w:fill="auto"/>
            <w:vAlign w:val="bottom"/>
          </w:tcPr>
          <w:p w14:paraId="608A8206"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3CAB187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1DD533A7" w14:textId="77777777">
        <w:tc>
          <w:tcPr>
            <w:tcW w:w="3828" w:type="dxa"/>
            <w:tcBorders>
              <w:top w:val="nil"/>
              <w:left w:val="nil"/>
              <w:bottom w:val="nil"/>
              <w:right w:val="nil"/>
            </w:tcBorders>
            <w:vAlign w:val="center"/>
          </w:tcPr>
          <w:p w14:paraId="390F7B69"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Cabo Verde</w:t>
            </w:r>
          </w:p>
        </w:tc>
        <w:tc>
          <w:tcPr>
            <w:tcW w:w="2281" w:type="dxa"/>
            <w:tcBorders>
              <w:top w:val="nil"/>
              <w:left w:val="nil"/>
              <w:bottom w:val="nil"/>
              <w:right w:val="nil"/>
            </w:tcBorders>
            <w:shd w:val="clear" w:color="auto" w:fill="auto"/>
            <w:vAlign w:val="bottom"/>
          </w:tcPr>
          <w:p w14:paraId="21FE3806"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30B7FF98"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0F9AAA36" w14:textId="77777777">
        <w:tc>
          <w:tcPr>
            <w:tcW w:w="3828" w:type="dxa"/>
            <w:tcBorders>
              <w:top w:val="nil"/>
              <w:left w:val="nil"/>
              <w:bottom w:val="nil"/>
              <w:right w:val="nil"/>
            </w:tcBorders>
            <w:vAlign w:val="center"/>
          </w:tcPr>
          <w:p w14:paraId="172B4172"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Cambodia</w:t>
            </w:r>
          </w:p>
        </w:tc>
        <w:tc>
          <w:tcPr>
            <w:tcW w:w="2281" w:type="dxa"/>
            <w:tcBorders>
              <w:top w:val="nil"/>
              <w:left w:val="nil"/>
              <w:bottom w:val="nil"/>
              <w:right w:val="nil"/>
            </w:tcBorders>
            <w:shd w:val="clear" w:color="auto" w:fill="auto"/>
            <w:vAlign w:val="bottom"/>
          </w:tcPr>
          <w:p w14:paraId="717A7998"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0.007</w:t>
            </w:r>
          </w:p>
        </w:tc>
        <w:tc>
          <w:tcPr>
            <w:tcW w:w="2410" w:type="dxa"/>
            <w:tcBorders>
              <w:top w:val="nil"/>
              <w:left w:val="nil"/>
              <w:bottom w:val="nil"/>
              <w:right w:val="nil"/>
            </w:tcBorders>
            <w:shd w:val="clear" w:color="auto" w:fill="auto"/>
            <w:vAlign w:val="bottom"/>
          </w:tcPr>
          <w:p w14:paraId="0297AB7E"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0.007</w:t>
            </w:r>
          </w:p>
        </w:tc>
      </w:tr>
      <w:tr w:rsidR="008B2C48" w:rsidRPr="00A61D53" w14:paraId="0A6777F1" w14:textId="77777777">
        <w:tc>
          <w:tcPr>
            <w:tcW w:w="3828" w:type="dxa"/>
            <w:tcBorders>
              <w:top w:val="nil"/>
              <w:left w:val="nil"/>
              <w:bottom w:val="nil"/>
              <w:right w:val="nil"/>
            </w:tcBorders>
            <w:vAlign w:val="center"/>
          </w:tcPr>
          <w:p w14:paraId="3B809E41"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Cameroon</w:t>
            </w:r>
          </w:p>
        </w:tc>
        <w:tc>
          <w:tcPr>
            <w:tcW w:w="2281" w:type="dxa"/>
            <w:tcBorders>
              <w:top w:val="nil"/>
              <w:left w:val="nil"/>
              <w:bottom w:val="nil"/>
              <w:right w:val="nil"/>
            </w:tcBorders>
            <w:shd w:val="clear" w:color="auto" w:fill="auto"/>
            <w:vAlign w:val="bottom"/>
          </w:tcPr>
          <w:p w14:paraId="5043FCC7"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0.013</w:t>
            </w:r>
          </w:p>
        </w:tc>
        <w:tc>
          <w:tcPr>
            <w:tcW w:w="2410" w:type="dxa"/>
            <w:tcBorders>
              <w:top w:val="nil"/>
              <w:left w:val="nil"/>
              <w:bottom w:val="nil"/>
              <w:right w:val="nil"/>
            </w:tcBorders>
            <w:shd w:val="clear" w:color="auto" w:fill="auto"/>
            <w:vAlign w:val="bottom"/>
          </w:tcPr>
          <w:p w14:paraId="5B453DF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0.013</w:t>
            </w:r>
          </w:p>
        </w:tc>
      </w:tr>
      <w:tr w:rsidR="008B2C48" w:rsidRPr="00A61D53" w14:paraId="09EE4730" w14:textId="77777777">
        <w:tc>
          <w:tcPr>
            <w:tcW w:w="3828" w:type="dxa"/>
            <w:tcBorders>
              <w:top w:val="nil"/>
              <w:left w:val="nil"/>
              <w:bottom w:val="nil"/>
              <w:right w:val="nil"/>
            </w:tcBorders>
            <w:vAlign w:val="center"/>
          </w:tcPr>
          <w:p w14:paraId="3E70FD0B"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Canada</w:t>
            </w:r>
          </w:p>
        </w:tc>
        <w:tc>
          <w:tcPr>
            <w:tcW w:w="2281" w:type="dxa"/>
            <w:tcBorders>
              <w:top w:val="nil"/>
              <w:left w:val="nil"/>
              <w:bottom w:val="nil"/>
              <w:right w:val="nil"/>
            </w:tcBorders>
            <w:shd w:val="clear" w:color="auto" w:fill="auto"/>
            <w:vAlign w:val="bottom"/>
          </w:tcPr>
          <w:p w14:paraId="0FA85415"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2.628</w:t>
            </w:r>
          </w:p>
        </w:tc>
        <w:tc>
          <w:tcPr>
            <w:tcW w:w="2410" w:type="dxa"/>
            <w:tcBorders>
              <w:top w:val="nil"/>
              <w:left w:val="nil"/>
              <w:bottom w:val="nil"/>
              <w:right w:val="nil"/>
            </w:tcBorders>
            <w:shd w:val="clear" w:color="auto" w:fill="auto"/>
            <w:vAlign w:val="bottom"/>
          </w:tcPr>
          <w:p w14:paraId="47AE6F3D"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2.562</w:t>
            </w:r>
          </w:p>
        </w:tc>
      </w:tr>
      <w:tr w:rsidR="008B2C48" w:rsidRPr="00A61D53" w14:paraId="5A2D3A5C" w14:textId="77777777">
        <w:tc>
          <w:tcPr>
            <w:tcW w:w="3828" w:type="dxa"/>
            <w:tcBorders>
              <w:top w:val="nil"/>
              <w:left w:val="nil"/>
              <w:bottom w:val="nil"/>
              <w:right w:val="nil"/>
            </w:tcBorders>
            <w:vAlign w:val="center"/>
          </w:tcPr>
          <w:p w14:paraId="152DAF9E"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Central African Republic</w:t>
            </w:r>
          </w:p>
        </w:tc>
        <w:tc>
          <w:tcPr>
            <w:tcW w:w="2281" w:type="dxa"/>
            <w:tcBorders>
              <w:top w:val="nil"/>
              <w:left w:val="nil"/>
              <w:bottom w:val="nil"/>
              <w:right w:val="nil"/>
            </w:tcBorders>
            <w:shd w:val="clear" w:color="auto" w:fill="auto"/>
            <w:vAlign w:val="bottom"/>
          </w:tcPr>
          <w:p w14:paraId="14B6F633"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4A0FC60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72BA1DE8" w14:textId="77777777">
        <w:tc>
          <w:tcPr>
            <w:tcW w:w="3828" w:type="dxa"/>
            <w:tcBorders>
              <w:top w:val="nil"/>
              <w:left w:val="nil"/>
              <w:bottom w:val="nil"/>
              <w:right w:val="nil"/>
            </w:tcBorders>
            <w:vAlign w:val="center"/>
          </w:tcPr>
          <w:p w14:paraId="1424B544"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Chad</w:t>
            </w:r>
          </w:p>
        </w:tc>
        <w:tc>
          <w:tcPr>
            <w:tcW w:w="2281" w:type="dxa"/>
            <w:tcBorders>
              <w:top w:val="nil"/>
              <w:left w:val="nil"/>
              <w:bottom w:val="nil"/>
              <w:right w:val="nil"/>
            </w:tcBorders>
            <w:shd w:val="clear" w:color="auto" w:fill="auto"/>
            <w:vAlign w:val="bottom"/>
          </w:tcPr>
          <w:p w14:paraId="5F4A9D03"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0.003</w:t>
            </w:r>
          </w:p>
        </w:tc>
        <w:tc>
          <w:tcPr>
            <w:tcW w:w="2410" w:type="dxa"/>
            <w:tcBorders>
              <w:top w:val="nil"/>
              <w:left w:val="nil"/>
              <w:bottom w:val="nil"/>
              <w:right w:val="nil"/>
            </w:tcBorders>
            <w:shd w:val="clear" w:color="auto" w:fill="auto"/>
            <w:vAlign w:val="bottom"/>
          </w:tcPr>
          <w:p w14:paraId="4C76557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0.003</w:t>
            </w:r>
          </w:p>
        </w:tc>
      </w:tr>
      <w:tr w:rsidR="008B2C48" w:rsidRPr="00A61D53" w14:paraId="1FA922CB" w14:textId="77777777">
        <w:tc>
          <w:tcPr>
            <w:tcW w:w="3828" w:type="dxa"/>
            <w:tcBorders>
              <w:top w:val="nil"/>
              <w:left w:val="nil"/>
              <w:bottom w:val="nil"/>
              <w:right w:val="nil"/>
            </w:tcBorders>
            <w:vAlign w:val="center"/>
          </w:tcPr>
          <w:p w14:paraId="691A3F65"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Chile</w:t>
            </w:r>
          </w:p>
        </w:tc>
        <w:tc>
          <w:tcPr>
            <w:tcW w:w="2281" w:type="dxa"/>
            <w:tcBorders>
              <w:top w:val="nil"/>
              <w:left w:val="nil"/>
              <w:bottom w:val="nil"/>
              <w:right w:val="nil"/>
            </w:tcBorders>
            <w:shd w:val="clear" w:color="auto" w:fill="auto"/>
            <w:vAlign w:val="bottom"/>
          </w:tcPr>
          <w:p w14:paraId="2EFEF81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0.420</w:t>
            </w:r>
          </w:p>
        </w:tc>
        <w:tc>
          <w:tcPr>
            <w:tcW w:w="2410" w:type="dxa"/>
            <w:tcBorders>
              <w:top w:val="nil"/>
              <w:left w:val="nil"/>
              <w:bottom w:val="nil"/>
              <w:right w:val="nil"/>
            </w:tcBorders>
            <w:shd w:val="clear" w:color="auto" w:fill="auto"/>
            <w:vAlign w:val="bottom"/>
          </w:tcPr>
          <w:p w14:paraId="06810BA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0.409</w:t>
            </w:r>
          </w:p>
        </w:tc>
      </w:tr>
      <w:tr w:rsidR="008B2C48" w:rsidRPr="00A61D53" w14:paraId="0C938F58" w14:textId="77777777">
        <w:tc>
          <w:tcPr>
            <w:tcW w:w="3828" w:type="dxa"/>
            <w:tcBorders>
              <w:top w:val="nil"/>
              <w:left w:val="nil"/>
              <w:bottom w:val="nil"/>
              <w:right w:val="nil"/>
            </w:tcBorders>
            <w:vAlign w:val="center"/>
          </w:tcPr>
          <w:p w14:paraId="36A89BC4"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China</w:t>
            </w:r>
          </w:p>
        </w:tc>
        <w:tc>
          <w:tcPr>
            <w:tcW w:w="2281" w:type="dxa"/>
            <w:tcBorders>
              <w:top w:val="nil"/>
              <w:left w:val="nil"/>
              <w:bottom w:val="nil"/>
              <w:right w:val="nil"/>
            </w:tcBorders>
            <w:shd w:val="clear" w:color="auto" w:fill="auto"/>
            <w:vAlign w:val="bottom"/>
          </w:tcPr>
          <w:p w14:paraId="7D6C75C2"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15.254</w:t>
            </w:r>
          </w:p>
        </w:tc>
        <w:tc>
          <w:tcPr>
            <w:tcW w:w="2410" w:type="dxa"/>
            <w:tcBorders>
              <w:top w:val="nil"/>
              <w:left w:val="nil"/>
              <w:bottom w:val="nil"/>
              <w:right w:val="nil"/>
            </w:tcBorders>
            <w:shd w:val="clear" w:color="auto" w:fill="auto"/>
            <w:vAlign w:val="bottom"/>
          </w:tcPr>
          <w:p w14:paraId="44EE7F39"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14.870</w:t>
            </w:r>
          </w:p>
        </w:tc>
      </w:tr>
      <w:tr w:rsidR="008B2C48" w:rsidRPr="00A61D53" w14:paraId="4926CA5F" w14:textId="77777777">
        <w:tc>
          <w:tcPr>
            <w:tcW w:w="3828" w:type="dxa"/>
            <w:tcBorders>
              <w:top w:val="nil"/>
              <w:left w:val="nil"/>
              <w:bottom w:val="nil"/>
              <w:right w:val="nil"/>
            </w:tcBorders>
            <w:vAlign w:val="center"/>
          </w:tcPr>
          <w:p w14:paraId="13EECA16"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Colombia</w:t>
            </w:r>
          </w:p>
        </w:tc>
        <w:tc>
          <w:tcPr>
            <w:tcW w:w="2281" w:type="dxa"/>
            <w:tcBorders>
              <w:top w:val="nil"/>
              <w:left w:val="nil"/>
              <w:bottom w:val="nil"/>
              <w:right w:val="nil"/>
            </w:tcBorders>
            <w:shd w:val="clear" w:color="auto" w:fill="auto"/>
            <w:vAlign w:val="bottom"/>
          </w:tcPr>
          <w:p w14:paraId="4ACB5A6D"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0.246</w:t>
            </w:r>
          </w:p>
        </w:tc>
        <w:tc>
          <w:tcPr>
            <w:tcW w:w="2410" w:type="dxa"/>
            <w:tcBorders>
              <w:top w:val="nil"/>
              <w:left w:val="nil"/>
              <w:bottom w:val="nil"/>
              <w:right w:val="nil"/>
            </w:tcBorders>
            <w:shd w:val="clear" w:color="auto" w:fill="auto"/>
            <w:vAlign w:val="bottom"/>
          </w:tcPr>
          <w:p w14:paraId="7658D66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0.240</w:t>
            </w:r>
          </w:p>
        </w:tc>
      </w:tr>
      <w:tr w:rsidR="008B2C48" w:rsidRPr="00A61D53" w14:paraId="4DEC8E64" w14:textId="77777777">
        <w:tc>
          <w:tcPr>
            <w:tcW w:w="3828" w:type="dxa"/>
            <w:tcBorders>
              <w:top w:val="nil"/>
              <w:left w:val="nil"/>
              <w:bottom w:val="nil"/>
              <w:right w:val="nil"/>
            </w:tcBorders>
            <w:vAlign w:val="center"/>
          </w:tcPr>
          <w:p w14:paraId="702E6FF5"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Comoros</w:t>
            </w:r>
          </w:p>
        </w:tc>
        <w:tc>
          <w:tcPr>
            <w:tcW w:w="2281" w:type="dxa"/>
            <w:tcBorders>
              <w:top w:val="nil"/>
              <w:left w:val="nil"/>
              <w:bottom w:val="nil"/>
              <w:right w:val="nil"/>
            </w:tcBorders>
            <w:shd w:val="clear" w:color="auto" w:fill="auto"/>
            <w:vAlign w:val="bottom"/>
          </w:tcPr>
          <w:p w14:paraId="4089F4D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078329F0"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35D4B137" w14:textId="77777777">
        <w:tc>
          <w:tcPr>
            <w:tcW w:w="3828" w:type="dxa"/>
            <w:tcBorders>
              <w:top w:val="nil"/>
              <w:left w:val="nil"/>
              <w:bottom w:val="nil"/>
              <w:right w:val="nil"/>
            </w:tcBorders>
            <w:vAlign w:val="center"/>
          </w:tcPr>
          <w:p w14:paraId="071F60A2"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Congo</w:t>
            </w:r>
          </w:p>
        </w:tc>
        <w:tc>
          <w:tcPr>
            <w:tcW w:w="2281" w:type="dxa"/>
            <w:tcBorders>
              <w:top w:val="nil"/>
              <w:left w:val="nil"/>
              <w:bottom w:val="nil"/>
              <w:right w:val="nil"/>
            </w:tcBorders>
            <w:shd w:val="clear" w:color="auto" w:fill="auto"/>
            <w:vAlign w:val="bottom"/>
          </w:tcPr>
          <w:p w14:paraId="59CAD335" w14:textId="77777777" w:rsidR="008B2C48" w:rsidRPr="00A61D53" w:rsidRDefault="008B2C48">
            <w:pPr>
              <w:suppressAutoHyphens w:val="0"/>
              <w:spacing w:before="40" w:after="40" w:line="200" w:lineRule="exact"/>
              <w:jc w:val="right"/>
              <w:rPr>
                <w:rFonts w:eastAsia="MS Mincho"/>
                <w:color w:val="000000"/>
                <w:sz w:val="18"/>
                <w:szCs w:val="18"/>
                <w:lang w:eastAsia="de-DE"/>
              </w:rPr>
            </w:pPr>
            <w:r w:rsidRPr="00A61D53">
              <w:rPr>
                <w:color w:val="000000"/>
                <w:sz w:val="18"/>
                <w:szCs w:val="18"/>
              </w:rPr>
              <w:t>0.005</w:t>
            </w:r>
          </w:p>
        </w:tc>
        <w:tc>
          <w:tcPr>
            <w:tcW w:w="2410" w:type="dxa"/>
            <w:tcBorders>
              <w:top w:val="nil"/>
              <w:left w:val="nil"/>
              <w:bottom w:val="nil"/>
              <w:right w:val="nil"/>
            </w:tcBorders>
            <w:shd w:val="clear" w:color="auto" w:fill="auto"/>
            <w:vAlign w:val="bottom"/>
          </w:tcPr>
          <w:p w14:paraId="55158679"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0.005</w:t>
            </w:r>
          </w:p>
        </w:tc>
      </w:tr>
      <w:tr w:rsidR="008B2C48" w:rsidRPr="00A61D53" w14:paraId="72F74BD9" w14:textId="77777777">
        <w:tc>
          <w:tcPr>
            <w:tcW w:w="3828" w:type="dxa"/>
            <w:tcBorders>
              <w:top w:val="nil"/>
              <w:left w:val="nil"/>
              <w:bottom w:val="nil"/>
              <w:right w:val="nil"/>
            </w:tcBorders>
            <w:vAlign w:val="center"/>
          </w:tcPr>
          <w:p w14:paraId="3B9F5BFB"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Cook Islands</w:t>
            </w:r>
          </w:p>
        </w:tc>
        <w:tc>
          <w:tcPr>
            <w:tcW w:w="2281" w:type="dxa"/>
            <w:tcBorders>
              <w:top w:val="nil"/>
              <w:left w:val="nil"/>
              <w:bottom w:val="nil"/>
              <w:right w:val="nil"/>
            </w:tcBorders>
            <w:shd w:val="clear" w:color="auto" w:fill="auto"/>
            <w:vAlign w:val="bottom"/>
          </w:tcPr>
          <w:p w14:paraId="6B986D38"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0.000</w:t>
            </w:r>
          </w:p>
        </w:tc>
        <w:tc>
          <w:tcPr>
            <w:tcW w:w="2410" w:type="dxa"/>
            <w:tcBorders>
              <w:top w:val="nil"/>
              <w:left w:val="nil"/>
              <w:bottom w:val="nil"/>
              <w:right w:val="nil"/>
            </w:tcBorders>
            <w:shd w:val="clear" w:color="auto" w:fill="auto"/>
            <w:vAlign w:val="bottom"/>
          </w:tcPr>
          <w:p w14:paraId="51A2F0A8"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431436DB" w14:textId="77777777">
        <w:tc>
          <w:tcPr>
            <w:tcW w:w="3828" w:type="dxa"/>
            <w:tcBorders>
              <w:top w:val="nil"/>
              <w:left w:val="nil"/>
              <w:bottom w:val="nil"/>
              <w:right w:val="nil"/>
            </w:tcBorders>
            <w:vAlign w:val="center"/>
          </w:tcPr>
          <w:p w14:paraId="1425B67A"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Costa Rica</w:t>
            </w:r>
          </w:p>
        </w:tc>
        <w:tc>
          <w:tcPr>
            <w:tcW w:w="2281" w:type="dxa"/>
            <w:tcBorders>
              <w:top w:val="nil"/>
              <w:left w:val="nil"/>
              <w:bottom w:val="nil"/>
              <w:right w:val="nil"/>
            </w:tcBorders>
            <w:shd w:val="clear" w:color="auto" w:fill="auto"/>
            <w:vAlign w:val="bottom"/>
          </w:tcPr>
          <w:p w14:paraId="05D6168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0.069</w:t>
            </w:r>
          </w:p>
        </w:tc>
        <w:tc>
          <w:tcPr>
            <w:tcW w:w="2410" w:type="dxa"/>
            <w:tcBorders>
              <w:top w:val="nil"/>
              <w:left w:val="nil"/>
              <w:bottom w:val="nil"/>
              <w:right w:val="nil"/>
            </w:tcBorders>
            <w:shd w:val="clear" w:color="auto" w:fill="auto"/>
            <w:vAlign w:val="bottom"/>
          </w:tcPr>
          <w:p w14:paraId="0129FE7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0.067</w:t>
            </w:r>
          </w:p>
        </w:tc>
      </w:tr>
      <w:tr w:rsidR="008B2C48" w:rsidRPr="00A61D53" w14:paraId="6A318FA4" w14:textId="77777777">
        <w:tc>
          <w:tcPr>
            <w:tcW w:w="3828" w:type="dxa"/>
            <w:tcBorders>
              <w:top w:val="nil"/>
              <w:left w:val="nil"/>
              <w:bottom w:val="nil"/>
              <w:right w:val="nil"/>
            </w:tcBorders>
            <w:vAlign w:val="center"/>
          </w:tcPr>
          <w:p w14:paraId="798953A9"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Côte d’Ivoire</w:t>
            </w:r>
          </w:p>
        </w:tc>
        <w:tc>
          <w:tcPr>
            <w:tcW w:w="2281" w:type="dxa"/>
            <w:tcBorders>
              <w:top w:val="nil"/>
              <w:left w:val="nil"/>
              <w:bottom w:val="nil"/>
              <w:right w:val="nil"/>
            </w:tcBorders>
            <w:shd w:val="clear" w:color="auto" w:fill="auto"/>
            <w:vAlign w:val="bottom"/>
          </w:tcPr>
          <w:p w14:paraId="245B797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0.022</w:t>
            </w:r>
          </w:p>
        </w:tc>
        <w:tc>
          <w:tcPr>
            <w:tcW w:w="2410" w:type="dxa"/>
            <w:tcBorders>
              <w:top w:val="nil"/>
              <w:left w:val="nil"/>
              <w:bottom w:val="nil"/>
              <w:right w:val="nil"/>
            </w:tcBorders>
            <w:shd w:val="clear" w:color="auto" w:fill="auto"/>
            <w:vAlign w:val="bottom"/>
          </w:tcPr>
          <w:p w14:paraId="644FF33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0.021</w:t>
            </w:r>
          </w:p>
        </w:tc>
      </w:tr>
      <w:tr w:rsidR="008B2C48" w:rsidRPr="00A61D53" w14:paraId="73A40EDE" w14:textId="77777777">
        <w:tc>
          <w:tcPr>
            <w:tcW w:w="3828" w:type="dxa"/>
            <w:tcBorders>
              <w:top w:val="nil"/>
              <w:left w:val="nil"/>
              <w:bottom w:val="nil"/>
              <w:right w:val="nil"/>
            </w:tcBorders>
            <w:vAlign w:val="center"/>
          </w:tcPr>
          <w:p w14:paraId="0A60758D"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Croatia</w:t>
            </w:r>
          </w:p>
        </w:tc>
        <w:tc>
          <w:tcPr>
            <w:tcW w:w="2281" w:type="dxa"/>
            <w:tcBorders>
              <w:top w:val="nil"/>
              <w:left w:val="nil"/>
              <w:bottom w:val="nil"/>
              <w:right w:val="nil"/>
            </w:tcBorders>
            <w:shd w:val="clear" w:color="auto" w:fill="auto"/>
            <w:vAlign w:val="bottom"/>
          </w:tcPr>
          <w:p w14:paraId="318A5613"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0.091</w:t>
            </w:r>
          </w:p>
        </w:tc>
        <w:tc>
          <w:tcPr>
            <w:tcW w:w="2410" w:type="dxa"/>
            <w:tcBorders>
              <w:top w:val="nil"/>
              <w:left w:val="nil"/>
              <w:bottom w:val="nil"/>
              <w:right w:val="nil"/>
            </w:tcBorders>
            <w:shd w:val="clear" w:color="auto" w:fill="auto"/>
            <w:vAlign w:val="bottom"/>
          </w:tcPr>
          <w:p w14:paraId="2314E50E"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0.089</w:t>
            </w:r>
          </w:p>
        </w:tc>
      </w:tr>
      <w:tr w:rsidR="008B2C48" w:rsidRPr="00A61D53" w14:paraId="67A6E142" w14:textId="77777777">
        <w:tc>
          <w:tcPr>
            <w:tcW w:w="3828" w:type="dxa"/>
            <w:tcBorders>
              <w:top w:val="nil"/>
              <w:left w:val="nil"/>
              <w:bottom w:val="nil"/>
              <w:right w:val="nil"/>
            </w:tcBorders>
            <w:vAlign w:val="center"/>
          </w:tcPr>
          <w:p w14:paraId="77DB511B"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Cuba</w:t>
            </w:r>
          </w:p>
        </w:tc>
        <w:tc>
          <w:tcPr>
            <w:tcW w:w="2281" w:type="dxa"/>
            <w:tcBorders>
              <w:top w:val="nil"/>
              <w:left w:val="nil"/>
              <w:bottom w:val="nil"/>
              <w:right w:val="nil"/>
            </w:tcBorders>
            <w:shd w:val="clear" w:color="auto" w:fill="auto"/>
            <w:vAlign w:val="bottom"/>
          </w:tcPr>
          <w:p w14:paraId="33C37FC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0.095</w:t>
            </w:r>
          </w:p>
        </w:tc>
        <w:tc>
          <w:tcPr>
            <w:tcW w:w="2410" w:type="dxa"/>
            <w:tcBorders>
              <w:top w:val="nil"/>
              <w:left w:val="nil"/>
              <w:bottom w:val="nil"/>
              <w:right w:val="nil"/>
            </w:tcBorders>
            <w:shd w:val="clear" w:color="auto" w:fill="auto"/>
            <w:vAlign w:val="bottom"/>
          </w:tcPr>
          <w:p w14:paraId="6E08EE32"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0.093</w:t>
            </w:r>
          </w:p>
        </w:tc>
      </w:tr>
      <w:tr w:rsidR="008B2C48" w:rsidRPr="00A61D53" w14:paraId="5C7D1A58" w14:textId="77777777">
        <w:tc>
          <w:tcPr>
            <w:tcW w:w="3828" w:type="dxa"/>
            <w:tcBorders>
              <w:top w:val="nil"/>
              <w:left w:val="nil"/>
              <w:bottom w:val="nil"/>
              <w:right w:val="nil"/>
            </w:tcBorders>
            <w:vAlign w:val="center"/>
          </w:tcPr>
          <w:p w14:paraId="081C8CCD"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Cyprus</w:t>
            </w:r>
          </w:p>
        </w:tc>
        <w:tc>
          <w:tcPr>
            <w:tcW w:w="2281" w:type="dxa"/>
            <w:tcBorders>
              <w:top w:val="nil"/>
              <w:left w:val="nil"/>
              <w:bottom w:val="nil"/>
              <w:right w:val="nil"/>
            </w:tcBorders>
            <w:shd w:val="clear" w:color="auto" w:fill="auto"/>
            <w:vAlign w:val="bottom"/>
          </w:tcPr>
          <w:p w14:paraId="4A52568F"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0.036</w:t>
            </w:r>
          </w:p>
        </w:tc>
        <w:tc>
          <w:tcPr>
            <w:tcW w:w="2410" w:type="dxa"/>
            <w:tcBorders>
              <w:top w:val="nil"/>
              <w:left w:val="nil"/>
              <w:bottom w:val="nil"/>
              <w:right w:val="nil"/>
            </w:tcBorders>
            <w:shd w:val="clear" w:color="auto" w:fill="auto"/>
            <w:vAlign w:val="bottom"/>
          </w:tcPr>
          <w:p w14:paraId="53CF8DB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0.035</w:t>
            </w:r>
          </w:p>
        </w:tc>
      </w:tr>
      <w:tr w:rsidR="008B2C48" w:rsidRPr="00A61D53" w14:paraId="0E5EDD19" w14:textId="77777777">
        <w:tc>
          <w:tcPr>
            <w:tcW w:w="3828" w:type="dxa"/>
            <w:tcBorders>
              <w:top w:val="nil"/>
              <w:left w:val="nil"/>
              <w:bottom w:val="nil"/>
              <w:right w:val="nil"/>
            </w:tcBorders>
            <w:vAlign w:val="center"/>
          </w:tcPr>
          <w:p w14:paraId="466892E3" w14:textId="77777777" w:rsidR="008B2C48" w:rsidRPr="00A61D53" w:rsidRDefault="008B2C48">
            <w:pPr>
              <w:suppressAutoHyphens w:val="0"/>
              <w:spacing w:before="40" w:after="40" w:line="200" w:lineRule="exact"/>
              <w:ind w:left="254" w:hanging="254"/>
              <w:rPr>
                <w:rFonts w:eastAsia="Arial Unicode MS"/>
                <w:color w:val="000000"/>
                <w:sz w:val="18"/>
                <w:szCs w:val="18"/>
                <w:lang w:eastAsia="de-DE"/>
              </w:rPr>
            </w:pPr>
            <w:r w:rsidRPr="00A61D53">
              <w:rPr>
                <w:color w:val="000000"/>
                <w:sz w:val="18"/>
                <w:szCs w:val="18"/>
              </w:rPr>
              <w:t>Czechia</w:t>
            </w:r>
          </w:p>
        </w:tc>
        <w:tc>
          <w:tcPr>
            <w:tcW w:w="2281" w:type="dxa"/>
            <w:tcBorders>
              <w:top w:val="nil"/>
              <w:left w:val="nil"/>
              <w:bottom w:val="nil"/>
              <w:right w:val="nil"/>
            </w:tcBorders>
            <w:shd w:val="clear" w:color="auto" w:fill="auto"/>
            <w:vAlign w:val="bottom"/>
          </w:tcPr>
          <w:p w14:paraId="34D7DE0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0.340</w:t>
            </w:r>
          </w:p>
        </w:tc>
        <w:tc>
          <w:tcPr>
            <w:tcW w:w="2410" w:type="dxa"/>
            <w:tcBorders>
              <w:top w:val="nil"/>
              <w:left w:val="nil"/>
              <w:bottom w:val="nil"/>
              <w:right w:val="nil"/>
            </w:tcBorders>
            <w:shd w:val="clear" w:color="auto" w:fill="auto"/>
            <w:vAlign w:val="bottom"/>
          </w:tcPr>
          <w:p w14:paraId="586DFBB9"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0.331</w:t>
            </w:r>
          </w:p>
        </w:tc>
      </w:tr>
      <w:tr w:rsidR="008B2C48" w:rsidRPr="00A61D53" w14:paraId="3C1342B4" w14:textId="77777777">
        <w:tc>
          <w:tcPr>
            <w:tcW w:w="3828" w:type="dxa"/>
            <w:tcBorders>
              <w:top w:val="nil"/>
              <w:left w:val="nil"/>
              <w:bottom w:val="nil"/>
              <w:right w:val="nil"/>
            </w:tcBorders>
            <w:vAlign w:val="center"/>
          </w:tcPr>
          <w:p w14:paraId="6854C958"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Democratic People’s Republic of Korea</w:t>
            </w:r>
          </w:p>
        </w:tc>
        <w:tc>
          <w:tcPr>
            <w:tcW w:w="2281" w:type="dxa"/>
            <w:tcBorders>
              <w:top w:val="nil"/>
              <w:left w:val="nil"/>
              <w:bottom w:val="nil"/>
              <w:right w:val="nil"/>
            </w:tcBorders>
            <w:shd w:val="clear" w:color="auto" w:fill="auto"/>
            <w:vAlign w:val="bottom"/>
          </w:tcPr>
          <w:p w14:paraId="17BD16D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0.005</w:t>
            </w:r>
          </w:p>
        </w:tc>
        <w:tc>
          <w:tcPr>
            <w:tcW w:w="2410" w:type="dxa"/>
            <w:tcBorders>
              <w:top w:val="nil"/>
              <w:left w:val="nil"/>
              <w:bottom w:val="nil"/>
              <w:right w:val="nil"/>
            </w:tcBorders>
            <w:shd w:val="clear" w:color="auto" w:fill="auto"/>
            <w:vAlign w:val="bottom"/>
          </w:tcPr>
          <w:p w14:paraId="4C217F08"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0.005</w:t>
            </w:r>
          </w:p>
        </w:tc>
      </w:tr>
      <w:tr w:rsidR="008B2C48" w:rsidRPr="00A61D53" w14:paraId="3088FAFD" w14:textId="77777777">
        <w:tc>
          <w:tcPr>
            <w:tcW w:w="3828" w:type="dxa"/>
            <w:tcBorders>
              <w:top w:val="nil"/>
              <w:left w:val="nil"/>
              <w:bottom w:val="nil"/>
              <w:right w:val="nil"/>
            </w:tcBorders>
            <w:vAlign w:val="center"/>
          </w:tcPr>
          <w:p w14:paraId="49F2C357"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Democratic Republic of the Congo</w:t>
            </w:r>
          </w:p>
        </w:tc>
        <w:tc>
          <w:tcPr>
            <w:tcW w:w="2281" w:type="dxa"/>
            <w:tcBorders>
              <w:top w:val="nil"/>
              <w:left w:val="nil"/>
              <w:bottom w:val="nil"/>
              <w:right w:val="nil"/>
            </w:tcBorders>
            <w:shd w:val="clear" w:color="auto" w:fill="auto"/>
            <w:vAlign w:val="bottom"/>
          </w:tcPr>
          <w:p w14:paraId="013CB32E"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0.010</w:t>
            </w:r>
          </w:p>
        </w:tc>
        <w:tc>
          <w:tcPr>
            <w:tcW w:w="2410" w:type="dxa"/>
            <w:tcBorders>
              <w:top w:val="nil"/>
              <w:left w:val="nil"/>
              <w:bottom w:val="nil"/>
              <w:right w:val="nil"/>
            </w:tcBorders>
            <w:shd w:val="clear" w:color="auto" w:fill="auto"/>
            <w:vAlign w:val="bottom"/>
          </w:tcPr>
          <w:p w14:paraId="10B2A5A2"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0.010</w:t>
            </w:r>
          </w:p>
        </w:tc>
      </w:tr>
      <w:tr w:rsidR="008B2C48" w:rsidRPr="00A61D53" w14:paraId="6EDD258E" w14:textId="77777777">
        <w:tc>
          <w:tcPr>
            <w:tcW w:w="3828" w:type="dxa"/>
            <w:tcBorders>
              <w:top w:val="nil"/>
              <w:left w:val="nil"/>
              <w:bottom w:val="nil"/>
              <w:right w:val="nil"/>
            </w:tcBorders>
            <w:vAlign w:val="center"/>
          </w:tcPr>
          <w:p w14:paraId="121197AA"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Denmark</w:t>
            </w:r>
          </w:p>
        </w:tc>
        <w:tc>
          <w:tcPr>
            <w:tcW w:w="2281" w:type="dxa"/>
            <w:tcBorders>
              <w:top w:val="nil"/>
              <w:left w:val="nil"/>
              <w:bottom w:val="nil"/>
              <w:right w:val="nil"/>
            </w:tcBorders>
            <w:shd w:val="clear" w:color="auto" w:fill="auto"/>
            <w:vAlign w:val="bottom"/>
          </w:tcPr>
          <w:p w14:paraId="47F40520"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0.553</w:t>
            </w:r>
          </w:p>
        </w:tc>
        <w:tc>
          <w:tcPr>
            <w:tcW w:w="2410" w:type="dxa"/>
            <w:tcBorders>
              <w:top w:val="nil"/>
              <w:left w:val="nil"/>
              <w:bottom w:val="nil"/>
              <w:right w:val="nil"/>
            </w:tcBorders>
            <w:shd w:val="clear" w:color="auto" w:fill="auto"/>
            <w:vAlign w:val="bottom"/>
          </w:tcPr>
          <w:p w14:paraId="77756CD5"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0.539</w:t>
            </w:r>
          </w:p>
        </w:tc>
      </w:tr>
      <w:tr w:rsidR="008B2C48" w:rsidRPr="00A61D53" w14:paraId="0E3E456C" w14:textId="77777777">
        <w:tc>
          <w:tcPr>
            <w:tcW w:w="3828" w:type="dxa"/>
            <w:tcBorders>
              <w:top w:val="nil"/>
              <w:left w:val="nil"/>
              <w:bottom w:val="nil"/>
              <w:right w:val="nil"/>
            </w:tcBorders>
            <w:vAlign w:val="center"/>
          </w:tcPr>
          <w:p w14:paraId="34F6B44B"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Djibouti</w:t>
            </w:r>
          </w:p>
        </w:tc>
        <w:tc>
          <w:tcPr>
            <w:tcW w:w="2281" w:type="dxa"/>
            <w:tcBorders>
              <w:top w:val="nil"/>
              <w:left w:val="nil"/>
              <w:bottom w:val="nil"/>
              <w:right w:val="nil"/>
            </w:tcBorders>
            <w:shd w:val="clear" w:color="auto" w:fill="auto"/>
            <w:vAlign w:val="bottom"/>
          </w:tcPr>
          <w:p w14:paraId="776F76E3"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0A30D3E9"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04DD937D" w14:textId="77777777">
        <w:tc>
          <w:tcPr>
            <w:tcW w:w="3828" w:type="dxa"/>
            <w:tcBorders>
              <w:top w:val="nil"/>
              <w:left w:val="nil"/>
              <w:bottom w:val="nil"/>
              <w:right w:val="nil"/>
            </w:tcBorders>
            <w:vAlign w:val="center"/>
          </w:tcPr>
          <w:p w14:paraId="05FA076C"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Dominica</w:t>
            </w:r>
          </w:p>
        </w:tc>
        <w:tc>
          <w:tcPr>
            <w:tcW w:w="2281" w:type="dxa"/>
            <w:tcBorders>
              <w:top w:val="nil"/>
              <w:left w:val="nil"/>
              <w:bottom w:val="nil"/>
              <w:right w:val="nil"/>
            </w:tcBorders>
            <w:shd w:val="clear" w:color="auto" w:fill="auto"/>
            <w:vAlign w:val="bottom"/>
          </w:tcPr>
          <w:p w14:paraId="63FB5CC6"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3D230E0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17C0FC1D" w14:textId="77777777">
        <w:tc>
          <w:tcPr>
            <w:tcW w:w="3828" w:type="dxa"/>
            <w:tcBorders>
              <w:top w:val="nil"/>
              <w:left w:val="nil"/>
              <w:bottom w:val="nil"/>
              <w:right w:val="nil"/>
            </w:tcBorders>
            <w:vAlign w:val="center"/>
          </w:tcPr>
          <w:p w14:paraId="436FC254"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Dominican Republic</w:t>
            </w:r>
          </w:p>
        </w:tc>
        <w:tc>
          <w:tcPr>
            <w:tcW w:w="2281" w:type="dxa"/>
            <w:tcBorders>
              <w:top w:val="nil"/>
              <w:left w:val="nil"/>
              <w:bottom w:val="nil"/>
              <w:right w:val="nil"/>
            </w:tcBorders>
            <w:shd w:val="clear" w:color="auto" w:fill="auto"/>
            <w:vAlign w:val="bottom"/>
          </w:tcPr>
          <w:p w14:paraId="317EF8E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0.067</w:t>
            </w:r>
          </w:p>
        </w:tc>
        <w:tc>
          <w:tcPr>
            <w:tcW w:w="2410" w:type="dxa"/>
            <w:tcBorders>
              <w:top w:val="nil"/>
              <w:left w:val="nil"/>
              <w:bottom w:val="nil"/>
              <w:right w:val="nil"/>
            </w:tcBorders>
            <w:shd w:val="clear" w:color="auto" w:fill="auto"/>
            <w:vAlign w:val="bottom"/>
          </w:tcPr>
          <w:p w14:paraId="6F1F1DA3"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0.065</w:t>
            </w:r>
          </w:p>
        </w:tc>
      </w:tr>
      <w:tr w:rsidR="008B2C48" w:rsidRPr="00A61D53" w14:paraId="2DEEC94D" w14:textId="77777777">
        <w:tc>
          <w:tcPr>
            <w:tcW w:w="3828" w:type="dxa"/>
            <w:tcBorders>
              <w:top w:val="nil"/>
              <w:left w:val="nil"/>
              <w:bottom w:val="nil"/>
              <w:right w:val="nil"/>
            </w:tcBorders>
            <w:vAlign w:val="center"/>
          </w:tcPr>
          <w:p w14:paraId="6194AECA"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Ecuador</w:t>
            </w:r>
          </w:p>
        </w:tc>
        <w:tc>
          <w:tcPr>
            <w:tcW w:w="2281" w:type="dxa"/>
            <w:tcBorders>
              <w:top w:val="nil"/>
              <w:left w:val="nil"/>
              <w:bottom w:val="nil"/>
              <w:right w:val="nil"/>
            </w:tcBorders>
            <w:shd w:val="clear" w:color="auto" w:fill="auto"/>
            <w:vAlign w:val="bottom"/>
          </w:tcPr>
          <w:p w14:paraId="20025573"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0.077</w:t>
            </w:r>
          </w:p>
        </w:tc>
        <w:tc>
          <w:tcPr>
            <w:tcW w:w="2410" w:type="dxa"/>
            <w:tcBorders>
              <w:top w:val="nil"/>
              <w:left w:val="nil"/>
              <w:bottom w:val="nil"/>
              <w:right w:val="nil"/>
            </w:tcBorders>
            <w:shd w:val="clear" w:color="auto" w:fill="auto"/>
            <w:vAlign w:val="bottom"/>
          </w:tcPr>
          <w:p w14:paraId="1494DCFE"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0.075</w:t>
            </w:r>
          </w:p>
        </w:tc>
      </w:tr>
      <w:tr w:rsidR="008B2C48" w:rsidRPr="00A61D53" w14:paraId="5526EB46" w14:textId="77777777">
        <w:tc>
          <w:tcPr>
            <w:tcW w:w="3828" w:type="dxa"/>
            <w:tcBorders>
              <w:top w:val="nil"/>
              <w:left w:val="nil"/>
              <w:bottom w:val="nil"/>
              <w:right w:val="nil"/>
            </w:tcBorders>
            <w:vAlign w:val="center"/>
          </w:tcPr>
          <w:p w14:paraId="3CAD5E52"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Egypt</w:t>
            </w:r>
          </w:p>
        </w:tc>
        <w:tc>
          <w:tcPr>
            <w:tcW w:w="2281" w:type="dxa"/>
            <w:tcBorders>
              <w:top w:val="nil"/>
              <w:left w:val="nil"/>
              <w:bottom w:val="nil"/>
              <w:right w:val="nil"/>
            </w:tcBorders>
            <w:shd w:val="clear" w:color="auto" w:fill="auto"/>
            <w:vAlign w:val="bottom"/>
          </w:tcPr>
          <w:p w14:paraId="62085757"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0.139</w:t>
            </w:r>
          </w:p>
        </w:tc>
        <w:tc>
          <w:tcPr>
            <w:tcW w:w="2410" w:type="dxa"/>
            <w:tcBorders>
              <w:top w:val="nil"/>
              <w:left w:val="nil"/>
              <w:bottom w:val="nil"/>
              <w:right w:val="nil"/>
            </w:tcBorders>
            <w:shd w:val="clear" w:color="auto" w:fill="auto"/>
            <w:vAlign w:val="bottom"/>
          </w:tcPr>
          <w:p w14:paraId="750B7F7E"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0.136</w:t>
            </w:r>
          </w:p>
        </w:tc>
      </w:tr>
      <w:tr w:rsidR="008B2C48" w:rsidRPr="00A61D53" w14:paraId="02EF653D" w14:textId="77777777">
        <w:tc>
          <w:tcPr>
            <w:tcW w:w="3828" w:type="dxa"/>
            <w:tcBorders>
              <w:top w:val="nil"/>
              <w:left w:val="nil"/>
              <w:bottom w:val="nil"/>
              <w:right w:val="nil"/>
            </w:tcBorders>
            <w:vAlign w:val="center"/>
          </w:tcPr>
          <w:p w14:paraId="511CC8DA"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El Salvador</w:t>
            </w:r>
          </w:p>
        </w:tc>
        <w:tc>
          <w:tcPr>
            <w:tcW w:w="2281" w:type="dxa"/>
            <w:tcBorders>
              <w:top w:val="nil"/>
              <w:left w:val="nil"/>
              <w:bottom w:val="nil"/>
              <w:right w:val="nil"/>
            </w:tcBorders>
            <w:shd w:val="clear" w:color="auto" w:fill="auto"/>
            <w:vAlign w:val="bottom"/>
          </w:tcPr>
          <w:p w14:paraId="585226A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0.013</w:t>
            </w:r>
          </w:p>
        </w:tc>
        <w:tc>
          <w:tcPr>
            <w:tcW w:w="2410" w:type="dxa"/>
            <w:tcBorders>
              <w:top w:val="nil"/>
              <w:left w:val="nil"/>
              <w:bottom w:val="nil"/>
              <w:right w:val="nil"/>
            </w:tcBorders>
            <w:shd w:val="clear" w:color="auto" w:fill="auto"/>
            <w:vAlign w:val="bottom"/>
          </w:tcPr>
          <w:p w14:paraId="62A22EEF"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0.013</w:t>
            </w:r>
          </w:p>
        </w:tc>
      </w:tr>
      <w:tr w:rsidR="008B2C48" w:rsidRPr="00A61D53" w14:paraId="47AC694B" w14:textId="77777777">
        <w:tc>
          <w:tcPr>
            <w:tcW w:w="3828" w:type="dxa"/>
            <w:tcBorders>
              <w:top w:val="nil"/>
              <w:left w:val="nil"/>
              <w:bottom w:val="nil"/>
              <w:right w:val="nil"/>
            </w:tcBorders>
            <w:vAlign w:val="center"/>
          </w:tcPr>
          <w:p w14:paraId="350B838B"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Equatorial Guinea</w:t>
            </w:r>
          </w:p>
        </w:tc>
        <w:tc>
          <w:tcPr>
            <w:tcW w:w="2281" w:type="dxa"/>
            <w:tcBorders>
              <w:top w:val="nil"/>
              <w:left w:val="nil"/>
              <w:bottom w:val="nil"/>
              <w:right w:val="nil"/>
            </w:tcBorders>
            <w:shd w:val="clear" w:color="auto" w:fill="auto"/>
            <w:vAlign w:val="bottom"/>
          </w:tcPr>
          <w:p w14:paraId="15C22FB0"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0.012</w:t>
            </w:r>
          </w:p>
        </w:tc>
        <w:tc>
          <w:tcPr>
            <w:tcW w:w="2410" w:type="dxa"/>
            <w:tcBorders>
              <w:top w:val="nil"/>
              <w:left w:val="nil"/>
              <w:bottom w:val="nil"/>
              <w:right w:val="nil"/>
            </w:tcBorders>
            <w:shd w:val="clear" w:color="auto" w:fill="auto"/>
            <w:vAlign w:val="bottom"/>
          </w:tcPr>
          <w:p w14:paraId="55AC224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0.012</w:t>
            </w:r>
          </w:p>
        </w:tc>
      </w:tr>
      <w:tr w:rsidR="008B2C48" w:rsidRPr="00A61D53" w14:paraId="1204FD49" w14:textId="77777777">
        <w:tc>
          <w:tcPr>
            <w:tcW w:w="3828" w:type="dxa"/>
            <w:tcBorders>
              <w:top w:val="nil"/>
              <w:left w:val="nil"/>
              <w:bottom w:val="nil"/>
              <w:right w:val="nil"/>
            </w:tcBorders>
            <w:vAlign w:val="center"/>
          </w:tcPr>
          <w:p w14:paraId="3C50381D"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Eritrea</w:t>
            </w:r>
          </w:p>
        </w:tc>
        <w:tc>
          <w:tcPr>
            <w:tcW w:w="2281" w:type="dxa"/>
            <w:tcBorders>
              <w:top w:val="nil"/>
              <w:left w:val="nil"/>
              <w:bottom w:val="nil"/>
              <w:right w:val="nil"/>
            </w:tcBorders>
            <w:shd w:val="clear" w:color="auto" w:fill="auto"/>
            <w:vAlign w:val="bottom"/>
          </w:tcPr>
          <w:p w14:paraId="6C85908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5B060BF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15D1184A" w14:textId="77777777">
        <w:tc>
          <w:tcPr>
            <w:tcW w:w="3828" w:type="dxa"/>
            <w:tcBorders>
              <w:top w:val="nil"/>
              <w:left w:val="nil"/>
              <w:bottom w:val="nil"/>
              <w:right w:val="nil"/>
            </w:tcBorders>
            <w:vAlign w:val="center"/>
          </w:tcPr>
          <w:p w14:paraId="6475A01A" w14:textId="77777777" w:rsidR="008B2C48" w:rsidRPr="00A61D53" w:rsidRDefault="008B2C48">
            <w:pPr>
              <w:suppressAutoHyphens w:val="0"/>
              <w:spacing w:before="40" w:after="40" w:line="200" w:lineRule="exact"/>
              <w:ind w:left="360" w:hanging="360"/>
              <w:rPr>
                <w:rFonts w:eastAsia="MS Mincho"/>
                <w:color w:val="000000"/>
                <w:sz w:val="18"/>
                <w:szCs w:val="18"/>
                <w:lang w:eastAsia="de-DE"/>
              </w:rPr>
            </w:pPr>
            <w:r w:rsidRPr="00A61D53">
              <w:rPr>
                <w:color w:val="000000"/>
                <w:sz w:val="18"/>
                <w:szCs w:val="18"/>
              </w:rPr>
              <w:t>Estonia</w:t>
            </w:r>
          </w:p>
        </w:tc>
        <w:tc>
          <w:tcPr>
            <w:tcW w:w="2281" w:type="dxa"/>
            <w:tcBorders>
              <w:top w:val="nil"/>
              <w:left w:val="nil"/>
              <w:bottom w:val="nil"/>
              <w:right w:val="nil"/>
            </w:tcBorders>
            <w:shd w:val="clear" w:color="auto" w:fill="auto"/>
            <w:vAlign w:val="bottom"/>
          </w:tcPr>
          <w:p w14:paraId="0F8BE355" w14:textId="77777777" w:rsidR="008B2C48" w:rsidRPr="00A61D53" w:rsidRDefault="008B2C48">
            <w:pPr>
              <w:suppressAutoHyphens w:val="0"/>
              <w:spacing w:before="40" w:after="40" w:line="200" w:lineRule="exact"/>
              <w:jc w:val="right"/>
              <w:rPr>
                <w:sz w:val="18"/>
                <w:szCs w:val="18"/>
              </w:rPr>
            </w:pPr>
            <w:r w:rsidRPr="00A61D53">
              <w:rPr>
                <w:color w:val="000000"/>
                <w:sz w:val="18"/>
                <w:szCs w:val="18"/>
              </w:rPr>
              <w:t>0.044</w:t>
            </w:r>
          </w:p>
        </w:tc>
        <w:tc>
          <w:tcPr>
            <w:tcW w:w="2410" w:type="dxa"/>
            <w:tcBorders>
              <w:top w:val="nil"/>
              <w:left w:val="nil"/>
              <w:bottom w:val="nil"/>
              <w:right w:val="nil"/>
            </w:tcBorders>
            <w:shd w:val="clear" w:color="auto" w:fill="auto"/>
            <w:vAlign w:val="bottom"/>
          </w:tcPr>
          <w:p w14:paraId="049CFE36" w14:textId="77777777" w:rsidR="008B2C48" w:rsidRPr="00A61D53" w:rsidRDefault="008B2C48">
            <w:pPr>
              <w:suppressAutoHyphens w:val="0"/>
              <w:spacing w:before="40" w:after="40" w:line="200" w:lineRule="exact"/>
              <w:jc w:val="right"/>
              <w:rPr>
                <w:sz w:val="18"/>
                <w:szCs w:val="18"/>
              </w:rPr>
            </w:pPr>
            <w:r w:rsidRPr="00A61D53">
              <w:rPr>
                <w:color w:val="000000"/>
                <w:sz w:val="18"/>
                <w:szCs w:val="18"/>
              </w:rPr>
              <w:t>0.043</w:t>
            </w:r>
          </w:p>
        </w:tc>
      </w:tr>
      <w:tr w:rsidR="008B2C48" w:rsidRPr="00A61D53" w14:paraId="7934AEB6" w14:textId="77777777">
        <w:tc>
          <w:tcPr>
            <w:tcW w:w="3828" w:type="dxa"/>
            <w:tcBorders>
              <w:top w:val="nil"/>
              <w:left w:val="nil"/>
              <w:bottom w:val="nil"/>
              <w:right w:val="nil"/>
            </w:tcBorders>
            <w:vAlign w:val="center"/>
          </w:tcPr>
          <w:p w14:paraId="119D8AFA"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Eswatini</w:t>
            </w:r>
          </w:p>
        </w:tc>
        <w:tc>
          <w:tcPr>
            <w:tcW w:w="2281" w:type="dxa"/>
            <w:tcBorders>
              <w:top w:val="nil"/>
              <w:left w:val="nil"/>
              <w:bottom w:val="nil"/>
              <w:right w:val="nil"/>
            </w:tcBorders>
            <w:shd w:val="clear" w:color="auto" w:fill="auto"/>
            <w:vAlign w:val="bottom"/>
          </w:tcPr>
          <w:p w14:paraId="63E96638"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0.002</w:t>
            </w:r>
          </w:p>
        </w:tc>
        <w:tc>
          <w:tcPr>
            <w:tcW w:w="2410" w:type="dxa"/>
            <w:tcBorders>
              <w:top w:val="nil"/>
              <w:left w:val="nil"/>
              <w:bottom w:val="nil"/>
              <w:right w:val="nil"/>
            </w:tcBorders>
            <w:shd w:val="clear" w:color="auto" w:fill="auto"/>
            <w:vAlign w:val="bottom"/>
          </w:tcPr>
          <w:p w14:paraId="0C03648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0.002</w:t>
            </w:r>
          </w:p>
        </w:tc>
      </w:tr>
      <w:tr w:rsidR="008B2C48" w:rsidRPr="00A61D53" w14:paraId="65B0A4C2" w14:textId="77777777">
        <w:tc>
          <w:tcPr>
            <w:tcW w:w="3828" w:type="dxa"/>
            <w:tcBorders>
              <w:top w:val="nil"/>
              <w:left w:val="nil"/>
              <w:bottom w:val="nil"/>
              <w:right w:val="nil"/>
            </w:tcBorders>
            <w:vAlign w:val="center"/>
          </w:tcPr>
          <w:p w14:paraId="751F7F3D"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Ethiopia</w:t>
            </w:r>
          </w:p>
        </w:tc>
        <w:tc>
          <w:tcPr>
            <w:tcW w:w="2281" w:type="dxa"/>
            <w:tcBorders>
              <w:top w:val="nil"/>
              <w:left w:val="nil"/>
              <w:bottom w:val="nil"/>
              <w:right w:val="nil"/>
            </w:tcBorders>
            <w:shd w:val="clear" w:color="auto" w:fill="auto"/>
            <w:vAlign w:val="bottom"/>
          </w:tcPr>
          <w:p w14:paraId="5461429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0.010</w:t>
            </w:r>
          </w:p>
        </w:tc>
        <w:tc>
          <w:tcPr>
            <w:tcW w:w="2410" w:type="dxa"/>
            <w:tcBorders>
              <w:top w:val="nil"/>
              <w:left w:val="nil"/>
              <w:bottom w:val="nil"/>
              <w:right w:val="nil"/>
            </w:tcBorders>
            <w:shd w:val="clear" w:color="auto" w:fill="auto"/>
            <w:vAlign w:val="bottom"/>
          </w:tcPr>
          <w:p w14:paraId="324394CF"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0.010</w:t>
            </w:r>
          </w:p>
        </w:tc>
      </w:tr>
      <w:tr w:rsidR="008B2C48" w:rsidRPr="00A61D53" w14:paraId="25D5C95A" w14:textId="77777777">
        <w:tc>
          <w:tcPr>
            <w:tcW w:w="3828" w:type="dxa"/>
            <w:tcBorders>
              <w:top w:val="nil"/>
              <w:left w:val="nil"/>
              <w:bottom w:val="nil"/>
              <w:right w:val="nil"/>
            </w:tcBorders>
            <w:vAlign w:val="center"/>
          </w:tcPr>
          <w:p w14:paraId="44ADA555"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European Union</w:t>
            </w:r>
          </w:p>
        </w:tc>
        <w:tc>
          <w:tcPr>
            <w:tcW w:w="2281" w:type="dxa"/>
            <w:tcBorders>
              <w:top w:val="nil"/>
              <w:left w:val="nil"/>
              <w:bottom w:val="nil"/>
              <w:right w:val="nil"/>
            </w:tcBorders>
            <w:shd w:val="clear" w:color="auto" w:fill="auto"/>
            <w:vAlign w:val="bottom"/>
          </w:tcPr>
          <w:p w14:paraId="54AC7536"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0.000</w:t>
            </w:r>
          </w:p>
        </w:tc>
        <w:tc>
          <w:tcPr>
            <w:tcW w:w="2410" w:type="dxa"/>
            <w:tcBorders>
              <w:top w:val="nil"/>
              <w:left w:val="nil"/>
              <w:bottom w:val="nil"/>
              <w:right w:val="nil"/>
            </w:tcBorders>
            <w:shd w:val="clear" w:color="auto" w:fill="auto"/>
            <w:vAlign w:val="bottom"/>
          </w:tcPr>
          <w:p w14:paraId="77196F75"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2.500</w:t>
            </w:r>
          </w:p>
        </w:tc>
      </w:tr>
      <w:tr w:rsidR="008B2C48" w:rsidRPr="00A61D53" w14:paraId="071D0379" w14:textId="77777777">
        <w:tc>
          <w:tcPr>
            <w:tcW w:w="3828" w:type="dxa"/>
            <w:tcBorders>
              <w:top w:val="nil"/>
              <w:left w:val="nil"/>
              <w:bottom w:val="nil"/>
              <w:right w:val="nil"/>
            </w:tcBorders>
            <w:vAlign w:val="center"/>
          </w:tcPr>
          <w:p w14:paraId="159A4043"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Fiji</w:t>
            </w:r>
          </w:p>
        </w:tc>
        <w:tc>
          <w:tcPr>
            <w:tcW w:w="2281" w:type="dxa"/>
            <w:tcBorders>
              <w:top w:val="nil"/>
              <w:left w:val="nil"/>
              <w:bottom w:val="nil"/>
              <w:right w:val="nil"/>
            </w:tcBorders>
            <w:shd w:val="clear" w:color="auto" w:fill="auto"/>
            <w:vAlign w:val="bottom"/>
          </w:tcPr>
          <w:p w14:paraId="59A0178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0.004</w:t>
            </w:r>
          </w:p>
        </w:tc>
        <w:tc>
          <w:tcPr>
            <w:tcW w:w="2410" w:type="dxa"/>
            <w:tcBorders>
              <w:top w:val="nil"/>
              <w:left w:val="nil"/>
              <w:bottom w:val="nil"/>
              <w:right w:val="nil"/>
            </w:tcBorders>
            <w:shd w:val="clear" w:color="auto" w:fill="auto"/>
            <w:vAlign w:val="bottom"/>
          </w:tcPr>
          <w:p w14:paraId="6DB3003D"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0.004</w:t>
            </w:r>
          </w:p>
        </w:tc>
      </w:tr>
      <w:tr w:rsidR="008B2C48" w:rsidRPr="00A61D53" w14:paraId="3D14D660" w14:textId="77777777">
        <w:tc>
          <w:tcPr>
            <w:tcW w:w="3828" w:type="dxa"/>
            <w:tcBorders>
              <w:top w:val="nil"/>
              <w:left w:val="nil"/>
              <w:bottom w:val="nil"/>
              <w:right w:val="nil"/>
            </w:tcBorders>
            <w:vAlign w:val="center"/>
          </w:tcPr>
          <w:p w14:paraId="7F1AEE3A"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Finland</w:t>
            </w:r>
          </w:p>
        </w:tc>
        <w:tc>
          <w:tcPr>
            <w:tcW w:w="2281" w:type="dxa"/>
            <w:tcBorders>
              <w:top w:val="nil"/>
              <w:left w:val="nil"/>
              <w:bottom w:val="nil"/>
              <w:right w:val="nil"/>
            </w:tcBorders>
            <w:shd w:val="clear" w:color="auto" w:fill="auto"/>
            <w:vAlign w:val="bottom"/>
          </w:tcPr>
          <w:p w14:paraId="47322CE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0.417</w:t>
            </w:r>
          </w:p>
        </w:tc>
        <w:tc>
          <w:tcPr>
            <w:tcW w:w="2410" w:type="dxa"/>
            <w:tcBorders>
              <w:top w:val="nil"/>
              <w:left w:val="nil"/>
              <w:bottom w:val="nil"/>
              <w:right w:val="nil"/>
            </w:tcBorders>
            <w:shd w:val="clear" w:color="auto" w:fill="auto"/>
            <w:vAlign w:val="bottom"/>
          </w:tcPr>
          <w:p w14:paraId="6AF1108D"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0.407</w:t>
            </w:r>
          </w:p>
        </w:tc>
      </w:tr>
      <w:tr w:rsidR="008B2C48" w:rsidRPr="00A61D53" w14:paraId="35792FE3" w14:textId="77777777">
        <w:tc>
          <w:tcPr>
            <w:tcW w:w="3828" w:type="dxa"/>
            <w:tcBorders>
              <w:top w:val="nil"/>
              <w:left w:val="nil"/>
              <w:bottom w:val="nil"/>
              <w:right w:val="nil"/>
            </w:tcBorders>
            <w:vAlign w:val="center"/>
          </w:tcPr>
          <w:p w14:paraId="6371031B"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France</w:t>
            </w:r>
          </w:p>
        </w:tc>
        <w:tc>
          <w:tcPr>
            <w:tcW w:w="2281" w:type="dxa"/>
            <w:tcBorders>
              <w:top w:val="nil"/>
              <w:left w:val="nil"/>
              <w:bottom w:val="nil"/>
              <w:right w:val="nil"/>
            </w:tcBorders>
            <w:shd w:val="clear" w:color="auto" w:fill="auto"/>
            <w:vAlign w:val="bottom"/>
          </w:tcPr>
          <w:p w14:paraId="019101A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4.318</w:t>
            </w:r>
          </w:p>
        </w:tc>
        <w:tc>
          <w:tcPr>
            <w:tcW w:w="2410" w:type="dxa"/>
            <w:tcBorders>
              <w:top w:val="nil"/>
              <w:left w:val="nil"/>
              <w:bottom w:val="nil"/>
              <w:right w:val="nil"/>
            </w:tcBorders>
            <w:shd w:val="clear" w:color="auto" w:fill="auto"/>
            <w:vAlign w:val="bottom"/>
          </w:tcPr>
          <w:p w14:paraId="32F9D550"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4.209</w:t>
            </w:r>
          </w:p>
        </w:tc>
      </w:tr>
      <w:tr w:rsidR="008B2C48" w:rsidRPr="00A61D53" w14:paraId="52542AF3" w14:textId="77777777">
        <w:tc>
          <w:tcPr>
            <w:tcW w:w="3828" w:type="dxa"/>
            <w:tcBorders>
              <w:top w:val="nil"/>
              <w:left w:val="nil"/>
              <w:bottom w:val="nil"/>
              <w:right w:val="nil"/>
            </w:tcBorders>
            <w:vAlign w:val="center"/>
          </w:tcPr>
          <w:p w14:paraId="052EE3EF"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Gabon</w:t>
            </w:r>
          </w:p>
        </w:tc>
        <w:tc>
          <w:tcPr>
            <w:tcW w:w="2281" w:type="dxa"/>
            <w:tcBorders>
              <w:top w:val="nil"/>
              <w:left w:val="nil"/>
              <w:bottom w:val="nil"/>
              <w:right w:val="nil"/>
            </w:tcBorders>
            <w:shd w:val="clear" w:color="auto" w:fill="auto"/>
            <w:vAlign w:val="bottom"/>
          </w:tcPr>
          <w:p w14:paraId="72EAF62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0.013</w:t>
            </w:r>
          </w:p>
        </w:tc>
        <w:tc>
          <w:tcPr>
            <w:tcW w:w="2410" w:type="dxa"/>
            <w:tcBorders>
              <w:top w:val="nil"/>
              <w:left w:val="nil"/>
              <w:bottom w:val="nil"/>
              <w:right w:val="nil"/>
            </w:tcBorders>
            <w:shd w:val="clear" w:color="auto" w:fill="auto"/>
            <w:vAlign w:val="bottom"/>
          </w:tcPr>
          <w:p w14:paraId="3AF13392"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0.013</w:t>
            </w:r>
          </w:p>
        </w:tc>
      </w:tr>
      <w:tr w:rsidR="008B2C48" w:rsidRPr="00A61D53" w14:paraId="15FE467C" w14:textId="77777777">
        <w:tc>
          <w:tcPr>
            <w:tcW w:w="3828" w:type="dxa"/>
            <w:tcBorders>
              <w:top w:val="nil"/>
              <w:left w:val="nil"/>
              <w:bottom w:val="nil"/>
              <w:right w:val="nil"/>
            </w:tcBorders>
            <w:vAlign w:val="center"/>
          </w:tcPr>
          <w:p w14:paraId="02008DFD"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Gambia</w:t>
            </w:r>
          </w:p>
        </w:tc>
        <w:tc>
          <w:tcPr>
            <w:tcW w:w="2281" w:type="dxa"/>
            <w:tcBorders>
              <w:top w:val="nil"/>
              <w:left w:val="nil"/>
              <w:bottom w:val="nil"/>
              <w:right w:val="nil"/>
            </w:tcBorders>
            <w:shd w:val="clear" w:color="auto" w:fill="auto"/>
            <w:vAlign w:val="bottom"/>
          </w:tcPr>
          <w:p w14:paraId="6A53D0FD"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2C856EF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46AEA313" w14:textId="77777777">
        <w:tc>
          <w:tcPr>
            <w:tcW w:w="3828" w:type="dxa"/>
            <w:tcBorders>
              <w:top w:val="nil"/>
              <w:left w:val="nil"/>
              <w:bottom w:val="nil"/>
              <w:right w:val="nil"/>
            </w:tcBorders>
            <w:vAlign w:val="center"/>
          </w:tcPr>
          <w:p w14:paraId="56E2AD3B"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Georgia</w:t>
            </w:r>
          </w:p>
        </w:tc>
        <w:tc>
          <w:tcPr>
            <w:tcW w:w="2281" w:type="dxa"/>
            <w:tcBorders>
              <w:top w:val="nil"/>
              <w:left w:val="nil"/>
              <w:bottom w:val="nil"/>
              <w:right w:val="nil"/>
            </w:tcBorders>
            <w:shd w:val="clear" w:color="auto" w:fill="auto"/>
            <w:vAlign w:val="bottom"/>
          </w:tcPr>
          <w:p w14:paraId="511C9463"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0.008</w:t>
            </w:r>
          </w:p>
        </w:tc>
        <w:tc>
          <w:tcPr>
            <w:tcW w:w="2410" w:type="dxa"/>
            <w:tcBorders>
              <w:top w:val="nil"/>
              <w:left w:val="nil"/>
              <w:bottom w:val="nil"/>
              <w:right w:val="nil"/>
            </w:tcBorders>
            <w:shd w:val="clear" w:color="auto" w:fill="auto"/>
            <w:vAlign w:val="bottom"/>
          </w:tcPr>
          <w:p w14:paraId="50757FA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0.008</w:t>
            </w:r>
          </w:p>
        </w:tc>
      </w:tr>
      <w:tr w:rsidR="008B2C48" w:rsidRPr="00A61D53" w14:paraId="4E44BDEF" w14:textId="77777777">
        <w:tc>
          <w:tcPr>
            <w:tcW w:w="3828" w:type="dxa"/>
            <w:tcBorders>
              <w:top w:val="nil"/>
              <w:left w:val="nil"/>
              <w:bottom w:val="nil"/>
              <w:right w:val="nil"/>
            </w:tcBorders>
            <w:vAlign w:val="center"/>
          </w:tcPr>
          <w:p w14:paraId="34B2EA58"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Germany</w:t>
            </w:r>
          </w:p>
        </w:tc>
        <w:tc>
          <w:tcPr>
            <w:tcW w:w="2281" w:type="dxa"/>
            <w:tcBorders>
              <w:top w:val="nil"/>
              <w:left w:val="nil"/>
              <w:bottom w:val="nil"/>
              <w:right w:val="nil"/>
            </w:tcBorders>
            <w:shd w:val="clear" w:color="auto" w:fill="auto"/>
            <w:vAlign w:val="bottom"/>
          </w:tcPr>
          <w:p w14:paraId="4ED4EEA9"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6.111</w:t>
            </w:r>
          </w:p>
        </w:tc>
        <w:tc>
          <w:tcPr>
            <w:tcW w:w="2410" w:type="dxa"/>
            <w:tcBorders>
              <w:top w:val="nil"/>
              <w:left w:val="nil"/>
              <w:bottom w:val="nil"/>
              <w:right w:val="nil"/>
            </w:tcBorders>
            <w:shd w:val="clear" w:color="auto" w:fill="auto"/>
            <w:vAlign w:val="bottom"/>
          </w:tcPr>
          <w:p w14:paraId="59D4A82D"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5.957</w:t>
            </w:r>
          </w:p>
        </w:tc>
      </w:tr>
      <w:tr w:rsidR="008B2C48" w:rsidRPr="00A61D53" w14:paraId="083C6375" w14:textId="77777777">
        <w:tc>
          <w:tcPr>
            <w:tcW w:w="3828" w:type="dxa"/>
            <w:tcBorders>
              <w:top w:val="nil"/>
              <w:left w:val="nil"/>
              <w:bottom w:val="nil"/>
              <w:right w:val="nil"/>
            </w:tcBorders>
            <w:vAlign w:val="center"/>
          </w:tcPr>
          <w:p w14:paraId="3E374FC4"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Ghana</w:t>
            </w:r>
          </w:p>
        </w:tc>
        <w:tc>
          <w:tcPr>
            <w:tcW w:w="2281" w:type="dxa"/>
            <w:tcBorders>
              <w:top w:val="nil"/>
              <w:left w:val="nil"/>
              <w:bottom w:val="nil"/>
              <w:right w:val="nil"/>
            </w:tcBorders>
            <w:shd w:val="clear" w:color="auto" w:fill="auto"/>
            <w:vAlign w:val="bottom"/>
          </w:tcPr>
          <w:p w14:paraId="6AFBF927"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0.024</w:t>
            </w:r>
          </w:p>
        </w:tc>
        <w:tc>
          <w:tcPr>
            <w:tcW w:w="2410" w:type="dxa"/>
            <w:tcBorders>
              <w:top w:val="nil"/>
              <w:left w:val="nil"/>
              <w:bottom w:val="nil"/>
              <w:right w:val="nil"/>
            </w:tcBorders>
            <w:shd w:val="clear" w:color="auto" w:fill="auto"/>
            <w:vAlign w:val="bottom"/>
          </w:tcPr>
          <w:p w14:paraId="5F923D09"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0.023</w:t>
            </w:r>
          </w:p>
        </w:tc>
      </w:tr>
      <w:tr w:rsidR="008B2C48" w:rsidRPr="00A61D53" w14:paraId="5DBD37B8" w14:textId="77777777">
        <w:tc>
          <w:tcPr>
            <w:tcW w:w="3828" w:type="dxa"/>
            <w:tcBorders>
              <w:top w:val="nil"/>
              <w:left w:val="nil"/>
              <w:bottom w:val="nil"/>
              <w:right w:val="nil"/>
            </w:tcBorders>
            <w:vAlign w:val="center"/>
          </w:tcPr>
          <w:p w14:paraId="0FC0232C"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Greece</w:t>
            </w:r>
          </w:p>
        </w:tc>
        <w:tc>
          <w:tcPr>
            <w:tcW w:w="2281" w:type="dxa"/>
            <w:tcBorders>
              <w:top w:val="nil"/>
              <w:left w:val="nil"/>
              <w:bottom w:val="nil"/>
              <w:right w:val="nil"/>
            </w:tcBorders>
            <w:shd w:val="clear" w:color="auto" w:fill="auto"/>
            <w:vAlign w:val="bottom"/>
          </w:tcPr>
          <w:p w14:paraId="5912142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0.325</w:t>
            </w:r>
          </w:p>
        </w:tc>
        <w:tc>
          <w:tcPr>
            <w:tcW w:w="2410" w:type="dxa"/>
            <w:tcBorders>
              <w:top w:val="nil"/>
              <w:left w:val="nil"/>
              <w:bottom w:val="nil"/>
              <w:right w:val="nil"/>
            </w:tcBorders>
            <w:shd w:val="clear" w:color="auto" w:fill="auto"/>
            <w:vAlign w:val="bottom"/>
          </w:tcPr>
          <w:p w14:paraId="259B9C05"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0.317</w:t>
            </w:r>
          </w:p>
        </w:tc>
      </w:tr>
      <w:tr w:rsidR="008B2C48" w:rsidRPr="00A61D53" w14:paraId="47044A39" w14:textId="77777777">
        <w:tc>
          <w:tcPr>
            <w:tcW w:w="3828" w:type="dxa"/>
            <w:tcBorders>
              <w:top w:val="nil"/>
              <w:left w:val="nil"/>
              <w:bottom w:val="nil"/>
              <w:right w:val="nil"/>
            </w:tcBorders>
            <w:vAlign w:val="center"/>
          </w:tcPr>
          <w:p w14:paraId="3F0F67C2"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Grenada</w:t>
            </w:r>
          </w:p>
        </w:tc>
        <w:tc>
          <w:tcPr>
            <w:tcW w:w="2281" w:type="dxa"/>
            <w:tcBorders>
              <w:top w:val="nil"/>
              <w:left w:val="nil"/>
              <w:bottom w:val="nil"/>
              <w:right w:val="nil"/>
            </w:tcBorders>
            <w:shd w:val="clear" w:color="auto" w:fill="auto"/>
            <w:vAlign w:val="bottom"/>
          </w:tcPr>
          <w:p w14:paraId="4D0C561E"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6D50922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740EACE2" w14:textId="77777777">
        <w:tc>
          <w:tcPr>
            <w:tcW w:w="3828" w:type="dxa"/>
            <w:tcBorders>
              <w:top w:val="nil"/>
              <w:left w:val="nil"/>
              <w:bottom w:val="nil"/>
              <w:right w:val="nil"/>
            </w:tcBorders>
            <w:vAlign w:val="center"/>
          </w:tcPr>
          <w:p w14:paraId="0AA03504"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Guatemala</w:t>
            </w:r>
          </w:p>
        </w:tc>
        <w:tc>
          <w:tcPr>
            <w:tcW w:w="2281" w:type="dxa"/>
            <w:tcBorders>
              <w:top w:val="nil"/>
              <w:left w:val="nil"/>
              <w:bottom w:val="nil"/>
              <w:right w:val="nil"/>
            </w:tcBorders>
            <w:shd w:val="clear" w:color="auto" w:fill="auto"/>
            <w:vAlign w:val="bottom"/>
          </w:tcPr>
          <w:p w14:paraId="3F1E98C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0.041</w:t>
            </w:r>
          </w:p>
        </w:tc>
        <w:tc>
          <w:tcPr>
            <w:tcW w:w="2410" w:type="dxa"/>
            <w:tcBorders>
              <w:top w:val="nil"/>
              <w:left w:val="nil"/>
              <w:bottom w:val="nil"/>
              <w:right w:val="nil"/>
            </w:tcBorders>
            <w:shd w:val="clear" w:color="auto" w:fill="auto"/>
            <w:vAlign w:val="bottom"/>
          </w:tcPr>
          <w:p w14:paraId="13D88262"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0.040</w:t>
            </w:r>
          </w:p>
        </w:tc>
      </w:tr>
      <w:tr w:rsidR="008B2C48" w:rsidRPr="00A61D53" w14:paraId="32D064A6" w14:textId="77777777">
        <w:tc>
          <w:tcPr>
            <w:tcW w:w="3828" w:type="dxa"/>
            <w:tcBorders>
              <w:top w:val="nil"/>
              <w:left w:val="nil"/>
              <w:bottom w:val="nil"/>
              <w:right w:val="nil"/>
            </w:tcBorders>
            <w:vAlign w:val="center"/>
          </w:tcPr>
          <w:p w14:paraId="720B5EA6"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Guinea</w:t>
            </w:r>
          </w:p>
        </w:tc>
        <w:tc>
          <w:tcPr>
            <w:tcW w:w="2281" w:type="dxa"/>
            <w:tcBorders>
              <w:top w:val="nil"/>
              <w:left w:val="nil"/>
              <w:bottom w:val="nil"/>
              <w:right w:val="nil"/>
            </w:tcBorders>
            <w:shd w:val="clear" w:color="auto" w:fill="auto"/>
            <w:vAlign w:val="bottom"/>
          </w:tcPr>
          <w:p w14:paraId="393AEC95"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0.003</w:t>
            </w:r>
          </w:p>
        </w:tc>
        <w:tc>
          <w:tcPr>
            <w:tcW w:w="2410" w:type="dxa"/>
            <w:tcBorders>
              <w:top w:val="nil"/>
              <w:left w:val="nil"/>
              <w:bottom w:val="nil"/>
              <w:right w:val="nil"/>
            </w:tcBorders>
            <w:shd w:val="clear" w:color="auto" w:fill="auto"/>
            <w:vAlign w:val="bottom"/>
          </w:tcPr>
          <w:p w14:paraId="2492E7B9"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0.003</w:t>
            </w:r>
          </w:p>
        </w:tc>
      </w:tr>
      <w:tr w:rsidR="008B2C48" w:rsidRPr="00A61D53" w14:paraId="1FCA9826" w14:textId="77777777">
        <w:tc>
          <w:tcPr>
            <w:tcW w:w="3828" w:type="dxa"/>
            <w:tcBorders>
              <w:top w:val="nil"/>
              <w:left w:val="nil"/>
              <w:bottom w:val="nil"/>
              <w:right w:val="nil"/>
            </w:tcBorders>
            <w:vAlign w:val="center"/>
          </w:tcPr>
          <w:p w14:paraId="7FB1EFDE"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Guinea</w:t>
            </w:r>
            <w:r>
              <w:rPr>
                <w:color w:val="000000"/>
                <w:sz w:val="18"/>
                <w:szCs w:val="18"/>
              </w:rPr>
              <w:t>-</w:t>
            </w:r>
            <w:r w:rsidRPr="00A61D53">
              <w:rPr>
                <w:color w:val="000000"/>
                <w:sz w:val="18"/>
                <w:szCs w:val="18"/>
              </w:rPr>
              <w:t>Bissau</w:t>
            </w:r>
          </w:p>
        </w:tc>
        <w:tc>
          <w:tcPr>
            <w:tcW w:w="2281" w:type="dxa"/>
            <w:tcBorders>
              <w:top w:val="nil"/>
              <w:left w:val="nil"/>
              <w:bottom w:val="nil"/>
              <w:right w:val="nil"/>
            </w:tcBorders>
            <w:shd w:val="clear" w:color="auto" w:fill="auto"/>
            <w:vAlign w:val="bottom"/>
          </w:tcPr>
          <w:p w14:paraId="684C275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4C8EDD3F"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61786252" w14:textId="77777777">
        <w:tc>
          <w:tcPr>
            <w:tcW w:w="3828" w:type="dxa"/>
            <w:tcBorders>
              <w:top w:val="nil"/>
              <w:left w:val="nil"/>
              <w:bottom w:val="nil"/>
              <w:right w:val="nil"/>
            </w:tcBorders>
            <w:vAlign w:val="center"/>
          </w:tcPr>
          <w:p w14:paraId="3A3BB09D"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Guyana</w:t>
            </w:r>
          </w:p>
        </w:tc>
        <w:tc>
          <w:tcPr>
            <w:tcW w:w="2281" w:type="dxa"/>
            <w:tcBorders>
              <w:top w:val="nil"/>
              <w:left w:val="nil"/>
              <w:bottom w:val="nil"/>
              <w:right w:val="nil"/>
            </w:tcBorders>
            <w:shd w:val="clear" w:color="auto" w:fill="auto"/>
            <w:vAlign w:val="bottom"/>
          </w:tcPr>
          <w:p w14:paraId="1EF34377"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0.004</w:t>
            </w:r>
          </w:p>
        </w:tc>
        <w:tc>
          <w:tcPr>
            <w:tcW w:w="2410" w:type="dxa"/>
            <w:tcBorders>
              <w:top w:val="nil"/>
              <w:left w:val="nil"/>
              <w:bottom w:val="nil"/>
              <w:right w:val="nil"/>
            </w:tcBorders>
            <w:shd w:val="clear" w:color="auto" w:fill="auto"/>
            <w:vAlign w:val="bottom"/>
          </w:tcPr>
          <w:p w14:paraId="756FEA3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0.004</w:t>
            </w:r>
          </w:p>
        </w:tc>
      </w:tr>
      <w:tr w:rsidR="008B2C48" w:rsidRPr="00A61D53" w14:paraId="5EC232E0" w14:textId="77777777">
        <w:tc>
          <w:tcPr>
            <w:tcW w:w="3828" w:type="dxa"/>
            <w:tcBorders>
              <w:top w:val="nil"/>
              <w:left w:val="nil"/>
              <w:bottom w:val="nil"/>
              <w:right w:val="nil"/>
            </w:tcBorders>
            <w:vAlign w:val="center"/>
          </w:tcPr>
          <w:p w14:paraId="6260BBD4"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Haiti</w:t>
            </w:r>
          </w:p>
        </w:tc>
        <w:tc>
          <w:tcPr>
            <w:tcW w:w="2281" w:type="dxa"/>
            <w:tcBorders>
              <w:top w:val="nil"/>
              <w:left w:val="nil"/>
              <w:bottom w:val="nil"/>
              <w:right w:val="nil"/>
            </w:tcBorders>
            <w:shd w:val="clear" w:color="auto" w:fill="auto"/>
            <w:vAlign w:val="bottom"/>
          </w:tcPr>
          <w:p w14:paraId="34129E4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0.006</w:t>
            </w:r>
          </w:p>
        </w:tc>
        <w:tc>
          <w:tcPr>
            <w:tcW w:w="2410" w:type="dxa"/>
            <w:tcBorders>
              <w:top w:val="nil"/>
              <w:left w:val="nil"/>
              <w:bottom w:val="nil"/>
              <w:right w:val="nil"/>
            </w:tcBorders>
            <w:shd w:val="clear" w:color="auto" w:fill="auto"/>
            <w:vAlign w:val="bottom"/>
          </w:tcPr>
          <w:p w14:paraId="494E5FE8"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0.006</w:t>
            </w:r>
          </w:p>
        </w:tc>
      </w:tr>
      <w:tr w:rsidR="008B2C48" w:rsidRPr="00A61D53" w14:paraId="566C3488" w14:textId="77777777">
        <w:tc>
          <w:tcPr>
            <w:tcW w:w="3828" w:type="dxa"/>
            <w:tcBorders>
              <w:top w:val="nil"/>
              <w:left w:val="nil"/>
              <w:bottom w:val="nil"/>
              <w:right w:val="nil"/>
            </w:tcBorders>
            <w:vAlign w:val="center"/>
          </w:tcPr>
          <w:p w14:paraId="5B26B548"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Holy See</w:t>
            </w:r>
          </w:p>
        </w:tc>
        <w:tc>
          <w:tcPr>
            <w:tcW w:w="2281" w:type="dxa"/>
            <w:tcBorders>
              <w:top w:val="nil"/>
              <w:left w:val="nil"/>
              <w:bottom w:val="nil"/>
              <w:right w:val="nil"/>
            </w:tcBorders>
            <w:shd w:val="clear" w:color="auto" w:fill="auto"/>
            <w:vAlign w:val="bottom"/>
          </w:tcPr>
          <w:p w14:paraId="7705794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 </w:t>
            </w:r>
          </w:p>
        </w:tc>
        <w:tc>
          <w:tcPr>
            <w:tcW w:w="2410" w:type="dxa"/>
            <w:tcBorders>
              <w:top w:val="nil"/>
              <w:left w:val="nil"/>
              <w:bottom w:val="nil"/>
              <w:right w:val="nil"/>
            </w:tcBorders>
            <w:shd w:val="clear" w:color="auto" w:fill="auto"/>
            <w:vAlign w:val="bottom"/>
          </w:tcPr>
          <w:p w14:paraId="280B5943"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2B7C5687" w14:textId="77777777">
        <w:tc>
          <w:tcPr>
            <w:tcW w:w="3828" w:type="dxa"/>
            <w:tcBorders>
              <w:top w:val="nil"/>
              <w:left w:val="nil"/>
              <w:bottom w:val="nil"/>
              <w:right w:val="nil"/>
            </w:tcBorders>
            <w:vAlign w:val="center"/>
          </w:tcPr>
          <w:p w14:paraId="10283367"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Honduras</w:t>
            </w:r>
          </w:p>
        </w:tc>
        <w:tc>
          <w:tcPr>
            <w:tcW w:w="2281" w:type="dxa"/>
            <w:tcBorders>
              <w:top w:val="nil"/>
              <w:left w:val="nil"/>
              <w:bottom w:val="nil"/>
              <w:right w:val="nil"/>
            </w:tcBorders>
            <w:shd w:val="clear" w:color="auto" w:fill="auto"/>
            <w:vAlign w:val="bottom"/>
          </w:tcPr>
          <w:p w14:paraId="7148C2C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0.009</w:t>
            </w:r>
          </w:p>
        </w:tc>
        <w:tc>
          <w:tcPr>
            <w:tcW w:w="2410" w:type="dxa"/>
            <w:tcBorders>
              <w:top w:val="nil"/>
              <w:left w:val="nil"/>
              <w:bottom w:val="nil"/>
              <w:right w:val="nil"/>
            </w:tcBorders>
            <w:shd w:val="clear" w:color="auto" w:fill="auto"/>
            <w:vAlign w:val="bottom"/>
          </w:tcPr>
          <w:p w14:paraId="0F64DCEE"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0.009</w:t>
            </w:r>
          </w:p>
        </w:tc>
      </w:tr>
      <w:tr w:rsidR="008B2C48" w:rsidRPr="00A61D53" w14:paraId="321991A1" w14:textId="77777777">
        <w:tc>
          <w:tcPr>
            <w:tcW w:w="3828" w:type="dxa"/>
            <w:tcBorders>
              <w:top w:val="nil"/>
              <w:left w:val="nil"/>
              <w:bottom w:val="nil"/>
              <w:right w:val="nil"/>
            </w:tcBorders>
            <w:vAlign w:val="center"/>
          </w:tcPr>
          <w:p w14:paraId="5C103822"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Hungary</w:t>
            </w:r>
          </w:p>
        </w:tc>
        <w:tc>
          <w:tcPr>
            <w:tcW w:w="2281" w:type="dxa"/>
            <w:tcBorders>
              <w:top w:val="nil"/>
              <w:left w:val="nil"/>
              <w:bottom w:val="nil"/>
              <w:right w:val="nil"/>
            </w:tcBorders>
            <w:shd w:val="clear" w:color="auto" w:fill="auto"/>
            <w:vAlign w:val="bottom"/>
          </w:tcPr>
          <w:p w14:paraId="754647F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0.228</w:t>
            </w:r>
          </w:p>
        </w:tc>
        <w:tc>
          <w:tcPr>
            <w:tcW w:w="2410" w:type="dxa"/>
            <w:tcBorders>
              <w:top w:val="nil"/>
              <w:left w:val="nil"/>
              <w:bottom w:val="nil"/>
              <w:right w:val="nil"/>
            </w:tcBorders>
            <w:shd w:val="clear" w:color="auto" w:fill="auto"/>
            <w:vAlign w:val="bottom"/>
          </w:tcPr>
          <w:p w14:paraId="2442CF5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0.222</w:t>
            </w:r>
          </w:p>
        </w:tc>
      </w:tr>
      <w:tr w:rsidR="008B2C48" w:rsidRPr="00A61D53" w14:paraId="66FE9265" w14:textId="77777777">
        <w:tc>
          <w:tcPr>
            <w:tcW w:w="3828" w:type="dxa"/>
            <w:tcBorders>
              <w:top w:val="nil"/>
              <w:left w:val="nil"/>
              <w:bottom w:val="nil"/>
              <w:right w:val="nil"/>
            </w:tcBorders>
            <w:vAlign w:val="center"/>
          </w:tcPr>
          <w:p w14:paraId="19F4907A"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Iceland</w:t>
            </w:r>
          </w:p>
        </w:tc>
        <w:tc>
          <w:tcPr>
            <w:tcW w:w="2281" w:type="dxa"/>
            <w:tcBorders>
              <w:top w:val="nil"/>
              <w:left w:val="nil"/>
              <w:bottom w:val="nil"/>
              <w:right w:val="nil"/>
            </w:tcBorders>
            <w:shd w:val="clear" w:color="auto" w:fill="auto"/>
            <w:vAlign w:val="bottom"/>
          </w:tcPr>
          <w:p w14:paraId="56575AA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0.036</w:t>
            </w:r>
          </w:p>
        </w:tc>
        <w:tc>
          <w:tcPr>
            <w:tcW w:w="2410" w:type="dxa"/>
            <w:tcBorders>
              <w:top w:val="nil"/>
              <w:left w:val="nil"/>
              <w:bottom w:val="nil"/>
              <w:right w:val="nil"/>
            </w:tcBorders>
            <w:shd w:val="clear" w:color="auto" w:fill="auto"/>
            <w:vAlign w:val="bottom"/>
          </w:tcPr>
          <w:p w14:paraId="703CC92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0.035</w:t>
            </w:r>
          </w:p>
        </w:tc>
      </w:tr>
      <w:tr w:rsidR="008B2C48" w:rsidRPr="00A61D53" w14:paraId="2E441DF4" w14:textId="77777777">
        <w:tc>
          <w:tcPr>
            <w:tcW w:w="3828" w:type="dxa"/>
            <w:tcBorders>
              <w:top w:val="nil"/>
              <w:left w:val="nil"/>
              <w:bottom w:val="nil"/>
              <w:right w:val="nil"/>
            </w:tcBorders>
            <w:vAlign w:val="center"/>
          </w:tcPr>
          <w:p w14:paraId="4F431ECE"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India</w:t>
            </w:r>
          </w:p>
        </w:tc>
        <w:tc>
          <w:tcPr>
            <w:tcW w:w="2281" w:type="dxa"/>
            <w:tcBorders>
              <w:top w:val="nil"/>
              <w:left w:val="nil"/>
              <w:bottom w:val="nil"/>
              <w:right w:val="nil"/>
            </w:tcBorders>
            <w:shd w:val="clear" w:color="auto" w:fill="auto"/>
            <w:vAlign w:val="bottom"/>
          </w:tcPr>
          <w:p w14:paraId="5D01B72D"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1.044</w:t>
            </w:r>
          </w:p>
        </w:tc>
        <w:tc>
          <w:tcPr>
            <w:tcW w:w="2410" w:type="dxa"/>
            <w:tcBorders>
              <w:top w:val="nil"/>
              <w:left w:val="nil"/>
              <w:bottom w:val="nil"/>
              <w:right w:val="nil"/>
            </w:tcBorders>
            <w:shd w:val="clear" w:color="auto" w:fill="auto"/>
            <w:vAlign w:val="bottom"/>
          </w:tcPr>
          <w:p w14:paraId="25DD1A3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1.018</w:t>
            </w:r>
          </w:p>
        </w:tc>
      </w:tr>
      <w:tr w:rsidR="008B2C48" w:rsidRPr="00A61D53" w14:paraId="154A89A7" w14:textId="77777777">
        <w:tc>
          <w:tcPr>
            <w:tcW w:w="3828" w:type="dxa"/>
            <w:tcBorders>
              <w:top w:val="nil"/>
              <w:left w:val="nil"/>
              <w:bottom w:val="nil"/>
              <w:right w:val="nil"/>
            </w:tcBorders>
            <w:vAlign w:val="center"/>
          </w:tcPr>
          <w:p w14:paraId="063DEF4A" w14:textId="77777777" w:rsidR="008B2C48" w:rsidRPr="00A61D53" w:rsidRDefault="008B2C48">
            <w:pPr>
              <w:suppressAutoHyphens w:val="0"/>
              <w:spacing w:before="40" w:after="40" w:line="200" w:lineRule="exact"/>
              <w:ind w:left="360" w:hanging="360"/>
              <w:rPr>
                <w:rFonts w:eastAsia="MS Mincho"/>
                <w:color w:val="000000"/>
                <w:sz w:val="18"/>
                <w:szCs w:val="18"/>
                <w:lang w:eastAsia="de-DE"/>
              </w:rPr>
            </w:pPr>
            <w:r w:rsidRPr="00A61D53">
              <w:rPr>
                <w:color w:val="000000"/>
                <w:sz w:val="18"/>
                <w:szCs w:val="18"/>
              </w:rPr>
              <w:t>Indonesia</w:t>
            </w:r>
          </w:p>
        </w:tc>
        <w:tc>
          <w:tcPr>
            <w:tcW w:w="2281" w:type="dxa"/>
            <w:tcBorders>
              <w:top w:val="nil"/>
              <w:left w:val="nil"/>
              <w:bottom w:val="nil"/>
              <w:right w:val="nil"/>
            </w:tcBorders>
            <w:shd w:val="clear" w:color="auto" w:fill="auto"/>
            <w:vAlign w:val="bottom"/>
          </w:tcPr>
          <w:p w14:paraId="11118E9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0.549</w:t>
            </w:r>
          </w:p>
        </w:tc>
        <w:tc>
          <w:tcPr>
            <w:tcW w:w="2410" w:type="dxa"/>
            <w:tcBorders>
              <w:top w:val="nil"/>
              <w:left w:val="nil"/>
              <w:bottom w:val="nil"/>
              <w:right w:val="nil"/>
            </w:tcBorders>
            <w:shd w:val="clear" w:color="auto" w:fill="auto"/>
            <w:vAlign w:val="bottom"/>
          </w:tcPr>
          <w:p w14:paraId="69985D92"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0.535</w:t>
            </w:r>
          </w:p>
        </w:tc>
      </w:tr>
      <w:tr w:rsidR="008B2C48" w:rsidRPr="00A61D53" w14:paraId="003A47CE" w14:textId="77777777">
        <w:tc>
          <w:tcPr>
            <w:tcW w:w="3828" w:type="dxa"/>
            <w:tcBorders>
              <w:top w:val="nil"/>
              <w:left w:val="nil"/>
              <w:bottom w:val="nil"/>
              <w:right w:val="nil"/>
            </w:tcBorders>
            <w:vAlign w:val="center"/>
          </w:tcPr>
          <w:p w14:paraId="678F7673"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Iran (Islamic Republic of)</w:t>
            </w:r>
          </w:p>
        </w:tc>
        <w:tc>
          <w:tcPr>
            <w:tcW w:w="2281" w:type="dxa"/>
            <w:tcBorders>
              <w:top w:val="nil"/>
              <w:left w:val="nil"/>
              <w:bottom w:val="nil"/>
              <w:right w:val="nil"/>
            </w:tcBorders>
            <w:shd w:val="clear" w:color="auto" w:fill="auto"/>
            <w:vAlign w:val="bottom"/>
          </w:tcPr>
          <w:p w14:paraId="05C00F1E"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0.371</w:t>
            </w:r>
          </w:p>
        </w:tc>
        <w:tc>
          <w:tcPr>
            <w:tcW w:w="2410" w:type="dxa"/>
            <w:tcBorders>
              <w:top w:val="nil"/>
              <w:left w:val="nil"/>
              <w:bottom w:val="nil"/>
              <w:right w:val="nil"/>
            </w:tcBorders>
            <w:shd w:val="clear" w:color="auto" w:fill="auto"/>
            <w:vAlign w:val="bottom"/>
          </w:tcPr>
          <w:p w14:paraId="3410B69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0.362</w:t>
            </w:r>
          </w:p>
        </w:tc>
      </w:tr>
      <w:tr w:rsidR="008B2C48" w:rsidRPr="00A61D53" w14:paraId="1F7F9288" w14:textId="77777777">
        <w:tc>
          <w:tcPr>
            <w:tcW w:w="3828" w:type="dxa"/>
            <w:tcBorders>
              <w:top w:val="nil"/>
              <w:left w:val="nil"/>
              <w:bottom w:val="nil"/>
              <w:right w:val="nil"/>
            </w:tcBorders>
            <w:vAlign w:val="center"/>
          </w:tcPr>
          <w:p w14:paraId="56E1681A"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Iraq</w:t>
            </w:r>
          </w:p>
        </w:tc>
        <w:tc>
          <w:tcPr>
            <w:tcW w:w="2281" w:type="dxa"/>
            <w:tcBorders>
              <w:top w:val="nil"/>
              <w:left w:val="nil"/>
              <w:bottom w:val="nil"/>
              <w:right w:val="nil"/>
            </w:tcBorders>
            <w:shd w:val="clear" w:color="auto" w:fill="auto"/>
            <w:vAlign w:val="bottom"/>
          </w:tcPr>
          <w:p w14:paraId="2063851D"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0.128</w:t>
            </w:r>
          </w:p>
        </w:tc>
        <w:tc>
          <w:tcPr>
            <w:tcW w:w="2410" w:type="dxa"/>
            <w:tcBorders>
              <w:top w:val="nil"/>
              <w:left w:val="nil"/>
              <w:bottom w:val="nil"/>
              <w:right w:val="nil"/>
            </w:tcBorders>
            <w:shd w:val="clear" w:color="auto" w:fill="auto"/>
            <w:vAlign w:val="bottom"/>
          </w:tcPr>
          <w:p w14:paraId="24F67F5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0.125</w:t>
            </w:r>
          </w:p>
        </w:tc>
      </w:tr>
      <w:tr w:rsidR="008B2C48" w:rsidRPr="00A61D53" w14:paraId="03C1B7AD" w14:textId="77777777">
        <w:tc>
          <w:tcPr>
            <w:tcW w:w="3828" w:type="dxa"/>
            <w:tcBorders>
              <w:top w:val="nil"/>
              <w:left w:val="nil"/>
              <w:bottom w:val="nil"/>
              <w:right w:val="nil"/>
            </w:tcBorders>
            <w:vAlign w:val="center"/>
          </w:tcPr>
          <w:p w14:paraId="7C253D26"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Ireland</w:t>
            </w:r>
          </w:p>
        </w:tc>
        <w:tc>
          <w:tcPr>
            <w:tcW w:w="2281" w:type="dxa"/>
            <w:tcBorders>
              <w:top w:val="nil"/>
              <w:left w:val="nil"/>
              <w:bottom w:val="nil"/>
              <w:right w:val="nil"/>
            </w:tcBorders>
            <w:shd w:val="clear" w:color="auto" w:fill="auto"/>
            <w:vAlign w:val="bottom"/>
          </w:tcPr>
          <w:p w14:paraId="3BA7E187"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0.439</w:t>
            </w:r>
          </w:p>
        </w:tc>
        <w:tc>
          <w:tcPr>
            <w:tcW w:w="2410" w:type="dxa"/>
            <w:tcBorders>
              <w:top w:val="nil"/>
              <w:left w:val="nil"/>
              <w:bottom w:val="nil"/>
              <w:right w:val="nil"/>
            </w:tcBorders>
            <w:shd w:val="clear" w:color="auto" w:fill="auto"/>
            <w:vAlign w:val="bottom"/>
          </w:tcPr>
          <w:p w14:paraId="3283C24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0.428</w:t>
            </w:r>
          </w:p>
        </w:tc>
      </w:tr>
      <w:tr w:rsidR="008B2C48" w:rsidRPr="00A61D53" w14:paraId="260CDEB2" w14:textId="77777777">
        <w:tc>
          <w:tcPr>
            <w:tcW w:w="3828" w:type="dxa"/>
            <w:tcBorders>
              <w:top w:val="nil"/>
              <w:left w:val="nil"/>
              <w:bottom w:val="nil"/>
              <w:right w:val="nil"/>
            </w:tcBorders>
            <w:vAlign w:val="center"/>
          </w:tcPr>
          <w:p w14:paraId="39B02810"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Israel</w:t>
            </w:r>
          </w:p>
        </w:tc>
        <w:tc>
          <w:tcPr>
            <w:tcW w:w="2281" w:type="dxa"/>
            <w:tcBorders>
              <w:top w:val="nil"/>
              <w:left w:val="nil"/>
              <w:bottom w:val="nil"/>
              <w:right w:val="nil"/>
            </w:tcBorders>
            <w:shd w:val="clear" w:color="auto" w:fill="auto"/>
            <w:vAlign w:val="bottom"/>
          </w:tcPr>
          <w:p w14:paraId="35FDBAD7"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0.561</w:t>
            </w:r>
          </w:p>
        </w:tc>
        <w:tc>
          <w:tcPr>
            <w:tcW w:w="2410" w:type="dxa"/>
            <w:tcBorders>
              <w:top w:val="nil"/>
              <w:left w:val="nil"/>
              <w:bottom w:val="nil"/>
              <w:right w:val="nil"/>
            </w:tcBorders>
            <w:shd w:val="clear" w:color="auto" w:fill="auto"/>
            <w:vAlign w:val="bottom"/>
          </w:tcPr>
          <w:p w14:paraId="61F5997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0.547</w:t>
            </w:r>
          </w:p>
        </w:tc>
      </w:tr>
      <w:tr w:rsidR="008B2C48" w:rsidRPr="00A61D53" w14:paraId="3AB9DD25" w14:textId="77777777">
        <w:tc>
          <w:tcPr>
            <w:tcW w:w="3828" w:type="dxa"/>
            <w:tcBorders>
              <w:top w:val="nil"/>
              <w:left w:val="nil"/>
              <w:bottom w:val="nil"/>
              <w:right w:val="nil"/>
            </w:tcBorders>
            <w:vAlign w:val="center"/>
          </w:tcPr>
          <w:p w14:paraId="56C80730"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Italy</w:t>
            </w:r>
          </w:p>
        </w:tc>
        <w:tc>
          <w:tcPr>
            <w:tcW w:w="2281" w:type="dxa"/>
            <w:tcBorders>
              <w:top w:val="nil"/>
              <w:left w:val="nil"/>
              <w:bottom w:val="nil"/>
              <w:right w:val="nil"/>
            </w:tcBorders>
            <w:shd w:val="clear" w:color="auto" w:fill="auto"/>
            <w:vAlign w:val="bottom"/>
          </w:tcPr>
          <w:p w14:paraId="52C8A2F0"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3.189</w:t>
            </w:r>
          </w:p>
        </w:tc>
        <w:tc>
          <w:tcPr>
            <w:tcW w:w="2410" w:type="dxa"/>
            <w:tcBorders>
              <w:top w:val="nil"/>
              <w:left w:val="nil"/>
              <w:bottom w:val="nil"/>
              <w:right w:val="nil"/>
            </w:tcBorders>
            <w:shd w:val="clear" w:color="auto" w:fill="auto"/>
            <w:vAlign w:val="bottom"/>
          </w:tcPr>
          <w:p w14:paraId="761FBD9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3.109</w:t>
            </w:r>
          </w:p>
        </w:tc>
      </w:tr>
      <w:tr w:rsidR="008B2C48" w:rsidRPr="00A61D53" w14:paraId="29B1DFB1" w14:textId="77777777">
        <w:tc>
          <w:tcPr>
            <w:tcW w:w="3828" w:type="dxa"/>
            <w:tcBorders>
              <w:top w:val="nil"/>
              <w:left w:val="nil"/>
              <w:bottom w:val="nil"/>
              <w:right w:val="nil"/>
            </w:tcBorders>
            <w:vAlign w:val="center"/>
          </w:tcPr>
          <w:p w14:paraId="07659568"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Jamaica</w:t>
            </w:r>
          </w:p>
        </w:tc>
        <w:tc>
          <w:tcPr>
            <w:tcW w:w="2281" w:type="dxa"/>
            <w:tcBorders>
              <w:top w:val="nil"/>
              <w:left w:val="nil"/>
              <w:bottom w:val="nil"/>
              <w:right w:val="nil"/>
            </w:tcBorders>
            <w:shd w:val="clear" w:color="auto" w:fill="auto"/>
            <w:vAlign w:val="bottom"/>
          </w:tcPr>
          <w:p w14:paraId="5F217CC3"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0.008</w:t>
            </w:r>
          </w:p>
        </w:tc>
        <w:tc>
          <w:tcPr>
            <w:tcW w:w="2410" w:type="dxa"/>
            <w:tcBorders>
              <w:top w:val="nil"/>
              <w:left w:val="nil"/>
              <w:bottom w:val="nil"/>
              <w:right w:val="nil"/>
            </w:tcBorders>
            <w:shd w:val="clear" w:color="auto" w:fill="auto"/>
            <w:vAlign w:val="bottom"/>
          </w:tcPr>
          <w:p w14:paraId="22BC37B5"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0.008</w:t>
            </w:r>
          </w:p>
        </w:tc>
      </w:tr>
      <w:tr w:rsidR="008B2C48" w:rsidRPr="00A61D53" w14:paraId="29BB6ED8" w14:textId="77777777">
        <w:tc>
          <w:tcPr>
            <w:tcW w:w="3828" w:type="dxa"/>
            <w:tcBorders>
              <w:top w:val="nil"/>
              <w:left w:val="nil"/>
              <w:bottom w:val="nil"/>
              <w:right w:val="nil"/>
            </w:tcBorders>
            <w:vAlign w:val="center"/>
          </w:tcPr>
          <w:p w14:paraId="27DF40F9"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Japan</w:t>
            </w:r>
          </w:p>
        </w:tc>
        <w:tc>
          <w:tcPr>
            <w:tcW w:w="2281" w:type="dxa"/>
            <w:tcBorders>
              <w:top w:val="nil"/>
              <w:left w:val="nil"/>
              <w:bottom w:val="nil"/>
              <w:right w:val="nil"/>
            </w:tcBorders>
            <w:shd w:val="clear" w:color="auto" w:fill="auto"/>
            <w:vAlign w:val="bottom"/>
          </w:tcPr>
          <w:p w14:paraId="3ACC68B9"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8.033</w:t>
            </w:r>
          </w:p>
        </w:tc>
        <w:tc>
          <w:tcPr>
            <w:tcW w:w="2410" w:type="dxa"/>
            <w:tcBorders>
              <w:top w:val="nil"/>
              <w:left w:val="nil"/>
              <w:bottom w:val="nil"/>
              <w:right w:val="nil"/>
            </w:tcBorders>
            <w:shd w:val="clear" w:color="auto" w:fill="auto"/>
            <w:vAlign w:val="bottom"/>
          </w:tcPr>
          <w:p w14:paraId="4EDA59FF"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7.831</w:t>
            </w:r>
          </w:p>
        </w:tc>
      </w:tr>
      <w:tr w:rsidR="008B2C48" w:rsidRPr="00A61D53" w14:paraId="30EF666D" w14:textId="77777777">
        <w:tc>
          <w:tcPr>
            <w:tcW w:w="3828" w:type="dxa"/>
            <w:tcBorders>
              <w:top w:val="nil"/>
              <w:left w:val="nil"/>
              <w:bottom w:val="nil"/>
              <w:right w:val="nil"/>
            </w:tcBorders>
            <w:vAlign w:val="center"/>
          </w:tcPr>
          <w:p w14:paraId="16981AD4"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Jordan</w:t>
            </w:r>
          </w:p>
        </w:tc>
        <w:tc>
          <w:tcPr>
            <w:tcW w:w="2281" w:type="dxa"/>
            <w:tcBorders>
              <w:top w:val="nil"/>
              <w:left w:val="nil"/>
              <w:bottom w:val="nil"/>
              <w:right w:val="nil"/>
            </w:tcBorders>
            <w:shd w:val="clear" w:color="auto" w:fill="auto"/>
            <w:vAlign w:val="bottom"/>
          </w:tcPr>
          <w:p w14:paraId="6449FFFE"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0.022</w:t>
            </w:r>
          </w:p>
        </w:tc>
        <w:tc>
          <w:tcPr>
            <w:tcW w:w="2410" w:type="dxa"/>
            <w:tcBorders>
              <w:top w:val="nil"/>
              <w:left w:val="nil"/>
              <w:bottom w:val="nil"/>
              <w:right w:val="nil"/>
            </w:tcBorders>
            <w:shd w:val="clear" w:color="auto" w:fill="auto"/>
            <w:vAlign w:val="bottom"/>
          </w:tcPr>
          <w:p w14:paraId="05EEB055"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0.021</w:t>
            </w:r>
          </w:p>
        </w:tc>
      </w:tr>
      <w:tr w:rsidR="008B2C48" w:rsidRPr="00A61D53" w14:paraId="3D507A9F" w14:textId="77777777">
        <w:tc>
          <w:tcPr>
            <w:tcW w:w="3828" w:type="dxa"/>
            <w:tcBorders>
              <w:top w:val="nil"/>
              <w:left w:val="nil"/>
              <w:bottom w:val="nil"/>
              <w:right w:val="nil"/>
            </w:tcBorders>
            <w:vAlign w:val="center"/>
          </w:tcPr>
          <w:p w14:paraId="6B392A41"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Kazakhstan</w:t>
            </w:r>
          </w:p>
        </w:tc>
        <w:tc>
          <w:tcPr>
            <w:tcW w:w="2281" w:type="dxa"/>
            <w:tcBorders>
              <w:top w:val="nil"/>
              <w:left w:val="nil"/>
              <w:bottom w:val="nil"/>
              <w:right w:val="nil"/>
            </w:tcBorders>
            <w:shd w:val="clear" w:color="auto" w:fill="auto"/>
            <w:vAlign w:val="bottom"/>
          </w:tcPr>
          <w:p w14:paraId="0B16E478" w14:textId="77777777" w:rsidR="008B2C48" w:rsidRPr="00A61D53" w:rsidRDefault="008B2C48">
            <w:pPr>
              <w:suppressAutoHyphens w:val="0"/>
              <w:spacing w:before="40" w:after="40" w:line="200" w:lineRule="exact"/>
              <w:jc w:val="right"/>
              <w:rPr>
                <w:rFonts w:eastAsia="MS Mincho"/>
                <w:color w:val="000000"/>
                <w:sz w:val="18"/>
                <w:szCs w:val="18"/>
                <w:lang w:eastAsia="de-DE"/>
              </w:rPr>
            </w:pPr>
            <w:r w:rsidRPr="00A61D53">
              <w:rPr>
                <w:color w:val="000000"/>
                <w:sz w:val="18"/>
                <w:szCs w:val="18"/>
              </w:rPr>
              <w:t>0.133</w:t>
            </w:r>
          </w:p>
        </w:tc>
        <w:tc>
          <w:tcPr>
            <w:tcW w:w="2410" w:type="dxa"/>
            <w:tcBorders>
              <w:top w:val="nil"/>
              <w:left w:val="nil"/>
              <w:bottom w:val="nil"/>
              <w:right w:val="nil"/>
            </w:tcBorders>
            <w:shd w:val="clear" w:color="auto" w:fill="auto"/>
            <w:vAlign w:val="bottom"/>
          </w:tcPr>
          <w:p w14:paraId="084795F5"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0.130</w:t>
            </w:r>
          </w:p>
        </w:tc>
      </w:tr>
      <w:tr w:rsidR="008B2C48" w:rsidRPr="00A61D53" w14:paraId="78B7612A" w14:textId="77777777">
        <w:tc>
          <w:tcPr>
            <w:tcW w:w="3828" w:type="dxa"/>
            <w:tcBorders>
              <w:top w:val="nil"/>
              <w:left w:val="nil"/>
              <w:bottom w:val="nil"/>
              <w:right w:val="nil"/>
            </w:tcBorders>
            <w:vAlign w:val="center"/>
          </w:tcPr>
          <w:p w14:paraId="537CFC74"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Kenya</w:t>
            </w:r>
          </w:p>
        </w:tc>
        <w:tc>
          <w:tcPr>
            <w:tcW w:w="2281" w:type="dxa"/>
            <w:tcBorders>
              <w:top w:val="nil"/>
              <w:left w:val="nil"/>
              <w:bottom w:val="nil"/>
              <w:right w:val="nil"/>
            </w:tcBorders>
            <w:shd w:val="clear" w:color="auto" w:fill="auto"/>
            <w:vAlign w:val="bottom"/>
          </w:tcPr>
          <w:p w14:paraId="7CEDCE0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0.030</w:t>
            </w:r>
          </w:p>
        </w:tc>
        <w:tc>
          <w:tcPr>
            <w:tcW w:w="2410" w:type="dxa"/>
            <w:tcBorders>
              <w:top w:val="nil"/>
              <w:left w:val="nil"/>
              <w:bottom w:val="nil"/>
              <w:right w:val="nil"/>
            </w:tcBorders>
            <w:shd w:val="clear" w:color="auto" w:fill="auto"/>
            <w:vAlign w:val="bottom"/>
          </w:tcPr>
          <w:p w14:paraId="4A068F6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0.029</w:t>
            </w:r>
          </w:p>
        </w:tc>
      </w:tr>
      <w:tr w:rsidR="008B2C48" w:rsidRPr="00A61D53" w14:paraId="6ECB2163" w14:textId="77777777">
        <w:tc>
          <w:tcPr>
            <w:tcW w:w="3828" w:type="dxa"/>
            <w:tcBorders>
              <w:top w:val="nil"/>
              <w:left w:val="nil"/>
              <w:bottom w:val="nil"/>
              <w:right w:val="nil"/>
            </w:tcBorders>
            <w:vAlign w:val="center"/>
          </w:tcPr>
          <w:p w14:paraId="399CA414"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Kiribati</w:t>
            </w:r>
          </w:p>
        </w:tc>
        <w:tc>
          <w:tcPr>
            <w:tcW w:w="2281" w:type="dxa"/>
            <w:tcBorders>
              <w:top w:val="nil"/>
              <w:left w:val="nil"/>
              <w:bottom w:val="nil"/>
              <w:right w:val="nil"/>
            </w:tcBorders>
            <w:shd w:val="clear" w:color="auto" w:fill="auto"/>
            <w:vAlign w:val="bottom"/>
          </w:tcPr>
          <w:p w14:paraId="494F75C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0866E77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55A8C8CD" w14:textId="77777777">
        <w:tc>
          <w:tcPr>
            <w:tcW w:w="3828" w:type="dxa"/>
            <w:tcBorders>
              <w:top w:val="nil"/>
              <w:left w:val="nil"/>
              <w:bottom w:val="nil"/>
              <w:right w:val="nil"/>
            </w:tcBorders>
            <w:vAlign w:val="center"/>
          </w:tcPr>
          <w:p w14:paraId="01CCCCA7"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Kuwait</w:t>
            </w:r>
          </w:p>
        </w:tc>
        <w:tc>
          <w:tcPr>
            <w:tcW w:w="2281" w:type="dxa"/>
            <w:tcBorders>
              <w:top w:val="nil"/>
              <w:left w:val="nil"/>
              <w:bottom w:val="nil"/>
              <w:right w:val="nil"/>
            </w:tcBorders>
            <w:shd w:val="clear" w:color="auto" w:fill="auto"/>
            <w:vAlign w:val="bottom"/>
          </w:tcPr>
          <w:p w14:paraId="28D3D58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0.234</w:t>
            </w:r>
          </w:p>
        </w:tc>
        <w:tc>
          <w:tcPr>
            <w:tcW w:w="2410" w:type="dxa"/>
            <w:tcBorders>
              <w:top w:val="nil"/>
              <w:left w:val="nil"/>
              <w:bottom w:val="nil"/>
              <w:right w:val="nil"/>
            </w:tcBorders>
            <w:shd w:val="clear" w:color="auto" w:fill="auto"/>
            <w:vAlign w:val="bottom"/>
          </w:tcPr>
          <w:p w14:paraId="61B41C26"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0.228</w:t>
            </w:r>
          </w:p>
        </w:tc>
      </w:tr>
      <w:tr w:rsidR="008B2C48" w:rsidRPr="00A61D53" w14:paraId="1DF646E8" w14:textId="77777777">
        <w:tc>
          <w:tcPr>
            <w:tcW w:w="3828" w:type="dxa"/>
            <w:tcBorders>
              <w:top w:val="nil"/>
              <w:left w:val="nil"/>
              <w:bottom w:val="nil"/>
              <w:right w:val="nil"/>
            </w:tcBorders>
            <w:vAlign w:val="center"/>
          </w:tcPr>
          <w:p w14:paraId="472C48FF"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Kyrgyzstan</w:t>
            </w:r>
          </w:p>
        </w:tc>
        <w:tc>
          <w:tcPr>
            <w:tcW w:w="2281" w:type="dxa"/>
            <w:tcBorders>
              <w:top w:val="nil"/>
              <w:left w:val="nil"/>
              <w:bottom w:val="nil"/>
              <w:right w:val="nil"/>
            </w:tcBorders>
            <w:shd w:val="clear" w:color="auto" w:fill="auto"/>
            <w:vAlign w:val="bottom"/>
          </w:tcPr>
          <w:p w14:paraId="08F9476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0.002</w:t>
            </w:r>
          </w:p>
        </w:tc>
        <w:tc>
          <w:tcPr>
            <w:tcW w:w="2410" w:type="dxa"/>
            <w:tcBorders>
              <w:top w:val="nil"/>
              <w:left w:val="nil"/>
              <w:bottom w:val="nil"/>
              <w:right w:val="nil"/>
            </w:tcBorders>
            <w:shd w:val="clear" w:color="auto" w:fill="auto"/>
            <w:vAlign w:val="bottom"/>
          </w:tcPr>
          <w:p w14:paraId="5E34784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0.002</w:t>
            </w:r>
          </w:p>
        </w:tc>
      </w:tr>
      <w:tr w:rsidR="008B2C48" w:rsidRPr="00A61D53" w14:paraId="46900AE6" w14:textId="77777777">
        <w:tc>
          <w:tcPr>
            <w:tcW w:w="3828" w:type="dxa"/>
            <w:tcBorders>
              <w:top w:val="nil"/>
              <w:left w:val="nil"/>
              <w:bottom w:val="nil"/>
              <w:right w:val="nil"/>
            </w:tcBorders>
            <w:vAlign w:val="center"/>
          </w:tcPr>
          <w:p w14:paraId="0C0AFE56"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Lao People’s Democratic Republic</w:t>
            </w:r>
          </w:p>
        </w:tc>
        <w:tc>
          <w:tcPr>
            <w:tcW w:w="2281" w:type="dxa"/>
            <w:tcBorders>
              <w:top w:val="nil"/>
              <w:left w:val="nil"/>
              <w:bottom w:val="nil"/>
              <w:right w:val="nil"/>
            </w:tcBorders>
            <w:shd w:val="clear" w:color="auto" w:fill="auto"/>
            <w:vAlign w:val="bottom"/>
          </w:tcPr>
          <w:p w14:paraId="1CCBEAB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0.007</w:t>
            </w:r>
          </w:p>
        </w:tc>
        <w:tc>
          <w:tcPr>
            <w:tcW w:w="2410" w:type="dxa"/>
            <w:tcBorders>
              <w:top w:val="nil"/>
              <w:left w:val="nil"/>
              <w:bottom w:val="nil"/>
              <w:right w:val="nil"/>
            </w:tcBorders>
            <w:shd w:val="clear" w:color="auto" w:fill="auto"/>
            <w:vAlign w:val="bottom"/>
          </w:tcPr>
          <w:p w14:paraId="55F8D855"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0.007</w:t>
            </w:r>
          </w:p>
        </w:tc>
      </w:tr>
      <w:tr w:rsidR="008B2C48" w:rsidRPr="00A61D53" w14:paraId="52D17319" w14:textId="77777777">
        <w:tc>
          <w:tcPr>
            <w:tcW w:w="3828" w:type="dxa"/>
            <w:tcBorders>
              <w:top w:val="nil"/>
              <w:left w:val="nil"/>
              <w:bottom w:val="nil"/>
              <w:right w:val="nil"/>
            </w:tcBorders>
            <w:vAlign w:val="center"/>
          </w:tcPr>
          <w:p w14:paraId="1EFEE11D"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Latvia</w:t>
            </w:r>
          </w:p>
        </w:tc>
        <w:tc>
          <w:tcPr>
            <w:tcW w:w="2281" w:type="dxa"/>
            <w:tcBorders>
              <w:top w:val="nil"/>
              <w:left w:val="nil"/>
              <w:bottom w:val="nil"/>
              <w:right w:val="nil"/>
            </w:tcBorders>
            <w:shd w:val="clear" w:color="auto" w:fill="auto"/>
            <w:vAlign w:val="bottom"/>
          </w:tcPr>
          <w:p w14:paraId="330EDAE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0.050</w:t>
            </w:r>
          </w:p>
        </w:tc>
        <w:tc>
          <w:tcPr>
            <w:tcW w:w="2410" w:type="dxa"/>
            <w:tcBorders>
              <w:top w:val="nil"/>
              <w:left w:val="nil"/>
              <w:bottom w:val="nil"/>
              <w:right w:val="nil"/>
            </w:tcBorders>
            <w:shd w:val="clear" w:color="auto" w:fill="auto"/>
            <w:vAlign w:val="bottom"/>
          </w:tcPr>
          <w:p w14:paraId="5BF14AD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0.049</w:t>
            </w:r>
          </w:p>
        </w:tc>
      </w:tr>
      <w:tr w:rsidR="008B2C48" w:rsidRPr="00A61D53" w14:paraId="66857E74" w14:textId="77777777">
        <w:tc>
          <w:tcPr>
            <w:tcW w:w="3828" w:type="dxa"/>
            <w:tcBorders>
              <w:top w:val="nil"/>
              <w:left w:val="nil"/>
              <w:bottom w:val="nil"/>
              <w:right w:val="nil"/>
            </w:tcBorders>
            <w:vAlign w:val="center"/>
          </w:tcPr>
          <w:p w14:paraId="4839611F"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Lebanon</w:t>
            </w:r>
          </w:p>
        </w:tc>
        <w:tc>
          <w:tcPr>
            <w:tcW w:w="2281" w:type="dxa"/>
            <w:tcBorders>
              <w:top w:val="nil"/>
              <w:left w:val="nil"/>
              <w:bottom w:val="nil"/>
              <w:right w:val="nil"/>
            </w:tcBorders>
            <w:shd w:val="clear" w:color="auto" w:fill="auto"/>
            <w:vAlign w:val="bottom"/>
          </w:tcPr>
          <w:p w14:paraId="5C4FB056"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0.036</w:t>
            </w:r>
          </w:p>
        </w:tc>
        <w:tc>
          <w:tcPr>
            <w:tcW w:w="2410" w:type="dxa"/>
            <w:tcBorders>
              <w:top w:val="nil"/>
              <w:left w:val="nil"/>
              <w:bottom w:val="nil"/>
              <w:right w:val="nil"/>
            </w:tcBorders>
            <w:shd w:val="clear" w:color="auto" w:fill="auto"/>
            <w:vAlign w:val="bottom"/>
          </w:tcPr>
          <w:p w14:paraId="782CB76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0.035</w:t>
            </w:r>
          </w:p>
        </w:tc>
      </w:tr>
      <w:tr w:rsidR="008B2C48" w:rsidRPr="00A61D53" w14:paraId="6E39AE89" w14:textId="77777777">
        <w:tc>
          <w:tcPr>
            <w:tcW w:w="3828" w:type="dxa"/>
            <w:tcBorders>
              <w:top w:val="nil"/>
              <w:left w:val="nil"/>
              <w:bottom w:val="nil"/>
              <w:right w:val="nil"/>
            </w:tcBorders>
            <w:vAlign w:val="center"/>
          </w:tcPr>
          <w:p w14:paraId="2A510846"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Lesotho</w:t>
            </w:r>
          </w:p>
        </w:tc>
        <w:tc>
          <w:tcPr>
            <w:tcW w:w="2281" w:type="dxa"/>
            <w:tcBorders>
              <w:top w:val="nil"/>
              <w:left w:val="nil"/>
              <w:bottom w:val="nil"/>
              <w:right w:val="nil"/>
            </w:tcBorders>
            <w:shd w:val="clear" w:color="auto" w:fill="auto"/>
            <w:vAlign w:val="bottom"/>
          </w:tcPr>
          <w:p w14:paraId="01B740FF"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6E4528C3"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09ED71E2" w14:textId="77777777">
        <w:tc>
          <w:tcPr>
            <w:tcW w:w="3828" w:type="dxa"/>
            <w:tcBorders>
              <w:top w:val="nil"/>
              <w:left w:val="nil"/>
              <w:bottom w:val="nil"/>
              <w:right w:val="nil"/>
            </w:tcBorders>
            <w:vAlign w:val="center"/>
          </w:tcPr>
          <w:p w14:paraId="35E9ABB1"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Liberia</w:t>
            </w:r>
          </w:p>
        </w:tc>
        <w:tc>
          <w:tcPr>
            <w:tcW w:w="2281" w:type="dxa"/>
            <w:tcBorders>
              <w:top w:val="nil"/>
              <w:left w:val="nil"/>
              <w:bottom w:val="nil"/>
              <w:right w:val="nil"/>
            </w:tcBorders>
            <w:shd w:val="clear" w:color="auto" w:fill="auto"/>
            <w:vAlign w:val="bottom"/>
          </w:tcPr>
          <w:p w14:paraId="606C6AC2"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3A487CED"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3563689F" w14:textId="77777777">
        <w:tc>
          <w:tcPr>
            <w:tcW w:w="3828" w:type="dxa"/>
            <w:tcBorders>
              <w:top w:val="nil"/>
              <w:left w:val="nil"/>
              <w:bottom w:val="nil"/>
              <w:right w:val="nil"/>
            </w:tcBorders>
            <w:vAlign w:val="center"/>
          </w:tcPr>
          <w:p w14:paraId="7536A026"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Libya</w:t>
            </w:r>
          </w:p>
        </w:tc>
        <w:tc>
          <w:tcPr>
            <w:tcW w:w="2281" w:type="dxa"/>
            <w:tcBorders>
              <w:top w:val="nil"/>
              <w:left w:val="nil"/>
              <w:bottom w:val="nil"/>
              <w:right w:val="nil"/>
            </w:tcBorders>
            <w:shd w:val="clear" w:color="auto" w:fill="auto"/>
            <w:vAlign w:val="bottom"/>
          </w:tcPr>
          <w:p w14:paraId="4BAAC2B9"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0.018</w:t>
            </w:r>
          </w:p>
        </w:tc>
        <w:tc>
          <w:tcPr>
            <w:tcW w:w="2410" w:type="dxa"/>
            <w:tcBorders>
              <w:top w:val="nil"/>
              <w:left w:val="nil"/>
              <w:bottom w:val="nil"/>
              <w:right w:val="nil"/>
            </w:tcBorders>
            <w:shd w:val="clear" w:color="auto" w:fill="auto"/>
            <w:vAlign w:val="bottom"/>
          </w:tcPr>
          <w:p w14:paraId="70FD02D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0.018</w:t>
            </w:r>
          </w:p>
        </w:tc>
      </w:tr>
      <w:tr w:rsidR="008B2C48" w:rsidRPr="00A61D53" w14:paraId="47A2EE3E" w14:textId="77777777">
        <w:tc>
          <w:tcPr>
            <w:tcW w:w="3828" w:type="dxa"/>
            <w:tcBorders>
              <w:top w:val="nil"/>
              <w:left w:val="nil"/>
              <w:bottom w:val="nil"/>
              <w:right w:val="nil"/>
            </w:tcBorders>
            <w:vAlign w:val="center"/>
          </w:tcPr>
          <w:p w14:paraId="41B16651"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Liechtenstein</w:t>
            </w:r>
          </w:p>
        </w:tc>
        <w:tc>
          <w:tcPr>
            <w:tcW w:w="2281" w:type="dxa"/>
            <w:tcBorders>
              <w:top w:val="nil"/>
              <w:left w:val="nil"/>
              <w:bottom w:val="nil"/>
              <w:right w:val="nil"/>
            </w:tcBorders>
            <w:shd w:val="clear" w:color="auto" w:fill="auto"/>
            <w:vAlign w:val="bottom"/>
          </w:tcPr>
          <w:p w14:paraId="4DAF0100"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0.010</w:t>
            </w:r>
          </w:p>
        </w:tc>
        <w:tc>
          <w:tcPr>
            <w:tcW w:w="2410" w:type="dxa"/>
            <w:tcBorders>
              <w:top w:val="nil"/>
              <w:left w:val="nil"/>
              <w:bottom w:val="nil"/>
              <w:right w:val="nil"/>
            </w:tcBorders>
            <w:shd w:val="clear" w:color="auto" w:fill="auto"/>
            <w:vAlign w:val="bottom"/>
          </w:tcPr>
          <w:p w14:paraId="4DC63318"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0.010</w:t>
            </w:r>
          </w:p>
        </w:tc>
      </w:tr>
      <w:tr w:rsidR="008B2C48" w:rsidRPr="00A61D53" w14:paraId="274B8CBA" w14:textId="77777777">
        <w:tc>
          <w:tcPr>
            <w:tcW w:w="3828" w:type="dxa"/>
            <w:tcBorders>
              <w:top w:val="nil"/>
              <w:left w:val="nil"/>
              <w:bottom w:val="nil"/>
              <w:right w:val="nil"/>
            </w:tcBorders>
            <w:vAlign w:val="center"/>
          </w:tcPr>
          <w:p w14:paraId="509AA826"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Lithuania</w:t>
            </w:r>
          </w:p>
        </w:tc>
        <w:tc>
          <w:tcPr>
            <w:tcW w:w="2281" w:type="dxa"/>
            <w:tcBorders>
              <w:top w:val="nil"/>
              <w:left w:val="nil"/>
              <w:bottom w:val="nil"/>
              <w:right w:val="nil"/>
            </w:tcBorders>
            <w:shd w:val="clear" w:color="auto" w:fill="auto"/>
            <w:vAlign w:val="bottom"/>
          </w:tcPr>
          <w:p w14:paraId="58319BA9"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0.077</w:t>
            </w:r>
          </w:p>
        </w:tc>
        <w:tc>
          <w:tcPr>
            <w:tcW w:w="2410" w:type="dxa"/>
            <w:tcBorders>
              <w:top w:val="nil"/>
              <w:left w:val="nil"/>
              <w:bottom w:val="nil"/>
              <w:right w:val="nil"/>
            </w:tcBorders>
            <w:shd w:val="clear" w:color="auto" w:fill="auto"/>
            <w:vAlign w:val="bottom"/>
          </w:tcPr>
          <w:p w14:paraId="022D84C8"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0.075</w:t>
            </w:r>
          </w:p>
        </w:tc>
      </w:tr>
      <w:tr w:rsidR="008B2C48" w:rsidRPr="00A61D53" w14:paraId="7176D051" w14:textId="77777777">
        <w:tc>
          <w:tcPr>
            <w:tcW w:w="3828" w:type="dxa"/>
            <w:tcBorders>
              <w:top w:val="nil"/>
              <w:left w:val="nil"/>
              <w:bottom w:val="nil"/>
              <w:right w:val="nil"/>
            </w:tcBorders>
            <w:vAlign w:val="center"/>
          </w:tcPr>
          <w:p w14:paraId="18628B86"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Luxembourg</w:t>
            </w:r>
          </w:p>
        </w:tc>
        <w:tc>
          <w:tcPr>
            <w:tcW w:w="2281" w:type="dxa"/>
            <w:tcBorders>
              <w:top w:val="nil"/>
              <w:left w:val="nil"/>
              <w:bottom w:val="nil"/>
              <w:right w:val="nil"/>
            </w:tcBorders>
            <w:shd w:val="clear" w:color="auto" w:fill="auto"/>
            <w:vAlign w:val="bottom"/>
          </w:tcPr>
          <w:p w14:paraId="178F56E5"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0.068</w:t>
            </w:r>
          </w:p>
        </w:tc>
        <w:tc>
          <w:tcPr>
            <w:tcW w:w="2410" w:type="dxa"/>
            <w:tcBorders>
              <w:top w:val="nil"/>
              <w:left w:val="nil"/>
              <w:bottom w:val="nil"/>
              <w:right w:val="nil"/>
            </w:tcBorders>
            <w:shd w:val="clear" w:color="auto" w:fill="auto"/>
            <w:vAlign w:val="bottom"/>
          </w:tcPr>
          <w:p w14:paraId="7105400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0.066</w:t>
            </w:r>
          </w:p>
        </w:tc>
      </w:tr>
      <w:tr w:rsidR="008B2C48" w:rsidRPr="00A61D53" w14:paraId="2304B58E" w14:textId="77777777">
        <w:tc>
          <w:tcPr>
            <w:tcW w:w="3828" w:type="dxa"/>
            <w:tcBorders>
              <w:top w:val="nil"/>
              <w:left w:val="nil"/>
              <w:bottom w:val="nil"/>
              <w:right w:val="nil"/>
            </w:tcBorders>
            <w:vAlign w:val="center"/>
          </w:tcPr>
          <w:p w14:paraId="7622AA09"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Madagascar</w:t>
            </w:r>
          </w:p>
        </w:tc>
        <w:tc>
          <w:tcPr>
            <w:tcW w:w="2281" w:type="dxa"/>
            <w:tcBorders>
              <w:top w:val="nil"/>
              <w:left w:val="nil"/>
              <w:bottom w:val="nil"/>
              <w:right w:val="nil"/>
            </w:tcBorders>
            <w:shd w:val="clear" w:color="auto" w:fill="auto"/>
            <w:vAlign w:val="bottom"/>
          </w:tcPr>
          <w:p w14:paraId="2AE209C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0.004</w:t>
            </w:r>
          </w:p>
        </w:tc>
        <w:tc>
          <w:tcPr>
            <w:tcW w:w="2410" w:type="dxa"/>
            <w:tcBorders>
              <w:top w:val="nil"/>
              <w:left w:val="nil"/>
              <w:bottom w:val="nil"/>
              <w:right w:val="nil"/>
            </w:tcBorders>
            <w:shd w:val="clear" w:color="auto" w:fill="auto"/>
            <w:vAlign w:val="bottom"/>
          </w:tcPr>
          <w:p w14:paraId="3C9E613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0.004</w:t>
            </w:r>
          </w:p>
        </w:tc>
      </w:tr>
      <w:tr w:rsidR="008B2C48" w:rsidRPr="00A61D53" w14:paraId="155C2585" w14:textId="77777777">
        <w:tc>
          <w:tcPr>
            <w:tcW w:w="3828" w:type="dxa"/>
            <w:tcBorders>
              <w:top w:val="nil"/>
              <w:left w:val="nil"/>
              <w:bottom w:val="nil"/>
              <w:right w:val="nil"/>
            </w:tcBorders>
            <w:vAlign w:val="center"/>
          </w:tcPr>
          <w:p w14:paraId="06B5C701"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Malawi</w:t>
            </w:r>
          </w:p>
        </w:tc>
        <w:tc>
          <w:tcPr>
            <w:tcW w:w="2281" w:type="dxa"/>
            <w:tcBorders>
              <w:top w:val="nil"/>
              <w:left w:val="nil"/>
              <w:bottom w:val="nil"/>
              <w:right w:val="nil"/>
            </w:tcBorders>
            <w:shd w:val="clear" w:color="auto" w:fill="auto"/>
            <w:vAlign w:val="bottom"/>
          </w:tcPr>
          <w:p w14:paraId="06A0309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0.002</w:t>
            </w:r>
          </w:p>
        </w:tc>
        <w:tc>
          <w:tcPr>
            <w:tcW w:w="2410" w:type="dxa"/>
            <w:tcBorders>
              <w:top w:val="nil"/>
              <w:left w:val="nil"/>
              <w:bottom w:val="nil"/>
              <w:right w:val="nil"/>
            </w:tcBorders>
            <w:shd w:val="clear" w:color="auto" w:fill="auto"/>
            <w:vAlign w:val="bottom"/>
          </w:tcPr>
          <w:p w14:paraId="4A756979"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0.002</w:t>
            </w:r>
          </w:p>
        </w:tc>
      </w:tr>
      <w:tr w:rsidR="008B2C48" w:rsidRPr="00A61D53" w14:paraId="62D2297D" w14:textId="77777777">
        <w:tc>
          <w:tcPr>
            <w:tcW w:w="3828" w:type="dxa"/>
            <w:tcBorders>
              <w:top w:val="nil"/>
              <w:left w:val="nil"/>
              <w:bottom w:val="nil"/>
              <w:right w:val="nil"/>
            </w:tcBorders>
            <w:vAlign w:val="center"/>
          </w:tcPr>
          <w:p w14:paraId="0B181BA3"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Malaysia</w:t>
            </w:r>
          </w:p>
        </w:tc>
        <w:tc>
          <w:tcPr>
            <w:tcW w:w="2281" w:type="dxa"/>
            <w:tcBorders>
              <w:top w:val="nil"/>
              <w:left w:val="nil"/>
              <w:bottom w:val="nil"/>
              <w:right w:val="nil"/>
            </w:tcBorders>
            <w:shd w:val="clear" w:color="auto" w:fill="auto"/>
            <w:vAlign w:val="bottom"/>
          </w:tcPr>
          <w:p w14:paraId="36E8F829"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0.348</w:t>
            </w:r>
          </w:p>
        </w:tc>
        <w:tc>
          <w:tcPr>
            <w:tcW w:w="2410" w:type="dxa"/>
            <w:tcBorders>
              <w:top w:val="nil"/>
              <w:left w:val="nil"/>
              <w:bottom w:val="nil"/>
              <w:right w:val="nil"/>
            </w:tcBorders>
            <w:shd w:val="clear" w:color="auto" w:fill="auto"/>
            <w:vAlign w:val="bottom"/>
          </w:tcPr>
          <w:p w14:paraId="2284FC5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0.339</w:t>
            </w:r>
          </w:p>
        </w:tc>
      </w:tr>
      <w:tr w:rsidR="008B2C48" w:rsidRPr="00A61D53" w14:paraId="327011FD" w14:textId="77777777">
        <w:tc>
          <w:tcPr>
            <w:tcW w:w="3828" w:type="dxa"/>
            <w:tcBorders>
              <w:top w:val="nil"/>
              <w:left w:val="nil"/>
              <w:bottom w:val="nil"/>
              <w:right w:val="nil"/>
            </w:tcBorders>
            <w:vAlign w:val="center"/>
          </w:tcPr>
          <w:p w14:paraId="338E98F9"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Maldives</w:t>
            </w:r>
          </w:p>
        </w:tc>
        <w:tc>
          <w:tcPr>
            <w:tcW w:w="2281" w:type="dxa"/>
            <w:tcBorders>
              <w:top w:val="nil"/>
              <w:left w:val="nil"/>
              <w:bottom w:val="nil"/>
              <w:right w:val="nil"/>
            </w:tcBorders>
            <w:shd w:val="clear" w:color="auto" w:fill="auto"/>
            <w:vAlign w:val="bottom"/>
          </w:tcPr>
          <w:p w14:paraId="008F45E7"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0.004</w:t>
            </w:r>
          </w:p>
        </w:tc>
        <w:tc>
          <w:tcPr>
            <w:tcW w:w="2410" w:type="dxa"/>
            <w:tcBorders>
              <w:top w:val="nil"/>
              <w:left w:val="nil"/>
              <w:bottom w:val="nil"/>
              <w:right w:val="nil"/>
            </w:tcBorders>
            <w:shd w:val="clear" w:color="auto" w:fill="auto"/>
            <w:vAlign w:val="bottom"/>
          </w:tcPr>
          <w:p w14:paraId="1379604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0.004</w:t>
            </w:r>
          </w:p>
        </w:tc>
      </w:tr>
      <w:tr w:rsidR="008B2C48" w:rsidRPr="00A61D53" w14:paraId="5DB6FE40" w14:textId="77777777">
        <w:tc>
          <w:tcPr>
            <w:tcW w:w="3828" w:type="dxa"/>
            <w:tcBorders>
              <w:top w:val="nil"/>
              <w:left w:val="nil"/>
              <w:bottom w:val="nil"/>
              <w:right w:val="nil"/>
            </w:tcBorders>
            <w:vAlign w:val="center"/>
          </w:tcPr>
          <w:p w14:paraId="106ED5BE"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Mali</w:t>
            </w:r>
          </w:p>
        </w:tc>
        <w:tc>
          <w:tcPr>
            <w:tcW w:w="2281" w:type="dxa"/>
            <w:tcBorders>
              <w:top w:val="nil"/>
              <w:left w:val="nil"/>
              <w:bottom w:val="nil"/>
              <w:right w:val="nil"/>
            </w:tcBorders>
            <w:shd w:val="clear" w:color="auto" w:fill="auto"/>
            <w:vAlign w:val="bottom"/>
          </w:tcPr>
          <w:p w14:paraId="070A860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0.005</w:t>
            </w:r>
          </w:p>
        </w:tc>
        <w:tc>
          <w:tcPr>
            <w:tcW w:w="2410" w:type="dxa"/>
            <w:tcBorders>
              <w:top w:val="nil"/>
              <w:left w:val="nil"/>
              <w:bottom w:val="nil"/>
              <w:right w:val="nil"/>
            </w:tcBorders>
            <w:shd w:val="clear" w:color="auto" w:fill="auto"/>
            <w:vAlign w:val="bottom"/>
          </w:tcPr>
          <w:p w14:paraId="39C5360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0.005</w:t>
            </w:r>
          </w:p>
        </w:tc>
      </w:tr>
      <w:tr w:rsidR="008B2C48" w:rsidRPr="00A61D53" w14:paraId="5A1C0246" w14:textId="77777777">
        <w:tc>
          <w:tcPr>
            <w:tcW w:w="3828" w:type="dxa"/>
            <w:tcBorders>
              <w:top w:val="nil"/>
              <w:left w:val="nil"/>
              <w:bottom w:val="nil"/>
              <w:right w:val="nil"/>
            </w:tcBorders>
            <w:vAlign w:val="center"/>
          </w:tcPr>
          <w:p w14:paraId="5044D2E3"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Malta</w:t>
            </w:r>
          </w:p>
        </w:tc>
        <w:tc>
          <w:tcPr>
            <w:tcW w:w="2281" w:type="dxa"/>
            <w:tcBorders>
              <w:top w:val="nil"/>
              <w:left w:val="nil"/>
              <w:bottom w:val="nil"/>
              <w:right w:val="nil"/>
            </w:tcBorders>
            <w:shd w:val="clear" w:color="auto" w:fill="auto"/>
            <w:vAlign w:val="bottom"/>
          </w:tcPr>
          <w:p w14:paraId="7B5B2F0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0.019</w:t>
            </w:r>
          </w:p>
        </w:tc>
        <w:tc>
          <w:tcPr>
            <w:tcW w:w="2410" w:type="dxa"/>
            <w:tcBorders>
              <w:top w:val="nil"/>
              <w:left w:val="nil"/>
              <w:bottom w:val="nil"/>
              <w:right w:val="nil"/>
            </w:tcBorders>
            <w:shd w:val="clear" w:color="auto" w:fill="auto"/>
            <w:vAlign w:val="bottom"/>
          </w:tcPr>
          <w:p w14:paraId="7428BE5E"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0.019</w:t>
            </w:r>
          </w:p>
        </w:tc>
      </w:tr>
      <w:tr w:rsidR="008B2C48" w:rsidRPr="00A61D53" w14:paraId="299CF5B6" w14:textId="77777777">
        <w:tc>
          <w:tcPr>
            <w:tcW w:w="3828" w:type="dxa"/>
            <w:tcBorders>
              <w:top w:val="nil"/>
              <w:left w:val="nil"/>
              <w:bottom w:val="nil"/>
              <w:right w:val="nil"/>
            </w:tcBorders>
            <w:vAlign w:val="center"/>
          </w:tcPr>
          <w:p w14:paraId="7F902772"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Marshall Islands</w:t>
            </w:r>
          </w:p>
        </w:tc>
        <w:tc>
          <w:tcPr>
            <w:tcW w:w="2281" w:type="dxa"/>
            <w:tcBorders>
              <w:top w:val="nil"/>
              <w:left w:val="nil"/>
              <w:bottom w:val="nil"/>
              <w:right w:val="nil"/>
            </w:tcBorders>
            <w:shd w:val="clear" w:color="auto" w:fill="auto"/>
            <w:vAlign w:val="bottom"/>
          </w:tcPr>
          <w:p w14:paraId="58462F75"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17977CD7"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50825A1E" w14:textId="77777777">
        <w:tc>
          <w:tcPr>
            <w:tcW w:w="3828" w:type="dxa"/>
            <w:tcBorders>
              <w:top w:val="nil"/>
              <w:left w:val="nil"/>
              <w:bottom w:val="nil"/>
              <w:right w:val="nil"/>
            </w:tcBorders>
            <w:vAlign w:val="center"/>
          </w:tcPr>
          <w:p w14:paraId="058B040A"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Mauritania</w:t>
            </w:r>
          </w:p>
        </w:tc>
        <w:tc>
          <w:tcPr>
            <w:tcW w:w="2281" w:type="dxa"/>
            <w:tcBorders>
              <w:top w:val="nil"/>
              <w:left w:val="nil"/>
              <w:bottom w:val="nil"/>
              <w:right w:val="nil"/>
            </w:tcBorders>
            <w:shd w:val="clear" w:color="auto" w:fill="auto"/>
            <w:vAlign w:val="bottom"/>
          </w:tcPr>
          <w:p w14:paraId="41269A99"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0.002</w:t>
            </w:r>
          </w:p>
        </w:tc>
        <w:tc>
          <w:tcPr>
            <w:tcW w:w="2410" w:type="dxa"/>
            <w:tcBorders>
              <w:top w:val="nil"/>
              <w:left w:val="nil"/>
              <w:bottom w:val="nil"/>
              <w:right w:val="nil"/>
            </w:tcBorders>
            <w:shd w:val="clear" w:color="auto" w:fill="auto"/>
            <w:vAlign w:val="bottom"/>
          </w:tcPr>
          <w:p w14:paraId="0105A472"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0.002</w:t>
            </w:r>
          </w:p>
        </w:tc>
      </w:tr>
      <w:tr w:rsidR="008B2C48" w:rsidRPr="00A61D53" w14:paraId="2F780975" w14:textId="77777777">
        <w:tc>
          <w:tcPr>
            <w:tcW w:w="3828" w:type="dxa"/>
            <w:tcBorders>
              <w:top w:val="nil"/>
              <w:left w:val="nil"/>
              <w:bottom w:val="nil"/>
              <w:right w:val="nil"/>
            </w:tcBorders>
            <w:vAlign w:val="center"/>
          </w:tcPr>
          <w:p w14:paraId="33C80D4A"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Mauritius</w:t>
            </w:r>
          </w:p>
        </w:tc>
        <w:tc>
          <w:tcPr>
            <w:tcW w:w="2281" w:type="dxa"/>
            <w:tcBorders>
              <w:top w:val="nil"/>
              <w:left w:val="nil"/>
              <w:bottom w:val="nil"/>
              <w:right w:val="nil"/>
            </w:tcBorders>
            <w:shd w:val="clear" w:color="auto" w:fill="auto"/>
            <w:vAlign w:val="bottom"/>
          </w:tcPr>
          <w:p w14:paraId="1CB28D67"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0.019</w:t>
            </w:r>
          </w:p>
        </w:tc>
        <w:tc>
          <w:tcPr>
            <w:tcW w:w="2410" w:type="dxa"/>
            <w:tcBorders>
              <w:top w:val="nil"/>
              <w:left w:val="nil"/>
              <w:bottom w:val="nil"/>
              <w:right w:val="nil"/>
            </w:tcBorders>
            <w:shd w:val="clear" w:color="auto" w:fill="auto"/>
            <w:vAlign w:val="bottom"/>
          </w:tcPr>
          <w:p w14:paraId="08E760C5"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0.019</w:t>
            </w:r>
          </w:p>
        </w:tc>
      </w:tr>
      <w:tr w:rsidR="008B2C48" w:rsidRPr="00A61D53" w14:paraId="7FA530EC" w14:textId="77777777">
        <w:tc>
          <w:tcPr>
            <w:tcW w:w="3828" w:type="dxa"/>
            <w:tcBorders>
              <w:top w:val="nil"/>
              <w:left w:val="nil"/>
              <w:bottom w:val="nil"/>
              <w:right w:val="nil"/>
            </w:tcBorders>
            <w:vAlign w:val="center"/>
          </w:tcPr>
          <w:p w14:paraId="2B0FA792"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Mexico</w:t>
            </w:r>
          </w:p>
        </w:tc>
        <w:tc>
          <w:tcPr>
            <w:tcW w:w="2281" w:type="dxa"/>
            <w:tcBorders>
              <w:top w:val="nil"/>
              <w:left w:val="nil"/>
              <w:bottom w:val="nil"/>
              <w:right w:val="nil"/>
            </w:tcBorders>
            <w:shd w:val="clear" w:color="auto" w:fill="auto"/>
            <w:vAlign w:val="bottom"/>
          </w:tcPr>
          <w:p w14:paraId="129C4C4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1.221</w:t>
            </w:r>
          </w:p>
        </w:tc>
        <w:tc>
          <w:tcPr>
            <w:tcW w:w="2410" w:type="dxa"/>
            <w:tcBorders>
              <w:top w:val="nil"/>
              <w:left w:val="nil"/>
              <w:bottom w:val="nil"/>
              <w:right w:val="nil"/>
            </w:tcBorders>
            <w:shd w:val="clear" w:color="auto" w:fill="auto"/>
            <w:vAlign w:val="bottom"/>
          </w:tcPr>
          <w:p w14:paraId="112626A5"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1.190</w:t>
            </w:r>
          </w:p>
        </w:tc>
      </w:tr>
      <w:tr w:rsidR="008B2C48" w:rsidRPr="00A61D53" w14:paraId="389BCA0C" w14:textId="77777777">
        <w:tc>
          <w:tcPr>
            <w:tcW w:w="3828" w:type="dxa"/>
            <w:tcBorders>
              <w:top w:val="nil"/>
              <w:left w:val="nil"/>
              <w:bottom w:val="nil"/>
              <w:right w:val="nil"/>
            </w:tcBorders>
            <w:vAlign w:val="center"/>
          </w:tcPr>
          <w:p w14:paraId="7F52DBA5"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Micronesia (Federated States of)</w:t>
            </w:r>
          </w:p>
        </w:tc>
        <w:tc>
          <w:tcPr>
            <w:tcW w:w="2281" w:type="dxa"/>
            <w:tcBorders>
              <w:top w:val="nil"/>
              <w:left w:val="nil"/>
              <w:bottom w:val="nil"/>
              <w:right w:val="nil"/>
            </w:tcBorders>
            <w:shd w:val="clear" w:color="auto" w:fill="auto"/>
            <w:vAlign w:val="bottom"/>
          </w:tcPr>
          <w:p w14:paraId="28C14A58"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1A4DE01F"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280C823D" w14:textId="77777777">
        <w:tc>
          <w:tcPr>
            <w:tcW w:w="3828" w:type="dxa"/>
            <w:tcBorders>
              <w:top w:val="nil"/>
              <w:left w:val="nil"/>
              <w:bottom w:val="nil"/>
              <w:right w:val="nil"/>
            </w:tcBorders>
            <w:vAlign w:val="center"/>
          </w:tcPr>
          <w:p w14:paraId="4BA2FE75"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Monaco</w:t>
            </w:r>
          </w:p>
        </w:tc>
        <w:tc>
          <w:tcPr>
            <w:tcW w:w="2281" w:type="dxa"/>
            <w:tcBorders>
              <w:top w:val="nil"/>
              <w:left w:val="nil"/>
              <w:bottom w:val="nil"/>
              <w:right w:val="nil"/>
            </w:tcBorders>
            <w:shd w:val="clear" w:color="auto" w:fill="auto"/>
            <w:vAlign w:val="bottom"/>
          </w:tcPr>
          <w:p w14:paraId="4708AF03"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0.011</w:t>
            </w:r>
          </w:p>
        </w:tc>
        <w:tc>
          <w:tcPr>
            <w:tcW w:w="2410" w:type="dxa"/>
            <w:tcBorders>
              <w:top w:val="nil"/>
              <w:left w:val="nil"/>
              <w:bottom w:val="nil"/>
              <w:right w:val="nil"/>
            </w:tcBorders>
            <w:shd w:val="clear" w:color="auto" w:fill="auto"/>
            <w:vAlign w:val="bottom"/>
          </w:tcPr>
          <w:p w14:paraId="332EDE22"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0.011</w:t>
            </w:r>
          </w:p>
        </w:tc>
      </w:tr>
      <w:tr w:rsidR="008B2C48" w:rsidRPr="00A61D53" w14:paraId="0461DD98" w14:textId="77777777">
        <w:tc>
          <w:tcPr>
            <w:tcW w:w="3828" w:type="dxa"/>
            <w:tcBorders>
              <w:top w:val="nil"/>
              <w:left w:val="nil"/>
              <w:bottom w:val="nil"/>
              <w:right w:val="nil"/>
            </w:tcBorders>
            <w:vAlign w:val="center"/>
          </w:tcPr>
          <w:p w14:paraId="02ED275F"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Mongolia</w:t>
            </w:r>
          </w:p>
        </w:tc>
        <w:tc>
          <w:tcPr>
            <w:tcW w:w="2281" w:type="dxa"/>
            <w:tcBorders>
              <w:top w:val="nil"/>
              <w:left w:val="nil"/>
              <w:bottom w:val="nil"/>
              <w:right w:val="nil"/>
            </w:tcBorders>
            <w:shd w:val="clear" w:color="auto" w:fill="auto"/>
            <w:vAlign w:val="bottom"/>
          </w:tcPr>
          <w:p w14:paraId="5F0C066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0.004</w:t>
            </w:r>
          </w:p>
        </w:tc>
        <w:tc>
          <w:tcPr>
            <w:tcW w:w="2410" w:type="dxa"/>
            <w:tcBorders>
              <w:top w:val="nil"/>
              <w:left w:val="nil"/>
              <w:bottom w:val="nil"/>
              <w:right w:val="nil"/>
            </w:tcBorders>
            <w:shd w:val="clear" w:color="auto" w:fill="auto"/>
            <w:vAlign w:val="bottom"/>
          </w:tcPr>
          <w:p w14:paraId="6B5DB126"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0.004</w:t>
            </w:r>
          </w:p>
        </w:tc>
      </w:tr>
      <w:tr w:rsidR="008B2C48" w:rsidRPr="00A61D53" w14:paraId="2A4466F7" w14:textId="77777777">
        <w:tc>
          <w:tcPr>
            <w:tcW w:w="3828" w:type="dxa"/>
            <w:tcBorders>
              <w:top w:val="nil"/>
              <w:left w:val="nil"/>
              <w:bottom w:val="nil"/>
              <w:right w:val="nil"/>
            </w:tcBorders>
            <w:vAlign w:val="center"/>
          </w:tcPr>
          <w:p w14:paraId="397EBB27"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Montenegro</w:t>
            </w:r>
          </w:p>
        </w:tc>
        <w:tc>
          <w:tcPr>
            <w:tcW w:w="2281" w:type="dxa"/>
            <w:tcBorders>
              <w:top w:val="nil"/>
              <w:left w:val="nil"/>
              <w:bottom w:val="nil"/>
              <w:right w:val="nil"/>
            </w:tcBorders>
            <w:shd w:val="clear" w:color="auto" w:fill="auto"/>
            <w:vAlign w:val="bottom"/>
          </w:tcPr>
          <w:p w14:paraId="4DDEA41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0.004</w:t>
            </w:r>
          </w:p>
        </w:tc>
        <w:tc>
          <w:tcPr>
            <w:tcW w:w="2410" w:type="dxa"/>
            <w:tcBorders>
              <w:top w:val="nil"/>
              <w:left w:val="nil"/>
              <w:bottom w:val="nil"/>
              <w:right w:val="nil"/>
            </w:tcBorders>
            <w:shd w:val="clear" w:color="auto" w:fill="auto"/>
            <w:vAlign w:val="bottom"/>
          </w:tcPr>
          <w:p w14:paraId="71497618"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0.004</w:t>
            </w:r>
          </w:p>
        </w:tc>
      </w:tr>
      <w:tr w:rsidR="008B2C48" w:rsidRPr="00A61D53" w14:paraId="2457C82E" w14:textId="77777777">
        <w:tc>
          <w:tcPr>
            <w:tcW w:w="3828" w:type="dxa"/>
            <w:tcBorders>
              <w:top w:val="nil"/>
              <w:left w:val="nil"/>
              <w:bottom w:val="nil"/>
              <w:right w:val="nil"/>
            </w:tcBorders>
            <w:vAlign w:val="center"/>
          </w:tcPr>
          <w:p w14:paraId="1D2EC91B"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 xml:space="preserve">Morocco </w:t>
            </w:r>
          </w:p>
        </w:tc>
        <w:tc>
          <w:tcPr>
            <w:tcW w:w="2281" w:type="dxa"/>
            <w:tcBorders>
              <w:top w:val="nil"/>
              <w:left w:val="nil"/>
              <w:bottom w:val="nil"/>
              <w:right w:val="nil"/>
            </w:tcBorders>
            <w:shd w:val="clear" w:color="auto" w:fill="auto"/>
            <w:vAlign w:val="bottom"/>
          </w:tcPr>
          <w:p w14:paraId="26E5CD3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0.055</w:t>
            </w:r>
          </w:p>
        </w:tc>
        <w:tc>
          <w:tcPr>
            <w:tcW w:w="2410" w:type="dxa"/>
            <w:tcBorders>
              <w:top w:val="nil"/>
              <w:left w:val="nil"/>
              <w:bottom w:val="nil"/>
              <w:right w:val="nil"/>
            </w:tcBorders>
            <w:shd w:val="clear" w:color="auto" w:fill="auto"/>
            <w:vAlign w:val="bottom"/>
          </w:tcPr>
          <w:p w14:paraId="58FE06CD"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0.054</w:t>
            </w:r>
          </w:p>
        </w:tc>
      </w:tr>
      <w:tr w:rsidR="008B2C48" w:rsidRPr="00A61D53" w14:paraId="0450D5D5" w14:textId="77777777">
        <w:tc>
          <w:tcPr>
            <w:tcW w:w="3828" w:type="dxa"/>
            <w:tcBorders>
              <w:top w:val="nil"/>
              <w:left w:val="nil"/>
              <w:bottom w:val="nil"/>
              <w:right w:val="nil"/>
            </w:tcBorders>
            <w:vAlign w:val="center"/>
          </w:tcPr>
          <w:p w14:paraId="56A76127"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Mozambique</w:t>
            </w:r>
          </w:p>
        </w:tc>
        <w:tc>
          <w:tcPr>
            <w:tcW w:w="2281" w:type="dxa"/>
            <w:tcBorders>
              <w:top w:val="nil"/>
              <w:left w:val="nil"/>
              <w:bottom w:val="nil"/>
              <w:right w:val="nil"/>
            </w:tcBorders>
            <w:shd w:val="clear" w:color="auto" w:fill="auto"/>
            <w:vAlign w:val="bottom"/>
          </w:tcPr>
          <w:p w14:paraId="6E470A3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0.004</w:t>
            </w:r>
          </w:p>
        </w:tc>
        <w:tc>
          <w:tcPr>
            <w:tcW w:w="2410" w:type="dxa"/>
            <w:tcBorders>
              <w:top w:val="nil"/>
              <w:left w:val="nil"/>
              <w:bottom w:val="nil"/>
              <w:right w:val="nil"/>
            </w:tcBorders>
            <w:shd w:val="clear" w:color="auto" w:fill="auto"/>
            <w:vAlign w:val="bottom"/>
          </w:tcPr>
          <w:p w14:paraId="365F627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0.004</w:t>
            </w:r>
          </w:p>
        </w:tc>
      </w:tr>
      <w:tr w:rsidR="008B2C48" w:rsidRPr="00A61D53" w14:paraId="64094EE0" w14:textId="77777777">
        <w:tc>
          <w:tcPr>
            <w:tcW w:w="3828" w:type="dxa"/>
            <w:tcBorders>
              <w:top w:val="nil"/>
              <w:left w:val="nil"/>
              <w:bottom w:val="nil"/>
              <w:right w:val="nil"/>
            </w:tcBorders>
            <w:vAlign w:val="center"/>
          </w:tcPr>
          <w:p w14:paraId="2C28101E"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Myanmar</w:t>
            </w:r>
          </w:p>
        </w:tc>
        <w:tc>
          <w:tcPr>
            <w:tcW w:w="2281" w:type="dxa"/>
            <w:tcBorders>
              <w:top w:val="nil"/>
              <w:left w:val="nil"/>
              <w:bottom w:val="nil"/>
              <w:right w:val="nil"/>
            </w:tcBorders>
            <w:shd w:val="clear" w:color="auto" w:fill="auto"/>
            <w:vAlign w:val="bottom"/>
          </w:tcPr>
          <w:p w14:paraId="17FF0A2B" w14:textId="77777777" w:rsidR="008B2C48" w:rsidRPr="00A61D53" w:rsidRDefault="008B2C48">
            <w:pPr>
              <w:suppressAutoHyphens w:val="0"/>
              <w:spacing w:before="40" w:after="40" w:line="200" w:lineRule="exact"/>
              <w:jc w:val="right"/>
              <w:rPr>
                <w:rFonts w:eastAsia="MS Mincho"/>
                <w:color w:val="000000"/>
                <w:sz w:val="18"/>
                <w:szCs w:val="18"/>
                <w:lang w:eastAsia="de-DE"/>
              </w:rPr>
            </w:pPr>
            <w:r w:rsidRPr="00A61D53">
              <w:rPr>
                <w:color w:val="000000"/>
                <w:sz w:val="18"/>
                <w:szCs w:val="18"/>
              </w:rPr>
              <w:t>0.010</w:t>
            </w:r>
          </w:p>
        </w:tc>
        <w:tc>
          <w:tcPr>
            <w:tcW w:w="2410" w:type="dxa"/>
            <w:tcBorders>
              <w:top w:val="nil"/>
              <w:left w:val="nil"/>
              <w:bottom w:val="nil"/>
              <w:right w:val="nil"/>
            </w:tcBorders>
            <w:shd w:val="clear" w:color="auto" w:fill="auto"/>
            <w:vAlign w:val="bottom"/>
          </w:tcPr>
          <w:p w14:paraId="2E35E119"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0.010</w:t>
            </w:r>
          </w:p>
        </w:tc>
      </w:tr>
      <w:tr w:rsidR="008B2C48" w:rsidRPr="00A61D53" w14:paraId="71F653D5" w14:textId="77777777">
        <w:tc>
          <w:tcPr>
            <w:tcW w:w="3828" w:type="dxa"/>
            <w:tcBorders>
              <w:top w:val="nil"/>
              <w:left w:val="nil"/>
              <w:bottom w:val="nil"/>
              <w:right w:val="nil"/>
            </w:tcBorders>
            <w:vAlign w:val="center"/>
          </w:tcPr>
          <w:p w14:paraId="5423DC90"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Namibia</w:t>
            </w:r>
          </w:p>
        </w:tc>
        <w:tc>
          <w:tcPr>
            <w:tcW w:w="2281" w:type="dxa"/>
            <w:tcBorders>
              <w:top w:val="nil"/>
              <w:left w:val="nil"/>
              <w:bottom w:val="nil"/>
              <w:right w:val="nil"/>
            </w:tcBorders>
            <w:shd w:val="clear" w:color="auto" w:fill="auto"/>
            <w:vAlign w:val="bottom"/>
          </w:tcPr>
          <w:p w14:paraId="7ED15D72"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0.009</w:t>
            </w:r>
          </w:p>
        </w:tc>
        <w:tc>
          <w:tcPr>
            <w:tcW w:w="2410" w:type="dxa"/>
            <w:tcBorders>
              <w:top w:val="nil"/>
              <w:left w:val="nil"/>
              <w:bottom w:val="nil"/>
              <w:right w:val="nil"/>
            </w:tcBorders>
            <w:shd w:val="clear" w:color="auto" w:fill="auto"/>
            <w:vAlign w:val="bottom"/>
          </w:tcPr>
          <w:p w14:paraId="40FAD626"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0.009</w:t>
            </w:r>
          </w:p>
        </w:tc>
      </w:tr>
      <w:tr w:rsidR="008B2C48" w:rsidRPr="00A61D53" w14:paraId="23270F5F" w14:textId="77777777">
        <w:tc>
          <w:tcPr>
            <w:tcW w:w="3828" w:type="dxa"/>
            <w:tcBorders>
              <w:top w:val="nil"/>
              <w:left w:val="nil"/>
              <w:bottom w:val="nil"/>
              <w:right w:val="nil"/>
            </w:tcBorders>
            <w:vAlign w:val="center"/>
          </w:tcPr>
          <w:p w14:paraId="11FAFF07"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Nauru</w:t>
            </w:r>
          </w:p>
        </w:tc>
        <w:tc>
          <w:tcPr>
            <w:tcW w:w="2281" w:type="dxa"/>
            <w:tcBorders>
              <w:top w:val="nil"/>
              <w:left w:val="nil"/>
              <w:bottom w:val="nil"/>
              <w:right w:val="nil"/>
            </w:tcBorders>
            <w:shd w:val="clear" w:color="auto" w:fill="auto"/>
            <w:vAlign w:val="bottom"/>
          </w:tcPr>
          <w:p w14:paraId="651671B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2914EF2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64F2E201" w14:textId="77777777">
        <w:tc>
          <w:tcPr>
            <w:tcW w:w="3828" w:type="dxa"/>
            <w:tcBorders>
              <w:top w:val="nil"/>
              <w:left w:val="nil"/>
              <w:bottom w:val="nil"/>
              <w:right w:val="nil"/>
            </w:tcBorders>
            <w:vAlign w:val="center"/>
          </w:tcPr>
          <w:p w14:paraId="2C857A71"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Nepal</w:t>
            </w:r>
          </w:p>
        </w:tc>
        <w:tc>
          <w:tcPr>
            <w:tcW w:w="2281" w:type="dxa"/>
            <w:tcBorders>
              <w:top w:val="nil"/>
              <w:left w:val="nil"/>
              <w:bottom w:val="nil"/>
              <w:right w:val="nil"/>
            </w:tcBorders>
            <w:shd w:val="clear" w:color="auto" w:fill="auto"/>
            <w:vAlign w:val="bottom"/>
          </w:tcPr>
          <w:p w14:paraId="17B70D1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0.010</w:t>
            </w:r>
          </w:p>
        </w:tc>
        <w:tc>
          <w:tcPr>
            <w:tcW w:w="2410" w:type="dxa"/>
            <w:tcBorders>
              <w:top w:val="nil"/>
              <w:left w:val="nil"/>
              <w:bottom w:val="nil"/>
              <w:right w:val="nil"/>
            </w:tcBorders>
            <w:shd w:val="clear" w:color="auto" w:fill="auto"/>
            <w:vAlign w:val="bottom"/>
          </w:tcPr>
          <w:p w14:paraId="647E864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0.010</w:t>
            </w:r>
          </w:p>
        </w:tc>
      </w:tr>
      <w:tr w:rsidR="0001588F" w:rsidRPr="00A61D53" w14:paraId="3CD41CBB" w14:textId="77777777">
        <w:tc>
          <w:tcPr>
            <w:tcW w:w="3828" w:type="dxa"/>
            <w:tcBorders>
              <w:top w:val="nil"/>
              <w:left w:val="nil"/>
              <w:bottom w:val="nil"/>
              <w:right w:val="nil"/>
            </w:tcBorders>
            <w:vAlign w:val="center"/>
          </w:tcPr>
          <w:p w14:paraId="35971CB7" w14:textId="22870870" w:rsidR="0001588F" w:rsidRPr="00A61D53" w:rsidRDefault="0001588F">
            <w:pPr>
              <w:suppressAutoHyphens w:val="0"/>
              <w:spacing w:before="40" w:after="40" w:line="200" w:lineRule="exact"/>
              <w:ind w:left="360" w:hanging="360"/>
              <w:rPr>
                <w:color w:val="000000"/>
                <w:sz w:val="18"/>
                <w:szCs w:val="18"/>
              </w:rPr>
            </w:pPr>
            <w:r w:rsidRPr="00A61D53">
              <w:rPr>
                <w:color w:val="000000"/>
                <w:sz w:val="18"/>
                <w:szCs w:val="18"/>
              </w:rPr>
              <w:t>Netherlands</w:t>
            </w:r>
            <w:r w:rsidR="00035B3E">
              <w:rPr>
                <w:color w:val="000000"/>
                <w:sz w:val="18"/>
                <w:szCs w:val="18"/>
              </w:rPr>
              <w:t xml:space="preserve"> (</w:t>
            </w:r>
            <w:r w:rsidR="00035B3E" w:rsidRPr="00A61D53">
              <w:rPr>
                <w:color w:val="000000"/>
                <w:sz w:val="18"/>
                <w:szCs w:val="18"/>
              </w:rPr>
              <w:t>Kingdom of the</w:t>
            </w:r>
            <w:r w:rsidR="00035B3E">
              <w:rPr>
                <w:color w:val="000000"/>
                <w:sz w:val="18"/>
                <w:szCs w:val="18"/>
              </w:rPr>
              <w:t>)</w:t>
            </w:r>
          </w:p>
        </w:tc>
        <w:tc>
          <w:tcPr>
            <w:tcW w:w="2281" w:type="dxa"/>
            <w:tcBorders>
              <w:top w:val="nil"/>
              <w:left w:val="nil"/>
              <w:bottom w:val="nil"/>
              <w:right w:val="nil"/>
            </w:tcBorders>
            <w:shd w:val="clear" w:color="auto" w:fill="auto"/>
            <w:vAlign w:val="bottom"/>
          </w:tcPr>
          <w:p w14:paraId="0135782B" w14:textId="77777777" w:rsidR="0001588F" w:rsidRPr="00A61D53" w:rsidRDefault="0001588F">
            <w:pPr>
              <w:suppressAutoHyphens w:val="0"/>
              <w:spacing w:before="40" w:after="40" w:line="200" w:lineRule="exact"/>
              <w:jc w:val="right"/>
              <w:rPr>
                <w:color w:val="000000"/>
                <w:sz w:val="18"/>
                <w:szCs w:val="18"/>
              </w:rPr>
            </w:pPr>
            <w:r w:rsidRPr="00A61D53">
              <w:rPr>
                <w:color w:val="000000"/>
                <w:sz w:val="18"/>
                <w:szCs w:val="18"/>
              </w:rPr>
              <w:t>1.377</w:t>
            </w:r>
          </w:p>
        </w:tc>
        <w:tc>
          <w:tcPr>
            <w:tcW w:w="2410" w:type="dxa"/>
            <w:tcBorders>
              <w:top w:val="nil"/>
              <w:left w:val="nil"/>
              <w:bottom w:val="nil"/>
              <w:right w:val="nil"/>
            </w:tcBorders>
            <w:shd w:val="clear" w:color="auto" w:fill="auto"/>
            <w:vAlign w:val="bottom"/>
          </w:tcPr>
          <w:p w14:paraId="7B4FBB5F" w14:textId="77777777" w:rsidR="0001588F" w:rsidRPr="00A61D53" w:rsidRDefault="0001588F">
            <w:pPr>
              <w:suppressAutoHyphens w:val="0"/>
              <w:spacing w:before="40" w:after="40" w:line="200" w:lineRule="exact"/>
              <w:jc w:val="right"/>
              <w:rPr>
                <w:color w:val="000000"/>
                <w:sz w:val="18"/>
                <w:szCs w:val="18"/>
              </w:rPr>
            </w:pPr>
            <w:r w:rsidRPr="00A61D53">
              <w:rPr>
                <w:color w:val="000000"/>
                <w:sz w:val="18"/>
                <w:szCs w:val="18"/>
              </w:rPr>
              <w:t>1.342</w:t>
            </w:r>
          </w:p>
        </w:tc>
      </w:tr>
      <w:tr w:rsidR="008B2C48" w:rsidRPr="00A61D53" w14:paraId="7417CC17" w14:textId="77777777">
        <w:tc>
          <w:tcPr>
            <w:tcW w:w="3828" w:type="dxa"/>
            <w:tcBorders>
              <w:top w:val="nil"/>
              <w:left w:val="nil"/>
              <w:bottom w:val="nil"/>
              <w:right w:val="nil"/>
            </w:tcBorders>
            <w:vAlign w:val="center"/>
          </w:tcPr>
          <w:p w14:paraId="54D53CBE"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New Zealand</w:t>
            </w:r>
          </w:p>
        </w:tc>
        <w:tc>
          <w:tcPr>
            <w:tcW w:w="2281" w:type="dxa"/>
            <w:tcBorders>
              <w:top w:val="nil"/>
              <w:left w:val="nil"/>
              <w:bottom w:val="nil"/>
              <w:right w:val="nil"/>
            </w:tcBorders>
            <w:shd w:val="clear" w:color="auto" w:fill="auto"/>
            <w:vAlign w:val="bottom"/>
          </w:tcPr>
          <w:p w14:paraId="138832F2"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0.309</w:t>
            </w:r>
          </w:p>
        </w:tc>
        <w:tc>
          <w:tcPr>
            <w:tcW w:w="2410" w:type="dxa"/>
            <w:tcBorders>
              <w:top w:val="nil"/>
              <w:left w:val="nil"/>
              <w:bottom w:val="nil"/>
              <w:right w:val="nil"/>
            </w:tcBorders>
            <w:shd w:val="clear" w:color="auto" w:fill="auto"/>
            <w:vAlign w:val="bottom"/>
          </w:tcPr>
          <w:p w14:paraId="6B17334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0.301</w:t>
            </w:r>
          </w:p>
        </w:tc>
      </w:tr>
      <w:tr w:rsidR="008B2C48" w:rsidRPr="00A61D53" w14:paraId="1D4E7F51" w14:textId="77777777">
        <w:tc>
          <w:tcPr>
            <w:tcW w:w="3828" w:type="dxa"/>
            <w:tcBorders>
              <w:top w:val="nil"/>
              <w:left w:val="nil"/>
              <w:bottom w:val="nil"/>
              <w:right w:val="nil"/>
            </w:tcBorders>
            <w:vAlign w:val="center"/>
          </w:tcPr>
          <w:p w14:paraId="4FFD7455"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Nicaragua</w:t>
            </w:r>
          </w:p>
        </w:tc>
        <w:tc>
          <w:tcPr>
            <w:tcW w:w="2281" w:type="dxa"/>
            <w:tcBorders>
              <w:top w:val="nil"/>
              <w:left w:val="nil"/>
              <w:bottom w:val="nil"/>
              <w:right w:val="nil"/>
            </w:tcBorders>
            <w:shd w:val="clear" w:color="auto" w:fill="auto"/>
            <w:vAlign w:val="bottom"/>
          </w:tcPr>
          <w:p w14:paraId="4964C2F6"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0.005</w:t>
            </w:r>
          </w:p>
        </w:tc>
        <w:tc>
          <w:tcPr>
            <w:tcW w:w="2410" w:type="dxa"/>
            <w:tcBorders>
              <w:top w:val="nil"/>
              <w:left w:val="nil"/>
              <w:bottom w:val="nil"/>
              <w:right w:val="nil"/>
            </w:tcBorders>
            <w:shd w:val="clear" w:color="auto" w:fill="auto"/>
            <w:vAlign w:val="bottom"/>
          </w:tcPr>
          <w:p w14:paraId="3998284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0.005</w:t>
            </w:r>
          </w:p>
        </w:tc>
      </w:tr>
      <w:tr w:rsidR="008B2C48" w:rsidRPr="00A61D53" w14:paraId="32E15535" w14:textId="77777777">
        <w:tc>
          <w:tcPr>
            <w:tcW w:w="3828" w:type="dxa"/>
            <w:tcBorders>
              <w:top w:val="nil"/>
              <w:left w:val="nil"/>
              <w:bottom w:val="nil"/>
              <w:right w:val="nil"/>
            </w:tcBorders>
            <w:vAlign w:val="center"/>
          </w:tcPr>
          <w:p w14:paraId="6777177F"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Niger</w:t>
            </w:r>
          </w:p>
        </w:tc>
        <w:tc>
          <w:tcPr>
            <w:tcW w:w="2281" w:type="dxa"/>
            <w:tcBorders>
              <w:top w:val="nil"/>
              <w:left w:val="nil"/>
              <w:bottom w:val="nil"/>
              <w:right w:val="nil"/>
            </w:tcBorders>
            <w:shd w:val="clear" w:color="auto" w:fill="auto"/>
            <w:vAlign w:val="bottom"/>
          </w:tcPr>
          <w:p w14:paraId="5ECD5181" w14:textId="77777777" w:rsidR="008B2C48" w:rsidRPr="00A61D53" w:rsidRDefault="008B2C48">
            <w:pPr>
              <w:suppressAutoHyphens w:val="0"/>
              <w:spacing w:before="40" w:after="40" w:line="200" w:lineRule="exact"/>
              <w:jc w:val="right"/>
              <w:rPr>
                <w:rFonts w:eastAsia="MS Mincho"/>
                <w:color w:val="000000"/>
                <w:sz w:val="18"/>
                <w:szCs w:val="18"/>
                <w:lang w:eastAsia="de-DE"/>
              </w:rPr>
            </w:pPr>
            <w:r w:rsidRPr="00A61D53">
              <w:rPr>
                <w:color w:val="000000"/>
                <w:sz w:val="18"/>
                <w:szCs w:val="18"/>
              </w:rPr>
              <w:t>0.003</w:t>
            </w:r>
          </w:p>
        </w:tc>
        <w:tc>
          <w:tcPr>
            <w:tcW w:w="2410" w:type="dxa"/>
            <w:tcBorders>
              <w:top w:val="nil"/>
              <w:left w:val="nil"/>
              <w:bottom w:val="nil"/>
              <w:right w:val="nil"/>
            </w:tcBorders>
            <w:shd w:val="clear" w:color="auto" w:fill="auto"/>
            <w:vAlign w:val="bottom"/>
          </w:tcPr>
          <w:p w14:paraId="05BCB110"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0.003</w:t>
            </w:r>
          </w:p>
        </w:tc>
      </w:tr>
      <w:tr w:rsidR="008B2C48" w:rsidRPr="00A61D53" w14:paraId="5180C6FB" w14:textId="77777777">
        <w:tc>
          <w:tcPr>
            <w:tcW w:w="3828" w:type="dxa"/>
            <w:tcBorders>
              <w:top w:val="nil"/>
              <w:left w:val="nil"/>
              <w:bottom w:val="nil"/>
              <w:right w:val="nil"/>
            </w:tcBorders>
            <w:vAlign w:val="center"/>
          </w:tcPr>
          <w:p w14:paraId="098E940B" w14:textId="77777777" w:rsidR="008B2C48" w:rsidRPr="00A61D53" w:rsidRDefault="008B2C48">
            <w:pPr>
              <w:suppressAutoHyphens w:val="0"/>
              <w:spacing w:before="40" w:after="40" w:line="200" w:lineRule="exact"/>
              <w:rPr>
                <w:rFonts w:eastAsia="Arial Unicode MS"/>
                <w:color w:val="000000"/>
                <w:sz w:val="18"/>
                <w:szCs w:val="18"/>
                <w:lang w:eastAsia="de-DE"/>
              </w:rPr>
            </w:pPr>
            <w:r w:rsidRPr="00A61D53">
              <w:rPr>
                <w:color w:val="000000"/>
                <w:sz w:val="18"/>
                <w:szCs w:val="18"/>
              </w:rPr>
              <w:t>Nigeria</w:t>
            </w:r>
          </w:p>
        </w:tc>
        <w:tc>
          <w:tcPr>
            <w:tcW w:w="2281" w:type="dxa"/>
            <w:tcBorders>
              <w:top w:val="nil"/>
              <w:left w:val="nil"/>
              <w:bottom w:val="nil"/>
              <w:right w:val="nil"/>
            </w:tcBorders>
            <w:shd w:val="clear" w:color="auto" w:fill="auto"/>
            <w:vAlign w:val="bottom"/>
          </w:tcPr>
          <w:p w14:paraId="3DD22FE8"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0.182</w:t>
            </w:r>
          </w:p>
        </w:tc>
        <w:tc>
          <w:tcPr>
            <w:tcW w:w="2410" w:type="dxa"/>
            <w:tcBorders>
              <w:top w:val="nil"/>
              <w:left w:val="nil"/>
              <w:bottom w:val="nil"/>
              <w:right w:val="nil"/>
            </w:tcBorders>
            <w:shd w:val="clear" w:color="auto" w:fill="auto"/>
            <w:vAlign w:val="bottom"/>
          </w:tcPr>
          <w:p w14:paraId="43849CD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0.177</w:t>
            </w:r>
          </w:p>
        </w:tc>
      </w:tr>
      <w:tr w:rsidR="008B2C48" w:rsidRPr="00A61D53" w14:paraId="6F17DF0E" w14:textId="77777777">
        <w:tc>
          <w:tcPr>
            <w:tcW w:w="3828" w:type="dxa"/>
            <w:tcBorders>
              <w:top w:val="nil"/>
              <w:left w:val="nil"/>
              <w:bottom w:val="nil"/>
              <w:right w:val="nil"/>
            </w:tcBorders>
            <w:vAlign w:val="center"/>
          </w:tcPr>
          <w:p w14:paraId="545E68D8"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Niue</w:t>
            </w:r>
          </w:p>
        </w:tc>
        <w:tc>
          <w:tcPr>
            <w:tcW w:w="2281" w:type="dxa"/>
            <w:tcBorders>
              <w:top w:val="nil"/>
              <w:left w:val="nil"/>
              <w:bottom w:val="nil"/>
              <w:right w:val="nil"/>
            </w:tcBorders>
            <w:shd w:val="clear" w:color="auto" w:fill="auto"/>
            <w:vAlign w:val="bottom"/>
          </w:tcPr>
          <w:p w14:paraId="44E90242"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0.000</w:t>
            </w:r>
          </w:p>
        </w:tc>
        <w:tc>
          <w:tcPr>
            <w:tcW w:w="2410" w:type="dxa"/>
            <w:tcBorders>
              <w:top w:val="nil"/>
              <w:left w:val="nil"/>
              <w:bottom w:val="nil"/>
              <w:right w:val="nil"/>
            </w:tcBorders>
            <w:shd w:val="clear" w:color="auto" w:fill="auto"/>
            <w:vAlign w:val="bottom"/>
          </w:tcPr>
          <w:p w14:paraId="3A086502"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3087AEC3" w14:textId="77777777">
        <w:tc>
          <w:tcPr>
            <w:tcW w:w="3828" w:type="dxa"/>
            <w:tcBorders>
              <w:top w:val="nil"/>
              <w:left w:val="nil"/>
              <w:bottom w:val="nil"/>
              <w:right w:val="nil"/>
            </w:tcBorders>
            <w:vAlign w:val="center"/>
          </w:tcPr>
          <w:p w14:paraId="01D51A6B"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North Macedonia</w:t>
            </w:r>
          </w:p>
        </w:tc>
        <w:tc>
          <w:tcPr>
            <w:tcW w:w="2281" w:type="dxa"/>
            <w:tcBorders>
              <w:top w:val="nil"/>
              <w:left w:val="nil"/>
              <w:bottom w:val="nil"/>
              <w:right w:val="nil"/>
            </w:tcBorders>
            <w:shd w:val="clear" w:color="auto" w:fill="auto"/>
            <w:vAlign w:val="bottom"/>
          </w:tcPr>
          <w:p w14:paraId="676337F0"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0.007</w:t>
            </w:r>
          </w:p>
        </w:tc>
        <w:tc>
          <w:tcPr>
            <w:tcW w:w="2410" w:type="dxa"/>
            <w:tcBorders>
              <w:top w:val="nil"/>
              <w:left w:val="nil"/>
              <w:bottom w:val="nil"/>
              <w:right w:val="nil"/>
            </w:tcBorders>
            <w:shd w:val="clear" w:color="auto" w:fill="auto"/>
            <w:vAlign w:val="bottom"/>
          </w:tcPr>
          <w:p w14:paraId="6465CD73"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0.007</w:t>
            </w:r>
          </w:p>
        </w:tc>
      </w:tr>
      <w:tr w:rsidR="008B2C48" w:rsidRPr="00A61D53" w14:paraId="57AA38FD" w14:textId="77777777">
        <w:tc>
          <w:tcPr>
            <w:tcW w:w="3828" w:type="dxa"/>
            <w:tcBorders>
              <w:top w:val="nil"/>
              <w:left w:val="nil"/>
              <w:bottom w:val="nil"/>
              <w:right w:val="nil"/>
            </w:tcBorders>
            <w:vAlign w:val="center"/>
          </w:tcPr>
          <w:p w14:paraId="60483D96"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Norway</w:t>
            </w:r>
          </w:p>
        </w:tc>
        <w:tc>
          <w:tcPr>
            <w:tcW w:w="2281" w:type="dxa"/>
            <w:tcBorders>
              <w:top w:val="nil"/>
              <w:left w:val="nil"/>
              <w:bottom w:val="nil"/>
              <w:right w:val="nil"/>
            </w:tcBorders>
            <w:shd w:val="clear" w:color="auto" w:fill="auto"/>
            <w:vAlign w:val="bottom"/>
          </w:tcPr>
          <w:p w14:paraId="4E6FA006"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0.679</w:t>
            </w:r>
          </w:p>
        </w:tc>
        <w:tc>
          <w:tcPr>
            <w:tcW w:w="2410" w:type="dxa"/>
            <w:tcBorders>
              <w:top w:val="nil"/>
              <w:left w:val="nil"/>
              <w:bottom w:val="nil"/>
              <w:right w:val="nil"/>
            </w:tcBorders>
            <w:shd w:val="clear" w:color="auto" w:fill="auto"/>
            <w:vAlign w:val="bottom"/>
          </w:tcPr>
          <w:p w14:paraId="2B5ADBAD"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0.662</w:t>
            </w:r>
          </w:p>
        </w:tc>
      </w:tr>
      <w:tr w:rsidR="008B2C48" w:rsidRPr="00A61D53" w14:paraId="5E3BDD0F" w14:textId="77777777">
        <w:tc>
          <w:tcPr>
            <w:tcW w:w="3828" w:type="dxa"/>
            <w:tcBorders>
              <w:top w:val="nil"/>
              <w:left w:val="nil"/>
              <w:bottom w:val="nil"/>
              <w:right w:val="nil"/>
            </w:tcBorders>
            <w:vAlign w:val="center"/>
          </w:tcPr>
          <w:p w14:paraId="38592424"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Oman</w:t>
            </w:r>
          </w:p>
        </w:tc>
        <w:tc>
          <w:tcPr>
            <w:tcW w:w="2281" w:type="dxa"/>
            <w:tcBorders>
              <w:top w:val="nil"/>
              <w:left w:val="nil"/>
              <w:bottom w:val="nil"/>
              <w:right w:val="nil"/>
            </w:tcBorders>
            <w:shd w:val="clear" w:color="auto" w:fill="auto"/>
            <w:vAlign w:val="bottom"/>
          </w:tcPr>
          <w:p w14:paraId="4ECC57F0"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0.111</w:t>
            </w:r>
          </w:p>
        </w:tc>
        <w:tc>
          <w:tcPr>
            <w:tcW w:w="2410" w:type="dxa"/>
            <w:tcBorders>
              <w:top w:val="nil"/>
              <w:left w:val="nil"/>
              <w:bottom w:val="nil"/>
              <w:right w:val="nil"/>
            </w:tcBorders>
            <w:shd w:val="clear" w:color="auto" w:fill="auto"/>
            <w:vAlign w:val="bottom"/>
          </w:tcPr>
          <w:p w14:paraId="10566A62"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0.108</w:t>
            </w:r>
          </w:p>
        </w:tc>
      </w:tr>
      <w:tr w:rsidR="008B2C48" w:rsidRPr="00A61D53" w14:paraId="6FAB5B8A" w14:textId="77777777">
        <w:tc>
          <w:tcPr>
            <w:tcW w:w="3828" w:type="dxa"/>
            <w:tcBorders>
              <w:top w:val="nil"/>
              <w:left w:val="nil"/>
              <w:bottom w:val="nil"/>
              <w:right w:val="nil"/>
            </w:tcBorders>
            <w:vAlign w:val="center"/>
          </w:tcPr>
          <w:p w14:paraId="399C6FC7"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Pakistan</w:t>
            </w:r>
          </w:p>
        </w:tc>
        <w:tc>
          <w:tcPr>
            <w:tcW w:w="2281" w:type="dxa"/>
            <w:tcBorders>
              <w:top w:val="nil"/>
              <w:left w:val="nil"/>
              <w:bottom w:val="nil"/>
              <w:right w:val="nil"/>
            </w:tcBorders>
            <w:shd w:val="clear" w:color="auto" w:fill="auto"/>
            <w:vAlign w:val="bottom"/>
          </w:tcPr>
          <w:p w14:paraId="4178EB47"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0.114</w:t>
            </w:r>
          </w:p>
        </w:tc>
        <w:tc>
          <w:tcPr>
            <w:tcW w:w="2410" w:type="dxa"/>
            <w:tcBorders>
              <w:top w:val="nil"/>
              <w:left w:val="nil"/>
              <w:bottom w:val="nil"/>
              <w:right w:val="nil"/>
            </w:tcBorders>
            <w:shd w:val="clear" w:color="auto" w:fill="auto"/>
            <w:vAlign w:val="bottom"/>
          </w:tcPr>
          <w:p w14:paraId="56E6CF4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0.111</w:t>
            </w:r>
          </w:p>
        </w:tc>
      </w:tr>
      <w:tr w:rsidR="008B2C48" w:rsidRPr="00A61D53" w14:paraId="0A651387" w14:textId="77777777">
        <w:tc>
          <w:tcPr>
            <w:tcW w:w="3828" w:type="dxa"/>
            <w:tcBorders>
              <w:top w:val="nil"/>
              <w:left w:val="nil"/>
              <w:bottom w:val="nil"/>
              <w:right w:val="nil"/>
            </w:tcBorders>
            <w:vAlign w:val="center"/>
          </w:tcPr>
          <w:p w14:paraId="1BE3C189"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Palau</w:t>
            </w:r>
          </w:p>
        </w:tc>
        <w:tc>
          <w:tcPr>
            <w:tcW w:w="2281" w:type="dxa"/>
            <w:tcBorders>
              <w:top w:val="nil"/>
              <w:left w:val="nil"/>
              <w:bottom w:val="nil"/>
              <w:right w:val="nil"/>
            </w:tcBorders>
            <w:shd w:val="clear" w:color="auto" w:fill="auto"/>
            <w:vAlign w:val="bottom"/>
          </w:tcPr>
          <w:p w14:paraId="0B8456C0"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6F00BD2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45DB2383" w14:textId="77777777">
        <w:tc>
          <w:tcPr>
            <w:tcW w:w="3828" w:type="dxa"/>
            <w:tcBorders>
              <w:top w:val="nil"/>
              <w:left w:val="nil"/>
              <w:bottom w:val="nil"/>
              <w:right w:val="nil"/>
            </w:tcBorders>
            <w:vAlign w:val="center"/>
          </w:tcPr>
          <w:p w14:paraId="62AAE8D9"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Panama</w:t>
            </w:r>
          </w:p>
        </w:tc>
        <w:tc>
          <w:tcPr>
            <w:tcW w:w="2281" w:type="dxa"/>
            <w:tcBorders>
              <w:top w:val="nil"/>
              <w:left w:val="nil"/>
              <w:bottom w:val="nil"/>
              <w:right w:val="nil"/>
            </w:tcBorders>
            <w:shd w:val="clear" w:color="auto" w:fill="auto"/>
            <w:vAlign w:val="bottom"/>
          </w:tcPr>
          <w:p w14:paraId="51B3BF9F"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0.090</w:t>
            </w:r>
          </w:p>
        </w:tc>
        <w:tc>
          <w:tcPr>
            <w:tcW w:w="2410" w:type="dxa"/>
            <w:tcBorders>
              <w:top w:val="nil"/>
              <w:left w:val="nil"/>
              <w:bottom w:val="nil"/>
              <w:right w:val="nil"/>
            </w:tcBorders>
            <w:shd w:val="clear" w:color="auto" w:fill="auto"/>
            <w:vAlign w:val="bottom"/>
          </w:tcPr>
          <w:p w14:paraId="77CB1B16"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0.088</w:t>
            </w:r>
          </w:p>
        </w:tc>
      </w:tr>
      <w:tr w:rsidR="008B2C48" w:rsidRPr="00A61D53" w14:paraId="65BCB9E0" w14:textId="77777777">
        <w:tc>
          <w:tcPr>
            <w:tcW w:w="3828" w:type="dxa"/>
            <w:tcBorders>
              <w:top w:val="nil"/>
              <w:left w:val="nil"/>
              <w:bottom w:val="nil"/>
              <w:right w:val="nil"/>
            </w:tcBorders>
            <w:vAlign w:val="center"/>
          </w:tcPr>
          <w:p w14:paraId="02EE30A2"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Papua New Guinea</w:t>
            </w:r>
          </w:p>
        </w:tc>
        <w:tc>
          <w:tcPr>
            <w:tcW w:w="2281" w:type="dxa"/>
            <w:tcBorders>
              <w:top w:val="nil"/>
              <w:left w:val="nil"/>
              <w:bottom w:val="nil"/>
              <w:right w:val="nil"/>
            </w:tcBorders>
            <w:shd w:val="clear" w:color="auto" w:fill="auto"/>
            <w:vAlign w:val="bottom"/>
          </w:tcPr>
          <w:p w14:paraId="06CC7ABE"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0.010</w:t>
            </w:r>
          </w:p>
        </w:tc>
        <w:tc>
          <w:tcPr>
            <w:tcW w:w="2410" w:type="dxa"/>
            <w:tcBorders>
              <w:top w:val="nil"/>
              <w:left w:val="nil"/>
              <w:bottom w:val="nil"/>
              <w:right w:val="nil"/>
            </w:tcBorders>
            <w:shd w:val="clear" w:color="auto" w:fill="auto"/>
            <w:vAlign w:val="bottom"/>
          </w:tcPr>
          <w:p w14:paraId="6D8D6DDD"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0.010</w:t>
            </w:r>
          </w:p>
        </w:tc>
      </w:tr>
      <w:tr w:rsidR="008B2C48" w:rsidRPr="00A61D53" w14:paraId="08AFE9C4" w14:textId="77777777">
        <w:tc>
          <w:tcPr>
            <w:tcW w:w="3828" w:type="dxa"/>
            <w:tcBorders>
              <w:top w:val="nil"/>
              <w:left w:val="nil"/>
              <w:bottom w:val="nil"/>
              <w:right w:val="nil"/>
            </w:tcBorders>
            <w:vAlign w:val="center"/>
          </w:tcPr>
          <w:p w14:paraId="1433A802"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Paraguay</w:t>
            </w:r>
          </w:p>
        </w:tc>
        <w:tc>
          <w:tcPr>
            <w:tcW w:w="2281" w:type="dxa"/>
            <w:tcBorders>
              <w:top w:val="nil"/>
              <w:left w:val="nil"/>
              <w:bottom w:val="nil"/>
              <w:right w:val="nil"/>
            </w:tcBorders>
            <w:shd w:val="clear" w:color="auto" w:fill="auto"/>
            <w:vAlign w:val="bottom"/>
          </w:tcPr>
          <w:p w14:paraId="1CC1223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0.026</w:t>
            </w:r>
          </w:p>
        </w:tc>
        <w:tc>
          <w:tcPr>
            <w:tcW w:w="2410" w:type="dxa"/>
            <w:tcBorders>
              <w:top w:val="nil"/>
              <w:left w:val="nil"/>
              <w:bottom w:val="nil"/>
              <w:right w:val="nil"/>
            </w:tcBorders>
            <w:shd w:val="clear" w:color="auto" w:fill="auto"/>
            <w:vAlign w:val="bottom"/>
          </w:tcPr>
          <w:p w14:paraId="3849F7B0"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0.025</w:t>
            </w:r>
          </w:p>
        </w:tc>
      </w:tr>
      <w:tr w:rsidR="008B2C48" w:rsidRPr="00A61D53" w14:paraId="597B8AEB" w14:textId="77777777">
        <w:tc>
          <w:tcPr>
            <w:tcW w:w="3828" w:type="dxa"/>
            <w:tcBorders>
              <w:top w:val="nil"/>
              <w:left w:val="nil"/>
              <w:bottom w:val="nil"/>
              <w:right w:val="nil"/>
            </w:tcBorders>
            <w:vAlign w:val="center"/>
          </w:tcPr>
          <w:p w14:paraId="5FA7BAF9"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Peru</w:t>
            </w:r>
          </w:p>
        </w:tc>
        <w:tc>
          <w:tcPr>
            <w:tcW w:w="2281" w:type="dxa"/>
            <w:tcBorders>
              <w:top w:val="nil"/>
              <w:left w:val="nil"/>
              <w:bottom w:val="nil"/>
              <w:right w:val="nil"/>
            </w:tcBorders>
            <w:shd w:val="clear" w:color="auto" w:fill="auto"/>
            <w:vAlign w:val="bottom"/>
          </w:tcPr>
          <w:p w14:paraId="40BCDA3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0.163</w:t>
            </w:r>
          </w:p>
        </w:tc>
        <w:tc>
          <w:tcPr>
            <w:tcW w:w="2410" w:type="dxa"/>
            <w:tcBorders>
              <w:top w:val="nil"/>
              <w:left w:val="nil"/>
              <w:bottom w:val="nil"/>
              <w:right w:val="nil"/>
            </w:tcBorders>
            <w:shd w:val="clear" w:color="auto" w:fill="auto"/>
            <w:vAlign w:val="bottom"/>
          </w:tcPr>
          <w:p w14:paraId="280B6DAF"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0.159</w:t>
            </w:r>
          </w:p>
        </w:tc>
      </w:tr>
      <w:tr w:rsidR="008B2C48" w:rsidRPr="00A61D53" w14:paraId="1018690A" w14:textId="77777777">
        <w:tc>
          <w:tcPr>
            <w:tcW w:w="3828" w:type="dxa"/>
            <w:tcBorders>
              <w:top w:val="nil"/>
              <w:left w:val="nil"/>
              <w:bottom w:val="nil"/>
              <w:right w:val="nil"/>
            </w:tcBorders>
            <w:vAlign w:val="center"/>
          </w:tcPr>
          <w:p w14:paraId="738D49FC"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Philippines</w:t>
            </w:r>
          </w:p>
        </w:tc>
        <w:tc>
          <w:tcPr>
            <w:tcW w:w="2281" w:type="dxa"/>
            <w:tcBorders>
              <w:top w:val="nil"/>
              <w:left w:val="nil"/>
              <w:bottom w:val="nil"/>
              <w:right w:val="nil"/>
            </w:tcBorders>
            <w:shd w:val="clear" w:color="auto" w:fill="auto"/>
            <w:vAlign w:val="bottom"/>
          </w:tcPr>
          <w:p w14:paraId="0E5C48F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0.212</w:t>
            </w:r>
          </w:p>
        </w:tc>
        <w:tc>
          <w:tcPr>
            <w:tcW w:w="2410" w:type="dxa"/>
            <w:tcBorders>
              <w:top w:val="nil"/>
              <w:left w:val="nil"/>
              <w:bottom w:val="nil"/>
              <w:right w:val="nil"/>
            </w:tcBorders>
            <w:shd w:val="clear" w:color="auto" w:fill="auto"/>
            <w:vAlign w:val="bottom"/>
          </w:tcPr>
          <w:p w14:paraId="05685F30"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0.207</w:t>
            </w:r>
          </w:p>
        </w:tc>
      </w:tr>
      <w:tr w:rsidR="008B2C48" w:rsidRPr="00A61D53" w14:paraId="5BBCE945" w14:textId="77777777">
        <w:tc>
          <w:tcPr>
            <w:tcW w:w="3828" w:type="dxa"/>
            <w:tcBorders>
              <w:top w:val="nil"/>
              <w:left w:val="nil"/>
              <w:bottom w:val="nil"/>
              <w:right w:val="nil"/>
            </w:tcBorders>
            <w:vAlign w:val="center"/>
          </w:tcPr>
          <w:p w14:paraId="13826BBE"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Poland</w:t>
            </w:r>
          </w:p>
        </w:tc>
        <w:tc>
          <w:tcPr>
            <w:tcW w:w="2281" w:type="dxa"/>
            <w:tcBorders>
              <w:top w:val="nil"/>
              <w:left w:val="nil"/>
              <w:bottom w:val="nil"/>
              <w:right w:val="nil"/>
            </w:tcBorders>
            <w:shd w:val="clear" w:color="auto" w:fill="auto"/>
            <w:vAlign w:val="bottom"/>
          </w:tcPr>
          <w:p w14:paraId="0D6C19F7"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0.837</w:t>
            </w:r>
          </w:p>
        </w:tc>
        <w:tc>
          <w:tcPr>
            <w:tcW w:w="2410" w:type="dxa"/>
            <w:tcBorders>
              <w:top w:val="nil"/>
              <w:left w:val="nil"/>
              <w:bottom w:val="nil"/>
              <w:right w:val="nil"/>
            </w:tcBorders>
            <w:shd w:val="clear" w:color="auto" w:fill="auto"/>
            <w:vAlign w:val="bottom"/>
          </w:tcPr>
          <w:p w14:paraId="072CC637"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0.816</w:t>
            </w:r>
          </w:p>
        </w:tc>
      </w:tr>
      <w:tr w:rsidR="008B2C48" w:rsidRPr="00A61D53" w14:paraId="08DD058F" w14:textId="77777777">
        <w:tc>
          <w:tcPr>
            <w:tcW w:w="3828" w:type="dxa"/>
            <w:tcBorders>
              <w:top w:val="nil"/>
              <w:left w:val="nil"/>
              <w:bottom w:val="nil"/>
              <w:right w:val="nil"/>
            </w:tcBorders>
            <w:vAlign w:val="center"/>
          </w:tcPr>
          <w:p w14:paraId="794DEC3B"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Portugal</w:t>
            </w:r>
          </w:p>
        </w:tc>
        <w:tc>
          <w:tcPr>
            <w:tcW w:w="2281" w:type="dxa"/>
            <w:tcBorders>
              <w:top w:val="nil"/>
              <w:left w:val="nil"/>
              <w:bottom w:val="nil"/>
              <w:right w:val="nil"/>
            </w:tcBorders>
            <w:shd w:val="clear" w:color="auto" w:fill="auto"/>
            <w:vAlign w:val="bottom"/>
          </w:tcPr>
          <w:p w14:paraId="3D6C906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0.353</w:t>
            </w:r>
          </w:p>
        </w:tc>
        <w:tc>
          <w:tcPr>
            <w:tcW w:w="2410" w:type="dxa"/>
            <w:tcBorders>
              <w:top w:val="nil"/>
              <w:left w:val="nil"/>
              <w:bottom w:val="nil"/>
              <w:right w:val="nil"/>
            </w:tcBorders>
            <w:shd w:val="clear" w:color="auto" w:fill="auto"/>
            <w:vAlign w:val="bottom"/>
          </w:tcPr>
          <w:p w14:paraId="08ED0B7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0.344</w:t>
            </w:r>
          </w:p>
        </w:tc>
      </w:tr>
      <w:tr w:rsidR="008B2C48" w:rsidRPr="00A61D53" w14:paraId="4E949C85" w14:textId="77777777">
        <w:tc>
          <w:tcPr>
            <w:tcW w:w="3828" w:type="dxa"/>
            <w:tcBorders>
              <w:top w:val="nil"/>
              <w:left w:val="nil"/>
              <w:bottom w:val="nil"/>
              <w:right w:val="nil"/>
            </w:tcBorders>
            <w:vAlign w:val="center"/>
          </w:tcPr>
          <w:p w14:paraId="222AFD11" w14:textId="77777777" w:rsidR="008B2C48" w:rsidRPr="00A61D53" w:rsidRDefault="008B2C48">
            <w:pPr>
              <w:suppressAutoHyphens w:val="0"/>
              <w:spacing w:before="40" w:after="40" w:line="200" w:lineRule="exact"/>
              <w:ind w:left="360" w:hanging="360"/>
              <w:rPr>
                <w:rFonts w:eastAsia="MS Mincho"/>
                <w:color w:val="000000"/>
                <w:sz w:val="18"/>
                <w:szCs w:val="18"/>
                <w:lang w:eastAsia="de-DE"/>
              </w:rPr>
            </w:pPr>
            <w:r w:rsidRPr="00A61D53">
              <w:rPr>
                <w:color w:val="000000"/>
                <w:sz w:val="18"/>
                <w:szCs w:val="18"/>
              </w:rPr>
              <w:t>Qatar</w:t>
            </w:r>
          </w:p>
        </w:tc>
        <w:tc>
          <w:tcPr>
            <w:tcW w:w="2281" w:type="dxa"/>
            <w:tcBorders>
              <w:top w:val="nil"/>
              <w:left w:val="nil"/>
              <w:bottom w:val="nil"/>
              <w:right w:val="nil"/>
            </w:tcBorders>
            <w:shd w:val="clear" w:color="auto" w:fill="auto"/>
            <w:vAlign w:val="bottom"/>
          </w:tcPr>
          <w:p w14:paraId="663B3EE7"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0.269</w:t>
            </w:r>
          </w:p>
        </w:tc>
        <w:tc>
          <w:tcPr>
            <w:tcW w:w="2410" w:type="dxa"/>
            <w:tcBorders>
              <w:top w:val="nil"/>
              <w:left w:val="nil"/>
              <w:bottom w:val="nil"/>
              <w:right w:val="nil"/>
            </w:tcBorders>
            <w:shd w:val="clear" w:color="auto" w:fill="auto"/>
            <w:vAlign w:val="bottom"/>
          </w:tcPr>
          <w:p w14:paraId="09E919EF"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0.262</w:t>
            </w:r>
          </w:p>
        </w:tc>
      </w:tr>
      <w:tr w:rsidR="008B2C48" w:rsidRPr="00A61D53" w14:paraId="36779E6E" w14:textId="77777777">
        <w:tc>
          <w:tcPr>
            <w:tcW w:w="3828" w:type="dxa"/>
            <w:tcBorders>
              <w:top w:val="nil"/>
              <w:left w:val="nil"/>
              <w:bottom w:val="nil"/>
              <w:right w:val="nil"/>
            </w:tcBorders>
            <w:vAlign w:val="center"/>
          </w:tcPr>
          <w:p w14:paraId="36458B16"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Republic of Korea</w:t>
            </w:r>
          </w:p>
        </w:tc>
        <w:tc>
          <w:tcPr>
            <w:tcW w:w="2281" w:type="dxa"/>
            <w:tcBorders>
              <w:top w:val="nil"/>
              <w:left w:val="nil"/>
              <w:bottom w:val="nil"/>
              <w:right w:val="nil"/>
            </w:tcBorders>
            <w:shd w:val="clear" w:color="auto" w:fill="auto"/>
            <w:vAlign w:val="bottom"/>
          </w:tcPr>
          <w:p w14:paraId="24F58CA2"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2.574</w:t>
            </w:r>
          </w:p>
        </w:tc>
        <w:tc>
          <w:tcPr>
            <w:tcW w:w="2410" w:type="dxa"/>
            <w:tcBorders>
              <w:top w:val="nil"/>
              <w:left w:val="nil"/>
              <w:bottom w:val="nil"/>
              <w:right w:val="nil"/>
            </w:tcBorders>
            <w:shd w:val="clear" w:color="auto" w:fill="auto"/>
            <w:vAlign w:val="bottom"/>
          </w:tcPr>
          <w:p w14:paraId="7B20DAD2"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2.509</w:t>
            </w:r>
          </w:p>
        </w:tc>
      </w:tr>
      <w:tr w:rsidR="008B2C48" w:rsidRPr="00A61D53" w14:paraId="77D05F8F" w14:textId="77777777">
        <w:tc>
          <w:tcPr>
            <w:tcW w:w="3828" w:type="dxa"/>
            <w:tcBorders>
              <w:top w:val="nil"/>
              <w:left w:val="nil"/>
              <w:bottom w:val="nil"/>
              <w:right w:val="nil"/>
            </w:tcBorders>
            <w:vAlign w:val="center"/>
          </w:tcPr>
          <w:p w14:paraId="2605AA6B"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Republic of Moldova</w:t>
            </w:r>
          </w:p>
        </w:tc>
        <w:tc>
          <w:tcPr>
            <w:tcW w:w="2281" w:type="dxa"/>
            <w:tcBorders>
              <w:top w:val="nil"/>
              <w:left w:val="nil"/>
              <w:bottom w:val="nil"/>
              <w:right w:val="nil"/>
            </w:tcBorders>
            <w:shd w:val="clear" w:color="auto" w:fill="auto"/>
            <w:vAlign w:val="bottom"/>
          </w:tcPr>
          <w:p w14:paraId="42679726"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0.005</w:t>
            </w:r>
          </w:p>
        </w:tc>
        <w:tc>
          <w:tcPr>
            <w:tcW w:w="2410" w:type="dxa"/>
            <w:tcBorders>
              <w:top w:val="nil"/>
              <w:left w:val="nil"/>
              <w:bottom w:val="nil"/>
              <w:right w:val="nil"/>
            </w:tcBorders>
            <w:shd w:val="clear" w:color="auto" w:fill="auto"/>
            <w:vAlign w:val="bottom"/>
          </w:tcPr>
          <w:p w14:paraId="1B1E6333"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0.005</w:t>
            </w:r>
          </w:p>
        </w:tc>
      </w:tr>
      <w:tr w:rsidR="008B2C48" w:rsidRPr="00A61D53" w14:paraId="60EE8BF4" w14:textId="77777777">
        <w:tc>
          <w:tcPr>
            <w:tcW w:w="3828" w:type="dxa"/>
            <w:tcBorders>
              <w:top w:val="nil"/>
              <w:left w:val="nil"/>
              <w:bottom w:val="nil"/>
              <w:right w:val="nil"/>
            </w:tcBorders>
            <w:vAlign w:val="center"/>
          </w:tcPr>
          <w:p w14:paraId="0FEEEE75"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Romania</w:t>
            </w:r>
          </w:p>
        </w:tc>
        <w:tc>
          <w:tcPr>
            <w:tcW w:w="2281" w:type="dxa"/>
            <w:tcBorders>
              <w:top w:val="nil"/>
              <w:left w:val="nil"/>
              <w:bottom w:val="nil"/>
              <w:right w:val="nil"/>
            </w:tcBorders>
            <w:shd w:val="clear" w:color="auto" w:fill="auto"/>
            <w:vAlign w:val="bottom"/>
          </w:tcPr>
          <w:p w14:paraId="5C3EBB92"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0.312</w:t>
            </w:r>
          </w:p>
        </w:tc>
        <w:tc>
          <w:tcPr>
            <w:tcW w:w="2410" w:type="dxa"/>
            <w:tcBorders>
              <w:top w:val="nil"/>
              <w:left w:val="nil"/>
              <w:bottom w:val="nil"/>
              <w:right w:val="nil"/>
            </w:tcBorders>
            <w:shd w:val="clear" w:color="auto" w:fill="auto"/>
            <w:vAlign w:val="bottom"/>
          </w:tcPr>
          <w:p w14:paraId="6DAEAB4D"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0.304</w:t>
            </w:r>
          </w:p>
        </w:tc>
      </w:tr>
      <w:tr w:rsidR="008B2C48" w:rsidRPr="00A61D53" w14:paraId="27A1BDBB" w14:textId="77777777">
        <w:tc>
          <w:tcPr>
            <w:tcW w:w="3828" w:type="dxa"/>
            <w:tcBorders>
              <w:top w:val="nil"/>
              <w:left w:val="nil"/>
              <w:bottom w:val="nil"/>
              <w:right w:val="nil"/>
            </w:tcBorders>
            <w:vAlign w:val="center"/>
          </w:tcPr>
          <w:p w14:paraId="3A7BE788"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Russian Federation</w:t>
            </w:r>
          </w:p>
        </w:tc>
        <w:tc>
          <w:tcPr>
            <w:tcW w:w="2281" w:type="dxa"/>
            <w:tcBorders>
              <w:top w:val="nil"/>
              <w:left w:val="nil"/>
              <w:bottom w:val="nil"/>
              <w:right w:val="nil"/>
            </w:tcBorders>
            <w:shd w:val="clear" w:color="auto" w:fill="auto"/>
            <w:vAlign w:val="bottom"/>
          </w:tcPr>
          <w:p w14:paraId="3E6E28B8"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1.866</w:t>
            </w:r>
          </w:p>
        </w:tc>
        <w:tc>
          <w:tcPr>
            <w:tcW w:w="2410" w:type="dxa"/>
            <w:tcBorders>
              <w:top w:val="nil"/>
              <w:left w:val="nil"/>
              <w:bottom w:val="nil"/>
              <w:right w:val="nil"/>
            </w:tcBorders>
            <w:shd w:val="clear" w:color="auto" w:fill="auto"/>
            <w:vAlign w:val="bottom"/>
          </w:tcPr>
          <w:p w14:paraId="231CEC4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1.819</w:t>
            </w:r>
          </w:p>
        </w:tc>
      </w:tr>
      <w:tr w:rsidR="008B2C48" w:rsidRPr="00A61D53" w14:paraId="340FD080" w14:textId="77777777">
        <w:tc>
          <w:tcPr>
            <w:tcW w:w="3828" w:type="dxa"/>
            <w:tcBorders>
              <w:top w:val="nil"/>
              <w:left w:val="nil"/>
              <w:bottom w:val="nil"/>
              <w:right w:val="nil"/>
            </w:tcBorders>
            <w:vAlign w:val="center"/>
          </w:tcPr>
          <w:p w14:paraId="02F88987"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Rwanda</w:t>
            </w:r>
          </w:p>
        </w:tc>
        <w:tc>
          <w:tcPr>
            <w:tcW w:w="2281" w:type="dxa"/>
            <w:tcBorders>
              <w:top w:val="nil"/>
              <w:left w:val="nil"/>
              <w:bottom w:val="nil"/>
              <w:right w:val="nil"/>
            </w:tcBorders>
            <w:shd w:val="clear" w:color="auto" w:fill="auto"/>
            <w:vAlign w:val="bottom"/>
          </w:tcPr>
          <w:p w14:paraId="13C0A450"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0.003</w:t>
            </w:r>
          </w:p>
        </w:tc>
        <w:tc>
          <w:tcPr>
            <w:tcW w:w="2410" w:type="dxa"/>
            <w:tcBorders>
              <w:top w:val="nil"/>
              <w:left w:val="nil"/>
              <w:bottom w:val="nil"/>
              <w:right w:val="nil"/>
            </w:tcBorders>
            <w:shd w:val="clear" w:color="auto" w:fill="auto"/>
            <w:vAlign w:val="bottom"/>
          </w:tcPr>
          <w:p w14:paraId="606C413E"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0.003</w:t>
            </w:r>
          </w:p>
        </w:tc>
      </w:tr>
      <w:tr w:rsidR="008B2C48" w:rsidRPr="00A61D53" w14:paraId="45078750" w14:textId="77777777">
        <w:tc>
          <w:tcPr>
            <w:tcW w:w="3828" w:type="dxa"/>
            <w:tcBorders>
              <w:top w:val="nil"/>
              <w:left w:val="nil"/>
              <w:bottom w:val="nil"/>
              <w:right w:val="nil"/>
            </w:tcBorders>
            <w:vAlign w:val="center"/>
          </w:tcPr>
          <w:p w14:paraId="5DBE8455"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Saint Kitts and Nevis</w:t>
            </w:r>
          </w:p>
        </w:tc>
        <w:tc>
          <w:tcPr>
            <w:tcW w:w="2281" w:type="dxa"/>
            <w:tcBorders>
              <w:top w:val="nil"/>
              <w:left w:val="nil"/>
              <w:bottom w:val="nil"/>
              <w:right w:val="nil"/>
            </w:tcBorders>
            <w:shd w:val="clear" w:color="auto" w:fill="auto"/>
            <w:vAlign w:val="bottom"/>
          </w:tcPr>
          <w:p w14:paraId="70E795CE"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0.002</w:t>
            </w:r>
          </w:p>
        </w:tc>
        <w:tc>
          <w:tcPr>
            <w:tcW w:w="2410" w:type="dxa"/>
            <w:tcBorders>
              <w:top w:val="nil"/>
              <w:left w:val="nil"/>
              <w:bottom w:val="nil"/>
              <w:right w:val="nil"/>
            </w:tcBorders>
            <w:shd w:val="clear" w:color="auto" w:fill="auto"/>
            <w:vAlign w:val="bottom"/>
          </w:tcPr>
          <w:p w14:paraId="7F6AF35F"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0.002</w:t>
            </w:r>
          </w:p>
        </w:tc>
      </w:tr>
      <w:tr w:rsidR="008B2C48" w:rsidRPr="00A61D53" w14:paraId="3D4A2A04" w14:textId="77777777">
        <w:tc>
          <w:tcPr>
            <w:tcW w:w="3828" w:type="dxa"/>
            <w:tcBorders>
              <w:top w:val="nil"/>
              <w:left w:val="nil"/>
              <w:bottom w:val="nil"/>
              <w:right w:val="nil"/>
            </w:tcBorders>
            <w:vAlign w:val="center"/>
          </w:tcPr>
          <w:p w14:paraId="4CDECF05"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Saint Lucia</w:t>
            </w:r>
          </w:p>
        </w:tc>
        <w:tc>
          <w:tcPr>
            <w:tcW w:w="2281" w:type="dxa"/>
            <w:tcBorders>
              <w:top w:val="nil"/>
              <w:left w:val="nil"/>
              <w:bottom w:val="nil"/>
              <w:right w:val="nil"/>
            </w:tcBorders>
            <w:shd w:val="clear" w:color="auto" w:fill="auto"/>
            <w:vAlign w:val="bottom"/>
          </w:tcPr>
          <w:p w14:paraId="1AB8CD2F"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0.002</w:t>
            </w:r>
          </w:p>
        </w:tc>
        <w:tc>
          <w:tcPr>
            <w:tcW w:w="2410" w:type="dxa"/>
            <w:tcBorders>
              <w:top w:val="nil"/>
              <w:left w:val="nil"/>
              <w:bottom w:val="nil"/>
              <w:right w:val="nil"/>
            </w:tcBorders>
            <w:shd w:val="clear" w:color="auto" w:fill="auto"/>
            <w:vAlign w:val="bottom"/>
          </w:tcPr>
          <w:p w14:paraId="3EA439C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0.002</w:t>
            </w:r>
          </w:p>
        </w:tc>
      </w:tr>
      <w:tr w:rsidR="008B2C48" w:rsidRPr="00A61D53" w14:paraId="7F00C5BB" w14:textId="77777777">
        <w:tc>
          <w:tcPr>
            <w:tcW w:w="3828" w:type="dxa"/>
            <w:tcBorders>
              <w:top w:val="nil"/>
              <w:left w:val="nil"/>
              <w:bottom w:val="nil"/>
              <w:right w:val="nil"/>
            </w:tcBorders>
            <w:vAlign w:val="center"/>
          </w:tcPr>
          <w:p w14:paraId="613AAC4D"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Saint Vincent and the Grenadines</w:t>
            </w:r>
          </w:p>
        </w:tc>
        <w:tc>
          <w:tcPr>
            <w:tcW w:w="2281" w:type="dxa"/>
            <w:tcBorders>
              <w:top w:val="nil"/>
              <w:left w:val="nil"/>
              <w:bottom w:val="nil"/>
              <w:right w:val="nil"/>
            </w:tcBorders>
            <w:shd w:val="clear" w:color="auto" w:fill="auto"/>
            <w:vAlign w:val="bottom"/>
          </w:tcPr>
          <w:p w14:paraId="22F0DF70"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0DB8A0E2"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59208CAD" w14:textId="77777777">
        <w:tc>
          <w:tcPr>
            <w:tcW w:w="3828" w:type="dxa"/>
            <w:tcBorders>
              <w:top w:val="nil"/>
              <w:left w:val="nil"/>
              <w:bottom w:val="nil"/>
              <w:right w:val="nil"/>
            </w:tcBorders>
            <w:vAlign w:val="center"/>
          </w:tcPr>
          <w:p w14:paraId="5BAE89A6"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Samoa</w:t>
            </w:r>
          </w:p>
        </w:tc>
        <w:tc>
          <w:tcPr>
            <w:tcW w:w="2281" w:type="dxa"/>
            <w:tcBorders>
              <w:top w:val="nil"/>
              <w:left w:val="nil"/>
              <w:bottom w:val="nil"/>
              <w:right w:val="nil"/>
            </w:tcBorders>
            <w:shd w:val="clear" w:color="auto" w:fill="auto"/>
            <w:vAlign w:val="bottom"/>
          </w:tcPr>
          <w:p w14:paraId="51E382BD"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201B79E8"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20758A46" w14:textId="77777777">
        <w:tc>
          <w:tcPr>
            <w:tcW w:w="3828" w:type="dxa"/>
            <w:tcBorders>
              <w:top w:val="nil"/>
              <w:left w:val="nil"/>
              <w:bottom w:val="nil"/>
              <w:right w:val="nil"/>
            </w:tcBorders>
            <w:vAlign w:val="center"/>
          </w:tcPr>
          <w:p w14:paraId="50C1A90E"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San Marino</w:t>
            </w:r>
          </w:p>
        </w:tc>
        <w:tc>
          <w:tcPr>
            <w:tcW w:w="2281" w:type="dxa"/>
            <w:tcBorders>
              <w:top w:val="nil"/>
              <w:left w:val="nil"/>
              <w:bottom w:val="nil"/>
              <w:right w:val="nil"/>
            </w:tcBorders>
            <w:shd w:val="clear" w:color="auto" w:fill="auto"/>
            <w:vAlign w:val="bottom"/>
          </w:tcPr>
          <w:p w14:paraId="307F609E"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0.002</w:t>
            </w:r>
          </w:p>
        </w:tc>
        <w:tc>
          <w:tcPr>
            <w:tcW w:w="2410" w:type="dxa"/>
            <w:tcBorders>
              <w:top w:val="nil"/>
              <w:left w:val="nil"/>
              <w:bottom w:val="nil"/>
              <w:right w:val="nil"/>
            </w:tcBorders>
            <w:shd w:val="clear" w:color="auto" w:fill="auto"/>
            <w:vAlign w:val="bottom"/>
          </w:tcPr>
          <w:p w14:paraId="21AA61C5"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0.002</w:t>
            </w:r>
          </w:p>
        </w:tc>
      </w:tr>
      <w:tr w:rsidR="008B2C48" w:rsidRPr="00A61D53" w14:paraId="2F3B404F" w14:textId="77777777">
        <w:tc>
          <w:tcPr>
            <w:tcW w:w="3828" w:type="dxa"/>
            <w:tcBorders>
              <w:top w:val="nil"/>
              <w:left w:val="nil"/>
              <w:bottom w:val="nil"/>
              <w:right w:val="nil"/>
            </w:tcBorders>
            <w:vAlign w:val="center"/>
          </w:tcPr>
          <w:p w14:paraId="584672C0"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Sao Tome and Principe</w:t>
            </w:r>
          </w:p>
        </w:tc>
        <w:tc>
          <w:tcPr>
            <w:tcW w:w="2281" w:type="dxa"/>
            <w:tcBorders>
              <w:top w:val="nil"/>
              <w:left w:val="nil"/>
              <w:bottom w:val="nil"/>
              <w:right w:val="nil"/>
            </w:tcBorders>
            <w:shd w:val="clear" w:color="auto" w:fill="auto"/>
            <w:vAlign w:val="bottom"/>
          </w:tcPr>
          <w:p w14:paraId="21AD08FE"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063EB89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0450A6C3" w14:textId="77777777">
        <w:tc>
          <w:tcPr>
            <w:tcW w:w="3828" w:type="dxa"/>
            <w:tcBorders>
              <w:top w:val="nil"/>
              <w:left w:val="nil"/>
              <w:bottom w:val="nil"/>
              <w:right w:val="nil"/>
            </w:tcBorders>
            <w:vAlign w:val="center"/>
          </w:tcPr>
          <w:p w14:paraId="0F1EE1EE"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Saudi Arabia</w:t>
            </w:r>
          </w:p>
        </w:tc>
        <w:tc>
          <w:tcPr>
            <w:tcW w:w="2281" w:type="dxa"/>
            <w:tcBorders>
              <w:top w:val="nil"/>
              <w:left w:val="nil"/>
              <w:bottom w:val="nil"/>
              <w:right w:val="nil"/>
            </w:tcBorders>
            <w:shd w:val="clear" w:color="auto" w:fill="auto"/>
            <w:vAlign w:val="bottom"/>
          </w:tcPr>
          <w:p w14:paraId="2ECE2906"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1.184</w:t>
            </w:r>
          </w:p>
        </w:tc>
        <w:tc>
          <w:tcPr>
            <w:tcW w:w="2410" w:type="dxa"/>
            <w:tcBorders>
              <w:top w:val="nil"/>
              <w:left w:val="nil"/>
              <w:bottom w:val="nil"/>
              <w:right w:val="nil"/>
            </w:tcBorders>
            <w:shd w:val="clear" w:color="auto" w:fill="auto"/>
            <w:vAlign w:val="bottom"/>
          </w:tcPr>
          <w:p w14:paraId="3608A28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1.154</w:t>
            </w:r>
          </w:p>
        </w:tc>
      </w:tr>
      <w:tr w:rsidR="008B2C48" w:rsidRPr="00A61D53" w14:paraId="55C3C6DF" w14:textId="77777777">
        <w:tc>
          <w:tcPr>
            <w:tcW w:w="3828" w:type="dxa"/>
            <w:tcBorders>
              <w:top w:val="nil"/>
              <w:left w:val="nil"/>
              <w:bottom w:val="nil"/>
              <w:right w:val="nil"/>
            </w:tcBorders>
            <w:vAlign w:val="center"/>
          </w:tcPr>
          <w:p w14:paraId="251A2869"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Senegal</w:t>
            </w:r>
          </w:p>
        </w:tc>
        <w:tc>
          <w:tcPr>
            <w:tcW w:w="2281" w:type="dxa"/>
            <w:tcBorders>
              <w:top w:val="nil"/>
              <w:left w:val="nil"/>
              <w:bottom w:val="nil"/>
              <w:right w:val="nil"/>
            </w:tcBorders>
            <w:shd w:val="clear" w:color="auto" w:fill="auto"/>
            <w:vAlign w:val="bottom"/>
          </w:tcPr>
          <w:p w14:paraId="778D060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0.007</w:t>
            </w:r>
          </w:p>
        </w:tc>
        <w:tc>
          <w:tcPr>
            <w:tcW w:w="2410" w:type="dxa"/>
            <w:tcBorders>
              <w:top w:val="nil"/>
              <w:left w:val="nil"/>
              <w:bottom w:val="nil"/>
              <w:right w:val="nil"/>
            </w:tcBorders>
            <w:shd w:val="clear" w:color="auto" w:fill="auto"/>
            <w:vAlign w:val="bottom"/>
          </w:tcPr>
          <w:p w14:paraId="782C479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0.007</w:t>
            </w:r>
          </w:p>
        </w:tc>
      </w:tr>
      <w:tr w:rsidR="008B2C48" w:rsidRPr="00A61D53" w14:paraId="1B818372" w14:textId="77777777">
        <w:tc>
          <w:tcPr>
            <w:tcW w:w="3828" w:type="dxa"/>
            <w:tcBorders>
              <w:top w:val="nil"/>
              <w:left w:val="nil"/>
              <w:bottom w:val="nil"/>
              <w:right w:val="nil"/>
            </w:tcBorders>
            <w:vAlign w:val="center"/>
          </w:tcPr>
          <w:p w14:paraId="52B13074"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Serbia</w:t>
            </w:r>
          </w:p>
        </w:tc>
        <w:tc>
          <w:tcPr>
            <w:tcW w:w="2281" w:type="dxa"/>
            <w:tcBorders>
              <w:top w:val="nil"/>
              <w:left w:val="nil"/>
              <w:bottom w:val="nil"/>
              <w:right w:val="nil"/>
            </w:tcBorders>
            <w:shd w:val="clear" w:color="auto" w:fill="auto"/>
            <w:vAlign w:val="bottom"/>
          </w:tcPr>
          <w:p w14:paraId="729CAB0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0.032</w:t>
            </w:r>
          </w:p>
        </w:tc>
        <w:tc>
          <w:tcPr>
            <w:tcW w:w="2410" w:type="dxa"/>
            <w:tcBorders>
              <w:top w:val="nil"/>
              <w:left w:val="nil"/>
              <w:bottom w:val="nil"/>
              <w:right w:val="nil"/>
            </w:tcBorders>
            <w:shd w:val="clear" w:color="auto" w:fill="auto"/>
            <w:vAlign w:val="bottom"/>
          </w:tcPr>
          <w:p w14:paraId="7F592F88"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0.031</w:t>
            </w:r>
          </w:p>
        </w:tc>
      </w:tr>
      <w:tr w:rsidR="008B2C48" w:rsidRPr="00A61D53" w14:paraId="50222952" w14:textId="77777777">
        <w:tc>
          <w:tcPr>
            <w:tcW w:w="3828" w:type="dxa"/>
            <w:tcBorders>
              <w:top w:val="nil"/>
              <w:left w:val="nil"/>
              <w:bottom w:val="nil"/>
              <w:right w:val="nil"/>
            </w:tcBorders>
            <w:vAlign w:val="center"/>
          </w:tcPr>
          <w:p w14:paraId="529C7CD0"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Seychelles</w:t>
            </w:r>
          </w:p>
        </w:tc>
        <w:tc>
          <w:tcPr>
            <w:tcW w:w="2281" w:type="dxa"/>
            <w:tcBorders>
              <w:top w:val="nil"/>
              <w:left w:val="nil"/>
              <w:bottom w:val="nil"/>
              <w:right w:val="nil"/>
            </w:tcBorders>
            <w:shd w:val="clear" w:color="auto" w:fill="auto"/>
            <w:vAlign w:val="bottom"/>
          </w:tcPr>
          <w:p w14:paraId="586D0D9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0.002</w:t>
            </w:r>
          </w:p>
        </w:tc>
        <w:tc>
          <w:tcPr>
            <w:tcW w:w="2410" w:type="dxa"/>
            <w:tcBorders>
              <w:top w:val="nil"/>
              <w:left w:val="nil"/>
              <w:bottom w:val="nil"/>
              <w:right w:val="nil"/>
            </w:tcBorders>
            <w:shd w:val="clear" w:color="auto" w:fill="auto"/>
            <w:vAlign w:val="bottom"/>
          </w:tcPr>
          <w:p w14:paraId="6AAED4AF"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0.002</w:t>
            </w:r>
          </w:p>
        </w:tc>
      </w:tr>
      <w:tr w:rsidR="008B2C48" w:rsidRPr="00A61D53" w14:paraId="05FE236E" w14:textId="77777777">
        <w:tc>
          <w:tcPr>
            <w:tcW w:w="3828" w:type="dxa"/>
            <w:tcBorders>
              <w:top w:val="nil"/>
              <w:left w:val="nil"/>
              <w:bottom w:val="nil"/>
              <w:right w:val="nil"/>
            </w:tcBorders>
            <w:vAlign w:val="center"/>
          </w:tcPr>
          <w:p w14:paraId="49981045"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Sierra Leone</w:t>
            </w:r>
          </w:p>
        </w:tc>
        <w:tc>
          <w:tcPr>
            <w:tcW w:w="2281" w:type="dxa"/>
            <w:tcBorders>
              <w:top w:val="nil"/>
              <w:left w:val="nil"/>
              <w:bottom w:val="nil"/>
              <w:right w:val="nil"/>
            </w:tcBorders>
            <w:shd w:val="clear" w:color="auto" w:fill="auto"/>
            <w:vAlign w:val="bottom"/>
          </w:tcPr>
          <w:p w14:paraId="69B50CF7"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61BF612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4FD1833C" w14:textId="77777777">
        <w:tc>
          <w:tcPr>
            <w:tcW w:w="3828" w:type="dxa"/>
            <w:tcBorders>
              <w:top w:val="nil"/>
              <w:left w:val="nil"/>
              <w:bottom w:val="nil"/>
              <w:right w:val="nil"/>
            </w:tcBorders>
            <w:vAlign w:val="center"/>
          </w:tcPr>
          <w:p w14:paraId="01A1F0C8"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Singapore</w:t>
            </w:r>
          </w:p>
        </w:tc>
        <w:tc>
          <w:tcPr>
            <w:tcW w:w="2281" w:type="dxa"/>
            <w:tcBorders>
              <w:top w:val="nil"/>
              <w:left w:val="nil"/>
              <w:bottom w:val="nil"/>
              <w:right w:val="nil"/>
            </w:tcBorders>
            <w:shd w:val="clear" w:color="auto" w:fill="auto"/>
            <w:vAlign w:val="bottom"/>
          </w:tcPr>
          <w:p w14:paraId="3C9ED683"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0.504</w:t>
            </w:r>
          </w:p>
        </w:tc>
        <w:tc>
          <w:tcPr>
            <w:tcW w:w="2410" w:type="dxa"/>
            <w:tcBorders>
              <w:top w:val="nil"/>
              <w:left w:val="nil"/>
              <w:bottom w:val="nil"/>
              <w:right w:val="nil"/>
            </w:tcBorders>
            <w:shd w:val="clear" w:color="auto" w:fill="auto"/>
            <w:vAlign w:val="bottom"/>
          </w:tcPr>
          <w:p w14:paraId="34983FB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0.491</w:t>
            </w:r>
          </w:p>
        </w:tc>
      </w:tr>
      <w:tr w:rsidR="008B2C48" w:rsidRPr="00A61D53" w14:paraId="06E89371" w14:textId="77777777">
        <w:tc>
          <w:tcPr>
            <w:tcW w:w="3828" w:type="dxa"/>
            <w:tcBorders>
              <w:top w:val="nil"/>
              <w:left w:val="nil"/>
              <w:bottom w:val="nil"/>
              <w:right w:val="nil"/>
            </w:tcBorders>
            <w:vAlign w:val="center"/>
          </w:tcPr>
          <w:p w14:paraId="33A46545"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Slovakia</w:t>
            </w:r>
          </w:p>
        </w:tc>
        <w:tc>
          <w:tcPr>
            <w:tcW w:w="2281" w:type="dxa"/>
            <w:tcBorders>
              <w:top w:val="nil"/>
              <w:left w:val="nil"/>
              <w:bottom w:val="nil"/>
              <w:right w:val="nil"/>
            </w:tcBorders>
            <w:shd w:val="clear" w:color="auto" w:fill="auto"/>
            <w:vAlign w:val="bottom"/>
          </w:tcPr>
          <w:p w14:paraId="44CDE50D"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0.155</w:t>
            </w:r>
          </w:p>
        </w:tc>
        <w:tc>
          <w:tcPr>
            <w:tcW w:w="2410" w:type="dxa"/>
            <w:tcBorders>
              <w:top w:val="nil"/>
              <w:left w:val="nil"/>
              <w:bottom w:val="nil"/>
              <w:right w:val="nil"/>
            </w:tcBorders>
            <w:shd w:val="clear" w:color="auto" w:fill="auto"/>
            <w:vAlign w:val="bottom"/>
          </w:tcPr>
          <w:p w14:paraId="29D90D86"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0.151</w:t>
            </w:r>
          </w:p>
        </w:tc>
      </w:tr>
      <w:tr w:rsidR="008B2C48" w:rsidRPr="00A61D53" w14:paraId="1A6A1E64" w14:textId="77777777">
        <w:tc>
          <w:tcPr>
            <w:tcW w:w="3828" w:type="dxa"/>
            <w:tcBorders>
              <w:top w:val="nil"/>
              <w:left w:val="nil"/>
              <w:bottom w:val="nil"/>
              <w:right w:val="nil"/>
            </w:tcBorders>
            <w:vAlign w:val="center"/>
          </w:tcPr>
          <w:p w14:paraId="236D0DA6" w14:textId="77777777" w:rsidR="008B2C48" w:rsidRPr="00A61D53" w:rsidRDefault="008B2C48">
            <w:pPr>
              <w:suppressAutoHyphens w:val="0"/>
              <w:spacing w:before="40" w:after="40" w:line="200" w:lineRule="exact"/>
              <w:ind w:left="360" w:hanging="360"/>
              <w:rPr>
                <w:rFonts w:eastAsia="MS Mincho"/>
                <w:color w:val="000000"/>
                <w:sz w:val="18"/>
                <w:szCs w:val="18"/>
                <w:lang w:eastAsia="de-DE"/>
              </w:rPr>
            </w:pPr>
            <w:r w:rsidRPr="00A61D53">
              <w:rPr>
                <w:color w:val="000000"/>
                <w:sz w:val="18"/>
                <w:szCs w:val="18"/>
              </w:rPr>
              <w:t>Slovenia</w:t>
            </w:r>
          </w:p>
        </w:tc>
        <w:tc>
          <w:tcPr>
            <w:tcW w:w="2281" w:type="dxa"/>
            <w:tcBorders>
              <w:top w:val="nil"/>
              <w:left w:val="nil"/>
              <w:bottom w:val="nil"/>
              <w:right w:val="nil"/>
            </w:tcBorders>
            <w:shd w:val="clear" w:color="auto" w:fill="auto"/>
            <w:vAlign w:val="bottom"/>
          </w:tcPr>
          <w:p w14:paraId="29B16A9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0.079</w:t>
            </w:r>
          </w:p>
        </w:tc>
        <w:tc>
          <w:tcPr>
            <w:tcW w:w="2410" w:type="dxa"/>
            <w:tcBorders>
              <w:top w:val="nil"/>
              <w:left w:val="nil"/>
              <w:bottom w:val="nil"/>
              <w:right w:val="nil"/>
            </w:tcBorders>
            <w:shd w:val="clear" w:color="auto" w:fill="auto"/>
            <w:vAlign w:val="bottom"/>
          </w:tcPr>
          <w:p w14:paraId="165372D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0.077</w:t>
            </w:r>
          </w:p>
        </w:tc>
      </w:tr>
      <w:tr w:rsidR="008B2C48" w:rsidRPr="00A61D53" w14:paraId="6AB3A51E" w14:textId="77777777">
        <w:tc>
          <w:tcPr>
            <w:tcW w:w="3828" w:type="dxa"/>
            <w:tcBorders>
              <w:top w:val="nil"/>
              <w:left w:val="nil"/>
              <w:bottom w:val="nil"/>
              <w:right w:val="nil"/>
            </w:tcBorders>
            <w:vAlign w:val="center"/>
          </w:tcPr>
          <w:p w14:paraId="741CAC34"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Solomon Islands</w:t>
            </w:r>
          </w:p>
        </w:tc>
        <w:tc>
          <w:tcPr>
            <w:tcW w:w="2281" w:type="dxa"/>
            <w:tcBorders>
              <w:top w:val="nil"/>
              <w:left w:val="nil"/>
              <w:bottom w:val="nil"/>
              <w:right w:val="nil"/>
            </w:tcBorders>
            <w:shd w:val="clear" w:color="auto" w:fill="auto"/>
            <w:vAlign w:val="bottom"/>
          </w:tcPr>
          <w:p w14:paraId="0B074AD8"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31CEEF00"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0B384439" w14:textId="77777777">
        <w:tc>
          <w:tcPr>
            <w:tcW w:w="3828" w:type="dxa"/>
            <w:tcBorders>
              <w:top w:val="nil"/>
              <w:left w:val="nil"/>
              <w:bottom w:val="nil"/>
              <w:right w:val="nil"/>
            </w:tcBorders>
            <w:vAlign w:val="center"/>
          </w:tcPr>
          <w:p w14:paraId="08D2731A" w14:textId="77777777" w:rsidR="008B2C48" w:rsidRPr="00A61D53" w:rsidRDefault="008B2C48">
            <w:pPr>
              <w:suppressAutoHyphens w:val="0"/>
              <w:spacing w:before="40" w:after="40" w:line="200" w:lineRule="exact"/>
              <w:ind w:left="360" w:hanging="360"/>
              <w:rPr>
                <w:rFonts w:eastAsia="MS Mincho"/>
                <w:color w:val="000000"/>
                <w:sz w:val="18"/>
                <w:szCs w:val="18"/>
                <w:lang w:eastAsia="de-DE"/>
              </w:rPr>
            </w:pPr>
            <w:r w:rsidRPr="00A61D53">
              <w:rPr>
                <w:color w:val="000000"/>
                <w:sz w:val="18"/>
                <w:szCs w:val="18"/>
              </w:rPr>
              <w:t>Somalia</w:t>
            </w:r>
          </w:p>
        </w:tc>
        <w:tc>
          <w:tcPr>
            <w:tcW w:w="2281" w:type="dxa"/>
            <w:tcBorders>
              <w:top w:val="nil"/>
              <w:left w:val="nil"/>
              <w:bottom w:val="nil"/>
              <w:right w:val="nil"/>
            </w:tcBorders>
            <w:shd w:val="clear" w:color="auto" w:fill="auto"/>
            <w:vAlign w:val="bottom"/>
          </w:tcPr>
          <w:p w14:paraId="0C9661F3"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00384EE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1C45083F" w14:textId="77777777">
        <w:tc>
          <w:tcPr>
            <w:tcW w:w="3828" w:type="dxa"/>
            <w:tcBorders>
              <w:top w:val="nil"/>
              <w:left w:val="nil"/>
              <w:bottom w:val="nil"/>
              <w:right w:val="nil"/>
            </w:tcBorders>
            <w:vAlign w:val="center"/>
          </w:tcPr>
          <w:p w14:paraId="089DF0B0"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South Africa</w:t>
            </w:r>
          </w:p>
        </w:tc>
        <w:tc>
          <w:tcPr>
            <w:tcW w:w="2281" w:type="dxa"/>
            <w:tcBorders>
              <w:top w:val="nil"/>
              <w:left w:val="nil"/>
              <w:bottom w:val="nil"/>
              <w:right w:val="nil"/>
            </w:tcBorders>
            <w:shd w:val="clear" w:color="auto" w:fill="auto"/>
            <w:vAlign w:val="bottom"/>
          </w:tcPr>
          <w:p w14:paraId="2E2757B6"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0.244</w:t>
            </w:r>
          </w:p>
        </w:tc>
        <w:tc>
          <w:tcPr>
            <w:tcW w:w="2410" w:type="dxa"/>
            <w:tcBorders>
              <w:top w:val="nil"/>
              <w:left w:val="nil"/>
              <w:bottom w:val="nil"/>
              <w:right w:val="nil"/>
            </w:tcBorders>
            <w:shd w:val="clear" w:color="auto" w:fill="auto"/>
            <w:vAlign w:val="bottom"/>
          </w:tcPr>
          <w:p w14:paraId="365CAC26"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0.238</w:t>
            </w:r>
          </w:p>
        </w:tc>
      </w:tr>
      <w:tr w:rsidR="008B2C48" w:rsidRPr="00A61D53" w14:paraId="6EE9AA5B" w14:textId="77777777">
        <w:tc>
          <w:tcPr>
            <w:tcW w:w="3828" w:type="dxa"/>
            <w:tcBorders>
              <w:top w:val="nil"/>
              <w:left w:val="nil"/>
              <w:bottom w:val="nil"/>
              <w:right w:val="nil"/>
            </w:tcBorders>
            <w:vAlign w:val="center"/>
          </w:tcPr>
          <w:p w14:paraId="1F5A1595"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South Sudan</w:t>
            </w:r>
          </w:p>
        </w:tc>
        <w:tc>
          <w:tcPr>
            <w:tcW w:w="2281" w:type="dxa"/>
            <w:tcBorders>
              <w:top w:val="nil"/>
              <w:left w:val="nil"/>
              <w:bottom w:val="nil"/>
              <w:right w:val="nil"/>
            </w:tcBorders>
            <w:shd w:val="clear" w:color="auto" w:fill="auto"/>
            <w:vAlign w:val="bottom"/>
          </w:tcPr>
          <w:p w14:paraId="5DFAAD8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0.002</w:t>
            </w:r>
          </w:p>
        </w:tc>
        <w:tc>
          <w:tcPr>
            <w:tcW w:w="2410" w:type="dxa"/>
            <w:tcBorders>
              <w:top w:val="nil"/>
              <w:left w:val="nil"/>
              <w:bottom w:val="nil"/>
              <w:right w:val="nil"/>
            </w:tcBorders>
            <w:shd w:val="clear" w:color="auto" w:fill="auto"/>
            <w:vAlign w:val="bottom"/>
          </w:tcPr>
          <w:p w14:paraId="74E0CB7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0.002</w:t>
            </w:r>
          </w:p>
        </w:tc>
      </w:tr>
      <w:tr w:rsidR="008B2C48" w:rsidRPr="00A61D53" w14:paraId="4BBEB3AB" w14:textId="77777777">
        <w:tc>
          <w:tcPr>
            <w:tcW w:w="3828" w:type="dxa"/>
            <w:tcBorders>
              <w:top w:val="nil"/>
              <w:left w:val="nil"/>
              <w:bottom w:val="nil"/>
              <w:right w:val="nil"/>
            </w:tcBorders>
            <w:vAlign w:val="center"/>
          </w:tcPr>
          <w:p w14:paraId="15394C17" w14:textId="77777777" w:rsidR="008B2C48" w:rsidRPr="00A61D53" w:rsidRDefault="008B2C48">
            <w:pPr>
              <w:suppressAutoHyphens w:val="0"/>
              <w:spacing w:before="40" w:after="40" w:line="200" w:lineRule="exact"/>
              <w:ind w:left="360" w:hanging="360"/>
              <w:rPr>
                <w:rFonts w:eastAsia="MS Mincho"/>
                <w:color w:val="000000"/>
                <w:sz w:val="18"/>
                <w:szCs w:val="18"/>
                <w:lang w:eastAsia="de-DE"/>
              </w:rPr>
            </w:pPr>
            <w:r w:rsidRPr="00A61D53">
              <w:rPr>
                <w:color w:val="000000"/>
                <w:sz w:val="18"/>
                <w:szCs w:val="18"/>
              </w:rPr>
              <w:t>Spain</w:t>
            </w:r>
          </w:p>
        </w:tc>
        <w:tc>
          <w:tcPr>
            <w:tcW w:w="2281" w:type="dxa"/>
            <w:tcBorders>
              <w:top w:val="nil"/>
              <w:left w:val="nil"/>
              <w:bottom w:val="nil"/>
              <w:right w:val="nil"/>
            </w:tcBorders>
            <w:shd w:val="clear" w:color="auto" w:fill="auto"/>
            <w:vAlign w:val="bottom"/>
          </w:tcPr>
          <w:p w14:paraId="5228B88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2.134</w:t>
            </w:r>
          </w:p>
        </w:tc>
        <w:tc>
          <w:tcPr>
            <w:tcW w:w="2410" w:type="dxa"/>
            <w:tcBorders>
              <w:top w:val="nil"/>
              <w:left w:val="nil"/>
              <w:bottom w:val="nil"/>
              <w:right w:val="nil"/>
            </w:tcBorders>
            <w:shd w:val="clear" w:color="auto" w:fill="auto"/>
            <w:vAlign w:val="bottom"/>
          </w:tcPr>
          <w:p w14:paraId="7F3C6A15"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2.080</w:t>
            </w:r>
          </w:p>
        </w:tc>
      </w:tr>
      <w:tr w:rsidR="008B2C48" w:rsidRPr="00A61D53" w14:paraId="2433431A" w14:textId="77777777">
        <w:tc>
          <w:tcPr>
            <w:tcW w:w="3828" w:type="dxa"/>
            <w:tcBorders>
              <w:top w:val="nil"/>
              <w:left w:val="nil"/>
              <w:bottom w:val="nil"/>
              <w:right w:val="nil"/>
            </w:tcBorders>
            <w:vAlign w:val="center"/>
          </w:tcPr>
          <w:p w14:paraId="6DFF93B1"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Sri Lanka</w:t>
            </w:r>
          </w:p>
        </w:tc>
        <w:tc>
          <w:tcPr>
            <w:tcW w:w="2281" w:type="dxa"/>
            <w:tcBorders>
              <w:top w:val="nil"/>
              <w:left w:val="nil"/>
              <w:bottom w:val="nil"/>
              <w:right w:val="nil"/>
            </w:tcBorders>
            <w:shd w:val="clear" w:color="auto" w:fill="auto"/>
            <w:vAlign w:val="bottom"/>
          </w:tcPr>
          <w:p w14:paraId="00D1CEB6"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0.045</w:t>
            </w:r>
          </w:p>
        </w:tc>
        <w:tc>
          <w:tcPr>
            <w:tcW w:w="2410" w:type="dxa"/>
            <w:tcBorders>
              <w:top w:val="nil"/>
              <w:left w:val="nil"/>
              <w:bottom w:val="nil"/>
              <w:right w:val="nil"/>
            </w:tcBorders>
            <w:shd w:val="clear" w:color="auto" w:fill="auto"/>
            <w:vAlign w:val="bottom"/>
          </w:tcPr>
          <w:p w14:paraId="0BF3D4B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0.044</w:t>
            </w:r>
          </w:p>
        </w:tc>
      </w:tr>
      <w:tr w:rsidR="008B2C48" w:rsidRPr="00A61D53" w14:paraId="2141318E" w14:textId="77777777">
        <w:tc>
          <w:tcPr>
            <w:tcW w:w="3828" w:type="dxa"/>
            <w:tcBorders>
              <w:top w:val="nil"/>
              <w:left w:val="nil"/>
              <w:bottom w:val="nil"/>
              <w:right w:val="nil"/>
            </w:tcBorders>
            <w:vAlign w:val="center"/>
          </w:tcPr>
          <w:p w14:paraId="5DA1EF48"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State of Palestine</w:t>
            </w:r>
          </w:p>
        </w:tc>
        <w:tc>
          <w:tcPr>
            <w:tcW w:w="2281" w:type="dxa"/>
            <w:tcBorders>
              <w:top w:val="nil"/>
              <w:left w:val="nil"/>
              <w:bottom w:val="nil"/>
              <w:right w:val="nil"/>
            </w:tcBorders>
            <w:shd w:val="clear" w:color="auto" w:fill="auto"/>
            <w:vAlign w:val="bottom"/>
          </w:tcPr>
          <w:p w14:paraId="28659382"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0.000</w:t>
            </w:r>
          </w:p>
        </w:tc>
        <w:tc>
          <w:tcPr>
            <w:tcW w:w="2410" w:type="dxa"/>
            <w:tcBorders>
              <w:top w:val="nil"/>
              <w:left w:val="nil"/>
              <w:bottom w:val="nil"/>
              <w:right w:val="nil"/>
            </w:tcBorders>
            <w:shd w:val="clear" w:color="auto" w:fill="auto"/>
            <w:vAlign w:val="bottom"/>
          </w:tcPr>
          <w:p w14:paraId="5BD8A510"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0.011</w:t>
            </w:r>
          </w:p>
        </w:tc>
      </w:tr>
      <w:tr w:rsidR="008B2C48" w:rsidRPr="00A61D53" w14:paraId="610A5077" w14:textId="77777777">
        <w:tc>
          <w:tcPr>
            <w:tcW w:w="3828" w:type="dxa"/>
            <w:tcBorders>
              <w:top w:val="nil"/>
              <w:left w:val="nil"/>
              <w:bottom w:val="nil"/>
              <w:right w:val="nil"/>
            </w:tcBorders>
            <w:vAlign w:val="center"/>
          </w:tcPr>
          <w:p w14:paraId="5D16C6C9"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Sudan</w:t>
            </w:r>
          </w:p>
        </w:tc>
        <w:tc>
          <w:tcPr>
            <w:tcW w:w="2281" w:type="dxa"/>
            <w:tcBorders>
              <w:top w:val="nil"/>
              <w:left w:val="nil"/>
              <w:bottom w:val="nil"/>
              <w:right w:val="nil"/>
            </w:tcBorders>
            <w:shd w:val="clear" w:color="auto" w:fill="auto"/>
            <w:vAlign w:val="bottom"/>
          </w:tcPr>
          <w:p w14:paraId="4DD501AF"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0.010</w:t>
            </w:r>
          </w:p>
        </w:tc>
        <w:tc>
          <w:tcPr>
            <w:tcW w:w="2410" w:type="dxa"/>
            <w:tcBorders>
              <w:top w:val="nil"/>
              <w:left w:val="nil"/>
              <w:bottom w:val="nil"/>
              <w:right w:val="nil"/>
            </w:tcBorders>
            <w:shd w:val="clear" w:color="auto" w:fill="auto"/>
            <w:vAlign w:val="bottom"/>
          </w:tcPr>
          <w:p w14:paraId="7FAE694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0.010</w:t>
            </w:r>
          </w:p>
        </w:tc>
      </w:tr>
      <w:tr w:rsidR="008B2C48" w:rsidRPr="00A61D53" w14:paraId="23CD5B3C" w14:textId="77777777">
        <w:tc>
          <w:tcPr>
            <w:tcW w:w="3828" w:type="dxa"/>
            <w:tcBorders>
              <w:top w:val="nil"/>
              <w:left w:val="nil"/>
              <w:bottom w:val="nil"/>
              <w:right w:val="nil"/>
            </w:tcBorders>
            <w:vAlign w:val="center"/>
          </w:tcPr>
          <w:p w14:paraId="63BDC68F"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Suriname</w:t>
            </w:r>
          </w:p>
        </w:tc>
        <w:tc>
          <w:tcPr>
            <w:tcW w:w="2281" w:type="dxa"/>
            <w:tcBorders>
              <w:top w:val="nil"/>
              <w:left w:val="nil"/>
              <w:bottom w:val="nil"/>
              <w:right w:val="nil"/>
            </w:tcBorders>
            <w:shd w:val="clear" w:color="auto" w:fill="auto"/>
            <w:vAlign w:val="bottom"/>
          </w:tcPr>
          <w:p w14:paraId="02775A48" w14:textId="77777777" w:rsidR="008B2C48" w:rsidRPr="00A61D53" w:rsidRDefault="008B2C48">
            <w:pPr>
              <w:suppressAutoHyphens w:val="0"/>
              <w:spacing w:before="40" w:after="40" w:line="200" w:lineRule="exact"/>
              <w:jc w:val="right"/>
              <w:rPr>
                <w:rFonts w:eastAsia="MS Mincho"/>
                <w:color w:val="000000"/>
                <w:sz w:val="18"/>
                <w:szCs w:val="18"/>
                <w:lang w:eastAsia="de-DE"/>
              </w:rPr>
            </w:pPr>
            <w:r w:rsidRPr="00A61D53">
              <w:rPr>
                <w:color w:val="000000"/>
                <w:sz w:val="18"/>
                <w:szCs w:val="18"/>
              </w:rPr>
              <w:t>0.003</w:t>
            </w:r>
          </w:p>
        </w:tc>
        <w:tc>
          <w:tcPr>
            <w:tcW w:w="2410" w:type="dxa"/>
            <w:tcBorders>
              <w:top w:val="nil"/>
              <w:left w:val="nil"/>
              <w:bottom w:val="nil"/>
              <w:right w:val="nil"/>
            </w:tcBorders>
            <w:shd w:val="clear" w:color="auto" w:fill="auto"/>
            <w:vAlign w:val="bottom"/>
          </w:tcPr>
          <w:p w14:paraId="37CF3913"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0.003</w:t>
            </w:r>
          </w:p>
        </w:tc>
      </w:tr>
      <w:tr w:rsidR="008B2C48" w:rsidRPr="00A61D53" w14:paraId="481B2271" w14:textId="77777777">
        <w:tc>
          <w:tcPr>
            <w:tcW w:w="3828" w:type="dxa"/>
            <w:tcBorders>
              <w:top w:val="nil"/>
              <w:left w:val="nil"/>
              <w:bottom w:val="nil"/>
              <w:right w:val="nil"/>
            </w:tcBorders>
            <w:vAlign w:val="center"/>
          </w:tcPr>
          <w:p w14:paraId="1831C24C"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Sweden</w:t>
            </w:r>
          </w:p>
        </w:tc>
        <w:tc>
          <w:tcPr>
            <w:tcW w:w="2281" w:type="dxa"/>
            <w:tcBorders>
              <w:top w:val="nil"/>
              <w:left w:val="nil"/>
              <w:bottom w:val="nil"/>
              <w:right w:val="nil"/>
            </w:tcBorders>
            <w:shd w:val="clear" w:color="auto" w:fill="auto"/>
            <w:vAlign w:val="bottom"/>
          </w:tcPr>
          <w:p w14:paraId="47F7AB9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0.871</w:t>
            </w:r>
          </w:p>
        </w:tc>
        <w:tc>
          <w:tcPr>
            <w:tcW w:w="2410" w:type="dxa"/>
            <w:tcBorders>
              <w:top w:val="nil"/>
              <w:left w:val="nil"/>
              <w:bottom w:val="nil"/>
              <w:right w:val="nil"/>
            </w:tcBorders>
            <w:shd w:val="clear" w:color="auto" w:fill="auto"/>
            <w:vAlign w:val="bottom"/>
          </w:tcPr>
          <w:p w14:paraId="037F5CE3"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0.849</w:t>
            </w:r>
          </w:p>
        </w:tc>
      </w:tr>
      <w:tr w:rsidR="008B2C48" w:rsidRPr="00A61D53" w14:paraId="7401CA12" w14:textId="77777777">
        <w:tc>
          <w:tcPr>
            <w:tcW w:w="3828" w:type="dxa"/>
            <w:tcBorders>
              <w:top w:val="nil"/>
              <w:left w:val="nil"/>
              <w:bottom w:val="nil"/>
              <w:right w:val="nil"/>
            </w:tcBorders>
            <w:vAlign w:val="center"/>
          </w:tcPr>
          <w:p w14:paraId="540528CF"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Switzerland</w:t>
            </w:r>
          </w:p>
        </w:tc>
        <w:tc>
          <w:tcPr>
            <w:tcW w:w="2281" w:type="dxa"/>
            <w:tcBorders>
              <w:top w:val="nil"/>
              <w:left w:val="nil"/>
              <w:bottom w:val="nil"/>
              <w:right w:val="nil"/>
            </w:tcBorders>
            <w:shd w:val="clear" w:color="auto" w:fill="auto"/>
            <w:vAlign w:val="bottom"/>
          </w:tcPr>
          <w:p w14:paraId="64FB6C48"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1.134</w:t>
            </w:r>
          </w:p>
        </w:tc>
        <w:tc>
          <w:tcPr>
            <w:tcW w:w="2410" w:type="dxa"/>
            <w:tcBorders>
              <w:top w:val="nil"/>
              <w:left w:val="nil"/>
              <w:bottom w:val="nil"/>
              <w:right w:val="nil"/>
            </w:tcBorders>
            <w:shd w:val="clear" w:color="auto" w:fill="auto"/>
            <w:vAlign w:val="bottom"/>
          </w:tcPr>
          <w:p w14:paraId="1C75F34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1.105</w:t>
            </w:r>
          </w:p>
        </w:tc>
      </w:tr>
      <w:tr w:rsidR="008B2C48" w:rsidRPr="00A61D53" w14:paraId="508396D1" w14:textId="77777777">
        <w:tc>
          <w:tcPr>
            <w:tcW w:w="3828" w:type="dxa"/>
            <w:tcBorders>
              <w:top w:val="nil"/>
              <w:left w:val="nil"/>
              <w:bottom w:val="nil"/>
              <w:right w:val="nil"/>
            </w:tcBorders>
            <w:vAlign w:val="center"/>
          </w:tcPr>
          <w:p w14:paraId="03B1FCFE"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Syrian Arab Republic</w:t>
            </w:r>
          </w:p>
        </w:tc>
        <w:tc>
          <w:tcPr>
            <w:tcW w:w="2281" w:type="dxa"/>
            <w:tcBorders>
              <w:top w:val="nil"/>
              <w:left w:val="nil"/>
              <w:bottom w:val="nil"/>
              <w:right w:val="nil"/>
            </w:tcBorders>
            <w:shd w:val="clear" w:color="auto" w:fill="auto"/>
            <w:vAlign w:val="bottom"/>
          </w:tcPr>
          <w:p w14:paraId="5E4357D7"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0.009</w:t>
            </w:r>
          </w:p>
        </w:tc>
        <w:tc>
          <w:tcPr>
            <w:tcW w:w="2410" w:type="dxa"/>
            <w:tcBorders>
              <w:top w:val="nil"/>
              <w:left w:val="nil"/>
              <w:bottom w:val="nil"/>
              <w:right w:val="nil"/>
            </w:tcBorders>
            <w:shd w:val="clear" w:color="auto" w:fill="auto"/>
            <w:vAlign w:val="bottom"/>
          </w:tcPr>
          <w:p w14:paraId="588DBC7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0.009</w:t>
            </w:r>
          </w:p>
        </w:tc>
      </w:tr>
      <w:tr w:rsidR="008B2C48" w:rsidRPr="00A61D53" w14:paraId="6CB2E2AD" w14:textId="77777777">
        <w:tc>
          <w:tcPr>
            <w:tcW w:w="3828" w:type="dxa"/>
            <w:tcBorders>
              <w:top w:val="nil"/>
              <w:left w:val="nil"/>
              <w:bottom w:val="nil"/>
              <w:right w:val="nil"/>
            </w:tcBorders>
            <w:vAlign w:val="center"/>
          </w:tcPr>
          <w:p w14:paraId="633DA03F"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Tajikistan</w:t>
            </w:r>
          </w:p>
        </w:tc>
        <w:tc>
          <w:tcPr>
            <w:tcW w:w="2281" w:type="dxa"/>
            <w:tcBorders>
              <w:top w:val="nil"/>
              <w:left w:val="nil"/>
              <w:bottom w:val="nil"/>
              <w:right w:val="nil"/>
            </w:tcBorders>
            <w:shd w:val="clear" w:color="auto" w:fill="auto"/>
            <w:vAlign w:val="bottom"/>
          </w:tcPr>
          <w:p w14:paraId="4E39864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0.003</w:t>
            </w:r>
          </w:p>
        </w:tc>
        <w:tc>
          <w:tcPr>
            <w:tcW w:w="2410" w:type="dxa"/>
            <w:tcBorders>
              <w:top w:val="nil"/>
              <w:left w:val="nil"/>
              <w:bottom w:val="nil"/>
              <w:right w:val="nil"/>
            </w:tcBorders>
            <w:shd w:val="clear" w:color="auto" w:fill="auto"/>
            <w:vAlign w:val="bottom"/>
          </w:tcPr>
          <w:p w14:paraId="0FE203A7"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0.003</w:t>
            </w:r>
          </w:p>
        </w:tc>
      </w:tr>
      <w:tr w:rsidR="008B2C48" w:rsidRPr="00A61D53" w14:paraId="0E9BCD41" w14:textId="77777777">
        <w:tc>
          <w:tcPr>
            <w:tcW w:w="3828" w:type="dxa"/>
            <w:tcBorders>
              <w:top w:val="nil"/>
              <w:left w:val="nil"/>
              <w:bottom w:val="nil"/>
              <w:right w:val="nil"/>
            </w:tcBorders>
            <w:vAlign w:val="center"/>
          </w:tcPr>
          <w:p w14:paraId="25AEEBDA"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Thailand</w:t>
            </w:r>
          </w:p>
        </w:tc>
        <w:tc>
          <w:tcPr>
            <w:tcW w:w="2281" w:type="dxa"/>
            <w:tcBorders>
              <w:top w:val="nil"/>
              <w:left w:val="nil"/>
              <w:bottom w:val="nil"/>
              <w:right w:val="nil"/>
            </w:tcBorders>
            <w:shd w:val="clear" w:color="auto" w:fill="auto"/>
            <w:vAlign w:val="bottom"/>
          </w:tcPr>
          <w:p w14:paraId="429ADE57"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0.368</w:t>
            </w:r>
          </w:p>
        </w:tc>
        <w:tc>
          <w:tcPr>
            <w:tcW w:w="2410" w:type="dxa"/>
            <w:tcBorders>
              <w:top w:val="nil"/>
              <w:left w:val="nil"/>
              <w:bottom w:val="nil"/>
              <w:right w:val="nil"/>
            </w:tcBorders>
            <w:shd w:val="clear" w:color="auto" w:fill="auto"/>
            <w:vAlign w:val="bottom"/>
          </w:tcPr>
          <w:p w14:paraId="4A5088C5"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0.359</w:t>
            </w:r>
          </w:p>
        </w:tc>
      </w:tr>
      <w:tr w:rsidR="008B2C48" w:rsidRPr="00A61D53" w14:paraId="20BE9163" w14:textId="77777777">
        <w:tc>
          <w:tcPr>
            <w:tcW w:w="3828" w:type="dxa"/>
            <w:tcBorders>
              <w:top w:val="nil"/>
              <w:left w:val="nil"/>
              <w:bottom w:val="nil"/>
              <w:right w:val="nil"/>
            </w:tcBorders>
            <w:vAlign w:val="center"/>
          </w:tcPr>
          <w:p w14:paraId="0A1DE85F"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Timor</w:t>
            </w:r>
            <w:r>
              <w:rPr>
                <w:color w:val="000000"/>
                <w:sz w:val="18"/>
                <w:szCs w:val="18"/>
              </w:rPr>
              <w:t>-</w:t>
            </w:r>
            <w:r w:rsidRPr="00A61D53">
              <w:rPr>
                <w:color w:val="000000"/>
                <w:sz w:val="18"/>
                <w:szCs w:val="18"/>
              </w:rPr>
              <w:t>Leste</w:t>
            </w:r>
          </w:p>
        </w:tc>
        <w:tc>
          <w:tcPr>
            <w:tcW w:w="2281" w:type="dxa"/>
            <w:tcBorders>
              <w:top w:val="nil"/>
              <w:left w:val="nil"/>
              <w:bottom w:val="nil"/>
              <w:right w:val="nil"/>
            </w:tcBorders>
            <w:shd w:val="clear" w:color="auto" w:fill="auto"/>
            <w:vAlign w:val="bottom"/>
          </w:tcPr>
          <w:p w14:paraId="3868290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0EF9D073"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65B8F10F" w14:textId="77777777">
        <w:tc>
          <w:tcPr>
            <w:tcW w:w="3828" w:type="dxa"/>
            <w:tcBorders>
              <w:top w:val="nil"/>
              <w:left w:val="nil"/>
              <w:bottom w:val="nil"/>
              <w:right w:val="nil"/>
            </w:tcBorders>
            <w:vAlign w:val="center"/>
          </w:tcPr>
          <w:p w14:paraId="49DC52FD"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Togo</w:t>
            </w:r>
          </w:p>
        </w:tc>
        <w:tc>
          <w:tcPr>
            <w:tcW w:w="2281" w:type="dxa"/>
            <w:tcBorders>
              <w:top w:val="nil"/>
              <w:left w:val="nil"/>
              <w:bottom w:val="nil"/>
              <w:right w:val="nil"/>
            </w:tcBorders>
            <w:shd w:val="clear" w:color="auto" w:fill="auto"/>
            <w:vAlign w:val="bottom"/>
          </w:tcPr>
          <w:p w14:paraId="24688D7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0.002</w:t>
            </w:r>
          </w:p>
        </w:tc>
        <w:tc>
          <w:tcPr>
            <w:tcW w:w="2410" w:type="dxa"/>
            <w:tcBorders>
              <w:top w:val="nil"/>
              <w:left w:val="nil"/>
              <w:bottom w:val="nil"/>
              <w:right w:val="nil"/>
            </w:tcBorders>
            <w:shd w:val="clear" w:color="auto" w:fill="auto"/>
            <w:vAlign w:val="bottom"/>
          </w:tcPr>
          <w:p w14:paraId="5A0750F0"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0.002</w:t>
            </w:r>
          </w:p>
        </w:tc>
      </w:tr>
      <w:tr w:rsidR="008B2C48" w:rsidRPr="00A61D53" w14:paraId="65A1F661" w14:textId="77777777">
        <w:tc>
          <w:tcPr>
            <w:tcW w:w="3828" w:type="dxa"/>
            <w:tcBorders>
              <w:top w:val="nil"/>
              <w:left w:val="nil"/>
              <w:bottom w:val="nil"/>
              <w:right w:val="nil"/>
            </w:tcBorders>
            <w:vAlign w:val="center"/>
          </w:tcPr>
          <w:p w14:paraId="0304BF8B"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Tonga</w:t>
            </w:r>
          </w:p>
        </w:tc>
        <w:tc>
          <w:tcPr>
            <w:tcW w:w="2281" w:type="dxa"/>
            <w:tcBorders>
              <w:top w:val="nil"/>
              <w:left w:val="nil"/>
              <w:bottom w:val="nil"/>
              <w:right w:val="nil"/>
            </w:tcBorders>
            <w:shd w:val="clear" w:color="auto" w:fill="auto"/>
            <w:vAlign w:val="bottom"/>
          </w:tcPr>
          <w:p w14:paraId="6834EAF8"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5127242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4A2790EB" w14:textId="77777777">
        <w:tc>
          <w:tcPr>
            <w:tcW w:w="3828" w:type="dxa"/>
            <w:tcBorders>
              <w:top w:val="nil"/>
              <w:left w:val="nil"/>
              <w:bottom w:val="nil"/>
              <w:right w:val="nil"/>
            </w:tcBorders>
            <w:vAlign w:val="center"/>
          </w:tcPr>
          <w:p w14:paraId="1175D2C3"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Trinidad and Tobago</w:t>
            </w:r>
          </w:p>
        </w:tc>
        <w:tc>
          <w:tcPr>
            <w:tcW w:w="2281" w:type="dxa"/>
            <w:tcBorders>
              <w:top w:val="nil"/>
              <w:left w:val="nil"/>
              <w:bottom w:val="nil"/>
              <w:right w:val="nil"/>
            </w:tcBorders>
            <w:shd w:val="clear" w:color="auto" w:fill="auto"/>
            <w:vAlign w:val="bottom"/>
          </w:tcPr>
          <w:p w14:paraId="70234F6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0.037</w:t>
            </w:r>
          </w:p>
        </w:tc>
        <w:tc>
          <w:tcPr>
            <w:tcW w:w="2410" w:type="dxa"/>
            <w:tcBorders>
              <w:top w:val="nil"/>
              <w:left w:val="nil"/>
              <w:bottom w:val="nil"/>
              <w:right w:val="nil"/>
            </w:tcBorders>
            <w:shd w:val="clear" w:color="auto" w:fill="auto"/>
            <w:vAlign w:val="bottom"/>
          </w:tcPr>
          <w:p w14:paraId="15AA87C7"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0.036</w:t>
            </w:r>
          </w:p>
        </w:tc>
      </w:tr>
      <w:tr w:rsidR="008B2C48" w:rsidRPr="00A61D53" w14:paraId="16455137" w14:textId="77777777">
        <w:tc>
          <w:tcPr>
            <w:tcW w:w="3828" w:type="dxa"/>
            <w:tcBorders>
              <w:top w:val="nil"/>
              <w:left w:val="nil"/>
              <w:bottom w:val="nil"/>
              <w:right w:val="nil"/>
            </w:tcBorders>
            <w:vAlign w:val="center"/>
          </w:tcPr>
          <w:p w14:paraId="6AEF66FA"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Tunisia</w:t>
            </w:r>
          </w:p>
        </w:tc>
        <w:tc>
          <w:tcPr>
            <w:tcW w:w="2281" w:type="dxa"/>
            <w:tcBorders>
              <w:top w:val="nil"/>
              <w:left w:val="nil"/>
              <w:bottom w:val="nil"/>
              <w:right w:val="nil"/>
            </w:tcBorders>
            <w:shd w:val="clear" w:color="auto" w:fill="auto"/>
            <w:vAlign w:val="bottom"/>
          </w:tcPr>
          <w:p w14:paraId="7D4E7C5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0.019</w:t>
            </w:r>
          </w:p>
        </w:tc>
        <w:tc>
          <w:tcPr>
            <w:tcW w:w="2410" w:type="dxa"/>
            <w:tcBorders>
              <w:top w:val="nil"/>
              <w:left w:val="nil"/>
              <w:bottom w:val="nil"/>
              <w:right w:val="nil"/>
            </w:tcBorders>
            <w:shd w:val="clear" w:color="auto" w:fill="auto"/>
            <w:vAlign w:val="bottom"/>
          </w:tcPr>
          <w:p w14:paraId="470497EE"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0.019</w:t>
            </w:r>
          </w:p>
        </w:tc>
      </w:tr>
      <w:tr w:rsidR="008B2C48" w:rsidRPr="00A61D53" w14:paraId="2253CE10" w14:textId="77777777">
        <w:tc>
          <w:tcPr>
            <w:tcW w:w="3828" w:type="dxa"/>
            <w:tcBorders>
              <w:top w:val="nil"/>
              <w:left w:val="nil"/>
              <w:bottom w:val="nil"/>
              <w:right w:val="nil"/>
            </w:tcBorders>
            <w:vAlign w:val="center"/>
          </w:tcPr>
          <w:p w14:paraId="7C4976F4"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Türkiye</w:t>
            </w:r>
          </w:p>
        </w:tc>
        <w:tc>
          <w:tcPr>
            <w:tcW w:w="2281" w:type="dxa"/>
            <w:tcBorders>
              <w:top w:val="nil"/>
              <w:left w:val="nil"/>
              <w:bottom w:val="nil"/>
              <w:right w:val="nil"/>
            </w:tcBorders>
            <w:shd w:val="clear" w:color="auto" w:fill="auto"/>
            <w:vAlign w:val="bottom"/>
          </w:tcPr>
          <w:p w14:paraId="296575E3" w14:textId="77777777" w:rsidR="008B2C48" w:rsidRPr="00A61D53" w:rsidRDefault="008B2C48">
            <w:pPr>
              <w:suppressAutoHyphens w:val="0"/>
              <w:spacing w:before="40" w:after="40" w:line="200" w:lineRule="exact"/>
              <w:jc w:val="right"/>
              <w:rPr>
                <w:rFonts w:eastAsia="MS Mincho"/>
                <w:color w:val="000000"/>
                <w:sz w:val="18"/>
                <w:szCs w:val="18"/>
                <w:lang w:eastAsia="de-DE"/>
              </w:rPr>
            </w:pPr>
            <w:r w:rsidRPr="00A61D53">
              <w:rPr>
                <w:color w:val="000000"/>
                <w:sz w:val="18"/>
                <w:szCs w:val="18"/>
              </w:rPr>
              <w:t>0.845</w:t>
            </w:r>
          </w:p>
        </w:tc>
        <w:tc>
          <w:tcPr>
            <w:tcW w:w="2410" w:type="dxa"/>
            <w:tcBorders>
              <w:top w:val="nil"/>
              <w:left w:val="nil"/>
              <w:bottom w:val="nil"/>
              <w:right w:val="nil"/>
            </w:tcBorders>
            <w:shd w:val="clear" w:color="auto" w:fill="auto"/>
            <w:vAlign w:val="bottom"/>
          </w:tcPr>
          <w:p w14:paraId="34685A0F"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0.824</w:t>
            </w:r>
          </w:p>
        </w:tc>
      </w:tr>
      <w:tr w:rsidR="008B2C48" w:rsidRPr="00A61D53" w14:paraId="51072CC4" w14:textId="77777777">
        <w:tc>
          <w:tcPr>
            <w:tcW w:w="3828" w:type="dxa"/>
            <w:tcBorders>
              <w:top w:val="nil"/>
              <w:left w:val="nil"/>
              <w:bottom w:val="nil"/>
              <w:right w:val="nil"/>
            </w:tcBorders>
            <w:vAlign w:val="center"/>
          </w:tcPr>
          <w:p w14:paraId="041502C6"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Turkmenistan</w:t>
            </w:r>
          </w:p>
        </w:tc>
        <w:tc>
          <w:tcPr>
            <w:tcW w:w="2281" w:type="dxa"/>
            <w:tcBorders>
              <w:top w:val="nil"/>
              <w:left w:val="nil"/>
              <w:bottom w:val="nil"/>
              <w:right w:val="nil"/>
            </w:tcBorders>
            <w:shd w:val="clear" w:color="auto" w:fill="auto"/>
            <w:vAlign w:val="bottom"/>
          </w:tcPr>
          <w:p w14:paraId="351819EE"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0.034</w:t>
            </w:r>
          </w:p>
        </w:tc>
        <w:tc>
          <w:tcPr>
            <w:tcW w:w="2410" w:type="dxa"/>
            <w:tcBorders>
              <w:top w:val="nil"/>
              <w:left w:val="nil"/>
              <w:bottom w:val="nil"/>
              <w:right w:val="nil"/>
            </w:tcBorders>
            <w:shd w:val="clear" w:color="auto" w:fill="auto"/>
            <w:vAlign w:val="bottom"/>
          </w:tcPr>
          <w:p w14:paraId="78A79B8B"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0.033</w:t>
            </w:r>
          </w:p>
        </w:tc>
      </w:tr>
      <w:tr w:rsidR="008B2C48" w:rsidRPr="00A61D53" w14:paraId="606B448E" w14:textId="77777777">
        <w:tc>
          <w:tcPr>
            <w:tcW w:w="3828" w:type="dxa"/>
            <w:tcBorders>
              <w:top w:val="nil"/>
              <w:left w:val="nil"/>
              <w:bottom w:val="nil"/>
              <w:right w:val="nil"/>
            </w:tcBorders>
            <w:vAlign w:val="center"/>
          </w:tcPr>
          <w:p w14:paraId="1B4D2C0E"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Tuvalu</w:t>
            </w:r>
          </w:p>
        </w:tc>
        <w:tc>
          <w:tcPr>
            <w:tcW w:w="2281" w:type="dxa"/>
            <w:tcBorders>
              <w:top w:val="nil"/>
              <w:left w:val="nil"/>
              <w:bottom w:val="nil"/>
              <w:right w:val="nil"/>
            </w:tcBorders>
            <w:shd w:val="clear" w:color="auto" w:fill="auto"/>
            <w:vAlign w:val="bottom"/>
          </w:tcPr>
          <w:p w14:paraId="7A9FC82F"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5ECFAEA1"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0A6BB4E9" w14:textId="77777777">
        <w:tc>
          <w:tcPr>
            <w:tcW w:w="3828" w:type="dxa"/>
            <w:tcBorders>
              <w:top w:val="nil"/>
              <w:left w:val="nil"/>
              <w:bottom w:val="nil"/>
              <w:right w:val="nil"/>
            </w:tcBorders>
            <w:vAlign w:val="center"/>
          </w:tcPr>
          <w:p w14:paraId="0E31F546"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Uganda</w:t>
            </w:r>
          </w:p>
        </w:tc>
        <w:tc>
          <w:tcPr>
            <w:tcW w:w="2281" w:type="dxa"/>
            <w:tcBorders>
              <w:top w:val="nil"/>
              <w:left w:val="nil"/>
              <w:bottom w:val="nil"/>
              <w:right w:val="nil"/>
            </w:tcBorders>
            <w:shd w:val="clear" w:color="auto" w:fill="auto"/>
            <w:vAlign w:val="bottom"/>
          </w:tcPr>
          <w:p w14:paraId="2D9B314F"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0.010</w:t>
            </w:r>
          </w:p>
        </w:tc>
        <w:tc>
          <w:tcPr>
            <w:tcW w:w="2410" w:type="dxa"/>
            <w:tcBorders>
              <w:top w:val="nil"/>
              <w:left w:val="nil"/>
              <w:bottom w:val="nil"/>
              <w:right w:val="nil"/>
            </w:tcBorders>
            <w:shd w:val="clear" w:color="auto" w:fill="auto"/>
            <w:vAlign w:val="bottom"/>
          </w:tcPr>
          <w:p w14:paraId="35BF63FD"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0.010</w:t>
            </w:r>
          </w:p>
        </w:tc>
      </w:tr>
      <w:tr w:rsidR="008B2C48" w:rsidRPr="00A61D53" w14:paraId="2D6966AB" w14:textId="77777777">
        <w:tc>
          <w:tcPr>
            <w:tcW w:w="3828" w:type="dxa"/>
            <w:tcBorders>
              <w:top w:val="nil"/>
              <w:left w:val="nil"/>
              <w:bottom w:val="nil"/>
              <w:right w:val="nil"/>
            </w:tcBorders>
            <w:vAlign w:val="center"/>
          </w:tcPr>
          <w:p w14:paraId="6107F382" w14:textId="77777777" w:rsidR="008B2C48" w:rsidRPr="00A61D53" w:rsidRDefault="008B2C48">
            <w:pPr>
              <w:suppressAutoHyphens w:val="0"/>
              <w:spacing w:before="40" w:after="40" w:line="200" w:lineRule="exact"/>
              <w:ind w:left="245" w:hanging="245"/>
              <w:rPr>
                <w:rFonts w:eastAsia="Arial Unicode MS"/>
                <w:color w:val="000000"/>
                <w:sz w:val="18"/>
                <w:szCs w:val="18"/>
                <w:lang w:eastAsia="de-DE"/>
              </w:rPr>
            </w:pPr>
            <w:r w:rsidRPr="00A61D53">
              <w:rPr>
                <w:color w:val="000000"/>
                <w:sz w:val="18"/>
                <w:szCs w:val="18"/>
              </w:rPr>
              <w:t>Ukraine</w:t>
            </w:r>
          </w:p>
        </w:tc>
        <w:tc>
          <w:tcPr>
            <w:tcW w:w="2281" w:type="dxa"/>
            <w:tcBorders>
              <w:top w:val="nil"/>
              <w:left w:val="nil"/>
              <w:bottom w:val="nil"/>
              <w:right w:val="nil"/>
            </w:tcBorders>
            <w:shd w:val="clear" w:color="auto" w:fill="auto"/>
            <w:vAlign w:val="bottom"/>
          </w:tcPr>
          <w:p w14:paraId="0915AA28"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0.056</w:t>
            </w:r>
          </w:p>
        </w:tc>
        <w:tc>
          <w:tcPr>
            <w:tcW w:w="2410" w:type="dxa"/>
            <w:tcBorders>
              <w:top w:val="nil"/>
              <w:left w:val="nil"/>
              <w:bottom w:val="nil"/>
              <w:right w:val="nil"/>
            </w:tcBorders>
            <w:shd w:val="clear" w:color="auto" w:fill="auto"/>
            <w:vAlign w:val="bottom"/>
          </w:tcPr>
          <w:p w14:paraId="1F2D7189"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0.055</w:t>
            </w:r>
          </w:p>
        </w:tc>
      </w:tr>
      <w:tr w:rsidR="008B2C48" w:rsidRPr="00A61D53" w14:paraId="21CF32F2" w14:textId="77777777">
        <w:tc>
          <w:tcPr>
            <w:tcW w:w="3828" w:type="dxa"/>
            <w:tcBorders>
              <w:top w:val="nil"/>
              <w:left w:val="nil"/>
              <w:bottom w:val="nil"/>
              <w:right w:val="nil"/>
            </w:tcBorders>
            <w:vAlign w:val="center"/>
          </w:tcPr>
          <w:p w14:paraId="3F94760D"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United Arab Emirates</w:t>
            </w:r>
          </w:p>
        </w:tc>
        <w:tc>
          <w:tcPr>
            <w:tcW w:w="2281" w:type="dxa"/>
            <w:tcBorders>
              <w:top w:val="nil"/>
              <w:left w:val="nil"/>
              <w:bottom w:val="nil"/>
              <w:right w:val="nil"/>
            </w:tcBorders>
            <w:shd w:val="clear" w:color="auto" w:fill="auto"/>
            <w:vAlign w:val="bottom"/>
          </w:tcPr>
          <w:p w14:paraId="3D81B8F3"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0.635</w:t>
            </w:r>
          </w:p>
        </w:tc>
        <w:tc>
          <w:tcPr>
            <w:tcW w:w="2410" w:type="dxa"/>
            <w:tcBorders>
              <w:top w:val="nil"/>
              <w:left w:val="nil"/>
              <w:bottom w:val="nil"/>
              <w:right w:val="nil"/>
            </w:tcBorders>
            <w:shd w:val="clear" w:color="auto" w:fill="auto"/>
            <w:vAlign w:val="bottom"/>
          </w:tcPr>
          <w:p w14:paraId="34A10F28"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0.619</w:t>
            </w:r>
          </w:p>
        </w:tc>
      </w:tr>
      <w:tr w:rsidR="008B2C48" w:rsidRPr="00A61D53" w14:paraId="3471CDF7" w14:textId="77777777">
        <w:tc>
          <w:tcPr>
            <w:tcW w:w="3828" w:type="dxa"/>
            <w:tcBorders>
              <w:top w:val="nil"/>
              <w:left w:val="nil"/>
              <w:bottom w:val="nil"/>
              <w:right w:val="nil"/>
            </w:tcBorders>
            <w:vAlign w:val="center"/>
          </w:tcPr>
          <w:p w14:paraId="24E23759"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United Kingdom of Great Britain and Northern Ireland</w:t>
            </w:r>
          </w:p>
        </w:tc>
        <w:tc>
          <w:tcPr>
            <w:tcW w:w="2281" w:type="dxa"/>
            <w:tcBorders>
              <w:top w:val="nil"/>
              <w:left w:val="nil"/>
              <w:bottom w:val="nil"/>
              <w:right w:val="nil"/>
            </w:tcBorders>
            <w:shd w:val="clear" w:color="auto" w:fill="auto"/>
            <w:vAlign w:val="bottom"/>
          </w:tcPr>
          <w:p w14:paraId="1572051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4.375</w:t>
            </w:r>
          </w:p>
        </w:tc>
        <w:tc>
          <w:tcPr>
            <w:tcW w:w="2410" w:type="dxa"/>
            <w:tcBorders>
              <w:top w:val="nil"/>
              <w:left w:val="nil"/>
              <w:bottom w:val="nil"/>
              <w:right w:val="nil"/>
            </w:tcBorders>
            <w:shd w:val="clear" w:color="auto" w:fill="auto"/>
            <w:vAlign w:val="bottom"/>
          </w:tcPr>
          <w:p w14:paraId="523ACA5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4.265</w:t>
            </w:r>
          </w:p>
        </w:tc>
      </w:tr>
      <w:tr w:rsidR="008B2C48" w:rsidRPr="00A61D53" w14:paraId="47BBB114" w14:textId="77777777">
        <w:tc>
          <w:tcPr>
            <w:tcW w:w="3828" w:type="dxa"/>
            <w:tcBorders>
              <w:top w:val="nil"/>
              <w:left w:val="nil"/>
              <w:bottom w:val="nil"/>
              <w:right w:val="nil"/>
            </w:tcBorders>
            <w:vAlign w:val="center"/>
          </w:tcPr>
          <w:p w14:paraId="0CF74C75"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United Republic of Tanzania</w:t>
            </w:r>
          </w:p>
        </w:tc>
        <w:tc>
          <w:tcPr>
            <w:tcW w:w="2281" w:type="dxa"/>
            <w:tcBorders>
              <w:top w:val="nil"/>
              <w:left w:val="nil"/>
              <w:bottom w:val="nil"/>
              <w:right w:val="nil"/>
            </w:tcBorders>
            <w:shd w:val="clear" w:color="auto" w:fill="auto"/>
            <w:vAlign w:val="bottom"/>
          </w:tcPr>
          <w:p w14:paraId="063CE22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0.010</w:t>
            </w:r>
          </w:p>
        </w:tc>
        <w:tc>
          <w:tcPr>
            <w:tcW w:w="2410" w:type="dxa"/>
            <w:tcBorders>
              <w:top w:val="nil"/>
              <w:left w:val="nil"/>
              <w:bottom w:val="nil"/>
              <w:right w:val="nil"/>
            </w:tcBorders>
            <w:shd w:val="clear" w:color="auto" w:fill="auto"/>
            <w:vAlign w:val="bottom"/>
          </w:tcPr>
          <w:p w14:paraId="68BD7844"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0.010</w:t>
            </w:r>
          </w:p>
        </w:tc>
      </w:tr>
      <w:tr w:rsidR="008B2C48" w:rsidRPr="00A61D53" w14:paraId="53AD24C3" w14:textId="77777777">
        <w:tc>
          <w:tcPr>
            <w:tcW w:w="3828" w:type="dxa"/>
            <w:tcBorders>
              <w:top w:val="nil"/>
              <w:left w:val="nil"/>
              <w:bottom w:val="nil"/>
              <w:right w:val="nil"/>
            </w:tcBorders>
            <w:vAlign w:val="center"/>
          </w:tcPr>
          <w:p w14:paraId="06852715"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United States of America</w:t>
            </w:r>
          </w:p>
        </w:tc>
        <w:tc>
          <w:tcPr>
            <w:tcW w:w="2281" w:type="dxa"/>
            <w:tcBorders>
              <w:top w:val="nil"/>
              <w:left w:val="nil"/>
              <w:bottom w:val="nil"/>
              <w:right w:val="nil"/>
            </w:tcBorders>
            <w:shd w:val="clear" w:color="auto" w:fill="auto"/>
            <w:vAlign w:val="bottom"/>
          </w:tcPr>
          <w:p w14:paraId="3D3909CD"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22.000</w:t>
            </w:r>
          </w:p>
        </w:tc>
        <w:tc>
          <w:tcPr>
            <w:tcW w:w="2410" w:type="dxa"/>
            <w:tcBorders>
              <w:top w:val="nil"/>
              <w:left w:val="nil"/>
              <w:bottom w:val="nil"/>
              <w:right w:val="nil"/>
            </w:tcBorders>
            <w:shd w:val="clear" w:color="auto" w:fill="auto"/>
            <w:vAlign w:val="bottom"/>
          </w:tcPr>
          <w:p w14:paraId="5039C7A7"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21.447</w:t>
            </w:r>
          </w:p>
        </w:tc>
      </w:tr>
      <w:tr w:rsidR="008B2C48" w:rsidRPr="00A61D53" w14:paraId="29EA6A9F" w14:textId="77777777">
        <w:tc>
          <w:tcPr>
            <w:tcW w:w="3828" w:type="dxa"/>
            <w:tcBorders>
              <w:top w:val="nil"/>
              <w:left w:val="nil"/>
              <w:bottom w:val="nil"/>
              <w:right w:val="nil"/>
            </w:tcBorders>
            <w:vAlign w:val="center"/>
          </w:tcPr>
          <w:p w14:paraId="3468378A"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Uruguay</w:t>
            </w:r>
          </w:p>
        </w:tc>
        <w:tc>
          <w:tcPr>
            <w:tcW w:w="2281" w:type="dxa"/>
            <w:tcBorders>
              <w:top w:val="nil"/>
              <w:left w:val="nil"/>
              <w:bottom w:val="nil"/>
              <w:right w:val="nil"/>
            </w:tcBorders>
            <w:shd w:val="clear" w:color="auto" w:fill="auto"/>
            <w:vAlign w:val="bottom"/>
          </w:tcPr>
          <w:p w14:paraId="1D2775C9"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0.092</w:t>
            </w:r>
          </w:p>
        </w:tc>
        <w:tc>
          <w:tcPr>
            <w:tcW w:w="2410" w:type="dxa"/>
            <w:tcBorders>
              <w:top w:val="nil"/>
              <w:left w:val="nil"/>
              <w:bottom w:val="nil"/>
              <w:right w:val="nil"/>
            </w:tcBorders>
            <w:shd w:val="clear" w:color="auto" w:fill="auto"/>
            <w:vAlign w:val="bottom"/>
          </w:tcPr>
          <w:p w14:paraId="0DDE72E5"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0.090</w:t>
            </w:r>
          </w:p>
        </w:tc>
      </w:tr>
      <w:tr w:rsidR="008B2C48" w:rsidRPr="00A61D53" w14:paraId="78320786" w14:textId="77777777">
        <w:tc>
          <w:tcPr>
            <w:tcW w:w="3828" w:type="dxa"/>
            <w:tcBorders>
              <w:top w:val="nil"/>
              <w:left w:val="nil"/>
              <w:bottom w:val="nil"/>
              <w:right w:val="nil"/>
            </w:tcBorders>
            <w:vAlign w:val="center"/>
          </w:tcPr>
          <w:p w14:paraId="21092EC7"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Uzbekistan</w:t>
            </w:r>
          </w:p>
        </w:tc>
        <w:tc>
          <w:tcPr>
            <w:tcW w:w="2281" w:type="dxa"/>
            <w:tcBorders>
              <w:top w:val="nil"/>
              <w:left w:val="nil"/>
              <w:bottom w:val="nil"/>
              <w:right w:val="nil"/>
            </w:tcBorders>
            <w:shd w:val="clear" w:color="auto" w:fill="auto"/>
            <w:vAlign w:val="bottom"/>
          </w:tcPr>
          <w:p w14:paraId="78545A09"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0.027</w:t>
            </w:r>
          </w:p>
        </w:tc>
        <w:tc>
          <w:tcPr>
            <w:tcW w:w="2410" w:type="dxa"/>
            <w:tcBorders>
              <w:top w:val="nil"/>
              <w:left w:val="nil"/>
              <w:bottom w:val="nil"/>
              <w:right w:val="nil"/>
            </w:tcBorders>
            <w:shd w:val="clear" w:color="auto" w:fill="auto"/>
            <w:vAlign w:val="bottom"/>
          </w:tcPr>
          <w:p w14:paraId="570F11FD"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0.026</w:t>
            </w:r>
          </w:p>
        </w:tc>
      </w:tr>
      <w:tr w:rsidR="008B2C48" w:rsidRPr="00A61D53" w14:paraId="0C83AF68" w14:textId="77777777">
        <w:tc>
          <w:tcPr>
            <w:tcW w:w="3828" w:type="dxa"/>
            <w:tcBorders>
              <w:top w:val="nil"/>
              <w:left w:val="nil"/>
              <w:bottom w:val="nil"/>
              <w:right w:val="nil"/>
            </w:tcBorders>
            <w:vAlign w:val="center"/>
          </w:tcPr>
          <w:p w14:paraId="3257A01C"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Vanuatu</w:t>
            </w:r>
          </w:p>
        </w:tc>
        <w:tc>
          <w:tcPr>
            <w:tcW w:w="2281" w:type="dxa"/>
            <w:tcBorders>
              <w:top w:val="nil"/>
              <w:left w:val="nil"/>
              <w:bottom w:val="nil"/>
              <w:right w:val="nil"/>
            </w:tcBorders>
            <w:shd w:val="clear" w:color="auto" w:fill="auto"/>
            <w:vAlign w:val="bottom"/>
          </w:tcPr>
          <w:p w14:paraId="66A61289"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c>
          <w:tcPr>
            <w:tcW w:w="2410" w:type="dxa"/>
            <w:tcBorders>
              <w:top w:val="nil"/>
              <w:left w:val="nil"/>
              <w:bottom w:val="nil"/>
              <w:right w:val="nil"/>
            </w:tcBorders>
            <w:shd w:val="clear" w:color="auto" w:fill="auto"/>
            <w:vAlign w:val="bottom"/>
          </w:tcPr>
          <w:p w14:paraId="0C21ECBC"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0.001</w:t>
            </w:r>
          </w:p>
        </w:tc>
      </w:tr>
      <w:tr w:rsidR="008B2C48" w:rsidRPr="00A61D53" w14:paraId="7FCF9005" w14:textId="77777777">
        <w:tc>
          <w:tcPr>
            <w:tcW w:w="3828" w:type="dxa"/>
            <w:tcBorders>
              <w:top w:val="nil"/>
              <w:left w:val="nil"/>
              <w:bottom w:val="nil"/>
              <w:right w:val="nil"/>
            </w:tcBorders>
            <w:vAlign w:val="center"/>
          </w:tcPr>
          <w:p w14:paraId="32ECEAB8"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Venezuela (Bolivarian Republic of)</w:t>
            </w:r>
          </w:p>
        </w:tc>
        <w:tc>
          <w:tcPr>
            <w:tcW w:w="2281" w:type="dxa"/>
            <w:tcBorders>
              <w:top w:val="nil"/>
              <w:left w:val="nil"/>
              <w:bottom w:val="nil"/>
              <w:right w:val="nil"/>
            </w:tcBorders>
            <w:shd w:val="clear" w:color="auto" w:fill="auto"/>
            <w:vAlign w:val="bottom"/>
          </w:tcPr>
          <w:p w14:paraId="45F568B0"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0.175</w:t>
            </w:r>
          </w:p>
        </w:tc>
        <w:tc>
          <w:tcPr>
            <w:tcW w:w="2410" w:type="dxa"/>
            <w:tcBorders>
              <w:top w:val="nil"/>
              <w:left w:val="nil"/>
              <w:bottom w:val="nil"/>
              <w:right w:val="nil"/>
            </w:tcBorders>
            <w:shd w:val="clear" w:color="auto" w:fill="auto"/>
            <w:vAlign w:val="bottom"/>
          </w:tcPr>
          <w:p w14:paraId="72BE0B97"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0.171</w:t>
            </w:r>
          </w:p>
        </w:tc>
      </w:tr>
      <w:tr w:rsidR="008B2C48" w:rsidRPr="00A61D53" w14:paraId="5ABAB513" w14:textId="77777777">
        <w:tc>
          <w:tcPr>
            <w:tcW w:w="3828" w:type="dxa"/>
            <w:tcBorders>
              <w:top w:val="nil"/>
              <w:left w:val="nil"/>
              <w:bottom w:val="nil"/>
              <w:right w:val="nil"/>
            </w:tcBorders>
            <w:vAlign w:val="center"/>
          </w:tcPr>
          <w:p w14:paraId="58D50CDF"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Viet Nam</w:t>
            </w:r>
          </w:p>
        </w:tc>
        <w:tc>
          <w:tcPr>
            <w:tcW w:w="2281" w:type="dxa"/>
            <w:tcBorders>
              <w:top w:val="nil"/>
              <w:left w:val="nil"/>
              <w:bottom w:val="nil"/>
              <w:right w:val="nil"/>
            </w:tcBorders>
            <w:shd w:val="clear" w:color="auto" w:fill="auto"/>
            <w:vAlign w:val="bottom"/>
          </w:tcPr>
          <w:p w14:paraId="005BA700"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0.093</w:t>
            </w:r>
          </w:p>
        </w:tc>
        <w:tc>
          <w:tcPr>
            <w:tcW w:w="2410" w:type="dxa"/>
            <w:tcBorders>
              <w:top w:val="nil"/>
              <w:left w:val="nil"/>
              <w:bottom w:val="nil"/>
              <w:right w:val="nil"/>
            </w:tcBorders>
            <w:shd w:val="clear" w:color="auto" w:fill="auto"/>
            <w:vAlign w:val="bottom"/>
          </w:tcPr>
          <w:p w14:paraId="57225243"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0.091</w:t>
            </w:r>
          </w:p>
        </w:tc>
      </w:tr>
      <w:tr w:rsidR="008B2C48" w:rsidRPr="00A61D53" w14:paraId="569A9121" w14:textId="77777777">
        <w:tc>
          <w:tcPr>
            <w:tcW w:w="3828" w:type="dxa"/>
            <w:tcBorders>
              <w:top w:val="nil"/>
              <w:left w:val="nil"/>
              <w:bottom w:val="nil"/>
              <w:right w:val="nil"/>
            </w:tcBorders>
            <w:vAlign w:val="center"/>
          </w:tcPr>
          <w:p w14:paraId="47C16EDF" w14:textId="77777777" w:rsidR="008B2C48" w:rsidRPr="00A61D53" w:rsidRDefault="008B2C48">
            <w:pPr>
              <w:suppressAutoHyphens w:val="0"/>
              <w:spacing w:before="40" w:after="40" w:line="200" w:lineRule="exact"/>
              <w:ind w:left="360" w:hanging="360"/>
              <w:rPr>
                <w:rFonts w:eastAsia="Arial Unicode MS"/>
                <w:color w:val="000000"/>
                <w:sz w:val="18"/>
                <w:szCs w:val="18"/>
                <w:lang w:eastAsia="de-DE"/>
              </w:rPr>
            </w:pPr>
            <w:r w:rsidRPr="00A61D53">
              <w:rPr>
                <w:color w:val="000000"/>
                <w:sz w:val="18"/>
                <w:szCs w:val="18"/>
              </w:rPr>
              <w:t>Yemen</w:t>
            </w:r>
          </w:p>
        </w:tc>
        <w:tc>
          <w:tcPr>
            <w:tcW w:w="2281" w:type="dxa"/>
            <w:tcBorders>
              <w:top w:val="nil"/>
              <w:left w:val="nil"/>
              <w:bottom w:val="nil"/>
              <w:right w:val="nil"/>
            </w:tcBorders>
            <w:shd w:val="clear" w:color="auto" w:fill="auto"/>
            <w:vAlign w:val="bottom"/>
          </w:tcPr>
          <w:p w14:paraId="62C73A1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0.008</w:t>
            </w:r>
          </w:p>
        </w:tc>
        <w:tc>
          <w:tcPr>
            <w:tcW w:w="2410" w:type="dxa"/>
            <w:tcBorders>
              <w:top w:val="nil"/>
              <w:left w:val="nil"/>
              <w:bottom w:val="nil"/>
              <w:right w:val="nil"/>
            </w:tcBorders>
            <w:shd w:val="clear" w:color="auto" w:fill="auto"/>
            <w:vAlign w:val="bottom"/>
          </w:tcPr>
          <w:p w14:paraId="100CD02A" w14:textId="77777777" w:rsidR="008B2C48" w:rsidRPr="00A61D53" w:rsidRDefault="008B2C48">
            <w:pPr>
              <w:suppressAutoHyphens w:val="0"/>
              <w:spacing w:before="40" w:after="40" w:line="200" w:lineRule="exact"/>
              <w:jc w:val="right"/>
              <w:rPr>
                <w:rFonts w:eastAsia="MS Mincho"/>
                <w:sz w:val="18"/>
                <w:szCs w:val="18"/>
                <w:lang w:eastAsia="de-DE"/>
              </w:rPr>
            </w:pPr>
            <w:r w:rsidRPr="00A61D53">
              <w:rPr>
                <w:color w:val="000000"/>
                <w:sz w:val="18"/>
                <w:szCs w:val="18"/>
              </w:rPr>
              <w:t>0.008</w:t>
            </w:r>
          </w:p>
        </w:tc>
      </w:tr>
      <w:tr w:rsidR="008B2C48" w:rsidRPr="00A61D53" w14:paraId="2D8B7CFF" w14:textId="77777777">
        <w:tc>
          <w:tcPr>
            <w:tcW w:w="3828" w:type="dxa"/>
            <w:tcBorders>
              <w:top w:val="nil"/>
              <w:left w:val="nil"/>
              <w:bottom w:val="nil"/>
              <w:right w:val="nil"/>
            </w:tcBorders>
            <w:vAlign w:val="center"/>
          </w:tcPr>
          <w:p w14:paraId="02BE8FD6" w14:textId="77777777" w:rsidR="008B2C48" w:rsidRPr="00A61D53" w:rsidRDefault="008B2C48">
            <w:pPr>
              <w:suppressAutoHyphens w:val="0"/>
              <w:spacing w:before="40" w:after="40" w:line="200" w:lineRule="exact"/>
              <w:ind w:left="360" w:hanging="360"/>
              <w:rPr>
                <w:rFonts w:eastAsia="MS Mincho"/>
                <w:b/>
                <w:bCs/>
                <w:color w:val="000000"/>
                <w:sz w:val="18"/>
                <w:szCs w:val="18"/>
                <w:lang w:eastAsia="de-DE"/>
              </w:rPr>
            </w:pPr>
            <w:r w:rsidRPr="00A61D53">
              <w:rPr>
                <w:color w:val="000000"/>
                <w:sz w:val="18"/>
                <w:szCs w:val="18"/>
              </w:rPr>
              <w:t>Zambia</w:t>
            </w:r>
          </w:p>
        </w:tc>
        <w:tc>
          <w:tcPr>
            <w:tcW w:w="2281" w:type="dxa"/>
            <w:tcBorders>
              <w:top w:val="nil"/>
              <w:left w:val="nil"/>
              <w:bottom w:val="nil"/>
              <w:right w:val="nil"/>
            </w:tcBorders>
            <w:shd w:val="clear" w:color="auto" w:fill="auto"/>
            <w:vAlign w:val="bottom"/>
          </w:tcPr>
          <w:p w14:paraId="63A0A6FC" w14:textId="77777777" w:rsidR="008B2C48" w:rsidRPr="00A61D53" w:rsidRDefault="008B2C48">
            <w:pPr>
              <w:suppressAutoHyphens w:val="0"/>
              <w:autoSpaceDE w:val="0"/>
              <w:autoSpaceDN w:val="0"/>
              <w:adjustRightInd w:val="0"/>
              <w:spacing w:before="40" w:after="40" w:line="200" w:lineRule="exact"/>
              <w:ind w:left="187"/>
              <w:jc w:val="right"/>
              <w:rPr>
                <w:rFonts w:eastAsia="MS Mincho"/>
                <w:b/>
                <w:bCs/>
                <w:color w:val="000000"/>
                <w:sz w:val="18"/>
                <w:szCs w:val="18"/>
                <w:lang w:eastAsia="de-DE"/>
              </w:rPr>
            </w:pPr>
            <w:r w:rsidRPr="00A61D53">
              <w:rPr>
                <w:color w:val="000000"/>
                <w:sz w:val="18"/>
                <w:szCs w:val="18"/>
              </w:rPr>
              <w:t>0.008</w:t>
            </w:r>
          </w:p>
        </w:tc>
        <w:tc>
          <w:tcPr>
            <w:tcW w:w="2410" w:type="dxa"/>
            <w:tcBorders>
              <w:top w:val="nil"/>
              <w:left w:val="nil"/>
              <w:bottom w:val="nil"/>
              <w:right w:val="nil"/>
            </w:tcBorders>
            <w:shd w:val="clear" w:color="auto" w:fill="auto"/>
            <w:vAlign w:val="bottom"/>
          </w:tcPr>
          <w:p w14:paraId="2532EBC4" w14:textId="77777777" w:rsidR="008B2C48" w:rsidRPr="00A61D53" w:rsidRDefault="008B2C48">
            <w:pPr>
              <w:suppressAutoHyphens w:val="0"/>
              <w:autoSpaceDE w:val="0"/>
              <w:autoSpaceDN w:val="0"/>
              <w:adjustRightInd w:val="0"/>
              <w:spacing w:before="40" w:after="40" w:line="200" w:lineRule="exact"/>
              <w:ind w:left="187"/>
              <w:jc w:val="right"/>
              <w:rPr>
                <w:rFonts w:eastAsia="MS Mincho"/>
                <w:b/>
                <w:bCs/>
                <w:color w:val="000000"/>
                <w:sz w:val="18"/>
                <w:szCs w:val="18"/>
                <w:lang w:eastAsia="de-DE"/>
              </w:rPr>
            </w:pPr>
            <w:r w:rsidRPr="00A61D53">
              <w:rPr>
                <w:color w:val="000000"/>
                <w:sz w:val="18"/>
                <w:szCs w:val="18"/>
              </w:rPr>
              <w:t>0.008</w:t>
            </w:r>
          </w:p>
        </w:tc>
      </w:tr>
      <w:tr w:rsidR="008B2C48" w:rsidRPr="00A61D53" w14:paraId="2F882879" w14:textId="77777777">
        <w:tc>
          <w:tcPr>
            <w:tcW w:w="3828" w:type="dxa"/>
            <w:tcBorders>
              <w:top w:val="nil"/>
              <w:left w:val="nil"/>
              <w:bottom w:val="single" w:sz="2" w:space="0" w:color="auto"/>
              <w:right w:val="nil"/>
            </w:tcBorders>
            <w:vAlign w:val="center"/>
          </w:tcPr>
          <w:p w14:paraId="5B46FE5A" w14:textId="77777777" w:rsidR="008B2C48" w:rsidRPr="00A61D53" w:rsidRDefault="008B2C48">
            <w:pPr>
              <w:suppressAutoHyphens w:val="0"/>
              <w:spacing w:before="40" w:after="40" w:line="200" w:lineRule="exact"/>
              <w:ind w:left="360" w:hanging="360"/>
              <w:rPr>
                <w:color w:val="000000"/>
                <w:sz w:val="18"/>
                <w:szCs w:val="18"/>
              </w:rPr>
            </w:pPr>
            <w:r w:rsidRPr="00A61D53">
              <w:rPr>
                <w:color w:val="000000"/>
                <w:sz w:val="18"/>
                <w:szCs w:val="18"/>
              </w:rPr>
              <w:t>Zimbabwe</w:t>
            </w:r>
          </w:p>
        </w:tc>
        <w:tc>
          <w:tcPr>
            <w:tcW w:w="2281" w:type="dxa"/>
            <w:tcBorders>
              <w:top w:val="nil"/>
              <w:left w:val="nil"/>
              <w:bottom w:val="single" w:sz="2" w:space="0" w:color="auto"/>
              <w:right w:val="nil"/>
            </w:tcBorders>
            <w:shd w:val="clear" w:color="auto" w:fill="auto"/>
            <w:vAlign w:val="bottom"/>
          </w:tcPr>
          <w:p w14:paraId="4D98B9FB" w14:textId="77777777" w:rsidR="008B2C48" w:rsidRPr="00A61D53" w:rsidRDefault="008B2C48">
            <w:pPr>
              <w:suppressAutoHyphens w:val="0"/>
              <w:autoSpaceDE w:val="0"/>
              <w:autoSpaceDN w:val="0"/>
              <w:adjustRightInd w:val="0"/>
              <w:spacing w:before="40" w:after="40" w:line="200" w:lineRule="exact"/>
              <w:ind w:left="187"/>
              <w:jc w:val="right"/>
              <w:rPr>
                <w:color w:val="000000"/>
                <w:sz w:val="18"/>
                <w:szCs w:val="18"/>
              </w:rPr>
            </w:pPr>
            <w:r w:rsidRPr="00A61D53">
              <w:rPr>
                <w:color w:val="000000"/>
                <w:sz w:val="18"/>
                <w:szCs w:val="18"/>
              </w:rPr>
              <w:t>0.007</w:t>
            </w:r>
          </w:p>
        </w:tc>
        <w:tc>
          <w:tcPr>
            <w:tcW w:w="2410" w:type="dxa"/>
            <w:tcBorders>
              <w:top w:val="nil"/>
              <w:left w:val="nil"/>
              <w:bottom w:val="single" w:sz="2" w:space="0" w:color="auto"/>
              <w:right w:val="nil"/>
            </w:tcBorders>
            <w:shd w:val="clear" w:color="auto" w:fill="auto"/>
            <w:vAlign w:val="bottom"/>
          </w:tcPr>
          <w:p w14:paraId="7723B29D" w14:textId="77777777" w:rsidR="008B2C48" w:rsidRPr="00A61D53" w:rsidRDefault="008B2C48">
            <w:pPr>
              <w:suppressAutoHyphens w:val="0"/>
              <w:autoSpaceDE w:val="0"/>
              <w:autoSpaceDN w:val="0"/>
              <w:adjustRightInd w:val="0"/>
              <w:spacing w:before="40" w:after="40" w:line="200" w:lineRule="exact"/>
              <w:ind w:left="187"/>
              <w:jc w:val="right"/>
              <w:rPr>
                <w:color w:val="000000"/>
                <w:sz w:val="18"/>
                <w:szCs w:val="18"/>
              </w:rPr>
            </w:pPr>
            <w:r w:rsidRPr="00A61D53">
              <w:rPr>
                <w:color w:val="000000"/>
                <w:sz w:val="18"/>
                <w:szCs w:val="18"/>
              </w:rPr>
              <w:t>0.007</w:t>
            </w:r>
          </w:p>
        </w:tc>
      </w:tr>
      <w:tr w:rsidR="008B2C48" w:rsidRPr="00A61D53" w14:paraId="378A3EBC" w14:textId="77777777">
        <w:tc>
          <w:tcPr>
            <w:tcW w:w="3828" w:type="dxa"/>
            <w:tcBorders>
              <w:top w:val="single" w:sz="2" w:space="0" w:color="auto"/>
              <w:left w:val="nil"/>
              <w:bottom w:val="single" w:sz="12" w:space="0" w:color="auto"/>
              <w:right w:val="nil"/>
            </w:tcBorders>
            <w:vAlign w:val="center"/>
          </w:tcPr>
          <w:p w14:paraId="1585721E" w14:textId="77777777" w:rsidR="008B2C48" w:rsidRPr="00A61D53" w:rsidRDefault="008B2C48">
            <w:pPr>
              <w:suppressAutoHyphens w:val="0"/>
              <w:autoSpaceDE w:val="0"/>
              <w:autoSpaceDN w:val="0"/>
              <w:adjustRightInd w:val="0"/>
              <w:spacing w:before="40" w:after="40" w:line="200" w:lineRule="exact"/>
              <w:ind w:left="341" w:right="113" w:hanging="57"/>
              <w:rPr>
                <w:color w:val="000000"/>
                <w:sz w:val="18"/>
                <w:szCs w:val="18"/>
              </w:rPr>
            </w:pPr>
            <w:r w:rsidRPr="00A61D53">
              <w:rPr>
                <w:b/>
                <w:color w:val="000000"/>
                <w:sz w:val="18"/>
                <w:szCs w:val="18"/>
              </w:rPr>
              <w:t>Total</w:t>
            </w:r>
          </w:p>
        </w:tc>
        <w:tc>
          <w:tcPr>
            <w:tcW w:w="2281" w:type="dxa"/>
            <w:tcBorders>
              <w:top w:val="single" w:sz="2" w:space="0" w:color="auto"/>
              <w:left w:val="nil"/>
              <w:bottom w:val="single" w:sz="12" w:space="0" w:color="auto"/>
              <w:right w:val="nil"/>
            </w:tcBorders>
            <w:shd w:val="clear" w:color="auto" w:fill="auto"/>
            <w:vAlign w:val="bottom"/>
          </w:tcPr>
          <w:p w14:paraId="3B77994D" w14:textId="77777777" w:rsidR="008B2C48" w:rsidRPr="00A61D53" w:rsidRDefault="008B2C48">
            <w:pPr>
              <w:suppressAutoHyphens w:val="0"/>
              <w:autoSpaceDE w:val="0"/>
              <w:autoSpaceDN w:val="0"/>
              <w:adjustRightInd w:val="0"/>
              <w:spacing w:before="40" w:after="40" w:line="200" w:lineRule="exact"/>
              <w:ind w:left="187"/>
              <w:jc w:val="right"/>
              <w:rPr>
                <w:color w:val="000000"/>
                <w:sz w:val="18"/>
                <w:szCs w:val="18"/>
              </w:rPr>
            </w:pPr>
            <w:r w:rsidRPr="00A61D53">
              <w:rPr>
                <w:b/>
                <w:bCs/>
                <w:color w:val="000000"/>
                <w:sz w:val="18"/>
                <w:szCs w:val="18"/>
              </w:rPr>
              <w:t>100.000</w:t>
            </w:r>
          </w:p>
        </w:tc>
        <w:tc>
          <w:tcPr>
            <w:tcW w:w="2410" w:type="dxa"/>
            <w:tcBorders>
              <w:top w:val="single" w:sz="2" w:space="0" w:color="auto"/>
              <w:left w:val="nil"/>
              <w:bottom w:val="single" w:sz="12" w:space="0" w:color="auto"/>
              <w:right w:val="nil"/>
            </w:tcBorders>
            <w:shd w:val="clear" w:color="auto" w:fill="auto"/>
            <w:vAlign w:val="bottom"/>
          </w:tcPr>
          <w:p w14:paraId="764105D9" w14:textId="77777777" w:rsidR="008B2C48" w:rsidRPr="00A61D53" w:rsidRDefault="008B2C48">
            <w:pPr>
              <w:suppressAutoHyphens w:val="0"/>
              <w:autoSpaceDE w:val="0"/>
              <w:autoSpaceDN w:val="0"/>
              <w:adjustRightInd w:val="0"/>
              <w:spacing w:before="40" w:after="40" w:line="200" w:lineRule="exact"/>
              <w:ind w:left="187"/>
              <w:jc w:val="right"/>
              <w:rPr>
                <w:color w:val="000000"/>
                <w:sz w:val="18"/>
                <w:szCs w:val="18"/>
              </w:rPr>
            </w:pPr>
            <w:r w:rsidRPr="00A61D53">
              <w:rPr>
                <w:b/>
                <w:bCs/>
                <w:color w:val="000000"/>
                <w:sz w:val="18"/>
                <w:szCs w:val="18"/>
              </w:rPr>
              <w:t>100.000</w:t>
            </w:r>
          </w:p>
        </w:tc>
      </w:tr>
    </w:tbl>
    <w:p w14:paraId="4D957129" w14:textId="77777777" w:rsidR="008B2C48" w:rsidRDefault="008B2C48" w:rsidP="008B2C48">
      <w:pPr>
        <w:pStyle w:val="FootnoteTable"/>
        <w:spacing w:line="200" w:lineRule="exact"/>
        <w:ind w:left="1134" w:right="-1" w:firstLine="142"/>
        <w:jc w:val="left"/>
      </w:pPr>
      <w:r>
        <w:rPr>
          <w:i/>
        </w:rPr>
        <w:t>Notes</w:t>
      </w:r>
      <w:r w:rsidRPr="002C67E5">
        <w:rPr>
          <w:iCs/>
        </w:rPr>
        <w:t>:</w:t>
      </w:r>
      <w:r w:rsidRPr="0079125D">
        <w:rPr>
          <w:iCs/>
        </w:rPr>
        <w:t xml:space="preserve"> </w:t>
      </w:r>
      <w:r w:rsidRPr="00B10C60">
        <w:t>(1) For presentation purposes, all percentage figures for the UNFCCC revised indicative scale of contributions have been given to three decimal places; (</w:t>
      </w:r>
      <w:r>
        <w:t>2</w:t>
      </w:r>
      <w:r w:rsidRPr="00B10C60">
        <w:t xml:space="preserve">) </w:t>
      </w:r>
      <w:r w:rsidRPr="00B10C60">
        <w:rPr>
          <w:rFonts w:eastAsia="Times New Roman"/>
        </w:rPr>
        <w:t xml:space="preserve">Cook Islands, the European Union and Niue are Parties to the </w:t>
      </w:r>
      <w:r w:rsidRPr="002C081F">
        <w:rPr>
          <w:rFonts w:eastAsia="Times New Roman"/>
        </w:rPr>
        <w:t xml:space="preserve">Convention </w:t>
      </w:r>
      <w:r w:rsidRPr="00B10C60">
        <w:rPr>
          <w:rFonts w:eastAsia="Times New Roman"/>
        </w:rPr>
        <w:t>but not United Nations Member States</w:t>
      </w:r>
      <w:r w:rsidRPr="00B10C60">
        <w:t>.</w:t>
      </w:r>
    </w:p>
    <w:p w14:paraId="06C91245" w14:textId="6CB438E7" w:rsidR="00D51975" w:rsidRPr="00D51975" w:rsidRDefault="007805DB" w:rsidP="0079125D">
      <w:pPr>
        <w:tabs>
          <w:tab w:val="left" w:pos="1701"/>
        </w:tabs>
        <w:ind w:left="1134" w:right="1134"/>
        <w:jc w:val="right"/>
        <w:rPr>
          <w:i/>
          <w:iCs/>
        </w:rPr>
      </w:pPr>
      <w:r>
        <w:rPr>
          <w:i/>
          <w:iCs/>
        </w:rPr>
        <w:t>5</w:t>
      </w:r>
      <w:r w:rsidR="00E11928" w:rsidRPr="0079125D">
        <w:rPr>
          <w:i/>
          <w:iCs/>
          <w:vertAlign w:val="superscript"/>
        </w:rPr>
        <w:t>th</w:t>
      </w:r>
      <w:r w:rsidR="00E11928">
        <w:rPr>
          <w:i/>
          <w:iCs/>
        </w:rPr>
        <w:t xml:space="preserve"> </w:t>
      </w:r>
      <w:r w:rsidR="00D51975" w:rsidRPr="00D51975">
        <w:rPr>
          <w:i/>
          <w:iCs/>
        </w:rPr>
        <w:t>plenary me</w:t>
      </w:r>
      <w:r w:rsidR="00EE10C8">
        <w:rPr>
          <w:i/>
          <w:iCs/>
        </w:rPr>
        <w:t>e</w:t>
      </w:r>
      <w:r w:rsidR="00D51975" w:rsidRPr="00D51975">
        <w:rPr>
          <w:i/>
          <w:iCs/>
        </w:rPr>
        <w:t>ting</w:t>
      </w:r>
    </w:p>
    <w:p w14:paraId="6ACE8C5F" w14:textId="77777777" w:rsidR="00D51975" w:rsidRPr="00D51975" w:rsidRDefault="00D51975" w:rsidP="0079125D">
      <w:pPr>
        <w:tabs>
          <w:tab w:val="left" w:pos="1701"/>
        </w:tabs>
        <w:ind w:left="1134" w:right="1134"/>
        <w:jc w:val="right"/>
        <w:rPr>
          <w:i/>
          <w:iCs/>
        </w:rPr>
      </w:pPr>
      <w:r w:rsidRPr="00D51975">
        <w:rPr>
          <w:i/>
          <w:iCs/>
        </w:rPr>
        <w:t>13 December 2023</w:t>
      </w:r>
    </w:p>
    <w:p w14:paraId="0A792EC2" w14:textId="6B12B0CB" w:rsidR="00C225C4" w:rsidRDefault="008B2C48" w:rsidP="0079125D">
      <w:pPr>
        <w:spacing w:before="240"/>
        <w:ind w:left="1134" w:right="1134"/>
        <w:jc w:val="center"/>
        <w:rPr>
          <w:i/>
          <w:iCs/>
          <w:lang w:eastAsia="en-US"/>
        </w:rPr>
        <w:sectPr w:rsidR="00C225C4" w:rsidSect="000D19EC">
          <w:footnotePr>
            <w:numRestart w:val="eachSect"/>
          </w:footnotePr>
          <w:pgSz w:w="11906" w:h="16838" w:code="9"/>
          <w:pgMar w:top="1418" w:right="1134" w:bottom="1134" w:left="1134" w:header="850" w:footer="567" w:gutter="0"/>
          <w:cols w:space="708"/>
          <w:docGrid w:linePitch="360"/>
        </w:sectPr>
      </w:pPr>
      <w:r>
        <w:rPr>
          <w:u w:val="single"/>
        </w:rPr>
        <w:tab/>
      </w:r>
    </w:p>
    <w:p w14:paraId="3476870F" w14:textId="1D2B8649" w:rsidR="00983709" w:rsidRDefault="00983709" w:rsidP="005A1A63">
      <w:pPr>
        <w:pStyle w:val="RegHChG"/>
        <w:ind w:left="1134" w:hanging="454"/>
      </w:pPr>
      <w:bookmarkStart w:id="82" w:name="_Toc161216141"/>
      <w:bookmarkStart w:id="83" w:name="Resolution1"/>
      <w:r w:rsidRPr="00983709">
        <w:t xml:space="preserve">Resolution </w:t>
      </w:r>
      <w:r w:rsidR="00D51975">
        <w:t>1</w:t>
      </w:r>
      <w:r w:rsidR="00B44EF3">
        <w:t>/</w:t>
      </w:r>
      <w:r w:rsidRPr="00983709">
        <w:t>CP.28</w:t>
      </w:r>
      <w:bookmarkEnd w:id="82"/>
    </w:p>
    <w:bookmarkEnd w:id="83"/>
    <w:p w14:paraId="422824F6" w14:textId="210EBB35" w:rsidR="00983709" w:rsidRPr="009B600A" w:rsidRDefault="00983709" w:rsidP="00071D87">
      <w:pPr>
        <w:pStyle w:val="HChG"/>
        <w:ind w:firstLine="0"/>
        <w:jc w:val="both"/>
      </w:pPr>
      <w:r w:rsidRPr="00A61D53">
        <w:tab/>
      </w:r>
      <w:r w:rsidR="003A5D3F" w:rsidRPr="003A5D3F">
        <w:t xml:space="preserve">Expression of gratitude to the Government of the United Arab Emirates </w:t>
      </w:r>
    </w:p>
    <w:p w14:paraId="4FD365FE" w14:textId="45CC6034" w:rsidR="00983709" w:rsidRDefault="00F33F70" w:rsidP="0079125D">
      <w:pPr>
        <w:pStyle w:val="H1G"/>
        <w:rPr>
          <w:sz w:val="23"/>
          <w:szCs w:val="23"/>
        </w:rPr>
      </w:pPr>
      <w:r>
        <w:tab/>
      </w:r>
      <w:r w:rsidR="00983709">
        <w:rPr>
          <w:bCs/>
          <w:sz w:val="23"/>
          <w:szCs w:val="23"/>
        </w:rPr>
        <w:t xml:space="preserve">Resolution submitted by the Republic of Azerbaijan </w:t>
      </w:r>
    </w:p>
    <w:p w14:paraId="239B476F" w14:textId="34AAFC2E" w:rsidR="00983709" w:rsidRDefault="00CE22B7" w:rsidP="00CE22B7">
      <w:pPr>
        <w:pStyle w:val="RegSingleTxtG"/>
        <w:spacing w:before="120"/>
        <w:ind w:right="1133"/>
      </w:pPr>
      <w:r>
        <w:rPr>
          <w:i/>
          <w:iCs/>
        </w:rPr>
        <w:tab/>
      </w:r>
      <w:r w:rsidR="00983709">
        <w:rPr>
          <w:i/>
          <w:iCs/>
        </w:rPr>
        <w:t>The Conference of the Parties, the Conference of the Parties serving as the meeting of the Parties to the Kyoto Protocol and the Conference of the Parties serving as the meeting of the Parties to the Paris Agreement</w:t>
      </w:r>
      <w:r w:rsidR="00983709">
        <w:t xml:space="preserve">, </w:t>
      </w:r>
    </w:p>
    <w:p w14:paraId="656774DC" w14:textId="55269305" w:rsidR="00983709" w:rsidRDefault="00CE22B7" w:rsidP="00CE22B7">
      <w:pPr>
        <w:pStyle w:val="RegSingleTxtG"/>
        <w:spacing w:before="120"/>
        <w:ind w:right="1133"/>
      </w:pPr>
      <w:r>
        <w:rPr>
          <w:i/>
          <w:iCs/>
        </w:rPr>
        <w:tab/>
      </w:r>
      <w:r w:rsidR="00983709">
        <w:rPr>
          <w:i/>
          <w:iCs/>
        </w:rPr>
        <w:t xml:space="preserve">Having met </w:t>
      </w:r>
      <w:r w:rsidR="00983709">
        <w:t>in Dubai from 30 November to 1</w:t>
      </w:r>
      <w:r w:rsidR="00DC541E">
        <w:t>3</w:t>
      </w:r>
      <w:r w:rsidR="00983709">
        <w:t xml:space="preserve"> December 2023, </w:t>
      </w:r>
    </w:p>
    <w:p w14:paraId="56E61B25" w14:textId="4913B169" w:rsidR="00983709" w:rsidRDefault="00983709" w:rsidP="0079125D">
      <w:pPr>
        <w:pStyle w:val="RegSingleTxtG"/>
      </w:pPr>
      <w:r>
        <w:t>1.</w:t>
      </w:r>
      <w:r>
        <w:tab/>
      </w:r>
      <w:r>
        <w:rPr>
          <w:i/>
          <w:iCs/>
        </w:rPr>
        <w:t>Express</w:t>
      </w:r>
      <w:r w:rsidDel="005D227E">
        <w:rPr>
          <w:i/>
          <w:iCs/>
        </w:rPr>
        <w:t xml:space="preserve"> </w:t>
      </w:r>
      <w:r>
        <w:rPr>
          <w:i/>
          <w:iCs/>
        </w:rPr>
        <w:t xml:space="preserve">profound gratitude </w:t>
      </w:r>
      <w:r>
        <w:t xml:space="preserve">to the Government of the United Arab Emirates for having made it possible for the twenty-eighth session of the Conference of the Parties, the eighteenth session of the Conference of the Parties serving as the meeting of the Parties to the Kyoto Protocol and the fifth session of the Conference of the Parties serving as the meeting of the Parties to the Paris Agreement to be held in Dubai; </w:t>
      </w:r>
    </w:p>
    <w:p w14:paraId="54AC2D16" w14:textId="676160AD" w:rsidR="00983709" w:rsidRDefault="00983709" w:rsidP="0079125D">
      <w:pPr>
        <w:pStyle w:val="RegSingleTxtG"/>
      </w:pPr>
      <w:r>
        <w:t>2.</w:t>
      </w:r>
      <w:r>
        <w:tab/>
      </w:r>
      <w:r>
        <w:rPr>
          <w:i/>
          <w:iCs/>
        </w:rPr>
        <w:t xml:space="preserve">Request </w:t>
      </w:r>
      <w:r>
        <w:t xml:space="preserve">the Government of the United Arab Emirates to convey to the city and people of Dubai the gratitude of the Conference of the Parties, the Conference of the Parties serving as the meeting of the Parties to the Kyoto Protocol and the Conference of the Parties serving as the meeting of the Parties to the Paris Agreement for the hospitality and warmth extended to the participants. </w:t>
      </w:r>
    </w:p>
    <w:p w14:paraId="32A80BC0" w14:textId="2C3C37C4" w:rsidR="00FF0952" w:rsidRPr="00FF0952" w:rsidRDefault="006270AB" w:rsidP="0079125D">
      <w:pPr>
        <w:tabs>
          <w:tab w:val="left" w:pos="1701"/>
        </w:tabs>
        <w:ind w:left="1134" w:right="1134"/>
        <w:jc w:val="right"/>
        <w:rPr>
          <w:i/>
          <w:iCs/>
        </w:rPr>
      </w:pPr>
      <w:r>
        <w:rPr>
          <w:i/>
          <w:iCs/>
        </w:rPr>
        <w:t>5</w:t>
      </w:r>
      <w:r w:rsidRPr="006270AB">
        <w:rPr>
          <w:i/>
          <w:iCs/>
          <w:vertAlign w:val="superscript"/>
        </w:rPr>
        <w:t>th</w:t>
      </w:r>
      <w:r>
        <w:rPr>
          <w:i/>
          <w:iCs/>
        </w:rPr>
        <w:t xml:space="preserve"> </w:t>
      </w:r>
      <w:r w:rsidR="00FF0952" w:rsidRPr="00FF0952">
        <w:rPr>
          <w:i/>
          <w:iCs/>
        </w:rPr>
        <w:t>plenary me</w:t>
      </w:r>
      <w:r w:rsidR="00EE10C8">
        <w:rPr>
          <w:i/>
          <w:iCs/>
        </w:rPr>
        <w:t>e</w:t>
      </w:r>
      <w:r w:rsidR="00FF0952" w:rsidRPr="00FF0952">
        <w:rPr>
          <w:i/>
          <w:iCs/>
        </w:rPr>
        <w:t>ting</w:t>
      </w:r>
    </w:p>
    <w:p w14:paraId="73D79718" w14:textId="293A9F25" w:rsidR="00FF0952" w:rsidRPr="00FF0952" w:rsidRDefault="00FF0952" w:rsidP="0079125D">
      <w:pPr>
        <w:tabs>
          <w:tab w:val="left" w:pos="1701"/>
        </w:tabs>
        <w:ind w:left="1134" w:right="1134"/>
        <w:jc w:val="right"/>
        <w:rPr>
          <w:i/>
          <w:iCs/>
        </w:rPr>
      </w:pPr>
      <w:r w:rsidRPr="00FF0952">
        <w:rPr>
          <w:i/>
          <w:iCs/>
        </w:rPr>
        <w:t>1</w:t>
      </w:r>
      <w:r w:rsidR="006270AB">
        <w:rPr>
          <w:i/>
          <w:iCs/>
        </w:rPr>
        <w:t>1</w:t>
      </w:r>
      <w:r w:rsidRPr="00FF0952">
        <w:rPr>
          <w:i/>
          <w:iCs/>
        </w:rPr>
        <w:t xml:space="preserve"> December 2023</w:t>
      </w:r>
    </w:p>
    <w:p w14:paraId="6A4D0ACC" w14:textId="322DF40D" w:rsidR="00DD4AC3" w:rsidRPr="0079125D" w:rsidRDefault="00615EED" w:rsidP="00860C38">
      <w:pPr>
        <w:spacing w:before="240"/>
        <w:ind w:left="1134" w:right="1134"/>
        <w:jc w:val="center"/>
      </w:pPr>
      <w:r>
        <w:rPr>
          <w:u w:val="single"/>
        </w:rPr>
        <w:tab/>
      </w:r>
      <w:r>
        <w:rPr>
          <w:u w:val="single"/>
        </w:rPr>
        <w:tab/>
      </w:r>
      <w:r>
        <w:rPr>
          <w:u w:val="single"/>
        </w:rPr>
        <w:tab/>
      </w:r>
      <w:r>
        <w:rPr>
          <w:u w:val="single"/>
        </w:rPr>
        <w:tab/>
      </w:r>
    </w:p>
    <w:sectPr w:rsidR="00DD4AC3" w:rsidRPr="0079125D" w:rsidSect="000D19EC">
      <w:pgSz w:w="11906" w:h="16838" w:code="9"/>
      <w:pgMar w:top="1418" w:right="1134" w:bottom="1134" w:left="1134" w:header="85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5711C" w14:textId="77777777" w:rsidR="009B03EA" w:rsidRPr="008362C4" w:rsidRDefault="009B03EA" w:rsidP="003E457A">
      <w:pPr>
        <w:spacing w:line="14" w:lineRule="exact"/>
        <w:rPr>
          <w:color w:val="FFFFFF" w:themeColor="background1"/>
        </w:rPr>
      </w:pPr>
      <w:r w:rsidRPr="008362C4">
        <w:rPr>
          <w:color w:val="FFFFFF" w:themeColor="background1"/>
        </w:rPr>
        <w:separator/>
      </w:r>
    </w:p>
    <w:p w14:paraId="303127B3" w14:textId="77777777" w:rsidR="009B03EA" w:rsidRPr="008362C4" w:rsidRDefault="009B03EA" w:rsidP="00C45173">
      <w:pPr>
        <w:spacing w:line="14" w:lineRule="atLeast"/>
        <w:rPr>
          <w:color w:val="FFFFFF" w:themeColor="background1"/>
          <w:sz w:val="2"/>
          <w:szCs w:val="2"/>
        </w:rPr>
      </w:pPr>
    </w:p>
  </w:endnote>
  <w:endnote w:type="continuationSeparator" w:id="0">
    <w:p w14:paraId="11FE79CD" w14:textId="77777777" w:rsidR="009B03EA" w:rsidRDefault="009B03EA">
      <w:r>
        <w:continuationSeparator/>
      </w:r>
    </w:p>
    <w:p w14:paraId="6A937866" w14:textId="77777777" w:rsidR="009B03EA" w:rsidRDefault="009B03EA"/>
  </w:endnote>
  <w:endnote w:type="continuationNotice" w:id="1">
    <w:p w14:paraId="3A838A72" w14:textId="77777777" w:rsidR="009B03EA" w:rsidRDefault="009B03EA">
      <w:pPr>
        <w:spacing w:line="240" w:lineRule="auto"/>
      </w:pPr>
    </w:p>
  </w:endnote>
  <w:endnote w:id="2">
    <w:p w14:paraId="46057C2B" w14:textId="6F01635C" w:rsidR="003E457A" w:rsidRPr="003E457A" w:rsidRDefault="00AE07C1" w:rsidP="000B4CD5">
      <w:pPr>
        <w:keepNext/>
        <w:spacing w:before="60" w:after="180" w:line="200" w:lineRule="exact"/>
        <w:ind w:left="1134" w:right="992" w:firstLine="142"/>
        <w:rPr>
          <w:iCs/>
          <w:lang w:val="en-US"/>
        </w:rPr>
      </w:pPr>
      <w:r w:rsidRPr="00315D1F">
        <w:rPr>
          <w:i/>
          <w:vertAlign w:val="superscript"/>
        </w:rPr>
        <w:t>a</w:t>
      </w:r>
      <w:r w:rsidR="003E457A" w:rsidRPr="00AC1700">
        <w:rPr>
          <w:iCs/>
        </w:rPr>
        <w:t xml:space="preserve"> </w:t>
      </w:r>
      <w:r w:rsidR="003E457A">
        <w:rPr>
          <w:iCs/>
        </w:rPr>
        <w:t xml:space="preserve"> </w:t>
      </w:r>
      <w:r w:rsidR="003E457A" w:rsidRPr="00315D1F">
        <w:rPr>
          <w:iCs/>
        </w:rPr>
        <w:t xml:space="preserve">Adjustment to </w:t>
      </w:r>
      <w:r w:rsidR="003E457A" w:rsidRPr="000B4CD5">
        <w:rPr>
          <w:sz w:val="18"/>
          <w:szCs w:val="18"/>
        </w:rPr>
        <w:t>the</w:t>
      </w:r>
      <w:r w:rsidR="003E457A" w:rsidRPr="00315D1F">
        <w:rPr>
          <w:iCs/>
        </w:rPr>
        <w:t xml:space="preserve"> 2024 working capital reserve</w:t>
      </w:r>
      <w:r w:rsidR="00510BAB">
        <w:rPr>
          <w:iC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461E2" w14:textId="77777777" w:rsidR="00FD2103" w:rsidRDefault="00FD2103">
    <w:pPr>
      <w:pStyle w:val="Footer"/>
      <w:tabs>
        <w:tab w:val="right" w:pos="9638"/>
      </w:tabs>
    </w:pPr>
    <w:r w:rsidRPr="006B4B0F">
      <w:rPr>
        <w:b/>
        <w:sz w:val="18"/>
      </w:rPr>
      <w:fldChar w:fldCharType="begin"/>
    </w:r>
    <w:r w:rsidRPr="006B4B0F">
      <w:rPr>
        <w:b/>
        <w:sz w:val="18"/>
      </w:rPr>
      <w:instrText xml:space="preserve"> PAGE  \* MERGEFORMAT </w:instrText>
    </w:r>
    <w:r w:rsidRPr="006B4B0F">
      <w:rPr>
        <w:b/>
        <w:sz w:val="18"/>
      </w:rPr>
      <w:fldChar w:fldCharType="separate"/>
    </w:r>
    <w:r w:rsidRPr="006B4B0F">
      <w:rPr>
        <w:b/>
        <w:noProof/>
        <w:sz w:val="18"/>
      </w:rPr>
      <w:t>3</w:t>
    </w:r>
    <w:r w:rsidRPr="006B4B0F">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ABA77" w14:textId="77777777" w:rsidR="002C7970" w:rsidRPr="00D85D62" w:rsidRDefault="003A5D3F">
    <w:pPr>
      <w:pStyle w:val="Footer"/>
      <w:tabs>
        <w:tab w:val="right" w:pos="9638"/>
      </w:tabs>
    </w:pPr>
    <w:r w:rsidRPr="00D85D62">
      <w:rPr>
        <w:b/>
        <w:sz w:val="18"/>
      </w:rPr>
      <w:fldChar w:fldCharType="begin"/>
    </w:r>
    <w:r w:rsidRPr="00D85D62">
      <w:rPr>
        <w:b/>
        <w:sz w:val="18"/>
      </w:rPr>
      <w:instrText xml:space="preserve"> PAGE  \* MERGEFORMAT </w:instrText>
    </w:r>
    <w:r w:rsidRPr="00D85D62">
      <w:rPr>
        <w:b/>
        <w:sz w:val="18"/>
      </w:rPr>
      <w:fldChar w:fldCharType="separate"/>
    </w:r>
    <w:r w:rsidRPr="00D85D62">
      <w:rPr>
        <w:b/>
        <w:noProof/>
        <w:sz w:val="18"/>
      </w:rPr>
      <w:t>9</w:t>
    </w:r>
    <w:r w:rsidRPr="00D85D62">
      <w:rPr>
        <w:b/>
        <w:sz w:val="18"/>
      </w:rPr>
      <w:fldChar w:fldCharType="end"/>
    </w:r>
    <w:r>
      <w:rPr>
        <w:sz w:val="18"/>
      </w:rPr>
      <w:tab/>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26EFB" w14:textId="77777777" w:rsidR="002C7970" w:rsidRPr="00D85D62" w:rsidRDefault="003A5D3F">
    <w:pPr>
      <w:pStyle w:val="Footer"/>
      <w:tabs>
        <w:tab w:val="right" w:pos="9638"/>
      </w:tabs>
      <w:rPr>
        <w:b/>
        <w:sz w:val="18"/>
      </w:rPr>
    </w:pPr>
    <w:r>
      <w:tab/>
    </w:r>
    <w:r w:rsidRPr="00D85D62">
      <w:rPr>
        <w:b/>
        <w:sz w:val="18"/>
      </w:rPr>
      <w:fldChar w:fldCharType="begin"/>
    </w:r>
    <w:r w:rsidRPr="00D85D62">
      <w:rPr>
        <w:b/>
        <w:sz w:val="18"/>
      </w:rPr>
      <w:instrText xml:space="preserve"> PAGE  \* MERGEFORMAT </w:instrText>
    </w:r>
    <w:r w:rsidRPr="00D85D62">
      <w:rPr>
        <w:b/>
        <w:sz w:val="18"/>
      </w:rPr>
      <w:fldChar w:fldCharType="separate"/>
    </w:r>
    <w:r w:rsidRPr="00D85D62">
      <w:rPr>
        <w:b/>
        <w:noProof/>
        <w:sz w:val="18"/>
      </w:rPr>
      <w:t>11</w:t>
    </w:r>
    <w:r w:rsidRPr="00D85D62">
      <w:rPr>
        <w:b/>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9B7A7" w14:textId="77777777" w:rsidR="002C7970" w:rsidRPr="00F51990" w:rsidRDefault="003A5D3F" w:rsidP="00F51990">
    <w:pPr>
      <w:pStyle w:val="Footer"/>
      <w:tabs>
        <w:tab w:val="right" w:pos="9638"/>
      </w:tabs>
    </w:pPr>
    <w:r w:rsidRPr="00F51990">
      <w:rPr>
        <w:b/>
        <w:sz w:val="18"/>
      </w:rPr>
      <w:fldChar w:fldCharType="begin"/>
    </w:r>
    <w:r w:rsidRPr="00F51990">
      <w:rPr>
        <w:b/>
        <w:sz w:val="18"/>
      </w:rPr>
      <w:instrText xml:space="preserve"> PAGE  \* MERGEFORMAT </w:instrText>
    </w:r>
    <w:r w:rsidRPr="00F51990">
      <w:rPr>
        <w:b/>
        <w:sz w:val="18"/>
      </w:rPr>
      <w:fldChar w:fldCharType="separate"/>
    </w:r>
    <w:r>
      <w:rPr>
        <w:b/>
        <w:noProof/>
        <w:sz w:val="18"/>
      </w:rPr>
      <w:t>2</w:t>
    </w:r>
    <w:r w:rsidRPr="00F51990">
      <w:rPr>
        <w:b/>
        <w:sz w:val="18"/>
      </w:rPr>
      <w:fldChar w:fldCharType="end"/>
    </w:r>
    <w:r>
      <w:rPr>
        <w:sz w:val="18"/>
      </w:rPr>
      <w:tab/>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352A5" w14:textId="77777777" w:rsidR="002C7970" w:rsidRPr="00F51990" w:rsidRDefault="003A5D3F" w:rsidP="00F51990">
    <w:pPr>
      <w:pStyle w:val="Footer"/>
      <w:tabs>
        <w:tab w:val="right" w:pos="9638"/>
      </w:tabs>
      <w:rPr>
        <w:b/>
        <w:sz w:val="18"/>
      </w:rPr>
    </w:pPr>
    <w:r>
      <w:tab/>
    </w:r>
    <w:r w:rsidRPr="00F51990">
      <w:rPr>
        <w:b/>
        <w:sz w:val="18"/>
      </w:rPr>
      <w:fldChar w:fldCharType="begin"/>
    </w:r>
    <w:r w:rsidRPr="00F51990">
      <w:rPr>
        <w:b/>
        <w:sz w:val="18"/>
      </w:rPr>
      <w:instrText xml:space="preserve"> PAGE  \* MERGEFORMAT </w:instrText>
    </w:r>
    <w:r w:rsidRPr="00F51990">
      <w:rPr>
        <w:b/>
        <w:sz w:val="18"/>
      </w:rPr>
      <w:fldChar w:fldCharType="separate"/>
    </w:r>
    <w:r>
      <w:rPr>
        <w:b/>
        <w:noProof/>
        <w:sz w:val="18"/>
      </w:rPr>
      <w:t>3</w:t>
    </w:r>
    <w:r w:rsidRPr="00F51990">
      <w:rPr>
        <w:b/>
        <w:sz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823A" w14:textId="77777777" w:rsidR="002C7970" w:rsidRPr="00F51990" w:rsidRDefault="003A5D3F" w:rsidP="00F51990">
    <w:pPr>
      <w:pStyle w:val="Footer"/>
      <w:tabs>
        <w:tab w:val="right" w:pos="9638"/>
      </w:tabs>
    </w:pPr>
    <w:r w:rsidRPr="00F51990">
      <w:rPr>
        <w:b/>
        <w:sz w:val="18"/>
      </w:rPr>
      <w:fldChar w:fldCharType="begin"/>
    </w:r>
    <w:r w:rsidRPr="00F51990">
      <w:rPr>
        <w:b/>
        <w:sz w:val="18"/>
      </w:rPr>
      <w:instrText xml:space="preserve"> PAGE  \* MERGEFORMAT </w:instrText>
    </w:r>
    <w:r w:rsidRPr="00F51990">
      <w:rPr>
        <w:b/>
        <w:sz w:val="18"/>
      </w:rPr>
      <w:fldChar w:fldCharType="separate"/>
    </w:r>
    <w:r>
      <w:rPr>
        <w:b/>
        <w:noProof/>
        <w:sz w:val="18"/>
      </w:rPr>
      <w:t>2</w:t>
    </w:r>
    <w:r w:rsidRPr="00F51990">
      <w:rPr>
        <w:b/>
        <w:sz w:val="18"/>
      </w:rPr>
      <w:fldChar w:fldCharType="end"/>
    </w:r>
    <w:r>
      <w:rPr>
        <w:sz w:val="18"/>
      </w:rPr>
      <w:tab/>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C6997" w14:textId="77777777" w:rsidR="002C7970" w:rsidRPr="00F51990" w:rsidRDefault="003A5D3F" w:rsidP="00F51990">
    <w:pPr>
      <w:pStyle w:val="Footer"/>
      <w:tabs>
        <w:tab w:val="right" w:pos="9638"/>
      </w:tabs>
      <w:rPr>
        <w:b/>
        <w:sz w:val="18"/>
      </w:rPr>
    </w:pPr>
    <w:r>
      <w:tab/>
    </w:r>
    <w:r w:rsidRPr="00F51990">
      <w:rPr>
        <w:b/>
        <w:sz w:val="18"/>
      </w:rPr>
      <w:fldChar w:fldCharType="begin"/>
    </w:r>
    <w:r w:rsidRPr="00F51990">
      <w:rPr>
        <w:b/>
        <w:sz w:val="18"/>
      </w:rPr>
      <w:instrText xml:space="preserve"> PAGE  \* MERGEFORMAT </w:instrText>
    </w:r>
    <w:r w:rsidRPr="00F51990">
      <w:rPr>
        <w:b/>
        <w:sz w:val="18"/>
      </w:rPr>
      <w:fldChar w:fldCharType="separate"/>
    </w:r>
    <w:r>
      <w:rPr>
        <w:b/>
        <w:noProof/>
        <w:sz w:val="18"/>
      </w:rPr>
      <w:t>3</w:t>
    </w:r>
    <w:r w:rsidRPr="00F51990">
      <w:rPr>
        <w:b/>
        <w:sz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1FAA6" w14:textId="77777777" w:rsidR="002C7970" w:rsidRPr="00F51990" w:rsidRDefault="003A5D3F" w:rsidP="00F51990">
    <w:pPr>
      <w:pStyle w:val="Footer"/>
      <w:tabs>
        <w:tab w:val="right" w:pos="9638"/>
      </w:tabs>
    </w:pPr>
    <w:r w:rsidRPr="00F51990">
      <w:rPr>
        <w:b/>
        <w:sz w:val="18"/>
      </w:rPr>
      <w:fldChar w:fldCharType="begin"/>
    </w:r>
    <w:r w:rsidRPr="00F51990">
      <w:rPr>
        <w:b/>
        <w:sz w:val="18"/>
      </w:rPr>
      <w:instrText xml:space="preserve"> PAGE  \* MERGEFORMAT </w:instrText>
    </w:r>
    <w:r w:rsidRPr="00F51990">
      <w:rPr>
        <w:b/>
        <w:sz w:val="18"/>
      </w:rPr>
      <w:fldChar w:fldCharType="separate"/>
    </w:r>
    <w:r>
      <w:rPr>
        <w:b/>
        <w:noProof/>
        <w:sz w:val="18"/>
      </w:rPr>
      <w:t>2</w:t>
    </w:r>
    <w:r w:rsidRPr="00F51990">
      <w:rPr>
        <w:b/>
        <w:sz w:val="18"/>
      </w:rPr>
      <w:fldChar w:fldCharType="end"/>
    </w:r>
    <w:r>
      <w:rPr>
        <w:sz w:val="18"/>
      </w:rP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808F" w14:textId="77777777" w:rsidR="002C7970" w:rsidRPr="00F51990" w:rsidRDefault="003A5D3F" w:rsidP="00F51990">
    <w:pPr>
      <w:pStyle w:val="Footer"/>
      <w:tabs>
        <w:tab w:val="right" w:pos="9638"/>
      </w:tabs>
      <w:rPr>
        <w:b/>
        <w:sz w:val="18"/>
      </w:rPr>
    </w:pPr>
    <w:r>
      <w:tab/>
    </w:r>
    <w:r w:rsidRPr="00F51990">
      <w:rPr>
        <w:b/>
        <w:sz w:val="18"/>
      </w:rPr>
      <w:fldChar w:fldCharType="begin"/>
    </w:r>
    <w:r w:rsidRPr="00F51990">
      <w:rPr>
        <w:b/>
        <w:sz w:val="18"/>
      </w:rPr>
      <w:instrText xml:space="preserve"> PAGE  \* MERGEFORMAT </w:instrText>
    </w:r>
    <w:r w:rsidRPr="00F51990">
      <w:rPr>
        <w:b/>
        <w:sz w:val="18"/>
      </w:rPr>
      <w:fldChar w:fldCharType="separate"/>
    </w:r>
    <w:r>
      <w:rPr>
        <w:b/>
        <w:noProof/>
        <w:sz w:val="18"/>
      </w:rPr>
      <w:t>3</w:t>
    </w:r>
    <w:r w:rsidRPr="00F51990">
      <w:rPr>
        <w:b/>
        <w:sz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D7E0D" w14:textId="77777777" w:rsidR="002C7970" w:rsidRPr="00F51990" w:rsidRDefault="003A5D3F" w:rsidP="00F51990">
    <w:pPr>
      <w:pStyle w:val="Footer"/>
      <w:tabs>
        <w:tab w:val="right" w:pos="9638"/>
      </w:tabs>
    </w:pPr>
    <w:r w:rsidRPr="00F51990">
      <w:rPr>
        <w:b/>
        <w:sz w:val="18"/>
      </w:rPr>
      <w:fldChar w:fldCharType="begin"/>
    </w:r>
    <w:r w:rsidRPr="00F51990">
      <w:rPr>
        <w:b/>
        <w:sz w:val="18"/>
      </w:rPr>
      <w:instrText xml:space="preserve"> PAGE  \* MERGEFORMAT </w:instrText>
    </w:r>
    <w:r w:rsidRPr="00F51990">
      <w:rPr>
        <w:b/>
        <w:sz w:val="18"/>
      </w:rPr>
      <w:fldChar w:fldCharType="separate"/>
    </w:r>
    <w:r>
      <w:rPr>
        <w:b/>
        <w:noProof/>
        <w:sz w:val="18"/>
      </w:rPr>
      <w:t>2</w:t>
    </w:r>
    <w:r w:rsidRPr="00F51990">
      <w:rPr>
        <w:b/>
        <w:sz w:val="18"/>
      </w:rPr>
      <w:fldChar w:fldCharType="end"/>
    </w:r>
    <w:r>
      <w:rPr>
        <w:sz w:val="18"/>
      </w:rPr>
      <w:tab/>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4BB8" w14:textId="77777777" w:rsidR="002C7970" w:rsidRPr="00F51990" w:rsidRDefault="003A5D3F" w:rsidP="00F51990">
    <w:pPr>
      <w:pStyle w:val="Footer"/>
      <w:tabs>
        <w:tab w:val="right" w:pos="9638"/>
      </w:tabs>
      <w:rPr>
        <w:b/>
        <w:sz w:val="18"/>
      </w:rPr>
    </w:pPr>
    <w:r>
      <w:tab/>
    </w:r>
    <w:r w:rsidRPr="00F51990">
      <w:rPr>
        <w:b/>
        <w:sz w:val="18"/>
      </w:rPr>
      <w:fldChar w:fldCharType="begin"/>
    </w:r>
    <w:r w:rsidRPr="00F51990">
      <w:rPr>
        <w:b/>
        <w:sz w:val="18"/>
      </w:rPr>
      <w:instrText xml:space="preserve"> PAGE  \* MERGEFORMAT </w:instrText>
    </w:r>
    <w:r w:rsidRPr="00F51990">
      <w:rPr>
        <w:b/>
        <w:sz w:val="18"/>
      </w:rPr>
      <w:fldChar w:fldCharType="separate"/>
    </w:r>
    <w:r>
      <w:rPr>
        <w:b/>
        <w:noProof/>
        <w:sz w:val="18"/>
      </w:rPr>
      <w:t>3</w:t>
    </w:r>
    <w:r w:rsidRPr="00F51990">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C4278" w14:textId="74BD9035" w:rsidR="00FD2103" w:rsidRPr="00AA57CA" w:rsidRDefault="00FD2103" w:rsidP="00AA57CA">
    <w:pPr>
      <w:pStyle w:val="Footer"/>
      <w:tabs>
        <w:tab w:val="righ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E905" w14:textId="77777777" w:rsidR="00AA57CA" w:rsidRPr="00AA57CA" w:rsidRDefault="00AA57CA" w:rsidP="00AA57CA">
    <w:pPr>
      <w:pStyle w:val="Footer"/>
      <w:tabs>
        <w:tab w:val="right" w:pos="9638"/>
      </w:tabs>
    </w:pPr>
    <w:r>
      <w:rPr>
        <w:b/>
        <w:sz w:val="18"/>
      </w:rPr>
      <w:tab/>
    </w:r>
    <w:r w:rsidRPr="00AA57CA">
      <w:rPr>
        <w:b/>
        <w:sz w:val="18"/>
      </w:rPr>
      <w:fldChar w:fldCharType="begin"/>
    </w:r>
    <w:r w:rsidRPr="00AA57CA">
      <w:rPr>
        <w:b/>
        <w:sz w:val="18"/>
      </w:rPr>
      <w:instrText xml:space="preserve"> PAGE  \* MERGEFORMAT </w:instrText>
    </w:r>
    <w:r w:rsidRPr="00AA57CA">
      <w:rPr>
        <w:b/>
        <w:sz w:val="18"/>
      </w:rPr>
      <w:fldChar w:fldCharType="separate"/>
    </w:r>
    <w:r w:rsidRPr="00AA57CA">
      <w:rPr>
        <w:b/>
        <w:noProof/>
        <w:sz w:val="18"/>
      </w:rPr>
      <w:t>6</w:t>
    </w:r>
    <w:r w:rsidRPr="00AA57CA">
      <w:rPr>
        <w:b/>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9CAB8" w14:textId="5899BDB8" w:rsidR="0031149B" w:rsidRPr="000F4AD1" w:rsidRDefault="000F4AD1" w:rsidP="000F4AD1">
    <w:pPr>
      <w:pStyle w:val="Footer"/>
      <w:tabs>
        <w:tab w:val="right" w:pos="9638"/>
      </w:tabs>
    </w:pPr>
    <w:r w:rsidRPr="000F4AD1">
      <w:rPr>
        <w:b/>
        <w:sz w:val="18"/>
      </w:rPr>
      <w:fldChar w:fldCharType="begin"/>
    </w:r>
    <w:r w:rsidRPr="000F4AD1">
      <w:rPr>
        <w:b/>
        <w:sz w:val="18"/>
      </w:rPr>
      <w:instrText xml:space="preserve"> PAGE  \* MERGEFORMAT </w:instrText>
    </w:r>
    <w:r w:rsidRPr="000F4AD1">
      <w:rPr>
        <w:b/>
        <w:sz w:val="18"/>
      </w:rPr>
      <w:fldChar w:fldCharType="separate"/>
    </w:r>
    <w:r w:rsidRPr="000F4AD1">
      <w:rPr>
        <w:b/>
        <w:noProof/>
        <w:sz w:val="18"/>
      </w:rPr>
      <w:t>4</w:t>
    </w:r>
    <w:r w:rsidRPr="000F4AD1">
      <w:rPr>
        <w:b/>
        <w:sz w:val="18"/>
      </w:rPr>
      <w:fldChar w:fldCharType="end"/>
    </w:r>
    <w:r>
      <w:rPr>
        <w:sz w:val="18"/>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D8C3C" w14:textId="7EC6E3A6" w:rsidR="003B13AB" w:rsidRPr="000F4AD1" w:rsidRDefault="000F4AD1" w:rsidP="000F4AD1">
    <w:pPr>
      <w:pStyle w:val="Footer"/>
      <w:tabs>
        <w:tab w:val="right" w:pos="9638"/>
      </w:tabs>
      <w:rPr>
        <w:b/>
        <w:sz w:val="18"/>
      </w:rPr>
    </w:pPr>
    <w:r>
      <w:tab/>
    </w:r>
    <w:r w:rsidRPr="000F4AD1">
      <w:rPr>
        <w:b/>
        <w:sz w:val="18"/>
      </w:rPr>
      <w:fldChar w:fldCharType="begin"/>
    </w:r>
    <w:r w:rsidRPr="000F4AD1">
      <w:rPr>
        <w:b/>
        <w:sz w:val="18"/>
      </w:rPr>
      <w:instrText xml:space="preserve"> PAGE  \* MERGEFORMAT </w:instrText>
    </w:r>
    <w:r w:rsidRPr="000F4AD1">
      <w:rPr>
        <w:b/>
        <w:sz w:val="18"/>
      </w:rPr>
      <w:fldChar w:fldCharType="separate"/>
    </w:r>
    <w:r w:rsidRPr="000F4AD1">
      <w:rPr>
        <w:b/>
        <w:noProof/>
        <w:sz w:val="18"/>
      </w:rPr>
      <w:t>5</w:t>
    </w:r>
    <w:r w:rsidRPr="000F4AD1">
      <w:rPr>
        <w:b/>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15232" w14:textId="14FD5A32" w:rsidR="002C7970" w:rsidRPr="00AA4EAF" w:rsidRDefault="00AA4EAF" w:rsidP="00F51990">
    <w:pPr>
      <w:pStyle w:val="Footer"/>
      <w:tabs>
        <w:tab w:val="right" w:pos="9638"/>
      </w:tabs>
    </w:pPr>
    <w:r w:rsidRPr="00AA4EAF">
      <w:rPr>
        <w:b/>
        <w:sz w:val="18"/>
      </w:rPr>
      <w:fldChar w:fldCharType="begin"/>
    </w:r>
    <w:r w:rsidRPr="00AA4EAF">
      <w:rPr>
        <w:b/>
        <w:sz w:val="18"/>
      </w:rPr>
      <w:instrText xml:space="preserve"> PAGE  \* MERGEFORMAT </w:instrText>
    </w:r>
    <w:r w:rsidRPr="00AA4EAF">
      <w:rPr>
        <w:b/>
        <w:sz w:val="18"/>
      </w:rPr>
      <w:fldChar w:fldCharType="separate"/>
    </w:r>
    <w:r w:rsidR="003139FE">
      <w:rPr>
        <w:b/>
        <w:noProof/>
        <w:sz w:val="18"/>
      </w:rPr>
      <w:t>6</w:t>
    </w:r>
    <w:r w:rsidRPr="00AA4EAF">
      <w:rPr>
        <w:b/>
        <w:sz w:val="18"/>
      </w:rPr>
      <w:fldChar w:fldCharType="end"/>
    </w:r>
    <w:r>
      <w:rPr>
        <w:sz w:val="18"/>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E4BD4" w14:textId="77777777" w:rsidR="002C7970" w:rsidRPr="00F51990" w:rsidRDefault="003A5D3F" w:rsidP="00F51990">
    <w:pPr>
      <w:pStyle w:val="Footer"/>
      <w:tabs>
        <w:tab w:val="right" w:pos="9638"/>
      </w:tabs>
      <w:rPr>
        <w:b/>
        <w:sz w:val="18"/>
      </w:rPr>
    </w:pPr>
    <w:r>
      <w:tab/>
    </w:r>
    <w:r w:rsidRPr="00F51990">
      <w:rPr>
        <w:b/>
        <w:sz w:val="18"/>
      </w:rPr>
      <w:fldChar w:fldCharType="begin"/>
    </w:r>
    <w:r w:rsidRPr="00F51990">
      <w:rPr>
        <w:b/>
        <w:sz w:val="18"/>
      </w:rPr>
      <w:instrText xml:space="preserve"> PAGE  \* MERGEFORMAT </w:instrText>
    </w:r>
    <w:r w:rsidRPr="00F51990">
      <w:rPr>
        <w:b/>
        <w:sz w:val="18"/>
      </w:rPr>
      <w:fldChar w:fldCharType="separate"/>
    </w:r>
    <w:r>
      <w:rPr>
        <w:b/>
        <w:noProof/>
        <w:sz w:val="18"/>
      </w:rPr>
      <w:t>3</w:t>
    </w:r>
    <w:r w:rsidRPr="00F51990">
      <w:rPr>
        <w:b/>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A7461" w14:textId="77777777" w:rsidR="00C32E80" w:rsidRPr="00D85D62" w:rsidRDefault="00C32E80">
    <w:pPr>
      <w:pStyle w:val="Footer"/>
      <w:tabs>
        <w:tab w:val="right" w:pos="9638"/>
      </w:tabs>
    </w:pPr>
    <w:r w:rsidRPr="00D85D62">
      <w:rPr>
        <w:b/>
        <w:sz w:val="18"/>
      </w:rPr>
      <w:fldChar w:fldCharType="begin"/>
    </w:r>
    <w:r w:rsidRPr="00D85D62">
      <w:rPr>
        <w:b/>
        <w:sz w:val="18"/>
      </w:rPr>
      <w:instrText xml:space="preserve"> PAGE  \* MERGEFORMAT </w:instrText>
    </w:r>
    <w:r w:rsidRPr="00D85D62">
      <w:rPr>
        <w:b/>
        <w:sz w:val="18"/>
      </w:rPr>
      <w:fldChar w:fldCharType="separate"/>
    </w:r>
    <w:r w:rsidRPr="00D85D62">
      <w:rPr>
        <w:b/>
        <w:noProof/>
        <w:sz w:val="18"/>
      </w:rPr>
      <w:t>2</w:t>
    </w:r>
    <w:r w:rsidRPr="00D85D62">
      <w:rPr>
        <w:b/>
        <w:sz w:val="18"/>
      </w:rPr>
      <w:fldChar w:fldCharType="end"/>
    </w:r>
    <w:r>
      <w:rPr>
        <w:sz w:val="18"/>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0350" w14:textId="77777777" w:rsidR="00C32E80" w:rsidRPr="00D85D62" w:rsidRDefault="00C32E80">
    <w:pPr>
      <w:pStyle w:val="Footer"/>
      <w:tabs>
        <w:tab w:val="right" w:pos="9638"/>
      </w:tabs>
      <w:rPr>
        <w:b/>
        <w:sz w:val="18"/>
      </w:rPr>
    </w:pPr>
    <w:r>
      <w:tab/>
    </w:r>
    <w:r w:rsidRPr="00D85D62">
      <w:rPr>
        <w:b/>
        <w:sz w:val="18"/>
      </w:rPr>
      <w:fldChar w:fldCharType="begin"/>
    </w:r>
    <w:r w:rsidRPr="00D85D62">
      <w:rPr>
        <w:b/>
        <w:sz w:val="18"/>
      </w:rPr>
      <w:instrText xml:space="preserve"> PAGE  \* MERGEFORMAT </w:instrText>
    </w:r>
    <w:r w:rsidRPr="00D85D62">
      <w:rPr>
        <w:b/>
        <w:sz w:val="18"/>
      </w:rPr>
      <w:fldChar w:fldCharType="separate"/>
    </w:r>
    <w:r w:rsidRPr="00D85D62">
      <w:rPr>
        <w:b/>
        <w:noProof/>
        <w:sz w:val="18"/>
      </w:rPr>
      <w:t>4</w:t>
    </w:r>
    <w:r w:rsidRPr="00D85D62">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B80F2" w14:textId="77777777" w:rsidR="009B03EA" w:rsidRDefault="009B03EA">
      <w:r>
        <w:separator/>
      </w:r>
    </w:p>
  </w:footnote>
  <w:footnote w:type="continuationSeparator" w:id="0">
    <w:p w14:paraId="0CFFF355" w14:textId="77777777" w:rsidR="009B03EA" w:rsidRDefault="009B03EA">
      <w:r>
        <w:continuationSeparator/>
      </w:r>
    </w:p>
    <w:p w14:paraId="5226C704" w14:textId="77777777" w:rsidR="009B03EA" w:rsidRDefault="009B03EA"/>
  </w:footnote>
  <w:footnote w:type="continuationNotice" w:id="1">
    <w:p w14:paraId="06FA257A" w14:textId="77777777" w:rsidR="009B03EA" w:rsidRDefault="009B03EA">
      <w:pPr>
        <w:spacing w:line="240" w:lineRule="auto"/>
      </w:pPr>
    </w:p>
  </w:footnote>
  <w:footnote w:id="2">
    <w:p w14:paraId="0D0E11F9" w14:textId="77777777" w:rsidR="00FD2103" w:rsidRPr="00BA734F" w:rsidRDefault="00FD2103" w:rsidP="00733FE7">
      <w:pPr>
        <w:pStyle w:val="FootnoteText"/>
        <w:widowControl w:val="0"/>
        <w:rPr>
          <w:lang w:val="en-US"/>
        </w:rPr>
      </w:pPr>
      <w:r>
        <w:tab/>
      </w:r>
      <w:r>
        <w:rPr>
          <w:rStyle w:val="FootnoteReference"/>
        </w:rPr>
        <w:footnoteRef/>
      </w:r>
      <w:r>
        <w:tab/>
      </w:r>
      <w:r>
        <w:rPr>
          <w:rFonts w:eastAsia="Times New Roman"/>
          <w:color w:val="000000"/>
          <w:szCs w:val="18"/>
        </w:rPr>
        <w:t xml:space="preserve">Available at </w:t>
      </w:r>
      <w:hyperlink r:id="rId1" w:history="1">
        <w:r w:rsidRPr="002910AE">
          <w:rPr>
            <w:rStyle w:val="Hyperlink"/>
          </w:rPr>
          <w:t>https://unfccc.int/ttclear/tec/workplan</w:t>
        </w:r>
      </w:hyperlink>
      <w:r>
        <w:t>.</w:t>
      </w:r>
    </w:p>
  </w:footnote>
  <w:footnote w:id="3">
    <w:p w14:paraId="6FD437F9" w14:textId="77777777" w:rsidR="00FD2103" w:rsidRPr="00BA734F" w:rsidRDefault="00FD2103" w:rsidP="00733FE7">
      <w:pPr>
        <w:pStyle w:val="FootnoteText"/>
        <w:widowControl w:val="0"/>
        <w:rPr>
          <w:lang w:val="en-US"/>
        </w:rPr>
      </w:pPr>
      <w:r>
        <w:tab/>
      </w:r>
      <w:r>
        <w:rPr>
          <w:rStyle w:val="FootnoteReference"/>
        </w:rPr>
        <w:footnoteRef/>
      </w:r>
      <w:r>
        <w:tab/>
        <w:t>FCCC/SB/2022/4, FCCC/CP/2022/4 and FCCC/CP/2022/5.</w:t>
      </w:r>
    </w:p>
  </w:footnote>
  <w:footnote w:id="4">
    <w:p w14:paraId="3B744657" w14:textId="77777777" w:rsidR="00FD2103" w:rsidRPr="00B05A7F" w:rsidRDefault="00FD2103" w:rsidP="0079125D">
      <w:pPr>
        <w:pStyle w:val="FootnoteText"/>
        <w:widowControl w:val="0"/>
        <w:rPr>
          <w:lang w:val="en-US"/>
        </w:rPr>
      </w:pPr>
      <w:r>
        <w:tab/>
      </w:r>
      <w:r w:rsidRPr="00B05A7F">
        <w:rPr>
          <w:rStyle w:val="FootnoteReference"/>
        </w:rPr>
        <w:footnoteRef/>
      </w:r>
      <w:r w:rsidRPr="00B05A7F">
        <w:tab/>
      </w:r>
      <w:r w:rsidRPr="00E81C9D">
        <w:t>Piloting</w:t>
      </w:r>
      <w:r w:rsidRPr="00B05A7F">
        <w:rPr>
          <w:lang w:val="en-US"/>
        </w:rPr>
        <w:t xml:space="preserve"> innovative </w:t>
      </w:r>
      <w:r w:rsidRPr="00B05A7F">
        <w:t>financing</w:t>
      </w:r>
      <w:r w:rsidRPr="00B05A7F">
        <w:rPr>
          <w:lang w:val="en-US"/>
        </w:rPr>
        <w:t xml:space="preserve"> for climate adaptation technologies in medium-sized cities. </w:t>
      </w:r>
      <w:r>
        <w:rPr>
          <w:lang w:val="en-US"/>
        </w:rPr>
        <w:t>See</w:t>
      </w:r>
      <w:r w:rsidRPr="00B05A7F">
        <w:rPr>
          <w:lang w:val="en-US"/>
        </w:rPr>
        <w:t xml:space="preserve"> </w:t>
      </w:r>
      <w:hyperlink r:id="rId2" w:history="1">
        <w:r w:rsidRPr="00B05A7F">
          <w:rPr>
            <w:rStyle w:val="Hyperlink"/>
            <w:lang w:val="en-US"/>
          </w:rPr>
          <w:t>https://www.thegef.org/projects-operations/projects/10433</w:t>
        </w:r>
      </w:hyperlink>
      <w:r w:rsidRPr="00B05A7F">
        <w:t>.</w:t>
      </w:r>
    </w:p>
  </w:footnote>
  <w:footnote w:id="5">
    <w:p w14:paraId="76BB4D3F" w14:textId="77777777" w:rsidR="00FD2103" w:rsidRPr="00BA734F" w:rsidRDefault="00FD2103" w:rsidP="0079125D">
      <w:pPr>
        <w:pStyle w:val="FootnoteText"/>
        <w:widowControl w:val="0"/>
        <w:rPr>
          <w:lang w:val="en-US"/>
        </w:rPr>
      </w:pPr>
      <w:r w:rsidRPr="00B05A7F">
        <w:tab/>
      </w:r>
      <w:r w:rsidRPr="00B05A7F">
        <w:rPr>
          <w:rStyle w:val="FootnoteReference"/>
        </w:rPr>
        <w:footnoteRef/>
      </w:r>
      <w:r w:rsidRPr="00B05A7F">
        <w:tab/>
        <w:t>See decision 14/CP.24, para. 7.</w:t>
      </w:r>
    </w:p>
  </w:footnote>
  <w:footnote w:id="6">
    <w:p w14:paraId="0A8F5B55" w14:textId="77777777" w:rsidR="00FD2103" w:rsidRPr="00263341" w:rsidRDefault="00FD2103" w:rsidP="00FD2103">
      <w:pPr>
        <w:pStyle w:val="FootnoteText"/>
        <w:widowControl w:val="0"/>
        <w:rPr>
          <w:lang w:val="en-US"/>
        </w:rPr>
      </w:pPr>
      <w:r>
        <w:tab/>
      </w:r>
      <w:r>
        <w:rPr>
          <w:rStyle w:val="FootnoteReference"/>
        </w:rPr>
        <w:footnoteRef/>
      </w:r>
      <w:r>
        <w:tab/>
      </w:r>
      <w:hyperlink r:id="rId3" w:history="1">
        <w:r w:rsidRPr="00384D50">
          <w:rPr>
            <w:rStyle w:val="Hyperlink"/>
          </w:rPr>
          <w:t>https://www4.unfccc.int/sites/submissionsstaging/Pages/Home.aspx</w:t>
        </w:r>
      </w:hyperlink>
      <w:r>
        <w:t>.</w:t>
      </w:r>
    </w:p>
  </w:footnote>
  <w:footnote w:id="7">
    <w:p w14:paraId="60AD5261" w14:textId="77777777" w:rsidR="00C26E9B" w:rsidRPr="006C10B8" w:rsidRDefault="00C26E9B" w:rsidP="00C26E9B">
      <w:pPr>
        <w:pStyle w:val="FootnoteText"/>
        <w:rPr>
          <w:lang w:val="fr-FR"/>
        </w:rPr>
      </w:pPr>
      <w:r w:rsidRPr="00D074C9">
        <w:tab/>
      </w:r>
      <w:r>
        <w:rPr>
          <w:rStyle w:val="FootnoteReference"/>
        </w:rPr>
        <w:footnoteRef/>
      </w:r>
      <w:r>
        <w:rPr>
          <w:lang w:val="fr-FR"/>
        </w:rPr>
        <w:tab/>
      </w:r>
      <w:r w:rsidRPr="006C10B8">
        <w:rPr>
          <w:lang w:val="fr-FR"/>
        </w:rPr>
        <w:t>FCCC/SBI/2023/14.</w:t>
      </w:r>
    </w:p>
  </w:footnote>
  <w:footnote w:id="8">
    <w:p w14:paraId="743E36F7" w14:textId="77777777" w:rsidR="00C26E9B" w:rsidRPr="00F06D69" w:rsidRDefault="00C26E9B" w:rsidP="00C26E9B">
      <w:pPr>
        <w:pStyle w:val="FootnoteText"/>
        <w:rPr>
          <w:lang w:val="fr-FR"/>
        </w:rPr>
      </w:pPr>
      <w:r>
        <w:rPr>
          <w:lang w:val="fr-FR"/>
        </w:rPr>
        <w:tab/>
      </w:r>
      <w:r>
        <w:rPr>
          <w:rStyle w:val="FootnoteReference"/>
        </w:rPr>
        <w:footnoteRef/>
      </w:r>
      <w:r>
        <w:rPr>
          <w:lang w:val="fr-FR"/>
        </w:rPr>
        <w:tab/>
      </w:r>
      <w:r w:rsidRPr="006C10B8">
        <w:rPr>
          <w:lang w:val="fr-FR"/>
        </w:rPr>
        <w:t xml:space="preserve">FCCC/SBI/2023/14, chap. </w:t>
      </w:r>
      <w:r w:rsidRPr="00F06D69">
        <w:rPr>
          <w:lang w:val="fr-FR"/>
        </w:rPr>
        <w:t>III.</w:t>
      </w:r>
    </w:p>
  </w:footnote>
  <w:footnote w:id="9">
    <w:p w14:paraId="11CF98DF" w14:textId="77777777" w:rsidR="00C26E9B" w:rsidRPr="00F06D69" w:rsidRDefault="00C26E9B" w:rsidP="00C26E9B">
      <w:pPr>
        <w:pStyle w:val="FootnoteText"/>
        <w:rPr>
          <w:lang w:val="fr-FR"/>
        </w:rPr>
      </w:pPr>
      <w:r w:rsidRPr="00F06D69">
        <w:rPr>
          <w:lang w:val="fr-FR"/>
        </w:rPr>
        <w:tab/>
      </w:r>
      <w:r>
        <w:rPr>
          <w:rStyle w:val="FootnoteReference"/>
        </w:rPr>
        <w:footnoteRef/>
      </w:r>
      <w:r w:rsidRPr="00F06D69">
        <w:rPr>
          <w:lang w:val="fr-FR"/>
        </w:rPr>
        <w:tab/>
        <w:t>FCCC/SBI/2020/13, annex I.</w:t>
      </w:r>
    </w:p>
  </w:footnote>
  <w:footnote w:id="10">
    <w:p w14:paraId="3345C587" w14:textId="77777777" w:rsidR="00A07DDA" w:rsidRPr="00F06D69" w:rsidRDefault="00A07DDA" w:rsidP="00A07DDA">
      <w:pPr>
        <w:pStyle w:val="FootnoteText"/>
        <w:rPr>
          <w:lang w:val="fr-FR"/>
        </w:rPr>
      </w:pPr>
      <w:r w:rsidRPr="00F06D69">
        <w:rPr>
          <w:lang w:val="fr-FR"/>
        </w:rPr>
        <w:tab/>
      </w:r>
      <w:r>
        <w:rPr>
          <w:rStyle w:val="FootnoteReference"/>
        </w:rPr>
        <w:footnoteRef/>
      </w:r>
      <w:r w:rsidRPr="00F06D69">
        <w:rPr>
          <w:lang w:val="fr-FR"/>
        </w:rPr>
        <w:t xml:space="preserve"> </w:t>
      </w:r>
      <w:r w:rsidRPr="00F06D69">
        <w:rPr>
          <w:lang w:val="fr-FR"/>
        </w:rPr>
        <w:tab/>
        <w:t>Decision 9/CP.25, para. 12.</w:t>
      </w:r>
    </w:p>
  </w:footnote>
  <w:footnote w:id="11">
    <w:p w14:paraId="16B79B65" w14:textId="77777777" w:rsidR="00A07DDA" w:rsidRPr="00F06D69" w:rsidRDefault="00A07DDA" w:rsidP="00A07DDA">
      <w:pPr>
        <w:pStyle w:val="FootnoteText"/>
        <w:rPr>
          <w:lang w:val="fr-FR"/>
        </w:rPr>
      </w:pPr>
      <w:r w:rsidRPr="00F06D69">
        <w:rPr>
          <w:lang w:val="fr-FR"/>
        </w:rPr>
        <w:tab/>
      </w:r>
      <w:r>
        <w:rPr>
          <w:rStyle w:val="FootnoteReference"/>
        </w:rPr>
        <w:footnoteRef/>
      </w:r>
      <w:r w:rsidRPr="00F06D69">
        <w:rPr>
          <w:lang w:val="fr-FR"/>
        </w:rPr>
        <w:t xml:space="preserve"> </w:t>
      </w:r>
      <w:r w:rsidRPr="00F06D69">
        <w:rPr>
          <w:lang w:val="fr-FR"/>
        </w:rPr>
        <w:tab/>
        <w:t>Pursuant to decision 9/CP.25, paras. 12–13.</w:t>
      </w:r>
    </w:p>
  </w:footnote>
  <w:footnote w:id="12">
    <w:p w14:paraId="1CD132E2" w14:textId="1B13E1F0" w:rsidR="00A07DDA" w:rsidRPr="00F06D69" w:rsidRDefault="00A07DDA" w:rsidP="00A07DDA">
      <w:pPr>
        <w:pStyle w:val="FootnoteText"/>
        <w:rPr>
          <w:lang w:val="fr-FR"/>
        </w:rPr>
      </w:pPr>
      <w:r w:rsidRPr="00F06D69">
        <w:rPr>
          <w:lang w:val="fr-FR"/>
        </w:rPr>
        <w:tab/>
      </w:r>
      <w:r>
        <w:rPr>
          <w:rStyle w:val="FootnoteReference"/>
        </w:rPr>
        <w:footnoteRef/>
      </w:r>
      <w:r w:rsidRPr="00F06D69">
        <w:rPr>
          <w:lang w:val="fr-FR"/>
        </w:rPr>
        <w:t xml:space="preserve"> </w:t>
      </w:r>
      <w:r w:rsidRPr="00F06D69">
        <w:rPr>
          <w:lang w:val="fr-FR"/>
        </w:rPr>
        <w:tab/>
      </w:r>
      <w:hyperlink r:id="rId4" w:history="1">
        <w:r w:rsidRPr="00F06D69">
          <w:rPr>
            <w:rStyle w:val="Hyperlink"/>
            <w:lang w:val="fr-FR"/>
          </w:rPr>
          <w:t>https://www4.unfccc.int/sites/submissionsstaging/Pages/Home.aspx</w:t>
        </w:r>
      </w:hyperlink>
      <w:r w:rsidRPr="00F06D69">
        <w:rPr>
          <w:lang w:val="fr-FR"/>
        </w:rPr>
        <w:t>.</w:t>
      </w:r>
    </w:p>
  </w:footnote>
  <w:footnote w:id="13">
    <w:p w14:paraId="11380EC5" w14:textId="77777777" w:rsidR="00FC6737" w:rsidRPr="00F06D69" w:rsidRDefault="00FC6737" w:rsidP="00FC6737">
      <w:pPr>
        <w:pStyle w:val="FootnoteText"/>
        <w:rPr>
          <w:lang w:val="es-ES"/>
        </w:rPr>
      </w:pPr>
      <w:r w:rsidRPr="00F06D69">
        <w:rPr>
          <w:lang w:val="fr-FR"/>
        </w:rPr>
        <w:tab/>
      </w:r>
      <w:r w:rsidRPr="008F5EEC">
        <w:rPr>
          <w:rStyle w:val="FootnoteReference"/>
        </w:rPr>
        <w:footnoteRef/>
      </w:r>
      <w:r w:rsidRPr="008F5EEC">
        <w:rPr>
          <w:lang w:val="es-ES"/>
        </w:rPr>
        <w:t xml:space="preserve"> </w:t>
      </w:r>
      <w:r w:rsidRPr="008F5EEC">
        <w:rPr>
          <w:lang w:val="es-ES"/>
        </w:rPr>
        <w:tab/>
      </w:r>
      <w:r w:rsidRPr="00947DB0">
        <w:rPr>
          <w:lang w:val="es-ES"/>
        </w:rPr>
        <w:t>Decision</w:t>
      </w:r>
      <w:r w:rsidRPr="008F5EEC">
        <w:rPr>
          <w:lang w:val="es-ES"/>
        </w:rPr>
        <w:t xml:space="preserve"> 9/CP.25</w:t>
      </w:r>
      <w:r w:rsidRPr="008F5EEC">
        <w:rPr>
          <w:lang w:val="es-419"/>
        </w:rPr>
        <w:t xml:space="preserve">, para. </w:t>
      </w:r>
      <w:r w:rsidRPr="00F06D69">
        <w:rPr>
          <w:lang w:val="es-ES"/>
        </w:rPr>
        <w:t>12.</w:t>
      </w:r>
    </w:p>
  </w:footnote>
  <w:footnote w:id="14">
    <w:p w14:paraId="2E9B4A06" w14:textId="77777777" w:rsidR="00FC6737" w:rsidRPr="001349CA" w:rsidRDefault="00FC6737" w:rsidP="00FC6737">
      <w:pPr>
        <w:pStyle w:val="FootnoteText"/>
        <w:rPr>
          <w:lang w:val="en-US"/>
        </w:rPr>
      </w:pPr>
      <w:r w:rsidRPr="00F06D69">
        <w:rPr>
          <w:lang w:val="es-ES"/>
        </w:rPr>
        <w:tab/>
      </w:r>
      <w:r w:rsidRPr="008F5EEC">
        <w:rPr>
          <w:rStyle w:val="FootnoteReference"/>
        </w:rPr>
        <w:footnoteRef/>
      </w:r>
      <w:r w:rsidRPr="00F06D69">
        <w:rPr>
          <w:lang w:val="es-ES"/>
        </w:rPr>
        <w:t xml:space="preserve"> </w:t>
      </w:r>
      <w:r w:rsidRPr="00F06D69">
        <w:rPr>
          <w:lang w:val="es-ES"/>
        </w:rPr>
        <w:tab/>
        <w:t xml:space="preserve">Decision 9/CP.25, para. </w:t>
      </w:r>
      <w:r w:rsidRPr="008F5EEC">
        <w:t>13.</w:t>
      </w:r>
    </w:p>
  </w:footnote>
  <w:footnote w:id="15">
    <w:p w14:paraId="16739356" w14:textId="77777777" w:rsidR="00FC6737" w:rsidRDefault="00FC6737" w:rsidP="00FC6737">
      <w:pPr>
        <w:pStyle w:val="FootnoteText"/>
        <w:widowControl w:val="0"/>
        <w:tabs>
          <w:tab w:val="clear" w:pos="1021"/>
          <w:tab w:val="right" w:pos="1020"/>
        </w:tabs>
      </w:pPr>
      <w:r>
        <w:tab/>
      </w:r>
      <w:r>
        <w:rPr>
          <w:rStyle w:val="FootnoteReference"/>
        </w:rPr>
        <w:footnoteRef/>
      </w:r>
      <w:r>
        <w:tab/>
        <w:t xml:space="preserve">Available at </w:t>
      </w:r>
      <w:hyperlink r:id="rId5" w:history="1">
        <w:r w:rsidRPr="00390EFC">
          <w:rPr>
            <w:rStyle w:val="Hyperlink"/>
          </w:rPr>
          <w:t>https://unfccc.int/documents/267207</w:t>
        </w:r>
      </w:hyperlink>
      <w:r>
        <w:t>.</w:t>
      </w:r>
    </w:p>
  </w:footnote>
  <w:footnote w:id="16">
    <w:p w14:paraId="1A9B1382" w14:textId="77777777" w:rsidR="00C32E80" w:rsidRPr="0011453F" w:rsidRDefault="00C32E80" w:rsidP="00C32E80">
      <w:pPr>
        <w:pStyle w:val="FootnoteText"/>
        <w:widowControl w:val="0"/>
        <w:tabs>
          <w:tab w:val="clear" w:pos="1021"/>
          <w:tab w:val="right" w:pos="1020"/>
        </w:tabs>
        <w:rPr>
          <w:lang w:val="en-US"/>
        </w:rPr>
      </w:pPr>
      <w:r>
        <w:tab/>
      </w:r>
      <w:r>
        <w:rPr>
          <w:rStyle w:val="FootnoteReference"/>
        </w:rPr>
        <w:footnoteRef/>
      </w:r>
      <w:r>
        <w:tab/>
        <w:t xml:space="preserve">Decision 7/CMA.1. </w:t>
      </w:r>
    </w:p>
  </w:footnote>
  <w:footnote w:id="17">
    <w:p w14:paraId="4A482C1B" w14:textId="77777777" w:rsidR="00C32E80" w:rsidRPr="004D0EC2" w:rsidRDefault="00C32E80" w:rsidP="00C32E80">
      <w:pPr>
        <w:pStyle w:val="FootnoteText"/>
        <w:widowControl w:val="0"/>
        <w:tabs>
          <w:tab w:val="clear" w:pos="1021"/>
          <w:tab w:val="right" w:pos="1020"/>
        </w:tabs>
        <w:rPr>
          <w:lang w:val="en-US"/>
        </w:rPr>
      </w:pPr>
      <w:r>
        <w:tab/>
      </w:r>
      <w:r>
        <w:rPr>
          <w:rStyle w:val="FootnoteReference"/>
        </w:rPr>
        <w:footnoteRef/>
      </w:r>
      <w:r>
        <w:tab/>
        <w:t>See decision 1/CP.21, para. 34.</w:t>
      </w:r>
    </w:p>
  </w:footnote>
  <w:footnote w:id="18">
    <w:p w14:paraId="4DD0E565" w14:textId="77777777" w:rsidR="00C32E80" w:rsidRPr="00B2456F" w:rsidRDefault="00C32E80" w:rsidP="00C32E80">
      <w:pPr>
        <w:pStyle w:val="FootnoteText"/>
        <w:widowControl w:val="0"/>
        <w:tabs>
          <w:tab w:val="clear" w:pos="1021"/>
          <w:tab w:val="right" w:pos="1020"/>
        </w:tabs>
        <w:rPr>
          <w:lang w:val="en-US"/>
        </w:rPr>
      </w:pPr>
      <w:r>
        <w:tab/>
      </w:r>
      <w:r>
        <w:rPr>
          <w:rStyle w:val="FootnoteReference"/>
        </w:rPr>
        <w:footnoteRef/>
      </w:r>
      <w:r>
        <w:tab/>
        <w:t xml:space="preserve">See decision 7/CMA.1, annex, para. 4. </w:t>
      </w:r>
    </w:p>
  </w:footnote>
  <w:footnote w:id="19">
    <w:p w14:paraId="61FD2882" w14:textId="77777777" w:rsidR="00C32E80" w:rsidRPr="00CF7DDC" w:rsidRDefault="00C32E80" w:rsidP="00C32E80">
      <w:pPr>
        <w:pStyle w:val="FootnoteText"/>
        <w:widowControl w:val="0"/>
        <w:rPr>
          <w:lang w:val="en-AU"/>
        </w:rPr>
      </w:pPr>
      <w:r>
        <w:tab/>
      </w:r>
      <w:r>
        <w:rPr>
          <w:rStyle w:val="FootnoteReference"/>
        </w:rPr>
        <w:footnoteRef/>
      </w:r>
      <w:r>
        <w:tab/>
        <w:t>Contained in annex II to decisions 4/CP.25, 4/CMP.15 and 4/CMA.2.</w:t>
      </w:r>
    </w:p>
  </w:footnote>
  <w:footnote w:id="20">
    <w:p w14:paraId="4807F4BE" w14:textId="77777777" w:rsidR="00C32E80" w:rsidRPr="00096703" w:rsidRDefault="00C32E80" w:rsidP="0079125D">
      <w:pPr>
        <w:pStyle w:val="FootnoteText"/>
        <w:widowControl w:val="0"/>
        <w:rPr>
          <w:lang w:val="en-US"/>
        </w:rPr>
      </w:pPr>
      <w:r>
        <w:tab/>
      </w:r>
      <w:r>
        <w:rPr>
          <w:rStyle w:val="FootnoteReference"/>
        </w:rPr>
        <w:footnoteRef/>
      </w:r>
      <w:r>
        <w:tab/>
        <w:t xml:space="preserve">FCCC/SB/2023/6. </w:t>
      </w:r>
    </w:p>
  </w:footnote>
  <w:footnote w:id="21">
    <w:p w14:paraId="7444FDFA" w14:textId="29435941" w:rsidR="00C32E80" w:rsidRPr="00862A92" w:rsidRDefault="00C32E80" w:rsidP="0079125D">
      <w:pPr>
        <w:pStyle w:val="FootnoteText"/>
        <w:widowControl w:val="0"/>
        <w:rPr>
          <w:lang w:val="en-US"/>
        </w:rPr>
      </w:pPr>
      <w:r>
        <w:tab/>
      </w:r>
      <w:r>
        <w:rPr>
          <w:rStyle w:val="FootnoteReference"/>
        </w:rPr>
        <w:footnoteRef/>
      </w:r>
      <w:r>
        <w:tab/>
      </w:r>
      <w:r w:rsidR="0091161D">
        <w:t>I</w:t>
      </w:r>
      <w:r w:rsidRPr="00B5135A">
        <w:t>dentify</w:t>
      </w:r>
      <w:r>
        <w:t>ing</w:t>
      </w:r>
      <w:r w:rsidRPr="00B5135A">
        <w:t xml:space="preserve"> country-driven strategies and best practices on just transition of the workforce and creation of decent work and quality jobs and on economic diversification</w:t>
      </w:r>
      <w:r>
        <w:t xml:space="preserve"> </w:t>
      </w:r>
      <w:r w:rsidRPr="00801BFA">
        <w:t>and transformation focusing on challenges and opportunities from the implementation of low greenhouse gas emission policies and strategies towards the achievement of sustainable development</w:t>
      </w:r>
      <w:r>
        <w:t xml:space="preserve">. </w:t>
      </w:r>
    </w:p>
  </w:footnote>
  <w:footnote w:id="22">
    <w:p w14:paraId="15D061AD" w14:textId="59CE1DD8" w:rsidR="00C32E80" w:rsidRPr="00676B49" w:rsidRDefault="00C32E80" w:rsidP="0079125D">
      <w:pPr>
        <w:pStyle w:val="FootnoteText"/>
        <w:widowControl w:val="0"/>
        <w:rPr>
          <w:lang w:val="en-US"/>
        </w:rPr>
      </w:pPr>
      <w:r>
        <w:tab/>
      </w:r>
      <w:r>
        <w:rPr>
          <w:rStyle w:val="FootnoteReference"/>
        </w:rPr>
        <w:footnoteRef/>
      </w:r>
      <w:r>
        <w:tab/>
      </w:r>
      <w:r w:rsidR="00B61520">
        <w:t>I</w:t>
      </w:r>
      <w:r w:rsidRPr="00461BB4">
        <w:t>dentify</w:t>
      </w:r>
      <w:r>
        <w:t>ing</w:t>
      </w:r>
      <w:r w:rsidRPr="00461BB4">
        <w:t xml:space="preserve"> and exchang</w:t>
      </w:r>
      <w:r>
        <w:t>ing</w:t>
      </w:r>
      <w:r w:rsidRPr="00461BB4">
        <w:t xml:space="preserve"> experience and best practices in engaging the private sector, including small and medium-sized enterprises and public–private partnerships, to facilitate the creation of decent work and quality jobs in low greenhouse gas emission sectors</w:t>
      </w:r>
      <w:r>
        <w:t xml:space="preserve">. </w:t>
      </w:r>
    </w:p>
  </w:footnote>
  <w:footnote w:id="23">
    <w:p w14:paraId="763FD514" w14:textId="01E2C0D9" w:rsidR="00C32E80" w:rsidRPr="00EE2D7C" w:rsidRDefault="00C32E80" w:rsidP="0079125D">
      <w:pPr>
        <w:pStyle w:val="FootnoteText"/>
        <w:widowControl w:val="0"/>
        <w:rPr>
          <w:lang w:val="en-US"/>
        </w:rPr>
      </w:pPr>
      <w:r>
        <w:tab/>
      </w:r>
      <w:r>
        <w:rPr>
          <w:rStyle w:val="FootnoteReference"/>
        </w:rPr>
        <w:footnoteRef/>
      </w:r>
      <w:r>
        <w:tab/>
      </w:r>
      <w:r w:rsidR="00B61520">
        <w:t>I</w:t>
      </w:r>
      <w:r w:rsidRPr="008C78A7">
        <w:t>dentify</w:t>
      </w:r>
      <w:r>
        <w:t>ing</w:t>
      </w:r>
      <w:r w:rsidRPr="008C78A7">
        <w:t xml:space="preserve"> and assess</w:t>
      </w:r>
      <w:r>
        <w:t>ing</w:t>
      </w:r>
      <w:r w:rsidRPr="008C78A7">
        <w:t xml:space="preserve"> the impacts of the implementation of response measures taking into account intergenerational equity, gender considerations and the needs of local communities, </w:t>
      </w:r>
      <w:r w:rsidR="00B61520">
        <w:t>I</w:t>
      </w:r>
      <w:r w:rsidRPr="008C78A7">
        <w:t xml:space="preserve">ndigenous </w:t>
      </w:r>
      <w:r w:rsidR="00B61520">
        <w:t>P</w:t>
      </w:r>
      <w:r w:rsidRPr="008C78A7">
        <w:t>eoples, youth and other people in vulnerable situations</w:t>
      </w:r>
      <w:r>
        <w:t xml:space="preserve">. </w:t>
      </w:r>
    </w:p>
  </w:footnote>
  <w:footnote w:id="24">
    <w:p w14:paraId="09DE590E" w14:textId="6B06E096" w:rsidR="00C32E80" w:rsidRPr="00676B49" w:rsidRDefault="00C32E80" w:rsidP="0079125D">
      <w:pPr>
        <w:pStyle w:val="FootnoteText"/>
        <w:widowControl w:val="0"/>
        <w:rPr>
          <w:lang w:val="en-US"/>
        </w:rPr>
      </w:pPr>
      <w:r>
        <w:tab/>
      </w:r>
      <w:r>
        <w:rPr>
          <w:rStyle w:val="FootnoteReference"/>
        </w:rPr>
        <w:footnoteRef/>
      </w:r>
      <w:r>
        <w:tab/>
      </w:r>
      <w:r w:rsidR="00B61520">
        <w:t>F</w:t>
      </w:r>
      <w:r w:rsidRPr="00605B32">
        <w:t>acilitat</w:t>
      </w:r>
      <w:r>
        <w:t>ing</w:t>
      </w:r>
      <w:r w:rsidRPr="00605B32">
        <w:t xml:space="preserve"> the development and exchange of regional, country- and/or sector-specific case studies and approaches on (1) economic diversification and transformation and just transition of the workforce and creation of decent work and quality jobs, and (2) assessment and analysis of the impacts of the implementation of response measures with a view to understanding the positive and negative impacts</w:t>
      </w:r>
      <w:r>
        <w:t xml:space="preserve">. </w:t>
      </w:r>
    </w:p>
  </w:footnote>
  <w:footnote w:id="25">
    <w:p w14:paraId="320B1A12" w14:textId="1B538A1D" w:rsidR="00C32E80" w:rsidRPr="00D83B7D" w:rsidRDefault="00C32E80" w:rsidP="00574B7B">
      <w:pPr>
        <w:pStyle w:val="FootnoteText"/>
        <w:widowControl w:val="0"/>
        <w:tabs>
          <w:tab w:val="clear" w:pos="1021"/>
          <w:tab w:val="right" w:pos="1020"/>
        </w:tabs>
        <w:jc w:val="both"/>
        <w:rPr>
          <w:lang w:val="en-US"/>
        </w:rPr>
      </w:pPr>
      <w:r>
        <w:tab/>
      </w:r>
      <w:r>
        <w:rPr>
          <w:rStyle w:val="FootnoteReference"/>
        </w:rPr>
        <w:footnoteRef/>
      </w:r>
      <w:r>
        <w:tab/>
      </w:r>
      <w:r w:rsidRPr="00A352FF">
        <w:rPr>
          <w:rStyle w:val="Hyperlink"/>
        </w:rPr>
        <w:t>https://www4.unfccc.int/sites/submissionsstaging/Pages/Home.aspx</w:t>
      </w:r>
      <w:r>
        <w:t>.</w:t>
      </w:r>
    </w:p>
  </w:footnote>
  <w:footnote w:id="26">
    <w:p w14:paraId="6EF3EFEA" w14:textId="22A9476E" w:rsidR="00C32E80" w:rsidRPr="00D847C9" w:rsidRDefault="00C32E80" w:rsidP="0079125D">
      <w:pPr>
        <w:pStyle w:val="FootnoteText"/>
        <w:widowControl w:val="0"/>
        <w:rPr>
          <w:lang w:val="en-US"/>
        </w:rPr>
      </w:pPr>
      <w:r>
        <w:tab/>
      </w:r>
      <w:r>
        <w:rPr>
          <w:rStyle w:val="FootnoteReference"/>
        </w:rPr>
        <w:footnoteRef/>
      </w:r>
      <w:r>
        <w:tab/>
      </w:r>
      <w:r w:rsidR="00C97E24">
        <w:t>F</w:t>
      </w:r>
      <w:r w:rsidRPr="00D847C9">
        <w:t>acilitat</w:t>
      </w:r>
      <w:r>
        <w:t>ing</w:t>
      </w:r>
      <w:r w:rsidRPr="00D847C9">
        <w:t xml:space="preserve"> the development, enhancement, customization and use of tools and methodologies for modelling and assessing the impacts of the implementation of response measures, including identifying and reviewing existing tools and approaches in data-poor environments, in consultation with technical experts, practitioners and other </w:t>
      </w:r>
      <w:r w:rsidRPr="00D847C9" w:rsidDel="00C97E24">
        <w:t xml:space="preserve">relevant </w:t>
      </w:r>
      <w:r w:rsidRPr="00D847C9">
        <w:t>stakeholders</w:t>
      </w:r>
      <w:r>
        <w:t xml:space="preserve">. </w:t>
      </w:r>
    </w:p>
  </w:footnote>
  <w:footnote w:id="27">
    <w:p w14:paraId="1F47D9DF" w14:textId="77777777" w:rsidR="00C32E80" w:rsidRPr="007C04E5" w:rsidRDefault="00C32E80" w:rsidP="0079125D">
      <w:pPr>
        <w:pStyle w:val="FootnoteText"/>
        <w:widowControl w:val="0"/>
        <w:rPr>
          <w:lang w:val="en-US"/>
        </w:rPr>
      </w:pPr>
      <w:r>
        <w:tab/>
      </w:r>
      <w:r>
        <w:rPr>
          <w:rStyle w:val="FootnoteReference"/>
        </w:rPr>
        <w:footnoteRef/>
      </w:r>
      <w:r>
        <w:tab/>
      </w:r>
      <w:r w:rsidRPr="003A7808">
        <w:t xml:space="preserve">More information on the event, including the agenda and presentations, can be found at </w:t>
      </w:r>
      <w:hyperlink r:id="rId6" w:history="1">
        <w:r w:rsidRPr="00106AEF">
          <w:rPr>
            <w:rStyle w:val="Hyperlink"/>
          </w:rPr>
          <w:t>https://unfccc.int/event/RM-AsiaPacificWorkshop-Bangkok-2023</w:t>
        </w:r>
      </w:hyperlink>
      <w:r w:rsidRPr="0079125D">
        <w:rPr>
          <w:rStyle w:val="Hyperlink"/>
          <w:color w:val="auto"/>
          <w:u w:val="none"/>
        </w:rPr>
        <w:t>.</w:t>
      </w:r>
      <w:r w:rsidRPr="00BA6244">
        <w:t xml:space="preserve"> </w:t>
      </w:r>
    </w:p>
  </w:footnote>
  <w:footnote w:id="28">
    <w:p w14:paraId="64840E90" w14:textId="77777777" w:rsidR="00C32E80" w:rsidRPr="00D4677C" w:rsidRDefault="00C32E80" w:rsidP="00574B7B">
      <w:pPr>
        <w:pStyle w:val="FootnoteText"/>
        <w:widowControl w:val="0"/>
        <w:tabs>
          <w:tab w:val="clear" w:pos="1021"/>
          <w:tab w:val="right" w:pos="1020"/>
        </w:tabs>
        <w:jc w:val="both"/>
        <w:rPr>
          <w:lang w:val="en-US"/>
        </w:rPr>
      </w:pPr>
      <w:r>
        <w:tab/>
      </w:r>
      <w:r>
        <w:rPr>
          <w:rStyle w:val="FootnoteReference"/>
        </w:rPr>
        <w:footnoteRef/>
      </w:r>
      <w:r w:rsidRPr="00AA241F">
        <w:rPr>
          <w:lang w:val="en-US"/>
        </w:rPr>
        <w:tab/>
      </w:r>
      <w:r w:rsidRPr="00D4677C">
        <w:rPr>
          <w:szCs w:val="18"/>
          <w:lang w:val="en-US"/>
        </w:rPr>
        <w:t>Recalling decision 1/CMA.3, paras. 20–21.</w:t>
      </w:r>
      <w:r w:rsidRPr="00D4677C">
        <w:rPr>
          <w:lang w:val="en-US"/>
        </w:rPr>
        <w:t xml:space="preserve"> </w:t>
      </w:r>
    </w:p>
  </w:footnote>
  <w:footnote w:id="29">
    <w:p w14:paraId="538A2BFB" w14:textId="4C7D78B3" w:rsidR="004F0702" w:rsidRPr="004F0702" w:rsidRDefault="004F0702" w:rsidP="004F0702">
      <w:pPr>
        <w:pStyle w:val="FootnoteText"/>
        <w:widowControl w:val="0"/>
        <w:tabs>
          <w:tab w:val="clear" w:pos="1021"/>
          <w:tab w:val="right" w:pos="1020"/>
        </w:tabs>
        <w:rPr>
          <w:lang w:val="en-US"/>
        </w:rPr>
      </w:pPr>
      <w:r w:rsidRPr="00DE7A2F">
        <w:rPr>
          <w:lang w:val="en-US"/>
        </w:rPr>
        <w:tab/>
      </w:r>
      <w:r>
        <w:rPr>
          <w:rStyle w:val="FootnoteReference"/>
        </w:rPr>
        <w:footnoteRef/>
      </w:r>
      <w:r w:rsidRPr="00DE7A2F">
        <w:rPr>
          <w:lang w:val="en-US"/>
        </w:rPr>
        <w:tab/>
      </w:r>
      <w:r w:rsidR="009D775C" w:rsidRPr="00DE7A2F">
        <w:rPr>
          <w:lang w:val="en-US"/>
        </w:rPr>
        <w:t>See</w:t>
      </w:r>
      <w:r w:rsidRPr="00DE7A2F">
        <w:rPr>
          <w:lang w:val="en-US"/>
        </w:rPr>
        <w:t xml:space="preserve"> </w:t>
      </w:r>
      <w:r w:rsidR="009D775C" w:rsidRPr="00DE7A2F">
        <w:rPr>
          <w:lang w:val="en-US"/>
        </w:rPr>
        <w:t>d</w:t>
      </w:r>
      <w:r w:rsidR="002737B1" w:rsidRPr="00DE7A2F">
        <w:rPr>
          <w:lang w:val="en-US"/>
        </w:rPr>
        <w:t xml:space="preserve">ecision 19/CMA.1, paras. </w:t>
      </w:r>
      <w:r w:rsidR="002737B1" w:rsidRPr="002737B1">
        <w:t>8 and 24</w:t>
      </w:r>
      <w:r w:rsidR="0022109A">
        <w:t>.</w:t>
      </w:r>
    </w:p>
  </w:footnote>
  <w:footnote w:id="30">
    <w:p w14:paraId="70B6A946" w14:textId="77777777" w:rsidR="00C32E80" w:rsidRPr="00183473" w:rsidRDefault="00C32E80" w:rsidP="0079125D">
      <w:pPr>
        <w:pStyle w:val="FootnoteText"/>
        <w:widowControl w:val="0"/>
        <w:rPr>
          <w:lang w:val="en-US"/>
        </w:rPr>
      </w:pPr>
      <w:r>
        <w:tab/>
      </w:r>
      <w:r>
        <w:rPr>
          <w:rStyle w:val="FootnoteReference"/>
        </w:rPr>
        <w:footnoteRef/>
      </w:r>
      <w:r>
        <w:tab/>
        <w:t xml:space="preserve">These activities are to be implemented as part of the implementation of the workplan of the forum and its </w:t>
      </w:r>
      <w:r w:rsidRPr="00ED118E">
        <w:t>Katowice Committee on Impacts</w:t>
      </w:r>
      <w:r>
        <w:t xml:space="preserve"> </w:t>
      </w:r>
      <w:r w:rsidRPr="00FE60FB">
        <w:t>(for the fifty-second to sixty-third sessions of the subsidiary bodies)</w:t>
      </w:r>
      <w:r>
        <w:t xml:space="preserve">. </w:t>
      </w:r>
    </w:p>
  </w:footnote>
  <w:footnote w:id="31">
    <w:p w14:paraId="2A88DF1D" w14:textId="6AF8ABF0" w:rsidR="00C32E80" w:rsidRPr="00737ED6" w:rsidRDefault="00C32E80" w:rsidP="0079125D">
      <w:pPr>
        <w:pStyle w:val="FootnoteText"/>
        <w:widowControl w:val="0"/>
        <w:rPr>
          <w:lang w:val="en-US"/>
        </w:rPr>
      </w:pPr>
      <w:r>
        <w:tab/>
      </w:r>
      <w:r>
        <w:rPr>
          <w:rStyle w:val="FootnoteReference"/>
        </w:rPr>
        <w:footnoteRef/>
      </w:r>
      <w:r>
        <w:tab/>
      </w:r>
      <w:r w:rsidR="005A3E0D">
        <w:t>F</w:t>
      </w:r>
      <w:r w:rsidRPr="0092752B">
        <w:t>acilitat</w:t>
      </w:r>
      <w:r>
        <w:t>ing</w:t>
      </w:r>
      <w:r w:rsidRPr="0092752B">
        <w:t xml:space="preserve"> the development and exchange of regional, country- and/or sector-specific case studies and approaches on (1) economic diversification and transformation and just transition of the workforce and creation of decent work and quality jobs, and (2) assessment and analysis of the impacts of the implementation of response measures with a view to understanding the positive and negative impacts</w:t>
      </w:r>
      <w:r>
        <w:t xml:space="preserve">. </w:t>
      </w:r>
    </w:p>
  </w:footnote>
  <w:footnote w:id="32">
    <w:p w14:paraId="4ACFCEC7" w14:textId="77777777" w:rsidR="006C0696" w:rsidRPr="00252C87" w:rsidRDefault="006C0696" w:rsidP="006C0696">
      <w:pPr>
        <w:pStyle w:val="FootnoteText"/>
        <w:widowControl w:val="0"/>
        <w:tabs>
          <w:tab w:val="clear" w:pos="1021"/>
          <w:tab w:val="right" w:pos="1020"/>
        </w:tabs>
        <w:rPr>
          <w:lang w:val="en-US"/>
        </w:rPr>
      </w:pPr>
      <w:r>
        <w:tab/>
      </w:r>
      <w:r>
        <w:rPr>
          <w:rStyle w:val="FootnoteReference"/>
        </w:rPr>
        <w:footnoteRef/>
      </w:r>
      <w:r>
        <w:tab/>
      </w:r>
      <w:r w:rsidRPr="00252C87">
        <w:t>Decision 3/CP.25</w:t>
      </w:r>
      <w:r>
        <w:t xml:space="preserve">. </w:t>
      </w:r>
    </w:p>
  </w:footnote>
  <w:footnote w:id="33">
    <w:p w14:paraId="213C74DF" w14:textId="77777777" w:rsidR="006C0696" w:rsidRPr="00B47AB7" w:rsidRDefault="006C0696" w:rsidP="006C0696">
      <w:pPr>
        <w:pStyle w:val="FootnoteText"/>
        <w:widowControl w:val="0"/>
        <w:tabs>
          <w:tab w:val="clear" w:pos="1021"/>
          <w:tab w:val="right" w:pos="1020"/>
        </w:tabs>
        <w:rPr>
          <w:lang w:val="en-US"/>
        </w:rPr>
      </w:pPr>
      <w:r>
        <w:tab/>
      </w:r>
      <w:r>
        <w:rPr>
          <w:rStyle w:val="FootnoteReference"/>
        </w:rPr>
        <w:footnoteRef/>
      </w:r>
      <w:r w:rsidRPr="00B47AB7">
        <w:rPr>
          <w:lang w:val="en-US"/>
        </w:rPr>
        <w:tab/>
        <w:t>Decision 3/CP.25, para. 7.</w:t>
      </w:r>
    </w:p>
  </w:footnote>
  <w:footnote w:id="34">
    <w:p w14:paraId="275C5AEA" w14:textId="77777777" w:rsidR="006C0696" w:rsidRPr="00725BCB" w:rsidRDefault="006C0696" w:rsidP="006C0696">
      <w:pPr>
        <w:pStyle w:val="FootnoteText"/>
        <w:widowControl w:val="0"/>
        <w:tabs>
          <w:tab w:val="clear" w:pos="1021"/>
          <w:tab w:val="right" w:pos="1020"/>
        </w:tabs>
        <w:rPr>
          <w:lang w:val="en-US"/>
        </w:rPr>
      </w:pPr>
      <w:r w:rsidRPr="00B47AB7">
        <w:rPr>
          <w:lang w:val="en-US"/>
        </w:rPr>
        <w:tab/>
      </w:r>
      <w:r>
        <w:rPr>
          <w:rStyle w:val="FootnoteReference"/>
        </w:rPr>
        <w:footnoteRef/>
      </w:r>
      <w:r w:rsidRPr="00725BCB">
        <w:rPr>
          <w:lang w:val="en-US"/>
        </w:rPr>
        <w:tab/>
      </w:r>
      <w:hyperlink r:id="rId7" w:history="1">
        <w:r w:rsidRPr="00725BCB">
          <w:rPr>
            <w:rStyle w:val="Hyperlink"/>
            <w:lang w:val="en-US"/>
          </w:rPr>
          <w:t>https://www4.unfccc.int/sites/submissionsstaging/Pages/Home.aspx</w:t>
        </w:r>
      </w:hyperlink>
      <w:r w:rsidRPr="00725BCB">
        <w:rPr>
          <w:lang w:val="en-US"/>
        </w:rPr>
        <w:t>.</w:t>
      </w:r>
    </w:p>
  </w:footnote>
  <w:footnote w:id="35">
    <w:p w14:paraId="77AFFE03" w14:textId="77777777" w:rsidR="009A13A2" w:rsidRPr="000C7C5E" w:rsidRDefault="009A13A2" w:rsidP="009A13A2">
      <w:pPr>
        <w:pStyle w:val="FootnoteText"/>
        <w:rPr>
          <w:lang w:val="en-US"/>
        </w:rPr>
      </w:pPr>
      <w:r>
        <w:tab/>
      </w:r>
      <w:r>
        <w:rPr>
          <w:rStyle w:val="FootnoteReference"/>
        </w:rPr>
        <w:footnoteRef/>
      </w:r>
      <w:r>
        <w:rPr>
          <w:lang w:val="en-US"/>
        </w:rPr>
        <w:tab/>
      </w:r>
      <w:r w:rsidRPr="000C7C5E">
        <w:rPr>
          <w:lang w:val="en-US"/>
        </w:rPr>
        <w:t>Decision 15/CP.1, annex I</w:t>
      </w:r>
      <w:r>
        <w:rPr>
          <w:lang w:val="en-US"/>
        </w:rPr>
        <w:t>.</w:t>
      </w:r>
    </w:p>
  </w:footnote>
  <w:footnote w:id="36">
    <w:p w14:paraId="35B09F98" w14:textId="77777777" w:rsidR="009A13A2" w:rsidRPr="00126DD9" w:rsidRDefault="009A13A2" w:rsidP="009A13A2">
      <w:pPr>
        <w:pStyle w:val="FootnoteText"/>
        <w:widowControl w:val="0"/>
        <w:tabs>
          <w:tab w:val="clear" w:pos="1021"/>
          <w:tab w:val="right" w:pos="1020"/>
        </w:tabs>
        <w:rPr>
          <w:lang w:val="en-US"/>
        </w:rPr>
      </w:pPr>
      <w:r>
        <w:tab/>
      </w:r>
      <w:r>
        <w:rPr>
          <w:rStyle w:val="FootnoteReference"/>
        </w:rPr>
        <w:footnoteRef/>
      </w:r>
      <w:r>
        <w:tab/>
      </w:r>
      <w:r w:rsidRPr="000D0774">
        <w:t>FCCC/CP/2023/INF.2</w:t>
      </w:r>
      <w:r>
        <w:t xml:space="preserve">, </w:t>
      </w:r>
      <w:r w:rsidRPr="00FB2D0D">
        <w:t>FCCC/SBI/2023/INF.6</w:t>
      </w:r>
      <w:r>
        <w:t xml:space="preserve">, </w:t>
      </w:r>
      <w:r w:rsidRPr="001707F4">
        <w:t>FCCC/SBI/2023/INF.9</w:t>
      </w:r>
      <w:r>
        <w:t xml:space="preserve"> and Add.1, and </w:t>
      </w:r>
      <w:r w:rsidRPr="00BF1193">
        <w:t>FCCC/SBI/2023/INF.11</w:t>
      </w:r>
      <w:r>
        <w:t>.</w:t>
      </w:r>
    </w:p>
  </w:footnote>
  <w:footnote w:id="37">
    <w:p w14:paraId="53E75047" w14:textId="77777777" w:rsidR="009A13A2" w:rsidRPr="008C61ED" w:rsidRDefault="009A13A2" w:rsidP="009A13A2">
      <w:pPr>
        <w:pStyle w:val="FootnoteText"/>
        <w:widowControl w:val="0"/>
      </w:pPr>
      <w:r>
        <w:tab/>
      </w:r>
      <w:r>
        <w:rPr>
          <w:rStyle w:val="FootnoteReference"/>
        </w:rPr>
        <w:footnoteRef/>
      </w:r>
      <w:r>
        <w:tab/>
      </w:r>
      <w:r w:rsidRPr="00EB72CF">
        <w:t>FCCC/SBI/2023/INF.9</w:t>
      </w:r>
      <w:r>
        <w:t>.</w:t>
      </w:r>
    </w:p>
  </w:footnote>
  <w:footnote w:id="38">
    <w:p w14:paraId="6BFF8743" w14:textId="77777777" w:rsidR="009A13A2" w:rsidRPr="003B71EA" w:rsidRDefault="009A13A2" w:rsidP="009A13A2">
      <w:pPr>
        <w:pStyle w:val="FootnoteText"/>
        <w:rPr>
          <w:lang w:val="en-US"/>
        </w:rPr>
      </w:pPr>
      <w:r>
        <w:tab/>
      </w:r>
      <w:r>
        <w:rPr>
          <w:rStyle w:val="FootnoteReference"/>
        </w:rPr>
        <w:footnoteRef/>
      </w:r>
      <w:r>
        <w:tab/>
      </w:r>
      <w:r w:rsidRPr="00E17490">
        <w:t>FCCC/SBI/2023/INF.9/Add.1</w:t>
      </w:r>
      <w:r>
        <w:t>.</w:t>
      </w:r>
    </w:p>
  </w:footnote>
  <w:footnote w:id="39">
    <w:p w14:paraId="44F4FC84" w14:textId="77777777" w:rsidR="009A13A2" w:rsidRPr="005B1F4E" w:rsidRDefault="009A13A2" w:rsidP="009A13A2">
      <w:pPr>
        <w:pStyle w:val="FootnoteText"/>
        <w:widowControl w:val="0"/>
      </w:pPr>
      <w:r>
        <w:tab/>
      </w:r>
      <w:r>
        <w:rPr>
          <w:rStyle w:val="FootnoteReference"/>
        </w:rPr>
        <w:footnoteRef/>
      </w:r>
      <w:r w:rsidRPr="008171BE">
        <w:tab/>
        <w:t>FCCC/SBI/2023/INF.11.</w:t>
      </w:r>
    </w:p>
  </w:footnote>
  <w:footnote w:id="40">
    <w:p w14:paraId="05883271" w14:textId="77777777" w:rsidR="009A13A2" w:rsidRPr="005B1F4E" w:rsidRDefault="009A13A2" w:rsidP="009A13A2">
      <w:pPr>
        <w:pStyle w:val="FootnoteText"/>
        <w:widowControl w:val="0"/>
        <w:tabs>
          <w:tab w:val="clear" w:pos="1021"/>
          <w:tab w:val="right" w:pos="1020"/>
        </w:tabs>
      </w:pPr>
      <w:r>
        <w:tab/>
      </w:r>
      <w:r>
        <w:rPr>
          <w:rStyle w:val="FootnoteReference"/>
        </w:rPr>
        <w:footnoteRef/>
      </w:r>
      <w:r w:rsidRPr="008171BE">
        <w:tab/>
        <w:t>FCCC/CP/2023/INF.2.</w:t>
      </w:r>
    </w:p>
  </w:footnote>
  <w:footnote w:id="41">
    <w:p w14:paraId="5503CE66" w14:textId="77777777" w:rsidR="009A13A2" w:rsidRPr="00EE0F77" w:rsidRDefault="009A13A2" w:rsidP="009A13A2">
      <w:pPr>
        <w:pStyle w:val="FootnoteText"/>
        <w:widowControl w:val="0"/>
      </w:pPr>
      <w:r w:rsidRPr="008171BE">
        <w:tab/>
      </w:r>
      <w:r>
        <w:rPr>
          <w:rStyle w:val="FootnoteReference"/>
        </w:rPr>
        <w:footnoteRef/>
      </w:r>
      <w:r w:rsidRPr="008171BE">
        <w:tab/>
        <w:t>FCCC/SBI/2023/INF.6.</w:t>
      </w:r>
    </w:p>
  </w:footnote>
  <w:footnote w:id="42">
    <w:p w14:paraId="52CD82B7" w14:textId="77777777" w:rsidR="008B2C48" w:rsidRPr="00B21F51" w:rsidRDefault="008B2C48" w:rsidP="0079125D">
      <w:pPr>
        <w:pStyle w:val="FootnoteText"/>
        <w:rPr>
          <w:lang w:val="en-US"/>
        </w:rPr>
      </w:pPr>
      <w:r w:rsidRPr="007C0A5D">
        <w:tab/>
      </w:r>
      <w:r w:rsidRPr="007C0A5D">
        <w:rPr>
          <w:rStyle w:val="FootnoteReference"/>
        </w:rPr>
        <w:footnoteRef/>
      </w:r>
      <w:r w:rsidRPr="007C0A5D">
        <w:rPr>
          <w:lang w:val="en-US"/>
        </w:rPr>
        <w:tab/>
      </w:r>
      <w:r w:rsidRPr="00B21F51">
        <w:rPr>
          <w:lang w:val="en-US"/>
        </w:rPr>
        <w:t>Decision 15/CP.1, annex I.</w:t>
      </w:r>
    </w:p>
  </w:footnote>
  <w:footnote w:id="43">
    <w:p w14:paraId="311C875D" w14:textId="77777777" w:rsidR="008B2C48" w:rsidRPr="00B21F51" w:rsidRDefault="008B2C48" w:rsidP="0079125D">
      <w:pPr>
        <w:pStyle w:val="FootnoteText"/>
        <w:widowControl w:val="0"/>
        <w:rPr>
          <w:lang w:val="en-US"/>
        </w:rPr>
      </w:pPr>
      <w:r w:rsidRPr="00B21F51">
        <w:tab/>
      </w:r>
      <w:r w:rsidRPr="00B21F51">
        <w:rPr>
          <w:rStyle w:val="FootnoteReference"/>
        </w:rPr>
        <w:footnoteRef/>
      </w:r>
      <w:r w:rsidRPr="00B21F51">
        <w:tab/>
        <w:t xml:space="preserve">FCCC/SBI/2023/2 and Add.1–2, FCCC/SBI/2023/6 and Add.1, </w:t>
      </w:r>
      <w:r w:rsidRPr="00A11EAF">
        <w:t>FCCC/SBI/2023/9</w:t>
      </w:r>
      <w:r>
        <w:t xml:space="preserve">, </w:t>
      </w:r>
      <w:r w:rsidRPr="00B21F51">
        <w:t>FCCC/SBI/2023/INF.2, FCCC/SBI/2023/INF.3</w:t>
      </w:r>
      <w:r>
        <w:t xml:space="preserve"> and</w:t>
      </w:r>
      <w:r w:rsidRPr="00B21F51">
        <w:t xml:space="preserve"> FCCC/SBI/2023/INF.4.</w:t>
      </w:r>
    </w:p>
  </w:footnote>
  <w:footnote w:id="44">
    <w:p w14:paraId="2E81CF4E" w14:textId="77777777" w:rsidR="008B2C48" w:rsidRPr="00FD2841" w:rsidRDefault="008B2C48" w:rsidP="0079125D">
      <w:pPr>
        <w:pStyle w:val="FootnoteText"/>
        <w:widowControl w:val="0"/>
        <w:rPr>
          <w:lang w:val="en-US"/>
        </w:rPr>
      </w:pPr>
      <w:r w:rsidRPr="00B21F51">
        <w:tab/>
      </w:r>
      <w:r w:rsidRPr="00B21F51">
        <w:rPr>
          <w:rStyle w:val="FootnoteReference"/>
        </w:rPr>
        <w:footnoteRef/>
      </w:r>
      <w:r w:rsidRPr="00167ABA">
        <w:rPr>
          <w:lang w:val="en-US"/>
        </w:rPr>
        <w:tab/>
        <w:t xml:space="preserve">See document FCCC/SBI/2023/2, chap. </w:t>
      </w:r>
      <w:r w:rsidRPr="00B21F51">
        <w:t>IV.B.</w:t>
      </w:r>
    </w:p>
  </w:footnote>
  <w:footnote w:id="45">
    <w:p w14:paraId="44FAB8FB" w14:textId="77777777" w:rsidR="008B2C48" w:rsidRPr="00065602" w:rsidRDefault="008B2C48" w:rsidP="008B2C48">
      <w:pPr>
        <w:pStyle w:val="FootnoteText"/>
        <w:widowControl w:val="0"/>
        <w:tabs>
          <w:tab w:val="clear" w:pos="1021"/>
          <w:tab w:val="right" w:pos="1020"/>
        </w:tabs>
        <w:rPr>
          <w:lang w:val="en-US"/>
        </w:rPr>
      </w:pPr>
      <w:r>
        <w:tab/>
      </w:r>
      <w:r w:rsidRPr="00065602">
        <w:rPr>
          <w:rStyle w:val="FootnoteReference"/>
        </w:rPr>
        <w:footnoteRef/>
      </w:r>
      <w:r w:rsidRPr="00065602">
        <w:tab/>
        <w:t>FCCC/SBI/2023/6 and Add.1.</w:t>
      </w:r>
    </w:p>
  </w:footnote>
  <w:footnote w:id="46">
    <w:p w14:paraId="61974043" w14:textId="77777777" w:rsidR="008B2C48" w:rsidRPr="00F06D69" w:rsidRDefault="008B2C48" w:rsidP="008B2C48">
      <w:pPr>
        <w:pStyle w:val="FootnoteText"/>
        <w:widowControl w:val="0"/>
        <w:tabs>
          <w:tab w:val="clear" w:pos="1021"/>
          <w:tab w:val="right" w:pos="1020"/>
        </w:tabs>
        <w:rPr>
          <w:lang w:val="fr-FR"/>
        </w:rPr>
      </w:pPr>
      <w:r w:rsidRPr="00065602">
        <w:tab/>
      </w:r>
      <w:r w:rsidRPr="00065602">
        <w:rPr>
          <w:rStyle w:val="FootnoteReference"/>
        </w:rPr>
        <w:footnoteRef/>
      </w:r>
      <w:r w:rsidRPr="00F06D69">
        <w:rPr>
          <w:lang w:val="fr-FR"/>
        </w:rPr>
        <w:tab/>
        <w:t>FCCC/SBI/2023/INF.2.</w:t>
      </w:r>
    </w:p>
  </w:footnote>
  <w:footnote w:id="47">
    <w:p w14:paraId="02892455" w14:textId="77777777" w:rsidR="008B2C48" w:rsidRPr="00F06D69" w:rsidRDefault="008B2C48" w:rsidP="008B2C48">
      <w:pPr>
        <w:pStyle w:val="FootnoteText"/>
        <w:widowControl w:val="0"/>
        <w:tabs>
          <w:tab w:val="clear" w:pos="1021"/>
          <w:tab w:val="right" w:pos="1020"/>
        </w:tabs>
        <w:rPr>
          <w:lang w:val="fr-FR"/>
        </w:rPr>
      </w:pPr>
      <w:r w:rsidRPr="00F06D69">
        <w:rPr>
          <w:lang w:val="fr-FR"/>
        </w:rPr>
        <w:tab/>
      </w:r>
      <w:r w:rsidRPr="00065602">
        <w:rPr>
          <w:rStyle w:val="FootnoteReference"/>
        </w:rPr>
        <w:footnoteRef/>
      </w:r>
      <w:r w:rsidRPr="00F06D69">
        <w:rPr>
          <w:lang w:val="fr-FR"/>
        </w:rPr>
        <w:tab/>
        <w:t>FCCC/SBI/2023/INF.4.</w:t>
      </w:r>
    </w:p>
  </w:footnote>
  <w:footnote w:id="48">
    <w:p w14:paraId="62438A1F" w14:textId="77777777" w:rsidR="008B2C48" w:rsidRPr="00065602" w:rsidRDefault="008B2C48" w:rsidP="008B2C48">
      <w:pPr>
        <w:pStyle w:val="FootnoteText"/>
        <w:widowControl w:val="0"/>
        <w:rPr>
          <w:lang w:val="en-US"/>
        </w:rPr>
      </w:pPr>
      <w:r w:rsidRPr="00F06D69">
        <w:rPr>
          <w:lang w:val="fr-FR"/>
        </w:rPr>
        <w:tab/>
      </w:r>
      <w:r w:rsidRPr="00065602">
        <w:rPr>
          <w:rStyle w:val="FootnoteReference"/>
        </w:rPr>
        <w:footnoteRef/>
      </w:r>
      <w:r w:rsidRPr="00065602">
        <w:tab/>
        <w:t>See FCCC/SBI/2023/INF.4.</w:t>
      </w:r>
    </w:p>
  </w:footnote>
  <w:footnote w:id="49">
    <w:p w14:paraId="5416BEC6" w14:textId="77777777" w:rsidR="008B2C48" w:rsidRPr="00065602" w:rsidRDefault="008B2C48" w:rsidP="008B2C48">
      <w:pPr>
        <w:pStyle w:val="FootnoteText"/>
        <w:widowControl w:val="0"/>
        <w:tabs>
          <w:tab w:val="clear" w:pos="1021"/>
          <w:tab w:val="right" w:pos="1020"/>
        </w:tabs>
      </w:pPr>
      <w:r w:rsidRPr="00065602">
        <w:tab/>
      </w:r>
      <w:r w:rsidRPr="00065602">
        <w:rPr>
          <w:rStyle w:val="FootnoteReference"/>
        </w:rPr>
        <w:footnoteRef/>
      </w:r>
      <w:r w:rsidRPr="00065602">
        <w:tab/>
        <w:t>FCCC/SBI/2023/INF.3.</w:t>
      </w:r>
    </w:p>
  </w:footnote>
  <w:footnote w:id="50">
    <w:p w14:paraId="07A197E9" w14:textId="77777777" w:rsidR="008B2C48" w:rsidRPr="00080BA3" w:rsidRDefault="008B2C48" w:rsidP="008B2C48">
      <w:pPr>
        <w:pStyle w:val="FootnoteText"/>
        <w:widowControl w:val="0"/>
        <w:tabs>
          <w:tab w:val="clear" w:pos="1021"/>
          <w:tab w:val="right" w:pos="1020"/>
        </w:tabs>
      </w:pPr>
      <w:r w:rsidRPr="00065602">
        <w:tab/>
      </w:r>
      <w:r w:rsidRPr="00065602">
        <w:rPr>
          <w:rStyle w:val="FootnoteReference"/>
        </w:rPr>
        <w:footnoteRef/>
      </w:r>
      <w:r w:rsidRPr="00065602">
        <w:tab/>
        <w:t>FCCC/SBI/2023/9.</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767AD3E6" w14:paraId="643658D0" w14:textId="77777777" w:rsidTr="767AD3E6">
      <w:trPr>
        <w:trHeight w:val="300"/>
      </w:trPr>
      <w:tc>
        <w:tcPr>
          <w:tcW w:w="3210" w:type="dxa"/>
        </w:tcPr>
        <w:p w14:paraId="1616D91B" w14:textId="0BEA29F4" w:rsidR="767AD3E6" w:rsidRDefault="767AD3E6" w:rsidP="767AD3E6">
          <w:pPr>
            <w:ind w:left="-115"/>
          </w:pPr>
        </w:p>
      </w:tc>
      <w:tc>
        <w:tcPr>
          <w:tcW w:w="3210" w:type="dxa"/>
        </w:tcPr>
        <w:p w14:paraId="49284C5E" w14:textId="359A7F21" w:rsidR="767AD3E6" w:rsidRDefault="767AD3E6" w:rsidP="767AD3E6">
          <w:pPr>
            <w:jc w:val="center"/>
          </w:pPr>
        </w:p>
      </w:tc>
      <w:tc>
        <w:tcPr>
          <w:tcW w:w="3210" w:type="dxa"/>
        </w:tcPr>
        <w:p w14:paraId="4815B654" w14:textId="429852BA" w:rsidR="767AD3E6" w:rsidRDefault="767AD3E6" w:rsidP="767AD3E6">
          <w:pPr>
            <w:ind w:right="-115"/>
            <w:jc w:val="right"/>
          </w:pPr>
        </w:p>
      </w:tc>
    </w:tr>
  </w:tbl>
  <w:p w14:paraId="1818AA01" w14:textId="1581ECAF" w:rsidR="009D2A6C" w:rsidRDefault="009D2A6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4189A" w14:textId="002535E7" w:rsidR="00C32E80" w:rsidRPr="00A00FF5" w:rsidRDefault="00A00FF5" w:rsidP="00A00FF5">
    <w:pPr>
      <w:pStyle w:val="Header"/>
    </w:pPr>
    <w:r>
      <w:t>FCCC/CP/2023/</w:t>
    </w:r>
    <w:r w:rsidR="000519C4">
      <w:t>11</w:t>
    </w:r>
    <w:r>
      <w:t>/Add.2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B7F3B" w14:textId="5CC0B28D" w:rsidR="00C32E80" w:rsidRPr="00D34CCA" w:rsidRDefault="00D34CCA" w:rsidP="00D34CCA">
    <w:pPr>
      <w:pStyle w:val="Header"/>
      <w:jc w:val="right"/>
    </w:pPr>
    <w:r>
      <w:t>FCCC/CP/2023/</w:t>
    </w:r>
    <w:r w:rsidR="000519C4">
      <w:t>11</w:t>
    </w:r>
    <w:r>
      <w:t>/Add.2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0A36E" w14:textId="77777777" w:rsidR="00C32E80" w:rsidRDefault="00C32E80">
    <w:pPr>
      <w:pStyle w:val="Header"/>
      <w:pBdr>
        <w:bottom w:val="none" w:sz="0" w:space="0" w:color="auto"/>
      </w:pBd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1CD01" w14:textId="33D2A167" w:rsidR="00C32E80" w:rsidRPr="00476945" w:rsidRDefault="00476945" w:rsidP="00476945">
    <w:pPr>
      <w:pStyle w:val="Header"/>
    </w:pPr>
    <w:r>
      <w:t>FCCC/CP/2023/</w:t>
    </w:r>
    <w:r w:rsidR="000519C4">
      <w:t>11</w:t>
    </w:r>
    <w:r>
      <w:t>/Add.2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4C136" w14:textId="351DD26B" w:rsidR="002C7970" w:rsidRPr="00D85D62" w:rsidRDefault="003A5D3F">
    <w:pPr>
      <w:pStyle w:val="Header"/>
    </w:pPr>
    <w:r>
      <w:t>FCCC/CP/2023/</w:t>
    </w:r>
    <w:r w:rsidR="000519C4">
      <w:t>11</w:t>
    </w:r>
    <w:r w:rsidR="004C0066">
      <w:t>/</w:t>
    </w:r>
    <w:r w:rsidR="00391373">
      <w:t>Add.2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45116" w14:textId="4E3B2665" w:rsidR="002C7970" w:rsidRPr="00476945" w:rsidRDefault="00476945" w:rsidP="00476945">
    <w:pPr>
      <w:pStyle w:val="Header"/>
      <w:jc w:val="right"/>
    </w:pPr>
    <w:r>
      <w:t>FCCC/CP/2023/X/Add.2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AA539" w14:textId="089D5E54" w:rsidR="002C7970" w:rsidRPr="00422710" w:rsidRDefault="00422710" w:rsidP="00422710">
    <w:pPr>
      <w:pStyle w:val="Header"/>
    </w:pPr>
    <w:r>
      <w:t>FCCC/CP/2023/X/Add.2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A98FA" w14:textId="2468F334" w:rsidR="002C7970" w:rsidRPr="00AB5C74" w:rsidRDefault="004C0066">
    <w:pPr>
      <w:pStyle w:val="Header"/>
      <w:jc w:val="right"/>
      <w:rPr>
        <w:b w:val="0"/>
        <w:sz w:val="20"/>
      </w:rPr>
    </w:pPr>
    <w:r>
      <w:t>FCCC/CP/2023/</w:t>
    </w:r>
    <w:r w:rsidR="000519C4">
      <w:t>11</w:t>
    </w:r>
    <w:r>
      <w:t>/Add.2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89CED" w14:textId="6DC427BE" w:rsidR="002C7970" w:rsidRPr="00422710" w:rsidRDefault="00422710" w:rsidP="003463EC">
    <w:pPr>
      <w:pStyle w:val="Header"/>
      <w:ind w:right="360"/>
    </w:pPr>
    <w:r>
      <w:t>FCCC/CP/2023/</w:t>
    </w:r>
    <w:r w:rsidR="000519C4">
      <w:t>11</w:t>
    </w:r>
    <w:r>
      <w:t>/Add.2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15226" w14:textId="316FAC5D" w:rsidR="002C7970" w:rsidRPr="00422710" w:rsidRDefault="00422710" w:rsidP="00422710">
    <w:pPr>
      <w:pStyle w:val="Header"/>
      <w:jc w:val="right"/>
    </w:pPr>
    <w:r>
      <w:t>FCCC/CP/2023/</w:t>
    </w:r>
    <w:r w:rsidR="000519C4">
      <w:t>11</w:t>
    </w:r>
    <w:r>
      <w:t>/Add.2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767AD3E6" w14:paraId="3A58430E" w14:textId="77777777" w:rsidTr="767AD3E6">
      <w:trPr>
        <w:trHeight w:val="300"/>
      </w:trPr>
      <w:tc>
        <w:tcPr>
          <w:tcW w:w="3210" w:type="dxa"/>
        </w:tcPr>
        <w:p w14:paraId="788DC4D4" w14:textId="4C8F2A1D" w:rsidR="767AD3E6" w:rsidRDefault="767AD3E6" w:rsidP="767AD3E6">
          <w:pPr>
            <w:ind w:left="-115"/>
          </w:pPr>
        </w:p>
      </w:tc>
      <w:tc>
        <w:tcPr>
          <w:tcW w:w="3210" w:type="dxa"/>
        </w:tcPr>
        <w:p w14:paraId="43317C3F" w14:textId="14D13490" w:rsidR="767AD3E6" w:rsidRDefault="767AD3E6" w:rsidP="767AD3E6">
          <w:pPr>
            <w:jc w:val="center"/>
          </w:pPr>
        </w:p>
      </w:tc>
      <w:tc>
        <w:tcPr>
          <w:tcW w:w="3210" w:type="dxa"/>
        </w:tcPr>
        <w:p w14:paraId="5982FED7" w14:textId="6D70C224" w:rsidR="767AD3E6" w:rsidRDefault="767AD3E6" w:rsidP="767AD3E6">
          <w:pPr>
            <w:ind w:right="-115"/>
            <w:jc w:val="right"/>
          </w:pPr>
        </w:p>
      </w:tc>
    </w:tr>
  </w:tbl>
  <w:p w14:paraId="63CE94FF" w14:textId="33A63A43" w:rsidR="009D2A6C" w:rsidRDefault="009D2A6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057C" w14:textId="7A1F4DAA" w:rsidR="002C7970" w:rsidRPr="009A13A2" w:rsidRDefault="009A13A2" w:rsidP="003463EC">
    <w:pPr>
      <w:pStyle w:val="Header"/>
      <w:ind w:right="360"/>
    </w:pPr>
    <w:r>
      <w:t>FCCC/CP/2023/</w:t>
    </w:r>
    <w:r w:rsidR="000519C4">
      <w:t>11</w:t>
    </w:r>
    <w:r>
      <w:t>/Add.2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874F" w14:textId="35B1CE37" w:rsidR="002C7970" w:rsidRPr="009A13A2" w:rsidRDefault="009A13A2" w:rsidP="009A13A2">
    <w:pPr>
      <w:pStyle w:val="Header"/>
      <w:jc w:val="right"/>
    </w:pPr>
    <w:r>
      <w:t>FCCC/CP/2023/</w:t>
    </w:r>
    <w:r w:rsidR="000519C4">
      <w:t>11</w:t>
    </w:r>
    <w:r>
      <w:t>/Add.2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11ED" w14:textId="1CA5F7AF" w:rsidR="002C7970" w:rsidRPr="00FB1A5F" w:rsidRDefault="00FB1A5F">
    <w:pPr>
      <w:pStyle w:val="Header"/>
    </w:pPr>
    <w:r>
      <w:t>FCCC/CP/2023/</w:t>
    </w:r>
    <w:r w:rsidR="000519C4">
      <w:t>11</w:t>
    </w:r>
    <w:r>
      <w:t>/Add.2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5D19" w14:textId="0D9FB06C" w:rsidR="002C7970" w:rsidRPr="00B75EFB" w:rsidRDefault="00B75EFB" w:rsidP="0079125D">
    <w:pPr>
      <w:pStyle w:val="Header"/>
      <w:ind w:right="-1"/>
      <w:jc w:val="right"/>
    </w:pPr>
    <w:r>
      <w:t>FCCC/CP/2023/</w:t>
    </w:r>
    <w:r w:rsidR="000519C4">
      <w:t>11</w:t>
    </w:r>
    <w:r>
      <w:t>/Add.2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54DCB" w14:textId="52EF8900" w:rsidR="003E249A" w:rsidRPr="003E249A" w:rsidRDefault="003E249A" w:rsidP="003463EC">
    <w:pPr>
      <w:pStyle w:val="Header"/>
      <w:ind w:right="360"/>
    </w:pPr>
    <w:r>
      <w:t>FCCC/CP/2023/</w:t>
    </w:r>
    <w:r w:rsidR="000519C4">
      <w:t>11</w:t>
    </w:r>
    <w:r>
      <w:t>/Add.2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FECFA" w14:textId="5EB50DBD" w:rsidR="003E249A" w:rsidRPr="003E249A" w:rsidRDefault="003E249A" w:rsidP="003E249A">
    <w:pPr>
      <w:pStyle w:val="Header"/>
      <w:jc w:val="right"/>
    </w:pPr>
    <w:r>
      <w:t>FCCC/CP/2023/</w:t>
    </w:r>
    <w:r w:rsidR="000519C4">
      <w:t>11</w:t>
    </w:r>
    <w:r>
      <w:t>/Add.2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935D" w14:textId="4348B748" w:rsidR="003B13AB" w:rsidRPr="000F4AD1" w:rsidRDefault="000F4AD1" w:rsidP="000F4AD1">
    <w:pPr>
      <w:pStyle w:val="Header"/>
    </w:pPr>
    <w:r>
      <w:t>FCCC/CP/2023/</w:t>
    </w:r>
    <w:r w:rsidR="000519C4">
      <w:t>11</w:t>
    </w:r>
    <w:r>
      <w:t>/Add.2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5B11" w14:textId="12860418" w:rsidR="003B13AB" w:rsidRPr="001204BB" w:rsidRDefault="001204BB" w:rsidP="001204BB">
    <w:pPr>
      <w:pStyle w:val="Header"/>
      <w:jc w:val="right"/>
    </w:pPr>
    <w:r>
      <w:t>FCCC/CP/2023/X/Add.2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6CA1" w14:textId="6707F157" w:rsidR="000F4AD1" w:rsidRDefault="001204BB" w:rsidP="001168E6">
    <w:pPr>
      <w:pStyle w:val="Header"/>
      <w:ind w:right="360"/>
    </w:pPr>
    <w:r>
      <w:t>FCCC/CP/2023/X/Add.2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84F4B" w14:textId="1314C0E9" w:rsidR="002C7970" w:rsidRPr="00AB5C74" w:rsidRDefault="005A54EF">
    <w:pPr>
      <w:pStyle w:val="Header"/>
      <w:rPr>
        <w:b w:val="0"/>
        <w:sz w:val="20"/>
      </w:rPr>
    </w:pPr>
    <w:r>
      <w:t>FCCC/CP/2023/X/Add.2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60883" w14:textId="1354EAC3" w:rsidR="002C7970" w:rsidRPr="00AB5C74" w:rsidRDefault="005A54EF">
    <w:pPr>
      <w:pStyle w:val="Header"/>
      <w:jc w:val="right"/>
      <w:rPr>
        <w:b w:val="0"/>
        <w:sz w:val="20"/>
      </w:rPr>
    </w:pPr>
    <w:r>
      <w:t>FCCC/CP/2023/</w:t>
    </w:r>
    <w:r w:rsidR="000519C4">
      <w:t>11</w:t>
    </w:r>
    <w:r>
      <w:t>/Add.2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F277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D2D9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AAC3C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661D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29AE2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12EE8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BE5A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2CE7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D02CE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66CC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5A414C3"/>
    <w:multiLevelType w:val="hybridMultilevel"/>
    <w:tmpl w:val="48AE87FC"/>
    <w:lvl w:ilvl="0" w:tplc="52D8BFA4">
      <w:start w:val="1"/>
      <w:numFmt w:val="decimal"/>
      <w:lvlText w:val="%1."/>
      <w:lvlJc w:val="left"/>
      <w:pPr>
        <w:ind w:left="1494" w:hanging="360"/>
      </w:pPr>
      <w:rPr>
        <w:rFonts w:hint="default"/>
        <w:b w:val="0"/>
        <w:sz w:val="20"/>
        <w:szCs w:val="20"/>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3"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23354E"/>
    <w:multiLevelType w:val="multilevel"/>
    <w:tmpl w:val="D1509538"/>
    <w:lvl w:ilvl="0">
      <w:start w:val="3"/>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Text w:val="(%4)"/>
      <w:lvlJc w:val="right"/>
      <w:pPr>
        <w:tabs>
          <w:tab w:val="num" w:pos="1134"/>
        </w:tabs>
        <w:ind w:left="1135" w:hanging="284"/>
      </w:pPr>
      <w:rPr>
        <w:rFonts w:ascii="Times New Roman" w:hAnsi="Times New Roman" w:cs="Times New Roman" w:hint="default"/>
        <w:b w:val="0"/>
        <w:bCs/>
        <w:i w:val="0"/>
        <w:sz w:val="20"/>
      </w:rPr>
    </w:lvl>
    <w:lvl w:ilvl="4">
      <w:start w:val="1"/>
      <w:numFmt w:val="lowerRoman"/>
      <w:lvlText w:val="(%5)"/>
      <w:lvlJc w:val="right"/>
      <w:pPr>
        <w:tabs>
          <w:tab w:val="num" w:pos="1133"/>
        </w:tabs>
        <w:ind w:left="1134" w:hanging="284"/>
      </w:pPr>
      <w:rPr>
        <w:rFonts w:ascii="Times New Roman" w:hAnsi="Times New Roman" w:hint="default"/>
        <w:b w:val="0"/>
        <w:i/>
      </w:rPr>
    </w:lvl>
    <w:lvl w:ilvl="5">
      <w:start w:val="1"/>
      <w:numFmt w:val="decimal"/>
      <w:lvlRestart w:val="0"/>
      <w:lvlText w:val="%6."/>
      <w:lvlJc w:val="left"/>
      <w:pPr>
        <w:ind w:left="1134"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b w:val="0"/>
        <w:bCs w:val="0"/>
        <w:sz w:val="20"/>
      </w:rPr>
    </w:lvl>
    <w:lvl w:ilvl="8">
      <w:start w:val="1"/>
      <w:numFmt w:val="lowerLetter"/>
      <w:lvlText w:val="%9."/>
      <w:lvlJc w:val="left"/>
      <w:pPr>
        <w:tabs>
          <w:tab w:val="num" w:pos="2268"/>
        </w:tabs>
        <w:ind w:left="2268" w:firstLine="0"/>
      </w:pPr>
      <w:rPr>
        <w:rFonts w:hint="default"/>
      </w:rPr>
    </w:lvl>
  </w:abstractNum>
  <w:abstractNum w:abstractNumId="15" w15:restartNumberingAfterBreak="0">
    <w:nsid w:val="1BEC5A93"/>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6"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0" w15:restartNumberingAfterBreak="0">
    <w:nsid w:val="2ACD47C7"/>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1" w15:restartNumberingAfterBreak="0">
    <w:nsid w:val="2D084992"/>
    <w:multiLevelType w:val="multilevel"/>
    <w:tmpl w:val="A2227DF4"/>
    <w:lvl w:ilvl="0">
      <w:start w:val="1"/>
      <w:numFmt w:val="decimal"/>
      <w:lvlText w:val="“%1."/>
      <w:lvlJc w:val="left"/>
      <w:pPr>
        <w:ind w:left="1854" w:hanging="360"/>
      </w:pPr>
      <w:rPr>
        <w:rFonts w:hint="default"/>
        <w:i w:val="0"/>
        <w:iCs w:val="0"/>
      </w:rPr>
    </w:lvl>
    <w:lvl w:ilvl="1">
      <w:start w:val="1"/>
      <w:numFmt w:val="lowerLetter"/>
      <w:lvlText w:val="%2)"/>
      <w:lvlJc w:val="left"/>
      <w:pPr>
        <w:ind w:left="2574" w:hanging="360"/>
      </w:pPr>
      <w:rPr>
        <w:rFonts w:hint="default"/>
      </w:rPr>
    </w:lvl>
    <w:lvl w:ilvl="2">
      <w:start w:val="1"/>
      <w:numFmt w:val="lowerRoman"/>
      <w:lvlText w:val="%3."/>
      <w:lvlJc w:val="right"/>
      <w:pPr>
        <w:ind w:left="3294" w:hanging="180"/>
      </w:pPr>
      <w:rPr>
        <w:rFonts w:hint="default"/>
      </w:rPr>
    </w:lvl>
    <w:lvl w:ilvl="3">
      <w:start w:val="1"/>
      <w:numFmt w:val="decimal"/>
      <w:lvlText w:val="%4."/>
      <w:lvlJc w:val="left"/>
      <w:pPr>
        <w:ind w:left="4014" w:hanging="360"/>
      </w:pPr>
      <w:rPr>
        <w:rFonts w:hint="default"/>
      </w:rPr>
    </w:lvl>
    <w:lvl w:ilvl="4">
      <w:start w:val="1"/>
      <w:numFmt w:val="lowerLetter"/>
      <w:lvlText w:val="%5."/>
      <w:lvlJc w:val="left"/>
      <w:pPr>
        <w:ind w:left="4734" w:hanging="360"/>
      </w:pPr>
      <w:rPr>
        <w:rFonts w:hint="default"/>
      </w:rPr>
    </w:lvl>
    <w:lvl w:ilvl="5">
      <w:start w:val="1"/>
      <w:numFmt w:val="lowerRoman"/>
      <w:lvlText w:val="%6."/>
      <w:lvlJc w:val="right"/>
      <w:pPr>
        <w:ind w:left="5454" w:hanging="180"/>
      </w:pPr>
      <w:rPr>
        <w:rFonts w:hint="default"/>
      </w:rPr>
    </w:lvl>
    <w:lvl w:ilvl="6">
      <w:start w:val="1"/>
      <w:numFmt w:val="decimal"/>
      <w:lvlText w:val="%7."/>
      <w:lvlJc w:val="left"/>
      <w:pPr>
        <w:ind w:left="6174" w:hanging="360"/>
      </w:pPr>
      <w:rPr>
        <w:rFonts w:hint="default"/>
      </w:rPr>
    </w:lvl>
    <w:lvl w:ilvl="7">
      <w:start w:val="1"/>
      <w:numFmt w:val="lowerLetter"/>
      <w:lvlText w:val="%8."/>
      <w:lvlJc w:val="left"/>
      <w:pPr>
        <w:ind w:left="6894" w:hanging="360"/>
      </w:pPr>
      <w:rPr>
        <w:rFonts w:hint="default"/>
      </w:rPr>
    </w:lvl>
    <w:lvl w:ilvl="8">
      <w:start w:val="1"/>
      <w:numFmt w:val="lowerRoman"/>
      <w:lvlText w:val="%9."/>
      <w:lvlJc w:val="right"/>
      <w:pPr>
        <w:ind w:left="7614" w:hanging="180"/>
      </w:pPr>
      <w:rPr>
        <w:rFonts w:hint="default"/>
      </w:rPr>
    </w:lvl>
  </w:abstractNum>
  <w:abstractNum w:abstractNumId="22"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965298"/>
    <w:multiLevelType w:val="hybridMultilevel"/>
    <w:tmpl w:val="DA6856EA"/>
    <w:lvl w:ilvl="0" w:tplc="FFFFFFFF">
      <w:start w:val="1"/>
      <w:numFmt w:val="decimal"/>
      <w:lvlText w:val="%1."/>
      <w:lvlJc w:val="left"/>
      <w:pPr>
        <w:ind w:left="2061" w:hanging="360"/>
      </w:pPr>
      <w:rPr>
        <w:rFonts w:hint="default"/>
      </w:rPr>
    </w:lvl>
    <w:lvl w:ilvl="1" w:tplc="FFFFFFFF" w:tentative="1">
      <w:start w:val="1"/>
      <w:numFmt w:val="lowerLetter"/>
      <w:lvlText w:val="%2."/>
      <w:lvlJc w:val="left"/>
      <w:pPr>
        <w:ind w:left="2781"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26" w15:restartNumberingAfterBreak="0">
    <w:nsid w:val="3F931E0E"/>
    <w:multiLevelType w:val="multilevel"/>
    <w:tmpl w:val="55A8739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iCs/>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7" w15:restartNumberingAfterBreak="0">
    <w:nsid w:val="4151098E"/>
    <w:multiLevelType w:val="multilevel"/>
    <w:tmpl w:val="BAB8DD7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Text w:val="(%4)"/>
      <w:lvlJc w:val="right"/>
      <w:pPr>
        <w:tabs>
          <w:tab w:val="num" w:pos="1134"/>
        </w:tabs>
        <w:ind w:left="1135" w:hanging="284"/>
      </w:pPr>
      <w:rPr>
        <w:rFonts w:ascii="Times New Roman" w:hAnsi="Times New Roman" w:cs="Times New Roman" w:hint="default"/>
        <w:b w:val="0"/>
        <w:bCs/>
        <w:i w:val="0"/>
        <w:sz w:val="20"/>
      </w:rPr>
    </w:lvl>
    <w:lvl w:ilvl="4">
      <w:start w:val="1"/>
      <w:numFmt w:val="lowerRoman"/>
      <w:lvlText w:val="(%5)"/>
      <w:lvlJc w:val="right"/>
      <w:pPr>
        <w:tabs>
          <w:tab w:val="num" w:pos="1133"/>
        </w:tabs>
        <w:ind w:left="1134" w:hanging="284"/>
      </w:pPr>
      <w:rPr>
        <w:rFonts w:ascii="Times New Roman" w:hAnsi="Times New Roman" w:hint="default"/>
        <w:b w:val="0"/>
        <w:i/>
      </w:rPr>
    </w:lvl>
    <w:lvl w:ilvl="5">
      <w:start w:val="1"/>
      <w:numFmt w:val="decimal"/>
      <w:lvlRestart w:val="0"/>
      <w:lvlText w:val="%6."/>
      <w:lvlJc w:val="left"/>
      <w:pPr>
        <w:ind w:left="1134"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b w:val="0"/>
        <w:bCs w:val="0"/>
        <w:sz w:val="20"/>
      </w:rPr>
    </w:lvl>
    <w:lvl w:ilvl="8">
      <w:start w:val="1"/>
      <w:numFmt w:val="lowerLetter"/>
      <w:lvlText w:val="%9."/>
      <w:lvlJc w:val="left"/>
      <w:pPr>
        <w:tabs>
          <w:tab w:val="num" w:pos="2268"/>
        </w:tabs>
        <w:ind w:left="2268" w:firstLine="0"/>
      </w:pPr>
      <w:rPr>
        <w:rFonts w:hint="default"/>
      </w:rPr>
    </w:lvl>
  </w:abstractNum>
  <w:abstractNum w:abstractNumId="28" w15:restartNumberingAfterBreak="0">
    <w:nsid w:val="42C966C7"/>
    <w:multiLevelType w:val="multilevel"/>
    <w:tmpl w:val="009C9844"/>
    <w:name w:val="Reg69"/>
    <w:lvl w:ilvl="0">
      <w:start w:val="1"/>
      <w:numFmt w:val="decimal"/>
      <w:pStyle w:val="DecPara"/>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9"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661D27"/>
    <w:multiLevelType w:val="hybridMultilevel"/>
    <w:tmpl w:val="D72EB940"/>
    <w:lvl w:ilvl="0" w:tplc="F29CECF0">
      <w:start w:val="1"/>
      <w:numFmt w:val="decimal"/>
      <w:lvlText w:val="%1."/>
      <w:lvlJc w:val="left"/>
      <w:pPr>
        <w:ind w:left="173" w:firstLine="0"/>
      </w:pPr>
      <w:rPr>
        <w:rFonts w:ascii="Times New Roman" w:eastAsia="Times New Roman" w:hAnsi="Times New Roman" w:cs="Times New Roman" w:hint="default"/>
        <w:b w:val="0"/>
        <w:i w:val="0"/>
        <w:strike w:val="0"/>
        <w:dstrike w:val="0"/>
        <w:color w:val="000000"/>
        <w:sz w:val="19"/>
        <w:szCs w:val="19"/>
        <w:u w:val="none" w:color="000000"/>
        <w:effect w:val="none"/>
        <w:bdr w:val="none" w:sz="0" w:space="0" w:color="auto" w:frame="1"/>
        <w:vertAlign w:val="baseline"/>
      </w:rPr>
    </w:lvl>
    <w:lvl w:ilvl="1" w:tplc="E2A0A89E">
      <w:start w:val="1"/>
      <w:numFmt w:val="lowerLetter"/>
      <w:lvlText w:val="%2"/>
      <w:lvlJc w:val="left"/>
      <w:pPr>
        <w:ind w:left="1216"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2" w:tplc="53B47D80">
      <w:start w:val="1"/>
      <w:numFmt w:val="lowerRoman"/>
      <w:lvlText w:val="%3"/>
      <w:lvlJc w:val="left"/>
      <w:pPr>
        <w:ind w:left="1936"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3" w:tplc="0038BD50">
      <w:start w:val="1"/>
      <w:numFmt w:val="decimal"/>
      <w:lvlText w:val="%4"/>
      <w:lvlJc w:val="left"/>
      <w:pPr>
        <w:ind w:left="2656"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4" w:tplc="30EC1442">
      <w:start w:val="1"/>
      <w:numFmt w:val="lowerLetter"/>
      <w:lvlText w:val="%5"/>
      <w:lvlJc w:val="left"/>
      <w:pPr>
        <w:ind w:left="3376"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5" w:tplc="95CE6B06">
      <w:start w:val="1"/>
      <w:numFmt w:val="lowerRoman"/>
      <w:lvlText w:val="%6"/>
      <w:lvlJc w:val="left"/>
      <w:pPr>
        <w:ind w:left="4096"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6" w:tplc="6638040C">
      <w:start w:val="1"/>
      <w:numFmt w:val="decimal"/>
      <w:lvlText w:val="%7"/>
      <w:lvlJc w:val="left"/>
      <w:pPr>
        <w:ind w:left="4816"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7" w:tplc="937A5B90">
      <w:start w:val="1"/>
      <w:numFmt w:val="lowerLetter"/>
      <w:lvlText w:val="%8"/>
      <w:lvlJc w:val="left"/>
      <w:pPr>
        <w:ind w:left="5536"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8" w:tplc="081A3F18">
      <w:start w:val="1"/>
      <w:numFmt w:val="lowerRoman"/>
      <w:lvlText w:val="%9"/>
      <w:lvlJc w:val="left"/>
      <w:pPr>
        <w:ind w:left="6256"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abstractNum>
  <w:abstractNum w:abstractNumId="31" w15:restartNumberingAfterBreak="0">
    <w:nsid w:val="604C04C7"/>
    <w:multiLevelType w:val="multilevel"/>
    <w:tmpl w:val="8EF2570A"/>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2"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FE4C46"/>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4"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523F76"/>
    <w:multiLevelType w:val="multilevel"/>
    <w:tmpl w:val="AB3C90D0"/>
    <w:lvl w:ilvl="0">
      <w:start w:val="3"/>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Text w:val="(%4)"/>
      <w:lvlJc w:val="right"/>
      <w:pPr>
        <w:tabs>
          <w:tab w:val="num" w:pos="1134"/>
        </w:tabs>
        <w:ind w:left="1135" w:hanging="284"/>
      </w:pPr>
      <w:rPr>
        <w:rFonts w:ascii="Times New Roman" w:hAnsi="Times New Roman" w:cs="Times New Roman" w:hint="default"/>
        <w:b w:val="0"/>
        <w:bCs/>
        <w:i w:val="0"/>
        <w:sz w:val="20"/>
      </w:rPr>
    </w:lvl>
    <w:lvl w:ilvl="4">
      <w:start w:val="1"/>
      <w:numFmt w:val="lowerRoman"/>
      <w:lvlText w:val="(%5)"/>
      <w:lvlJc w:val="right"/>
      <w:pPr>
        <w:tabs>
          <w:tab w:val="num" w:pos="1133"/>
        </w:tabs>
        <w:ind w:left="1134"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b w:val="0"/>
        <w:bCs w:val="0"/>
        <w:sz w:val="20"/>
      </w:rPr>
    </w:lvl>
    <w:lvl w:ilvl="8">
      <w:start w:val="1"/>
      <w:numFmt w:val="lowerLetter"/>
      <w:lvlText w:val="%9."/>
      <w:lvlJc w:val="left"/>
      <w:pPr>
        <w:tabs>
          <w:tab w:val="num" w:pos="2268"/>
        </w:tabs>
        <w:ind w:left="2268" w:firstLine="0"/>
      </w:pPr>
      <w:rPr>
        <w:rFonts w:hint="default"/>
      </w:rPr>
    </w:lvl>
  </w:abstractNum>
  <w:abstractNum w:abstractNumId="36" w15:restartNumberingAfterBreak="0">
    <w:nsid w:val="75FF16CC"/>
    <w:multiLevelType w:val="multilevel"/>
    <w:tmpl w:val="AB3C90D0"/>
    <w:lvl w:ilvl="0">
      <w:start w:val="3"/>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Text w:val="(%4)"/>
      <w:lvlJc w:val="right"/>
      <w:pPr>
        <w:tabs>
          <w:tab w:val="num" w:pos="1134"/>
        </w:tabs>
        <w:ind w:left="1135" w:hanging="284"/>
      </w:pPr>
      <w:rPr>
        <w:rFonts w:ascii="Times New Roman" w:hAnsi="Times New Roman" w:cs="Times New Roman" w:hint="default"/>
        <w:b w:val="0"/>
        <w:bCs/>
        <w:i w:val="0"/>
        <w:sz w:val="20"/>
      </w:rPr>
    </w:lvl>
    <w:lvl w:ilvl="4">
      <w:start w:val="1"/>
      <w:numFmt w:val="lowerRoman"/>
      <w:lvlText w:val="(%5)"/>
      <w:lvlJc w:val="right"/>
      <w:pPr>
        <w:tabs>
          <w:tab w:val="num" w:pos="1133"/>
        </w:tabs>
        <w:ind w:left="1134"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b w:val="0"/>
        <w:bCs w:val="0"/>
        <w:sz w:val="20"/>
      </w:rPr>
    </w:lvl>
    <w:lvl w:ilvl="8">
      <w:start w:val="1"/>
      <w:numFmt w:val="lowerLetter"/>
      <w:lvlText w:val="%9."/>
      <w:lvlJc w:val="left"/>
      <w:pPr>
        <w:tabs>
          <w:tab w:val="num" w:pos="2268"/>
        </w:tabs>
        <w:ind w:left="2268" w:firstLine="0"/>
      </w:pPr>
      <w:rPr>
        <w:rFonts w:hint="default"/>
      </w:rPr>
    </w:lvl>
  </w:abstractNum>
  <w:num w:numId="1" w16cid:durableId="2074885477">
    <w:abstractNumId w:val="14"/>
  </w:num>
  <w:num w:numId="2" w16cid:durableId="2077051064">
    <w:abstractNumId w:val="17"/>
  </w:num>
  <w:num w:numId="3" w16cid:durableId="244648484">
    <w:abstractNumId w:val="22"/>
  </w:num>
  <w:num w:numId="4" w16cid:durableId="1653560810">
    <w:abstractNumId w:val="11"/>
  </w:num>
  <w:num w:numId="5" w16cid:durableId="1505586028">
    <w:abstractNumId w:val="10"/>
  </w:num>
  <w:num w:numId="6" w16cid:durableId="702553927">
    <w:abstractNumId w:val="34"/>
  </w:num>
  <w:num w:numId="7" w16cid:durableId="1447696670">
    <w:abstractNumId w:val="19"/>
  </w:num>
  <w:num w:numId="8" w16cid:durableId="229195361">
    <w:abstractNumId w:val="31"/>
  </w:num>
  <w:num w:numId="9" w16cid:durableId="1304509575">
    <w:abstractNumId w:val="20"/>
  </w:num>
  <w:num w:numId="10" w16cid:durableId="614410169">
    <w:abstractNumId w:val="15"/>
  </w:num>
  <w:num w:numId="11" w16cid:durableId="340353840">
    <w:abstractNumId w:val="14"/>
  </w:num>
  <w:num w:numId="12" w16cid:durableId="1069183801">
    <w:abstractNumId w:val="14"/>
  </w:num>
  <w:num w:numId="13" w16cid:durableId="917980913">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5"/>
    </w:lvlOverride>
    <w:lvlOverride w:ilvl="6">
      <w:startOverride w:val="1"/>
    </w:lvlOverride>
    <w:lvlOverride w:ilvl="7">
      <w:startOverride w:val="1"/>
    </w:lvlOverride>
    <w:lvlOverride w:ilvl="8">
      <w:startOverride w:val="1"/>
    </w:lvlOverride>
  </w:num>
  <w:num w:numId="14" w16cid:durableId="388843395">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6"/>
    </w:lvlOverride>
    <w:lvlOverride w:ilvl="6">
      <w:startOverride w:val="1"/>
    </w:lvlOverride>
    <w:lvlOverride w:ilvl="7">
      <w:startOverride w:val="1"/>
    </w:lvlOverride>
    <w:lvlOverride w:ilvl="8">
      <w:startOverride w:val="1"/>
    </w:lvlOverride>
  </w:num>
  <w:num w:numId="15" w16cid:durableId="208686522">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8"/>
    </w:lvlOverride>
    <w:lvlOverride w:ilvl="6">
      <w:startOverride w:val="1"/>
    </w:lvlOverride>
    <w:lvlOverride w:ilvl="7">
      <w:startOverride w:val="1"/>
    </w:lvlOverride>
    <w:lvlOverride w:ilvl="8">
      <w:startOverride w:val="1"/>
    </w:lvlOverride>
  </w:num>
  <w:num w:numId="16" w16cid:durableId="413208795">
    <w:abstractNumId w:val="1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9"/>
    </w:lvlOverride>
    <w:lvlOverride w:ilvl="6">
      <w:startOverride w:val="1"/>
    </w:lvlOverride>
    <w:lvlOverride w:ilvl="7">
      <w:startOverride w:val="1"/>
    </w:lvlOverride>
    <w:lvlOverride w:ilvl="8">
      <w:startOverride w:val="1"/>
    </w:lvlOverride>
  </w:num>
  <w:num w:numId="17" w16cid:durableId="1625041557">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3454616">
    <w:abstractNumId w:val="14"/>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965779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4"/>
    </w:lvlOverride>
    <w:lvlOverride w:ilvl="6">
      <w:startOverride w:val="1"/>
    </w:lvlOverride>
    <w:lvlOverride w:ilvl="7">
      <w:startOverride w:val="1"/>
    </w:lvlOverride>
    <w:lvlOverride w:ilvl="8">
      <w:startOverride w:val="1"/>
    </w:lvlOverride>
  </w:num>
  <w:num w:numId="20" w16cid:durableId="10726598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4"/>
    </w:lvlOverride>
    <w:lvlOverride w:ilvl="6">
      <w:startOverride w:val="1"/>
    </w:lvlOverride>
    <w:lvlOverride w:ilvl="7">
      <w:startOverride w:val="1"/>
    </w:lvlOverride>
    <w:lvlOverride w:ilvl="8">
      <w:startOverride w:val="1"/>
    </w:lvlOverride>
  </w:num>
  <w:num w:numId="21" w16cid:durableId="8789321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4"/>
    </w:lvlOverride>
    <w:lvlOverride w:ilvl="6">
      <w:startOverride w:val="1"/>
    </w:lvlOverride>
    <w:lvlOverride w:ilvl="7">
      <w:startOverride w:val="1"/>
    </w:lvlOverride>
    <w:lvlOverride w:ilvl="8">
      <w:startOverride w:val="1"/>
    </w:lvlOverride>
  </w:num>
  <w:num w:numId="22" w16cid:durableId="200476989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1493059">
    <w:abstractNumId w:val="25"/>
  </w:num>
  <w:num w:numId="24" w16cid:durableId="850295784">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6419819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802556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1170786">
    <w:abstractNumId w:val="33"/>
  </w:num>
  <w:num w:numId="28" w16cid:durableId="394857147">
    <w:abstractNumId w:val="28"/>
  </w:num>
  <w:num w:numId="29" w16cid:durableId="13719558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38749030">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90130525">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43841127">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18652229">
    <w:abstractNumId w:val="26"/>
  </w:num>
  <w:num w:numId="34" w16cid:durableId="1566601230">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7"/>
    </w:lvlOverride>
    <w:lvlOverride w:ilvl="6">
      <w:startOverride w:val="1"/>
    </w:lvlOverride>
    <w:lvlOverride w:ilvl="7">
      <w:startOverride w:val="1"/>
    </w:lvlOverride>
    <w:lvlOverride w:ilvl="8">
      <w:startOverride w:val="1"/>
    </w:lvlOverride>
  </w:num>
  <w:num w:numId="35" w16cid:durableId="359358399">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72897965">
    <w:abstractNumId w:val="13"/>
  </w:num>
  <w:num w:numId="37" w16cid:durableId="732049401">
    <w:abstractNumId w:val="3"/>
  </w:num>
  <w:num w:numId="38" w16cid:durableId="5965273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36423965">
    <w:abstractNumId w:val="21"/>
  </w:num>
  <w:num w:numId="40" w16cid:durableId="399137521">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93669122">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965848320">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76256963">
    <w:abstractNumId w:val="36"/>
  </w:num>
  <w:num w:numId="44" w16cid:durableId="607781737">
    <w:abstractNumId w:val="35"/>
  </w:num>
  <w:num w:numId="45" w16cid:durableId="713819193">
    <w:abstractNumId w:val="9"/>
  </w:num>
  <w:num w:numId="46" w16cid:durableId="181016339">
    <w:abstractNumId w:val="7"/>
  </w:num>
  <w:num w:numId="47" w16cid:durableId="1618872002">
    <w:abstractNumId w:val="6"/>
  </w:num>
  <w:num w:numId="48" w16cid:durableId="1918467890">
    <w:abstractNumId w:val="5"/>
  </w:num>
  <w:num w:numId="49" w16cid:durableId="1941375517">
    <w:abstractNumId w:val="4"/>
  </w:num>
  <w:num w:numId="50" w16cid:durableId="975918654">
    <w:abstractNumId w:val="8"/>
  </w:num>
  <w:num w:numId="51" w16cid:durableId="860972369">
    <w:abstractNumId w:val="2"/>
  </w:num>
  <w:num w:numId="52" w16cid:durableId="517737900">
    <w:abstractNumId w:val="1"/>
  </w:num>
  <w:num w:numId="53" w16cid:durableId="714086488">
    <w:abstractNumId w:val="0"/>
  </w:num>
  <w:num w:numId="54" w16cid:durableId="981690372">
    <w:abstractNumId w:val="27"/>
  </w:num>
  <w:num w:numId="55" w16cid:durableId="144277333">
    <w:abstractNumId w:val="1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numRestart w:val="eachSect"/>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Q0AJIWJkaWRmbGxko6SsGpxcWZ+XkgBYa1AJ9yVOcsAAAA"/>
  </w:docVars>
  <w:rsids>
    <w:rsidRoot w:val="003B13AB"/>
    <w:rsid w:val="00000B98"/>
    <w:rsid w:val="00000BD3"/>
    <w:rsid w:val="0000225A"/>
    <w:rsid w:val="00002558"/>
    <w:rsid w:val="00002B55"/>
    <w:rsid w:val="00004A30"/>
    <w:rsid w:val="00004ADB"/>
    <w:rsid w:val="00004C31"/>
    <w:rsid w:val="000058AD"/>
    <w:rsid w:val="000062AC"/>
    <w:rsid w:val="00007089"/>
    <w:rsid w:val="00007D48"/>
    <w:rsid w:val="000104B7"/>
    <w:rsid w:val="00011D83"/>
    <w:rsid w:val="00011EF1"/>
    <w:rsid w:val="00012BE6"/>
    <w:rsid w:val="00013B92"/>
    <w:rsid w:val="000140B9"/>
    <w:rsid w:val="00014590"/>
    <w:rsid w:val="00014DC9"/>
    <w:rsid w:val="00015196"/>
    <w:rsid w:val="0001588F"/>
    <w:rsid w:val="00016A87"/>
    <w:rsid w:val="000170CA"/>
    <w:rsid w:val="00017130"/>
    <w:rsid w:val="00017682"/>
    <w:rsid w:val="00020044"/>
    <w:rsid w:val="00020F77"/>
    <w:rsid w:val="0002192F"/>
    <w:rsid w:val="00021BB6"/>
    <w:rsid w:val="0002228D"/>
    <w:rsid w:val="000227CD"/>
    <w:rsid w:val="000228E8"/>
    <w:rsid w:val="00022BD2"/>
    <w:rsid w:val="0002382B"/>
    <w:rsid w:val="0002427F"/>
    <w:rsid w:val="000254A1"/>
    <w:rsid w:val="00025CC4"/>
    <w:rsid w:val="000263EE"/>
    <w:rsid w:val="00027B84"/>
    <w:rsid w:val="00027F7F"/>
    <w:rsid w:val="000300DC"/>
    <w:rsid w:val="0003121C"/>
    <w:rsid w:val="00031F51"/>
    <w:rsid w:val="00032442"/>
    <w:rsid w:val="00032CEA"/>
    <w:rsid w:val="00032DDE"/>
    <w:rsid w:val="00032FB5"/>
    <w:rsid w:val="00033B71"/>
    <w:rsid w:val="00035B3E"/>
    <w:rsid w:val="00036047"/>
    <w:rsid w:val="00036092"/>
    <w:rsid w:val="00036834"/>
    <w:rsid w:val="00037650"/>
    <w:rsid w:val="0003776D"/>
    <w:rsid w:val="000423A6"/>
    <w:rsid w:val="00042480"/>
    <w:rsid w:val="00044673"/>
    <w:rsid w:val="00044EDB"/>
    <w:rsid w:val="00045F1B"/>
    <w:rsid w:val="00046446"/>
    <w:rsid w:val="000464E3"/>
    <w:rsid w:val="000477E9"/>
    <w:rsid w:val="000519C4"/>
    <w:rsid w:val="00051B0B"/>
    <w:rsid w:val="00051E8A"/>
    <w:rsid w:val="00051F92"/>
    <w:rsid w:val="00052463"/>
    <w:rsid w:val="00052530"/>
    <w:rsid w:val="00053550"/>
    <w:rsid w:val="00053C99"/>
    <w:rsid w:val="00054CCE"/>
    <w:rsid w:val="000555B3"/>
    <w:rsid w:val="000561BD"/>
    <w:rsid w:val="000569E7"/>
    <w:rsid w:val="000577F5"/>
    <w:rsid w:val="00057B02"/>
    <w:rsid w:val="000610B7"/>
    <w:rsid w:val="00061EE1"/>
    <w:rsid w:val="00062505"/>
    <w:rsid w:val="00064524"/>
    <w:rsid w:val="00065602"/>
    <w:rsid w:val="000674A6"/>
    <w:rsid w:val="00070F1F"/>
    <w:rsid w:val="000710E4"/>
    <w:rsid w:val="00071D87"/>
    <w:rsid w:val="0007250A"/>
    <w:rsid w:val="00073516"/>
    <w:rsid w:val="00074855"/>
    <w:rsid w:val="00074AEA"/>
    <w:rsid w:val="00074EC5"/>
    <w:rsid w:val="00074FC8"/>
    <w:rsid w:val="00076113"/>
    <w:rsid w:val="000773B8"/>
    <w:rsid w:val="000773C8"/>
    <w:rsid w:val="000773D0"/>
    <w:rsid w:val="00077435"/>
    <w:rsid w:val="00080274"/>
    <w:rsid w:val="000805E6"/>
    <w:rsid w:val="00081003"/>
    <w:rsid w:val="00081C44"/>
    <w:rsid w:val="00083498"/>
    <w:rsid w:val="00083647"/>
    <w:rsid w:val="000837E9"/>
    <w:rsid w:val="000857D1"/>
    <w:rsid w:val="0008756E"/>
    <w:rsid w:val="00087BE9"/>
    <w:rsid w:val="00090016"/>
    <w:rsid w:val="00090A78"/>
    <w:rsid w:val="000913E6"/>
    <w:rsid w:val="000913E9"/>
    <w:rsid w:val="00091760"/>
    <w:rsid w:val="00091768"/>
    <w:rsid w:val="000929CC"/>
    <w:rsid w:val="00092E29"/>
    <w:rsid w:val="00093044"/>
    <w:rsid w:val="00093844"/>
    <w:rsid w:val="0009439C"/>
    <w:rsid w:val="00095052"/>
    <w:rsid w:val="000953D2"/>
    <w:rsid w:val="00096475"/>
    <w:rsid w:val="00096E50"/>
    <w:rsid w:val="000A0C20"/>
    <w:rsid w:val="000A1756"/>
    <w:rsid w:val="000A3103"/>
    <w:rsid w:val="000A399F"/>
    <w:rsid w:val="000A3C1D"/>
    <w:rsid w:val="000A3FE4"/>
    <w:rsid w:val="000A4AA7"/>
    <w:rsid w:val="000A4C99"/>
    <w:rsid w:val="000A566F"/>
    <w:rsid w:val="000A63B3"/>
    <w:rsid w:val="000A7242"/>
    <w:rsid w:val="000A7C2B"/>
    <w:rsid w:val="000B1158"/>
    <w:rsid w:val="000B1FD0"/>
    <w:rsid w:val="000B2676"/>
    <w:rsid w:val="000B389A"/>
    <w:rsid w:val="000B3BD4"/>
    <w:rsid w:val="000B3D05"/>
    <w:rsid w:val="000B4A83"/>
    <w:rsid w:val="000B4CD5"/>
    <w:rsid w:val="000B569E"/>
    <w:rsid w:val="000B6AEA"/>
    <w:rsid w:val="000B763D"/>
    <w:rsid w:val="000C0A9F"/>
    <w:rsid w:val="000C0AAD"/>
    <w:rsid w:val="000C0E05"/>
    <w:rsid w:val="000C238B"/>
    <w:rsid w:val="000C2491"/>
    <w:rsid w:val="000C24E3"/>
    <w:rsid w:val="000C4438"/>
    <w:rsid w:val="000C5173"/>
    <w:rsid w:val="000C601E"/>
    <w:rsid w:val="000C679B"/>
    <w:rsid w:val="000C736F"/>
    <w:rsid w:val="000C76EA"/>
    <w:rsid w:val="000C7FAF"/>
    <w:rsid w:val="000D0E32"/>
    <w:rsid w:val="000D1730"/>
    <w:rsid w:val="000D19B1"/>
    <w:rsid w:val="000D19EC"/>
    <w:rsid w:val="000D2401"/>
    <w:rsid w:val="000D25C6"/>
    <w:rsid w:val="000D4B8B"/>
    <w:rsid w:val="000D5DED"/>
    <w:rsid w:val="000D6781"/>
    <w:rsid w:val="000D6922"/>
    <w:rsid w:val="000D6D4A"/>
    <w:rsid w:val="000E012B"/>
    <w:rsid w:val="000E09BC"/>
    <w:rsid w:val="000E1B4B"/>
    <w:rsid w:val="000E1ED6"/>
    <w:rsid w:val="000E343D"/>
    <w:rsid w:val="000E3BD5"/>
    <w:rsid w:val="000E566E"/>
    <w:rsid w:val="000E5A58"/>
    <w:rsid w:val="000E678F"/>
    <w:rsid w:val="000E6E68"/>
    <w:rsid w:val="000E76B6"/>
    <w:rsid w:val="000E7B4A"/>
    <w:rsid w:val="000F0177"/>
    <w:rsid w:val="000F0660"/>
    <w:rsid w:val="000F0C86"/>
    <w:rsid w:val="000F1364"/>
    <w:rsid w:val="000F13AC"/>
    <w:rsid w:val="000F1FA8"/>
    <w:rsid w:val="000F207C"/>
    <w:rsid w:val="000F29B0"/>
    <w:rsid w:val="000F2B80"/>
    <w:rsid w:val="000F2EEF"/>
    <w:rsid w:val="000F2F2D"/>
    <w:rsid w:val="000F379C"/>
    <w:rsid w:val="000F3A13"/>
    <w:rsid w:val="000F3B78"/>
    <w:rsid w:val="000F3BE7"/>
    <w:rsid w:val="000F3D49"/>
    <w:rsid w:val="000F4528"/>
    <w:rsid w:val="000F4AD1"/>
    <w:rsid w:val="000F4F73"/>
    <w:rsid w:val="000F5020"/>
    <w:rsid w:val="000F583E"/>
    <w:rsid w:val="000F69A0"/>
    <w:rsid w:val="000F7111"/>
    <w:rsid w:val="00100786"/>
    <w:rsid w:val="001007C9"/>
    <w:rsid w:val="001025DE"/>
    <w:rsid w:val="00102737"/>
    <w:rsid w:val="00102BA9"/>
    <w:rsid w:val="00103A3C"/>
    <w:rsid w:val="001044A8"/>
    <w:rsid w:val="00105EE1"/>
    <w:rsid w:val="00106384"/>
    <w:rsid w:val="001065D4"/>
    <w:rsid w:val="00106D4A"/>
    <w:rsid w:val="00107536"/>
    <w:rsid w:val="00107B0E"/>
    <w:rsid w:val="00110BAB"/>
    <w:rsid w:val="0011157B"/>
    <w:rsid w:val="00111791"/>
    <w:rsid w:val="00112EA3"/>
    <w:rsid w:val="001142BE"/>
    <w:rsid w:val="00114CAA"/>
    <w:rsid w:val="00114FE7"/>
    <w:rsid w:val="001152DF"/>
    <w:rsid w:val="00115E6F"/>
    <w:rsid w:val="001161E5"/>
    <w:rsid w:val="001168E6"/>
    <w:rsid w:val="0011781E"/>
    <w:rsid w:val="001178E6"/>
    <w:rsid w:val="00117DF4"/>
    <w:rsid w:val="001204BB"/>
    <w:rsid w:val="00120826"/>
    <w:rsid w:val="00120901"/>
    <w:rsid w:val="001209A8"/>
    <w:rsid w:val="00120E84"/>
    <w:rsid w:val="001212C1"/>
    <w:rsid w:val="00121844"/>
    <w:rsid w:val="001220F0"/>
    <w:rsid w:val="00123C52"/>
    <w:rsid w:val="001240A0"/>
    <w:rsid w:val="00124496"/>
    <w:rsid w:val="00125A43"/>
    <w:rsid w:val="00125C75"/>
    <w:rsid w:val="00127311"/>
    <w:rsid w:val="00130072"/>
    <w:rsid w:val="00130655"/>
    <w:rsid w:val="001307C4"/>
    <w:rsid w:val="001328F9"/>
    <w:rsid w:val="001329B2"/>
    <w:rsid w:val="00132E3A"/>
    <w:rsid w:val="00133450"/>
    <w:rsid w:val="00134614"/>
    <w:rsid w:val="001349EC"/>
    <w:rsid w:val="00134F15"/>
    <w:rsid w:val="001359C5"/>
    <w:rsid w:val="00136D61"/>
    <w:rsid w:val="00136ECB"/>
    <w:rsid w:val="00137DD2"/>
    <w:rsid w:val="001404D7"/>
    <w:rsid w:val="00141710"/>
    <w:rsid w:val="00142A35"/>
    <w:rsid w:val="00142C23"/>
    <w:rsid w:val="00143010"/>
    <w:rsid w:val="00143155"/>
    <w:rsid w:val="00143D6A"/>
    <w:rsid w:val="001440AA"/>
    <w:rsid w:val="00144588"/>
    <w:rsid w:val="0014625B"/>
    <w:rsid w:val="0014672B"/>
    <w:rsid w:val="001478A8"/>
    <w:rsid w:val="001503BA"/>
    <w:rsid w:val="00150875"/>
    <w:rsid w:val="0015144C"/>
    <w:rsid w:val="0015194B"/>
    <w:rsid w:val="00152002"/>
    <w:rsid w:val="001522B5"/>
    <w:rsid w:val="001526C4"/>
    <w:rsid w:val="00152A6E"/>
    <w:rsid w:val="00153142"/>
    <w:rsid w:val="001532D8"/>
    <w:rsid w:val="00154DCC"/>
    <w:rsid w:val="00156186"/>
    <w:rsid w:val="0015655D"/>
    <w:rsid w:val="001600D9"/>
    <w:rsid w:val="00161658"/>
    <w:rsid w:val="0016195E"/>
    <w:rsid w:val="001628D5"/>
    <w:rsid w:val="00163304"/>
    <w:rsid w:val="00166533"/>
    <w:rsid w:val="001677A7"/>
    <w:rsid w:val="00167ABA"/>
    <w:rsid w:val="00170D70"/>
    <w:rsid w:val="001711EE"/>
    <w:rsid w:val="00171D0C"/>
    <w:rsid w:val="001720C7"/>
    <w:rsid w:val="00172CF0"/>
    <w:rsid w:val="0017387A"/>
    <w:rsid w:val="001738F1"/>
    <w:rsid w:val="00173B03"/>
    <w:rsid w:val="00174A05"/>
    <w:rsid w:val="00175E45"/>
    <w:rsid w:val="00176589"/>
    <w:rsid w:val="00176835"/>
    <w:rsid w:val="00176D28"/>
    <w:rsid w:val="00177074"/>
    <w:rsid w:val="00180DE6"/>
    <w:rsid w:val="001824A4"/>
    <w:rsid w:val="00183886"/>
    <w:rsid w:val="00183CDA"/>
    <w:rsid w:val="00183D5E"/>
    <w:rsid w:val="00184A60"/>
    <w:rsid w:val="00184C03"/>
    <w:rsid w:val="00185FFD"/>
    <w:rsid w:val="00186A4F"/>
    <w:rsid w:val="0018744F"/>
    <w:rsid w:val="001906D0"/>
    <w:rsid w:val="001915EF"/>
    <w:rsid w:val="00192E6B"/>
    <w:rsid w:val="001938B0"/>
    <w:rsid w:val="00193BC3"/>
    <w:rsid w:val="0019430F"/>
    <w:rsid w:val="001945C7"/>
    <w:rsid w:val="00194745"/>
    <w:rsid w:val="00194BFA"/>
    <w:rsid w:val="00194E11"/>
    <w:rsid w:val="00195018"/>
    <w:rsid w:val="00195602"/>
    <w:rsid w:val="00195907"/>
    <w:rsid w:val="00195B9A"/>
    <w:rsid w:val="00195FF4"/>
    <w:rsid w:val="001967A8"/>
    <w:rsid w:val="00196E77"/>
    <w:rsid w:val="001971DD"/>
    <w:rsid w:val="001971E0"/>
    <w:rsid w:val="00197F04"/>
    <w:rsid w:val="001A01E2"/>
    <w:rsid w:val="001A02BD"/>
    <w:rsid w:val="001A0A3A"/>
    <w:rsid w:val="001A1457"/>
    <w:rsid w:val="001A1FC1"/>
    <w:rsid w:val="001A2B51"/>
    <w:rsid w:val="001A3E9A"/>
    <w:rsid w:val="001A542C"/>
    <w:rsid w:val="001A594B"/>
    <w:rsid w:val="001A5E78"/>
    <w:rsid w:val="001A5FE8"/>
    <w:rsid w:val="001A6305"/>
    <w:rsid w:val="001A70E2"/>
    <w:rsid w:val="001A7E94"/>
    <w:rsid w:val="001B085A"/>
    <w:rsid w:val="001B1483"/>
    <w:rsid w:val="001B1D1F"/>
    <w:rsid w:val="001B24EE"/>
    <w:rsid w:val="001B2B71"/>
    <w:rsid w:val="001B2D39"/>
    <w:rsid w:val="001B439E"/>
    <w:rsid w:val="001B441E"/>
    <w:rsid w:val="001B4430"/>
    <w:rsid w:val="001B487C"/>
    <w:rsid w:val="001B4ADD"/>
    <w:rsid w:val="001B535C"/>
    <w:rsid w:val="001B60B1"/>
    <w:rsid w:val="001B6135"/>
    <w:rsid w:val="001B7CBD"/>
    <w:rsid w:val="001C0D53"/>
    <w:rsid w:val="001C100B"/>
    <w:rsid w:val="001C14B7"/>
    <w:rsid w:val="001C1674"/>
    <w:rsid w:val="001C2145"/>
    <w:rsid w:val="001C2386"/>
    <w:rsid w:val="001C314F"/>
    <w:rsid w:val="001C3DE7"/>
    <w:rsid w:val="001C3F2F"/>
    <w:rsid w:val="001C40F0"/>
    <w:rsid w:val="001C4688"/>
    <w:rsid w:val="001C556D"/>
    <w:rsid w:val="001C622E"/>
    <w:rsid w:val="001C6235"/>
    <w:rsid w:val="001C65C7"/>
    <w:rsid w:val="001C6684"/>
    <w:rsid w:val="001C756D"/>
    <w:rsid w:val="001C7B87"/>
    <w:rsid w:val="001D012A"/>
    <w:rsid w:val="001D039F"/>
    <w:rsid w:val="001D0E2C"/>
    <w:rsid w:val="001D0F0F"/>
    <w:rsid w:val="001D2FD8"/>
    <w:rsid w:val="001D5053"/>
    <w:rsid w:val="001D5D1C"/>
    <w:rsid w:val="001D643E"/>
    <w:rsid w:val="001D6F87"/>
    <w:rsid w:val="001D7294"/>
    <w:rsid w:val="001D761D"/>
    <w:rsid w:val="001D7DBC"/>
    <w:rsid w:val="001D7EC3"/>
    <w:rsid w:val="001E0914"/>
    <w:rsid w:val="001E0A88"/>
    <w:rsid w:val="001E0BF2"/>
    <w:rsid w:val="001E117A"/>
    <w:rsid w:val="001E1EFC"/>
    <w:rsid w:val="001E277D"/>
    <w:rsid w:val="001E38E4"/>
    <w:rsid w:val="001E3A44"/>
    <w:rsid w:val="001E6034"/>
    <w:rsid w:val="001E66B2"/>
    <w:rsid w:val="001E69F5"/>
    <w:rsid w:val="001E6A11"/>
    <w:rsid w:val="001E7D13"/>
    <w:rsid w:val="001F01A8"/>
    <w:rsid w:val="001F0907"/>
    <w:rsid w:val="001F0C87"/>
    <w:rsid w:val="001F1684"/>
    <w:rsid w:val="001F283B"/>
    <w:rsid w:val="001F2B7E"/>
    <w:rsid w:val="001F2BBF"/>
    <w:rsid w:val="001F2EF8"/>
    <w:rsid w:val="001F31FB"/>
    <w:rsid w:val="001F37F5"/>
    <w:rsid w:val="001F384E"/>
    <w:rsid w:val="001F3E0B"/>
    <w:rsid w:val="001F47F1"/>
    <w:rsid w:val="001F4DCA"/>
    <w:rsid w:val="001F54C1"/>
    <w:rsid w:val="001F6B6F"/>
    <w:rsid w:val="001F7576"/>
    <w:rsid w:val="001F7994"/>
    <w:rsid w:val="00200618"/>
    <w:rsid w:val="00200720"/>
    <w:rsid w:val="002008AA"/>
    <w:rsid w:val="002008AE"/>
    <w:rsid w:val="00201B92"/>
    <w:rsid w:val="0020209B"/>
    <w:rsid w:val="002025E1"/>
    <w:rsid w:val="0020268F"/>
    <w:rsid w:val="00202C1D"/>
    <w:rsid w:val="00203898"/>
    <w:rsid w:val="002051C6"/>
    <w:rsid w:val="00207452"/>
    <w:rsid w:val="00207E98"/>
    <w:rsid w:val="00207EB1"/>
    <w:rsid w:val="00210235"/>
    <w:rsid w:val="002108FF"/>
    <w:rsid w:val="00210F76"/>
    <w:rsid w:val="002121D0"/>
    <w:rsid w:val="00213258"/>
    <w:rsid w:val="00213DD4"/>
    <w:rsid w:val="0021446A"/>
    <w:rsid w:val="00216589"/>
    <w:rsid w:val="00216B95"/>
    <w:rsid w:val="00216D89"/>
    <w:rsid w:val="00217782"/>
    <w:rsid w:val="00217C4C"/>
    <w:rsid w:val="00217FED"/>
    <w:rsid w:val="00220871"/>
    <w:rsid w:val="002209EE"/>
    <w:rsid w:val="0022109A"/>
    <w:rsid w:val="00221641"/>
    <w:rsid w:val="00221B05"/>
    <w:rsid w:val="00223453"/>
    <w:rsid w:val="00223BDF"/>
    <w:rsid w:val="00224111"/>
    <w:rsid w:val="00224AC7"/>
    <w:rsid w:val="002268BA"/>
    <w:rsid w:val="00226EF0"/>
    <w:rsid w:val="0022775B"/>
    <w:rsid w:val="00227A57"/>
    <w:rsid w:val="00227B40"/>
    <w:rsid w:val="00230D0F"/>
    <w:rsid w:val="00231F34"/>
    <w:rsid w:val="00231FB5"/>
    <w:rsid w:val="00232479"/>
    <w:rsid w:val="00232EAA"/>
    <w:rsid w:val="00233155"/>
    <w:rsid w:val="002349A8"/>
    <w:rsid w:val="00235A3E"/>
    <w:rsid w:val="002367B9"/>
    <w:rsid w:val="00236F00"/>
    <w:rsid w:val="00237C12"/>
    <w:rsid w:val="00237EC1"/>
    <w:rsid w:val="00241B7F"/>
    <w:rsid w:val="00241E5E"/>
    <w:rsid w:val="002430AE"/>
    <w:rsid w:val="0024447B"/>
    <w:rsid w:val="00244999"/>
    <w:rsid w:val="002454A6"/>
    <w:rsid w:val="00245F19"/>
    <w:rsid w:val="00246888"/>
    <w:rsid w:val="00246A8C"/>
    <w:rsid w:val="00247BF6"/>
    <w:rsid w:val="00250037"/>
    <w:rsid w:val="00250A59"/>
    <w:rsid w:val="00251FF9"/>
    <w:rsid w:val="00253C3C"/>
    <w:rsid w:val="00253D17"/>
    <w:rsid w:val="0025489B"/>
    <w:rsid w:val="0025530B"/>
    <w:rsid w:val="00255839"/>
    <w:rsid w:val="00256CFB"/>
    <w:rsid w:val="00257AA3"/>
    <w:rsid w:val="00260BFA"/>
    <w:rsid w:val="00261AB3"/>
    <w:rsid w:val="00263787"/>
    <w:rsid w:val="00264F17"/>
    <w:rsid w:val="00264FAC"/>
    <w:rsid w:val="0026598A"/>
    <w:rsid w:val="00265ED5"/>
    <w:rsid w:val="00266D68"/>
    <w:rsid w:val="00267B98"/>
    <w:rsid w:val="002700AC"/>
    <w:rsid w:val="0027077D"/>
    <w:rsid w:val="0027099B"/>
    <w:rsid w:val="0027180E"/>
    <w:rsid w:val="00271B61"/>
    <w:rsid w:val="00272538"/>
    <w:rsid w:val="002737B1"/>
    <w:rsid w:val="00273E8E"/>
    <w:rsid w:val="0027419E"/>
    <w:rsid w:val="00275297"/>
    <w:rsid w:val="002761B3"/>
    <w:rsid w:val="00276A17"/>
    <w:rsid w:val="002776B4"/>
    <w:rsid w:val="002779EB"/>
    <w:rsid w:val="00277C12"/>
    <w:rsid w:val="00280A0B"/>
    <w:rsid w:val="00281217"/>
    <w:rsid w:val="00281C63"/>
    <w:rsid w:val="002823A1"/>
    <w:rsid w:val="00282751"/>
    <w:rsid w:val="00283275"/>
    <w:rsid w:val="00283497"/>
    <w:rsid w:val="002859C9"/>
    <w:rsid w:val="00285DB4"/>
    <w:rsid w:val="002864FB"/>
    <w:rsid w:val="002866CE"/>
    <w:rsid w:val="00286BC5"/>
    <w:rsid w:val="0028776E"/>
    <w:rsid w:val="00287A37"/>
    <w:rsid w:val="0029007C"/>
    <w:rsid w:val="0029028C"/>
    <w:rsid w:val="002902BA"/>
    <w:rsid w:val="00290409"/>
    <w:rsid w:val="002909C0"/>
    <w:rsid w:val="00290BBA"/>
    <w:rsid w:val="00291457"/>
    <w:rsid w:val="00292665"/>
    <w:rsid w:val="00292DC3"/>
    <w:rsid w:val="0029320D"/>
    <w:rsid w:val="002933A4"/>
    <w:rsid w:val="00293A85"/>
    <w:rsid w:val="0029445A"/>
    <w:rsid w:val="00294AC5"/>
    <w:rsid w:val="002954CD"/>
    <w:rsid w:val="00295866"/>
    <w:rsid w:val="00295C8B"/>
    <w:rsid w:val="00296A87"/>
    <w:rsid w:val="0029733B"/>
    <w:rsid w:val="00297B56"/>
    <w:rsid w:val="00297C1E"/>
    <w:rsid w:val="002A088D"/>
    <w:rsid w:val="002A104D"/>
    <w:rsid w:val="002A1231"/>
    <w:rsid w:val="002A1D11"/>
    <w:rsid w:val="002A2BD4"/>
    <w:rsid w:val="002A3FA3"/>
    <w:rsid w:val="002A423F"/>
    <w:rsid w:val="002A50E1"/>
    <w:rsid w:val="002A5646"/>
    <w:rsid w:val="002A5A22"/>
    <w:rsid w:val="002A626C"/>
    <w:rsid w:val="002A690B"/>
    <w:rsid w:val="002A7B52"/>
    <w:rsid w:val="002B00DA"/>
    <w:rsid w:val="002B0283"/>
    <w:rsid w:val="002B22D5"/>
    <w:rsid w:val="002B2D27"/>
    <w:rsid w:val="002B2D90"/>
    <w:rsid w:val="002B2DEF"/>
    <w:rsid w:val="002B2E08"/>
    <w:rsid w:val="002B3984"/>
    <w:rsid w:val="002B446B"/>
    <w:rsid w:val="002B5A7A"/>
    <w:rsid w:val="002B5F35"/>
    <w:rsid w:val="002B6339"/>
    <w:rsid w:val="002B71EA"/>
    <w:rsid w:val="002B72CE"/>
    <w:rsid w:val="002B7532"/>
    <w:rsid w:val="002C01BD"/>
    <w:rsid w:val="002C051E"/>
    <w:rsid w:val="002C0778"/>
    <w:rsid w:val="002C08E9"/>
    <w:rsid w:val="002C0FF9"/>
    <w:rsid w:val="002C11F7"/>
    <w:rsid w:val="002C12AA"/>
    <w:rsid w:val="002C3336"/>
    <w:rsid w:val="002C3A79"/>
    <w:rsid w:val="002C4131"/>
    <w:rsid w:val="002C4210"/>
    <w:rsid w:val="002C52A6"/>
    <w:rsid w:val="002C5632"/>
    <w:rsid w:val="002C78BB"/>
    <w:rsid w:val="002C7970"/>
    <w:rsid w:val="002C7C00"/>
    <w:rsid w:val="002D008C"/>
    <w:rsid w:val="002D10D7"/>
    <w:rsid w:val="002D1374"/>
    <w:rsid w:val="002D154A"/>
    <w:rsid w:val="002D1F6E"/>
    <w:rsid w:val="002D2428"/>
    <w:rsid w:val="002D27D0"/>
    <w:rsid w:val="002D377D"/>
    <w:rsid w:val="002D42E8"/>
    <w:rsid w:val="002D4406"/>
    <w:rsid w:val="002D566B"/>
    <w:rsid w:val="002D5BB5"/>
    <w:rsid w:val="002D6213"/>
    <w:rsid w:val="002D6410"/>
    <w:rsid w:val="002D66A2"/>
    <w:rsid w:val="002D6A03"/>
    <w:rsid w:val="002D6DBD"/>
    <w:rsid w:val="002D737B"/>
    <w:rsid w:val="002D75A1"/>
    <w:rsid w:val="002E1596"/>
    <w:rsid w:val="002E1B30"/>
    <w:rsid w:val="002E3ED8"/>
    <w:rsid w:val="002E445D"/>
    <w:rsid w:val="002E487A"/>
    <w:rsid w:val="002E52B5"/>
    <w:rsid w:val="002E5324"/>
    <w:rsid w:val="002E560D"/>
    <w:rsid w:val="002E5793"/>
    <w:rsid w:val="002E667D"/>
    <w:rsid w:val="002E6AC6"/>
    <w:rsid w:val="002E6F64"/>
    <w:rsid w:val="002E748A"/>
    <w:rsid w:val="002E75B5"/>
    <w:rsid w:val="002E7AAB"/>
    <w:rsid w:val="002F1044"/>
    <w:rsid w:val="002F106A"/>
    <w:rsid w:val="002F2953"/>
    <w:rsid w:val="002F2FE8"/>
    <w:rsid w:val="002F304A"/>
    <w:rsid w:val="002F33EB"/>
    <w:rsid w:val="002F37FC"/>
    <w:rsid w:val="002F41B1"/>
    <w:rsid w:val="002F6006"/>
    <w:rsid w:val="002F60E8"/>
    <w:rsid w:val="002F6423"/>
    <w:rsid w:val="002F6A03"/>
    <w:rsid w:val="002F7B01"/>
    <w:rsid w:val="00300575"/>
    <w:rsid w:val="0030121A"/>
    <w:rsid w:val="003012AF"/>
    <w:rsid w:val="00304252"/>
    <w:rsid w:val="00304BA1"/>
    <w:rsid w:val="00306423"/>
    <w:rsid w:val="00306CC0"/>
    <w:rsid w:val="00307889"/>
    <w:rsid w:val="003079C1"/>
    <w:rsid w:val="00307F8E"/>
    <w:rsid w:val="003109FC"/>
    <w:rsid w:val="00310C26"/>
    <w:rsid w:val="00310E38"/>
    <w:rsid w:val="00310FA7"/>
    <w:rsid w:val="0031149B"/>
    <w:rsid w:val="00312D81"/>
    <w:rsid w:val="003132EC"/>
    <w:rsid w:val="003139FE"/>
    <w:rsid w:val="0031466A"/>
    <w:rsid w:val="003147BE"/>
    <w:rsid w:val="003147E4"/>
    <w:rsid w:val="003149D5"/>
    <w:rsid w:val="00314A3A"/>
    <w:rsid w:val="00314C2E"/>
    <w:rsid w:val="00314E34"/>
    <w:rsid w:val="00315D1F"/>
    <w:rsid w:val="003160BC"/>
    <w:rsid w:val="00316C26"/>
    <w:rsid w:val="003179BA"/>
    <w:rsid w:val="00317B8C"/>
    <w:rsid w:val="0032043E"/>
    <w:rsid w:val="003206AC"/>
    <w:rsid w:val="00321543"/>
    <w:rsid w:val="00321A14"/>
    <w:rsid w:val="00321BF4"/>
    <w:rsid w:val="00323750"/>
    <w:rsid w:val="003250E7"/>
    <w:rsid w:val="00326E95"/>
    <w:rsid w:val="00327304"/>
    <w:rsid w:val="00327575"/>
    <w:rsid w:val="00327B89"/>
    <w:rsid w:val="00330CDB"/>
    <w:rsid w:val="003314B7"/>
    <w:rsid w:val="003320FD"/>
    <w:rsid w:val="00332592"/>
    <w:rsid w:val="00332AC3"/>
    <w:rsid w:val="0033417A"/>
    <w:rsid w:val="00334779"/>
    <w:rsid w:val="003351EF"/>
    <w:rsid w:val="003354A0"/>
    <w:rsid w:val="00335688"/>
    <w:rsid w:val="003368CF"/>
    <w:rsid w:val="003368F9"/>
    <w:rsid w:val="00336DC3"/>
    <w:rsid w:val="003379D6"/>
    <w:rsid w:val="00337EF2"/>
    <w:rsid w:val="0034005C"/>
    <w:rsid w:val="00340554"/>
    <w:rsid w:val="00341289"/>
    <w:rsid w:val="003415A2"/>
    <w:rsid w:val="00341CC4"/>
    <w:rsid w:val="00341F0B"/>
    <w:rsid w:val="00343060"/>
    <w:rsid w:val="00343617"/>
    <w:rsid w:val="00343DB3"/>
    <w:rsid w:val="00343EE2"/>
    <w:rsid w:val="00344AD3"/>
    <w:rsid w:val="00344D16"/>
    <w:rsid w:val="00345214"/>
    <w:rsid w:val="00345364"/>
    <w:rsid w:val="00345FDB"/>
    <w:rsid w:val="003463EC"/>
    <w:rsid w:val="003468B5"/>
    <w:rsid w:val="00350710"/>
    <w:rsid w:val="00352590"/>
    <w:rsid w:val="00352A15"/>
    <w:rsid w:val="00353193"/>
    <w:rsid w:val="00353FC5"/>
    <w:rsid w:val="00355B23"/>
    <w:rsid w:val="00355B4E"/>
    <w:rsid w:val="00356FB4"/>
    <w:rsid w:val="00357263"/>
    <w:rsid w:val="00357684"/>
    <w:rsid w:val="003616F4"/>
    <w:rsid w:val="00361821"/>
    <w:rsid w:val="00361A9D"/>
    <w:rsid w:val="00361E1F"/>
    <w:rsid w:val="00362891"/>
    <w:rsid w:val="00363C39"/>
    <w:rsid w:val="0036402E"/>
    <w:rsid w:val="003643C9"/>
    <w:rsid w:val="00364B85"/>
    <w:rsid w:val="003658B3"/>
    <w:rsid w:val="00366C35"/>
    <w:rsid w:val="00367230"/>
    <w:rsid w:val="0037053A"/>
    <w:rsid w:val="003707D1"/>
    <w:rsid w:val="0037176B"/>
    <w:rsid w:val="00373E84"/>
    <w:rsid w:val="00374D18"/>
    <w:rsid w:val="00375AEE"/>
    <w:rsid w:val="00375F53"/>
    <w:rsid w:val="00375FD6"/>
    <w:rsid w:val="00376209"/>
    <w:rsid w:val="003762C2"/>
    <w:rsid w:val="00380012"/>
    <w:rsid w:val="003800FA"/>
    <w:rsid w:val="00380A40"/>
    <w:rsid w:val="00381162"/>
    <w:rsid w:val="00381632"/>
    <w:rsid w:val="00381668"/>
    <w:rsid w:val="00381C1E"/>
    <w:rsid w:val="00381C94"/>
    <w:rsid w:val="00381E5D"/>
    <w:rsid w:val="00383494"/>
    <w:rsid w:val="003847B9"/>
    <w:rsid w:val="00385E56"/>
    <w:rsid w:val="00385F84"/>
    <w:rsid w:val="0038620C"/>
    <w:rsid w:val="003863E2"/>
    <w:rsid w:val="00386F3C"/>
    <w:rsid w:val="00386FD7"/>
    <w:rsid w:val="003874C7"/>
    <w:rsid w:val="00387789"/>
    <w:rsid w:val="0039113B"/>
    <w:rsid w:val="00391373"/>
    <w:rsid w:val="00392433"/>
    <w:rsid w:val="0039254A"/>
    <w:rsid w:val="0039353B"/>
    <w:rsid w:val="00394182"/>
    <w:rsid w:val="003944D2"/>
    <w:rsid w:val="003951FC"/>
    <w:rsid w:val="0039520B"/>
    <w:rsid w:val="00395901"/>
    <w:rsid w:val="003961D4"/>
    <w:rsid w:val="003979CB"/>
    <w:rsid w:val="00397A40"/>
    <w:rsid w:val="003A04B4"/>
    <w:rsid w:val="003A0678"/>
    <w:rsid w:val="003A0EDF"/>
    <w:rsid w:val="003A2F63"/>
    <w:rsid w:val="003A3DF7"/>
    <w:rsid w:val="003A4328"/>
    <w:rsid w:val="003A4936"/>
    <w:rsid w:val="003A5D3F"/>
    <w:rsid w:val="003A60AB"/>
    <w:rsid w:val="003B07AA"/>
    <w:rsid w:val="003B1229"/>
    <w:rsid w:val="003B13AB"/>
    <w:rsid w:val="003B21E9"/>
    <w:rsid w:val="003B285D"/>
    <w:rsid w:val="003B2896"/>
    <w:rsid w:val="003B2C11"/>
    <w:rsid w:val="003B317C"/>
    <w:rsid w:val="003B3C25"/>
    <w:rsid w:val="003B3C3E"/>
    <w:rsid w:val="003B4C6A"/>
    <w:rsid w:val="003B4D23"/>
    <w:rsid w:val="003B6A3C"/>
    <w:rsid w:val="003B6FFA"/>
    <w:rsid w:val="003B714F"/>
    <w:rsid w:val="003B7584"/>
    <w:rsid w:val="003C0A59"/>
    <w:rsid w:val="003C30BF"/>
    <w:rsid w:val="003C3854"/>
    <w:rsid w:val="003C3D49"/>
    <w:rsid w:val="003C4170"/>
    <w:rsid w:val="003C441A"/>
    <w:rsid w:val="003C5186"/>
    <w:rsid w:val="003C568D"/>
    <w:rsid w:val="003C6890"/>
    <w:rsid w:val="003C75B9"/>
    <w:rsid w:val="003D0850"/>
    <w:rsid w:val="003D0858"/>
    <w:rsid w:val="003D11E1"/>
    <w:rsid w:val="003D1A53"/>
    <w:rsid w:val="003D1B14"/>
    <w:rsid w:val="003D3153"/>
    <w:rsid w:val="003D34B7"/>
    <w:rsid w:val="003D36AD"/>
    <w:rsid w:val="003D4D2F"/>
    <w:rsid w:val="003D5FAA"/>
    <w:rsid w:val="003D6247"/>
    <w:rsid w:val="003D6684"/>
    <w:rsid w:val="003D6B47"/>
    <w:rsid w:val="003D76E7"/>
    <w:rsid w:val="003E05CD"/>
    <w:rsid w:val="003E1135"/>
    <w:rsid w:val="003E1B23"/>
    <w:rsid w:val="003E249A"/>
    <w:rsid w:val="003E2F6E"/>
    <w:rsid w:val="003E3A52"/>
    <w:rsid w:val="003E457A"/>
    <w:rsid w:val="003E4D45"/>
    <w:rsid w:val="003E5933"/>
    <w:rsid w:val="003E64D1"/>
    <w:rsid w:val="003E7CA8"/>
    <w:rsid w:val="003E7F2C"/>
    <w:rsid w:val="003F09A1"/>
    <w:rsid w:val="003F0BC6"/>
    <w:rsid w:val="003F1E27"/>
    <w:rsid w:val="003F20C4"/>
    <w:rsid w:val="003F2BF4"/>
    <w:rsid w:val="003F3102"/>
    <w:rsid w:val="003F3389"/>
    <w:rsid w:val="003F4657"/>
    <w:rsid w:val="003F5FEE"/>
    <w:rsid w:val="003F6C85"/>
    <w:rsid w:val="003F6DF8"/>
    <w:rsid w:val="003F7301"/>
    <w:rsid w:val="003F7466"/>
    <w:rsid w:val="003F74F9"/>
    <w:rsid w:val="003F7E1F"/>
    <w:rsid w:val="00400B35"/>
    <w:rsid w:val="00400D8C"/>
    <w:rsid w:val="004024BA"/>
    <w:rsid w:val="004027AA"/>
    <w:rsid w:val="004031E4"/>
    <w:rsid w:val="00403E2E"/>
    <w:rsid w:val="0040404C"/>
    <w:rsid w:val="00405060"/>
    <w:rsid w:val="0040537B"/>
    <w:rsid w:val="004061BF"/>
    <w:rsid w:val="004066EC"/>
    <w:rsid w:val="00406F44"/>
    <w:rsid w:val="00410508"/>
    <w:rsid w:val="0041291F"/>
    <w:rsid w:val="00412D93"/>
    <w:rsid w:val="00412FD7"/>
    <w:rsid w:val="00413448"/>
    <w:rsid w:val="00413D3C"/>
    <w:rsid w:val="00415EFB"/>
    <w:rsid w:val="00416517"/>
    <w:rsid w:val="00417292"/>
    <w:rsid w:val="00417CB2"/>
    <w:rsid w:val="0042038D"/>
    <w:rsid w:val="004215DD"/>
    <w:rsid w:val="00421B51"/>
    <w:rsid w:val="004223C4"/>
    <w:rsid w:val="0042255D"/>
    <w:rsid w:val="00422621"/>
    <w:rsid w:val="00422710"/>
    <w:rsid w:val="00422A48"/>
    <w:rsid w:val="00422A55"/>
    <w:rsid w:val="00422C8C"/>
    <w:rsid w:val="00422CE2"/>
    <w:rsid w:val="00423021"/>
    <w:rsid w:val="00424131"/>
    <w:rsid w:val="00424B96"/>
    <w:rsid w:val="004276E8"/>
    <w:rsid w:val="00427DA2"/>
    <w:rsid w:val="00427EF9"/>
    <w:rsid w:val="0043049A"/>
    <w:rsid w:val="00430D6B"/>
    <w:rsid w:val="00430DD8"/>
    <w:rsid w:val="00432825"/>
    <w:rsid w:val="00433470"/>
    <w:rsid w:val="00434BBD"/>
    <w:rsid w:val="00435046"/>
    <w:rsid w:val="00435759"/>
    <w:rsid w:val="00435B4D"/>
    <w:rsid w:val="00435E0E"/>
    <w:rsid w:val="00436948"/>
    <w:rsid w:val="00436AC2"/>
    <w:rsid w:val="0043729E"/>
    <w:rsid w:val="00437435"/>
    <w:rsid w:val="00437871"/>
    <w:rsid w:val="0044041A"/>
    <w:rsid w:val="00441473"/>
    <w:rsid w:val="00441D67"/>
    <w:rsid w:val="004429D8"/>
    <w:rsid w:val="00442AFD"/>
    <w:rsid w:val="00442DD9"/>
    <w:rsid w:val="0044386B"/>
    <w:rsid w:val="00443BEE"/>
    <w:rsid w:val="00444325"/>
    <w:rsid w:val="00444375"/>
    <w:rsid w:val="00445627"/>
    <w:rsid w:val="004464CA"/>
    <w:rsid w:val="00446566"/>
    <w:rsid w:val="004472B6"/>
    <w:rsid w:val="004476D8"/>
    <w:rsid w:val="00450017"/>
    <w:rsid w:val="004512BA"/>
    <w:rsid w:val="004513DD"/>
    <w:rsid w:val="00451CB0"/>
    <w:rsid w:val="0045299F"/>
    <w:rsid w:val="00452CA4"/>
    <w:rsid w:val="0045342F"/>
    <w:rsid w:val="00453928"/>
    <w:rsid w:val="00453B4A"/>
    <w:rsid w:val="00454277"/>
    <w:rsid w:val="00454F91"/>
    <w:rsid w:val="00455747"/>
    <w:rsid w:val="00456080"/>
    <w:rsid w:val="004567ED"/>
    <w:rsid w:val="00456EFD"/>
    <w:rsid w:val="004571E6"/>
    <w:rsid w:val="004578AD"/>
    <w:rsid w:val="00457CA3"/>
    <w:rsid w:val="0046221E"/>
    <w:rsid w:val="004638BE"/>
    <w:rsid w:val="00464A84"/>
    <w:rsid w:val="00464AA7"/>
    <w:rsid w:val="00464BE9"/>
    <w:rsid w:val="00465842"/>
    <w:rsid w:val="00465B74"/>
    <w:rsid w:val="00465BD4"/>
    <w:rsid w:val="00466A0B"/>
    <w:rsid w:val="00470B59"/>
    <w:rsid w:val="00472EDF"/>
    <w:rsid w:val="004732FC"/>
    <w:rsid w:val="0047344D"/>
    <w:rsid w:val="00474195"/>
    <w:rsid w:val="004744F2"/>
    <w:rsid w:val="004746B5"/>
    <w:rsid w:val="00474EA0"/>
    <w:rsid w:val="00476945"/>
    <w:rsid w:val="00476EB1"/>
    <w:rsid w:val="00476EFE"/>
    <w:rsid w:val="00477169"/>
    <w:rsid w:val="00477328"/>
    <w:rsid w:val="00477655"/>
    <w:rsid w:val="004812E6"/>
    <w:rsid w:val="0048196D"/>
    <w:rsid w:val="00482772"/>
    <w:rsid w:val="0048369C"/>
    <w:rsid w:val="00484B74"/>
    <w:rsid w:val="0048523B"/>
    <w:rsid w:val="00485402"/>
    <w:rsid w:val="00485971"/>
    <w:rsid w:val="00487B3B"/>
    <w:rsid w:val="00487B9F"/>
    <w:rsid w:val="00487DED"/>
    <w:rsid w:val="004903C5"/>
    <w:rsid w:val="004905FE"/>
    <w:rsid w:val="00490900"/>
    <w:rsid w:val="00491A87"/>
    <w:rsid w:val="004932A7"/>
    <w:rsid w:val="00493642"/>
    <w:rsid w:val="004949CF"/>
    <w:rsid w:val="00495562"/>
    <w:rsid w:val="00495719"/>
    <w:rsid w:val="00495C21"/>
    <w:rsid w:val="004977C3"/>
    <w:rsid w:val="004A0D3B"/>
    <w:rsid w:val="004A13B8"/>
    <w:rsid w:val="004A200B"/>
    <w:rsid w:val="004A3275"/>
    <w:rsid w:val="004A328D"/>
    <w:rsid w:val="004A36EC"/>
    <w:rsid w:val="004A3EE6"/>
    <w:rsid w:val="004A4386"/>
    <w:rsid w:val="004A4878"/>
    <w:rsid w:val="004A4EBA"/>
    <w:rsid w:val="004A52F6"/>
    <w:rsid w:val="004A5762"/>
    <w:rsid w:val="004A5CF9"/>
    <w:rsid w:val="004A67DD"/>
    <w:rsid w:val="004A7B58"/>
    <w:rsid w:val="004B02E4"/>
    <w:rsid w:val="004B2317"/>
    <w:rsid w:val="004B2869"/>
    <w:rsid w:val="004B2BD3"/>
    <w:rsid w:val="004B3E03"/>
    <w:rsid w:val="004B4215"/>
    <w:rsid w:val="004B4AA8"/>
    <w:rsid w:val="004B501A"/>
    <w:rsid w:val="004B5187"/>
    <w:rsid w:val="004B519A"/>
    <w:rsid w:val="004B6417"/>
    <w:rsid w:val="004B6A3E"/>
    <w:rsid w:val="004B6DE3"/>
    <w:rsid w:val="004B7453"/>
    <w:rsid w:val="004B74FC"/>
    <w:rsid w:val="004C0066"/>
    <w:rsid w:val="004C00FD"/>
    <w:rsid w:val="004C022A"/>
    <w:rsid w:val="004C0C1B"/>
    <w:rsid w:val="004C1052"/>
    <w:rsid w:val="004C1794"/>
    <w:rsid w:val="004C17D3"/>
    <w:rsid w:val="004C5FB8"/>
    <w:rsid w:val="004C78CD"/>
    <w:rsid w:val="004C7A6E"/>
    <w:rsid w:val="004C7DAE"/>
    <w:rsid w:val="004D13B8"/>
    <w:rsid w:val="004D1B26"/>
    <w:rsid w:val="004D1BD9"/>
    <w:rsid w:val="004D2685"/>
    <w:rsid w:val="004D26DD"/>
    <w:rsid w:val="004D321B"/>
    <w:rsid w:val="004D3A88"/>
    <w:rsid w:val="004D3CF3"/>
    <w:rsid w:val="004D3FDB"/>
    <w:rsid w:val="004D562A"/>
    <w:rsid w:val="004D6857"/>
    <w:rsid w:val="004D72AF"/>
    <w:rsid w:val="004E0756"/>
    <w:rsid w:val="004E1A90"/>
    <w:rsid w:val="004E1B67"/>
    <w:rsid w:val="004E2287"/>
    <w:rsid w:val="004E2796"/>
    <w:rsid w:val="004E3961"/>
    <w:rsid w:val="004E4A66"/>
    <w:rsid w:val="004E4B8F"/>
    <w:rsid w:val="004E5A04"/>
    <w:rsid w:val="004E68CE"/>
    <w:rsid w:val="004E6A7F"/>
    <w:rsid w:val="004E6E9A"/>
    <w:rsid w:val="004E7437"/>
    <w:rsid w:val="004E7B36"/>
    <w:rsid w:val="004E7E4B"/>
    <w:rsid w:val="004F0702"/>
    <w:rsid w:val="004F0D45"/>
    <w:rsid w:val="004F1C0B"/>
    <w:rsid w:val="004F2055"/>
    <w:rsid w:val="004F2092"/>
    <w:rsid w:val="004F421A"/>
    <w:rsid w:val="004F460B"/>
    <w:rsid w:val="004F615A"/>
    <w:rsid w:val="004F6D3A"/>
    <w:rsid w:val="00500978"/>
    <w:rsid w:val="005020CA"/>
    <w:rsid w:val="005027B0"/>
    <w:rsid w:val="00502987"/>
    <w:rsid w:val="005030B1"/>
    <w:rsid w:val="00503157"/>
    <w:rsid w:val="00503373"/>
    <w:rsid w:val="00503C72"/>
    <w:rsid w:val="00504241"/>
    <w:rsid w:val="00504509"/>
    <w:rsid w:val="00504A81"/>
    <w:rsid w:val="00505AAE"/>
    <w:rsid w:val="0050613B"/>
    <w:rsid w:val="0050690A"/>
    <w:rsid w:val="00507A96"/>
    <w:rsid w:val="00507E56"/>
    <w:rsid w:val="00510462"/>
    <w:rsid w:val="00510BAB"/>
    <w:rsid w:val="00511CFC"/>
    <w:rsid w:val="005120CF"/>
    <w:rsid w:val="00513435"/>
    <w:rsid w:val="005141F2"/>
    <w:rsid w:val="00514296"/>
    <w:rsid w:val="0051452E"/>
    <w:rsid w:val="00514B13"/>
    <w:rsid w:val="00514E1B"/>
    <w:rsid w:val="005163B0"/>
    <w:rsid w:val="005164C2"/>
    <w:rsid w:val="00520467"/>
    <w:rsid w:val="0052127E"/>
    <w:rsid w:val="00521929"/>
    <w:rsid w:val="005219F0"/>
    <w:rsid w:val="00522757"/>
    <w:rsid w:val="00522DCA"/>
    <w:rsid w:val="005230C3"/>
    <w:rsid w:val="005231D8"/>
    <w:rsid w:val="0052321D"/>
    <w:rsid w:val="005233A3"/>
    <w:rsid w:val="00523B6F"/>
    <w:rsid w:val="00523FCE"/>
    <w:rsid w:val="005255F0"/>
    <w:rsid w:val="00525C4F"/>
    <w:rsid w:val="00526EB1"/>
    <w:rsid w:val="00527573"/>
    <w:rsid w:val="005279BE"/>
    <w:rsid w:val="00531950"/>
    <w:rsid w:val="00532252"/>
    <w:rsid w:val="005324FA"/>
    <w:rsid w:val="00533555"/>
    <w:rsid w:val="005339AE"/>
    <w:rsid w:val="00533AB8"/>
    <w:rsid w:val="0053426E"/>
    <w:rsid w:val="0053466D"/>
    <w:rsid w:val="00540C1B"/>
    <w:rsid w:val="005416D2"/>
    <w:rsid w:val="00541A75"/>
    <w:rsid w:val="0054405D"/>
    <w:rsid w:val="00545616"/>
    <w:rsid w:val="00545F9C"/>
    <w:rsid w:val="005464AA"/>
    <w:rsid w:val="005466F9"/>
    <w:rsid w:val="00546735"/>
    <w:rsid w:val="00546AD8"/>
    <w:rsid w:val="005474C8"/>
    <w:rsid w:val="005479E9"/>
    <w:rsid w:val="00550E11"/>
    <w:rsid w:val="00551958"/>
    <w:rsid w:val="0055335A"/>
    <w:rsid w:val="00553B24"/>
    <w:rsid w:val="0055422D"/>
    <w:rsid w:val="00554789"/>
    <w:rsid w:val="005549B8"/>
    <w:rsid w:val="0055509F"/>
    <w:rsid w:val="00555266"/>
    <w:rsid w:val="005557BC"/>
    <w:rsid w:val="00555AE6"/>
    <w:rsid w:val="00556333"/>
    <w:rsid w:val="00556E13"/>
    <w:rsid w:val="0055700C"/>
    <w:rsid w:val="00557FC4"/>
    <w:rsid w:val="005605AD"/>
    <w:rsid w:val="00561D35"/>
    <w:rsid w:val="0056212D"/>
    <w:rsid w:val="0056250B"/>
    <w:rsid w:val="005627AB"/>
    <w:rsid w:val="00564698"/>
    <w:rsid w:val="005648D2"/>
    <w:rsid w:val="005653A9"/>
    <w:rsid w:val="00565AF2"/>
    <w:rsid w:val="0056758F"/>
    <w:rsid w:val="0057038E"/>
    <w:rsid w:val="00570F55"/>
    <w:rsid w:val="00571076"/>
    <w:rsid w:val="00571795"/>
    <w:rsid w:val="00571828"/>
    <w:rsid w:val="005724D1"/>
    <w:rsid w:val="00573130"/>
    <w:rsid w:val="00574B7B"/>
    <w:rsid w:val="0057582F"/>
    <w:rsid w:val="005758A6"/>
    <w:rsid w:val="00575BCB"/>
    <w:rsid w:val="00576132"/>
    <w:rsid w:val="00576986"/>
    <w:rsid w:val="00576F19"/>
    <w:rsid w:val="005777CE"/>
    <w:rsid w:val="00577949"/>
    <w:rsid w:val="00580B12"/>
    <w:rsid w:val="00580B1B"/>
    <w:rsid w:val="00580F39"/>
    <w:rsid w:val="005811F2"/>
    <w:rsid w:val="00582BDD"/>
    <w:rsid w:val="005831CE"/>
    <w:rsid w:val="0058341F"/>
    <w:rsid w:val="00583928"/>
    <w:rsid w:val="0058421E"/>
    <w:rsid w:val="00584968"/>
    <w:rsid w:val="005857A1"/>
    <w:rsid w:val="0058695D"/>
    <w:rsid w:val="0059193B"/>
    <w:rsid w:val="00592405"/>
    <w:rsid w:val="00596016"/>
    <w:rsid w:val="00596DD7"/>
    <w:rsid w:val="005975C2"/>
    <w:rsid w:val="005A0171"/>
    <w:rsid w:val="005A052F"/>
    <w:rsid w:val="005A1844"/>
    <w:rsid w:val="005A1A63"/>
    <w:rsid w:val="005A1CB3"/>
    <w:rsid w:val="005A2461"/>
    <w:rsid w:val="005A2D47"/>
    <w:rsid w:val="005A30EA"/>
    <w:rsid w:val="005A3292"/>
    <w:rsid w:val="005A3AF6"/>
    <w:rsid w:val="005A3E0D"/>
    <w:rsid w:val="005A427B"/>
    <w:rsid w:val="005A54EF"/>
    <w:rsid w:val="005A632E"/>
    <w:rsid w:val="005B08CB"/>
    <w:rsid w:val="005B1116"/>
    <w:rsid w:val="005B1609"/>
    <w:rsid w:val="005B1D36"/>
    <w:rsid w:val="005B2C2C"/>
    <w:rsid w:val="005B3856"/>
    <w:rsid w:val="005B3BF1"/>
    <w:rsid w:val="005B44BA"/>
    <w:rsid w:val="005B47F8"/>
    <w:rsid w:val="005B4B89"/>
    <w:rsid w:val="005B5EE9"/>
    <w:rsid w:val="005B6E5C"/>
    <w:rsid w:val="005C0290"/>
    <w:rsid w:val="005C08EC"/>
    <w:rsid w:val="005C0963"/>
    <w:rsid w:val="005C1FAA"/>
    <w:rsid w:val="005C3239"/>
    <w:rsid w:val="005C35B8"/>
    <w:rsid w:val="005C447E"/>
    <w:rsid w:val="005C490A"/>
    <w:rsid w:val="005C4EAA"/>
    <w:rsid w:val="005C5417"/>
    <w:rsid w:val="005C54F6"/>
    <w:rsid w:val="005C5B52"/>
    <w:rsid w:val="005C5EC5"/>
    <w:rsid w:val="005C683F"/>
    <w:rsid w:val="005C6895"/>
    <w:rsid w:val="005C68F5"/>
    <w:rsid w:val="005D05A5"/>
    <w:rsid w:val="005D08D9"/>
    <w:rsid w:val="005D15AB"/>
    <w:rsid w:val="005D227E"/>
    <w:rsid w:val="005D2DCB"/>
    <w:rsid w:val="005D38F7"/>
    <w:rsid w:val="005D4E74"/>
    <w:rsid w:val="005D64D5"/>
    <w:rsid w:val="005D652F"/>
    <w:rsid w:val="005D6941"/>
    <w:rsid w:val="005D6C7A"/>
    <w:rsid w:val="005D73FD"/>
    <w:rsid w:val="005E0115"/>
    <w:rsid w:val="005E09F0"/>
    <w:rsid w:val="005E0E94"/>
    <w:rsid w:val="005E1620"/>
    <w:rsid w:val="005E22F8"/>
    <w:rsid w:val="005E2C2E"/>
    <w:rsid w:val="005E3D31"/>
    <w:rsid w:val="005E432D"/>
    <w:rsid w:val="005E4B77"/>
    <w:rsid w:val="005E542A"/>
    <w:rsid w:val="005E5DA6"/>
    <w:rsid w:val="005E5FD6"/>
    <w:rsid w:val="005E72E5"/>
    <w:rsid w:val="005F1206"/>
    <w:rsid w:val="005F143D"/>
    <w:rsid w:val="005F16C2"/>
    <w:rsid w:val="005F28C1"/>
    <w:rsid w:val="005F36AD"/>
    <w:rsid w:val="005F3952"/>
    <w:rsid w:val="005F4B4B"/>
    <w:rsid w:val="005F5537"/>
    <w:rsid w:val="005F5618"/>
    <w:rsid w:val="005F6F06"/>
    <w:rsid w:val="005F700A"/>
    <w:rsid w:val="005F7411"/>
    <w:rsid w:val="005F7584"/>
    <w:rsid w:val="00600164"/>
    <w:rsid w:val="006002E5"/>
    <w:rsid w:val="00600785"/>
    <w:rsid w:val="006008A9"/>
    <w:rsid w:val="00601526"/>
    <w:rsid w:val="00601BB3"/>
    <w:rsid w:val="00603D3C"/>
    <w:rsid w:val="00603D73"/>
    <w:rsid w:val="0060436D"/>
    <w:rsid w:val="00605B8F"/>
    <w:rsid w:val="0060670C"/>
    <w:rsid w:val="006074AB"/>
    <w:rsid w:val="00607763"/>
    <w:rsid w:val="0060799C"/>
    <w:rsid w:val="00610184"/>
    <w:rsid w:val="006115E9"/>
    <w:rsid w:val="0061173F"/>
    <w:rsid w:val="00611E89"/>
    <w:rsid w:val="0061323E"/>
    <w:rsid w:val="006133D5"/>
    <w:rsid w:val="00613488"/>
    <w:rsid w:val="00613D4D"/>
    <w:rsid w:val="006145E0"/>
    <w:rsid w:val="00615EED"/>
    <w:rsid w:val="00616B00"/>
    <w:rsid w:val="00617B57"/>
    <w:rsid w:val="00621626"/>
    <w:rsid w:val="006222C6"/>
    <w:rsid w:val="00622643"/>
    <w:rsid w:val="00622B9F"/>
    <w:rsid w:val="00623972"/>
    <w:rsid w:val="00623DD4"/>
    <w:rsid w:val="00624A9D"/>
    <w:rsid w:val="00624D03"/>
    <w:rsid w:val="00624E87"/>
    <w:rsid w:val="00624EA7"/>
    <w:rsid w:val="00627056"/>
    <w:rsid w:val="006270AB"/>
    <w:rsid w:val="00627595"/>
    <w:rsid w:val="00630013"/>
    <w:rsid w:val="0063060F"/>
    <w:rsid w:val="00631792"/>
    <w:rsid w:val="00631B14"/>
    <w:rsid w:val="00631EE2"/>
    <w:rsid w:val="006322FF"/>
    <w:rsid w:val="006323B6"/>
    <w:rsid w:val="00633BF3"/>
    <w:rsid w:val="00633E47"/>
    <w:rsid w:val="00634DBB"/>
    <w:rsid w:val="0063652F"/>
    <w:rsid w:val="0063667C"/>
    <w:rsid w:val="00636EFE"/>
    <w:rsid w:val="006376BC"/>
    <w:rsid w:val="00637882"/>
    <w:rsid w:val="0063797E"/>
    <w:rsid w:val="006379C7"/>
    <w:rsid w:val="00640EFC"/>
    <w:rsid w:val="00641219"/>
    <w:rsid w:val="0064152C"/>
    <w:rsid w:val="00641F29"/>
    <w:rsid w:val="00642328"/>
    <w:rsid w:val="0064579B"/>
    <w:rsid w:val="00645DCE"/>
    <w:rsid w:val="00646250"/>
    <w:rsid w:val="00647A06"/>
    <w:rsid w:val="00651BDB"/>
    <w:rsid w:val="00652F0C"/>
    <w:rsid w:val="00653B19"/>
    <w:rsid w:val="00654092"/>
    <w:rsid w:val="00654238"/>
    <w:rsid w:val="00655F79"/>
    <w:rsid w:val="00656011"/>
    <w:rsid w:val="00657391"/>
    <w:rsid w:val="006579D6"/>
    <w:rsid w:val="00657D66"/>
    <w:rsid w:val="00660554"/>
    <w:rsid w:val="006609C0"/>
    <w:rsid w:val="00660AA3"/>
    <w:rsid w:val="0066159F"/>
    <w:rsid w:val="00663DCF"/>
    <w:rsid w:val="00664409"/>
    <w:rsid w:val="006646D8"/>
    <w:rsid w:val="00664A46"/>
    <w:rsid w:val="00664ABD"/>
    <w:rsid w:val="00664E65"/>
    <w:rsid w:val="00665A4A"/>
    <w:rsid w:val="006660B4"/>
    <w:rsid w:val="006660F5"/>
    <w:rsid w:val="006661D4"/>
    <w:rsid w:val="006668D5"/>
    <w:rsid w:val="006669FF"/>
    <w:rsid w:val="0066779B"/>
    <w:rsid w:val="00667C59"/>
    <w:rsid w:val="00667DC1"/>
    <w:rsid w:val="00671981"/>
    <w:rsid w:val="00672CFF"/>
    <w:rsid w:val="00673AB3"/>
    <w:rsid w:val="006740FD"/>
    <w:rsid w:val="00674BA9"/>
    <w:rsid w:val="00674C6D"/>
    <w:rsid w:val="006759C4"/>
    <w:rsid w:val="00676C05"/>
    <w:rsid w:val="006771A4"/>
    <w:rsid w:val="006778C6"/>
    <w:rsid w:val="00680614"/>
    <w:rsid w:val="00680F23"/>
    <w:rsid w:val="006810D8"/>
    <w:rsid w:val="00681304"/>
    <w:rsid w:val="00681BC5"/>
    <w:rsid w:val="006828F7"/>
    <w:rsid w:val="00684943"/>
    <w:rsid w:val="0068552D"/>
    <w:rsid w:val="006863AD"/>
    <w:rsid w:val="00686BA5"/>
    <w:rsid w:val="00686EAB"/>
    <w:rsid w:val="00687740"/>
    <w:rsid w:val="0069067A"/>
    <w:rsid w:val="006909E5"/>
    <w:rsid w:val="00691051"/>
    <w:rsid w:val="006910B6"/>
    <w:rsid w:val="00692704"/>
    <w:rsid w:val="00693662"/>
    <w:rsid w:val="00693901"/>
    <w:rsid w:val="006941EF"/>
    <w:rsid w:val="00694292"/>
    <w:rsid w:val="006944A9"/>
    <w:rsid w:val="00694D07"/>
    <w:rsid w:val="00694FB0"/>
    <w:rsid w:val="00695BF8"/>
    <w:rsid w:val="00696064"/>
    <w:rsid w:val="0069669F"/>
    <w:rsid w:val="006968EC"/>
    <w:rsid w:val="00696B79"/>
    <w:rsid w:val="006970A2"/>
    <w:rsid w:val="006973FA"/>
    <w:rsid w:val="006A106E"/>
    <w:rsid w:val="006A1A86"/>
    <w:rsid w:val="006A2193"/>
    <w:rsid w:val="006A2235"/>
    <w:rsid w:val="006A263A"/>
    <w:rsid w:val="006A3385"/>
    <w:rsid w:val="006A350B"/>
    <w:rsid w:val="006A3BED"/>
    <w:rsid w:val="006A43B2"/>
    <w:rsid w:val="006A4899"/>
    <w:rsid w:val="006A56FD"/>
    <w:rsid w:val="006A63F7"/>
    <w:rsid w:val="006A6C3E"/>
    <w:rsid w:val="006A73B9"/>
    <w:rsid w:val="006A751B"/>
    <w:rsid w:val="006A79FD"/>
    <w:rsid w:val="006A7FEB"/>
    <w:rsid w:val="006B06DB"/>
    <w:rsid w:val="006B137A"/>
    <w:rsid w:val="006B13CC"/>
    <w:rsid w:val="006B1667"/>
    <w:rsid w:val="006B2D9A"/>
    <w:rsid w:val="006B2FFC"/>
    <w:rsid w:val="006B3A1B"/>
    <w:rsid w:val="006B3ABF"/>
    <w:rsid w:val="006B3C8C"/>
    <w:rsid w:val="006B61C8"/>
    <w:rsid w:val="006B62F2"/>
    <w:rsid w:val="006B6D3A"/>
    <w:rsid w:val="006B73E6"/>
    <w:rsid w:val="006C061D"/>
    <w:rsid w:val="006C0696"/>
    <w:rsid w:val="006C1459"/>
    <w:rsid w:val="006C19F4"/>
    <w:rsid w:val="006C2300"/>
    <w:rsid w:val="006C2390"/>
    <w:rsid w:val="006C33B5"/>
    <w:rsid w:val="006C4555"/>
    <w:rsid w:val="006C4972"/>
    <w:rsid w:val="006C4BA9"/>
    <w:rsid w:val="006C4BED"/>
    <w:rsid w:val="006C590B"/>
    <w:rsid w:val="006C6195"/>
    <w:rsid w:val="006C6896"/>
    <w:rsid w:val="006D0BDC"/>
    <w:rsid w:val="006D2F5C"/>
    <w:rsid w:val="006D3D17"/>
    <w:rsid w:val="006D40DA"/>
    <w:rsid w:val="006D4298"/>
    <w:rsid w:val="006D59B8"/>
    <w:rsid w:val="006D628B"/>
    <w:rsid w:val="006D6B4E"/>
    <w:rsid w:val="006D6EF1"/>
    <w:rsid w:val="006D7FCF"/>
    <w:rsid w:val="006E0260"/>
    <w:rsid w:val="006E1871"/>
    <w:rsid w:val="006E1E28"/>
    <w:rsid w:val="006E1E2E"/>
    <w:rsid w:val="006E2336"/>
    <w:rsid w:val="006E2494"/>
    <w:rsid w:val="006E36C7"/>
    <w:rsid w:val="006E5472"/>
    <w:rsid w:val="006E62D7"/>
    <w:rsid w:val="006E6493"/>
    <w:rsid w:val="006E668B"/>
    <w:rsid w:val="006E6852"/>
    <w:rsid w:val="006F1BFA"/>
    <w:rsid w:val="006F1D89"/>
    <w:rsid w:val="006F2373"/>
    <w:rsid w:val="006F3492"/>
    <w:rsid w:val="006F4A87"/>
    <w:rsid w:val="006F5ED2"/>
    <w:rsid w:val="006F641C"/>
    <w:rsid w:val="006F6FBC"/>
    <w:rsid w:val="006F70CC"/>
    <w:rsid w:val="00700EEF"/>
    <w:rsid w:val="0070491E"/>
    <w:rsid w:val="00705E0D"/>
    <w:rsid w:val="00706773"/>
    <w:rsid w:val="00706ACC"/>
    <w:rsid w:val="0070743F"/>
    <w:rsid w:val="00710556"/>
    <w:rsid w:val="00710C14"/>
    <w:rsid w:val="00710E60"/>
    <w:rsid w:val="00710FA0"/>
    <w:rsid w:val="007112BE"/>
    <w:rsid w:val="00711327"/>
    <w:rsid w:val="00713244"/>
    <w:rsid w:val="00713294"/>
    <w:rsid w:val="00713671"/>
    <w:rsid w:val="00713DF1"/>
    <w:rsid w:val="0071428F"/>
    <w:rsid w:val="0071720A"/>
    <w:rsid w:val="007173FC"/>
    <w:rsid w:val="00717BC5"/>
    <w:rsid w:val="00720F35"/>
    <w:rsid w:val="007219C6"/>
    <w:rsid w:val="00721D3C"/>
    <w:rsid w:val="00721ECA"/>
    <w:rsid w:val="00721FF8"/>
    <w:rsid w:val="00722DA2"/>
    <w:rsid w:val="0072372E"/>
    <w:rsid w:val="00723EE7"/>
    <w:rsid w:val="007242FD"/>
    <w:rsid w:val="0072442C"/>
    <w:rsid w:val="00725411"/>
    <w:rsid w:val="00726562"/>
    <w:rsid w:val="00727DB6"/>
    <w:rsid w:val="007305EA"/>
    <w:rsid w:val="00731509"/>
    <w:rsid w:val="00731E84"/>
    <w:rsid w:val="0073265E"/>
    <w:rsid w:val="007334B2"/>
    <w:rsid w:val="007334C8"/>
    <w:rsid w:val="00733560"/>
    <w:rsid w:val="00733D90"/>
    <w:rsid w:val="00733FE7"/>
    <w:rsid w:val="00734609"/>
    <w:rsid w:val="0073470C"/>
    <w:rsid w:val="00735919"/>
    <w:rsid w:val="00736460"/>
    <w:rsid w:val="007367AC"/>
    <w:rsid w:val="00737523"/>
    <w:rsid w:val="00737A3B"/>
    <w:rsid w:val="00737F65"/>
    <w:rsid w:val="00740984"/>
    <w:rsid w:val="00740F88"/>
    <w:rsid w:val="007411B3"/>
    <w:rsid w:val="00741E87"/>
    <w:rsid w:val="00741FEC"/>
    <w:rsid w:val="0074272C"/>
    <w:rsid w:val="00742CA5"/>
    <w:rsid w:val="00742F78"/>
    <w:rsid w:val="00742F7F"/>
    <w:rsid w:val="00743638"/>
    <w:rsid w:val="00744D22"/>
    <w:rsid w:val="00744E7F"/>
    <w:rsid w:val="00744F95"/>
    <w:rsid w:val="00745318"/>
    <w:rsid w:val="00745E10"/>
    <w:rsid w:val="00746018"/>
    <w:rsid w:val="00746A79"/>
    <w:rsid w:val="00746B69"/>
    <w:rsid w:val="00746C5A"/>
    <w:rsid w:val="00746FA2"/>
    <w:rsid w:val="00747531"/>
    <w:rsid w:val="00750AE3"/>
    <w:rsid w:val="00750B6E"/>
    <w:rsid w:val="00750CCE"/>
    <w:rsid w:val="00750E5A"/>
    <w:rsid w:val="00751782"/>
    <w:rsid w:val="00751FF8"/>
    <w:rsid w:val="00752275"/>
    <w:rsid w:val="007528A3"/>
    <w:rsid w:val="00752FEF"/>
    <w:rsid w:val="0075404F"/>
    <w:rsid w:val="00754145"/>
    <w:rsid w:val="00754C6F"/>
    <w:rsid w:val="00756BC7"/>
    <w:rsid w:val="00756CAC"/>
    <w:rsid w:val="00757010"/>
    <w:rsid w:val="0076010E"/>
    <w:rsid w:val="007616B4"/>
    <w:rsid w:val="007626E6"/>
    <w:rsid w:val="00763AB0"/>
    <w:rsid w:val="007643F4"/>
    <w:rsid w:val="00764E4B"/>
    <w:rsid w:val="007658FD"/>
    <w:rsid w:val="00765FAE"/>
    <w:rsid w:val="007662FB"/>
    <w:rsid w:val="00767729"/>
    <w:rsid w:val="007712B0"/>
    <w:rsid w:val="007719B7"/>
    <w:rsid w:val="00774D1B"/>
    <w:rsid w:val="007751D5"/>
    <w:rsid w:val="00775256"/>
    <w:rsid w:val="00775A97"/>
    <w:rsid w:val="00775E2C"/>
    <w:rsid w:val="00775F9E"/>
    <w:rsid w:val="007760E2"/>
    <w:rsid w:val="007762FC"/>
    <w:rsid w:val="007764DD"/>
    <w:rsid w:val="007773BB"/>
    <w:rsid w:val="0077766A"/>
    <w:rsid w:val="007805DB"/>
    <w:rsid w:val="00780AEB"/>
    <w:rsid w:val="00780CCE"/>
    <w:rsid w:val="00781C86"/>
    <w:rsid w:val="0078203E"/>
    <w:rsid w:val="007827AA"/>
    <w:rsid w:val="0078324E"/>
    <w:rsid w:val="00783295"/>
    <w:rsid w:val="00783616"/>
    <w:rsid w:val="007840E7"/>
    <w:rsid w:val="00784D0F"/>
    <w:rsid w:val="0078549A"/>
    <w:rsid w:val="0078751C"/>
    <w:rsid w:val="00787D67"/>
    <w:rsid w:val="00790DAA"/>
    <w:rsid w:val="0079125D"/>
    <w:rsid w:val="00792688"/>
    <w:rsid w:val="0079353A"/>
    <w:rsid w:val="007937DF"/>
    <w:rsid w:val="007938D6"/>
    <w:rsid w:val="00793D9C"/>
    <w:rsid w:val="007965C4"/>
    <w:rsid w:val="00796F3E"/>
    <w:rsid w:val="007977E1"/>
    <w:rsid w:val="00797F17"/>
    <w:rsid w:val="007A08D9"/>
    <w:rsid w:val="007A1D34"/>
    <w:rsid w:val="007A1F3C"/>
    <w:rsid w:val="007A203A"/>
    <w:rsid w:val="007A239A"/>
    <w:rsid w:val="007A3B32"/>
    <w:rsid w:val="007A3DEE"/>
    <w:rsid w:val="007A584B"/>
    <w:rsid w:val="007A627E"/>
    <w:rsid w:val="007A7BF6"/>
    <w:rsid w:val="007B07E9"/>
    <w:rsid w:val="007B0DFC"/>
    <w:rsid w:val="007B18A8"/>
    <w:rsid w:val="007B282F"/>
    <w:rsid w:val="007B2CE5"/>
    <w:rsid w:val="007B3AA9"/>
    <w:rsid w:val="007B4AC0"/>
    <w:rsid w:val="007B59C4"/>
    <w:rsid w:val="007B7222"/>
    <w:rsid w:val="007B73B8"/>
    <w:rsid w:val="007C0121"/>
    <w:rsid w:val="007C0894"/>
    <w:rsid w:val="007C0D21"/>
    <w:rsid w:val="007C169C"/>
    <w:rsid w:val="007C186F"/>
    <w:rsid w:val="007C23B8"/>
    <w:rsid w:val="007C2A9E"/>
    <w:rsid w:val="007C2B71"/>
    <w:rsid w:val="007C4046"/>
    <w:rsid w:val="007C4282"/>
    <w:rsid w:val="007C43B0"/>
    <w:rsid w:val="007C4F03"/>
    <w:rsid w:val="007C5681"/>
    <w:rsid w:val="007C60C6"/>
    <w:rsid w:val="007C6D37"/>
    <w:rsid w:val="007C7302"/>
    <w:rsid w:val="007C75C3"/>
    <w:rsid w:val="007D0985"/>
    <w:rsid w:val="007D0DEF"/>
    <w:rsid w:val="007D1034"/>
    <w:rsid w:val="007D105A"/>
    <w:rsid w:val="007D2621"/>
    <w:rsid w:val="007D3A77"/>
    <w:rsid w:val="007D46D9"/>
    <w:rsid w:val="007D4F8A"/>
    <w:rsid w:val="007D54A2"/>
    <w:rsid w:val="007D56A3"/>
    <w:rsid w:val="007D5B10"/>
    <w:rsid w:val="007D5D70"/>
    <w:rsid w:val="007D74EF"/>
    <w:rsid w:val="007D7940"/>
    <w:rsid w:val="007E02BE"/>
    <w:rsid w:val="007E0745"/>
    <w:rsid w:val="007E2A04"/>
    <w:rsid w:val="007E37F9"/>
    <w:rsid w:val="007E4210"/>
    <w:rsid w:val="007E513D"/>
    <w:rsid w:val="007E5A0D"/>
    <w:rsid w:val="007E5C76"/>
    <w:rsid w:val="007E6846"/>
    <w:rsid w:val="007F043A"/>
    <w:rsid w:val="007F0C6B"/>
    <w:rsid w:val="007F11A7"/>
    <w:rsid w:val="007F2F44"/>
    <w:rsid w:val="007F4AE9"/>
    <w:rsid w:val="007F5855"/>
    <w:rsid w:val="007F6C0B"/>
    <w:rsid w:val="007F6C8A"/>
    <w:rsid w:val="007F7C6C"/>
    <w:rsid w:val="008009C3"/>
    <w:rsid w:val="00802646"/>
    <w:rsid w:val="008028F9"/>
    <w:rsid w:val="00802C16"/>
    <w:rsid w:val="00803049"/>
    <w:rsid w:val="0080346C"/>
    <w:rsid w:val="00804BC6"/>
    <w:rsid w:val="008051A5"/>
    <w:rsid w:val="00805529"/>
    <w:rsid w:val="00806A30"/>
    <w:rsid w:val="008071D5"/>
    <w:rsid w:val="00810726"/>
    <w:rsid w:val="00811081"/>
    <w:rsid w:val="00811A44"/>
    <w:rsid w:val="00813273"/>
    <w:rsid w:val="00813293"/>
    <w:rsid w:val="008165C9"/>
    <w:rsid w:val="0081743A"/>
    <w:rsid w:val="00817897"/>
    <w:rsid w:val="00820954"/>
    <w:rsid w:val="00821927"/>
    <w:rsid w:val="00821E54"/>
    <w:rsid w:val="00822406"/>
    <w:rsid w:val="0082256D"/>
    <w:rsid w:val="00822C3F"/>
    <w:rsid w:val="00824785"/>
    <w:rsid w:val="00824D92"/>
    <w:rsid w:val="008263F2"/>
    <w:rsid w:val="0082664E"/>
    <w:rsid w:val="0082674E"/>
    <w:rsid w:val="00826893"/>
    <w:rsid w:val="00827478"/>
    <w:rsid w:val="00827816"/>
    <w:rsid w:val="008312C7"/>
    <w:rsid w:val="00831389"/>
    <w:rsid w:val="008314B6"/>
    <w:rsid w:val="0083172F"/>
    <w:rsid w:val="00832245"/>
    <w:rsid w:val="00833CF0"/>
    <w:rsid w:val="00834AEB"/>
    <w:rsid w:val="00834E6B"/>
    <w:rsid w:val="008355D2"/>
    <w:rsid w:val="008362C4"/>
    <w:rsid w:val="00836CCA"/>
    <w:rsid w:val="008370E0"/>
    <w:rsid w:val="00837924"/>
    <w:rsid w:val="0084026C"/>
    <w:rsid w:val="00840611"/>
    <w:rsid w:val="00840B77"/>
    <w:rsid w:val="00840F02"/>
    <w:rsid w:val="008419FD"/>
    <w:rsid w:val="00841F6A"/>
    <w:rsid w:val="008421F3"/>
    <w:rsid w:val="00842245"/>
    <w:rsid w:val="008424A7"/>
    <w:rsid w:val="00842702"/>
    <w:rsid w:val="008427A2"/>
    <w:rsid w:val="008427BD"/>
    <w:rsid w:val="008430A9"/>
    <w:rsid w:val="0084341D"/>
    <w:rsid w:val="008438E9"/>
    <w:rsid w:val="00844696"/>
    <w:rsid w:val="00845317"/>
    <w:rsid w:val="008453C1"/>
    <w:rsid w:val="00845979"/>
    <w:rsid w:val="008461BC"/>
    <w:rsid w:val="008466C5"/>
    <w:rsid w:val="00846DAF"/>
    <w:rsid w:val="00847A56"/>
    <w:rsid w:val="00850831"/>
    <w:rsid w:val="00850B24"/>
    <w:rsid w:val="00850BA0"/>
    <w:rsid w:val="00850CF1"/>
    <w:rsid w:val="008511C5"/>
    <w:rsid w:val="00851421"/>
    <w:rsid w:val="008515B0"/>
    <w:rsid w:val="008524D4"/>
    <w:rsid w:val="00853526"/>
    <w:rsid w:val="00853DF7"/>
    <w:rsid w:val="00854822"/>
    <w:rsid w:val="00854F81"/>
    <w:rsid w:val="0085562A"/>
    <w:rsid w:val="00857668"/>
    <w:rsid w:val="008576B5"/>
    <w:rsid w:val="00857A55"/>
    <w:rsid w:val="00857EFD"/>
    <w:rsid w:val="0086015C"/>
    <w:rsid w:val="008606C6"/>
    <w:rsid w:val="00860727"/>
    <w:rsid w:val="00860C38"/>
    <w:rsid w:val="00861359"/>
    <w:rsid w:val="00861862"/>
    <w:rsid w:val="00862C8C"/>
    <w:rsid w:val="008636D6"/>
    <w:rsid w:val="00863B98"/>
    <w:rsid w:val="008643B1"/>
    <w:rsid w:val="00866372"/>
    <w:rsid w:val="00866BB3"/>
    <w:rsid w:val="00866CF5"/>
    <w:rsid w:val="00867980"/>
    <w:rsid w:val="00867C49"/>
    <w:rsid w:val="00867DC5"/>
    <w:rsid w:val="00867E70"/>
    <w:rsid w:val="008711EF"/>
    <w:rsid w:val="00871BE8"/>
    <w:rsid w:val="00871E14"/>
    <w:rsid w:val="00871E36"/>
    <w:rsid w:val="00872496"/>
    <w:rsid w:val="00873657"/>
    <w:rsid w:val="00873FF2"/>
    <w:rsid w:val="00874E49"/>
    <w:rsid w:val="00875ADA"/>
    <w:rsid w:val="00876FDD"/>
    <w:rsid w:val="00877791"/>
    <w:rsid w:val="00880F62"/>
    <w:rsid w:val="0088184D"/>
    <w:rsid w:val="00881877"/>
    <w:rsid w:val="008857D9"/>
    <w:rsid w:val="00885EE0"/>
    <w:rsid w:val="00886691"/>
    <w:rsid w:val="00886BA1"/>
    <w:rsid w:val="00886C88"/>
    <w:rsid w:val="00886CB4"/>
    <w:rsid w:val="00891F86"/>
    <w:rsid w:val="00892684"/>
    <w:rsid w:val="008928C2"/>
    <w:rsid w:val="008947F8"/>
    <w:rsid w:val="00894F73"/>
    <w:rsid w:val="00895070"/>
    <w:rsid w:val="00895D58"/>
    <w:rsid w:val="008973E1"/>
    <w:rsid w:val="00897D42"/>
    <w:rsid w:val="008A007F"/>
    <w:rsid w:val="008A180A"/>
    <w:rsid w:val="008A1D8C"/>
    <w:rsid w:val="008A2B3C"/>
    <w:rsid w:val="008A3970"/>
    <w:rsid w:val="008A39E7"/>
    <w:rsid w:val="008A3C89"/>
    <w:rsid w:val="008A499C"/>
    <w:rsid w:val="008A4FF0"/>
    <w:rsid w:val="008A5BE3"/>
    <w:rsid w:val="008A6D7A"/>
    <w:rsid w:val="008A732A"/>
    <w:rsid w:val="008A742E"/>
    <w:rsid w:val="008A7864"/>
    <w:rsid w:val="008B0BDE"/>
    <w:rsid w:val="008B17FB"/>
    <w:rsid w:val="008B1B64"/>
    <w:rsid w:val="008B2230"/>
    <w:rsid w:val="008B26D5"/>
    <w:rsid w:val="008B2C48"/>
    <w:rsid w:val="008B4372"/>
    <w:rsid w:val="008B5E34"/>
    <w:rsid w:val="008B7641"/>
    <w:rsid w:val="008B7786"/>
    <w:rsid w:val="008B7E32"/>
    <w:rsid w:val="008C05BD"/>
    <w:rsid w:val="008C301A"/>
    <w:rsid w:val="008C3100"/>
    <w:rsid w:val="008C3312"/>
    <w:rsid w:val="008C37AF"/>
    <w:rsid w:val="008C42B4"/>
    <w:rsid w:val="008C4406"/>
    <w:rsid w:val="008C485C"/>
    <w:rsid w:val="008C4C28"/>
    <w:rsid w:val="008C4FAD"/>
    <w:rsid w:val="008C7664"/>
    <w:rsid w:val="008C77E0"/>
    <w:rsid w:val="008C79F0"/>
    <w:rsid w:val="008D03C9"/>
    <w:rsid w:val="008D1D78"/>
    <w:rsid w:val="008D2969"/>
    <w:rsid w:val="008D2DCE"/>
    <w:rsid w:val="008D32CD"/>
    <w:rsid w:val="008D3EE8"/>
    <w:rsid w:val="008D4009"/>
    <w:rsid w:val="008D4349"/>
    <w:rsid w:val="008D49EA"/>
    <w:rsid w:val="008D5369"/>
    <w:rsid w:val="008D613A"/>
    <w:rsid w:val="008D6BCF"/>
    <w:rsid w:val="008D7490"/>
    <w:rsid w:val="008D7CC1"/>
    <w:rsid w:val="008E02AC"/>
    <w:rsid w:val="008E078E"/>
    <w:rsid w:val="008E0AD3"/>
    <w:rsid w:val="008E0E72"/>
    <w:rsid w:val="008E1047"/>
    <w:rsid w:val="008E12C3"/>
    <w:rsid w:val="008E17CA"/>
    <w:rsid w:val="008E1978"/>
    <w:rsid w:val="008E19E8"/>
    <w:rsid w:val="008E2444"/>
    <w:rsid w:val="008E2B17"/>
    <w:rsid w:val="008E2E90"/>
    <w:rsid w:val="008E39B3"/>
    <w:rsid w:val="008E448B"/>
    <w:rsid w:val="008E4889"/>
    <w:rsid w:val="008E4AAA"/>
    <w:rsid w:val="008E64F0"/>
    <w:rsid w:val="008E71B1"/>
    <w:rsid w:val="008F015E"/>
    <w:rsid w:val="008F08C9"/>
    <w:rsid w:val="008F0DA9"/>
    <w:rsid w:val="008F197B"/>
    <w:rsid w:val="008F1F6F"/>
    <w:rsid w:val="008F2081"/>
    <w:rsid w:val="008F4407"/>
    <w:rsid w:val="008F45F2"/>
    <w:rsid w:val="008F4C57"/>
    <w:rsid w:val="008F5EEC"/>
    <w:rsid w:val="008F6651"/>
    <w:rsid w:val="008F6BB9"/>
    <w:rsid w:val="008F7555"/>
    <w:rsid w:val="008F7B36"/>
    <w:rsid w:val="0090023D"/>
    <w:rsid w:val="00901E80"/>
    <w:rsid w:val="00901F11"/>
    <w:rsid w:val="00903228"/>
    <w:rsid w:val="009034BB"/>
    <w:rsid w:val="00903D68"/>
    <w:rsid w:val="009057B0"/>
    <w:rsid w:val="00906180"/>
    <w:rsid w:val="009067A7"/>
    <w:rsid w:val="00906948"/>
    <w:rsid w:val="00907777"/>
    <w:rsid w:val="0091113E"/>
    <w:rsid w:val="0091119B"/>
    <w:rsid w:val="0091161D"/>
    <w:rsid w:val="00911BDB"/>
    <w:rsid w:val="00912452"/>
    <w:rsid w:val="009126E4"/>
    <w:rsid w:val="00912AEF"/>
    <w:rsid w:val="009137D2"/>
    <w:rsid w:val="00913C5B"/>
    <w:rsid w:val="00914525"/>
    <w:rsid w:val="0091463B"/>
    <w:rsid w:val="009154BC"/>
    <w:rsid w:val="009167FA"/>
    <w:rsid w:val="00917177"/>
    <w:rsid w:val="00917213"/>
    <w:rsid w:val="009176A4"/>
    <w:rsid w:val="00917830"/>
    <w:rsid w:val="009179D6"/>
    <w:rsid w:val="009207B5"/>
    <w:rsid w:val="00921AC7"/>
    <w:rsid w:val="00921DB5"/>
    <w:rsid w:val="009222F6"/>
    <w:rsid w:val="0092263E"/>
    <w:rsid w:val="00922FA7"/>
    <w:rsid w:val="009230A8"/>
    <w:rsid w:val="00923EBB"/>
    <w:rsid w:val="009247D5"/>
    <w:rsid w:val="009247D8"/>
    <w:rsid w:val="00925084"/>
    <w:rsid w:val="009252FD"/>
    <w:rsid w:val="009254E2"/>
    <w:rsid w:val="009261C5"/>
    <w:rsid w:val="009262BA"/>
    <w:rsid w:val="009268C8"/>
    <w:rsid w:val="00927EEC"/>
    <w:rsid w:val="00930632"/>
    <w:rsid w:val="00932927"/>
    <w:rsid w:val="00933228"/>
    <w:rsid w:val="00933CC3"/>
    <w:rsid w:val="00933EAF"/>
    <w:rsid w:val="0093660E"/>
    <w:rsid w:val="00936A8B"/>
    <w:rsid w:val="00936E94"/>
    <w:rsid w:val="009377C8"/>
    <w:rsid w:val="00937AF9"/>
    <w:rsid w:val="00937D74"/>
    <w:rsid w:val="009405D7"/>
    <w:rsid w:val="009407D3"/>
    <w:rsid w:val="00940D5A"/>
    <w:rsid w:val="00941067"/>
    <w:rsid w:val="00941A88"/>
    <w:rsid w:val="009425A7"/>
    <w:rsid w:val="0094334C"/>
    <w:rsid w:val="00943D89"/>
    <w:rsid w:val="00944969"/>
    <w:rsid w:val="00944FC7"/>
    <w:rsid w:val="0094674B"/>
    <w:rsid w:val="00946F0C"/>
    <w:rsid w:val="009476D3"/>
    <w:rsid w:val="00947DB0"/>
    <w:rsid w:val="00951BF4"/>
    <w:rsid w:val="00952FC4"/>
    <w:rsid w:val="0095396F"/>
    <w:rsid w:val="009557BE"/>
    <w:rsid w:val="009560A9"/>
    <w:rsid w:val="00956F91"/>
    <w:rsid w:val="00957A10"/>
    <w:rsid w:val="00957E1D"/>
    <w:rsid w:val="00957EC1"/>
    <w:rsid w:val="00957F36"/>
    <w:rsid w:val="00960020"/>
    <w:rsid w:val="00960298"/>
    <w:rsid w:val="00960E68"/>
    <w:rsid w:val="009617EB"/>
    <w:rsid w:val="00962442"/>
    <w:rsid w:val="00962569"/>
    <w:rsid w:val="0096262A"/>
    <w:rsid w:val="00962759"/>
    <w:rsid w:val="00963690"/>
    <w:rsid w:val="00964E61"/>
    <w:rsid w:val="00964E66"/>
    <w:rsid w:val="00965558"/>
    <w:rsid w:val="00965737"/>
    <w:rsid w:val="00965899"/>
    <w:rsid w:val="009659E1"/>
    <w:rsid w:val="0096609E"/>
    <w:rsid w:val="00966F72"/>
    <w:rsid w:val="00967036"/>
    <w:rsid w:val="00967497"/>
    <w:rsid w:val="00967708"/>
    <w:rsid w:val="009707DE"/>
    <w:rsid w:val="009707E1"/>
    <w:rsid w:val="00970F53"/>
    <w:rsid w:val="00971B44"/>
    <w:rsid w:val="00971CEB"/>
    <w:rsid w:val="00972C7B"/>
    <w:rsid w:val="00972DD2"/>
    <w:rsid w:val="00972E34"/>
    <w:rsid w:val="009731D2"/>
    <w:rsid w:val="00973785"/>
    <w:rsid w:val="009756E9"/>
    <w:rsid w:val="0097595A"/>
    <w:rsid w:val="009766F9"/>
    <w:rsid w:val="009768AB"/>
    <w:rsid w:val="00976A95"/>
    <w:rsid w:val="00976AA5"/>
    <w:rsid w:val="00977FB4"/>
    <w:rsid w:val="00980120"/>
    <w:rsid w:val="0098042C"/>
    <w:rsid w:val="00980E44"/>
    <w:rsid w:val="00981929"/>
    <w:rsid w:val="00982232"/>
    <w:rsid w:val="00983709"/>
    <w:rsid w:val="009847C5"/>
    <w:rsid w:val="00984923"/>
    <w:rsid w:val="00985FA3"/>
    <w:rsid w:val="009922A4"/>
    <w:rsid w:val="0099232B"/>
    <w:rsid w:val="009929D4"/>
    <w:rsid w:val="00994449"/>
    <w:rsid w:val="00994DDE"/>
    <w:rsid w:val="0099505B"/>
    <w:rsid w:val="00995C53"/>
    <w:rsid w:val="00995F65"/>
    <w:rsid w:val="00996312"/>
    <w:rsid w:val="00996747"/>
    <w:rsid w:val="009971C6"/>
    <w:rsid w:val="009979A7"/>
    <w:rsid w:val="00997E2F"/>
    <w:rsid w:val="009A0E96"/>
    <w:rsid w:val="009A13A2"/>
    <w:rsid w:val="009A142D"/>
    <w:rsid w:val="009A1559"/>
    <w:rsid w:val="009A180C"/>
    <w:rsid w:val="009A1EFD"/>
    <w:rsid w:val="009A2813"/>
    <w:rsid w:val="009A2A8A"/>
    <w:rsid w:val="009A2FFC"/>
    <w:rsid w:val="009A38FD"/>
    <w:rsid w:val="009A4DE2"/>
    <w:rsid w:val="009A573E"/>
    <w:rsid w:val="009A5861"/>
    <w:rsid w:val="009A71AA"/>
    <w:rsid w:val="009A7B8C"/>
    <w:rsid w:val="009B03EA"/>
    <w:rsid w:val="009B0583"/>
    <w:rsid w:val="009B064C"/>
    <w:rsid w:val="009B1621"/>
    <w:rsid w:val="009B1CB9"/>
    <w:rsid w:val="009B2F47"/>
    <w:rsid w:val="009B2F53"/>
    <w:rsid w:val="009B4C51"/>
    <w:rsid w:val="009B5DF9"/>
    <w:rsid w:val="009B6046"/>
    <w:rsid w:val="009B6667"/>
    <w:rsid w:val="009B753B"/>
    <w:rsid w:val="009C0E1F"/>
    <w:rsid w:val="009C0F8E"/>
    <w:rsid w:val="009C1386"/>
    <w:rsid w:val="009C15C9"/>
    <w:rsid w:val="009C1AAF"/>
    <w:rsid w:val="009C3A6F"/>
    <w:rsid w:val="009C40E5"/>
    <w:rsid w:val="009C4E1B"/>
    <w:rsid w:val="009C5D83"/>
    <w:rsid w:val="009C6F46"/>
    <w:rsid w:val="009C715B"/>
    <w:rsid w:val="009C7660"/>
    <w:rsid w:val="009D142B"/>
    <w:rsid w:val="009D186B"/>
    <w:rsid w:val="009D24D6"/>
    <w:rsid w:val="009D2A6C"/>
    <w:rsid w:val="009D4C58"/>
    <w:rsid w:val="009D5330"/>
    <w:rsid w:val="009D5C88"/>
    <w:rsid w:val="009D7644"/>
    <w:rsid w:val="009D775C"/>
    <w:rsid w:val="009D7985"/>
    <w:rsid w:val="009D7B10"/>
    <w:rsid w:val="009E07ED"/>
    <w:rsid w:val="009E3619"/>
    <w:rsid w:val="009E3F82"/>
    <w:rsid w:val="009E50BF"/>
    <w:rsid w:val="009E5882"/>
    <w:rsid w:val="009E5F87"/>
    <w:rsid w:val="009E61B2"/>
    <w:rsid w:val="009E6B12"/>
    <w:rsid w:val="009E7038"/>
    <w:rsid w:val="009E75C7"/>
    <w:rsid w:val="009F1217"/>
    <w:rsid w:val="009F1689"/>
    <w:rsid w:val="009F29D4"/>
    <w:rsid w:val="009F3514"/>
    <w:rsid w:val="009F3A00"/>
    <w:rsid w:val="009F3C22"/>
    <w:rsid w:val="009F40A7"/>
    <w:rsid w:val="009F47C9"/>
    <w:rsid w:val="009F4969"/>
    <w:rsid w:val="009F65C0"/>
    <w:rsid w:val="009F6DD3"/>
    <w:rsid w:val="009F7619"/>
    <w:rsid w:val="009F7990"/>
    <w:rsid w:val="009F7A41"/>
    <w:rsid w:val="00A00FF5"/>
    <w:rsid w:val="00A010C0"/>
    <w:rsid w:val="00A02824"/>
    <w:rsid w:val="00A029EC"/>
    <w:rsid w:val="00A02E12"/>
    <w:rsid w:val="00A03237"/>
    <w:rsid w:val="00A03A93"/>
    <w:rsid w:val="00A0493B"/>
    <w:rsid w:val="00A04983"/>
    <w:rsid w:val="00A04A85"/>
    <w:rsid w:val="00A05C5E"/>
    <w:rsid w:val="00A06067"/>
    <w:rsid w:val="00A060B4"/>
    <w:rsid w:val="00A065CB"/>
    <w:rsid w:val="00A072B6"/>
    <w:rsid w:val="00A0753F"/>
    <w:rsid w:val="00A078E1"/>
    <w:rsid w:val="00A07C51"/>
    <w:rsid w:val="00A07DDA"/>
    <w:rsid w:val="00A10FA4"/>
    <w:rsid w:val="00A10FFD"/>
    <w:rsid w:val="00A11347"/>
    <w:rsid w:val="00A11818"/>
    <w:rsid w:val="00A130EB"/>
    <w:rsid w:val="00A14606"/>
    <w:rsid w:val="00A14CBD"/>
    <w:rsid w:val="00A162C0"/>
    <w:rsid w:val="00A17020"/>
    <w:rsid w:val="00A2037D"/>
    <w:rsid w:val="00A20447"/>
    <w:rsid w:val="00A20C3D"/>
    <w:rsid w:val="00A223AB"/>
    <w:rsid w:val="00A245E3"/>
    <w:rsid w:val="00A2536C"/>
    <w:rsid w:val="00A254ED"/>
    <w:rsid w:val="00A25A18"/>
    <w:rsid w:val="00A25E52"/>
    <w:rsid w:val="00A26678"/>
    <w:rsid w:val="00A27A8D"/>
    <w:rsid w:val="00A30A4F"/>
    <w:rsid w:val="00A30DE3"/>
    <w:rsid w:val="00A31DAA"/>
    <w:rsid w:val="00A32408"/>
    <w:rsid w:val="00A3259F"/>
    <w:rsid w:val="00A3278F"/>
    <w:rsid w:val="00A32D40"/>
    <w:rsid w:val="00A3310C"/>
    <w:rsid w:val="00A336D0"/>
    <w:rsid w:val="00A33B48"/>
    <w:rsid w:val="00A33D7C"/>
    <w:rsid w:val="00A3569C"/>
    <w:rsid w:val="00A35890"/>
    <w:rsid w:val="00A35DA3"/>
    <w:rsid w:val="00A36552"/>
    <w:rsid w:val="00A373D8"/>
    <w:rsid w:val="00A3786B"/>
    <w:rsid w:val="00A37CBC"/>
    <w:rsid w:val="00A37D8B"/>
    <w:rsid w:val="00A4162D"/>
    <w:rsid w:val="00A41C51"/>
    <w:rsid w:val="00A41DEF"/>
    <w:rsid w:val="00A42210"/>
    <w:rsid w:val="00A42C39"/>
    <w:rsid w:val="00A432A3"/>
    <w:rsid w:val="00A437FA"/>
    <w:rsid w:val="00A43CBA"/>
    <w:rsid w:val="00A4536D"/>
    <w:rsid w:val="00A45A2E"/>
    <w:rsid w:val="00A45B9A"/>
    <w:rsid w:val="00A463DE"/>
    <w:rsid w:val="00A46476"/>
    <w:rsid w:val="00A46E4A"/>
    <w:rsid w:val="00A46FD1"/>
    <w:rsid w:val="00A471A6"/>
    <w:rsid w:val="00A4776D"/>
    <w:rsid w:val="00A479EC"/>
    <w:rsid w:val="00A47AB3"/>
    <w:rsid w:val="00A47DA0"/>
    <w:rsid w:val="00A50784"/>
    <w:rsid w:val="00A50998"/>
    <w:rsid w:val="00A50AE6"/>
    <w:rsid w:val="00A50AF7"/>
    <w:rsid w:val="00A50D69"/>
    <w:rsid w:val="00A510BF"/>
    <w:rsid w:val="00A51559"/>
    <w:rsid w:val="00A52C35"/>
    <w:rsid w:val="00A53268"/>
    <w:rsid w:val="00A54379"/>
    <w:rsid w:val="00A5462F"/>
    <w:rsid w:val="00A54946"/>
    <w:rsid w:val="00A55AAA"/>
    <w:rsid w:val="00A55ADB"/>
    <w:rsid w:val="00A5656D"/>
    <w:rsid w:val="00A56932"/>
    <w:rsid w:val="00A6027F"/>
    <w:rsid w:val="00A60427"/>
    <w:rsid w:val="00A607BA"/>
    <w:rsid w:val="00A60E8C"/>
    <w:rsid w:val="00A613B4"/>
    <w:rsid w:val="00A613FC"/>
    <w:rsid w:val="00A620CE"/>
    <w:rsid w:val="00A628F4"/>
    <w:rsid w:val="00A63575"/>
    <w:rsid w:val="00A637E6"/>
    <w:rsid w:val="00A63C00"/>
    <w:rsid w:val="00A644D4"/>
    <w:rsid w:val="00A6472E"/>
    <w:rsid w:val="00A6486B"/>
    <w:rsid w:val="00A64947"/>
    <w:rsid w:val="00A6634A"/>
    <w:rsid w:val="00A66451"/>
    <w:rsid w:val="00A66D66"/>
    <w:rsid w:val="00A67AE3"/>
    <w:rsid w:val="00A70CBF"/>
    <w:rsid w:val="00A71AF4"/>
    <w:rsid w:val="00A71B99"/>
    <w:rsid w:val="00A72203"/>
    <w:rsid w:val="00A72AC2"/>
    <w:rsid w:val="00A72AC5"/>
    <w:rsid w:val="00A72B5C"/>
    <w:rsid w:val="00A730BB"/>
    <w:rsid w:val="00A73317"/>
    <w:rsid w:val="00A73BA9"/>
    <w:rsid w:val="00A73E6E"/>
    <w:rsid w:val="00A74B61"/>
    <w:rsid w:val="00A75242"/>
    <w:rsid w:val="00A75279"/>
    <w:rsid w:val="00A757C5"/>
    <w:rsid w:val="00A75CA2"/>
    <w:rsid w:val="00A7613A"/>
    <w:rsid w:val="00A76791"/>
    <w:rsid w:val="00A76A77"/>
    <w:rsid w:val="00A76B1F"/>
    <w:rsid w:val="00A76F31"/>
    <w:rsid w:val="00A77684"/>
    <w:rsid w:val="00A7768C"/>
    <w:rsid w:val="00A77BFF"/>
    <w:rsid w:val="00A810A9"/>
    <w:rsid w:val="00A81205"/>
    <w:rsid w:val="00A812BC"/>
    <w:rsid w:val="00A8193D"/>
    <w:rsid w:val="00A81C50"/>
    <w:rsid w:val="00A83387"/>
    <w:rsid w:val="00A8371E"/>
    <w:rsid w:val="00A83FD9"/>
    <w:rsid w:val="00A84CA4"/>
    <w:rsid w:val="00A85038"/>
    <w:rsid w:val="00A8640D"/>
    <w:rsid w:val="00A866D7"/>
    <w:rsid w:val="00A866F9"/>
    <w:rsid w:val="00A86746"/>
    <w:rsid w:val="00A86B87"/>
    <w:rsid w:val="00A86DB8"/>
    <w:rsid w:val="00A86EF7"/>
    <w:rsid w:val="00A87322"/>
    <w:rsid w:val="00A9001C"/>
    <w:rsid w:val="00A901F0"/>
    <w:rsid w:val="00A90776"/>
    <w:rsid w:val="00A90792"/>
    <w:rsid w:val="00A90956"/>
    <w:rsid w:val="00A913DF"/>
    <w:rsid w:val="00A917FD"/>
    <w:rsid w:val="00A91866"/>
    <w:rsid w:val="00A91D88"/>
    <w:rsid w:val="00A92B37"/>
    <w:rsid w:val="00A92F63"/>
    <w:rsid w:val="00A938CB"/>
    <w:rsid w:val="00A9402E"/>
    <w:rsid w:val="00A941FC"/>
    <w:rsid w:val="00A943FE"/>
    <w:rsid w:val="00A94742"/>
    <w:rsid w:val="00A9474E"/>
    <w:rsid w:val="00A951D3"/>
    <w:rsid w:val="00A95289"/>
    <w:rsid w:val="00A96080"/>
    <w:rsid w:val="00A97486"/>
    <w:rsid w:val="00AA10CE"/>
    <w:rsid w:val="00AA13D1"/>
    <w:rsid w:val="00AA1810"/>
    <w:rsid w:val="00AA1C4E"/>
    <w:rsid w:val="00AA241F"/>
    <w:rsid w:val="00AA321F"/>
    <w:rsid w:val="00AA3B9D"/>
    <w:rsid w:val="00AA3CAD"/>
    <w:rsid w:val="00AA3DC8"/>
    <w:rsid w:val="00AA4EAF"/>
    <w:rsid w:val="00AA57CA"/>
    <w:rsid w:val="00AA615F"/>
    <w:rsid w:val="00AA6A8C"/>
    <w:rsid w:val="00AA6F61"/>
    <w:rsid w:val="00AA750A"/>
    <w:rsid w:val="00AA79D8"/>
    <w:rsid w:val="00AB03EE"/>
    <w:rsid w:val="00AB075E"/>
    <w:rsid w:val="00AB1658"/>
    <w:rsid w:val="00AB28AD"/>
    <w:rsid w:val="00AB2E26"/>
    <w:rsid w:val="00AB2E3D"/>
    <w:rsid w:val="00AB3591"/>
    <w:rsid w:val="00AB36B7"/>
    <w:rsid w:val="00AB37C5"/>
    <w:rsid w:val="00AB384D"/>
    <w:rsid w:val="00AB4406"/>
    <w:rsid w:val="00AB503D"/>
    <w:rsid w:val="00AB5880"/>
    <w:rsid w:val="00AB60E6"/>
    <w:rsid w:val="00AB64E6"/>
    <w:rsid w:val="00AB6870"/>
    <w:rsid w:val="00AB6912"/>
    <w:rsid w:val="00AB7C0D"/>
    <w:rsid w:val="00AC0BFF"/>
    <w:rsid w:val="00AC1700"/>
    <w:rsid w:val="00AC1F08"/>
    <w:rsid w:val="00AC208E"/>
    <w:rsid w:val="00AC2BB3"/>
    <w:rsid w:val="00AC41D5"/>
    <w:rsid w:val="00AC5B4C"/>
    <w:rsid w:val="00AC5BF9"/>
    <w:rsid w:val="00AC61C3"/>
    <w:rsid w:val="00AC6690"/>
    <w:rsid w:val="00AC77F0"/>
    <w:rsid w:val="00AD0E20"/>
    <w:rsid w:val="00AD1999"/>
    <w:rsid w:val="00AD1A2C"/>
    <w:rsid w:val="00AD1FAA"/>
    <w:rsid w:val="00AD24BD"/>
    <w:rsid w:val="00AD2638"/>
    <w:rsid w:val="00AD40C4"/>
    <w:rsid w:val="00AD45D1"/>
    <w:rsid w:val="00AD4D69"/>
    <w:rsid w:val="00AD59D8"/>
    <w:rsid w:val="00AD6025"/>
    <w:rsid w:val="00AD72C5"/>
    <w:rsid w:val="00AD7817"/>
    <w:rsid w:val="00AE0260"/>
    <w:rsid w:val="00AE03E0"/>
    <w:rsid w:val="00AE07C1"/>
    <w:rsid w:val="00AE1267"/>
    <w:rsid w:val="00AE18AC"/>
    <w:rsid w:val="00AE18F5"/>
    <w:rsid w:val="00AE2044"/>
    <w:rsid w:val="00AE2171"/>
    <w:rsid w:val="00AE26B9"/>
    <w:rsid w:val="00AE2F24"/>
    <w:rsid w:val="00AE2FAD"/>
    <w:rsid w:val="00AE3A08"/>
    <w:rsid w:val="00AE3B92"/>
    <w:rsid w:val="00AE49D9"/>
    <w:rsid w:val="00AE550C"/>
    <w:rsid w:val="00AE59B1"/>
    <w:rsid w:val="00AE6A8C"/>
    <w:rsid w:val="00AE73B8"/>
    <w:rsid w:val="00AE7EBE"/>
    <w:rsid w:val="00AF09B0"/>
    <w:rsid w:val="00AF11AA"/>
    <w:rsid w:val="00AF12FC"/>
    <w:rsid w:val="00AF1DEE"/>
    <w:rsid w:val="00AF20DC"/>
    <w:rsid w:val="00AF2685"/>
    <w:rsid w:val="00AF2835"/>
    <w:rsid w:val="00AF3037"/>
    <w:rsid w:val="00AF39CA"/>
    <w:rsid w:val="00AF45B0"/>
    <w:rsid w:val="00AF46F7"/>
    <w:rsid w:val="00AF4F54"/>
    <w:rsid w:val="00B007AA"/>
    <w:rsid w:val="00B00DC7"/>
    <w:rsid w:val="00B013AF"/>
    <w:rsid w:val="00B02EB9"/>
    <w:rsid w:val="00B03244"/>
    <w:rsid w:val="00B0371B"/>
    <w:rsid w:val="00B04079"/>
    <w:rsid w:val="00B0513F"/>
    <w:rsid w:val="00B0515F"/>
    <w:rsid w:val="00B06B6D"/>
    <w:rsid w:val="00B07804"/>
    <w:rsid w:val="00B10288"/>
    <w:rsid w:val="00B11240"/>
    <w:rsid w:val="00B11691"/>
    <w:rsid w:val="00B11E21"/>
    <w:rsid w:val="00B12190"/>
    <w:rsid w:val="00B121B9"/>
    <w:rsid w:val="00B129E0"/>
    <w:rsid w:val="00B12C4B"/>
    <w:rsid w:val="00B13074"/>
    <w:rsid w:val="00B130D8"/>
    <w:rsid w:val="00B13218"/>
    <w:rsid w:val="00B13ED0"/>
    <w:rsid w:val="00B1450E"/>
    <w:rsid w:val="00B146A5"/>
    <w:rsid w:val="00B15D73"/>
    <w:rsid w:val="00B16C32"/>
    <w:rsid w:val="00B178C6"/>
    <w:rsid w:val="00B17C6C"/>
    <w:rsid w:val="00B2106C"/>
    <w:rsid w:val="00B210F0"/>
    <w:rsid w:val="00B217B4"/>
    <w:rsid w:val="00B22F66"/>
    <w:rsid w:val="00B23BC3"/>
    <w:rsid w:val="00B2420F"/>
    <w:rsid w:val="00B24666"/>
    <w:rsid w:val="00B24C2B"/>
    <w:rsid w:val="00B25451"/>
    <w:rsid w:val="00B2560F"/>
    <w:rsid w:val="00B27F33"/>
    <w:rsid w:val="00B301F6"/>
    <w:rsid w:val="00B30521"/>
    <w:rsid w:val="00B30815"/>
    <w:rsid w:val="00B31149"/>
    <w:rsid w:val="00B314CC"/>
    <w:rsid w:val="00B3172D"/>
    <w:rsid w:val="00B32235"/>
    <w:rsid w:val="00B3241E"/>
    <w:rsid w:val="00B32512"/>
    <w:rsid w:val="00B33E91"/>
    <w:rsid w:val="00B3411F"/>
    <w:rsid w:val="00B34BE4"/>
    <w:rsid w:val="00B34CB2"/>
    <w:rsid w:val="00B35811"/>
    <w:rsid w:val="00B3655D"/>
    <w:rsid w:val="00B371AF"/>
    <w:rsid w:val="00B373D5"/>
    <w:rsid w:val="00B37C98"/>
    <w:rsid w:val="00B40093"/>
    <w:rsid w:val="00B422EF"/>
    <w:rsid w:val="00B42C58"/>
    <w:rsid w:val="00B43CCA"/>
    <w:rsid w:val="00B44597"/>
    <w:rsid w:val="00B44EF3"/>
    <w:rsid w:val="00B45544"/>
    <w:rsid w:val="00B45C60"/>
    <w:rsid w:val="00B465AB"/>
    <w:rsid w:val="00B46835"/>
    <w:rsid w:val="00B475B8"/>
    <w:rsid w:val="00B51D5A"/>
    <w:rsid w:val="00B52296"/>
    <w:rsid w:val="00B52AD4"/>
    <w:rsid w:val="00B52E1B"/>
    <w:rsid w:val="00B52E86"/>
    <w:rsid w:val="00B54905"/>
    <w:rsid w:val="00B55B16"/>
    <w:rsid w:val="00B5660F"/>
    <w:rsid w:val="00B60F87"/>
    <w:rsid w:val="00B6134E"/>
    <w:rsid w:val="00B61520"/>
    <w:rsid w:val="00B62A21"/>
    <w:rsid w:val="00B63183"/>
    <w:rsid w:val="00B64552"/>
    <w:rsid w:val="00B64660"/>
    <w:rsid w:val="00B64EB4"/>
    <w:rsid w:val="00B64FBF"/>
    <w:rsid w:val="00B660EE"/>
    <w:rsid w:val="00B66D1C"/>
    <w:rsid w:val="00B67031"/>
    <w:rsid w:val="00B7087C"/>
    <w:rsid w:val="00B70AF8"/>
    <w:rsid w:val="00B7185B"/>
    <w:rsid w:val="00B71A77"/>
    <w:rsid w:val="00B71C9C"/>
    <w:rsid w:val="00B7219F"/>
    <w:rsid w:val="00B72F8D"/>
    <w:rsid w:val="00B73ACE"/>
    <w:rsid w:val="00B75C51"/>
    <w:rsid w:val="00B75EFB"/>
    <w:rsid w:val="00B76BAD"/>
    <w:rsid w:val="00B76EC1"/>
    <w:rsid w:val="00B770EA"/>
    <w:rsid w:val="00B771ED"/>
    <w:rsid w:val="00B77F75"/>
    <w:rsid w:val="00B80A8B"/>
    <w:rsid w:val="00B80C8B"/>
    <w:rsid w:val="00B81E95"/>
    <w:rsid w:val="00B8276A"/>
    <w:rsid w:val="00B828BF"/>
    <w:rsid w:val="00B82BB6"/>
    <w:rsid w:val="00B82F22"/>
    <w:rsid w:val="00B84393"/>
    <w:rsid w:val="00B84954"/>
    <w:rsid w:val="00B85600"/>
    <w:rsid w:val="00B8582E"/>
    <w:rsid w:val="00B8657D"/>
    <w:rsid w:val="00B87B3D"/>
    <w:rsid w:val="00B903F2"/>
    <w:rsid w:val="00B904E7"/>
    <w:rsid w:val="00B90BC9"/>
    <w:rsid w:val="00B919C9"/>
    <w:rsid w:val="00B91CC2"/>
    <w:rsid w:val="00B92598"/>
    <w:rsid w:val="00B944FB"/>
    <w:rsid w:val="00B946F3"/>
    <w:rsid w:val="00B9495F"/>
    <w:rsid w:val="00B955EC"/>
    <w:rsid w:val="00B9616B"/>
    <w:rsid w:val="00B961E8"/>
    <w:rsid w:val="00B96E03"/>
    <w:rsid w:val="00B979A6"/>
    <w:rsid w:val="00BA0358"/>
    <w:rsid w:val="00BA0582"/>
    <w:rsid w:val="00BA0BF9"/>
    <w:rsid w:val="00BA151F"/>
    <w:rsid w:val="00BA19DC"/>
    <w:rsid w:val="00BA2556"/>
    <w:rsid w:val="00BA3989"/>
    <w:rsid w:val="00BA4683"/>
    <w:rsid w:val="00BA481A"/>
    <w:rsid w:val="00BA56BB"/>
    <w:rsid w:val="00BA58A4"/>
    <w:rsid w:val="00BA5F8A"/>
    <w:rsid w:val="00BA707B"/>
    <w:rsid w:val="00BA7377"/>
    <w:rsid w:val="00BB0700"/>
    <w:rsid w:val="00BB0AF4"/>
    <w:rsid w:val="00BB489A"/>
    <w:rsid w:val="00BB4988"/>
    <w:rsid w:val="00BB7510"/>
    <w:rsid w:val="00BB7CEE"/>
    <w:rsid w:val="00BC0D0E"/>
    <w:rsid w:val="00BC1129"/>
    <w:rsid w:val="00BC2B81"/>
    <w:rsid w:val="00BC325E"/>
    <w:rsid w:val="00BC36B3"/>
    <w:rsid w:val="00BC4363"/>
    <w:rsid w:val="00BC43C0"/>
    <w:rsid w:val="00BC4511"/>
    <w:rsid w:val="00BC4B06"/>
    <w:rsid w:val="00BC5A44"/>
    <w:rsid w:val="00BC643E"/>
    <w:rsid w:val="00BC7E95"/>
    <w:rsid w:val="00BD0397"/>
    <w:rsid w:val="00BD08AB"/>
    <w:rsid w:val="00BD1A0D"/>
    <w:rsid w:val="00BD2A37"/>
    <w:rsid w:val="00BD30A1"/>
    <w:rsid w:val="00BD34DB"/>
    <w:rsid w:val="00BD4436"/>
    <w:rsid w:val="00BD4BE9"/>
    <w:rsid w:val="00BD4FDA"/>
    <w:rsid w:val="00BD5A32"/>
    <w:rsid w:val="00BD6D3A"/>
    <w:rsid w:val="00BD7715"/>
    <w:rsid w:val="00BE055A"/>
    <w:rsid w:val="00BE0A55"/>
    <w:rsid w:val="00BE0EAC"/>
    <w:rsid w:val="00BE14FF"/>
    <w:rsid w:val="00BE1B1D"/>
    <w:rsid w:val="00BE1BFA"/>
    <w:rsid w:val="00BE2DE5"/>
    <w:rsid w:val="00BE38F5"/>
    <w:rsid w:val="00BE4B3D"/>
    <w:rsid w:val="00BE57F2"/>
    <w:rsid w:val="00BE6555"/>
    <w:rsid w:val="00BE6757"/>
    <w:rsid w:val="00BE7B35"/>
    <w:rsid w:val="00BF07A5"/>
    <w:rsid w:val="00BF0EE6"/>
    <w:rsid w:val="00BF0F39"/>
    <w:rsid w:val="00BF2010"/>
    <w:rsid w:val="00BF26D0"/>
    <w:rsid w:val="00BF33CF"/>
    <w:rsid w:val="00BF3C69"/>
    <w:rsid w:val="00BF6392"/>
    <w:rsid w:val="00BF6CE2"/>
    <w:rsid w:val="00BF7657"/>
    <w:rsid w:val="00C00953"/>
    <w:rsid w:val="00C0105B"/>
    <w:rsid w:val="00C03087"/>
    <w:rsid w:val="00C03E89"/>
    <w:rsid w:val="00C04111"/>
    <w:rsid w:val="00C04671"/>
    <w:rsid w:val="00C04940"/>
    <w:rsid w:val="00C04C77"/>
    <w:rsid w:val="00C04CAB"/>
    <w:rsid w:val="00C056E7"/>
    <w:rsid w:val="00C059B2"/>
    <w:rsid w:val="00C073F7"/>
    <w:rsid w:val="00C075D8"/>
    <w:rsid w:val="00C076FF"/>
    <w:rsid w:val="00C10C45"/>
    <w:rsid w:val="00C118AD"/>
    <w:rsid w:val="00C11BD6"/>
    <w:rsid w:val="00C11C06"/>
    <w:rsid w:val="00C11D4E"/>
    <w:rsid w:val="00C11EB2"/>
    <w:rsid w:val="00C120C7"/>
    <w:rsid w:val="00C1295D"/>
    <w:rsid w:val="00C12D57"/>
    <w:rsid w:val="00C14971"/>
    <w:rsid w:val="00C1521C"/>
    <w:rsid w:val="00C15432"/>
    <w:rsid w:val="00C15625"/>
    <w:rsid w:val="00C15A23"/>
    <w:rsid w:val="00C16295"/>
    <w:rsid w:val="00C165CF"/>
    <w:rsid w:val="00C16A28"/>
    <w:rsid w:val="00C172D0"/>
    <w:rsid w:val="00C178CA"/>
    <w:rsid w:val="00C17BD6"/>
    <w:rsid w:val="00C17C02"/>
    <w:rsid w:val="00C200A6"/>
    <w:rsid w:val="00C20512"/>
    <w:rsid w:val="00C205F8"/>
    <w:rsid w:val="00C207C5"/>
    <w:rsid w:val="00C20DA0"/>
    <w:rsid w:val="00C216C7"/>
    <w:rsid w:val="00C225C4"/>
    <w:rsid w:val="00C22CA4"/>
    <w:rsid w:val="00C230B0"/>
    <w:rsid w:val="00C23113"/>
    <w:rsid w:val="00C23731"/>
    <w:rsid w:val="00C238D6"/>
    <w:rsid w:val="00C23E73"/>
    <w:rsid w:val="00C23EFA"/>
    <w:rsid w:val="00C24427"/>
    <w:rsid w:val="00C248D8"/>
    <w:rsid w:val="00C24FF0"/>
    <w:rsid w:val="00C251F3"/>
    <w:rsid w:val="00C252D0"/>
    <w:rsid w:val="00C267FB"/>
    <w:rsid w:val="00C26E9B"/>
    <w:rsid w:val="00C2758D"/>
    <w:rsid w:val="00C27890"/>
    <w:rsid w:val="00C27AD4"/>
    <w:rsid w:val="00C27B1F"/>
    <w:rsid w:val="00C30389"/>
    <w:rsid w:val="00C304F0"/>
    <w:rsid w:val="00C3075C"/>
    <w:rsid w:val="00C30B56"/>
    <w:rsid w:val="00C30C39"/>
    <w:rsid w:val="00C314B1"/>
    <w:rsid w:val="00C31560"/>
    <w:rsid w:val="00C322CA"/>
    <w:rsid w:val="00C325B6"/>
    <w:rsid w:val="00C326CA"/>
    <w:rsid w:val="00C32E80"/>
    <w:rsid w:val="00C32F1A"/>
    <w:rsid w:val="00C337CF"/>
    <w:rsid w:val="00C33E96"/>
    <w:rsid w:val="00C34623"/>
    <w:rsid w:val="00C34683"/>
    <w:rsid w:val="00C34D9C"/>
    <w:rsid w:val="00C35DEB"/>
    <w:rsid w:val="00C35FFE"/>
    <w:rsid w:val="00C36242"/>
    <w:rsid w:val="00C3676B"/>
    <w:rsid w:val="00C368AD"/>
    <w:rsid w:val="00C3697F"/>
    <w:rsid w:val="00C409DF"/>
    <w:rsid w:val="00C420BA"/>
    <w:rsid w:val="00C42123"/>
    <w:rsid w:val="00C42357"/>
    <w:rsid w:val="00C4235D"/>
    <w:rsid w:val="00C436D8"/>
    <w:rsid w:val="00C44AF8"/>
    <w:rsid w:val="00C44B6E"/>
    <w:rsid w:val="00C44CD6"/>
    <w:rsid w:val="00C450CF"/>
    <w:rsid w:val="00C45173"/>
    <w:rsid w:val="00C459C8"/>
    <w:rsid w:val="00C4782D"/>
    <w:rsid w:val="00C47B8B"/>
    <w:rsid w:val="00C5079C"/>
    <w:rsid w:val="00C507C8"/>
    <w:rsid w:val="00C50A9E"/>
    <w:rsid w:val="00C51A66"/>
    <w:rsid w:val="00C51B58"/>
    <w:rsid w:val="00C53A08"/>
    <w:rsid w:val="00C54200"/>
    <w:rsid w:val="00C5758C"/>
    <w:rsid w:val="00C603F8"/>
    <w:rsid w:val="00C60490"/>
    <w:rsid w:val="00C6138A"/>
    <w:rsid w:val="00C61891"/>
    <w:rsid w:val="00C625E9"/>
    <w:rsid w:val="00C631AC"/>
    <w:rsid w:val="00C6347D"/>
    <w:rsid w:val="00C649E6"/>
    <w:rsid w:val="00C651D4"/>
    <w:rsid w:val="00C6567C"/>
    <w:rsid w:val="00C661AD"/>
    <w:rsid w:val="00C67050"/>
    <w:rsid w:val="00C67433"/>
    <w:rsid w:val="00C677EC"/>
    <w:rsid w:val="00C70B8A"/>
    <w:rsid w:val="00C713E4"/>
    <w:rsid w:val="00C71565"/>
    <w:rsid w:val="00C724DE"/>
    <w:rsid w:val="00C72C22"/>
    <w:rsid w:val="00C72F70"/>
    <w:rsid w:val="00C72FF4"/>
    <w:rsid w:val="00C737A0"/>
    <w:rsid w:val="00C737CA"/>
    <w:rsid w:val="00C73F4B"/>
    <w:rsid w:val="00C749CA"/>
    <w:rsid w:val="00C75589"/>
    <w:rsid w:val="00C75761"/>
    <w:rsid w:val="00C758DD"/>
    <w:rsid w:val="00C76043"/>
    <w:rsid w:val="00C768F3"/>
    <w:rsid w:val="00C76F59"/>
    <w:rsid w:val="00C77A2E"/>
    <w:rsid w:val="00C77E22"/>
    <w:rsid w:val="00C80E9D"/>
    <w:rsid w:val="00C8204D"/>
    <w:rsid w:val="00C83DFC"/>
    <w:rsid w:val="00C844FD"/>
    <w:rsid w:val="00C85BB7"/>
    <w:rsid w:val="00C85D17"/>
    <w:rsid w:val="00C869A4"/>
    <w:rsid w:val="00C87683"/>
    <w:rsid w:val="00C908FE"/>
    <w:rsid w:val="00C92592"/>
    <w:rsid w:val="00C929C9"/>
    <w:rsid w:val="00C92E5D"/>
    <w:rsid w:val="00C9410C"/>
    <w:rsid w:val="00C94A21"/>
    <w:rsid w:val="00C954C1"/>
    <w:rsid w:val="00C95E96"/>
    <w:rsid w:val="00C962D3"/>
    <w:rsid w:val="00C9684A"/>
    <w:rsid w:val="00C96EE0"/>
    <w:rsid w:val="00C970D7"/>
    <w:rsid w:val="00C973F5"/>
    <w:rsid w:val="00C975AD"/>
    <w:rsid w:val="00C97BBD"/>
    <w:rsid w:val="00C97E24"/>
    <w:rsid w:val="00C97ED2"/>
    <w:rsid w:val="00CA09AD"/>
    <w:rsid w:val="00CA22E2"/>
    <w:rsid w:val="00CA3710"/>
    <w:rsid w:val="00CA3A36"/>
    <w:rsid w:val="00CA429F"/>
    <w:rsid w:val="00CA482E"/>
    <w:rsid w:val="00CA554E"/>
    <w:rsid w:val="00CA62A5"/>
    <w:rsid w:val="00CA64BF"/>
    <w:rsid w:val="00CA6BD6"/>
    <w:rsid w:val="00CA7918"/>
    <w:rsid w:val="00CA7E68"/>
    <w:rsid w:val="00CA7E96"/>
    <w:rsid w:val="00CB053F"/>
    <w:rsid w:val="00CB0EA3"/>
    <w:rsid w:val="00CB0F75"/>
    <w:rsid w:val="00CB3691"/>
    <w:rsid w:val="00CB3FFE"/>
    <w:rsid w:val="00CB4121"/>
    <w:rsid w:val="00CB50A8"/>
    <w:rsid w:val="00CB567D"/>
    <w:rsid w:val="00CB5C29"/>
    <w:rsid w:val="00CB5ECE"/>
    <w:rsid w:val="00CB632F"/>
    <w:rsid w:val="00CB6A6E"/>
    <w:rsid w:val="00CB6B4F"/>
    <w:rsid w:val="00CB7ED6"/>
    <w:rsid w:val="00CC0933"/>
    <w:rsid w:val="00CC0FB6"/>
    <w:rsid w:val="00CC1245"/>
    <w:rsid w:val="00CC240E"/>
    <w:rsid w:val="00CC2773"/>
    <w:rsid w:val="00CC29AB"/>
    <w:rsid w:val="00CC2D60"/>
    <w:rsid w:val="00CC2E18"/>
    <w:rsid w:val="00CC302E"/>
    <w:rsid w:val="00CC33FC"/>
    <w:rsid w:val="00CC36E7"/>
    <w:rsid w:val="00CC6CA8"/>
    <w:rsid w:val="00CC7826"/>
    <w:rsid w:val="00CC7923"/>
    <w:rsid w:val="00CD0576"/>
    <w:rsid w:val="00CD2079"/>
    <w:rsid w:val="00CD2376"/>
    <w:rsid w:val="00CD2BCA"/>
    <w:rsid w:val="00CD2FF7"/>
    <w:rsid w:val="00CD310E"/>
    <w:rsid w:val="00CD3485"/>
    <w:rsid w:val="00CD41F3"/>
    <w:rsid w:val="00CD4394"/>
    <w:rsid w:val="00CD45AB"/>
    <w:rsid w:val="00CD4638"/>
    <w:rsid w:val="00CD5538"/>
    <w:rsid w:val="00CD7014"/>
    <w:rsid w:val="00CD70A3"/>
    <w:rsid w:val="00CD7578"/>
    <w:rsid w:val="00CE0EC0"/>
    <w:rsid w:val="00CE22B7"/>
    <w:rsid w:val="00CE345E"/>
    <w:rsid w:val="00CE3D9A"/>
    <w:rsid w:val="00CE3E5B"/>
    <w:rsid w:val="00CE3EC0"/>
    <w:rsid w:val="00CE42AE"/>
    <w:rsid w:val="00CE4AF2"/>
    <w:rsid w:val="00CE5301"/>
    <w:rsid w:val="00CE535A"/>
    <w:rsid w:val="00CE536E"/>
    <w:rsid w:val="00CE538E"/>
    <w:rsid w:val="00CE5F48"/>
    <w:rsid w:val="00CE617F"/>
    <w:rsid w:val="00CE6A96"/>
    <w:rsid w:val="00CE73B3"/>
    <w:rsid w:val="00CF07DD"/>
    <w:rsid w:val="00CF0A1D"/>
    <w:rsid w:val="00CF170E"/>
    <w:rsid w:val="00CF1ECE"/>
    <w:rsid w:val="00CF2999"/>
    <w:rsid w:val="00CF2BDB"/>
    <w:rsid w:val="00CF3178"/>
    <w:rsid w:val="00CF31BB"/>
    <w:rsid w:val="00CF3297"/>
    <w:rsid w:val="00CF3733"/>
    <w:rsid w:val="00CF40AE"/>
    <w:rsid w:val="00CF4622"/>
    <w:rsid w:val="00CF473C"/>
    <w:rsid w:val="00CF5E23"/>
    <w:rsid w:val="00CF6433"/>
    <w:rsid w:val="00D00130"/>
    <w:rsid w:val="00D0052A"/>
    <w:rsid w:val="00D01EC6"/>
    <w:rsid w:val="00D02E98"/>
    <w:rsid w:val="00D058E8"/>
    <w:rsid w:val="00D074C9"/>
    <w:rsid w:val="00D076E9"/>
    <w:rsid w:val="00D07E3E"/>
    <w:rsid w:val="00D07F45"/>
    <w:rsid w:val="00D101AA"/>
    <w:rsid w:val="00D10569"/>
    <w:rsid w:val="00D11AD3"/>
    <w:rsid w:val="00D11D6B"/>
    <w:rsid w:val="00D11DB9"/>
    <w:rsid w:val="00D11FDC"/>
    <w:rsid w:val="00D125B3"/>
    <w:rsid w:val="00D12D2F"/>
    <w:rsid w:val="00D131CC"/>
    <w:rsid w:val="00D136DA"/>
    <w:rsid w:val="00D13B60"/>
    <w:rsid w:val="00D1446B"/>
    <w:rsid w:val="00D14C72"/>
    <w:rsid w:val="00D14EE5"/>
    <w:rsid w:val="00D1532A"/>
    <w:rsid w:val="00D15356"/>
    <w:rsid w:val="00D16C9E"/>
    <w:rsid w:val="00D16F9B"/>
    <w:rsid w:val="00D17230"/>
    <w:rsid w:val="00D17A24"/>
    <w:rsid w:val="00D21533"/>
    <w:rsid w:val="00D21910"/>
    <w:rsid w:val="00D23A42"/>
    <w:rsid w:val="00D24139"/>
    <w:rsid w:val="00D26730"/>
    <w:rsid w:val="00D2765F"/>
    <w:rsid w:val="00D301F5"/>
    <w:rsid w:val="00D31552"/>
    <w:rsid w:val="00D33395"/>
    <w:rsid w:val="00D3399C"/>
    <w:rsid w:val="00D33FC9"/>
    <w:rsid w:val="00D3426A"/>
    <w:rsid w:val="00D3433E"/>
    <w:rsid w:val="00D3492C"/>
    <w:rsid w:val="00D34CCA"/>
    <w:rsid w:val="00D35010"/>
    <w:rsid w:val="00D351E8"/>
    <w:rsid w:val="00D35384"/>
    <w:rsid w:val="00D35C6D"/>
    <w:rsid w:val="00D367AF"/>
    <w:rsid w:val="00D37C44"/>
    <w:rsid w:val="00D4071A"/>
    <w:rsid w:val="00D40E6D"/>
    <w:rsid w:val="00D41489"/>
    <w:rsid w:val="00D41BCF"/>
    <w:rsid w:val="00D41F0F"/>
    <w:rsid w:val="00D42319"/>
    <w:rsid w:val="00D42A1E"/>
    <w:rsid w:val="00D433FD"/>
    <w:rsid w:val="00D439DF"/>
    <w:rsid w:val="00D44A37"/>
    <w:rsid w:val="00D44A73"/>
    <w:rsid w:val="00D451AB"/>
    <w:rsid w:val="00D460D3"/>
    <w:rsid w:val="00D463CF"/>
    <w:rsid w:val="00D4676E"/>
    <w:rsid w:val="00D4677C"/>
    <w:rsid w:val="00D47DEF"/>
    <w:rsid w:val="00D50010"/>
    <w:rsid w:val="00D501CA"/>
    <w:rsid w:val="00D509B3"/>
    <w:rsid w:val="00D50E2F"/>
    <w:rsid w:val="00D51975"/>
    <w:rsid w:val="00D52341"/>
    <w:rsid w:val="00D5261E"/>
    <w:rsid w:val="00D534F6"/>
    <w:rsid w:val="00D536CE"/>
    <w:rsid w:val="00D53CF0"/>
    <w:rsid w:val="00D54D60"/>
    <w:rsid w:val="00D54E17"/>
    <w:rsid w:val="00D54F6B"/>
    <w:rsid w:val="00D55E92"/>
    <w:rsid w:val="00D56153"/>
    <w:rsid w:val="00D56374"/>
    <w:rsid w:val="00D574F2"/>
    <w:rsid w:val="00D60334"/>
    <w:rsid w:val="00D60AB8"/>
    <w:rsid w:val="00D61765"/>
    <w:rsid w:val="00D6272C"/>
    <w:rsid w:val="00D62742"/>
    <w:rsid w:val="00D62B02"/>
    <w:rsid w:val="00D64077"/>
    <w:rsid w:val="00D6462F"/>
    <w:rsid w:val="00D64B72"/>
    <w:rsid w:val="00D6555D"/>
    <w:rsid w:val="00D67778"/>
    <w:rsid w:val="00D6795E"/>
    <w:rsid w:val="00D71E17"/>
    <w:rsid w:val="00D72108"/>
    <w:rsid w:val="00D738C3"/>
    <w:rsid w:val="00D73D2A"/>
    <w:rsid w:val="00D74206"/>
    <w:rsid w:val="00D74DAB"/>
    <w:rsid w:val="00D756F9"/>
    <w:rsid w:val="00D7598E"/>
    <w:rsid w:val="00D760B6"/>
    <w:rsid w:val="00D76200"/>
    <w:rsid w:val="00D776E2"/>
    <w:rsid w:val="00D806FD"/>
    <w:rsid w:val="00D80CAA"/>
    <w:rsid w:val="00D8312A"/>
    <w:rsid w:val="00D832A3"/>
    <w:rsid w:val="00D84739"/>
    <w:rsid w:val="00D85A62"/>
    <w:rsid w:val="00D85EA8"/>
    <w:rsid w:val="00D86478"/>
    <w:rsid w:val="00D86665"/>
    <w:rsid w:val="00D86906"/>
    <w:rsid w:val="00D87844"/>
    <w:rsid w:val="00D87C8B"/>
    <w:rsid w:val="00D91410"/>
    <w:rsid w:val="00D917BA"/>
    <w:rsid w:val="00D92742"/>
    <w:rsid w:val="00D92799"/>
    <w:rsid w:val="00D929EC"/>
    <w:rsid w:val="00D930FF"/>
    <w:rsid w:val="00D9357E"/>
    <w:rsid w:val="00D948A9"/>
    <w:rsid w:val="00D94CD8"/>
    <w:rsid w:val="00D94FDF"/>
    <w:rsid w:val="00D950F9"/>
    <w:rsid w:val="00D96136"/>
    <w:rsid w:val="00D96472"/>
    <w:rsid w:val="00D96CD7"/>
    <w:rsid w:val="00D9725B"/>
    <w:rsid w:val="00D97990"/>
    <w:rsid w:val="00D97FBC"/>
    <w:rsid w:val="00DA0451"/>
    <w:rsid w:val="00DA0633"/>
    <w:rsid w:val="00DA12E6"/>
    <w:rsid w:val="00DA140A"/>
    <w:rsid w:val="00DA1709"/>
    <w:rsid w:val="00DA1996"/>
    <w:rsid w:val="00DA213B"/>
    <w:rsid w:val="00DA26A0"/>
    <w:rsid w:val="00DA2B2E"/>
    <w:rsid w:val="00DA2C00"/>
    <w:rsid w:val="00DA31E9"/>
    <w:rsid w:val="00DA3D88"/>
    <w:rsid w:val="00DA514A"/>
    <w:rsid w:val="00DA535C"/>
    <w:rsid w:val="00DA5A5E"/>
    <w:rsid w:val="00DA5A75"/>
    <w:rsid w:val="00DA6A25"/>
    <w:rsid w:val="00DA6A63"/>
    <w:rsid w:val="00DB013D"/>
    <w:rsid w:val="00DB01DA"/>
    <w:rsid w:val="00DB0E98"/>
    <w:rsid w:val="00DB1024"/>
    <w:rsid w:val="00DB126F"/>
    <w:rsid w:val="00DB1F85"/>
    <w:rsid w:val="00DB2054"/>
    <w:rsid w:val="00DB2784"/>
    <w:rsid w:val="00DB3143"/>
    <w:rsid w:val="00DB413D"/>
    <w:rsid w:val="00DB41D1"/>
    <w:rsid w:val="00DB4CD5"/>
    <w:rsid w:val="00DB53A4"/>
    <w:rsid w:val="00DB643B"/>
    <w:rsid w:val="00DB68D9"/>
    <w:rsid w:val="00DB7043"/>
    <w:rsid w:val="00DB73B8"/>
    <w:rsid w:val="00DB7EA6"/>
    <w:rsid w:val="00DC1D45"/>
    <w:rsid w:val="00DC1FCF"/>
    <w:rsid w:val="00DC3F6D"/>
    <w:rsid w:val="00DC5066"/>
    <w:rsid w:val="00DC541E"/>
    <w:rsid w:val="00DC638A"/>
    <w:rsid w:val="00DD0000"/>
    <w:rsid w:val="00DD329A"/>
    <w:rsid w:val="00DD4522"/>
    <w:rsid w:val="00DD4692"/>
    <w:rsid w:val="00DD47A8"/>
    <w:rsid w:val="00DD4AC3"/>
    <w:rsid w:val="00DD5154"/>
    <w:rsid w:val="00DD664C"/>
    <w:rsid w:val="00DD6A88"/>
    <w:rsid w:val="00DD7239"/>
    <w:rsid w:val="00DD75FC"/>
    <w:rsid w:val="00DD7A75"/>
    <w:rsid w:val="00DE00BD"/>
    <w:rsid w:val="00DE02CE"/>
    <w:rsid w:val="00DE06DF"/>
    <w:rsid w:val="00DE0F91"/>
    <w:rsid w:val="00DE10B5"/>
    <w:rsid w:val="00DE1189"/>
    <w:rsid w:val="00DE1598"/>
    <w:rsid w:val="00DE18DB"/>
    <w:rsid w:val="00DE1A03"/>
    <w:rsid w:val="00DE21D6"/>
    <w:rsid w:val="00DE2BF4"/>
    <w:rsid w:val="00DE3C53"/>
    <w:rsid w:val="00DE483A"/>
    <w:rsid w:val="00DE5AC7"/>
    <w:rsid w:val="00DE5EC6"/>
    <w:rsid w:val="00DE5EFA"/>
    <w:rsid w:val="00DE72C3"/>
    <w:rsid w:val="00DE7A2F"/>
    <w:rsid w:val="00DE7C95"/>
    <w:rsid w:val="00DF063A"/>
    <w:rsid w:val="00DF09CD"/>
    <w:rsid w:val="00DF0BFA"/>
    <w:rsid w:val="00DF117D"/>
    <w:rsid w:val="00DF1641"/>
    <w:rsid w:val="00DF1B33"/>
    <w:rsid w:val="00DF2477"/>
    <w:rsid w:val="00DF26AB"/>
    <w:rsid w:val="00DF34A3"/>
    <w:rsid w:val="00DF57A5"/>
    <w:rsid w:val="00DF7D68"/>
    <w:rsid w:val="00E0072C"/>
    <w:rsid w:val="00E02F60"/>
    <w:rsid w:val="00E02FF9"/>
    <w:rsid w:val="00E03424"/>
    <w:rsid w:val="00E03970"/>
    <w:rsid w:val="00E03ED0"/>
    <w:rsid w:val="00E0420C"/>
    <w:rsid w:val="00E063F5"/>
    <w:rsid w:val="00E0707A"/>
    <w:rsid w:val="00E07441"/>
    <w:rsid w:val="00E10A1A"/>
    <w:rsid w:val="00E1130F"/>
    <w:rsid w:val="00E11928"/>
    <w:rsid w:val="00E13BB9"/>
    <w:rsid w:val="00E1437A"/>
    <w:rsid w:val="00E14554"/>
    <w:rsid w:val="00E14815"/>
    <w:rsid w:val="00E15713"/>
    <w:rsid w:val="00E16188"/>
    <w:rsid w:val="00E1684B"/>
    <w:rsid w:val="00E17BB7"/>
    <w:rsid w:val="00E206F3"/>
    <w:rsid w:val="00E21441"/>
    <w:rsid w:val="00E21A8F"/>
    <w:rsid w:val="00E21DBF"/>
    <w:rsid w:val="00E220D5"/>
    <w:rsid w:val="00E22ED8"/>
    <w:rsid w:val="00E2451D"/>
    <w:rsid w:val="00E26BE6"/>
    <w:rsid w:val="00E26C44"/>
    <w:rsid w:val="00E27120"/>
    <w:rsid w:val="00E27AB1"/>
    <w:rsid w:val="00E27EFF"/>
    <w:rsid w:val="00E3063F"/>
    <w:rsid w:val="00E30FB0"/>
    <w:rsid w:val="00E315CB"/>
    <w:rsid w:val="00E3181D"/>
    <w:rsid w:val="00E32F4A"/>
    <w:rsid w:val="00E333C6"/>
    <w:rsid w:val="00E33680"/>
    <w:rsid w:val="00E33B4D"/>
    <w:rsid w:val="00E33BDC"/>
    <w:rsid w:val="00E34381"/>
    <w:rsid w:val="00E34EE4"/>
    <w:rsid w:val="00E359D4"/>
    <w:rsid w:val="00E35CC5"/>
    <w:rsid w:val="00E36434"/>
    <w:rsid w:val="00E36938"/>
    <w:rsid w:val="00E36D6E"/>
    <w:rsid w:val="00E36E35"/>
    <w:rsid w:val="00E37407"/>
    <w:rsid w:val="00E37CB8"/>
    <w:rsid w:val="00E4061C"/>
    <w:rsid w:val="00E4082B"/>
    <w:rsid w:val="00E408E6"/>
    <w:rsid w:val="00E41189"/>
    <w:rsid w:val="00E41510"/>
    <w:rsid w:val="00E41945"/>
    <w:rsid w:val="00E41FC9"/>
    <w:rsid w:val="00E42000"/>
    <w:rsid w:val="00E42EA9"/>
    <w:rsid w:val="00E43076"/>
    <w:rsid w:val="00E436ED"/>
    <w:rsid w:val="00E438D4"/>
    <w:rsid w:val="00E44788"/>
    <w:rsid w:val="00E45056"/>
    <w:rsid w:val="00E45797"/>
    <w:rsid w:val="00E466BB"/>
    <w:rsid w:val="00E50AEE"/>
    <w:rsid w:val="00E51000"/>
    <w:rsid w:val="00E51083"/>
    <w:rsid w:val="00E524EE"/>
    <w:rsid w:val="00E52F90"/>
    <w:rsid w:val="00E53983"/>
    <w:rsid w:val="00E53A8F"/>
    <w:rsid w:val="00E54D51"/>
    <w:rsid w:val="00E54F40"/>
    <w:rsid w:val="00E553C6"/>
    <w:rsid w:val="00E559F2"/>
    <w:rsid w:val="00E569BC"/>
    <w:rsid w:val="00E57B62"/>
    <w:rsid w:val="00E60C66"/>
    <w:rsid w:val="00E6324B"/>
    <w:rsid w:val="00E6347C"/>
    <w:rsid w:val="00E636F8"/>
    <w:rsid w:val="00E6392A"/>
    <w:rsid w:val="00E64497"/>
    <w:rsid w:val="00E64DE4"/>
    <w:rsid w:val="00E64F90"/>
    <w:rsid w:val="00E66391"/>
    <w:rsid w:val="00E6745D"/>
    <w:rsid w:val="00E67462"/>
    <w:rsid w:val="00E678A6"/>
    <w:rsid w:val="00E67AF5"/>
    <w:rsid w:val="00E7000B"/>
    <w:rsid w:val="00E70217"/>
    <w:rsid w:val="00E702C1"/>
    <w:rsid w:val="00E70981"/>
    <w:rsid w:val="00E70BDA"/>
    <w:rsid w:val="00E71A1D"/>
    <w:rsid w:val="00E71DFE"/>
    <w:rsid w:val="00E71F6B"/>
    <w:rsid w:val="00E731A7"/>
    <w:rsid w:val="00E74638"/>
    <w:rsid w:val="00E74720"/>
    <w:rsid w:val="00E75D33"/>
    <w:rsid w:val="00E75D67"/>
    <w:rsid w:val="00E76558"/>
    <w:rsid w:val="00E77689"/>
    <w:rsid w:val="00E77A0D"/>
    <w:rsid w:val="00E8042C"/>
    <w:rsid w:val="00E80634"/>
    <w:rsid w:val="00E819BF"/>
    <w:rsid w:val="00E83BD5"/>
    <w:rsid w:val="00E8410C"/>
    <w:rsid w:val="00E847EA"/>
    <w:rsid w:val="00E85D4E"/>
    <w:rsid w:val="00E85D79"/>
    <w:rsid w:val="00E86567"/>
    <w:rsid w:val="00E866E2"/>
    <w:rsid w:val="00E86A66"/>
    <w:rsid w:val="00E86C47"/>
    <w:rsid w:val="00E87F4F"/>
    <w:rsid w:val="00E87FC3"/>
    <w:rsid w:val="00E91183"/>
    <w:rsid w:val="00E9159C"/>
    <w:rsid w:val="00E91948"/>
    <w:rsid w:val="00E91D48"/>
    <w:rsid w:val="00E92686"/>
    <w:rsid w:val="00E92ED7"/>
    <w:rsid w:val="00E95564"/>
    <w:rsid w:val="00E967CB"/>
    <w:rsid w:val="00E968D3"/>
    <w:rsid w:val="00E96A4E"/>
    <w:rsid w:val="00E96DB0"/>
    <w:rsid w:val="00E97485"/>
    <w:rsid w:val="00E97618"/>
    <w:rsid w:val="00E97EEE"/>
    <w:rsid w:val="00EA026F"/>
    <w:rsid w:val="00EA1029"/>
    <w:rsid w:val="00EA1377"/>
    <w:rsid w:val="00EA1A61"/>
    <w:rsid w:val="00EA1B61"/>
    <w:rsid w:val="00EA2634"/>
    <w:rsid w:val="00EA2A1E"/>
    <w:rsid w:val="00EA3D09"/>
    <w:rsid w:val="00EA439A"/>
    <w:rsid w:val="00EA5F63"/>
    <w:rsid w:val="00EA7593"/>
    <w:rsid w:val="00EB03E9"/>
    <w:rsid w:val="00EB0442"/>
    <w:rsid w:val="00EB1254"/>
    <w:rsid w:val="00EB1E6B"/>
    <w:rsid w:val="00EB2A1B"/>
    <w:rsid w:val="00EB3F63"/>
    <w:rsid w:val="00EB3FE9"/>
    <w:rsid w:val="00EB4207"/>
    <w:rsid w:val="00EB482F"/>
    <w:rsid w:val="00EB5BB3"/>
    <w:rsid w:val="00EB5CB1"/>
    <w:rsid w:val="00EB6889"/>
    <w:rsid w:val="00EC0675"/>
    <w:rsid w:val="00EC0C6E"/>
    <w:rsid w:val="00EC1A36"/>
    <w:rsid w:val="00EC1E2B"/>
    <w:rsid w:val="00EC2109"/>
    <w:rsid w:val="00EC33C1"/>
    <w:rsid w:val="00EC3A3D"/>
    <w:rsid w:val="00EC3BBD"/>
    <w:rsid w:val="00EC5A99"/>
    <w:rsid w:val="00EC5BD0"/>
    <w:rsid w:val="00EC6A31"/>
    <w:rsid w:val="00EC7277"/>
    <w:rsid w:val="00ED0100"/>
    <w:rsid w:val="00ED03F7"/>
    <w:rsid w:val="00ED04F0"/>
    <w:rsid w:val="00ED19F0"/>
    <w:rsid w:val="00ED2419"/>
    <w:rsid w:val="00ED241B"/>
    <w:rsid w:val="00ED2A90"/>
    <w:rsid w:val="00ED2F8E"/>
    <w:rsid w:val="00ED30D1"/>
    <w:rsid w:val="00ED41C9"/>
    <w:rsid w:val="00EE0DD8"/>
    <w:rsid w:val="00EE10C8"/>
    <w:rsid w:val="00EE25C4"/>
    <w:rsid w:val="00EE273D"/>
    <w:rsid w:val="00EE2DC5"/>
    <w:rsid w:val="00EE379D"/>
    <w:rsid w:val="00EE3A1A"/>
    <w:rsid w:val="00EE47B6"/>
    <w:rsid w:val="00EE4A30"/>
    <w:rsid w:val="00EE4C98"/>
    <w:rsid w:val="00EE5B73"/>
    <w:rsid w:val="00EE7241"/>
    <w:rsid w:val="00EE746B"/>
    <w:rsid w:val="00EE7958"/>
    <w:rsid w:val="00EE7F2F"/>
    <w:rsid w:val="00EF0863"/>
    <w:rsid w:val="00EF12C5"/>
    <w:rsid w:val="00EF2491"/>
    <w:rsid w:val="00EF28C1"/>
    <w:rsid w:val="00EF2EE0"/>
    <w:rsid w:val="00EF3AE9"/>
    <w:rsid w:val="00EF3D5F"/>
    <w:rsid w:val="00EF4016"/>
    <w:rsid w:val="00EF4682"/>
    <w:rsid w:val="00EF4C56"/>
    <w:rsid w:val="00EF5541"/>
    <w:rsid w:val="00EF6F93"/>
    <w:rsid w:val="00F0074F"/>
    <w:rsid w:val="00F009E2"/>
    <w:rsid w:val="00F02018"/>
    <w:rsid w:val="00F0221D"/>
    <w:rsid w:val="00F03595"/>
    <w:rsid w:val="00F06C0E"/>
    <w:rsid w:val="00F06D69"/>
    <w:rsid w:val="00F06E98"/>
    <w:rsid w:val="00F077DD"/>
    <w:rsid w:val="00F078B6"/>
    <w:rsid w:val="00F07B5D"/>
    <w:rsid w:val="00F07D0C"/>
    <w:rsid w:val="00F10322"/>
    <w:rsid w:val="00F10714"/>
    <w:rsid w:val="00F108C4"/>
    <w:rsid w:val="00F1202D"/>
    <w:rsid w:val="00F12211"/>
    <w:rsid w:val="00F12D8A"/>
    <w:rsid w:val="00F12D8F"/>
    <w:rsid w:val="00F13354"/>
    <w:rsid w:val="00F1380E"/>
    <w:rsid w:val="00F1390B"/>
    <w:rsid w:val="00F204B3"/>
    <w:rsid w:val="00F209FA"/>
    <w:rsid w:val="00F20BB9"/>
    <w:rsid w:val="00F23E88"/>
    <w:rsid w:val="00F24327"/>
    <w:rsid w:val="00F25CEC"/>
    <w:rsid w:val="00F279D3"/>
    <w:rsid w:val="00F3124B"/>
    <w:rsid w:val="00F31A90"/>
    <w:rsid w:val="00F3201D"/>
    <w:rsid w:val="00F32C8D"/>
    <w:rsid w:val="00F32F95"/>
    <w:rsid w:val="00F33122"/>
    <w:rsid w:val="00F3393A"/>
    <w:rsid w:val="00F33F70"/>
    <w:rsid w:val="00F342D2"/>
    <w:rsid w:val="00F348B8"/>
    <w:rsid w:val="00F34FFD"/>
    <w:rsid w:val="00F35B35"/>
    <w:rsid w:val="00F367D8"/>
    <w:rsid w:val="00F36846"/>
    <w:rsid w:val="00F369E6"/>
    <w:rsid w:val="00F36B51"/>
    <w:rsid w:val="00F36CBD"/>
    <w:rsid w:val="00F4126C"/>
    <w:rsid w:val="00F414C6"/>
    <w:rsid w:val="00F41DEC"/>
    <w:rsid w:val="00F431F9"/>
    <w:rsid w:val="00F43434"/>
    <w:rsid w:val="00F4359D"/>
    <w:rsid w:val="00F44993"/>
    <w:rsid w:val="00F44C6A"/>
    <w:rsid w:val="00F45848"/>
    <w:rsid w:val="00F46187"/>
    <w:rsid w:val="00F46200"/>
    <w:rsid w:val="00F5091E"/>
    <w:rsid w:val="00F514FF"/>
    <w:rsid w:val="00F515C4"/>
    <w:rsid w:val="00F516A8"/>
    <w:rsid w:val="00F51990"/>
    <w:rsid w:val="00F5259F"/>
    <w:rsid w:val="00F530B7"/>
    <w:rsid w:val="00F54973"/>
    <w:rsid w:val="00F54B68"/>
    <w:rsid w:val="00F550ED"/>
    <w:rsid w:val="00F5595C"/>
    <w:rsid w:val="00F55BA0"/>
    <w:rsid w:val="00F576A9"/>
    <w:rsid w:val="00F57E5F"/>
    <w:rsid w:val="00F60A4B"/>
    <w:rsid w:val="00F616AD"/>
    <w:rsid w:val="00F62419"/>
    <w:rsid w:val="00F63A56"/>
    <w:rsid w:val="00F63AEE"/>
    <w:rsid w:val="00F650A6"/>
    <w:rsid w:val="00F650DD"/>
    <w:rsid w:val="00F6546F"/>
    <w:rsid w:val="00F7025D"/>
    <w:rsid w:val="00F7063E"/>
    <w:rsid w:val="00F7068A"/>
    <w:rsid w:val="00F70E8C"/>
    <w:rsid w:val="00F71008"/>
    <w:rsid w:val="00F71266"/>
    <w:rsid w:val="00F716C3"/>
    <w:rsid w:val="00F71D7E"/>
    <w:rsid w:val="00F71FB8"/>
    <w:rsid w:val="00F73115"/>
    <w:rsid w:val="00F7380F"/>
    <w:rsid w:val="00F73B1E"/>
    <w:rsid w:val="00F74E04"/>
    <w:rsid w:val="00F759AC"/>
    <w:rsid w:val="00F76D64"/>
    <w:rsid w:val="00F77381"/>
    <w:rsid w:val="00F77F68"/>
    <w:rsid w:val="00F80048"/>
    <w:rsid w:val="00F805CB"/>
    <w:rsid w:val="00F80D90"/>
    <w:rsid w:val="00F80E2B"/>
    <w:rsid w:val="00F81332"/>
    <w:rsid w:val="00F813A1"/>
    <w:rsid w:val="00F819FA"/>
    <w:rsid w:val="00F81DBB"/>
    <w:rsid w:val="00F82445"/>
    <w:rsid w:val="00F83444"/>
    <w:rsid w:val="00F856EA"/>
    <w:rsid w:val="00F85AE3"/>
    <w:rsid w:val="00F87228"/>
    <w:rsid w:val="00F87B82"/>
    <w:rsid w:val="00F87EEF"/>
    <w:rsid w:val="00F917D5"/>
    <w:rsid w:val="00F91B16"/>
    <w:rsid w:val="00F92C42"/>
    <w:rsid w:val="00F934DA"/>
    <w:rsid w:val="00F93E30"/>
    <w:rsid w:val="00F954FE"/>
    <w:rsid w:val="00F9629C"/>
    <w:rsid w:val="00F96FFE"/>
    <w:rsid w:val="00F97B18"/>
    <w:rsid w:val="00F97F2E"/>
    <w:rsid w:val="00FA0E30"/>
    <w:rsid w:val="00FA1078"/>
    <w:rsid w:val="00FA1506"/>
    <w:rsid w:val="00FA1A46"/>
    <w:rsid w:val="00FA25AD"/>
    <w:rsid w:val="00FA3CE0"/>
    <w:rsid w:val="00FA4306"/>
    <w:rsid w:val="00FA4ABA"/>
    <w:rsid w:val="00FA573E"/>
    <w:rsid w:val="00FA5947"/>
    <w:rsid w:val="00FB0900"/>
    <w:rsid w:val="00FB090B"/>
    <w:rsid w:val="00FB1A5F"/>
    <w:rsid w:val="00FB1A9F"/>
    <w:rsid w:val="00FB200E"/>
    <w:rsid w:val="00FB3781"/>
    <w:rsid w:val="00FB3FA3"/>
    <w:rsid w:val="00FB45CD"/>
    <w:rsid w:val="00FB4667"/>
    <w:rsid w:val="00FB483E"/>
    <w:rsid w:val="00FB4E20"/>
    <w:rsid w:val="00FB5047"/>
    <w:rsid w:val="00FB57E2"/>
    <w:rsid w:val="00FB6E90"/>
    <w:rsid w:val="00FB7458"/>
    <w:rsid w:val="00FC0054"/>
    <w:rsid w:val="00FC024D"/>
    <w:rsid w:val="00FC02DD"/>
    <w:rsid w:val="00FC0A08"/>
    <w:rsid w:val="00FC0A24"/>
    <w:rsid w:val="00FC0AE2"/>
    <w:rsid w:val="00FC1618"/>
    <w:rsid w:val="00FC3734"/>
    <w:rsid w:val="00FC386E"/>
    <w:rsid w:val="00FC3BC1"/>
    <w:rsid w:val="00FC3E05"/>
    <w:rsid w:val="00FC58E9"/>
    <w:rsid w:val="00FC5DA9"/>
    <w:rsid w:val="00FC6285"/>
    <w:rsid w:val="00FC62B5"/>
    <w:rsid w:val="00FC6737"/>
    <w:rsid w:val="00FC6F2E"/>
    <w:rsid w:val="00FC7B0B"/>
    <w:rsid w:val="00FD0D77"/>
    <w:rsid w:val="00FD0E70"/>
    <w:rsid w:val="00FD13B2"/>
    <w:rsid w:val="00FD1D7B"/>
    <w:rsid w:val="00FD2103"/>
    <w:rsid w:val="00FD23A7"/>
    <w:rsid w:val="00FD29A6"/>
    <w:rsid w:val="00FD2D9D"/>
    <w:rsid w:val="00FD3B5A"/>
    <w:rsid w:val="00FD3C65"/>
    <w:rsid w:val="00FD4976"/>
    <w:rsid w:val="00FD4AE0"/>
    <w:rsid w:val="00FD4BA4"/>
    <w:rsid w:val="00FD52BB"/>
    <w:rsid w:val="00FD5461"/>
    <w:rsid w:val="00FD55D8"/>
    <w:rsid w:val="00FD5D16"/>
    <w:rsid w:val="00FD6508"/>
    <w:rsid w:val="00FD711F"/>
    <w:rsid w:val="00FD7572"/>
    <w:rsid w:val="00FE0AD4"/>
    <w:rsid w:val="00FE0E8E"/>
    <w:rsid w:val="00FE11D1"/>
    <w:rsid w:val="00FE137F"/>
    <w:rsid w:val="00FE13C0"/>
    <w:rsid w:val="00FE1996"/>
    <w:rsid w:val="00FE25CB"/>
    <w:rsid w:val="00FE447E"/>
    <w:rsid w:val="00FE59A0"/>
    <w:rsid w:val="00FE5D66"/>
    <w:rsid w:val="00FE5F61"/>
    <w:rsid w:val="00FE622D"/>
    <w:rsid w:val="00FE64B3"/>
    <w:rsid w:val="00FE7403"/>
    <w:rsid w:val="00FE7456"/>
    <w:rsid w:val="00FE746E"/>
    <w:rsid w:val="00FF0952"/>
    <w:rsid w:val="00FF194A"/>
    <w:rsid w:val="00FF21B8"/>
    <w:rsid w:val="00FF22FF"/>
    <w:rsid w:val="00FF245C"/>
    <w:rsid w:val="00FF2D2B"/>
    <w:rsid w:val="00FF5CF1"/>
    <w:rsid w:val="00FF5D33"/>
    <w:rsid w:val="00FF5DAB"/>
    <w:rsid w:val="00FF619E"/>
    <w:rsid w:val="00FF6837"/>
    <w:rsid w:val="00FF74E6"/>
    <w:rsid w:val="00FF7C27"/>
    <w:rsid w:val="03EE7444"/>
    <w:rsid w:val="05088983"/>
    <w:rsid w:val="21E2AEB9"/>
    <w:rsid w:val="36EAFBA9"/>
    <w:rsid w:val="440C17C0"/>
    <w:rsid w:val="542419DC"/>
    <w:rsid w:val="5C1457E3"/>
    <w:rsid w:val="767AD3E6"/>
    <w:rsid w:val="7B4C2F4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B64B0"/>
  <w15:docId w15:val="{4E7DC7A6-22C6-45D6-89D1-8A93CF41D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C95"/>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5"/>
      </w:numPr>
      <w:spacing w:after="120"/>
      <w:ind w:right="1134"/>
      <w:jc w:val="both"/>
    </w:pPr>
  </w:style>
  <w:style w:type="paragraph" w:customStyle="1" w:styleId="Bullet2G">
    <w:name w:val="_Bullet 2_G"/>
    <w:basedOn w:val="Normal"/>
    <w:rsid w:val="00FA1A46"/>
    <w:pPr>
      <w:numPr>
        <w:numId w:val="6"/>
      </w:numPr>
      <w:spacing w:after="120"/>
      <w:ind w:right="1134"/>
      <w:jc w:val="both"/>
    </w:pPr>
  </w:style>
  <w:style w:type="paragraph" w:customStyle="1" w:styleId="AnnoHCHG">
    <w:name w:val="Anno _ H_CH_G"/>
    <w:basedOn w:val="Normal"/>
    <w:next w:val="AnnoH1G"/>
    <w:rsid w:val="00FA1A46"/>
    <w:pPr>
      <w:keepNext/>
      <w:keepLines/>
      <w:numPr>
        <w:numId w:val="7"/>
      </w:numPr>
      <w:spacing w:before="360" w:after="240" w:line="300" w:lineRule="exact"/>
      <w:ind w:right="1134"/>
    </w:pPr>
    <w:rPr>
      <w:b/>
      <w:sz w:val="28"/>
    </w:rPr>
  </w:style>
  <w:style w:type="paragraph" w:customStyle="1" w:styleId="AnnoH1G">
    <w:name w:val="Anno_ H_1_G"/>
    <w:basedOn w:val="Normal"/>
    <w:next w:val="AnnoH23G"/>
    <w:autoRedefine/>
    <w:rsid w:val="00D439DF"/>
    <w:pPr>
      <w:keepNext/>
      <w:keepLines/>
      <w:spacing w:before="360" w:after="240" w:line="270" w:lineRule="exact"/>
      <w:ind w:right="1134" w:firstLine="1134"/>
    </w:pPr>
    <w:rPr>
      <w:b/>
      <w:sz w:val="28"/>
      <w:szCs w:val="28"/>
    </w:rPr>
  </w:style>
  <w:style w:type="paragraph" w:customStyle="1" w:styleId="AnnoH23G">
    <w:name w:val="Anno_ H_2/3_G"/>
    <w:basedOn w:val="Normal"/>
    <w:next w:val="AnnoSingleTxtG"/>
    <w:autoRedefine/>
    <w:rsid w:val="00FA1A46"/>
    <w:pPr>
      <w:keepNext/>
      <w:keepLines/>
      <w:numPr>
        <w:ilvl w:val="2"/>
        <w:numId w:val="7"/>
      </w:numPr>
      <w:spacing w:before="240" w:after="120" w:line="240" w:lineRule="exact"/>
      <w:ind w:right="1134"/>
    </w:pPr>
    <w:rPr>
      <w:u w:val="single"/>
    </w:rPr>
  </w:style>
  <w:style w:type="paragraph" w:customStyle="1" w:styleId="AnnoSingleTxtG">
    <w:name w:val="Anno_ Single Txt_G"/>
    <w:basedOn w:val="Normal"/>
    <w:rsid w:val="00FA1A46"/>
    <w:pPr>
      <w:numPr>
        <w:ilvl w:val="3"/>
        <w:numId w:val="7"/>
      </w:numPr>
      <w:spacing w:after="120"/>
      <w:ind w:right="1134"/>
      <w:jc w:val="both"/>
    </w:pPr>
  </w:style>
  <w:style w:type="character" w:styleId="FootnoteReference">
    <w:name w:val="footnote reference"/>
    <w:aliases w:val="4_G,16 Point,Superscript 6 Point,Ref,de nota al pie,number,Footnote text,Footnote reference number,Footnote symbol,note TESI,-E Fußnotenzeichen,SUPERS,stylish,ftref,Footnote Text1,Footnote Text Char2 Char,Footnote Text Char1 Char Char"/>
    <w:link w:val="BVIfnrChar"/>
    <w:qFormat/>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link w:val="EndnoteTextChar"/>
    <w:rsid w:val="00A6472E"/>
    <w:rPr>
      <w:i/>
    </w:rPr>
  </w:style>
  <w:style w:type="paragraph" w:styleId="FootnoteText">
    <w:name w:val="footnote text"/>
    <w:aliases w:val="5_G,Geneva 9,Font: Geneva 9,Boston 10,f,fn,footnote text,Footnotes,Footnote ak,Char,-E Fußnotentext,Fußnotentext Ursprung,-E Fußnotentext1,-E Fußnotentext2,-E Fußnotentext3,Char Char Char Char,Default Paragraph Font Char Char,single space"/>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
    <w:qFormat/>
    <w:rsid w:val="00FA1A46"/>
    <w:pPr>
      <w:keepNext/>
      <w:keepLines/>
      <w:tabs>
        <w:tab w:val="num" w:pos="1135"/>
      </w:tabs>
      <w:spacing w:before="360" w:after="240" w:line="300" w:lineRule="exact"/>
      <w:ind w:left="1135" w:right="1134" w:hanging="284"/>
    </w:pPr>
    <w:rPr>
      <w:b/>
      <w:sz w:val="28"/>
    </w:rPr>
  </w:style>
  <w:style w:type="paragraph" w:customStyle="1" w:styleId="RegH1G">
    <w:name w:val="Reg_H_1_G"/>
    <w:basedOn w:val="Normal"/>
    <w:next w:val="RegH23G"/>
    <w:rsid w:val="00FA1A46"/>
    <w:pPr>
      <w:keepNext/>
      <w:keepLines/>
      <w:spacing w:before="360" w:after="240" w:line="270" w:lineRule="exact"/>
      <w:ind w:right="1134"/>
    </w:pPr>
    <w:rPr>
      <w:b/>
      <w:sz w:val="24"/>
    </w:rPr>
  </w:style>
  <w:style w:type="paragraph" w:customStyle="1" w:styleId="RegH23G">
    <w:name w:val="Reg_H_2/3_G"/>
    <w:basedOn w:val="Normal"/>
    <w:next w:val="RegH4G"/>
    <w:rsid w:val="00FA1A46"/>
    <w:pPr>
      <w:keepNext/>
      <w:keepLines/>
      <w:spacing w:before="240" w:after="120" w:line="240" w:lineRule="exact"/>
      <w:ind w:right="1134"/>
    </w:pPr>
    <w:rPr>
      <w:b/>
    </w:rPr>
  </w:style>
  <w:style w:type="paragraph" w:customStyle="1" w:styleId="RegSingleTxtG">
    <w:name w:val="Reg_Single Txt_G"/>
    <w:basedOn w:val="Normal"/>
    <w:link w:val="RegSingleTxtGChar"/>
    <w:qFormat/>
    <w:rsid w:val="00FA1A46"/>
    <w:pPr>
      <w:tabs>
        <w:tab w:val="left" w:pos="1701"/>
      </w:tabs>
      <w:spacing w:after="120"/>
      <w:ind w:left="1134" w:right="1134"/>
      <w:jc w:val="both"/>
    </w:pPr>
  </w:style>
  <w:style w:type="paragraph" w:styleId="TOC1">
    <w:name w:val="toc 1"/>
    <w:basedOn w:val="Normal"/>
    <w:next w:val="Normal"/>
    <w:autoRedefine/>
    <w:uiPriority w:val="39"/>
    <w:rsid w:val="00D16F9B"/>
    <w:pPr>
      <w:tabs>
        <w:tab w:val="right" w:pos="851"/>
        <w:tab w:val="left" w:pos="1134"/>
        <w:tab w:val="left" w:pos="2268"/>
        <w:tab w:val="right" w:leader="dot" w:pos="8930"/>
        <w:tab w:val="right" w:pos="9639"/>
      </w:tabs>
      <w:spacing w:before="120" w:after="120"/>
      <w:ind w:left="2259" w:hanging="1125"/>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style>
  <w:style w:type="paragraph" w:customStyle="1" w:styleId="RegH5G">
    <w:name w:val="Reg_H_5_G"/>
    <w:basedOn w:val="RegH4G"/>
    <w:qFormat/>
    <w:rsid w:val="00FA1A46"/>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tabs>
        <w:tab w:val="clear" w:pos="1701"/>
      </w:tabs>
      <w:ind w:left="0"/>
    </w:pPr>
  </w:style>
  <w:style w:type="paragraph" w:customStyle="1" w:styleId="RegSingleTxtG3">
    <w:name w:val="Reg_Single Txt_G3"/>
    <w:basedOn w:val="RegSingleTxtG"/>
    <w:qFormat/>
    <w:rsid w:val="00FA1A46"/>
    <w:pPr>
      <w:ind w:left="0"/>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2"/>
      </w:numPr>
    </w:pPr>
  </w:style>
  <w:style w:type="numbering" w:customStyle="1" w:styleId="FCCCTextboxfootnote">
    <w:name w:val="FCCC Textbox footnote"/>
    <w:uiPriority w:val="99"/>
    <w:rsid w:val="00FC386E"/>
    <w:pPr>
      <w:numPr>
        <w:numId w:val="3"/>
      </w:numPr>
    </w:pPr>
  </w:style>
  <w:style w:type="numbering" w:customStyle="1" w:styleId="FigureFootnote">
    <w:name w:val="Figure Footnote"/>
    <w:uiPriority w:val="99"/>
    <w:rsid w:val="00FE622D"/>
    <w:pPr>
      <w:numPr>
        <w:numId w:val="4"/>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CommentReference">
    <w:name w:val="annotation reference"/>
    <w:basedOn w:val="DefaultParagraphFont"/>
    <w:unhideWhenUsed/>
    <w:rsid w:val="003B13AB"/>
    <w:rPr>
      <w:sz w:val="16"/>
      <w:szCs w:val="16"/>
    </w:rPr>
  </w:style>
  <w:style w:type="paragraph" w:styleId="CommentText">
    <w:name w:val="annotation text"/>
    <w:basedOn w:val="Normal"/>
    <w:link w:val="CommentTextChar"/>
    <w:unhideWhenUsed/>
    <w:rsid w:val="003B13AB"/>
    <w:pPr>
      <w:spacing w:line="240" w:lineRule="auto"/>
    </w:pPr>
  </w:style>
  <w:style w:type="character" w:customStyle="1" w:styleId="CommentTextChar">
    <w:name w:val="Comment Text Char"/>
    <w:basedOn w:val="DefaultParagraphFont"/>
    <w:link w:val="CommentText"/>
    <w:rsid w:val="003B13AB"/>
    <w:rPr>
      <w:rFonts w:eastAsia="SimSun"/>
      <w:lang w:val="en-GB" w:eastAsia="zh-CN"/>
    </w:rPr>
  </w:style>
  <w:style w:type="character" w:customStyle="1" w:styleId="RegSingleTxtGChar">
    <w:name w:val="Reg_Single Txt_G Char"/>
    <w:basedOn w:val="DefaultParagraphFont"/>
    <w:link w:val="RegSingleTxtG"/>
    <w:rsid w:val="00FD2103"/>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E Fußnotentext Char,Fußnotentext Ursprung Char,-E Fußnotentext1 Char,-E Fußnotentext2 Char"/>
    <w:basedOn w:val="DefaultParagraphFont"/>
    <w:link w:val="FootnoteText"/>
    <w:locked/>
    <w:rsid w:val="00FD2103"/>
    <w:rPr>
      <w:rFonts w:eastAsia="SimSun"/>
      <w:sz w:val="18"/>
      <w:lang w:val="en-GB" w:eastAsia="zh-CN"/>
    </w:rPr>
  </w:style>
  <w:style w:type="character" w:customStyle="1" w:styleId="HeaderChar">
    <w:name w:val="Header Char"/>
    <w:aliases w:val="6_G Char"/>
    <w:basedOn w:val="DefaultParagraphFont"/>
    <w:link w:val="Header"/>
    <w:rsid w:val="00FD2103"/>
    <w:rPr>
      <w:rFonts w:eastAsia="SimSun"/>
      <w:b/>
      <w:sz w:val="18"/>
      <w:lang w:val="en-GB" w:eastAsia="zh-CN"/>
    </w:rPr>
  </w:style>
  <w:style w:type="character" w:styleId="Hyperlink">
    <w:name w:val="Hyperlink"/>
    <w:basedOn w:val="DefaultParagraphFont"/>
    <w:unhideWhenUsed/>
    <w:rsid w:val="00FD2103"/>
    <w:rPr>
      <w:color w:val="0000FF" w:themeColor="hyperlink"/>
      <w:u w:val="single"/>
    </w:rPr>
  </w:style>
  <w:style w:type="character" w:customStyle="1" w:styleId="ui-provider">
    <w:name w:val="ui-provider"/>
    <w:basedOn w:val="DefaultParagraphFont"/>
    <w:rsid w:val="00FD2103"/>
  </w:style>
  <w:style w:type="character" w:customStyle="1" w:styleId="FooterChar">
    <w:name w:val="Footer Char"/>
    <w:aliases w:val="3_G Char"/>
    <w:link w:val="Footer"/>
    <w:rsid w:val="00FD2103"/>
    <w:rPr>
      <w:rFonts w:eastAsia="SimSun"/>
      <w:sz w:val="16"/>
      <w:lang w:val="en-GB" w:eastAsia="zh-CN"/>
    </w:rPr>
  </w:style>
  <w:style w:type="character" w:customStyle="1" w:styleId="HChGChar">
    <w:name w:val="_ H _Ch_G Char"/>
    <w:link w:val="HChG"/>
    <w:rsid w:val="00FD2103"/>
    <w:rPr>
      <w:rFonts w:eastAsia="SimSun"/>
      <w:b/>
      <w:sz w:val="28"/>
      <w:lang w:val="en-GB" w:eastAsia="zh-CN"/>
    </w:rPr>
  </w:style>
  <w:style w:type="character" w:customStyle="1" w:styleId="RegHChGChar">
    <w:name w:val="Reg_H__Ch_G Char"/>
    <w:link w:val="RegHChG"/>
    <w:rsid w:val="00A07DDA"/>
    <w:rPr>
      <w:rFonts w:eastAsia="SimSun"/>
      <w:b/>
      <w:sz w:val="28"/>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C32E80"/>
    <w:pPr>
      <w:suppressAutoHyphens w:val="0"/>
      <w:spacing w:after="160" w:line="240" w:lineRule="exact"/>
    </w:pPr>
    <w:rPr>
      <w:rFonts w:eastAsia="Times New Roman"/>
      <w:sz w:val="18"/>
      <w:vertAlign w:val="superscript"/>
      <w:lang w:val="en-US" w:eastAsia="en-US"/>
    </w:rPr>
  </w:style>
  <w:style w:type="paragraph" w:customStyle="1" w:styleId="DecPara">
    <w:name w:val="DecPara"/>
    <w:basedOn w:val="Normal"/>
    <w:rsid w:val="008B2C48"/>
    <w:pPr>
      <w:numPr>
        <w:numId w:val="28"/>
      </w:numPr>
      <w:suppressAutoHyphens w:val="0"/>
      <w:spacing w:before="180" w:line="240" w:lineRule="auto"/>
    </w:pPr>
    <w:rPr>
      <w:rFonts w:eastAsia="Times New Roman"/>
      <w:sz w:val="22"/>
      <w:lang w:eastAsia="de-DE"/>
    </w:rPr>
  </w:style>
  <w:style w:type="character" w:customStyle="1" w:styleId="EndnoteTextChar">
    <w:name w:val="Endnote Text Char"/>
    <w:aliases w:val="2_G Char"/>
    <w:basedOn w:val="DefaultParagraphFont"/>
    <w:link w:val="EndnoteText"/>
    <w:rsid w:val="008B2C48"/>
    <w:rPr>
      <w:rFonts w:eastAsia="SimSun"/>
      <w:i/>
      <w:sz w:val="18"/>
      <w:lang w:val="en-GB" w:eastAsia="zh-CN"/>
    </w:rPr>
  </w:style>
  <w:style w:type="character" w:styleId="PlaceholderText">
    <w:name w:val="Placeholder Text"/>
    <w:basedOn w:val="DefaultParagraphFont"/>
    <w:uiPriority w:val="99"/>
    <w:semiHidden/>
    <w:rsid w:val="008B2C48"/>
    <w:rPr>
      <w:color w:val="808080"/>
    </w:rPr>
  </w:style>
  <w:style w:type="paragraph" w:styleId="CommentSubject">
    <w:name w:val="annotation subject"/>
    <w:basedOn w:val="CommentText"/>
    <w:next w:val="CommentText"/>
    <w:link w:val="CommentSubjectChar"/>
    <w:unhideWhenUsed/>
    <w:rsid w:val="008B2C48"/>
    <w:rPr>
      <w:b/>
      <w:bCs/>
    </w:rPr>
  </w:style>
  <w:style w:type="character" w:customStyle="1" w:styleId="CommentSubjectChar">
    <w:name w:val="Comment Subject Char"/>
    <w:basedOn w:val="CommentTextChar"/>
    <w:link w:val="CommentSubject"/>
    <w:rsid w:val="008B2C48"/>
    <w:rPr>
      <w:rFonts w:eastAsia="SimSun"/>
      <w:b/>
      <w:bCs/>
      <w:lang w:val="en-GB" w:eastAsia="zh-CN"/>
    </w:rPr>
  </w:style>
  <w:style w:type="character" w:customStyle="1" w:styleId="markedcontent">
    <w:name w:val="markedcontent"/>
    <w:basedOn w:val="DefaultParagraphFont"/>
    <w:rsid w:val="008B2C48"/>
  </w:style>
  <w:style w:type="character" w:customStyle="1" w:styleId="SingleTxtGChar">
    <w:name w:val="_ Single Txt_G Char"/>
    <w:link w:val="SingleTxtG"/>
    <w:rsid w:val="008B2C48"/>
    <w:rPr>
      <w:lang w:val="en-GB"/>
    </w:rPr>
  </w:style>
  <w:style w:type="character" w:customStyle="1" w:styleId="H1GChar">
    <w:name w:val="_ H_1_G Char"/>
    <w:link w:val="H1G"/>
    <w:locked/>
    <w:rsid w:val="008B2C48"/>
    <w:rPr>
      <w:rFonts w:eastAsia="SimSun"/>
      <w:b/>
      <w:sz w:val="24"/>
      <w:lang w:val="en-GB" w:eastAsia="zh-CN"/>
    </w:rPr>
  </w:style>
  <w:style w:type="paragraph" w:styleId="Revision">
    <w:name w:val="Revision"/>
    <w:hidden/>
    <w:uiPriority w:val="99"/>
    <w:semiHidden/>
    <w:rsid w:val="008B2C48"/>
    <w:rPr>
      <w:rFonts w:eastAsia="SimSun"/>
      <w:lang w:val="en-GB" w:eastAsia="zh-CN"/>
    </w:rPr>
  </w:style>
  <w:style w:type="paragraph" w:styleId="PlainText">
    <w:name w:val="Plain Text"/>
    <w:basedOn w:val="Normal"/>
    <w:link w:val="PlainTextChar"/>
    <w:uiPriority w:val="99"/>
    <w:unhideWhenUsed/>
    <w:rsid w:val="008B2C48"/>
    <w:pPr>
      <w:suppressAutoHyphens w:val="0"/>
      <w:spacing w:line="240" w:lineRule="auto"/>
    </w:pPr>
    <w:rPr>
      <w:rFonts w:ascii="Calibri" w:eastAsiaTheme="minorHAnsi" w:hAnsi="Calibri"/>
      <w:sz w:val="22"/>
      <w:szCs w:val="22"/>
      <w:lang w:eastAsia="en-GB"/>
    </w:rPr>
  </w:style>
  <w:style w:type="character" w:customStyle="1" w:styleId="PlainTextChar">
    <w:name w:val="Plain Text Char"/>
    <w:basedOn w:val="DefaultParagraphFont"/>
    <w:link w:val="PlainText"/>
    <w:uiPriority w:val="99"/>
    <w:rsid w:val="008B2C48"/>
    <w:rPr>
      <w:rFonts w:ascii="Calibri" w:eastAsiaTheme="minorHAnsi" w:hAnsi="Calibri"/>
      <w:sz w:val="22"/>
      <w:szCs w:val="22"/>
      <w:lang w:val="en-GB" w:eastAsia="en-GB"/>
    </w:rPr>
  </w:style>
  <w:style w:type="paragraph" w:customStyle="1" w:styleId="Default">
    <w:name w:val="Default"/>
    <w:rsid w:val="008B2C48"/>
    <w:pPr>
      <w:autoSpaceDE w:val="0"/>
      <w:autoSpaceDN w:val="0"/>
      <w:adjustRightInd w:val="0"/>
    </w:pPr>
    <w:rPr>
      <w:color w:val="000000"/>
      <w:sz w:val="24"/>
      <w:szCs w:val="24"/>
      <w:lang w:val="en-GB" w:eastAsia="en-GB"/>
    </w:rPr>
  </w:style>
  <w:style w:type="character" w:styleId="FollowedHyperlink">
    <w:name w:val="FollowedHyperlink"/>
    <w:basedOn w:val="DefaultParagraphFont"/>
    <w:semiHidden/>
    <w:unhideWhenUsed/>
    <w:rsid w:val="008B2C48"/>
    <w:rPr>
      <w:color w:val="800080" w:themeColor="followedHyperlink"/>
      <w:u w:val="single"/>
    </w:rPr>
  </w:style>
  <w:style w:type="character" w:styleId="UnresolvedMention">
    <w:name w:val="Unresolved Mention"/>
    <w:basedOn w:val="DefaultParagraphFont"/>
    <w:uiPriority w:val="99"/>
    <w:unhideWhenUsed/>
    <w:rsid w:val="008B2C48"/>
    <w:rPr>
      <w:color w:val="605E5C"/>
      <w:shd w:val="clear" w:color="auto" w:fill="E1DFDD"/>
    </w:rPr>
  </w:style>
  <w:style w:type="character" w:styleId="Mention">
    <w:name w:val="Mention"/>
    <w:basedOn w:val="DefaultParagraphFont"/>
    <w:uiPriority w:val="99"/>
    <w:unhideWhenUsed/>
    <w:rsid w:val="008B2C48"/>
    <w:rPr>
      <w:color w:val="2B579A"/>
      <w:shd w:val="clear" w:color="auto" w:fill="E1DFDD"/>
    </w:rPr>
  </w:style>
  <w:style w:type="paragraph" w:styleId="Date">
    <w:name w:val="Date"/>
    <w:basedOn w:val="Normal"/>
    <w:next w:val="Normal"/>
    <w:link w:val="DateChar"/>
    <w:rsid w:val="001D5053"/>
  </w:style>
  <w:style w:type="character" w:customStyle="1" w:styleId="DateChar">
    <w:name w:val="Date Char"/>
    <w:basedOn w:val="DefaultParagraphFont"/>
    <w:link w:val="Date"/>
    <w:rsid w:val="001D5053"/>
    <w:rPr>
      <w:rFonts w:eastAsia="SimSun"/>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header" Target="header8.xml"/><Relationship Id="rId39" Type="http://schemas.openxmlformats.org/officeDocument/2006/relationships/footer" Target="footer11.xml"/><Relationship Id="rId21" Type="http://schemas.openxmlformats.org/officeDocument/2006/relationships/header" Target="header5.xml"/><Relationship Id="rId34" Type="http://schemas.openxmlformats.org/officeDocument/2006/relationships/header" Target="header12.xml"/><Relationship Id="rId42" Type="http://schemas.openxmlformats.org/officeDocument/2006/relationships/footer" Target="footer12.xml"/><Relationship Id="rId47" Type="http://schemas.openxmlformats.org/officeDocument/2006/relationships/footer" Target="footer15.xml"/><Relationship Id="rId50" Type="http://schemas.openxmlformats.org/officeDocument/2006/relationships/footer" Target="footer16.xml"/><Relationship Id="rId55" Type="http://schemas.openxmlformats.org/officeDocument/2006/relationships/footer" Target="footer19.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footer" Target="footer7.xml"/><Relationship Id="rId11" Type="http://schemas.openxmlformats.org/officeDocument/2006/relationships/endnotes" Target="endnotes.xml"/><Relationship Id="rId24" Type="http://schemas.openxmlformats.org/officeDocument/2006/relationships/footer" Target="footer5.xml"/><Relationship Id="rId32" Type="http://schemas.openxmlformats.org/officeDocument/2006/relationships/footer" Target="footer8.xml"/><Relationship Id="rId37" Type="http://schemas.openxmlformats.org/officeDocument/2006/relationships/header" Target="header15.xml"/><Relationship Id="rId40" Type="http://schemas.openxmlformats.org/officeDocument/2006/relationships/header" Target="header16.xml"/><Relationship Id="rId45" Type="http://schemas.openxmlformats.org/officeDocument/2006/relationships/header" Target="header19.xml"/><Relationship Id="rId53" Type="http://schemas.openxmlformats.org/officeDocument/2006/relationships/header" Target="header23.xml"/><Relationship Id="rId5" Type="http://schemas.openxmlformats.org/officeDocument/2006/relationships/customXml" Target="../customXml/item5.xml"/><Relationship Id="rId19" Type="http://schemas.openxmlformats.org/officeDocument/2006/relationships/header" Target="header4.xml"/><Relationship Id="rId10" Type="http://schemas.openxmlformats.org/officeDocument/2006/relationships/footnotes" Target="footnotes.xml"/><Relationship Id="rId31" Type="http://schemas.openxmlformats.org/officeDocument/2006/relationships/header" Target="header11.xml"/><Relationship Id="rId44" Type="http://schemas.openxmlformats.org/officeDocument/2006/relationships/header" Target="header18.xml"/><Relationship Id="rId52" Type="http://schemas.openxmlformats.org/officeDocument/2006/relationships/header" Target="header2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header" Target="header13.xml"/><Relationship Id="rId43" Type="http://schemas.openxmlformats.org/officeDocument/2006/relationships/footer" Target="footer13.xml"/><Relationship Id="rId48" Type="http://schemas.openxmlformats.org/officeDocument/2006/relationships/header" Target="header20.xm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footer" Target="footer17.xml"/><Relationship Id="rId3" Type="http://schemas.openxmlformats.org/officeDocument/2006/relationships/customXml" Target="../customXml/item3.xml"/><Relationship Id="rId12" Type="http://schemas.openxmlformats.org/officeDocument/2006/relationships/image" Target="media/image1.wmf"/><Relationship Id="rId17" Type="http://schemas.openxmlformats.org/officeDocument/2006/relationships/footer" Target="footer2.xml"/><Relationship Id="rId25" Type="http://schemas.openxmlformats.org/officeDocument/2006/relationships/header" Target="header7.xml"/><Relationship Id="rId33" Type="http://schemas.openxmlformats.org/officeDocument/2006/relationships/footer" Target="footer9.xml"/><Relationship Id="rId38" Type="http://schemas.openxmlformats.org/officeDocument/2006/relationships/footer" Target="footer10.xml"/><Relationship Id="rId46" Type="http://schemas.openxmlformats.org/officeDocument/2006/relationships/footer" Target="footer14.xml"/><Relationship Id="rId20" Type="http://schemas.openxmlformats.org/officeDocument/2006/relationships/footer" Target="footer3.xml"/><Relationship Id="rId41" Type="http://schemas.openxmlformats.org/officeDocument/2006/relationships/header" Target="header17.xml"/><Relationship Id="rId54" Type="http://schemas.openxmlformats.org/officeDocument/2006/relationships/footer" Target="footer18.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header" Target="header14.xml"/><Relationship Id="rId49" Type="http://schemas.openxmlformats.org/officeDocument/2006/relationships/header" Target="header21.xml"/><Relationship Id="rId5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4.unfccc.int/sites/submissionsstaging/Pages/Home.aspx" TargetMode="External"/><Relationship Id="rId7" Type="http://schemas.openxmlformats.org/officeDocument/2006/relationships/hyperlink" Target="https://www4.unfccc.int/sites/submissionsstaging/Pages/Home.aspx" TargetMode="External"/><Relationship Id="rId2" Type="http://schemas.openxmlformats.org/officeDocument/2006/relationships/hyperlink" Target="https://www.thegef.org/projects-operations/projects/10433" TargetMode="External"/><Relationship Id="rId1" Type="http://schemas.openxmlformats.org/officeDocument/2006/relationships/hyperlink" Target="https://unfccc.int/ttclear/tec/workplan" TargetMode="External"/><Relationship Id="rId6" Type="http://schemas.openxmlformats.org/officeDocument/2006/relationships/hyperlink" Target="https://unfccc.int/event/RM-AsiaPacificWorkshop-Bangkok-2023" TargetMode="External"/><Relationship Id="rId5" Type="http://schemas.openxmlformats.org/officeDocument/2006/relationships/hyperlink" Target="https://unfccc.int/documents/267207" TargetMode="External"/><Relationship Id="rId4" Type="http://schemas.openxmlformats.org/officeDocument/2006/relationships/hyperlink" Target="https://www4.unfccc.int/sites/submissionsstaging/Pages/Home.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8" ma:contentTypeDescription="Create a new document." ma:contentTypeScope="" ma:versionID="4606b712080544b567752da1576dbf98">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a58c81fccaacf4021cbe21827ca32579"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Anna Charles</DisplayName>
        <AccountId>430</AccountId>
        <AccountType/>
      </UserInfo>
      <UserInfo>
        <DisplayName>Luan Harford</DisplayName>
        <AccountId>1818</AccountId>
        <AccountType/>
      </UserInfo>
      <UserInfo>
        <DisplayName>Daniel Klein</DisplayName>
        <AccountId>238</AccountId>
        <AccountType/>
      </UserInfo>
      <UserInfo>
        <DisplayName>Christine Adam</DisplayName>
        <AccountId>2060</AccountId>
        <AccountType/>
      </UserInfo>
      <UserInfo>
        <DisplayName>Gianluca Crispi</DisplayName>
        <AccountId>1356</AccountId>
        <AccountType/>
      </UserInfo>
      <UserInfo>
        <DisplayName>Luisa Rodriguez</DisplayName>
        <AccountId>1241</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2EB97A-451B-44F1-93D7-C4BB2E7B3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d5ddbf-e371-4d30-9213-f0ad543fb2ce"/>
    <ds:schemaRef ds:uri="21fd8bfc-cd85-4899-a616-986da4216f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89AAE9-5F5C-4077-BBC3-FBA560AEEDF6}"/>
</file>

<file path=customXml/itemProps3.xml><?xml version="1.0" encoding="utf-8"?>
<ds:datastoreItem xmlns:ds="http://schemas.openxmlformats.org/officeDocument/2006/customXml" ds:itemID="{7FCE3160-FD45-4FBC-ABE3-C0D0D40391A4}">
  <ds:schemaRefs>
    <ds:schemaRef ds:uri="http://schemas.microsoft.com/office/2006/documentManagement/types"/>
    <ds:schemaRef ds:uri="http://schemas.microsoft.com/office/2006/metadata/properties"/>
    <ds:schemaRef ds:uri="21fd8bfc-cd85-4899-a616-986da4216f81"/>
    <ds:schemaRef ds:uri="http://www.w3.org/XML/1998/namespace"/>
    <ds:schemaRef ds:uri="http://schemas.microsoft.com/office/infopath/2007/PartnerControls"/>
    <ds:schemaRef ds:uri="http://purl.org/dc/dcmitype/"/>
    <ds:schemaRef ds:uri="http://purl.org/dc/terms/"/>
    <ds:schemaRef ds:uri="http://schemas.openxmlformats.org/package/2006/metadata/core-properties"/>
    <ds:schemaRef ds:uri="4dd5ddbf-e371-4d30-9213-f0ad543fb2ce"/>
    <ds:schemaRef ds:uri="http://purl.org/dc/elements/1.1/"/>
  </ds:schemaRefs>
</ds:datastoreItem>
</file>

<file path=customXml/itemProps4.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customXml/itemProps5.xml><?xml version="1.0" encoding="utf-8"?>
<ds:datastoreItem xmlns:ds="http://schemas.openxmlformats.org/officeDocument/2006/customXml" ds:itemID="{8DC36CBF-7F5A-4365-AB8A-C0FFE4CFD4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FCCC.dotm</Template>
  <TotalTime>3</TotalTime>
  <Pages>39</Pages>
  <Words>12729</Words>
  <Characters>72556</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Report of the Conference of the Parties on its twenty-eighth session. Addendum</vt:lpstr>
    </vt:vector>
  </TitlesOfParts>
  <Company>UNFCCC</Company>
  <LinksUpToDate>false</LinksUpToDate>
  <CharactersWithSpaces>85115</CharactersWithSpaces>
  <SharedDoc>false</SharedDoc>
  <HLinks>
    <vt:vector size="54" baseType="variant">
      <vt:variant>
        <vt:i4>5898268</vt:i4>
      </vt:variant>
      <vt:variant>
        <vt:i4>18</vt:i4>
      </vt:variant>
      <vt:variant>
        <vt:i4>0</vt:i4>
      </vt:variant>
      <vt:variant>
        <vt:i4>5</vt:i4>
      </vt:variant>
      <vt:variant>
        <vt:lpwstr>https://www4.unfccc.int/sites/submissionsstaging/Pages/Home.aspx</vt:lpwstr>
      </vt:variant>
      <vt:variant>
        <vt:lpwstr/>
      </vt:variant>
      <vt:variant>
        <vt:i4>4784139</vt:i4>
      </vt:variant>
      <vt:variant>
        <vt:i4>15</vt:i4>
      </vt:variant>
      <vt:variant>
        <vt:i4>0</vt:i4>
      </vt:variant>
      <vt:variant>
        <vt:i4>5</vt:i4>
      </vt:variant>
      <vt:variant>
        <vt:lpwstr>https://unfccc.int/event/RM-AsiaPacificWorkshop-Bangkok-2023</vt:lpwstr>
      </vt:variant>
      <vt:variant>
        <vt:lpwstr/>
      </vt:variant>
      <vt:variant>
        <vt:i4>2097279</vt:i4>
      </vt:variant>
      <vt:variant>
        <vt:i4>12</vt:i4>
      </vt:variant>
      <vt:variant>
        <vt:i4>0</vt:i4>
      </vt:variant>
      <vt:variant>
        <vt:i4>5</vt:i4>
      </vt:variant>
      <vt:variant>
        <vt:lpwstr>https://unfccc.int/documents/267207</vt:lpwstr>
      </vt:variant>
      <vt:variant>
        <vt:lpwstr/>
      </vt:variant>
      <vt:variant>
        <vt:i4>5898268</vt:i4>
      </vt:variant>
      <vt:variant>
        <vt:i4>9</vt:i4>
      </vt:variant>
      <vt:variant>
        <vt:i4>0</vt:i4>
      </vt:variant>
      <vt:variant>
        <vt:i4>5</vt:i4>
      </vt:variant>
      <vt:variant>
        <vt:lpwstr>https://www4.unfccc.int/sites/submissionsstaging/Pages/Home.aspx</vt:lpwstr>
      </vt:variant>
      <vt:variant>
        <vt:lpwstr/>
      </vt:variant>
      <vt:variant>
        <vt:i4>5898268</vt:i4>
      </vt:variant>
      <vt:variant>
        <vt:i4>6</vt:i4>
      </vt:variant>
      <vt:variant>
        <vt:i4>0</vt:i4>
      </vt:variant>
      <vt:variant>
        <vt:i4>5</vt:i4>
      </vt:variant>
      <vt:variant>
        <vt:lpwstr>https://www4.unfccc.int/sites/submissionsstaging/Pages/Home.aspx</vt:lpwstr>
      </vt:variant>
      <vt:variant>
        <vt:lpwstr/>
      </vt:variant>
      <vt:variant>
        <vt:i4>4325377</vt:i4>
      </vt:variant>
      <vt:variant>
        <vt:i4>3</vt:i4>
      </vt:variant>
      <vt:variant>
        <vt:i4>0</vt:i4>
      </vt:variant>
      <vt:variant>
        <vt:i4>5</vt:i4>
      </vt:variant>
      <vt:variant>
        <vt:lpwstr>https://www.thegef.org/projects-operations/projects/10433</vt:lpwstr>
      </vt:variant>
      <vt:variant>
        <vt:lpwstr/>
      </vt:variant>
      <vt:variant>
        <vt:i4>6357035</vt:i4>
      </vt:variant>
      <vt:variant>
        <vt:i4>0</vt:i4>
      </vt:variant>
      <vt:variant>
        <vt:i4>0</vt:i4>
      </vt:variant>
      <vt:variant>
        <vt:i4>5</vt:i4>
      </vt:variant>
      <vt:variant>
        <vt:lpwstr>https://unfccc.int/ttclear/tec/workplan</vt:lpwstr>
      </vt:variant>
      <vt:variant>
        <vt:lpwstr/>
      </vt:variant>
      <vt:variant>
        <vt:i4>2293768</vt:i4>
      </vt:variant>
      <vt:variant>
        <vt:i4>3</vt:i4>
      </vt:variant>
      <vt:variant>
        <vt:i4>0</vt:i4>
      </vt:variant>
      <vt:variant>
        <vt:i4>5</vt:i4>
      </vt:variant>
      <vt:variant>
        <vt:lpwstr>mailto:KSmith@unfccc.int</vt:lpwstr>
      </vt:variant>
      <vt:variant>
        <vt:lpwstr/>
      </vt:variant>
      <vt:variant>
        <vt:i4>2293768</vt:i4>
      </vt:variant>
      <vt:variant>
        <vt:i4>0</vt:i4>
      </vt:variant>
      <vt:variant>
        <vt:i4>0</vt:i4>
      </vt:variant>
      <vt:variant>
        <vt:i4>5</vt:i4>
      </vt:variant>
      <vt:variant>
        <vt:lpwstr>mailto:KSmith@unfccc.int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on its twenty-eighth session. Addendum</dc:title>
  <dc:subject/>
  <dc:creator>UNFCCC</dc:creator>
  <cp:keywords/>
  <dc:description/>
  <cp:lastModifiedBy>Corinne Loeschner</cp:lastModifiedBy>
  <cp:revision>4</cp:revision>
  <cp:lastPrinted>2022-09-20T03:19:00Z</cp:lastPrinted>
  <dcterms:created xsi:type="dcterms:W3CDTF">2024-03-15T08:09:00Z</dcterms:created>
  <dcterms:modified xsi:type="dcterms:W3CDTF">2024-03-15T12:24:00Z</dcterms:modified>
  <cp:category>UNFCCC Template 2022</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v.September2022</vt:lpwstr>
  </property>
  <property fmtid="{D5CDD505-2E9C-101B-9397-08002B2CF9AE}" pid="3" name="originalCreationDate">
    <vt:lpwstr>15/3/2023 10:36:13</vt:lpwstr>
  </property>
  <property fmtid="{D5CDD505-2E9C-101B-9397-08002B2CF9AE}" pid="4" name="ContentTypeId">
    <vt:lpwstr>0x01010093B27815B4C26448A2AC74C6D94E050B</vt:lpwstr>
  </property>
  <property fmtid="{D5CDD505-2E9C-101B-9397-08002B2CF9AE}" pid="5" name="_dlc_DocIdItemGuid">
    <vt:lpwstr>76b462a1-db74-41b8-a0f7-e2610c86a0d7</vt:lpwstr>
  </property>
  <property fmtid="{D5CDD505-2E9C-101B-9397-08002B2CF9AE}" pid="6" name="fccc_contact">
    <vt:lpwstr/>
  </property>
  <property fmtid="{D5CDD505-2E9C-101B-9397-08002B2CF9AE}" pid="7" name="fccc_body">
    <vt:lpwstr>10;#Conference of the Parties (COP)|c73e7bf0-e1b5-41ee-ac74-00f3478c6be0</vt:lpwstr>
  </property>
  <property fmtid="{D5CDD505-2E9C-101B-9397-08002B2CF9AE}" pid="8" name="MediaServiceImageTags">
    <vt:lpwstr/>
  </property>
  <property fmtid="{D5CDD505-2E9C-101B-9397-08002B2CF9AE}" pid="9" name="kb2e315405fe407aa7f85ff4a1d5bcda">
    <vt:lpwstr/>
  </property>
  <property fmtid="{D5CDD505-2E9C-101B-9397-08002B2CF9AE}" pid="10" name="fccc_substantive_topic">
    <vt:lpwstr>46;#Sessional proceedings|ff7bdb8c-f4ee-4fbb-ab88-7747669b7746</vt:lpwstr>
  </property>
  <property fmtid="{D5CDD505-2E9C-101B-9397-08002B2CF9AE}" pid="11" name="fccc_Keywords">
    <vt:lpwstr>47;#Sessional proceedings|ff7bdb8c-f4ee-4fbb-ab88-7747669b7746</vt:lpwstr>
  </property>
  <property fmtid="{D5CDD505-2E9C-101B-9397-08002B2CF9AE}" pid="12" name="fccc_session">
    <vt:lpwstr>746;#COP 28|7b99649e-358b-46e1-ae1d-5e6611201a51</vt:lpwstr>
  </property>
  <property fmtid="{D5CDD505-2E9C-101B-9397-08002B2CF9AE}" pid="13" name="Web_x0020_doc_x0020_type">
    <vt:lpwstr/>
  </property>
  <property fmtid="{D5CDD505-2E9C-101B-9397-08002B2CF9AE}" pid="14" name="Document highlight">
    <vt:bool>false</vt:bool>
  </property>
  <property fmtid="{D5CDD505-2E9C-101B-9397-08002B2CF9AE}" pid="15" name="Conference">
    <vt:lpwstr/>
  </property>
  <property fmtid="{D5CDD505-2E9C-101B-9397-08002B2CF9AE}" pid="16" name="Corporate author">
    <vt:lpwstr/>
  </property>
  <property fmtid="{D5CDD505-2E9C-101B-9397-08002B2CF9AE}" pid="17" name="CMS doc type">
    <vt:lpwstr>Enter Choice #1</vt:lpwstr>
  </property>
  <property fmtid="{D5CDD505-2E9C-101B-9397-08002B2CF9AE}" pid="18" name="TaxCatchAll">
    <vt:lpwstr/>
  </property>
  <property fmtid="{D5CDD505-2E9C-101B-9397-08002B2CF9AE}" pid="19" name="Web doc type">
    <vt:lpwstr/>
  </property>
  <property fmtid="{D5CDD505-2E9C-101B-9397-08002B2CF9AE}" pid="20" name="Submission clearance officer(s)">
    <vt:lpwstr/>
  </property>
  <property fmtid="{D5CDD505-2E9C-101B-9397-08002B2CF9AE}" pid="21" name="LinkedUNFCCCDocumentTracker">
    <vt:lpwstr>6046</vt:lpwstr>
  </property>
  <property fmtid="{D5CDD505-2E9C-101B-9397-08002B2CF9AE}" pid="22" name="Agenda Item">
    <vt:lpwstr/>
  </property>
  <property fmtid="{D5CDD505-2E9C-101B-9397-08002B2CF9AE}" pid="23" name="docSymbol1">
    <vt:lpwstr>FCCC/CP/2023/X/Add.2</vt:lpwstr>
  </property>
  <property fmtid="{D5CDD505-2E9C-101B-9397-08002B2CF9AE}" pid="24" name="docSymbol2">
    <vt:lpwstr/>
  </property>
  <property fmtid="{D5CDD505-2E9C-101B-9397-08002B2CF9AE}" pid="25" name="ecb85f88989e4f11bfedb6318c1ed337">
    <vt:lpwstr/>
  </property>
  <property fmtid="{D5CDD505-2E9C-101B-9397-08002B2CF9AE}" pid="26" name="mb2653527eb04114b1d23d229a13893d">
    <vt:lpwstr/>
  </property>
  <property fmtid="{D5CDD505-2E9C-101B-9397-08002B2CF9AE}" pid="27" name="c51c080fb2d149e1934818200981989c">
    <vt:lpwstr/>
  </property>
  <property fmtid="{D5CDD505-2E9C-101B-9397-08002B2CF9AE}" pid="28" name="l6e091cbada04ed4b01f309d1d8edbb4">
    <vt:lpwstr/>
  </property>
  <property fmtid="{D5CDD505-2E9C-101B-9397-08002B2CF9AE}" pid="29" name="i961c1f3d95e40d19f5413b53439d186">
    <vt:lpwstr/>
  </property>
  <property fmtid="{D5CDD505-2E9C-101B-9397-08002B2CF9AE}" pid="30" name="oa198490080c4764bc1f8325a2b96d35">
    <vt:lpwstr/>
  </property>
  <property fmtid="{D5CDD505-2E9C-101B-9397-08002B2CF9AE}" pid="31" name="ES clearance?">
    <vt:bool>false</vt:bool>
  </property>
  <property fmtid="{D5CDD505-2E9C-101B-9397-08002B2CF9AE}" pid="32" name="Document Group">
    <vt:lpwstr/>
  </property>
  <property fmtid="{D5CDD505-2E9C-101B-9397-08002B2CF9AE}" pid="33" name="Symbolchanged">
    <vt:bool>false</vt:bool>
  </property>
  <property fmtid="{D5CDD505-2E9C-101B-9397-08002B2CF9AE}" pid="34" name="Defer">
    <vt:bool>false</vt:bool>
  </property>
  <property fmtid="{D5CDD505-2E9C-101B-9397-08002B2CF9AE}" pid="35" name="Ready for gDoc?">
    <vt:bool>false</vt:bool>
  </property>
  <property fmtid="{D5CDD505-2E9C-101B-9397-08002B2CF9AE}" pid="36" name="Editstatus">
    <vt:lpwstr>Not edited</vt:lpwstr>
  </property>
  <property fmtid="{D5CDD505-2E9C-101B-9397-08002B2CF9AE}" pid="37" name="lcf76f155ced4ddcb4097134ff3c332f">
    <vt:lpwstr/>
  </property>
  <property fmtid="{D5CDD505-2E9C-101B-9397-08002B2CF9AE}" pid="38" name="Submitted">
    <vt:bool>false</vt:bool>
  </property>
  <property fmtid="{D5CDD505-2E9C-101B-9397-08002B2CF9AE}" pid="39" name="mc8c0c91454a4efc97cb5a2e90a99718">
    <vt:lpwstr/>
  </property>
  <property fmtid="{D5CDD505-2E9C-101B-9397-08002B2CF9AE}" pid="40" name="SharedWithUsers">
    <vt:lpwstr>430;#Anna Charles;#1818;#Luan Harford;#238;#Daniel Klein;#2060;#Christine Adam;#1356;#Gianluca Crispi;#1241;#Luisa Rodriguez</vt:lpwstr>
  </property>
</Properties>
</file>