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135" w:tblpY="285"/>
        <w:tblOverlap w:val="never"/>
        <w:tblW w:w="9639"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1242"/>
        <w:gridCol w:w="2552"/>
        <w:gridCol w:w="717"/>
        <w:gridCol w:w="2293"/>
        <w:gridCol w:w="2835"/>
      </w:tblGrid>
      <w:tr w:rsidR="002D66A2" w14:paraId="7CFB316F" w14:textId="77777777" w:rsidTr="00BF47B4">
        <w:trPr>
          <w:cantSplit/>
          <w:trHeight w:hRule="exact" w:val="1134"/>
        </w:trPr>
        <w:tc>
          <w:tcPr>
            <w:tcW w:w="1242" w:type="dxa"/>
            <w:vAlign w:val="bottom"/>
          </w:tcPr>
          <w:p w14:paraId="6F2E0533" w14:textId="77777777" w:rsidR="002D66A2" w:rsidRPr="003F5FEE" w:rsidRDefault="002D66A2" w:rsidP="00BF47B4">
            <w:r>
              <w:rPr>
                <w:noProof/>
                <w:lang w:val="en-US" w:eastAsia="en-US"/>
              </w:rPr>
              <w:drawing>
                <wp:inline distT="0" distB="0" distL="0" distR="0" wp14:anchorId="3694D843" wp14:editId="0739603B">
                  <wp:extent cx="668020" cy="564515"/>
                  <wp:effectExtent l="0" t="0" r="0" b="0"/>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8020" cy="564515"/>
                          </a:xfrm>
                          <a:prstGeom prst="rect">
                            <a:avLst/>
                          </a:prstGeom>
                          <a:noFill/>
                          <a:ln>
                            <a:noFill/>
                          </a:ln>
                        </pic:spPr>
                      </pic:pic>
                    </a:graphicData>
                  </a:graphic>
                </wp:inline>
              </w:drawing>
            </w:r>
          </w:p>
        </w:tc>
        <w:tc>
          <w:tcPr>
            <w:tcW w:w="2552" w:type="dxa"/>
            <w:vAlign w:val="bottom"/>
          </w:tcPr>
          <w:p w14:paraId="538A66BE" w14:textId="77777777" w:rsidR="002D66A2" w:rsidRPr="00A86746" w:rsidRDefault="002D66A2" w:rsidP="00BF47B4">
            <w:pPr>
              <w:ind w:left="113"/>
              <w:rPr>
                <w:sz w:val="28"/>
                <w:szCs w:val="28"/>
              </w:rPr>
            </w:pPr>
            <w:r w:rsidRPr="00A86746">
              <w:rPr>
                <w:sz w:val="28"/>
                <w:szCs w:val="28"/>
              </w:rPr>
              <w:t>United Nations</w:t>
            </w:r>
          </w:p>
        </w:tc>
        <w:tc>
          <w:tcPr>
            <w:tcW w:w="5845" w:type="dxa"/>
            <w:gridSpan w:val="3"/>
            <w:vAlign w:val="bottom"/>
          </w:tcPr>
          <w:p w14:paraId="7F94728B" w14:textId="2DBF08C4" w:rsidR="002D66A2" w:rsidRPr="001C679A" w:rsidRDefault="001C679A" w:rsidP="001C679A">
            <w:pPr>
              <w:jc w:val="right"/>
            </w:pPr>
            <w:r w:rsidRPr="00E00593">
              <w:rPr>
                <w:sz w:val="40"/>
              </w:rPr>
              <w:t>FCCC</w:t>
            </w:r>
            <w:r w:rsidRPr="00E00593">
              <w:t>/CP/2024/1</w:t>
            </w:r>
            <w:r>
              <w:t>1/Add.1</w:t>
            </w:r>
          </w:p>
        </w:tc>
      </w:tr>
      <w:tr w:rsidR="002D66A2" w14:paraId="06B76353" w14:textId="77777777" w:rsidTr="00BF47B4">
        <w:trPr>
          <w:cantSplit/>
          <w:trHeight w:hRule="exact" w:val="2552"/>
        </w:trPr>
        <w:tc>
          <w:tcPr>
            <w:tcW w:w="4511" w:type="dxa"/>
            <w:gridSpan w:val="3"/>
          </w:tcPr>
          <w:p w14:paraId="4BA461BD" w14:textId="77777777" w:rsidR="002D66A2" w:rsidRPr="003F5FEE" w:rsidRDefault="002D66A2" w:rsidP="00BF47B4">
            <w:r>
              <w:rPr>
                <w:noProof/>
                <w:lang w:val="en-US" w:eastAsia="en-US"/>
              </w:rPr>
              <w:drawing>
                <wp:anchor distT="0" distB="0" distL="114300" distR="114300" simplePos="0" relativeHeight="251658240" behindDoc="1" locked="0" layoutInCell="1" allowOverlap="1" wp14:anchorId="3F2D5B66" wp14:editId="1EADC6AF">
                  <wp:simplePos x="0" y="0"/>
                  <wp:positionH relativeFrom="column">
                    <wp:posOffset>-2540</wp:posOffset>
                  </wp:positionH>
                  <wp:positionV relativeFrom="paragraph">
                    <wp:posOffset>1270</wp:posOffset>
                  </wp:positionV>
                  <wp:extent cx="2401570" cy="5727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1570" cy="572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36A5F9" w14:textId="77777777" w:rsidR="002D66A2" w:rsidRPr="003F5FEE" w:rsidRDefault="002D66A2" w:rsidP="00BF47B4"/>
        </w:tc>
        <w:tc>
          <w:tcPr>
            <w:tcW w:w="2293" w:type="dxa"/>
          </w:tcPr>
          <w:p w14:paraId="2689F0F7" w14:textId="77777777" w:rsidR="002D66A2" w:rsidRPr="003F5FEE" w:rsidRDefault="002D66A2" w:rsidP="00BF47B4"/>
        </w:tc>
        <w:tc>
          <w:tcPr>
            <w:tcW w:w="2835" w:type="dxa"/>
          </w:tcPr>
          <w:p w14:paraId="2C150DAD" w14:textId="77777777" w:rsidR="004B487B" w:rsidRDefault="001C679A" w:rsidP="001C679A">
            <w:pPr>
              <w:spacing w:before="240" w:line="240" w:lineRule="exact"/>
              <w:ind w:left="143"/>
            </w:pPr>
            <w:r>
              <w:t>Distr.: General</w:t>
            </w:r>
          </w:p>
          <w:p w14:paraId="6EF1F13F" w14:textId="3174D71F" w:rsidR="001C679A" w:rsidRDefault="0066308D" w:rsidP="001C679A">
            <w:pPr>
              <w:spacing w:line="240" w:lineRule="exact"/>
              <w:ind w:left="143"/>
            </w:pPr>
            <w:r>
              <w:t>2</w:t>
            </w:r>
            <w:r w:rsidR="00D039CB">
              <w:t>7</w:t>
            </w:r>
            <w:r>
              <w:t xml:space="preserve"> March</w:t>
            </w:r>
            <w:r w:rsidR="001C679A">
              <w:t xml:space="preserve"> 202</w:t>
            </w:r>
            <w:r w:rsidR="005464BD">
              <w:t>5</w:t>
            </w:r>
          </w:p>
          <w:p w14:paraId="519B619F" w14:textId="77777777" w:rsidR="001C679A" w:rsidRDefault="001C679A" w:rsidP="001C679A">
            <w:pPr>
              <w:spacing w:line="240" w:lineRule="exact"/>
              <w:ind w:left="143"/>
            </w:pPr>
          </w:p>
          <w:p w14:paraId="14EDED5A" w14:textId="50FCEAD3" w:rsidR="001C679A" w:rsidRPr="00E0470D" w:rsidRDefault="001C679A" w:rsidP="001C679A">
            <w:pPr>
              <w:spacing w:line="240" w:lineRule="exact"/>
              <w:ind w:left="143"/>
            </w:pPr>
            <w:r>
              <w:t>Original: English</w:t>
            </w:r>
          </w:p>
        </w:tc>
      </w:tr>
    </w:tbl>
    <w:p w14:paraId="0ED489C7" w14:textId="5B247036" w:rsidR="003F6A01" w:rsidRDefault="009647CF" w:rsidP="003F6A01">
      <w:pPr>
        <w:spacing w:before="120"/>
        <w:rPr>
          <w:b/>
          <w:sz w:val="24"/>
          <w:szCs w:val="24"/>
        </w:rPr>
      </w:pPr>
      <w:r>
        <w:rPr>
          <w:b/>
          <w:sz w:val="24"/>
          <w:szCs w:val="24"/>
        </w:rPr>
        <w:t>Conference of the Parties</w:t>
      </w:r>
    </w:p>
    <w:p w14:paraId="42568767" w14:textId="6D97FAA1" w:rsidR="00770258" w:rsidRDefault="003F6A01" w:rsidP="00BD5DB4">
      <w:pPr>
        <w:pStyle w:val="RegHChG"/>
        <w:numPr>
          <w:ilvl w:val="0"/>
          <w:numId w:val="0"/>
        </w:numPr>
        <w:ind w:left="1135" w:hanging="454"/>
      </w:pPr>
      <w:r>
        <w:t>R</w:t>
      </w:r>
      <w:r w:rsidRPr="00DE51A7">
        <w:t xml:space="preserve">eport of the </w:t>
      </w:r>
      <w:r w:rsidR="009647CF" w:rsidRPr="000E2599">
        <w:rPr>
          <w:bCs/>
          <w:szCs w:val="28"/>
        </w:rPr>
        <w:t>Conference of the Parties</w:t>
      </w:r>
      <w:r w:rsidR="009647CF">
        <w:t xml:space="preserve"> </w:t>
      </w:r>
      <w:r>
        <w:t>o</w:t>
      </w:r>
      <w:r w:rsidRPr="00DE51A7">
        <w:t xml:space="preserve">n its </w:t>
      </w:r>
      <w:r w:rsidR="009647CF">
        <w:t xml:space="preserve">twenty-ninth </w:t>
      </w:r>
      <w:r>
        <w:t>session, held in Baku from 11 to</w:t>
      </w:r>
      <w:r w:rsidR="009647CF">
        <w:t xml:space="preserve"> 2</w:t>
      </w:r>
      <w:r w:rsidR="0045145C">
        <w:t>4</w:t>
      </w:r>
      <w:r>
        <w:t xml:space="preserve"> November 202</w:t>
      </w:r>
      <w:r w:rsidR="00BD3AE3">
        <w:t>4</w:t>
      </w:r>
    </w:p>
    <w:p w14:paraId="0C3EBE99" w14:textId="77777777" w:rsidR="0045765B" w:rsidRPr="00AB18D9" w:rsidRDefault="0045765B" w:rsidP="0045765B">
      <w:pPr>
        <w:pStyle w:val="H1G"/>
        <w:ind w:firstLine="0"/>
        <w:rPr>
          <w:szCs w:val="18"/>
        </w:rPr>
      </w:pPr>
      <w:bookmarkStart w:id="0" w:name="_Toc120701103"/>
      <w:bookmarkStart w:id="1" w:name="_Toc161208024"/>
      <w:r w:rsidRPr="00A7629D">
        <w:t>Addendum</w:t>
      </w:r>
      <w:bookmarkEnd w:id="0"/>
      <w:bookmarkEnd w:id="1"/>
    </w:p>
    <w:p w14:paraId="2DBB79DC" w14:textId="358B1AC9" w:rsidR="0045765B" w:rsidRPr="00770258" w:rsidRDefault="0045765B" w:rsidP="007C7B58">
      <w:pPr>
        <w:pStyle w:val="H1G"/>
        <w:ind w:firstLine="0"/>
      </w:pPr>
      <w:bookmarkStart w:id="2" w:name="_Toc161208025"/>
      <w:r>
        <w:t xml:space="preserve">Part </w:t>
      </w:r>
      <w:r w:rsidR="00291B96">
        <w:t>two</w:t>
      </w:r>
      <w:r>
        <w:t>: Action taken by the Conference of the Parties at its twenty</w:t>
      </w:r>
      <w:r>
        <w:noBreakHyphen/>
      </w:r>
      <w:r w:rsidR="008E6CCA">
        <w:t>ninth</w:t>
      </w:r>
      <w:r>
        <w:t xml:space="preserve"> session</w:t>
      </w:r>
      <w:bookmarkEnd w:id="2"/>
    </w:p>
    <w:p w14:paraId="15C916A5" w14:textId="7F4EF3D7" w:rsidR="003F6A01" w:rsidRDefault="00EB4096" w:rsidP="00EB4096">
      <w:pPr>
        <w:spacing w:after="120"/>
        <w:rPr>
          <w:sz w:val="28"/>
        </w:rPr>
      </w:pPr>
      <w:r>
        <w:rPr>
          <w:sz w:val="28"/>
        </w:rPr>
        <w:t>Contents</w:t>
      </w:r>
    </w:p>
    <w:p w14:paraId="12677EF0" w14:textId="1627090E" w:rsidR="00F4062B" w:rsidRPr="00F4062B" w:rsidRDefault="00F4062B" w:rsidP="00BD5DB4">
      <w:pPr>
        <w:pStyle w:val="RegHChG"/>
        <w:numPr>
          <w:ilvl w:val="0"/>
          <w:numId w:val="0"/>
        </w:numPr>
        <w:ind w:left="1135" w:hanging="454"/>
        <w:rPr>
          <w:i/>
          <w:sz w:val="18"/>
        </w:rPr>
      </w:pPr>
      <w:r w:rsidRPr="00F4062B">
        <w:t>Decisions adopted by the Conference of the Parties</w:t>
      </w:r>
    </w:p>
    <w:p w14:paraId="487F6468" w14:textId="18826272" w:rsidR="0097433B" w:rsidRDefault="00F37248" w:rsidP="00AE498D">
      <w:pPr>
        <w:tabs>
          <w:tab w:val="left" w:pos="1134"/>
          <w:tab w:val="right" w:pos="9638"/>
        </w:tabs>
        <w:spacing w:after="120"/>
        <w:ind w:left="283"/>
      </w:pPr>
      <w:r>
        <w:rPr>
          <w:i/>
        </w:rPr>
        <w:tab/>
      </w:r>
      <w:r w:rsidRPr="00CD1D43">
        <w:rPr>
          <w:i/>
        </w:rPr>
        <w:t>Decision</w:t>
      </w:r>
      <w:r w:rsidRPr="00CD1D43">
        <w:rPr>
          <w:i/>
        </w:rPr>
        <w:tab/>
        <w:t>Page</w:t>
      </w:r>
    </w:p>
    <w:p w14:paraId="62945028" w14:textId="4994B3CB" w:rsidR="00AE498D" w:rsidRDefault="00F37248" w:rsidP="00B71B05">
      <w:pPr>
        <w:pStyle w:val="TOC1"/>
        <w:tabs>
          <w:tab w:val="clear" w:pos="1985"/>
          <w:tab w:val="left" w:pos="2268"/>
        </w:tabs>
        <w:ind w:left="2268" w:hanging="2268"/>
      </w:pPr>
      <w:r>
        <w:tab/>
      </w:r>
      <w:r w:rsidR="00AE498D">
        <w:tab/>
      </w:r>
      <w:hyperlink w:anchor="CP1" w:history="1">
        <w:r w:rsidR="00A15D09" w:rsidRPr="00BB2648">
          <w:rPr>
            <w:rStyle w:val="Hyperlink"/>
          </w:rPr>
          <w:t>1/CP.29</w:t>
        </w:r>
      </w:hyperlink>
      <w:r w:rsidR="00A15D09">
        <w:tab/>
      </w:r>
      <w:r w:rsidR="00C9668D">
        <w:t>Long-term climate finance</w:t>
      </w:r>
      <w:r w:rsidR="006A710B">
        <w:t xml:space="preserve"> </w:t>
      </w:r>
      <w:r w:rsidR="00CD6F44">
        <w:tab/>
      </w:r>
      <w:r w:rsidR="00B22610">
        <w:tab/>
      </w:r>
      <w:r w:rsidR="006868A8">
        <w:t>2</w:t>
      </w:r>
    </w:p>
    <w:p w14:paraId="0C215B6B" w14:textId="5942133E" w:rsidR="00AE498D" w:rsidRDefault="00AE498D" w:rsidP="00B71B05">
      <w:pPr>
        <w:pStyle w:val="TOC1"/>
        <w:tabs>
          <w:tab w:val="clear" w:pos="1985"/>
          <w:tab w:val="left" w:pos="2268"/>
        </w:tabs>
        <w:ind w:left="2268" w:hanging="2268"/>
      </w:pPr>
      <w:r>
        <w:tab/>
      </w:r>
      <w:r>
        <w:tab/>
      </w:r>
      <w:hyperlink w:anchor="CP2" w:history="1">
        <w:r w:rsidR="00A15D09" w:rsidRPr="00A66460">
          <w:rPr>
            <w:rStyle w:val="Hyperlink"/>
          </w:rPr>
          <w:t>2/CP.29</w:t>
        </w:r>
      </w:hyperlink>
      <w:r w:rsidR="00A15D09">
        <w:tab/>
      </w:r>
      <w:r w:rsidR="00B4430A">
        <w:t>Ma</w:t>
      </w:r>
      <w:r w:rsidR="0072164C">
        <w:t>tters relating to</w:t>
      </w:r>
      <w:r w:rsidR="00477880">
        <w:t xml:space="preserve"> the</w:t>
      </w:r>
      <w:r w:rsidR="0072164C">
        <w:t xml:space="preserve"> Standing Committee on Finance</w:t>
      </w:r>
      <w:r w:rsidR="00B22610">
        <w:tab/>
      </w:r>
      <w:r w:rsidR="00B22610">
        <w:tab/>
      </w:r>
      <w:r w:rsidR="006868A8">
        <w:t>3</w:t>
      </w:r>
    </w:p>
    <w:p w14:paraId="153633AC" w14:textId="6319D8A4" w:rsidR="00E90266" w:rsidRDefault="00AE498D" w:rsidP="00B71B05">
      <w:pPr>
        <w:pStyle w:val="TOC1"/>
        <w:tabs>
          <w:tab w:val="clear" w:pos="1985"/>
          <w:tab w:val="left" w:pos="2268"/>
        </w:tabs>
        <w:ind w:left="2268" w:hanging="2268"/>
      </w:pPr>
      <w:r>
        <w:tab/>
      </w:r>
      <w:r>
        <w:tab/>
      </w:r>
      <w:hyperlink w:anchor="CP3" w:history="1">
        <w:r w:rsidR="0072164C" w:rsidRPr="000D6FB3">
          <w:rPr>
            <w:rStyle w:val="Hyperlink"/>
          </w:rPr>
          <w:t>3/CP.29</w:t>
        </w:r>
      </w:hyperlink>
      <w:r w:rsidR="0072164C">
        <w:tab/>
      </w:r>
      <w:r w:rsidR="00443CD4">
        <w:t>Report o</w:t>
      </w:r>
      <w:r w:rsidR="001F4312">
        <w:t>f</w:t>
      </w:r>
      <w:r w:rsidR="00443CD4">
        <w:t xml:space="preserve"> the Green Climate Fund to the Conference of the Parties and guidance to</w:t>
      </w:r>
      <w:r w:rsidR="00975EFE">
        <w:br/>
      </w:r>
      <w:r w:rsidR="00443CD4">
        <w:t>the Green Climate Fund</w:t>
      </w:r>
      <w:r w:rsidR="00B22610">
        <w:tab/>
      </w:r>
      <w:r w:rsidR="00B22610">
        <w:tab/>
      </w:r>
      <w:r w:rsidR="006868A8">
        <w:t>6</w:t>
      </w:r>
    </w:p>
    <w:p w14:paraId="3FCDA472" w14:textId="16E18F48" w:rsidR="00886240" w:rsidRDefault="00E90266" w:rsidP="00B71B05">
      <w:pPr>
        <w:pStyle w:val="TOC1"/>
        <w:tabs>
          <w:tab w:val="clear" w:pos="1985"/>
          <w:tab w:val="left" w:pos="2268"/>
        </w:tabs>
        <w:ind w:left="2268" w:hanging="2268"/>
      </w:pPr>
      <w:r>
        <w:tab/>
      </w:r>
      <w:r>
        <w:tab/>
      </w:r>
      <w:hyperlink w:anchor="CP4" w:history="1">
        <w:r w:rsidR="00443CD4" w:rsidRPr="0091558A">
          <w:rPr>
            <w:rStyle w:val="Hyperlink"/>
          </w:rPr>
          <w:t>4/CP.29</w:t>
        </w:r>
      </w:hyperlink>
      <w:r w:rsidR="00443CD4">
        <w:tab/>
      </w:r>
      <w:r w:rsidR="007947E7">
        <w:t>Report o</w:t>
      </w:r>
      <w:r w:rsidR="001F4312">
        <w:t>f</w:t>
      </w:r>
      <w:r w:rsidR="007947E7">
        <w:t xml:space="preserve"> the Global Environment Facility to the Conference of the Parties </w:t>
      </w:r>
      <w:r w:rsidR="00B802D7">
        <w:t>and</w:t>
      </w:r>
      <w:r w:rsidR="00975EFE">
        <w:br/>
      </w:r>
      <w:r w:rsidR="00B802D7">
        <w:t>guidance to the Global Environment Facility</w:t>
      </w:r>
      <w:r w:rsidR="00B802D7">
        <w:tab/>
      </w:r>
      <w:r w:rsidR="00886240">
        <w:tab/>
      </w:r>
      <w:r w:rsidR="0002542F">
        <w:t>1</w:t>
      </w:r>
      <w:r w:rsidR="006868A8">
        <w:t>0</w:t>
      </w:r>
    </w:p>
    <w:p w14:paraId="09E068E6" w14:textId="0BEF7407" w:rsidR="00375582" w:rsidRDefault="00886240" w:rsidP="00B71B05">
      <w:pPr>
        <w:pStyle w:val="TOC1"/>
        <w:tabs>
          <w:tab w:val="clear" w:pos="1985"/>
          <w:tab w:val="left" w:pos="2268"/>
        </w:tabs>
        <w:ind w:left="2268" w:hanging="2268"/>
      </w:pPr>
      <w:r>
        <w:tab/>
      </w:r>
      <w:r>
        <w:tab/>
      </w:r>
      <w:hyperlink w:anchor="CP5" w:history="1">
        <w:r w:rsidR="00B802D7" w:rsidRPr="0091558A">
          <w:rPr>
            <w:rStyle w:val="Hyperlink"/>
          </w:rPr>
          <w:t>5/CP.29</w:t>
        </w:r>
      </w:hyperlink>
      <w:r w:rsidR="00B802D7">
        <w:tab/>
      </w:r>
      <w:r w:rsidR="00077982">
        <w:t>Report of the Fund for responding to Loss and Damage and guidance to the Fund</w:t>
      </w:r>
      <w:r w:rsidR="00077982">
        <w:tab/>
      </w:r>
      <w:r>
        <w:tab/>
      </w:r>
      <w:r w:rsidR="0002542F">
        <w:t>1</w:t>
      </w:r>
      <w:r w:rsidR="006868A8">
        <w:t>4</w:t>
      </w:r>
    </w:p>
    <w:p w14:paraId="6637A16C" w14:textId="3442B777" w:rsidR="00247089" w:rsidRDefault="00375582" w:rsidP="00B71B05">
      <w:pPr>
        <w:pStyle w:val="TOC1"/>
        <w:tabs>
          <w:tab w:val="clear" w:pos="1985"/>
          <w:tab w:val="left" w:pos="2268"/>
        </w:tabs>
        <w:ind w:left="2268" w:hanging="2268"/>
      </w:pPr>
      <w:r>
        <w:tab/>
      </w:r>
      <w:r>
        <w:tab/>
      </w:r>
      <w:hyperlink w:anchor="CP6" w:history="1">
        <w:r w:rsidR="00077982" w:rsidRPr="0091558A">
          <w:rPr>
            <w:rStyle w:val="Hyperlink"/>
          </w:rPr>
          <w:t>6/CP.29</w:t>
        </w:r>
      </w:hyperlink>
      <w:r w:rsidR="00077982">
        <w:tab/>
      </w:r>
      <w:r w:rsidR="000E49E4">
        <w:t>Arrangements between the Conference of the Parties, the Conference of the Parties</w:t>
      </w:r>
      <w:r w:rsidR="00975EFE">
        <w:br/>
      </w:r>
      <w:r w:rsidR="000E49E4">
        <w:t>serving as the meeting of the Parties to the Paris Agreement and the Board of the</w:t>
      </w:r>
      <w:r w:rsidR="00975EFE">
        <w:br/>
      </w:r>
      <w:r w:rsidR="000E49E4">
        <w:t>Fund for responding to Loss and Damage</w:t>
      </w:r>
      <w:r w:rsidR="000E49E4">
        <w:tab/>
      </w:r>
      <w:r>
        <w:tab/>
      </w:r>
      <w:r w:rsidR="0002542F">
        <w:t>1</w:t>
      </w:r>
      <w:r w:rsidR="006868A8">
        <w:t>7</w:t>
      </w:r>
    </w:p>
    <w:p w14:paraId="7F56D2F0" w14:textId="43079948" w:rsidR="00247089" w:rsidRDefault="00247089" w:rsidP="00B71B05">
      <w:pPr>
        <w:pStyle w:val="TOC1"/>
        <w:tabs>
          <w:tab w:val="clear" w:pos="1985"/>
          <w:tab w:val="left" w:pos="2268"/>
        </w:tabs>
        <w:ind w:left="2268" w:hanging="2268"/>
      </w:pPr>
      <w:r>
        <w:tab/>
      </w:r>
      <w:r>
        <w:tab/>
      </w:r>
      <w:hyperlink w:anchor="CP7" w:history="1">
        <w:r w:rsidR="000E49E4" w:rsidRPr="0091558A">
          <w:rPr>
            <w:rStyle w:val="Hyperlink"/>
          </w:rPr>
          <w:t>7/CP.29</w:t>
        </w:r>
      </w:hyperlink>
      <w:r w:rsidR="000E49E4">
        <w:tab/>
      </w:r>
      <w:r w:rsidR="00C01FBE">
        <w:t>Gender and climate change</w:t>
      </w:r>
      <w:r w:rsidR="00C01FBE">
        <w:tab/>
      </w:r>
      <w:r>
        <w:tab/>
      </w:r>
      <w:r w:rsidR="0002542F">
        <w:t>2</w:t>
      </w:r>
      <w:r w:rsidR="006868A8">
        <w:t>3</w:t>
      </w:r>
    </w:p>
    <w:p w14:paraId="6D628002" w14:textId="6D9B22E2" w:rsidR="006C515E" w:rsidRDefault="00247089" w:rsidP="00B71B05">
      <w:pPr>
        <w:pStyle w:val="TOC1"/>
        <w:tabs>
          <w:tab w:val="clear" w:pos="1985"/>
          <w:tab w:val="left" w:pos="2268"/>
        </w:tabs>
        <w:ind w:left="2268" w:hanging="2268"/>
      </w:pPr>
      <w:r>
        <w:tab/>
      </w:r>
      <w:r>
        <w:tab/>
      </w:r>
      <w:hyperlink w:anchor="CP8" w:history="1">
        <w:r w:rsidR="00C01FBE" w:rsidRPr="0091558A">
          <w:rPr>
            <w:rStyle w:val="Hyperlink"/>
          </w:rPr>
          <w:t>8/CP.29</w:t>
        </w:r>
      </w:hyperlink>
      <w:r w:rsidR="00C01FBE">
        <w:tab/>
      </w:r>
      <w:r w:rsidR="00E6745C">
        <w:t>Warsaw International Mechanism for Loss and Damage associated with Climate</w:t>
      </w:r>
      <w:r w:rsidR="00975EFE">
        <w:br/>
      </w:r>
      <w:r w:rsidR="00E6745C">
        <w:t>Change Impacts and joint annual report of its Executive Committee and the</w:t>
      </w:r>
      <w:r w:rsidR="00975EFE">
        <w:br/>
      </w:r>
      <w:r w:rsidR="00E6745C">
        <w:t>Santiago network for averting, minimizing and addressing loss and damage</w:t>
      </w:r>
      <w:r w:rsidR="00975EFE">
        <w:br/>
      </w:r>
      <w:r w:rsidR="00E6745C">
        <w:t>associated with the adverse effects of climate change</w:t>
      </w:r>
      <w:r w:rsidR="00E6745C">
        <w:tab/>
      </w:r>
      <w:r>
        <w:tab/>
      </w:r>
      <w:r w:rsidR="0002542F">
        <w:t>2</w:t>
      </w:r>
      <w:r w:rsidR="006868A8">
        <w:t>7</w:t>
      </w:r>
    </w:p>
    <w:p w14:paraId="311E12B6" w14:textId="041B1A5B" w:rsidR="006C515E" w:rsidRDefault="006C515E" w:rsidP="00B71B05">
      <w:pPr>
        <w:pStyle w:val="TOC1"/>
        <w:tabs>
          <w:tab w:val="clear" w:pos="1985"/>
          <w:tab w:val="left" w:pos="2268"/>
        </w:tabs>
        <w:ind w:left="2268" w:hanging="2268"/>
      </w:pPr>
      <w:r>
        <w:tab/>
      </w:r>
      <w:r>
        <w:tab/>
      </w:r>
      <w:hyperlink w:anchor="CP9" w:history="1">
        <w:r w:rsidR="00E6745C" w:rsidRPr="0091558A">
          <w:rPr>
            <w:rStyle w:val="Hyperlink"/>
          </w:rPr>
          <w:t>9/CP.29</w:t>
        </w:r>
      </w:hyperlink>
      <w:r w:rsidR="00622D2E">
        <w:tab/>
        <w:t>Poznan strategic programme on technology transfer</w:t>
      </w:r>
      <w:r w:rsidR="00622D2E">
        <w:tab/>
      </w:r>
      <w:r>
        <w:tab/>
      </w:r>
      <w:r w:rsidR="0002542F">
        <w:t>3</w:t>
      </w:r>
      <w:r w:rsidR="006868A8">
        <w:t>4</w:t>
      </w:r>
    </w:p>
    <w:p w14:paraId="35829E0A" w14:textId="48B44E79" w:rsidR="00622D2E" w:rsidRPr="00EB4096" w:rsidRDefault="006C515E" w:rsidP="00B71B05">
      <w:pPr>
        <w:pStyle w:val="TOC1"/>
        <w:tabs>
          <w:tab w:val="clear" w:pos="1985"/>
          <w:tab w:val="left" w:pos="2268"/>
        </w:tabs>
        <w:ind w:left="2268" w:hanging="2268"/>
      </w:pPr>
      <w:r>
        <w:tab/>
      </w:r>
      <w:r>
        <w:tab/>
      </w:r>
      <w:hyperlink w:anchor="CP10" w:history="1">
        <w:r w:rsidR="00622D2E" w:rsidRPr="0091558A">
          <w:rPr>
            <w:rStyle w:val="Hyperlink"/>
          </w:rPr>
          <w:t>10/CP.29</w:t>
        </w:r>
      </w:hyperlink>
      <w:r w:rsidR="00622D2E">
        <w:tab/>
      </w:r>
      <w:r w:rsidR="00A57933">
        <w:t>Enhancing climate technology development and transfer through the Technology</w:t>
      </w:r>
      <w:r w:rsidR="006A710B">
        <w:br/>
      </w:r>
      <w:r w:rsidR="00A57933">
        <w:t>Mechanis</w:t>
      </w:r>
      <w:r w:rsidR="00FF2545">
        <w:t>m</w:t>
      </w:r>
      <w:r w:rsidR="00FF2545">
        <w:tab/>
      </w:r>
      <w:r>
        <w:tab/>
      </w:r>
      <w:r w:rsidR="0002542F">
        <w:t>3</w:t>
      </w:r>
      <w:r w:rsidR="006868A8">
        <w:t>5</w:t>
      </w:r>
    </w:p>
    <w:p w14:paraId="446A2186" w14:textId="1451FFA3" w:rsidR="003F6A01" w:rsidRDefault="003F6A01">
      <w:pPr>
        <w:suppressAutoHyphens w:val="0"/>
        <w:spacing w:line="240" w:lineRule="auto"/>
      </w:pPr>
      <w:r>
        <w:br w:type="page"/>
      </w:r>
    </w:p>
    <w:p w14:paraId="3A691D97" w14:textId="17D95BB0" w:rsidR="0042608B" w:rsidRDefault="0042608B" w:rsidP="00BD5DB4">
      <w:pPr>
        <w:pStyle w:val="RegHChG"/>
        <w:numPr>
          <w:ilvl w:val="0"/>
          <w:numId w:val="0"/>
        </w:numPr>
        <w:ind w:left="1135" w:hanging="454"/>
      </w:pPr>
      <w:bookmarkStart w:id="3" w:name="CP1"/>
      <w:r>
        <w:lastRenderedPageBreak/>
        <w:t>Decision 1/CP.29</w:t>
      </w:r>
    </w:p>
    <w:bookmarkEnd w:id="3"/>
    <w:p w14:paraId="5788D5F4" w14:textId="77777777" w:rsidR="00032199" w:rsidRPr="00A96DC7" w:rsidRDefault="00032199" w:rsidP="00032199">
      <w:pPr>
        <w:pStyle w:val="HChG"/>
      </w:pPr>
      <w:r>
        <w:tab/>
      </w:r>
      <w:r>
        <w:tab/>
      </w:r>
      <w:r w:rsidRPr="00D779BC">
        <w:t>Long-term climate finance</w:t>
      </w:r>
    </w:p>
    <w:p w14:paraId="3784DAC4" w14:textId="77777777" w:rsidR="00032199" w:rsidRDefault="00032199" w:rsidP="00BD5DB4">
      <w:pPr>
        <w:pStyle w:val="RegH5G"/>
        <w:numPr>
          <w:ilvl w:val="0"/>
          <w:numId w:val="0"/>
        </w:numPr>
        <w:spacing w:before="0"/>
        <w:ind w:left="1134" w:hanging="454"/>
      </w:pPr>
      <w:r w:rsidRPr="00C720DC" w:rsidDel="00673F06">
        <w:rPr>
          <w:color w:val="000000"/>
        </w:rPr>
        <w:t>The</w:t>
      </w:r>
      <w:r w:rsidRPr="00C720DC" w:rsidDel="00673F06">
        <w:t xml:space="preserve"> Conference of the Parties</w:t>
      </w:r>
      <w:r w:rsidRPr="0081340F" w:rsidDel="00673F06">
        <w:rPr>
          <w:i w:val="0"/>
        </w:rPr>
        <w:t>,</w:t>
      </w:r>
    </w:p>
    <w:p w14:paraId="7EC964F8" w14:textId="77777777" w:rsidR="00032199" w:rsidRPr="0097340E" w:rsidRDefault="00032199" w:rsidP="00BD5DB4">
      <w:pPr>
        <w:pStyle w:val="RegH5G"/>
        <w:numPr>
          <w:ilvl w:val="0"/>
          <w:numId w:val="0"/>
        </w:numPr>
        <w:spacing w:before="0"/>
        <w:ind w:left="1134" w:hanging="454"/>
        <w:rPr>
          <w:i w:val="0"/>
          <w:iCs/>
          <w:color w:val="000000"/>
        </w:rPr>
      </w:pPr>
      <w:r>
        <w:rPr>
          <w:color w:val="000000"/>
        </w:rPr>
        <w:t xml:space="preserve">Recalling </w:t>
      </w:r>
      <w:r w:rsidRPr="00B16B72">
        <w:rPr>
          <w:i w:val="0"/>
          <w:iCs/>
          <w:color w:val="000000"/>
        </w:rPr>
        <w:t>Articles 4 and 11 of the Convention,</w:t>
      </w:r>
    </w:p>
    <w:p w14:paraId="0F338126" w14:textId="0C3CFE1F" w:rsidR="00032199" w:rsidRPr="00F96927" w:rsidRDefault="00032199" w:rsidP="00032199">
      <w:pPr>
        <w:pStyle w:val="RegSingleTxtG"/>
        <w:numPr>
          <w:ilvl w:val="0"/>
          <w:numId w:val="0"/>
        </w:numPr>
        <w:spacing w:line="240" w:lineRule="exact"/>
        <w:ind w:left="1134" w:firstLine="567"/>
        <w:jc w:val="left"/>
        <w:rPr>
          <w:lang w:val="en-US"/>
        </w:rPr>
      </w:pPr>
      <w:r>
        <w:tab/>
      </w:r>
      <w:r w:rsidRPr="00F96927">
        <w:rPr>
          <w:i/>
          <w:iCs/>
          <w:lang w:val="en-US"/>
        </w:rPr>
        <w:t>Also recalling</w:t>
      </w:r>
      <w:r w:rsidRPr="00F96927">
        <w:rPr>
          <w:lang w:val="en-US"/>
        </w:rPr>
        <w:t xml:space="preserve"> </w:t>
      </w:r>
      <w:r w:rsidRPr="00F96927">
        <w:t>decisions</w:t>
      </w:r>
      <w:r w:rsidRPr="00F96927">
        <w:rPr>
          <w:lang w:val="en-US"/>
        </w:rPr>
        <w:t xml:space="preserve"> </w:t>
      </w:r>
      <w:hyperlink r:id="rId14" w:history="1">
        <w:r w:rsidRPr="00B26B88">
          <w:rPr>
            <w:rStyle w:val="Hyperlink"/>
            <w:lang w:val="en-US"/>
          </w:rPr>
          <w:t>1/CP.16</w:t>
        </w:r>
      </w:hyperlink>
      <w:r w:rsidRPr="00F96927">
        <w:rPr>
          <w:lang w:val="en-US"/>
        </w:rPr>
        <w:t xml:space="preserve">, paragraphs 2, 4 and 97–101, </w:t>
      </w:r>
      <w:hyperlink r:id="rId15" w:history="1">
        <w:r w:rsidRPr="00B26B88">
          <w:rPr>
            <w:rStyle w:val="Hyperlink"/>
            <w:lang w:val="en-US"/>
          </w:rPr>
          <w:t>2/CP.17</w:t>
        </w:r>
      </w:hyperlink>
      <w:r w:rsidRPr="00F96927">
        <w:rPr>
          <w:lang w:val="en-US"/>
        </w:rPr>
        <w:t xml:space="preserve">, paragraphs 126–132, </w:t>
      </w:r>
      <w:hyperlink r:id="rId16" w:history="1">
        <w:r w:rsidRPr="00B26B88">
          <w:rPr>
            <w:rStyle w:val="Hyperlink"/>
            <w:lang w:val="en-US"/>
          </w:rPr>
          <w:t>4/CP.18</w:t>
        </w:r>
      </w:hyperlink>
      <w:r w:rsidRPr="00F96927">
        <w:rPr>
          <w:lang w:val="en-US"/>
        </w:rPr>
        <w:t xml:space="preserve">, </w:t>
      </w:r>
      <w:hyperlink r:id="rId17" w:history="1">
        <w:r w:rsidRPr="00B26B88">
          <w:rPr>
            <w:rStyle w:val="Hyperlink"/>
            <w:lang w:val="en-US"/>
          </w:rPr>
          <w:t>3/CP.19</w:t>
        </w:r>
      </w:hyperlink>
      <w:r w:rsidRPr="00F96927">
        <w:rPr>
          <w:lang w:val="en-US"/>
        </w:rPr>
        <w:t xml:space="preserve">, </w:t>
      </w:r>
      <w:hyperlink r:id="rId18" w:history="1">
        <w:r w:rsidRPr="00B26B88">
          <w:rPr>
            <w:rStyle w:val="Hyperlink"/>
            <w:lang w:val="en-US"/>
          </w:rPr>
          <w:t>5/CP.20</w:t>
        </w:r>
      </w:hyperlink>
      <w:r w:rsidRPr="00F96927">
        <w:rPr>
          <w:lang w:val="en-US"/>
        </w:rPr>
        <w:t xml:space="preserve">, </w:t>
      </w:r>
      <w:hyperlink r:id="rId19" w:history="1">
        <w:r w:rsidRPr="00B26B88">
          <w:rPr>
            <w:rStyle w:val="Hyperlink"/>
            <w:lang w:val="en-US"/>
          </w:rPr>
          <w:t>1/CP.21</w:t>
        </w:r>
      </w:hyperlink>
      <w:r w:rsidRPr="00F96927">
        <w:rPr>
          <w:lang w:val="en-US"/>
        </w:rPr>
        <w:t xml:space="preserve">, </w:t>
      </w:r>
      <w:hyperlink r:id="rId20" w:history="1">
        <w:r w:rsidRPr="00B26B88">
          <w:rPr>
            <w:rStyle w:val="Hyperlink"/>
            <w:lang w:val="en-US"/>
          </w:rPr>
          <w:t>5/CP.21</w:t>
        </w:r>
      </w:hyperlink>
      <w:r w:rsidRPr="00F96927">
        <w:rPr>
          <w:lang w:val="en-US"/>
        </w:rPr>
        <w:t xml:space="preserve">, </w:t>
      </w:r>
      <w:hyperlink r:id="rId21" w:history="1">
        <w:r w:rsidRPr="00B26B88">
          <w:rPr>
            <w:rStyle w:val="Hyperlink"/>
            <w:lang w:val="en-US"/>
          </w:rPr>
          <w:t>7/CP.22</w:t>
        </w:r>
      </w:hyperlink>
      <w:r w:rsidRPr="00F96927">
        <w:rPr>
          <w:lang w:val="en-US"/>
        </w:rPr>
        <w:t xml:space="preserve">, </w:t>
      </w:r>
      <w:hyperlink r:id="rId22" w:history="1">
        <w:r w:rsidRPr="00B26B88">
          <w:rPr>
            <w:rStyle w:val="Hyperlink"/>
            <w:lang w:val="en-US"/>
          </w:rPr>
          <w:t>6/CP.23</w:t>
        </w:r>
      </w:hyperlink>
      <w:r w:rsidRPr="00F96927">
        <w:rPr>
          <w:lang w:val="en-US"/>
        </w:rPr>
        <w:t xml:space="preserve">, </w:t>
      </w:r>
      <w:hyperlink r:id="rId23" w:history="1">
        <w:r w:rsidRPr="00B26B88">
          <w:rPr>
            <w:rStyle w:val="Hyperlink"/>
            <w:lang w:val="en-US"/>
          </w:rPr>
          <w:t>3/CP.24</w:t>
        </w:r>
      </w:hyperlink>
      <w:r w:rsidRPr="00F96927">
        <w:rPr>
          <w:lang w:val="en-US"/>
        </w:rPr>
        <w:t xml:space="preserve">, </w:t>
      </w:r>
      <w:hyperlink r:id="rId24" w:history="1">
        <w:r w:rsidRPr="00B26B88">
          <w:rPr>
            <w:rStyle w:val="Hyperlink"/>
            <w:lang w:val="en-US"/>
          </w:rPr>
          <w:t>1/CP.26</w:t>
        </w:r>
      </w:hyperlink>
      <w:r w:rsidRPr="00F96927">
        <w:rPr>
          <w:lang w:val="en-US"/>
        </w:rPr>
        <w:t xml:space="preserve">, </w:t>
      </w:r>
      <w:hyperlink r:id="rId25" w:history="1">
        <w:r w:rsidRPr="00B26B88">
          <w:rPr>
            <w:rStyle w:val="Hyperlink"/>
            <w:lang w:val="en-US"/>
          </w:rPr>
          <w:t>4/CP.26</w:t>
        </w:r>
      </w:hyperlink>
      <w:r>
        <w:rPr>
          <w:lang w:val="en-US"/>
        </w:rPr>
        <w:t xml:space="preserve">, </w:t>
      </w:r>
      <w:hyperlink r:id="rId26" w:history="1">
        <w:r w:rsidRPr="00B26B88">
          <w:rPr>
            <w:rStyle w:val="Hyperlink"/>
            <w:lang w:val="en-US"/>
          </w:rPr>
          <w:t>13/CP.27</w:t>
        </w:r>
      </w:hyperlink>
      <w:r>
        <w:rPr>
          <w:lang w:val="en-US"/>
        </w:rPr>
        <w:t xml:space="preserve"> and </w:t>
      </w:r>
      <w:hyperlink r:id="rId27" w:history="1">
        <w:r w:rsidRPr="00B26B88">
          <w:rPr>
            <w:rStyle w:val="Hyperlink"/>
            <w:lang w:val="en-US"/>
          </w:rPr>
          <w:t>4/CP.28</w:t>
        </w:r>
      </w:hyperlink>
      <w:r>
        <w:rPr>
          <w:lang w:val="en-US"/>
        </w:rPr>
        <w:t>,</w:t>
      </w:r>
    </w:p>
    <w:p w14:paraId="45EE3671" w14:textId="0984F23A" w:rsidR="00032199" w:rsidRPr="00F96927" w:rsidRDefault="00BD5DB4" w:rsidP="00BD5DB4">
      <w:pPr>
        <w:pStyle w:val="RegSingleTxtG"/>
        <w:numPr>
          <w:ilvl w:val="0"/>
          <w:numId w:val="0"/>
        </w:numPr>
        <w:ind w:left="1134"/>
      </w:pPr>
      <w:r w:rsidRPr="00F96927">
        <w:t>1.</w:t>
      </w:r>
      <w:r w:rsidRPr="00F96927">
        <w:tab/>
      </w:r>
      <w:r w:rsidR="00032199" w:rsidRPr="00125DF8">
        <w:rPr>
          <w:i/>
          <w:iCs/>
        </w:rPr>
        <w:t>Recalls</w:t>
      </w:r>
      <w:r w:rsidR="00032199" w:rsidRPr="00F96927">
        <w:t xml:space="preserve"> the commitment of developed country Parties</w:t>
      </w:r>
      <w:r w:rsidR="00032199">
        <w:t>,</w:t>
      </w:r>
      <w:r w:rsidR="00032199" w:rsidRPr="00F96927">
        <w:t xml:space="preserve"> in the context of meaningful mitigation actions and transparency on implementation, to a goal of mobilizing jointly USD</w:t>
      </w:r>
      <w:r w:rsidR="00032199">
        <w:t> </w:t>
      </w:r>
      <w:r w:rsidR="00032199" w:rsidRPr="00F96927">
        <w:t xml:space="preserve">100 billion per year by 2020 to address the needs of developing country Parties in accordance with </w:t>
      </w:r>
      <w:r w:rsidR="00032199">
        <w:t xml:space="preserve">paragraph 98 of </w:t>
      </w:r>
      <w:r w:rsidR="00032199" w:rsidRPr="00F96927">
        <w:t xml:space="preserve">decision </w:t>
      </w:r>
      <w:hyperlink r:id="rId28" w:history="1">
        <w:r w:rsidR="00032199" w:rsidRPr="00B26B88">
          <w:rPr>
            <w:rStyle w:val="Hyperlink"/>
          </w:rPr>
          <w:t>1/CP.16</w:t>
        </w:r>
      </w:hyperlink>
      <w:r w:rsidR="00032199" w:rsidRPr="00F96927">
        <w:t xml:space="preserve">; </w:t>
      </w:r>
    </w:p>
    <w:p w14:paraId="5EAB6A43" w14:textId="091F1C14" w:rsidR="00032199" w:rsidRDefault="00BD5DB4" w:rsidP="00BD5DB4">
      <w:pPr>
        <w:pStyle w:val="RegSingleTxtG"/>
        <w:numPr>
          <w:ilvl w:val="0"/>
          <w:numId w:val="0"/>
        </w:numPr>
        <w:ind w:left="1134"/>
      </w:pPr>
      <w:r>
        <w:t>2.</w:t>
      </w:r>
      <w:r>
        <w:tab/>
      </w:r>
      <w:r w:rsidR="00032199">
        <w:rPr>
          <w:i/>
          <w:iCs/>
        </w:rPr>
        <w:t>Also r</w:t>
      </w:r>
      <w:r w:rsidR="00032199" w:rsidRPr="00221A00">
        <w:rPr>
          <w:i/>
          <w:iCs/>
        </w:rPr>
        <w:t>ecalls</w:t>
      </w:r>
      <w:r w:rsidR="00032199" w:rsidRPr="00F96927">
        <w:t xml:space="preserve"> that, in accordance with </w:t>
      </w:r>
      <w:r w:rsidR="00032199">
        <w:t xml:space="preserve">paragraph 53 of </w:t>
      </w:r>
      <w:r w:rsidR="00032199" w:rsidRPr="00F96927">
        <w:t xml:space="preserve">decision </w:t>
      </w:r>
      <w:hyperlink r:id="rId29" w:history="1">
        <w:r w:rsidR="00032199" w:rsidRPr="00B26B88">
          <w:rPr>
            <w:rStyle w:val="Hyperlink"/>
          </w:rPr>
          <w:t>1/CP.21</w:t>
        </w:r>
      </w:hyperlink>
      <w:r w:rsidR="00032199" w:rsidRPr="00F96927">
        <w:t>, developed country Parties reaffirmed the continuation of their existing collective mobilization goal through 2025 in the context of meaningful mitigation actions and transparency on implementation;</w:t>
      </w:r>
      <w:r w:rsidR="00032199">
        <w:t xml:space="preserve"> </w:t>
      </w:r>
    </w:p>
    <w:p w14:paraId="711864AD" w14:textId="74D777E2" w:rsidR="00032199" w:rsidRDefault="00BD5DB4" w:rsidP="00BD5DB4">
      <w:pPr>
        <w:pStyle w:val="RegSingleTxtG"/>
        <w:numPr>
          <w:ilvl w:val="0"/>
          <w:numId w:val="0"/>
        </w:numPr>
        <w:ind w:left="1134"/>
      </w:pPr>
      <w:r>
        <w:t>3.</w:t>
      </w:r>
      <w:r>
        <w:tab/>
      </w:r>
      <w:r w:rsidR="00032199" w:rsidRPr="003A1D83">
        <w:rPr>
          <w:i/>
          <w:iCs/>
        </w:rPr>
        <w:t>Notes with appreciation</w:t>
      </w:r>
      <w:r w:rsidR="00032199">
        <w:t xml:space="preserve"> the second report of the Standing Committee on Finance on progress towards achieving the goal of mobilizing jointly USD 100 billion per year to address the needs of developing countries in the context of meaningful mitigation actions and transparency on implementation</w:t>
      </w:r>
      <w:r w:rsidR="00032199">
        <w:rPr>
          <w:rStyle w:val="FootnoteReference"/>
        </w:rPr>
        <w:footnoteReference w:id="2"/>
      </w:r>
      <w:r w:rsidR="00032199">
        <w:t xml:space="preserve"> and the key findings presented therein, as well as the executive summary thereof</w:t>
      </w:r>
      <w:r w:rsidR="00032199">
        <w:rPr>
          <w:rStyle w:val="FootnoteReference"/>
          <w:lang w:val="en-US"/>
        </w:rPr>
        <w:footnoteReference w:id="3"/>
      </w:r>
      <w:r w:rsidR="00032199">
        <w:t xml:space="preserve"> and the recommendations therein;</w:t>
      </w:r>
    </w:p>
    <w:p w14:paraId="4FDB46F8" w14:textId="33D105C7" w:rsidR="00032199" w:rsidRDefault="00BD5DB4" w:rsidP="00BD5DB4">
      <w:pPr>
        <w:pStyle w:val="RegSingleTxtG"/>
        <w:numPr>
          <w:ilvl w:val="0"/>
          <w:numId w:val="0"/>
        </w:numPr>
        <w:ind w:left="1134"/>
      </w:pPr>
      <w:r>
        <w:t>4.</w:t>
      </w:r>
      <w:r>
        <w:tab/>
      </w:r>
      <w:r w:rsidR="00032199">
        <w:rPr>
          <w:lang w:val="en-US"/>
        </w:rPr>
        <w:tab/>
      </w:r>
      <w:r w:rsidR="00032199">
        <w:rPr>
          <w:i/>
          <w:iCs/>
          <w:lang w:val="en-US"/>
        </w:rPr>
        <w:t xml:space="preserve">Takes note </w:t>
      </w:r>
      <w:r w:rsidR="00032199" w:rsidRPr="000567BD">
        <w:rPr>
          <w:lang w:val="en-US"/>
        </w:rPr>
        <w:t>of</w:t>
      </w:r>
      <w:r w:rsidR="00032199">
        <w:rPr>
          <w:lang w:val="en-US"/>
        </w:rPr>
        <w:t xml:space="preserve"> the a</w:t>
      </w:r>
      <w:r w:rsidR="00032199" w:rsidRPr="00834070">
        <w:rPr>
          <w:lang w:val="en-US"/>
        </w:rPr>
        <w:t xml:space="preserve">ctivities referred to in paragraph 10 of decision </w:t>
      </w:r>
      <w:hyperlink r:id="rId30" w:history="1">
        <w:r w:rsidR="00032199" w:rsidRPr="00B26B88">
          <w:rPr>
            <w:rStyle w:val="Hyperlink"/>
            <w:lang w:val="en-US"/>
          </w:rPr>
          <w:t>6/CP.23</w:t>
        </w:r>
      </w:hyperlink>
      <w:r w:rsidR="00032199" w:rsidRPr="00834070">
        <w:rPr>
          <w:lang w:val="en-US"/>
        </w:rPr>
        <w:t>, otherwise known as the Needs-based Finance project</w:t>
      </w:r>
      <w:r w:rsidR="00032199">
        <w:rPr>
          <w:lang w:val="en-US"/>
        </w:rPr>
        <w:t>;</w:t>
      </w:r>
    </w:p>
    <w:p w14:paraId="2A3E7754" w14:textId="56FFF118" w:rsidR="00032199" w:rsidRDefault="00BD5DB4" w:rsidP="00BD5DB4">
      <w:pPr>
        <w:pStyle w:val="RegSingleTxtG"/>
        <w:numPr>
          <w:ilvl w:val="0"/>
          <w:numId w:val="0"/>
        </w:numPr>
        <w:ind w:left="1134"/>
      </w:pPr>
      <w:r>
        <w:t>5.</w:t>
      </w:r>
      <w:r>
        <w:tab/>
      </w:r>
      <w:r w:rsidR="00032199" w:rsidRPr="003A1D83">
        <w:rPr>
          <w:i/>
          <w:iCs/>
        </w:rPr>
        <w:t xml:space="preserve">Welcomes </w:t>
      </w:r>
      <w:r w:rsidR="00032199" w:rsidRPr="001143C0">
        <w:t xml:space="preserve">the </w:t>
      </w:r>
      <w:r w:rsidR="00032199" w:rsidRPr="003A1D83">
        <w:t xml:space="preserve">deliberations at the sixth biennial high-level ministerial dialogue on climate finance and </w:t>
      </w:r>
      <w:r w:rsidR="00032199" w:rsidRPr="00472ACD">
        <w:rPr>
          <w:i/>
          <w:iCs/>
        </w:rPr>
        <w:t>looks forward</w:t>
      </w:r>
      <w:r w:rsidR="00032199" w:rsidRPr="003A1D83">
        <w:t xml:space="preserve"> to the summary thereof, to be prepared by the President of the twenty-ninth session of the Conference of the Parties for consideration by the Conference of the Parties at its thirtieth session (November 2025)</w:t>
      </w:r>
      <w:r w:rsidR="00032199">
        <w:t>;</w:t>
      </w:r>
    </w:p>
    <w:p w14:paraId="3974A62F" w14:textId="1D4E1172" w:rsidR="00032199" w:rsidRDefault="00BD5DB4" w:rsidP="00BD5DB4">
      <w:pPr>
        <w:pStyle w:val="RegSingleTxtG"/>
        <w:numPr>
          <w:ilvl w:val="0"/>
          <w:numId w:val="0"/>
        </w:numPr>
        <w:ind w:left="1134"/>
        <w:rPr>
          <w:lang w:val="en-US"/>
        </w:rPr>
      </w:pPr>
      <w:r>
        <w:rPr>
          <w:lang w:val="en-US"/>
        </w:rPr>
        <w:t>6.</w:t>
      </w:r>
      <w:r>
        <w:rPr>
          <w:lang w:val="en-US"/>
        </w:rPr>
        <w:tab/>
      </w:r>
      <w:r w:rsidR="00032199" w:rsidRPr="00BE6DD0">
        <w:rPr>
          <w:i/>
          <w:iCs/>
        </w:rPr>
        <w:t>Takes note</w:t>
      </w:r>
      <w:r w:rsidR="00032199" w:rsidRPr="00BE6DD0">
        <w:t xml:space="preserve"> of the efforts undertaken </w:t>
      </w:r>
      <w:r w:rsidR="00032199">
        <w:t xml:space="preserve">by Parties at this session and </w:t>
      </w:r>
      <w:r w:rsidR="00032199" w:rsidRPr="00BE6DD0">
        <w:rPr>
          <w:i/>
          <w:iCs/>
        </w:rPr>
        <w:t>looks forward</w:t>
      </w:r>
      <w:r w:rsidR="00032199">
        <w:t xml:space="preserve"> to continuing deliberations on this matter at </w:t>
      </w:r>
      <w:r w:rsidR="44FD02FF">
        <w:t>its</w:t>
      </w:r>
      <w:r w:rsidR="00032199">
        <w:t xml:space="preserve"> thirtieth session</w:t>
      </w:r>
      <w:r w:rsidR="00032199">
        <w:rPr>
          <w:lang w:val="en-US"/>
        </w:rPr>
        <w:t>.</w:t>
      </w:r>
    </w:p>
    <w:p w14:paraId="48E3479C" w14:textId="4ED44142" w:rsidR="00D82AC1" w:rsidRDefault="0061055B" w:rsidP="001E6755">
      <w:pPr>
        <w:pStyle w:val="RegSingleTxtG"/>
        <w:numPr>
          <w:ilvl w:val="0"/>
          <w:numId w:val="0"/>
        </w:numPr>
        <w:spacing w:after="0"/>
        <w:ind w:left="1134"/>
        <w:jc w:val="right"/>
        <w:rPr>
          <w:i/>
          <w:iCs/>
        </w:rPr>
      </w:pPr>
      <w:r>
        <w:rPr>
          <w:i/>
          <w:iCs/>
        </w:rPr>
        <w:t>Resumed 11</w:t>
      </w:r>
      <w:r w:rsidRPr="0061055B">
        <w:rPr>
          <w:i/>
          <w:iCs/>
          <w:vertAlign w:val="superscript"/>
        </w:rPr>
        <w:t>th</w:t>
      </w:r>
      <w:r>
        <w:rPr>
          <w:i/>
          <w:iCs/>
        </w:rPr>
        <w:t xml:space="preserve"> </w:t>
      </w:r>
      <w:r w:rsidR="00D82AC1">
        <w:rPr>
          <w:i/>
          <w:iCs/>
        </w:rPr>
        <w:t>plenary meeting</w:t>
      </w:r>
    </w:p>
    <w:p w14:paraId="72D9EBCF" w14:textId="78FD47ED" w:rsidR="00032199" w:rsidRDefault="0061055B" w:rsidP="001E6755">
      <w:pPr>
        <w:pStyle w:val="RegSingleTxtG"/>
        <w:numPr>
          <w:ilvl w:val="0"/>
          <w:numId w:val="0"/>
        </w:numPr>
        <w:spacing w:after="0"/>
        <w:ind w:left="1134"/>
        <w:jc w:val="right"/>
        <w:rPr>
          <w:i/>
          <w:iCs/>
        </w:rPr>
      </w:pPr>
      <w:r>
        <w:rPr>
          <w:i/>
          <w:iCs/>
        </w:rPr>
        <w:t>2</w:t>
      </w:r>
      <w:r w:rsidR="005968A9">
        <w:rPr>
          <w:i/>
          <w:iCs/>
        </w:rPr>
        <w:t>4</w:t>
      </w:r>
      <w:r w:rsidR="00D82AC1">
        <w:rPr>
          <w:i/>
          <w:iCs/>
        </w:rPr>
        <w:t xml:space="preserve"> November 2024</w:t>
      </w:r>
    </w:p>
    <w:p w14:paraId="1711138A" w14:textId="77777777" w:rsidR="00FF240A" w:rsidRDefault="00FF240A" w:rsidP="00BD5DB4">
      <w:pPr>
        <w:pStyle w:val="RegHChG"/>
        <w:numPr>
          <w:ilvl w:val="0"/>
          <w:numId w:val="0"/>
        </w:numPr>
        <w:ind w:left="1135" w:hanging="454"/>
        <w:sectPr w:rsidR="00FF240A" w:rsidSect="00BC1C64">
          <w:headerReference w:type="even" r:id="rId31"/>
          <w:headerReference w:type="default" r:id="rId32"/>
          <w:footerReference w:type="even" r:id="rId33"/>
          <w:footerReference w:type="default" r:id="rId34"/>
          <w:footnotePr>
            <w:numRestart w:val="eachSect"/>
          </w:footnotePr>
          <w:type w:val="continuous"/>
          <w:pgSz w:w="11906" w:h="16838" w:code="9"/>
          <w:pgMar w:top="1417" w:right="1134" w:bottom="1134" w:left="1134" w:header="850" w:footer="567" w:gutter="0"/>
          <w:cols w:space="708"/>
          <w:titlePg/>
          <w:docGrid w:linePitch="360"/>
        </w:sectPr>
      </w:pPr>
    </w:p>
    <w:p w14:paraId="2EFD6999" w14:textId="4A1FF4AF" w:rsidR="001C096E" w:rsidRDefault="00235CE4" w:rsidP="00BD5DB4">
      <w:pPr>
        <w:pStyle w:val="RegHChG"/>
        <w:numPr>
          <w:ilvl w:val="0"/>
          <w:numId w:val="0"/>
        </w:numPr>
        <w:ind w:left="1135" w:hanging="454"/>
      </w:pPr>
      <w:bookmarkStart w:id="4" w:name="CP2"/>
      <w:r>
        <w:lastRenderedPageBreak/>
        <w:t>Decision 2/CP.29</w:t>
      </w:r>
      <w:bookmarkEnd w:id="4"/>
    </w:p>
    <w:p w14:paraId="0CAE9F9E" w14:textId="77777777" w:rsidR="00705E67" w:rsidRPr="00D02EDE" w:rsidRDefault="00705E67" w:rsidP="00705E67">
      <w:pPr>
        <w:pStyle w:val="HChG"/>
      </w:pPr>
      <w:r>
        <w:tab/>
      </w:r>
      <w:r>
        <w:tab/>
      </w:r>
      <w:r w:rsidRPr="00E9111A">
        <w:t>Matters relating to the Standing Committee on Finance</w:t>
      </w:r>
    </w:p>
    <w:p w14:paraId="222E2920" w14:textId="77777777" w:rsidR="00705E67" w:rsidRPr="00343239" w:rsidRDefault="00705E67" w:rsidP="00705E67">
      <w:pPr>
        <w:spacing w:before="120"/>
        <w:ind w:left="1701"/>
        <w:jc w:val="both"/>
      </w:pPr>
      <w:r w:rsidRPr="00F129C8">
        <w:rPr>
          <w:i/>
          <w:iCs/>
        </w:rPr>
        <w:t>The Conference of the Parties</w:t>
      </w:r>
      <w:r w:rsidRPr="00F129C8">
        <w:t>,</w:t>
      </w:r>
    </w:p>
    <w:p w14:paraId="5FEC67FC" w14:textId="77777777" w:rsidR="00705E67" w:rsidRPr="00F129C8" w:rsidRDefault="00705E67" w:rsidP="00705E67">
      <w:pPr>
        <w:spacing w:before="120"/>
        <w:ind w:left="1701"/>
        <w:jc w:val="both"/>
      </w:pPr>
      <w:r w:rsidRPr="00F129C8">
        <w:rPr>
          <w:i/>
          <w:iCs/>
        </w:rPr>
        <w:t>Recalling</w:t>
      </w:r>
      <w:r w:rsidRPr="00F129C8">
        <w:t xml:space="preserve"> Articles 4 and 11 of the Convention,</w:t>
      </w:r>
    </w:p>
    <w:p w14:paraId="0B5E286C" w14:textId="3DC68E06" w:rsidR="00705E67" w:rsidRPr="00F129C8" w:rsidRDefault="00705E67" w:rsidP="00705E67">
      <w:pPr>
        <w:spacing w:before="120"/>
        <w:ind w:left="1134" w:right="1133" w:firstLine="567"/>
        <w:jc w:val="both"/>
      </w:pPr>
      <w:r w:rsidRPr="00F129C8">
        <w:rPr>
          <w:i/>
          <w:iCs/>
        </w:rPr>
        <w:t>Also recalling</w:t>
      </w:r>
      <w:r w:rsidRPr="00F129C8">
        <w:t xml:space="preserve"> decisions </w:t>
      </w:r>
      <w:hyperlink r:id="rId35" w:history="1">
        <w:r w:rsidRPr="00547C2C">
          <w:rPr>
            <w:rStyle w:val="Hyperlink"/>
          </w:rPr>
          <w:t>12/CP.2</w:t>
        </w:r>
      </w:hyperlink>
      <w:r w:rsidRPr="00F129C8">
        <w:t xml:space="preserve">, </w:t>
      </w:r>
      <w:hyperlink r:id="rId36" w:history="1">
        <w:r w:rsidRPr="0002779A">
          <w:rPr>
            <w:rStyle w:val="Hyperlink"/>
          </w:rPr>
          <w:t>12/CP.3</w:t>
        </w:r>
      </w:hyperlink>
      <w:r w:rsidRPr="00F129C8">
        <w:t xml:space="preserve">, </w:t>
      </w:r>
      <w:hyperlink r:id="rId37" w:history="1">
        <w:r w:rsidRPr="00B26B88">
          <w:rPr>
            <w:rStyle w:val="Hyperlink"/>
          </w:rPr>
          <w:t>1/CP.16</w:t>
        </w:r>
      </w:hyperlink>
      <w:r w:rsidRPr="00F129C8">
        <w:t xml:space="preserve">, paragraph 112, </w:t>
      </w:r>
      <w:hyperlink r:id="rId38" w:history="1">
        <w:r w:rsidRPr="00B26B88">
          <w:rPr>
            <w:rStyle w:val="Hyperlink"/>
          </w:rPr>
          <w:t>2/CP.17</w:t>
        </w:r>
      </w:hyperlink>
      <w:r w:rsidRPr="00F129C8">
        <w:t xml:space="preserve">, paragraphs 120–121, </w:t>
      </w:r>
      <w:hyperlink r:id="rId39" w:history="1">
        <w:r w:rsidRPr="00B26B88">
          <w:rPr>
            <w:rStyle w:val="Hyperlink"/>
          </w:rPr>
          <w:t>5/CP.18</w:t>
        </w:r>
      </w:hyperlink>
      <w:r w:rsidRPr="00F129C8">
        <w:t xml:space="preserve">, </w:t>
      </w:r>
      <w:hyperlink r:id="rId40" w:history="1">
        <w:r w:rsidRPr="00B26B88">
          <w:rPr>
            <w:rStyle w:val="Hyperlink"/>
          </w:rPr>
          <w:t>5/CP.19</w:t>
        </w:r>
      </w:hyperlink>
      <w:r w:rsidRPr="00F129C8">
        <w:t xml:space="preserve">, </w:t>
      </w:r>
      <w:hyperlink r:id="rId41" w:history="1">
        <w:r w:rsidRPr="00B26B88">
          <w:rPr>
            <w:rStyle w:val="Hyperlink"/>
          </w:rPr>
          <w:t>7/CP.19</w:t>
        </w:r>
      </w:hyperlink>
      <w:r w:rsidRPr="00F129C8">
        <w:t xml:space="preserve">, </w:t>
      </w:r>
      <w:hyperlink r:id="rId42" w:history="1">
        <w:r w:rsidRPr="00B26B88">
          <w:rPr>
            <w:rStyle w:val="Hyperlink"/>
          </w:rPr>
          <w:t>6/CP.20</w:t>
        </w:r>
      </w:hyperlink>
      <w:r w:rsidRPr="00F129C8">
        <w:t xml:space="preserve">, </w:t>
      </w:r>
      <w:hyperlink r:id="rId43" w:history="1">
        <w:r w:rsidRPr="00B26B88">
          <w:rPr>
            <w:rStyle w:val="Hyperlink"/>
          </w:rPr>
          <w:t>6/CP.21</w:t>
        </w:r>
      </w:hyperlink>
      <w:r w:rsidRPr="00F129C8">
        <w:t xml:space="preserve">, </w:t>
      </w:r>
      <w:hyperlink r:id="rId44" w:history="1">
        <w:r w:rsidRPr="00B26B88">
          <w:rPr>
            <w:rStyle w:val="Hyperlink"/>
          </w:rPr>
          <w:t>8/CP.22</w:t>
        </w:r>
      </w:hyperlink>
      <w:r w:rsidRPr="00F129C8">
        <w:t xml:space="preserve">, </w:t>
      </w:r>
      <w:hyperlink r:id="rId45" w:history="1">
        <w:r w:rsidRPr="00B26B88">
          <w:rPr>
            <w:rStyle w:val="Hyperlink"/>
          </w:rPr>
          <w:t>7/CP.23</w:t>
        </w:r>
      </w:hyperlink>
      <w:r w:rsidRPr="00F129C8">
        <w:t xml:space="preserve">, </w:t>
      </w:r>
      <w:hyperlink r:id="rId46" w:history="1">
        <w:r w:rsidRPr="00B26B88">
          <w:rPr>
            <w:rStyle w:val="Hyperlink"/>
          </w:rPr>
          <w:t>8/CP.23</w:t>
        </w:r>
      </w:hyperlink>
      <w:r w:rsidRPr="00F129C8">
        <w:t xml:space="preserve">, </w:t>
      </w:r>
      <w:hyperlink r:id="rId47" w:history="1">
        <w:r w:rsidRPr="00B26B88">
          <w:rPr>
            <w:rStyle w:val="Hyperlink"/>
          </w:rPr>
          <w:t>4/CP.24</w:t>
        </w:r>
      </w:hyperlink>
      <w:r w:rsidRPr="00F129C8">
        <w:t xml:space="preserve">, </w:t>
      </w:r>
      <w:hyperlink r:id="rId48" w:history="1">
        <w:r w:rsidRPr="00B26B88">
          <w:rPr>
            <w:rStyle w:val="Hyperlink"/>
          </w:rPr>
          <w:t>11/CP.25</w:t>
        </w:r>
      </w:hyperlink>
      <w:r w:rsidRPr="00F129C8">
        <w:t xml:space="preserve">, </w:t>
      </w:r>
      <w:hyperlink r:id="rId49" w:history="1">
        <w:r w:rsidRPr="00B26B88">
          <w:rPr>
            <w:rStyle w:val="Hyperlink"/>
          </w:rPr>
          <w:t>5/CP.26</w:t>
        </w:r>
      </w:hyperlink>
      <w:r w:rsidRPr="00F129C8">
        <w:t xml:space="preserve">, </w:t>
      </w:r>
      <w:hyperlink r:id="rId50" w:history="1">
        <w:r w:rsidRPr="00B26B88">
          <w:rPr>
            <w:rStyle w:val="Hyperlink"/>
          </w:rPr>
          <w:t>14/CP.27</w:t>
        </w:r>
      </w:hyperlink>
      <w:r w:rsidRPr="00F129C8">
        <w:t xml:space="preserve">, </w:t>
      </w:r>
      <w:hyperlink r:id="rId51" w:history="1">
        <w:r w:rsidRPr="00B26B88">
          <w:rPr>
            <w:rStyle w:val="Hyperlink"/>
          </w:rPr>
          <w:t>5/CMA.2</w:t>
        </w:r>
      </w:hyperlink>
      <w:r w:rsidRPr="00F129C8">
        <w:t xml:space="preserve">, </w:t>
      </w:r>
      <w:hyperlink r:id="rId52" w:history="1">
        <w:r w:rsidRPr="00B26B88">
          <w:rPr>
            <w:rStyle w:val="Hyperlink"/>
          </w:rPr>
          <w:t>10/CMA.3</w:t>
        </w:r>
      </w:hyperlink>
      <w:r>
        <w:t xml:space="preserve">, </w:t>
      </w:r>
      <w:hyperlink r:id="rId53" w:history="1">
        <w:r w:rsidRPr="00B26B88">
          <w:rPr>
            <w:rStyle w:val="Hyperlink"/>
          </w:rPr>
          <w:t>14/CMA.4</w:t>
        </w:r>
      </w:hyperlink>
      <w:r w:rsidRPr="00D2018B">
        <w:t xml:space="preserve">, </w:t>
      </w:r>
      <w:hyperlink r:id="rId54" w:history="1">
        <w:r w:rsidRPr="00B26B88">
          <w:rPr>
            <w:rStyle w:val="Hyperlink"/>
          </w:rPr>
          <w:t>5/CP.28</w:t>
        </w:r>
      </w:hyperlink>
      <w:r w:rsidRPr="00D2018B">
        <w:t xml:space="preserve"> and </w:t>
      </w:r>
      <w:hyperlink r:id="rId55" w:history="1">
        <w:r w:rsidRPr="00B26B88">
          <w:rPr>
            <w:rStyle w:val="Hyperlink"/>
          </w:rPr>
          <w:t>9/CMA.5</w:t>
        </w:r>
      </w:hyperlink>
      <w:r w:rsidRPr="00F129C8">
        <w:t>,</w:t>
      </w:r>
    </w:p>
    <w:p w14:paraId="36416863" w14:textId="3566E75E" w:rsidR="00705E67" w:rsidRPr="00D2018B" w:rsidRDefault="00705E67" w:rsidP="005204DB">
      <w:pPr>
        <w:pStyle w:val="RegSingleTxtG"/>
        <w:numPr>
          <w:ilvl w:val="0"/>
          <w:numId w:val="0"/>
        </w:numPr>
        <w:tabs>
          <w:tab w:val="clear" w:pos="1701"/>
        </w:tabs>
        <w:spacing w:before="120"/>
        <w:ind w:left="1134" w:firstLine="567"/>
      </w:pPr>
      <w:r w:rsidRPr="00D2018B">
        <w:rPr>
          <w:i/>
          <w:iCs/>
        </w:rPr>
        <w:t>Taking note</w:t>
      </w:r>
      <w:r w:rsidRPr="00D2018B">
        <w:t xml:space="preserve"> of decision </w:t>
      </w:r>
      <w:hyperlink r:id="rId56" w:history="1">
        <w:r w:rsidR="00857C5E" w:rsidRPr="00857C5E">
          <w:rPr>
            <w:rStyle w:val="Hyperlink"/>
          </w:rPr>
          <w:t>8</w:t>
        </w:r>
        <w:r w:rsidRPr="00857C5E">
          <w:rPr>
            <w:rStyle w:val="Hyperlink"/>
          </w:rPr>
          <w:t>/CMA.6</w:t>
        </w:r>
      </w:hyperlink>
      <w:r w:rsidRPr="00D2018B">
        <w:t>,</w:t>
      </w:r>
    </w:p>
    <w:p w14:paraId="064E7DCD" w14:textId="70238263" w:rsidR="00705E67" w:rsidRPr="00D2018B" w:rsidRDefault="00BD5DB4" w:rsidP="00BD5DB4">
      <w:pPr>
        <w:pStyle w:val="RegSingleTxtG"/>
        <w:numPr>
          <w:ilvl w:val="0"/>
          <w:numId w:val="0"/>
        </w:numPr>
        <w:ind w:left="1134"/>
      </w:pPr>
      <w:r w:rsidRPr="00D2018B">
        <w:t>1.</w:t>
      </w:r>
      <w:r w:rsidRPr="00D2018B">
        <w:tab/>
      </w:r>
      <w:r w:rsidR="00705E67" w:rsidRPr="00705E67">
        <w:rPr>
          <w:i/>
          <w:iCs/>
        </w:rPr>
        <w:t xml:space="preserve">Expresses gratitude </w:t>
      </w:r>
      <w:r w:rsidR="00705E67" w:rsidRPr="00D2018B">
        <w:t>to the S</w:t>
      </w:r>
      <w:r w:rsidR="00705E67">
        <w:t xml:space="preserve">tanding </w:t>
      </w:r>
      <w:r w:rsidR="00705E67" w:rsidRPr="00D2018B">
        <w:t>C</w:t>
      </w:r>
      <w:r w:rsidR="00705E67">
        <w:t xml:space="preserve">ommittee on </w:t>
      </w:r>
      <w:r w:rsidR="00705E67" w:rsidRPr="00D2018B">
        <w:t>F</w:t>
      </w:r>
      <w:r w:rsidR="00705E67">
        <w:t>inance</w:t>
      </w:r>
      <w:r w:rsidR="00705E67" w:rsidRPr="00705E67">
        <w:rPr>
          <w:i/>
          <w:iCs/>
        </w:rPr>
        <w:t xml:space="preserve"> </w:t>
      </w:r>
      <w:r w:rsidR="00705E67" w:rsidRPr="00D2018B">
        <w:t xml:space="preserve">and </w:t>
      </w:r>
      <w:r w:rsidR="00705E67" w:rsidRPr="00705E67">
        <w:rPr>
          <w:i/>
          <w:iCs/>
        </w:rPr>
        <w:t xml:space="preserve">welcomes </w:t>
      </w:r>
      <w:r w:rsidR="00705E67" w:rsidRPr="00D2018B">
        <w:t>the work of the Committee in 2024;</w:t>
      </w:r>
    </w:p>
    <w:p w14:paraId="0C3CE12A" w14:textId="27C29D91" w:rsidR="00705E67" w:rsidRPr="00D2018B" w:rsidRDefault="00BD5DB4" w:rsidP="00BD5DB4">
      <w:pPr>
        <w:pStyle w:val="RegSingleTxtG"/>
        <w:numPr>
          <w:ilvl w:val="0"/>
          <w:numId w:val="0"/>
        </w:numPr>
        <w:ind w:left="1134"/>
      </w:pPr>
      <w:r w:rsidRPr="00D2018B">
        <w:t>2.</w:t>
      </w:r>
      <w:r w:rsidRPr="00D2018B">
        <w:tab/>
      </w:r>
      <w:r w:rsidR="00705E67">
        <w:rPr>
          <w:i/>
          <w:iCs/>
        </w:rPr>
        <w:t>Also w</w:t>
      </w:r>
      <w:r w:rsidR="00705E67" w:rsidRPr="00D2018B">
        <w:rPr>
          <w:i/>
          <w:iCs/>
        </w:rPr>
        <w:t xml:space="preserve">elcomes </w:t>
      </w:r>
      <w:r w:rsidR="00705E67" w:rsidRPr="00D2018B">
        <w:t>the report of the Standing Committee on Finance for 2024</w:t>
      </w:r>
      <w:r w:rsidR="00705E67" w:rsidRPr="00D2018B">
        <w:rPr>
          <w:rStyle w:val="FootnoteReference"/>
        </w:rPr>
        <w:footnoteReference w:id="4"/>
      </w:r>
      <w:r w:rsidR="00705E67" w:rsidRPr="00D2018B">
        <w:t xml:space="preserve"> and </w:t>
      </w:r>
      <w:r w:rsidR="00705E67" w:rsidRPr="00D2018B">
        <w:rPr>
          <w:i/>
          <w:iCs/>
        </w:rPr>
        <w:t xml:space="preserve">notes </w:t>
      </w:r>
      <w:r w:rsidR="00705E67" w:rsidRPr="00D2018B">
        <w:t>the workplan of the Committee for 2025</w:t>
      </w:r>
      <w:r w:rsidR="00705E67">
        <w:t>;</w:t>
      </w:r>
      <w:r w:rsidR="00705E67" w:rsidRPr="00D2018B">
        <w:rPr>
          <w:rStyle w:val="FootnoteReference"/>
        </w:rPr>
        <w:footnoteReference w:id="5"/>
      </w:r>
    </w:p>
    <w:p w14:paraId="1696CADF" w14:textId="27F2C6D5" w:rsidR="00705E67" w:rsidRPr="00D2018B" w:rsidRDefault="00BD5DB4" w:rsidP="00BD5DB4">
      <w:pPr>
        <w:pStyle w:val="RegSingleTxtG"/>
        <w:numPr>
          <w:ilvl w:val="0"/>
          <w:numId w:val="0"/>
        </w:numPr>
        <w:ind w:left="1134"/>
        <w:rPr>
          <w:i/>
          <w:iCs/>
        </w:rPr>
      </w:pPr>
      <w:r w:rsidRPr="00D2018B">
        <w:t>3.</w:t>
      </w:r>
      <w:r w:rsidRPr="00D2018B">
        <w:tab/>
      </w:r>
      <w:r w:rsidR="001118CA">
        <w:rPr>
          <w:i/>
          <w:iCs/>
        </w:rPr>
        <w:t>Also n</w:t>
      </w:r>
      <w:r w:rsidR="00705E67" w:rsidRPr="00D2018B">
        <w:rPr>
          <w:i/>
          <w:iCs/>
        </w:rPr>
        <w:t xml:space="preserve">otes </w:t>
      </w:r>
      <w:r w:rsidR="00705E67" w:rsidRPr="00D2018B">
        <w:t>the importance of allocating time for consideration of the work of the Standing Committee on Finance</w:t>
      </w:r>
      <w:r w:rsidR="00705E67" w:rsidRPr="00154DED">
        <w:t>;</w:t>
      </w:r>
    </w:p>
    <w:p w14:paraId="31F192D9" w14:textId="4163AD0E" w:rsidR="00705E67" w:rsidRPr="00D2018B" w:rsidRDefault="00BD5DB4" w:rsidP="00BD5DB4">
      <w:pPr>
        <w:pStyle w:val="RegSingleTxtG"/>
        <w:numPr>
          <w:ilvl w:val="0"/>
          <w:numId w:val="0"/>
        </w:numPr>
        <w:ind w:left="1134"/>
      </w:pPr>
      <w:r w:rsidRPr="00D2018B">
        <w:t>4.</w:t>
      </w:r>
      <w:r w:rsidRPr="00D2018B">
        <w:tab/>
      </w:r>
      <w:r w:rsidR="00705E67" w:rsidRPr="00D2018B">
        <w:rPr>
          <w:i/>
          <w:iCs/>
        </w:rPr>
        <w:t>Notes with appreciation</w:t>
      </w:r>
      <w:r w:rsidR="00705E67" w:rsidRPr="00D2018B">
        <w:t xml:space="preserve"> the sixth Biennial Assessment and Overview of Climate Finance Flows of the Standing Committee on Finance,</w:t>
      </w:r>
      <w:r w:rsidR="00705E67" w:rsidRPr="00D2018B">
        <w:rPr>
          <w:rStyle w:val="FootnoteReference"/>
        </w:rPr>
        <w:footnoteReference w:id="6"/>
      </w:r>
      <w:r w:rsidR="00705E67" w:rsidRPr="00D2018B">
        <w:t xml:space="preserve"> including the summary and recommendations thereof;</w:t>
      </w:r>
      <w:r w:rsidR="00705E67" w:rsidRPr="00D2018B">
        <w:rPr>
          <w:rStyle w:val="FootnoteReference"/>
        </w:rPr>
        <w:footnoteReference w:id="7"/>
      </w:r>
      <w:r w:rsidR="00705E67" w:rsidRPr="00D2018B">
        <w:t xml:space="preserve"> </w:t>
      </w:r>
    </w:p>
    <w:p w14:paraId="1B9B4D66" w14:textId="7929530A" w:rsidR="00705E67" w:rsidRPr="00D2018B" w:rsidRDefault="00BD5DB4" w:rsidP="00BD5DB4">
      <w:pPr>
        <w:pStyle w:val="RegSingleTxtG"/>
        <w:numPr>
          <w:ilvl w:val="0"/>
          <w:numId w:val="0"/>
        </w:numPr>
        <w:ind w:left="1134"/>
      </w:pPr>
      <w:r w:rsidRPr="00D2018B">
        <w:t>5.</w:t>
      </w:r>
      <w:r w:rsidRPr="00D2018B">
        <w:tab/>
      </w:r>
      <w:r w:rsidR="00705E67" w:rsidRPr="00D2018B">
        <w:rPr>
          <w:i/>
          <w:iCs/>
        </w:rPr>
        <w:t xml:space="preserve">Notes </w:t>
      </w:r>
      <w:r w:rsidR="00705E67" w:rsidRPr="00D2018B">
        <w:t>the Standing Committee on Finance’s update to its operational definition of climate finance in the context of preparing the sixth Biennial Assessment and Overview of Climate Finance Flows;</w:t>
      </w:r>
    </w:p>
    <w:p w14:paraId="2FF50F3B" w14:textId="680A95FF" w:rsidR="00705E67" w:rsidRPr="00D2018B" w:rsidRDefault="00BD5DB4" w:rsidP="00BD5DB4">
      <w:pPr>
        <w:pStyle w:val="RegSingleTxtG"/>
        <w:numPr>
          <w:ilvl w:val="0"/>
          <w:numId w:val="0"/>
        </w:numPr>
        <w:ind w:left="1134"/>
      </w:pPr>
      <w:r w:rsidRPr="00D2018B">
        <w:t>6.</w:t>
      </w:r>
      <w:r w:rsidRPr="00D2018B">
        <w:tab/>
      </w:r>
      <w:r w:rsidR="00705E67">
        <w:rPr>
          <w:i/>
          <w:iCs/>
        </w:rPr>
        <w:t>Also n</w:t>
      </w:r>
      <w:r w:rsidR="00705E67" w:rsidRPr="00D2018B">
        <w:rPr>
          <w:i/>
          <w:iCs/>
        </w:rPr>
        <w:t xml:space="preserve">otes </w:t>
      </w:r>
      <w:r w:rsidR="00705E67" w:rsidRPr="00D2018B">
        <w:t>that global climate finance flows were 63 per cent higher in 2021–2022 than in 2019–2020, reaching an annual average of USD 1.3 trillion</w:t>
      </w:r>
      <w:r w:rsidR="00705E67">
        <w:t>,</w:t>
      </w:r>
      <w:r w:rsidR="00705E67" w:rsidRPr="00806748">
        <w:t xml:space="preserve"> </w:t>
      </w:r>
      <w:r w:rsidR="00705E67" w:rsidRPr="00D2018B">
        <w:rPr>
          <w:i/>
          <w:iCs/>
        </w:rPr>
        <w:t>acknowledges</w:t>
      </w:r>
      <w:r w:rsidR="00705E67" w:rsidRPr="00D2018B">
        <w:t xml:space="preserve"> that more than three quarters of those flows were in Eastern Asia, Northern and Western Europe and Northern America and </w:t>
      </w:r>
      <w:r w:rsidR="00705E67" w:rsidRPr="00D2018B">
        <w:rPr>
          <w:i/>
          <w:iCs/>
        </w:rPr>
        <w:t xml:space="preserve">recognizes </w:t>
      </w:r>
      <w:r w:rsidR="00705E67" w:rsidRPr="00D2018B">
        <w:t xml:space="preserve">the need to scale up climate finance flows in other regions; </w:t>
      </w:r>
    </w:p>
    <w:p w14:paraId="675627B8" w14:textId="53205801" w:rsidR="00705E67" w:rsidRPr="00D2018B" w:rsidRDefault="00BD5DB4" w:rsidP="00BD5DB4">
      <w:pPr>
        <w:pStyle w:val="RegSingleTxtG"/>
        <w:numPr>
          <w:ilvl w:val="0"/>
          <w:numId w:val="0"/>
        </w:numPr>
        <w:ind w:left="1134"/>
      </w:pPr>
      <w:bookmarkStart w:id="5" w:name="_Ref182900231"/>
      <w:r w:rsidRPr="00D2018B">
        <w:t>7.</w:t>
      </w:r>
      <w:r w:rsidRPr="00D2018B">
        <w:tab/>
      </w:r>
      <w:r w:rsidR="00705E67" w:rsidRPr="00D2018B">
        <w:rPr>
          <w:i/>
          <w:iCs/>
        </w:rPr>
        <w:t>Notes with appreciation</w:t>
      </w:r>
      <w:r w:rsidR="00705E67" w:rsidRPr="00D2018B">
        <w:t xml:space="preserve"> the second report on the determination of the needs of developing country Parties related to implementing the Convention and the Paris Agreement,</w:t>
      </w:r>
      <w:r w:rsidR="00705E67" w:rsidRPr="00D2018B">
        <w:rPr>
          <w:rStyle w:val="FootnoteReference"/>
        </w:rPr>
        <w:footnoteReference w:id="8"/>
      </w:r>
      <w:bookmarkEnd w:id="5"/>
      <w:r w:rsidR="00705E67" w:rsidRPr="00D2018B">
        <w:t xml:space="preserve"> including the executive summary and recommendations thereof;</w:t>
      </w:r>
      <w:r w:rsidR="00705E67" w:rsidRPr="00D2018B">
        <w:rPr>
          <w:rStyle w:val="FootnoteReference"/>
        </w:rPr>
        <w:footnoteReference w:id="9"/>
      </w:r>
      <w:r w:rsidR="00705E67" w:rsidRPr="00D2018B">
        <w:t xml:space="preserve"> </w:t>
      </w:r>
    </w:p>
    <w:p w14:paraId="6F3E9D26" w14:textId="06775387" w:rsidR="00705E67" w:rsidRPr="00AE3C55" w:rsidRDefault="00BD5DB4" w:rsidP="00BD5DB4">
      <w:pPr>
        <w:pStyle w:val="RegSingleTxtG"/>
        <w:numPr>
          <w:ilvl w:val="0"/>
          <w:numId w:val="0"/>
        </w:numPr>
        <w:ind w:left="1134"/>
      </w:pPr>
      <w:bookmarkStart w:id="6" w:name="_Ref183016229"/>
      <w:r w:rsidRPr="00AE3C55">
        <w:t>8.</w:t>
      </w:r>
      <w:r w:rsidRPr="00AE3C55">
        <w:tab/>
      </w:r>
      <w:r w:rsidR="00705E67" w:rsidRPr="00D2018B">
        <w:rPr>
          <w:i/>
          <w:iCs/>
        </w:rPr>
        <w:t>Notes</w:t>
      </w:r>
      <w:r w:rsidR="00705E67" w:rsidRPr="00D2018B">
        <w:t xml:space="preserve"> the key finding from the report referred to in paragraph </w:t>
      </w:r>
      <w:r w:rsidR="00705E67">
        <w:rPr>
          <w:cs/>
        </w:rPr>
        <w:t>‎</w:t>
      </w:r>
      <w:r w:rsidR="00705E67">
        <w:t>7</w:t>
      </w:r>
      <w:r w:rsidR="00705E67" w:rsidRPr="00D2018B">
        <w:t xml:space="preserve"> above that nationally determined contributions from 142 Parties contain a total of 5,760 needs, of which 48 per cent are costed needs reported by 98 Parties, amounting to a cumulative USD 5.012–6.852 trillion out to 2030, or USD 455</w:t>
      </w:r>
      <w:r w:rsidR="00705E67">
        <w:t>–</w:t>
      </w:r>
      <w:r w:rsidR="00705E67" w:rsidRPr="00D2018B">
        <w:t>584 billion annually</w:t>
      </w:r>
      <w:r w:rsidR="00705E67">
        <w:t xml:space="preserve"> </w:t>
      </w:r>
      <w:r w:rsidR="00705E67" w:rsidRPr="00AE3C55">
        <w:t>across different time frames ending by</w:t>
      </w:r>
      <w:r w:rsidR="00705E67">
        <w:t> </w:t>
      </w:r>
      <w:r w:rsidR="00705E67" w:rsidRPr="00AE3C55">
        <w:t>2030;</w:t>
      </w:r>
      <w:bookmarkEnd w:id="6"/>
      <w:r w:rsidR="00705E67" w:rsidRPr="00AE3C55">
        <w:rPr>
          <w:rStyle w:val="FootnoteReference"/>
        </w:rPr>
        <w:footnoteReference w:id="10"/>
      </w:r>
    </w:p>
    <w:p w14:paraId="501FBCCE" w14:textId="730E4B9A" w:rsidR="00705E67" w:rsidRPr="00D2018B" w:rsidRDefault="00BD5DB4" w:rsidP="00BD5DB4">
      <w:pPr>
        <w:pStyle w:val="RegSingleTxtG"/>
        <w:numPr>
          <w:ilvl w:val="0"/>
          <w:numId w:val="0"/>
        </w:numPr>
        <w:ind w:left="1134"/>
      </w:pPr>
      <w:r w:rsidRPr="00D2018B">
        <w:t>9.</w:t>
      </w:r>
      <w:r w:rsidRPr="00D2018B">
        <w:tab/>
      </w:r>
      <w:r w:rsidR="00705E67">
        <w:rPr>
          <w:i/>
          <w:iCs/>
        </w:rPr>
        <w:t>H</w:t>
      </w:r>
      <w:r w:rsidR="00705E67" w:rsidRPr="00D2018B">
        <w:rPr>
          <w:i/>
          <w:iCs/>
        </w:rPr>
        <w:t xml:space="preserve">ighlights </w:t>
      </w:r>
      <w:r w:rsidR="00705E67" w:rsidRPr="00D2018B">
        <w:t>that information based on national reporting do</w:t>
      </w:r>
      <w:r w:rsidR="00705E67">
        <w:t>es</w:t>
      </w:r>
      <w:r w:rsidR="00705E67" w:rsidRPr="00D2018B">
        <w:t xml:space="preserve"> not reflect the entirety of needs across developing country Parties and regions and is limited by significant data challenges and gaps, including differences and gaps in information on the processes and approaches used in determining needs</w:t>
      </w:r>
      <w:r w:rsidR="00705E67">
        <w:t>;</w:t>
      </w:r>
      <w:r w:rsidR="00705E67" w:rsidRPr="00D2018B">
        <w:t xml:space="preserve"> data being expressed </w:t>
      </w:r>
      <w:r w:rsidR="00705E67">
        <w:t>for</w:t>
      </w:r>
      <w:r w:rsidR="00705E67" w:rsidRPr="00D2018B">
        <w:t xml:space="preserve"> varying time</w:t>
      </w:r>
      <w:r w:rsidR="00705E67">
        <w:t xml:space="preserve"> frames,</w:t>
      </w:r>
      <w:r w:rsidR="00705E67" w:rsidRPr="00D2018B">
        <w:t xml:space="preserve"> </w:t>
      </w:r>
      <w:r w:rsidR="00705E67">
        <w:t xml:space="preserve">with </w:t>
      </w:r>
      <w:r w:rsidR="00705E67">
        <w:lastRenderedPageBreak/>
        <w:t>the majority in a</w:t>
      </w:r>
      <w:r w:rsidR="00705E67" w:rsidRPr="00D2018B">
        <w:t xml:space="preserve"> 2020</w:t>
      </w:r>
      <w:r w:rsidR="00705E67">
        <w:t>–</w:t>
      </w:r>
      <w:r w:rsidR="00705E67" w:rsidRPr="00D2018B">
        <w:t>2030</w:t>
      </w:r>
      <w:r w:rsidR="00705E67">
        <w:t xml:space="preserve"> time frame</w:t>
      </w:r>
      <w:r w:rsidR="00705E67" w:rsidRPr="00D2018B" w:rsidDel="00E25CAD">
        <w:t>,</w:t>
      </w:r>
      <w:r w:rsidR="00705E67" w:rsidRPr="00D2018B">
        <w:t xml:space="preserve"> and differences in methodologies and underlying assumptions </w:t>
      </w:r>
      <w:r w:rsidR="00705E67">
        <w:t xml:space="preserve">used </w:t>
      </w:r>
      <w:r w:rsidR="00705E67" w:rsidRPr="00D2018B">
        <w:t xml:space="preserve">for identifying and costing needs, and </w:t>
      </w:r>
      <w:r w:rsidR="00705E67">
        <w:rPr>
          <w:i/>
          <w:iCs/>
        </w:rPr>
        <w:t>also</w:t>
      </w:r>
      <w:r w:rsidR="00705E67" w:rsidRPr="00D2018B">
        <w:rPr>
          <w:i/>
          <w:iCs/>
        </w:rPr>
        <w:t xml:space="preserve"> highlights</w:t>
      </w:r>
      <w:r w:rsidR="00705E67" w:rsidRPr="00D2018B">
        <w:t xml:space="preserve"> that the number of needs and costed needs compiled from national reports should not be used to draw comparisons of actual needs across regions; </w:t>
      </w:r>
    </w:p>
    <w:p w14:paraId="6C9B0A5E" w14:textId="2A895F00" w:rsidR="00705E67" w:rsidRPr="00D2018B" w:rsidRDefault="00BD5DB4" w:rsidP="00BD5DB4">
      <w:pPr>
        <w:pStyle w:val="RegSingleTxtG"/>
        <w:numPr>
          <w:ilvl w:val="0"/>
          <w:numId w:val="0"/>
        </w:numPr>
        <w:ind w:left="1134"/>
      </w:pPr>
      <w:r w:rsidRPr="00D2018B">
        <w:t>10.</w:t>
      </w:r>
      <w:r w:rsidRPr="00D2018B">
        <w:tab/>
      </w:r>
      <w:r w:rsidR="00705E67" w:rsidRPr="00D2018B">
        <w:rPr>
          <w:i/>
          <w:iCs/>
        </w:rPr>
        <w:t>Invites</w:t>
      </w:r>
      <w:r w:rsidR="00705E67" w:rsidRPr="00D2018B">
        <w:t xml:space="preserve"> relevant stakeholders to make use of the information contained in the second report on the determination of the needs of developing country Parties related to implementing the Convention and the Paris Agreement when supporting developing country Parties in identifying and costing needs, prioritizing the developing countr</w:t>
      </w:r>
      <w:r w:rsidR="00705E67">
        <w:t>y</w:t>
      </w:r>
      <w:r w:rsidR="00705E67">
        <w:rPr>
          <w:i/>
          <w:iCs/>
        </w:rPr>
        <w:t xml:space="preserve"> </w:t>
      </w:r>
      <w:r w:rsidR="00705E67">
        <w:t>Part</w:t>
      </w:r>
      <w:r w:rsidR="00705E67" w:rsidRPr="00D2018B">
        <w:t xml:space="preserve">ies and regions that have not been able to identify and cost needs and </w:t>
      </w:r>
      <w:r w:rsidR="00705E67">
        <w:t>that</w:t>
      </w:r>
      <w:r w:rsidR="00705E67" w:rsidRPr="00D2018B">
        <w:t xml:space="preserve"> are significantly and proportionally underrepresented in the report;</w:t>
      </w:r>
    </w:p>
    <w:p w14:paraId="12E9A8B2" w14:textId="0655F44A" w:rsidR="00705E67" w:rsidRPr="00D2018B" w:rsidRDefault="00BD5DB4" w:rsidP="00BD5DB4">
      <w:pPr>
        <w:pStyle w:val="RegSingleTxtG"/>
        <w:numPr>
          <w:ilvl w:val="0"/>
          <w:numId w:val="0"/>
        </w:numPr>
        <w:ind w:left="1134"/>
      </w:pPr>
      <w:r w:rsidRPr="00D2018B">
        <w:t>11.</w:t>
      </w:r>
      <w:r w:rsidRPr="00D2018B">
        <w:tab/>
      </w:r>
      <w:r w:rsidR="00705E67" w:rsidRPr="00D2018B">
        <w:rPr>
          <w:i/>
          <w:iCs/>
        </w:rPr>
        <w:t>Notes with appreciation</w:t>
      </w:r>
      <w:r w:rsidR="00705E67" w:rsidRPr="00D2018B">
        <w:t xml:space="preserve"> the report on the common practices regarding climate finance definitions, reporting and accounting methods,</w:t>
      </w:r>
      <w:r w:rsidR="00705E67" w:rsidRPr="00D2018B">
        <w:rPr>
          <w:rStyle w:val="FootnoteReference"/>
        </w:rPr>
        <w:footnoteReference w:id="11"/>
      </w:r>
      <w:r w:rsidR="00705E67" w:rsidRPr="00D2018B">
        <w:t xml:space="preserve"> including the executive summary thereof;</w:t>
      </w:r>
      <w:r w:rsidR="00705E67" w:rsidRPr="00D2018B">
        <w:rPr>
          <w:rStyle w:val="FootnoteReference"/>
        </w:rPr>
        <w:footnoteReference w:id="12"/>
      </w:r>
      <w:r w:rsidR="00705E67" w:rsidRPr="00D2018B">
        <w:t xml:space="preserve"> </w:t>
      </w:r>
    </w:p>
    <w:p w14:paraId="28F9618C" w14:textId="4D425F7C" w:rsidR="00705E67" w:rsidRPr="00D2018B" w:rsidRDefault="00BD5DB4" w:rsidP="00BD5DB4">
      <w:pPr>
        <w:pStyle w:val="RegSingleTxtG"/>
        <w:numPr>
          <w:ilvl w:val="0"/>
          <w:numId w:val="0"/>
        </w:numPr>
        <w:ind w:left="1134"/>
      </w:pPr>
      <w:r w:rsidRPr="00D2018B">
        <w:t>12.</w:t>
      </w:r>
      <w:r w:rsidRPr="00D2018B">
        <w:tab/>
      </w:r>
      <w:r w:rsidR="00705E67" w:rsidRPr="00D2018B">
        <w:rPr>
          <w:i/>
          <w:iCs/>
        </w:rPr>
        <w:t xml:space="preserve">Recognizes </w:t>
      </w:r>
      <w:r w:rsidR="00705E67" w:rsidRPr="00D2018B">
        <w:t xml:space="preserve">the complexities associated with the diversity of definitions of climate finance in use by Parties and non-Party stakeholders in relation to ensuring clear, aggregated accounting and reporting of climate finance; </w:t>
      </w:r>
    </w:p>
    <w:p w14:paraId="02200A22" w14:textId="14B70B8A" w:rsidR="00705E67" w:rsidRPr="00D2018B" w:rsidRDefault="00BD5DB4" w:rsidP="00BD5DB4">
      <w:pPr>
        <w:pStyle w:val="RegSingleTxtG"/>
        <w:numPr>
          <w:ilvl w:val="0"/>
          <w:numId w:val="0"/>
        </w:numPr>
        <w:ind w:left="1134"/>
      </w:pPr>
      <w:r w:rsidRPr="00D2018B">
        <w:t>13.</w:t>
      </w:r>
      <w:r w:rsidRPr="00D2018B">
        <w:tab/>
      </w:r>
      <w:r w:rsidR="00705E67" w:rsidRPr="00D2018B">
        <w:rPr>
          <w:i/>
          <w:iCs/>
        </w:rPr>
        <w:t xml:space="preserve">Reaffirms </w:t>
      </w:r>
      <w:r w:rsidR="00705E67" w:rsidRPr="00D2018B">
        <w:t>that the Standing Committee on Finance will continue its ongoing technical work on operational definitions of climate finance</w:t>
      </w:r>
      <w:r w:rsidR="00705E67" w:rsidRPr="00DB59EF">
        <w:t xml:space="preserve"> in its future biennial assessments and overviews of climate finance flows</w:t>
      </w:r>
      <w:r w:rsidR="00705E67" w:rsidRPr="00D2018B">
        <w:t>;</w:t>
      </w:r>
      <w:r w:rsidR="00705E67" w:rsidRPr="00D2018B">
        <w:rPr>
          <w:rStyle w:val="FootnoteReference"/>
        </w:rPr>
        <w:footnoteReference w:id="13"/>
      </w:r>
    </w:p>
    <w:p w14:paraId="22317EC3" w14:textId="29A0B11A" w:rsidR="00705E67" w:rsidRPr="00D2018B" w:rsidRDefault="00BD5DB4" w:rsidP="00BD5DB4">
      <w:pPr>
        <w:pStyle w:val="RegSingleTxtG"/>
        <w:numPr>
          <w:ilvl w:val="0"/>
          <w:numId w:val="0"/>
        </w:numPr>
        <w:ind w:left="1134"/>
      </w:pPr>
      <w:r w:rsidRPr="00D2018B">
        <w:t>14.</w:t>
      </w:r>
      <w:r w:rsidRPr="00D2018B">
        <w:tab/>
      </w:r>
      <w:r w:rsidR="00705E67" w:rsidRPr="00D2018B">
        <w:rPr>
          <w:i/>
          <w:iCs/>
        </w:rPr>
        <w:t xml:space="preserve">Welcomes </w:t>
      </w:r>
      <w:r w:rsidR="00705E67" w:rsidRPr="00D2018B">
        <w:t xml:space="preserve">the 2024 Forum of the Standing Committee on Finance on accelerating climate action and resilience through gender-responsive finance and </w:t>
      </w:r>
      <w:r w:rsidR="00705E67" w:rsidRPr="00D2018B">
        <w:rPr>
          <w:i/>
          <w:iCs/>
        </w:rPr>
        <w:t>notes with appreciation</w:t>
      </w:r>
      <w:r w:rsidR="00705E67" w:rsidRPr="00D2018B">
        <w:t xml:space="preserve"> the summary report thereon;</w:t>
      </w:r>
      <w:r w:rsidR="00705E67" w:rsidRPr="00D2018B">
        <w:rPr>
          <w:rStyle w:val="FootnoteReference"/>
        </w:rPr>
        <w:footnoteReference w:id="14"/>
      </w:r>
      <w:r w:rsidR="00705E67" w:rsidRPr="00D2018B">
        <w:t xml:space="preserve"> </w:t>
      </w:r>
    </w:p>
    <w:p w14:paraId="5FD8D276" w14:textId="186D068B" w:rsidR="00705E67" w:rsidRPr="00D2018B" w:rsidRDefault="00BD5DB4" w:rsidP="00BD5DB4">
      <w:pPr>
        <w:pStyle w:val="RegSingleTxtG"/>
        <w:numPr>
          <w:ilvl w:val="0"/>
          <w:numId w:val="0"/>
        </w:numPr>
        <w:ind w:left="1134"/>
      </w:pPr>
      <w:r w:rsidRPr="00D2018B">
        <w:t>15.</w:t>
      </w:r>
      <w:r w:rsidRPr="00D2018B">
        <w:tab/>
      </w:r>
      <w:r w:rsidR="00705E67" w:rsidRPr="00D2018B">
        <w:rPr>
          <w:i/>
          <w:iCs/>
        </w:rPr>
        <w:t>Expresses sincere gratitude</w:t>
      </w:r>
      <w:r w:rsidR="00705E67" w:rsidRPr="00D2018B">
        <w:t xml:space="preserve"> to the Government of the United Republic of Tanzania for its generous hospitality in hosting the 2024 Forum of the Standing Committee on Finance;</w:t>
      </w:r>
    </w:p>
    <w:p w14:paraId="1C0EDE9F" w14:textId="6129B762" w:rsidR="00705E67" w:rsidRPr="00D2018B" w:rsidRDefault="00BD5DB4" w:rsidP="00BD5DB4">
      <w:pPr>
        <w:pStyle w:val="RegSingleTxtG"/>
        <w:numPr>
          <w:ilvl w:val="0"/>
          <w:numId w:val="0"/>
        </w:numPr>
        <w:ind w:left="1134"/>
      </w:pPr>
      <w:r w:rsidRPr="00D2018B">
        <w:t>16.</w:t>
      </w:r>
      <w:r w:rsidRPr="00D2018B">
        <w:tab/>
      </w:r>
      <w:r w:rsidR="00705E67" w:rsidRPr="00D2018B">
        <w:rPr>
          <w:i/>
          <w:iCs/>
        </w:rPr>
        <w:t>Expresses gratitude</w:t>
      </w:r>
      <w:r w:rsidR="00705E67" w:rsidRPr="00D2018B">
        <w:t xml:space="preserve"> to the Governments of Australia, Austria and Canada for their financial support for the 2024 Forum of the Standing Committee on Finance; </w:t>
      </w:r>
    </w:p>
    <w:p w14:paraId="017F46DE" w14:textId="7B5403FB" w:rsidR="00705E67" w:rsidRPr="00D2018B" w:rsidRDefault="00BD5DB4" w:rsidP="00BD5DB4">
      <w:pPr>
        <w:pStyle w:val="RegSingleTxtG"/>
        <w:numPr>
          <w:ilvl w:val="0"/>
          <w:numId w:val="0"/>
        </w:numPr>
        <w:ind w:left="1134"/>
      </w:pPr>
      <w:r w:rsidRPr="00D2018B">
        <w:t>17.</w:t>
      </w:r>
      <w:r w:rsidRPr="00D2018B">
        <w:tab/>
      </w:r>
      <w:r w:rsidR="00705E67" w:rsidRPr="00D2018B">
        <w:rPr>
          <w:i/>
          <w:iCs/>
        </w:rPr>
        <w:t>Notes</w:t>
      </w:r>
      <w:r w:rsidR="00705E67" w:rsidRPr="00D2018B">
        <w:t xml:space="preserve"> the continued importance of promoting gender-responsive climate action, including in the context of climate finance, and </w:t>
      </w:r>
      <w:r w:rsidR="00705E67" w:rsidRPr="00D2018B">
        <w:rPr>
          <w:i/>
          <w:iCs/>
        </w:rPr>
        <w:t xml:space="preserve">highlights </w:t>
      </w:r>
      <w:r w:rsidR="00705E67" w:rsidRPr="00D2018B">
        <w:t>the relevance of improving data and information on the gender-responsiveness of climate finance;</w:t>
      </w:r>
    </w:p>
    <w:p w14:paraId="0ACE629B" w14:textId="146B8182" w:rsidR="00705E67" w:rsidRPr="00D2018B" w:rsidRDefault="00BD5DB4" w:rsidP="00BD5DB4">
      <w:pPr>
        <w:pStyle w:val="RegSingleTxtG"/>
        <w:numPr>
          <w:ilvl w:val="0"/>
          <w:numId w:val="0"/>
        </w:numPr>
        <w:ind w:left="1134"/>
      </w:pPr>
      <w:r w:rsidRPr="00D2018B">
        <w:t>18.</w:t>
      </w:r>
      <w:r w:rsidRPr="00D2018B">
        <w:tab/>
      </w:r>
      <w:r w:rsidR="00705E67" w:rsidRPr="00D2018B">
        <w:rPr>
          <w:i/>
          <w:iCs/>
        </w:rPr>
        <w:t>Notes with appreciation</w:t>
      </w:r>
      <w:r w:rsidR="00705E67" w:rsidRPr="00D2018B">
        <w:t xml:space="preserve"> the efforts of the Standing Committee on Finance to strengthen its engagement with stakeholders in the context of its workplan, including UNFCCC constituted bodies and private sector and other entities outside the UNFCCC process, and </w:t>
      </w:r>
      <w:r w:rsidR="00705E67" w:rsidRPr="00D2018B">
        <w:rPr>
          <w:i/>
          <w:iCs/>
        </w:rPr>
        <w:t>encourages</w:t>
      </w:r>
      <w:r w:rsidR="00705E67" w:rsidRPr="00D2018B">
        <w:t xml:space="preserve"> the Committee to continue such efforts in 2025, including, as appropriate, with people and communities on the front line of climate change, including Indigenous Peoples and local communities; </w:t>
      </w:r>
    </w:p>
    <w:p w14:paraId="2AA99161" w14:textId="2BB9DD4C" w:rsidR="00705E67" w:rsidRPr="00D2018B" w:rsidRDefault="00BD5DB4" w:rsidP="00BD5DB4">
      <w:pPr>
        <w:pStyle w:val="RegSingleTxtG"/>
        <w:numPr>
          <w:ilvl w:val="0"/>
          <w:numId w:val="0"/>
        </w:numPr>
        <w:ind w:left="1134"/>
      </w:pPr>
      <w:r w:rsidRPr="00D2018B">
        <w:t>19.</w:t>
      </w:r>
      <w:r w:rsidRPr="00D2018B">
        <w:tab/>
      </w:r>
      <w:r w:rsidR="00705E67">
        <w:rPr>
          <w:i/>
          <w:iCs/>
        </w:rPr>
        <w:t>Also e</w:t>
      </w:r>
      <w:r w:rsidR="00705E67" w:rsidRPr="00D2018B">
        <w:rPr>
          <w:i/>
          <w:iCs/>
        </w:rPr>
        <w:t>ncourages</w:t>
      </w:r>
      <w:r w:rsidR="00705E67" w:rsidRPr="00D2018B">
        <w:t xml:space="preserve"> the Standing Committee on Finance to continue enhanc</w:t>
      </w:r>
      <w:r w:rsidR="00705E67">
        <w:t>ing</w:t>
      </w:r>
      <w:r w:rsidR="00705E67" w:rsidRPr="00D2018B">
        <w:t xml:space="preserve"> its efforts to ensure gender-responsiveness in implementing its workplan and </w:t>
      </w:r>
      <w:r w:rsidR="00705E67" w:rsidRPr="00D2018B">
        <w:rPr>
          <w:i/>
          <w:iCs/>
        </w:rPr>
        <w:t>requests</w:t>
      </w:r>
      <w:r w:rsidR="00705E67" w:rsidRPr="00D2018B">
        <w:t xml:space="preserve"> Parties to consider gender balance and geographical representation when nominating members to the Committee; </w:t>
      </w:r>
    </w:p>
    <w:p w14:paraId="463AF6A4" w14:textId="3270C81D" w:rsidR="00705E67" w:rsidRPr="00D2018B" w:rsidRDefault="00BD5DB4" w:rsidP="00BD5DB4">
      <w:pPr>
        <w:pStyle w:val="RegSingleTxtG"/>
        <w:numPr>
          <w:ilvl w:val="0"/>
          <w:numId w:val="0"/>
        </w:numPr>
        <w:ind w:left="1134"/>
      </w:pPr>
      <w:r w:rsidRPr="00D2018B">
        <w:t>20.</w:t>
      </w:r>
      <w:r w:rsidRPr="00D2018B">
        <w:tab/>
      </w:r>
      <w:r w:rsidR="00705E67" w:rsidRPr="00D2018B">
        <w:rPr>
          <w:i/>
          <w:iCs/>
        </w:rPr>
        <w:t xml:space="preserve">Recalls </w:t>
      </w:r>
      <w:r w:rsidR="00705E67" w:rsidRPr="00D2018B">
        <w:t xml:space="preserve">concerns about the working modalities of the Standing Committee on Finance </w:t>
      </w:r>
      <w:r w:rsidR="00705E67" w:rsidRPr="00D2018B">
        <w:rPr>
          <w:rFonts w:eastAsia="Times New Roman"/>
        </w:rPr>
        <w:t>for preparing the draft guidance for the operating entities of the Financial Mechanism</w:t>
      </w:r>
      <w:r w:rsidR="00705E67" w:rsidRPr="00D2018B">
        <w:t xml:space="preserve"> in accordance with its mandate, and the request to Parties and other constituted bodies under the Convention and the Paris Agreement to provide elements for the draft guidance well in advance of future sessions of the Conference of the Parties and the Conference of the Parties serving as the meeting of the Parties to the Paris Agreement to enable the Committee to fulfil its mandate in this regard;</w:t>
      </w:r>
      <w:r w:rsidR="00705E67" w:rsidRPr="00D2018B">
        <w:rPr>
          <w:rStyle w:val="FootnoteReference"/>
        </w:rPr>
        <w:footnoteReference w:id="15"/>
      </w:r>
      <w:r w:rsidR="00705E67" w:rsidRPr="00D2018B">
        <w:t xml:space="preserve"> </w:t>
      </w:r>
    </w:p>
    <w:p w14:paraId="5F14BCD8" w14:textId="191AC128" w:rsidR="00705E67" w:rsidRPr="00D2018B" w:rsidRDefault="00BD5DB4" w:rsidP="00BD5DB4">
      <w:pPr>
        <w:pStyle w:val="RegSingleTxtG"/>
        <w:numPr>
          <w:ilvl w:val="0"/>
          <w:numId w:val="0"/>
        </w:numPr>
        <w:ind w:left="1134"/>
      </w:pPr>
      <w:r w:rsidRPr="00D2018B">
        <w:lastRenderedPageBreak/>
        <w:t>21.</w:t>
      </w:r>
      <w:r w:rsidRPr="00D2018B">
        <w:tab/>
      </w:r>
      <w:r w:rsidR="00705E67" w:rsidRPr="00D2018B">
        <w:rPr>
          <w:i/>
          <w:iCs/>
        </w:rPr>
        <w:t>Expresses appreciation</w:t>
      </w:r>
      <w:r w:rsidR="00705E67" w:rsidRPr="00D2018B">
        <w:t xml:space="preserve"> to the Governments of Australia, Austria</w:t>
      </w:r>
      <w:r w:rsidR="00705E67">
        <w:t>,</w:t>
      </w:r>
      <w:r w:rsidR="00705E67" w:rsidRPr="00D2018B">
        <w:t xml:space="preserve"> Canada </w:t>
      </w:r>
      <w:r w:rsidR="00705E67">
        <w:t xml:space="preserve">and Japan </w:t>
      </w:r>
      <w:r w:rsidR="00705E67" w:rsidRPr="00D2018B">
        <w:t>for their financial contributions for the work of the Standing Committee on Finance in 2024;</w:t>
      </w:r>
    </w:p>
    <w:p w14:paraId="399D82BC" w14:textId="37176F6F" w:rsidR="00705E67" w:rsidRDefault="00BD5DB4" w:rsidP="00BD5DB4">
      <w:pPr>
        <w:pStyle w:val="RegSingleTxtG"/>
        <w:numPr>
          <w:ilvl w:val="0"/>
          <w:numId w:val="0"/>
        </w:numPr>
        <w:ind w:left="1134"/>
      </w:pPr>
      <w:r>
        <w:t>22.</w:t>
      </w:r>
      <w:r>
        <w:tab/>
      </w:r>
      <w:r w:rsidR="00705E67" w:rsidRPr="00D2018B">
        <w:rPr>
          <w:i/>
          <w:iCs/>
        </w:rPr>
        <w:t>Requests</w:t>
      </w:r>
      <w:r w:rsidR="00705E67" w:rsidRPr="00D2018B">
        <w:t xml:space="preserve"> the Standing Committee on Finance to report to the Conference of the Parties at its thirtieth session</w:t>
      </w:r>
      <w:r w:rsidR="00705E67">
        <w:t xml:space="preserve"> (November 2025)</w:t>
      </w:r>
      <w:r w:rsidR="00705E67" w:rsidRPr="00D2018B">
        <w:t xml:space="preserve"> on its progress in implementing its workplan for</w:t>
      </w:r>
      <w:r w:rsidR="00705E67">
        <w:t> </w:t>
      </w:r>
      <w:r w:rsidR="00705E67" w:rsidRPr="00D2018B">
        <w:t xml:space="preserve">2025; </w:t>
      </w:r>
    </w:p>
    <w:p w14:paraId="193907C1" w14:textId="0515F9A9" w:rsidR="00235CE4" w:rsidRDefault="00BD5DB4" w:rsidP="00BD5DB4">
      <w:pPr>
        <w:pStyle w:val="RegSingleTxtG"/>
        <w:numPr>
          <w:ilvl w:val="0"/>
          <w:numId w:val="0"/>
        </w:numPr>
        <w:ind w:left="1134"/>
      </w:pPr>
      <w:r>
        <w:t>23.</w:t>
      </w:r>
      <w:r>
        <w:tab/>
      </w:r>
      <w:r w:rsidR="00705E67" w:rsidRPr="00705E67">
        <w:rPr>
          <w:i/>
          <w:iCs/>
        </w:rPr>
        <w:t xml:space="preserve">Also requests </w:t>
      </w:r>
      <w:r w:rsidR="00705E67" w:rsidRPr="00B6455F">
        <w:t xml:space="preserve">the </w:t>
      </w:r>
      <w:r w:rsidR="00705E67" w:rsidRPr="00F253BF">
        <w:t>Standing Committee on Finance</w:t>
      </w:r>
      <w:r w:rsidR="00705E67">
        <w:t xml:space="preserve"> to consider the guidance provided to it in other relevant decisions of the Conference of the Parties.</w:t>
      </w:r>
    </w:p>
    <w:p w14:paraId="68E84A33" w14:textId="15ACD690" w:rsidR="001E6755" w:rsidRPr="008C2CD8" w:rsidRDefault="00BD7A87" w:rsidP="008C2CD8">
      <w:pPr>
        <w:pStyle w:val="RegSingleTxtG"/>
        <w:numPr>
          <w:ilvl w:val="0"/>
          <w:numId w:val="0"/>
        </w:numPr>
        <w:spacing w:after="0"/>
        <w:ind w:left="1134"/>
        <w:jc w:val="right"/>
        <w:rPr>
          <w:i/>
          <w:iCs/>
        </w:rPr>
      </w:pPr>
      <w:r>
        <w:rPr>
          <w:i/>
          <w:iCs/>
        </w:rPr>
        <w:t>11</w:t>
      </w:r>
      <w:r w:rsidRPr="00BD7A87">
        <w:rPr>
          <w:i/>
          <w:iCs/>
          <w:vertAlign w:val="superscript"/>
        </w:rPr>
        <w:t>th</w:t>
      </w:r>
      <w:r>
        <w:rPr>
          <w:i/>
          <w:iCs/>
        </w:rPr>
        <w:t xml:space="preserve"> </w:t>
      </w:r>
      <w:r w:rsidR="008C2CD8" w:rsidRPr="008C2CD8">
        <w:rPr>
          <w:i/>
          <w:iCs/>
        </w:rPr>
        <w:t>plenary meeting</w:t>
      </w:r>
    </w:p>
    <w:p w14:paraId="05D5A25B" w14:textId="5D86978A" w:rsidR="0045143D" w:rsidRPr="0045143D" w:rsidRDefault="00BD7A87" w:rsidP="0045143D">
      <w:pPr>
        <w:pStyle w:val="RegSingleTxtG"/>
        <w:numPr>
          <w:ilvl w:val="0"/>
          <w:numId w:val="0"/>
        </w:numPr>
        <w:spacing w:after="0"/>
        <w:ind w:left="1134"/>
        <w:jc w:val="right"/>
        <w:rPr>
          <w:i/>
          <w:iCs/>
        </w:rPr>
      </w:pPr>
      <w:r>
        <w:rPr>
          <w:i/>
          <w:iCs/>
        </w:rPr>
        <w:t>23</w:t>
      </w:r>
      <w:r w:rsidR="008C2CD8" w:rsidRPr="008C2CD8">
        <w:rPr>
          <w:i/>
          <w:iCs/>
        </w:rPr>
        <w:t xml:space="preserve"> November 2024</w:t>
      </w:r>
    </w:p>
    <w:p w14:paraId="445AD8C0" w14:textId="77777777" w:rsidR="0045143D" w:rsidRPr="0045143D" w:rsidRDefault="0045143D" w:rsidP="00BD5DB4">
      <w:pPr>
        <w:pStyle w:val="RegH5G"/>
        <w:numPr>
          <w:ilvl w:val="0"/>
          <w:numId w:val="0"/>
        </w:numPr>
        <w:ind w:left="1135" w:hanging="454"/>
      </w:pPr>
    </w:p>
    <w:p w14:paraId="6C3A1F4E" w14:textId="77777777" w:rsidR="0045143D" w:rsidRDefault="0045143D" w:rsidP="00BD5DB4">
      <w:pPr>
        <w:pStyle w:val="RegHChG"/>
        <w:numPr>
          <w:ilvl w:val="0"/>
          <w:numId w:val="0"/>
        </w:numPr>
        <w:ind w:left="851" w:hanging="454"/>
        <w:sectPr w:rsidR="0045143D" w:rsidSect="00FF240A">
          <w:footnotePr>
            <w:numRestart w:val="eachSect"/>
          </w:footnotePr>
          <w:pgSz w:w="11906" w:h="16838" w:code="9"/>
          <w:pgMar w:top="1417" w:right="1134" w:bottom="1134" w:left="1134" w:header="850" w:footer="567" w:gutter="0"/>
          <w:cols w:space="708"/>
          <w:docGrid w:linePitch="360"/>
        </w:sectPr>
      </w:pPr>
    </w:p>
    <w:p w14:paraId="036695AB" w14:textId="3469FE8C" w:rsidR="00AF4AE0" w:rsidRPr="00346885" w:rsidRDefault="0045143D" w:rsidP="00BD5DB4">
      <w:pPr>
        <w:pStyle w:val="RegHChG"/>
        <w:numPr>
          <w:ilvl w:val="0"/>
          <w:numId w:val="0"/>
        </w:numPr>
        <w:ind w:left="1135" w:hanging="454"/>
      </w:pPr>
      <w:bookmarkStart w:id="7" w:name="CP3"/>
      <w:r>
        <w:lastRenderedPageBreak/>
        <w:t>Decision 3/CP.29</w:t>
      </w:r>
      <w:bookmarkEnd w:id="7"/>
    </w:p>
    <w:p w14:paraId="3A6C8913" w14:textId="5AEDA259" w:rsidR="00AF4AE0" w:rsidRPr="00BE76F2" w:rsidRDefault="00AF4AE0" w:rsidP="00BD5DB4">
      <w:pPr>
        <w:pStyle w:val="RegHChG"/>
        <w:numPr>
          <w:ilvl w:val="0"/>
          <w:numId w:val="0"/>
        </w:numPr>
        <w:ind w:left="1135" w:hanging="454"/>
      </w:pPr>
      <w:r w:rsidRPr="00EE2717">
        <w:t xml:space="preserve">Report of the Green Climate Fund to the Conference of the Parties and guidance to the Green Climate Fund </w:t>
      </w:r>
    </w:p>
    <w:p w14:paraId="70D370EC" w14:textId="77777777" w:rsidR="00AF4AE0" w:rsidRPr="00142B0D" w:rsidRDefault="00AF4AE0" w:rsidP="00AF4AE0">
      <w:pPr>
        <w:pStyle w:val="SingleTxtG"/>
        <w:ind w:firstLine="567"/>
        <w:rPr>
          <w:lang w:val="en-US"/>
        </w:rPr>
      </w:pPr>
      <w:r w:rsidRPr="00D77103">
        <w:rPr>
          <w:i/>
          <w:lang w:val="en-US"/>
        </w:rPr>
        <w:t>The Conference of the Parties</w:t>
      </w:r>
      <w:r w:rsidRPr="0010647A">
        <w:rPr>
          <w:iCs/>
          <w:lang w:val="en-US"/>
        </w:rPr>
        <w:t xml:space="preserve">, </w:t>
      </w:r>
    </w:p>
    <w:p w14:paraId="7A9FF176" w14:textId="3A94471C" w:rsidR="00AF4AE0" w:rsidRPr="00142B0D" w:rsidRDefault="00AF4AE0" w:rsidP="00AF4AE0">
      <w:pPr>
        <w:pStyle w:val="SingleTxtG"/>
        <w:ind w:firstLine="567"/>
        <w:rPr>
          <w:lang w:val="en-US"/>
        </w:rPr>
      </w:pPr>
      <w:r w:rsidRPr="00D77103">
        <w:rPr>
          <w:i/>
          <w:lang w:val="en-US"/>
        </w:rPr>
        <w:t>Recalling</w:t>
      </w:r>
      <w:r w:rsidRPr="00142B0D">
        <w:rPr>
          <w:i/>
          <w:lang w:val="en-US"/>
        </w:rPr>
        <w:t xml:space="preserve"> </w:t>
      </w:r>
      <w:r w:rsidRPr="00307AEF">
        <w:rPr>
          <w:lang w:val="en-US"/>
        </w:rPr>
        <w:t xml:space="preserve">decision </w:t>
      </w:r>
      <w:hyperlink r:id="rId57" w:history="1">
        <w:r w:rsidRPr="00B26B88">
          <w:rPr>
            <w:rStyle w:val="Hyperlink"/>
            <w:lang w:val="en-US"/>
          </w:rPr>
          <w:t>3/CP.17</w:t>
        </w:r>
      </w:hyperlink>
      <w:r w:rsidRPr="00307AEF">
        <w:rPr>
          <w:lang w:val="en-US"/>
        </w:rPr>
        <w:t>, annex,</w:t>
      </w:r>
    </w:p>
    <w:p w14:paraId="64FF3314" w14:textId="408D3ACF" w:rsidR="00AF4AE0" w:rsidRPr="00AF4AE0" w:rsidRDefault="00BD5DB4" w:rsidP="00BD5DB4">
      <w:pPr>
        <w:pStyle w:val="RegSingleTxtG"/>
        <w:numPr>
          <w:ilvl w:val="0"/>
          <w:numId w:val="0"/>
        </w:numPr>
        <w:ind w:left="1134"/>
        <w:rPr>
          <w:lang w:val="en-US"/>
        </w:rPr>
      </w:pPr>
      <w:r w:rsidRPr="00AF4AE0">
        <w:rPr>
          <w:lang w:val="en-US"/>
        </w:rPr>
        <w:t>1.</w:t>
      </w:r>
      <w:r w:rsidRPr="00AF4AE0">
        <w:rPr>
          <w:lang w:val="en-US"/>
        </w:rPr>
        <w:tab/>
      </w:r>
      <w:r w:rsidR="00AF4AE0" w:rsidRPr="00AF4AE0">
        <w:rPr>
          <w:i/>
          <w:iCs/>
          <w:lang w:val="en-US"/>
        </w:rPr>
        <w:t>Welcomes</w:t>
      </w:r>
      <w:r w:rsidR="00AF4AE0" w:rsidRPr="00AF4AE0">
        <w:rPr>
          <w:lang w:val="en-US"/>
        </w:rPr>
        <w:t xml:space="preserve"> the report of the Green Climate Fund to the Conference of the Parties at its twenty-ninth session,</w:t>
      </w:r>
      <w:r w:rsidR="00AF4AE0">
        <w:rPr>
          <w:rStyle w:val="FootnoteReference"/>
          <w:lang w:val="en-US"/>
        </w:rPr>
        <w:footnoteReference w:id="16"/>
      </w:r>
      <w:r w:rsidR="00AF4AE0" w:rsidRPr="00AF4AE0">
        <w:rPr>
          <w:lang w:val="en-US"/>
        </w:rPr>
        <w:t xml:space="preserve"> including the information on action taken by the Board of the Green Climate Fund in response to guidance received from the Conference of the Parties, while noting that there is room for improvement;</w:t>
      </w:r>
    </w:p>
    <w:p w14:paraId="2D575FCE" w14:textId="1E3DB674" w:rsidR="00AF4AE0" w:rsidRPr="00CB7D56" w:rsidRDefault="00BD5DB4" w:rsidP="00BD5DB4">
      <w:pPr>
        <w:pStyle w:val="RegSingleTxtG"/>
        <w:numPr>
          <w:ilvl w:val="0"/>
          <w:numId w:val="0"/>
        </w:numPr>
        <w:ind w:left="1134"/>
        <w:rPr>
          <w:lang w:val="en-US"/>
        </w:rPr>
      </w:pPr>
      <w:r w:rsidRPr="00CB7D56">
        <w:rPr>
          <w:lang w:val="en-US"/>
        </w:rPr>
        <w:t>2.</w:t>
      </w:r>
      <w:r w:rsidRPr="00CB7D56">
        <w:rPr>
          <w:lang w:val="en-US"/>
        </w:rPr>
        <w:tab/>
      </w:r>
      <w:r w:rsidR="00AF4AE0">
        <w:rPr>
          <w:i/>
          <w:iCs/>
        </w:rPr>
        <w:t>Also w</w:t>
      </w:r>
      <w:r w:rsidR="00AF4AE0" w:rsidRPr="00741DD2">
        <w:rPr>
          <w:i/>
          <w:iCs/>
        </w:rPr>
        <w:t>elcomes</w:t>
      </w:r>
      <w:r w:rsidR="00AF4AE0">
        <w:t xml:space="preserve"> t</w:t>
      </w:r>
      <w:r w:rsidR="00AF4AE0" w:rsidRPr="008631D7">
        <w:t>he pledges and contributions to the second replenishment of the Green Climate Fund</w:t>
      </w:r>
      <w:r w:rsidR="00AF4AE0">
        <w:t xml:space="preserve"> since the twenty-eighth session of the</w:t>
      </w:r>
      <w:r w:rsidR="00AF4AE0" w:rsidRPr="00EE2872">
        <w:rPr>
          <w:lang w:val="en-US"/>
        </w:rPr>
        <w:t xml:space="preserve"> </w:t>
      </w:r>
      <w:r w:rsidR="00AF4AE0" w:rsidRPr="00CB7D56">
        <w:rPr>
          <w:lang w:val="en-US"/>
        </w:rPr>
        <w:t>Conference of the Parties</w:t>
      </w:r>
      <w:r w:rsidR="00AF4AE0" w:rsidRPr="008631D7">
        <w:t>,</w:t>
      </w:r>
      <w:r w:rsidR="00AF4AE0" w:rsidRPr="00ED3604">
        <w:rPr>
          <w:i/>
          <w:iCs/>
        </w:rPr>
        <w:t xml:space="preserve"> </w:t>
      </w:r>
      <w:r w:rsidR="00AF4AE0" w:rsidRPr="00B9718A">
        <w:rPr>
          <w:i/>
          <w:iCs/>
        </w:rPr>
        <w:t>acknowledges</w:t>
      </w:r>
      <w:r w:rsidR="00AF4AE0" w:rsidRPr="008631D7">
        <w:t xml:space="preserve"> the efforts </w:t>
      </w:r>
      <w:r w:rsidR="00AF4AE0">
        <w:t>of</w:t>
      </w:r>
      <w:r w:rsidR="00AF4AE0" w:rsidRPr="008631D7">
        <w:t xml:space="preserve"> </w:t>
      </w:r>
      <w:r w:rsidR="00AF4AE0">
        <w:t>those</w:t>
      </w:r>
      <w:r w:rsidR="00AF4AE0" w:rsidRPr="008631D7">
        <w:t xml:space="preserve"> </w:t>
      </w:r>
      <w:r w:rsidR="00AF4AE0">
        <w:t>that</w:t>
      </w:r>
      <w:r w:rsidR="00AF4AE0" w:rsidRPr="008631D7">
        <w:t xml:space="preserve"> have </w:t>
      </w:r>
      <w:r w:rsidR="00AF4AE0" w:rsidRPr="00F35F6C">
        <w:t>substantially increased</w:t>
      </w:r>
      <w:r w:rsidR="00AF4AE0" w:rsidRPr="00F35F6C" w:rsidDel="00F35F6C">
        <w:t xml:space="preserve"> </w:t>
      </w:r>
      <w:r w:rsidR="00AF4AE0" w:rsidRPr="008631D7">
        <w:t xml:space="preserve">their commitments and </w:t>
      </w:r>
      <w:r w:rsidR="00AF4AE0" w:rsidRPr="005662C2">
        <w:rPr>
          <w:i/>
          <w:iCs/>
        </w:rPr>
        <w:t>acknowledges</w:t>
      </w:r>
      <w:r w:rsidR="00AF4AE0">
        <w:t xml:space="preserve"> </w:t>
      </w:r>
      <w:r w:rsidR="00AF4AE0" w:rsidRPr="00137E43">
        <w:rPr>
          <w:i/>
          <w:iCs/>
        </w:rPr>
        <w:t>with appreciation</w:t>
      </w:r>
      <w:r w:rsidR="00AF4AE0" w:rsidRPr="008631D7">
        <w:t xml:space="preserve"> the role </w:t>
      </w:r>
      <w:r w:rsidR="00AF4AE0">
        <w:t xml:space="preserve">of the Government of the </w:t>
      </w:r>
      <w:r w:rsidR="00AF4AE0" w:rsidRPr="0065799B">
        <w:t>U</w:t>
      </w:r>
      <w:r w:rsidR="00AF4AE0">
        <w:t xml:space="preserve">nited </w:t>
      </w:r>
      <w:r w:rsidR="00AF4AE0" w:rsidRPr="0065799B">
        <w:t>A</w:t>
      </w:r>
      <w:r w:rsidR="00AF4AE0">
        <w:t xml:space="preserve">rab </w:t>
      </w:r>
      <w:r w:rsidR="00AF4AE0" w:rsidRPr="0065799B">
        <w:t>E</w:t>
      </w:r>
      <w:r w:rsidR="00AF4AE0">
        <w:t>mirates</w:t>
      </w:r>
      <w:r w:rsidR="00AF4AE0" w:rsidRPr="0065799B">
        <w:t xml:space="preserve"> </w:t>
      </w:r>
      <w:r w:rsidR="00AF4AE0">
        <w:t>and the Presidency of the twenty-eighth session of the</w:t>
      </w:r>
      <w:r w:rsidR="00AF4AE0" w:rsidRPr="00EE2872">
        <w:rPr>
          <w:lang w:val="en-US"/>
        </w:rPr>
        <w:t xml:space="preserve"> </w:t>
      </w:r>
      <w:r w:rsidR="00AF4AE0" w:rsidRPr="00CB7D56">
        <w:rPr>
          <w:lang w:val="en-US"/>
        </w:rPr>
        <w:t>Conference of the Parties</w:t>
      </w:r>
      <w:r w:rsidR="00AF4AE0" w:rsidRPr="008631D7">
        <w:t xml:space="preserve"> </w:t>
      </w:r>
      <w:r w:rsidR="00AF4AE0">
        <w:t>i</w:t>
      </w:r>
      <w:r w:rsidR="00AF4AE0" w:rsidRPr="00CC4AAF">
        <w:t>n achieving the highest pledges in the Fund’s history, surpassing previous replenishments</w:t>
      </w:r>
      <w:r w:rsidR="00AF4AE0">
        <w:t>;</w:t>
      </w:r>
    </w:p>
    <w:p w14:paraId="0C033E00" w14:textId="5DE7BCAA" w:rsidR="00AF4AE0" w:rsidRPr="0005157B" w:rsidRDefault="00BD5DB4" w:rsidP="00BD5DB4">
      <w:pPr>
        <w:pStyle w:val="RegSingleTxtG"/>
        <w:numPr>
          <w:ilvl w:val="0"/>
          <w:numId w:val="0"/>
        </w:numPr>
        <w:spacing w:before="120"/>
        <w:ind w:left="1134"/>
        <w:rPr>
          <w:lang w:val="en-US"/>
        </w:rPr>
      </w:pPr>
      <w:r w:rsidRPr="0005157B">
        <w:rPr>
          <w:lang w:val="en-US"/>
        </w:rPr>
        <w:t>3.</w:t>
      </w:r>
      <w:r w:rsidRPr="0005157B">
        <w:rPr>
          <w:lang w:val="en-US"/>
        </w:rPr>
        <w:tab/>
      </w:r>
      <w:r w:rsidR="00AF4AE0">
        <w:rPr>
          <w:i/>
          <w:iCs/>
          <w:lang w:val="en-US"/>
        </w:rPr>
        <w:t>W</w:t>
      </w:r>
      <w:r w:rsidR="00AF4AE0" w:rsidRPr="0005157B">
        <w:rPr>
          <w:i/>
          <w:iCs/>
          <w:lang w:val="en-US"/>
        </w:rPr>
        <w:t>elcomes</w:t>
      </w:r>
      <w:r w:rsidR="00AF4AE0" w:rsidRPr="0005157B">
        <w:rPr>
          <w:lang w:val="en-US"/>
        </w:rPr>
        <w:t>:</w:t>
      </w:r>
    </w:p>
    <w:p w14:paraId="736E4982" w14:textId="1391DD69" w:rsidR="00AF4AE0" w:rsidRPr="00CB7D56" w:rsidRDefault="00BD5DB4" w:rsidP="00BD5DB4">
      <w:pPr>
        <w:pStyle w:val="RegSingleTxtG2"/>
        <w:numPr>
          <w:ilvl w:val="0"/>
          <w:numId w:val="0"/>
        </w:numPr>
        <w:ind w:left="1134" w:firstLine="567"/>
        <w:rPr>
          <w:lang w:val="en-US"/>
        </w:rPr>
      </w:pPr>
      <w:r w:rsidRPr="00CB7D56">
        <w:rPr>
          <w:szCs w:val="28"/>
          <w:lang w:val="en-US"/>
        </w:rPr>
        <w:t>(a)</w:t>
      </w:r>
      <w:r w:rsidRPr="00CB7D56">
        <w:rPr>
          <w:szCs w:val="28"/>
          <w:lang w:val="en-US"/>
        </w:rPr>
        <w:tab/>
      </w:r>
      <w:r w:rsidR="00AF4AE0" w:rsidRPr="00CB7D56">
        <w:rPr>
          <w:lang w:val="en-US"/>
        </w:rPr>
        <w:t>The increase in the number of funding proposals approved, which brings the total amount approved by the Board to USD 15.9 billion to support the implementation of 286 adaptation and mitigation projects and programmes in 133 developing countries;</w:t>
      </w:r>
    </w:p>
    <w:p w14:paraId="6906F350" w14:textId="7FC71587" w:rsidR="00AF4AE0" w:rsidRPr="00CB7D56" w:rsidRDefault="00BD5DB4" w:rsidP="00BD5DB4">
      <w:pPr>
        <w:pStyle w:val="RegSingleTxtG2"/>
        <w:numPr>
          <w:ilvl w:val="0"/>
          <w:numId w:val="0"/>
        </w:numPr>
        <w:ind w:left="1134" w:firstLine="567"/>
        <w:rPr>
          <w:lang w:val="en-US"/>
        </w:rPr>
      </w:pPr>
      <w:r w:rsidRPr="00CB7D56">
        <w:rPr>
          <w:szCs w:val="28"/>
          <w:lang w:val="en-US"/>
        </w:rPr>
        <w:t>(b)</w:t>
      </w:r>
      <w:r w:rsidRPr="00CB7D56">
        <w:rPr>
          <w:szCs w:val="28"/>
          <w:lang w:val="en-US"/>
        </w:rPr>
        <w:tab/>
      </w:r>
      <w:r w:rsidR="00AF4AE0" w:rsidRPr="00CB7D56">
        <w:rPr>
          <w:lang w:val="en-US"/>
        </w:rPr>
        <w:t>The increase in the number of entities accredited by the Board, which brings the total number of accredited entities to 139, of which 89</w:t>
      </w:r>
      <w:r w:rsidR="00AF4AE0">
        <w:rPr>
          <w:lang w:val="en-US"/>
        </w:rPr>
        <w:t xml:space="preserve"> </w:t>
      </w:r>
      <w:r w:rsidR="00AF4AE0" w:rsidRPr="00CB7D56">
        <w:rPr>
          <w:lang w:val="en-US"/>
        </w:rPr>
        <w:t>are direct access entities;</w:t>
      </w:r>
    </w:p>
    <w:p w14:paraId="4AB14444" w14:textId="0993A254" w:rsidR="00AF4AE0" w:rsidRPr="00CB7D56" w:rsidRDefault="00BD5DB4" w:rsidP="00BD5DB4">
      <w:pPr>
        <w:pStyle w:val="RegSingleTxtG2"/>
        <w:numPr>
          <w:ilvl w:val="0"/>
          <w:numId w:val="0"/>
        </w:numPr>
        <w:ind w:left="1134" w:firstLine="567"/>
      </w:pPr>
      <w:r w:rsidRPr="00CB7D56">
        <w:rPr>
          <w:szCs w:val="28"/>
        </w:rPr>
        <w:t>(c)</w:t>
      </w:r>
      <w:r w:rsidRPr="00CB7D56">
        <w:rPr>
          <w:szCs w:val="28"/>
        </w:rPr>
        <w:tab/>
      </w:r>
      <w:r w:rsidR="00AF4AE0" w:rsidRPr="00CB7D56">
        <w:t>The increase in the approval of grants for readiness support for national adaptation plans and other adaptation planning processes, bringing the total number of grants approved for readiness support for national adaptation plans and other adaptation planning processes to 115;</w:t>
      </w:r>
    </w:p>
    <w:p w14:paraId="0D94B661" w14:textId="0149DC43" w:rsidR="00AF4AE0" w:rsidRPr="00CB7D56" w:rsidRDefault="00BD5DB4" w:rsidP="00BD5DB4">
      <w:pPr>
        <w:pStyle w:val="RegSingleTxtG2"/>
        <w:numPr>
          <w:ilvl w:val="0"/>
          <w:numId w:val="0"/>
        </w:numPr>
        <w:ind w:left="1134" w:firstLine="567"/>
      </w:pPr>
      <w:r w:rsidRPr="00CB7D56">
        <w:rPr>
          <w:szCs w:val="28"/>
        </w:rPr>
        <w:t>(d)</w:t>
      </w:r>
      <w:r w:rsidRPr="00CB7D56">
        <w:rPr>
          <w:szCs w:val="28"/>
        </w:rPr>
        <w:tab/>
      </w:r>
      <w:r w:rsidR="00AF4AE0" w:rsidRPr="00CB7D56">
        <w:t xml:space="preserve">The adoption </w:t>
      </w:r>
      <w:r w:rsidR="00AF4AE0">
        <w:t xml:space="preserve">by the Board </w:t>
      </w:r>
      <w:r w:rsidR="00AF4AE0" w:rsidRPr="00CB7D56">
        <w:t xml:space="preserve">of a policy for results-based payments for activities referred to in </w:t>
      </w:r>
      <w:r w:rsidR="00AF4AE0">
        <w:t xml:space="preserve">paragraph 70 of </w:t>
      </w:r>
      <w:r w:rsidR="00AF4AE0" w:rsidRPr="00CB7D56">
        <w:t xml:space="preserve">decision </w:t>
      </w:r>
      <w:hyperlink r:id="rId58" w:history="1">
        <w:r w:rsidR="00AF4AE0" w:rsidRPr="00B26B88">
          <w:rPr>
            <w:rStyle w:val="Hyperlink"/>
          </w:rPr>
          <w:t>1/CP.16</w:t>
        </w:r>
      </w:hyperlink>
      <w:r w:rsidR="00AF4AE0" w:rsidRPr="00CB7D56">
        <w:t>;</w:t>
      </w:r>
      <w:r w:rsidR="00AF4AE0">
        <w:rPr>
          <w:rStyle w:val="FootnoteReference"/>
        </w:rPr>
        <w:footnoteReference w:id="17"/>
      </w:r>
    </w:p>
    <w:p w14:paraId="1D255A44" w14:textId="6DD436DE" w:rsidR="00AF4AE0" w:rsidRDefault="00BD5DB4" w:rsidP="00BD5DB4">
      <w:pPr>
        <w:pStyle w:val="RegSingleTxtG2"/>
        <w:numPr>
          <w:ilvl w:val="0"/>
          <w:numId w:val="0"/>
        </w:numPr>
        <w:ind w:left="1134" w:firstLine="567"/>
        <w:rPr>
          <w:lang w:val="en-US"/>
        </w:rPr>
      </w:pPr>
      <w:r>
        <w:rPr>
          <w:szCs w:val="28"/>
          <w:lang w:val="en-US"/>
        </w:rPr>
        <w:t>(e)</w:t>
      </w:r>
      <w:r>
        <w:rPr>
          <w:szCs w:val="28"/>
          <w:lang w:val="en-US"/>
        </w:rPr>
        <w:tab/>
      </w:r>
      <w:r w:rsidR="00AF4AE0" w:rsidRPr="00A7119E">
        <w:rPr>
          <w:lang w:val="en-US"/>
        </w:rPr>
        <w:t xml:space="preserve">The </w:t>
      </w:r>
      <w:r w:rsidR="00AF4AE0">
        <w:rPr>
          <w:lang w:val="en-US"/>
        </w:rPr>
        <w:t xml:space="preserve">continued </w:t>
      </w:r>
      <w:r w:rsidR="00AF4AE0" w:rsidRPr="00A7119E">
        <w:rPr>
          <w:lang w:val="en-US"/>
        </w:rPr>
        <w:t>collaboration of the Board with the Climate Technology Centre and Network and the Technology Executive Committee;</w:t>
      </w:r>
    </w:p>
    <w:p w14:paraId="3D04B0EE" w14:textId="6F6AC353" w:rsidR="00AF4AE0" w:rsidRDefault="00BD5DB4" w:rsidP="00BD5DB4">
      <w:pPr>
        <w:pStyle w:val="RegSingleTxtG2"/>
        <w:numPr>
          <w:ilvl w:val="0"/>
          <w:numId w:val="0"/>
        </w:numPr>
        <w:ind w:left="1134" w:firstLine="567"/>
        <w:rPr>
          <w:lang w:val="en-US"/>
        </w:rPr>
      </w:pPr>
      <w:r>
        <w:rPr>
          <w:szCs w:val="28"/>
          <w:lang w:val="en-US"/>
        </w:rPr>
        <w:t>(f)</w:t>
      </w:r>
      <w:r>
        <w:rPr>
          <w:szCs w:val="28"/>
          <w:lang w:val="en-US"/>
        </w:rPr>
        <w:tab/>
      </w:r>
      <w:r w:rsidR="00AF4AE0">
        <w:t>T</w:t>
      </w:r>
      <w:r w:rsidR="00AF4AE0" w:rsidRPr="00D543D1">
        <w:t xml:space="preserve">he USD 2.1 billion </w:t>
      </w:r>
      <w:r w:rsidR="00AF4AE0">
        <w:t>increase</w:t>
      </w:r>
      <w:r w:rsidR="00AF4AE0" w:rsidRPr="00D543D1">
        <w:t xml:space="preserve"> in </w:t>
      </w:r>
      <w:r w:rsidR="00AF4AE0">
        <w:t xml:space="preserve">commitments and addition of 34 new projects to </w:t>
      </w:r>
      <w:r w:rsidR="00AF4AE0" w:rsidRPr="00D543D1">
        <w:t xml:space="preserve">the </w:t>
      </w:r>
      <w:r w:rsidR="00AF4AE0">
        <w:t xml:space="preserve">Green Climate </w:t>
      </w:r>
      <w:r w:rsidR="00AF4AE0" w:rsidRPr="00D543D1">
        <w:t xml:space="preserve">Fund portfolio </w:t>
      </w:r>
      <w:r w:rsidR="00AF4AE0">
        <w:t>in 2023,</w:t>
      </w:r>
      <w:r w:rsidR="00AF4AE0" w:rsidRPr="00D543D1">
        <w:t xml:space="preserve"> </w:t>
      </w:r>
      <w:r w:rsidR="00AF4AE0">
        <w:t>of which</w:t>
      </w:r>
      <w:r w:rsidR="00AF4AE0" w:rsidRPr="00D543D1">
        <w:t xml:space="preserve"> USD 917.4 million </w:t>
      </w:r>
      <w:r w:rsidR="00AF4AE0">
        <w:t xml:space="preserve">was committed </w:t>
      </w:r>
      <w:r w:rsidR="00AF4AE0" w:rsidRPr="00D543D1">
        <w:t xml:space="preserve">to 10 new private sector projects </w:t>
      </w:r>
      <w:r w:rsidR="00AF4AE0">
        <w:t>(</w:t>
      </w:r>
      <w:r w:rsidR="00AF4AE0" w:rsidRPr="00D543D1">
        <w:t>representing 44</w:t>
      </w:r>
      <w:r w:rsidR="00AF4AE0">
        <w:t xml:space="preserve"> per cent</w:t>
      </w:r>
      <w:r w:rsidR="00AF4AE0" w:rsidRPr="00D543D1">
        <w:t xml:space="preserve"> of th</w:t>
      </w:r>
      <w:r w:rsidR="00AF4AE0">
        <w:t>e</w:t>
      </w:r>
      <w:r w:rsidR="00AF4AE0" w:rsidRPr="00D543D1">
        <w:t xml:space="preserve"> </w:t>
      </w:r>
      <w:r w:rsidR="00AF4AE0">
        <w:t>2023</w:t>
      </w:r>
      <w:r w:rsidR="00AF4AE0" w:rsidRPr="00D543D1">
        <w:t xml:space="preserve"> programming volume</w:t>
      </w:r>
      <w:r w:rsidR="00AF4AE0">
        <w:t>),</w:t>
      </w:r>
      <w:r w:rsidR="00AF4AE0" w:rsidRPr="00D543D1">
        <w:t xml:space="preserve"> </w:t>
      </w:r>
      <w:r w:rsidR="00AF4AE0">
        <w:t>bringing the total</w:t>
      </w:r>
      <w:r w:rsidR="00AF4AE0" w:rsidRPr="00D543D1">
        <w:t xml:space="preserve"> </w:t>
      </w:r>
      <w:r w:rsidR="00AF4AE0">
        <w:t>commitments to the</w:t>
      </w:r>
      <w:r w:rsidR="00AF4AE0" w:rsidRPr="00D543D1">
        <w:t xml:space="preserve"> private sector portfolio to </w:t>
      </w:r>
      <w:r w:rsidR="00AF4AE0">
        <w:t xml:space="preserve">over </w:t>
      </w:r>
      <w:r w:rsidR="00AF4AE0" w:rsidRPr="00D543D1">
        <w:t xml:space="preserve">USD 5 billion, </w:t>
      </w:r>
      <w:r w:rsidR="00AF4AE0">
        <w:t>which had been</w:t>
      </w:r>
      <w:r w:rsidR="00AF4AE0" w:rsidRPr="00D543D1">
        <w:t xml:space="preserve"> </w:t>
      </w:r>
      <w:r w:rsidR="00AF4AE0">
        <w:t>disbursed</w:t>
      </w:r>
      <w:r w:rsidR="00AF4AE0" w:rsidRPr="00D543D1">
        <w:t xml:space="preserve"> to 60 private sector projects </w:t>
      </w:r>
      <w:r w:rsidR="00AF4AE0">
        <w:t>and was</w:t>
      </w:r>
      <w:r w:rsidR="00AF4AE0" w:rsidRPr="00D543D1">
        <w:t xml:space="preserve"> </w:t>
      </w:r>
      <w:r w:rsidR="00AF4AE0">
        <w:t xml:space="preserve">expected to </w:t>
      </w:r>
      <w:r w:rsidR="00AF4AE0" w:rsidRPr="00D543D1">
        <w:t>mobilize an additional USD 17.5 billion</w:t>
      </w:r>
      <w:r w:rsidR="00AF4AE0">
        <w:t>,</w:t>
      </w:r>
      <w:r w:rsidR="00AF4AE0" w:rsidRPr="00D543D1">
        <w:t xml:space="preserve"> of which USD 1.6 billion in private equity</w:t>
      </w:r>
      <w:r w:rsidR="00AF4AE0" w:rsidRPr="00D543D1" w:rsidDel="00904503">
        <w:t xml:space="preserve"> </w:t>
      </w:r>
      <w:r w:rsidR="00AF4AE0" w:rsidRPr="00B27593">
        <w:t xml:space="preserve">mobilizing </w:t>
      </w:r>
      <w:r w:rsidR="00AF4AE0">
        <w:t>five and a half</w:t>
      </w:r>
      <w:r w:rsidR="00AF4AE0" w:rsidRPr="00B27593">
        <w:t xml:space="preserve"> times the Fund</w:t>
      </w:r>
      <w:r w:rsidR="00AF4AE0">
        <w:t>’</w:t>
      </w:r>
      <w:r w:rsidR="00AF4AE0" w:rsidRPr="00B27593">
        <w:t>s capital at the fund level and at least an equal amount at the downstream portfolio investment level, with each Green Climate Fund dollar to the private sector in some mitigation sectors expected to mobilize six times the committed capital at the fund level</w:t>
      </w:r>
      <w:r w:rsidR="00AF4AE0">
        <w:rPr>
          <w:lang w:val="en-US"/>
        </w:rPr>
        <w:t>;</w:t>
      </w:r>
    </w:p>
    <w:p w14:paraId="78046636" w14:textId="4B0DE72F" w:rsidR="00AF4AE0" w:rsidRPr="008525AC" w:rsidRDefault="00BD5DB4" w:rsidP="00BD5DB4">
      <w:pPr>
        <w:pStyle w:val="RegSingleTxtG2"/>
        <w:numPr>
          <w:ilvl w:val="0"/>
          <w:numId w:val="0"/>
        </w:numPr>
        <w:ind w:left="1134" w:firstLine="567"/>
        <w:rPr>
          <w:lang w:val="en-US"/>
        </w:rPr>
      </w:pPr>
      <w:r w:rsidRPr="008525AC">
        <w:rPr>
          <w:szCs w:val="28"/>
          <w:lang w:val="en-US"/>
        </w:rPr>
        <w:t>(g)</w:t>
      </w:r>
      <w:r w:rsidRPr="008525AC">
        <w:rPr>
          <w:szCs w:val="28"/>
          <w:lang w:val="en-US"/>
        </w:rPr>
        <w:tab/>
      </w:r>
      <w:r w:rsidR="00AF4AE0">
        <w:t>The Board’s ongoing implementation of the Strategic Plan for the Green Climate Fund 2024–2027,</w:t>
      </w:r>
      <w:r w:rsidR="00AF4AE0">
        <w:rPr>
          <w:rStyle w:val="FootnoteReference"/>
        </w:rPr>
        <w:footnoteReference w:id="18"/>
      </w:r>
      <w:r w:rsidR="00AF4AE0">
        <w:t xml:space="preserve"> which includes making efforts to enhance access to climate finance for developing countries and accelerating the provision of support to developing countries </w:t>
      </w:r>
      <w:r w:rsidR="00AF4AE0" w:rsidRPr="001A3916">
        <w:t xml:space="preserve">with a view to maximizing </w:t>
      </w:r>
      <w:r w:rsidR="00AF4AE0">
        <w:t xml:space="preserve">the </w:t>
      </w:r>
      <w:r w:rsidR="00AF4AE0" w:rsidRPr="001A3916">
        <w:t>impact</w:t>
      </w:r>
      <w:r w:rsidR="00AF4AE0">
        <w:t>;</w:t>
      </w:r>
    </w:p>
    <w:p w14:paraId="5BD217F5" w14:textId="01343625" w:rsidR="00AF4AE0" w:rsidRDefault="00BD5DB4" w:rsidP="00BD5DB4">
      <w:pPr>
        <w:pStyle w:val="RegSingleTxtG2"/>
        <w:numPr>
          <w:ilvl w:val="0"/>
          <w:numId w:val="0"/>
        </w:numPr>
        <w:ind w:left="1134" w:firstLine="567"/>
        <w:rPr>
          <w:lang w:val="en-US"/>
        </w:rPr>
      </w:pPr>
      <w:r>
        <w:rPr>
          <w:szCs w:val="28"/>
          <w:lang w:val="en-US"/>
        </w:rPr>
        <w:t>(h)</w:t>
      </w:r>
      <w:r>
        <w:rPr>
          <w:szCs w:val="28"/>
          <w:lang w:val="en-US"/>
        </w:rPr>
        <w:tab/>
      </w:r>
      <w:r w:rsidR="00AF4AE0">
        <w:rPr>
          <w:lang w:val="en-US"/>
        </w:rPr>
        <w:t>T</w:t>
      </w:r>
      <w:r w:rsidR="00AF4AE0" w:rsidRPr="0010717E">
        <w:rPr>
          <w:lang w:val="en-US"/>
        </w:rPr>
        <w:t xml:space="preserve">he </w:t>
      </w:r>
      <w:r w:rsidR="00AF4AE0">
        <w:rPr>
          <w:lang w:val="en-US"/>
        </w:rPr>
        <w:t xml:space="preserve">ongoing efforts of the Green Climate Fund, in </w:t>
      </w:r>
      <w:r w:rsidR="00AF4AE0" w:rsidRPr="0010717E">
        <w:rPr>
          <w:lang w:val="en-US"/>
        </w:rPr>
        <w:t xml:space="preserve">collaboration with the Global Environment Facility, the Adaptation Fund </w:t>
      </w:r>
      <w:r w:rsidR="00AF4AE0" w:rsidRPr="0064135B">
        <w:rPr>
          <w:lang w:val="en-US"/>
        </w:rPr>
        <w:t>and the Climate Investment Funds</w:t>
      </w:r>
      <w:r w:rsidR="00AF4AE0">
        <w:rPr>
          <w:lang w:val="en-US"/>
        </w:rPr>
        <w:t>,</w:t>
      </w:r>
      <w:r w:rsidR="00AF4AE0" w:rsidRPr="0064135B">
        <w:rPr>
          <w:lang w:val="en-US"/>
        </w:rPr>
        <w:t xml:space="preserve"> </w:t>
      </w:r>
      <w:r w:rsidR="00AF4AE0" w:rsidRPr="0010717E">
        <w:rPr>
          <w:lang w:val="en-US"/>
        </w:rPr>
        <w:t xml:space="preserve">to </w:t>
      </w:r>
      <w:r w:rsidR="00AF4AE0" w:rsidRPr="0010717E">
        <w:rPr>
          <w:lang w:val="en-US"/>
        </w:rPr>
        <w:lastRenderedPageBreak/>
        <w:t>enhanc</w:t>
      </w:r>
      <w:r w:rsidR="00AF4AE0">
        <w:rPr>
          <w:lang w:val="en-US"/>
        </w:rPr>
        <w:t>e</w:t>
      </w:r>
      <w:r w:rsidR="00AF4AE0" w:rsidRPr="0010717E">
        <w:rPr>
          <w:lang w:val="en-US"/>
        </w:rPr>
        <w:t xml:space="preserve"> access to climate finance</w:t>
      </w:r>
      <w:r w:rsidR="00AF4AE0">
        <w:rPr>
          <w:lang w:val="en-US"/>
        </w:rPr>
        <w:t xml:space="preserve"> in line with paragraph </w:t>
      </w:r>
      <w:r w:rsidR="00AF4AE0" w:rsidRPr="00E1396A">
        <w:rPr>
          <w:lang w:val="en-US"/>
        </w:rPr>
        <w:t>5</w:t>
      </w:r>
      <w:r w:rsidR="00AF4AE0">
        <w:rPr>
          <w:lang w:val="en-US"/>
        </w:rPr>
        <w:t xml:space="preserve"> below with a view to</w:t>
      </w:r>
      <w:r w:rsidR="00AF4AE0" w:rsidRPr="0010717E">
        <w:rPr>
          <w:lang w:val="en-US"/>
        </w:rPr>
        <w:t xml:space="preserve"> </w:t>
      </w:r>
      <w:r w:rsidR="00AF4AE0" w:rsidRPr="0064135B">
        <w:rPr>
          <w:lang w:val="en-US"/>
        </w:rPr>
        <w:t xml:space="preserve">scaling </w:t>
      </w:r>
      <w:r w:rsidR="00AF4AE0">
        <w:rPr>
          <w:lang w:val="en-US"/>
        </w:rPr>
        <w:t xml:space="preserve">up </w:t>
      </w:r>
      <w:r w:rsidR="00AF4AE0" w:rsidRPr="0064135B">
        <w:rPr>
          <w:lang w:val="en-US"/>
        </w:rPr>
        <w:t>successful projects</w:t>
      </w:r>
      <w:r w:rsidR="00AF4AE0">
        <w:rPr>
          <w:lang w:val="en-US"/>
        </w:rPr>
        <w:t xml:space="preserve">, </w:t>
      </w:r>
      <w:r w:rsidR="00AF4AE0" w:rsidRPr="0010717E">
        <w:rPr>
          <w:lang w:val="en-US"/>
        </w:rPr>
        <w:t xml:space="preserve">maximizing </w:t>
      </w:r>
      <w:r w:rsidR="00AF4AE0">
        <w:rPr>
          <w:lang w:val="en-US"/>
        </w:rPr>
        <w:t xml:space="preserve">their </w:t>
      </w:r>
      <w:r w:rsidR="00AF4AE0" w:rsidRPr="0010717E">
        <w:rPr>
          <w:lang w:val="en-US"/>
        </w:rPr>
        <w:t>impact and strengthening coherence</w:t>
      </w:r>
      <w:r w:rsidR="00AF4AE0">
        <w:rPr>
          <w:lang w:val="en-US"/>
        </w:rPr>
        <w:t>;</w:t>
      </w:r>
    </w:p>
    <w:p w14:paraId="25EDF30A" w14:textId="1F545456" w:rsidR="00AF4AE0" w:rsidRDefault="00BD5DB4" w:rsidP="00BD5DB4">
      <w:pPr>
        <w:pStyle w:val="RegSingleTxtG2"/>
        <w:numPr>
          <w:ilvl w:val="0"/>
          <w:numId w:val="0"/>
        </w:numPr>
        <w:ind w:left="1134" w:firstLine="567"/>
        <w:rPr>
          <w:lang w:val="en-US"/>
        </w:rPr>
      </w:pPr>
      <w:r>
        <w:rPr>
          <w:szCs w:val="28"/>
          <w:lang w:val="en-US"/>
        </w:rPr>
        <w:t>(i)</w:t>
      </w:r>
      <w:r>
        <w:rPr>
          <w:szCs w:val="28"/>
          <w:lang w:val="en-US"/>
        </w:rPr>
        <w:tab/>
      </w:r>
      <w:r w:rsidR="00AF4AE0">
        <w:rPr>
          <w:lang w:val="en-US"/>
        </w:rPr>
        <w:t>T</w:t>
      </w:r>
      <w:r w:rsidR="00AF4AE0" w:rsidRPr="00862489">
        <w:rPr>
          <w:lang w:val="en-US"/>
        </w:rPr>
        <w:t xml:space="preserve">he Board’s </w:t>
      </w:r>
      <w:r w:rsidR="00AF4AE0">
        <w:rPr>
          <w:lang w:val="en-US"/>
        </w:rPr>
        <w:t xml:space="preserve">focus on </w:t>
      </w:r>
      <w:r w:rsidR="00AF4AE0" w:rsidRPr="00862489">
        <w:rPr>
          <w:lang w:val="en-US"/>
        </w:rPr>
        <w:t>the accreditation of direct access entities, particularly national and regional entities in underserved countries and regions, in line with the Strategic Plan for the Green Climate Fund 2024–2027</w:t>
      </w:r>
      <w:r w:rsidR="00AF4AE0">
        <w:rPr>
          <w:lang w:val="en-US"/>
        </w:rPr>
        <w:t>;</w:t>
      </w:r>
    </w:p>
    <w:p w14:paraId="349182BA" w14:textId="6B8D1B11" w:rsidR="00AF4AE0" w:rsidRDefault="00BD5DB4" w:rsidP="00BD5DB4">
      <w:pPr>
        <w:pStyle w:val="RegSingleTxtG2"/>
        <w:numPr>
          <w:ilvl w:val="0"/>
          <w:numId w:val="0"/>
        </w:numPr>
        <w:ind w:left="1134" w:firstLine="567"/>
        <w:rPr>
          <w:lang w:val="en-US"/>
        </w:rPr>
      </w:pPr>
      <w:r>
        <w:rPr>
          <w:szCs w:val="28"/>
          <w:lang w:val="en-US"/>
        </w:rPr>
        <w:t>(j)</w:t>
      </w:r>
      <w:r>
        <w:rPr>
          <w:szCs w:val="28"/>
          <w:lang w:val="en-US"/>
        </w:rPr>
        <w:tab/>
      </w:r>
      <w:r w:rsidR="00AF4AE0">
        <w:rPr>
          <w:lang w:val="en-US"/>
        </w:rPr>
        <w:t>T</w:t>
      </w:r>
      <w:r w:rsidR="00AF4AE0" w:rsidRPr="004A6D41">
        <w:rPr>
          <w:lang w:val="en-US"/>
        </w:rPr>
        <w:t>he enhanced efficiency measures of the Green Climate Fund for the approval of readiness grants, including its support for the formulation of national adaptation plans and other adaptation planning processes</w:t>
      </w:r>
      <w:r w:rsidR="00AF4AE0">
        <w:rPr>
          <w:lang w:val="en-US"/>
        </w:rPr>
        <w:t>;</w:t>
      </w:r>
    </w:p>
    <w:p w14:paraId="4D50E6F9" w14:textId="485E7A78" w:rsidR="00AF4AE0" w:rsidRDefault="00BD5DB4" w:rsidP="00BD5DB4">
      <w:pPr>
        <w:pStyle w:val="RegSingleTxtG2"/>
        <w:numPr>
          <w:ilvl w:val="0"/>
          <w:numId w:val="0"/>
        </w:numPr>
        <w:ind w:left="1134" w:firstLine="567"/>
        <w:rPr>
          <w:lang w:val="en-US"/>
        </w:rPr>
      </w:pPr>
      <w:r>
        <w:rPr>
          <w:szCs w:val="28"/>
          <w:lang w:val="en-US"/>
        </w:rPr>
        <w:t>(k)</w:t>
      </w:r>
      <w:r>
        <w:rPr>
          <w:szCs w:val="28"/>
          <w:lang w:val="en-US"/>
        </w:rPr>
        <w:tab/>
      </w:r>
      <w:r w:rsidR="00AF4AE0">
        <w:rPr>
          <w:lang w:val="en-US"/>
        </w:rPr>
        <w:t>T</w:t>
      </w:r>
      <w:r w:rsidR="00AF4AE0" w:rsidRPr="007A7513">
        <w:rPr>
          <w:lang w:val="en-US"/>
        </w:rPr>
        <w:t xml:space="preserve">he work of the Indigenous Peoples Advisory Group in enhancing support </w:t>
      </w:r>
      <w:r w:rsidR="00AF4AE0">
        <w:rPr>
          <w:lang w:val="en-US"/>
        </w:rPr>
        <w:t xml:space="preserve">and inclusivity </w:t>
      </w:r>
      <w:r w:rsidR="00AF4AE0" w:rsidRPr="007A7513">
        <w:rPr>
          <w:lang w:val="en-US"/>
        </w:rPr>
        <w:t>within Green Climate Fund operations, including through improved channels of engagement</w:t>
      </w:r>
      <w:r w:rsidR="00AF4AE0">
        <w:rPr>
          <w:lang w:val="en-US"/>
        </w:rPr>
        <w:t>;</w:t>
      </w:r>
    </w:p>
    <w:p w14:paraId="33B9AA49" w14:textId="061E02CF" w:rsidR="00AF4AE0" w:rsidRDefault="00BD5DB4" w:rsidP="00BD5DB4">
      <w:pPr>
        <w:pStyle w:val="RegSingleTxtG2"/>
        <w:numPr>
          <w:ilvl w:val="0"/>
          <w:numId w:val="0"/>
        </w:numPr>
        <w:ind w:left="1134" w:firstLine="567"/>
        <w:rPr>
          <w:lang w:val="en-US"/>
        </w:rPr>
      </w:pPr>
      <w:r>
        <w:rPr>
          <w:szCs w:val="28"/>
          <w:lang w:val="en-US"/>
        </w:rPr>
        <w:t>(l)</w:t>
      </w:r>
      <w:r>
        <w:rPr>
          <w:szCs w:val="28"/>
          <w:lang w:val="en-US"/>
        </w:rPr>
        <w:tab/>
      </w:r>
      <w:r w:rsidR="00AF4AE0" w:rsidRPr="006D043D">
        <w:rPr>
          <w:lang w:val="en-US"/>
        </w:rPr>
        <w:t xml:space="preserve">The progress of the Green Climate Fund in attracting </w:t>
      </w:r>
      <w:r w:rsidR="00AF4AE0">
        <w:rPr>
          <w:lang w:val="en-US"/>
        </w:rPr>
        <w:t>and</w:t>
      </w:r>
      <w:r w:rsidR="00AF4AE0" w:rsidRPr="006D043D">
        <w:rPr>
          <w:lang w:val="en-US"/>
        </w:rPr>
        <w:t xml:space="preserve"> mobilizing private sector investment as a means of leveraging and enhancing the impact and reach of climate finance in developing countries</w:t>
      </w:r>
      <w:r w:rsidR="00AF4AE0">
        <w:rPr>
          <w:lang w:val="en-US"/>
        </w:rPr>
        <w:t>;</w:t>
      </w:r>
    </w:p>
    <w:p w14:paraId="74C68576" w14:textId="7C9BF54A" w:rsidR="00AF4AE0" w:rsidRPr="00A7119E" w:rsidRDefault="00BD5DB4" w:rsidP="00BD5DB4">
      <w:pPr>
        <w:pStyle w:val="RegSingleTxtG2"/>
        <w:numPr>
          <w:ilvl w:val="0"/>
          <w:numId w:val="0"/>
        </w:numPr>
        <w:ind w:left="1134" w:firstLine="567"/>
        <w:rPr>
          <w:lang w:val="en-US"/>
        </w:rPr>
      </w:pPr>
      <w:r w:rsidRPr="00A7119E">
        <w:rPr>
          <w:szCs w:val="28"/>
          <w:lang w:val="en-US"/>
        </w:rPr>
        <w:t>(m)</w:t>
      </w:r>
      <w:r w:rsidRPr="00A7119E">
        <w:rPr>
          <w:szCs w:val="28"/>
          <w:lang w:val="en-US"/>
        </w:rPr>
        <w:tab/>
      </w:r>
      <w:r w:rsidR="00AF4AE0">
        <w:rPr>
          <w:lang w:val="en-US"/>
        </w:rPr>
        <w:t>The ongoing efforts of the Green Climate Fund to enhance its regional engagement, including by exploring regional presence in all developing country regions;</w:t>
      </w:r>
    </w:p>
    <w:p w14:paraId="7EFB02FD" w14:textId="1BF0B6A7" w:rsidR="00AF4AE0" w:rsidRPr="0014216D" w:rsidRDefault="00BD5DB4" w:rsidP="00BD5DB4">
      <w:pPr>
        <w:pStyle w:val="RegSingleTxtG"/>
        <w:numPr>
          <w:ilvl w:val="0"/>
          <w:numId w:val="0"/>
        </w:numPr>
        <w:spacing w:before="120"/>
        <w:ind w:left="1134"/>
      </w:pPr>
      <w:r w:rsidRPr="0014216D">
        <w:t>4.</w:t>
      </w:r>
      <w:r w:rsidRPr="0014216D">
        <w:tab/>
      </w:r>
      <w:r w:rsidR="00AF4AE0">
        <w:rPr>
          <w:i/>
          <w:iCs/>
        </w:rPr>
        <w:t>Notes</w:t>
      </w:r>
      <w:r w:rsidR="00AF4AE0" w:rsidRPr="00F8602A">
        <w:t xml:space="preserve"> the </w:t>
      </w:r>
      <w:r w:rsidR="00AF4AE0">
        <w:t>vision</w:t>
      </w:r>
      <w:r w:rsidR="00AF4AE0" w:rsidRPr="00F8602A">
        <w:t xml:space="preserve"> announced by the Executive Director of the </w:t>
      </w:r>
      <w:r w:rsidR="00AF4AE0">
        <w:t xml:space="preserve">Green Climate </w:t>
      </w:r>
      <w:r w:rsidR="00AF4AE0" w:rsidRPr="00F8602A">
        <w:t xml:space="preserve">Fund </w:t>
      </w:r>
      <w:r w:rsidR="00AF4AE0">
        <w:t xml:space="preserve">for the Fund to be </w:t>
      </w:r>
      <w:r w:rsidR="00AF4AE0" w:rsidRPr="003F5067">
        <w:t xml:space="preserve">able to efficiently manage </w:t>
      </w:r>
      <w:r w:rsidR="00AF4AE0" w:rsidRPr="00F8602A">
        <w:t xml:space="preserve">USD 50 billion </w:t>
      </w:r>
      <w:r w:rsidR="00AF4AE0">
        <w:t xml:space="preserve">in capital </w:t>
      </w:r>
      <w:r w:rsidR="00AF4AE0" w:rsidRPr="00F8602A">
        <w:t>by 2030</w:t>
      </w:r>
      <w:r w:rsidR="00AF4AE0" w:rsidRPr="0014216D">
        <w:t>;</w:t>
      </w:r>
    </w:p>
    <w:p w14:paraId="7EAE9F50" w14:textId="2636B5FF" w:rsidR="00AF4AE0" w:rsidRDefault="00BD5DB4" w:rsidP="00BD5DB4">
      <w:pPr>
        <w:pStyle w:val="RegSingleTxtG"/>
        <w:numPr>
          <w:ilvl w:val="0"/>
          <w:numId w:val="0"/>
        </w:numPr>
        <w:ind w:left="1134"/>
        <w:rPr>
          <w:lang w:val="en-US"/>
        </w:rPr>
      </w:pPr>
      <w:r>
        <w:rPr>
          <w:lang w:val="en-US"/>
        </w:rPr>
        <w:t>5.</w:t>
      </w:r>
      <w:r>
        <w:rPr>
          <w:lang w:val="en-US"/>
        </w:rPr>
        <w:tab/>
      </w:r>
      <w:r w:rsidR="00AF4AE0">
        <w:rPr>
          <w:i/>
          <w:iCs/>
          <w:lang w:val="en-US"/>
        </w:rPr>
        <w:t>Invites</w:t>
      </w:r>
      <w:r w:rsidR="00AF4AE0" w:rsidRPr="00B72732">
        <w:rPr>
          <w:lang w:val="en-US"/>
        </w:rPr>
        <w:t xml:space="preserve"> the Board to ensure that </w:t>
      </w:r>
      <w:r w:rsidR="00AF4AE0">
        <w:rPr>
          <w:lang w:val="en-US"/>
        </w:rPr>
        <w:t xml:space="preserve">efforts to enhance </w:t>
      </w:r>
      <w:r w:rsidR="00AF4AE0" w:rsidRPr="00B72732">
        <w:rPr>
          <w:lang w:val="en-US"/>
        </w:rPr>
        <w:t xml:space="preserve">coherence and complementarity do not restrict </w:t>
      </w:r>
      <w:r w:rsidR="00AF4AE0">
        <w:rPr>
          <w:lang w:val="en-US"/>
        </w:rPr>
        <w:t xml:space="preserve">the </w:t>
      </w:r>
      <w:r w:rsidR="00AF4AE0" w:rsidRPr="00B72732">
        <w:rPr>
          <w:lang w:val="en-US"/>
        </w:rPr>
        <w:t xml:space="preserve">access </w:t>
      </w:r>
      <w:r w:rsidR="00AF4AE0">
        <w:rPr>
          <w:lang w:val="en-US"/>
        </w:rPr>
        <w:t xml:space="preserve">of </w:t>
      </w:r>
      <w:r w:rsidR="00AF4AE0" w:rsidRPr="00BE2BB6">
        <w:rPr>
          <w:lang w:val="en-US"/>
        </w:rPr>
        <w:t xml:space="preserve">developing countries </w:t>
      </w:r>
      <w:r w:rsidR="00AF4AE0" w:rsidRPr="00B72732">
        <w:rPr>
          <w:lang w:val="en-US"/>
        </w:rPr>
        <w:t xml:space="preserve">to resources or reduce </w:t>
      </w:r>
      <w:r w:rsidR="00AF4AE0">
        <w:rPr>
          <w:lang w:val="en-US"/>
        </w:rPr>
        <w:t xml:space="preserve">the </w:t>
      </w:r>
      <w:r w:rsidR="00AF4AE0" w:rsidRPr="00B72732">
        <w:rPr>
          <w:lang w:val="en-US"/>
        </w:rPr>
        <w:t xml:space="preserve">finance available to </w:t>
      </w:r>
      <w:r w:rsidR="00AF4AE0">
        <w:rPr>
          <w:lang w:val="en-US"/>
        </w:rPr>
        <w:t>them;</w:t>
      </w:r>
    </w:p>
    <w:p w14:paraId="0C22C690" w14:textId="40086515" w:rsidR="00AF4AE0" w:rsidRPr="00EE2D4D" w:rsidRDefault="00BD5DB4" w:rsidP="00BD5DB4">
      <w:pPr>
        <w:pStyle w:val="RegSingleTxtG"/>
        <w:numPr>
          <w:ilvl w:val="0"/>
          <w:numId w:val="0"/>
        </w:numPr>
        <w:ind w:left="1134"/>
        <w:rPr>
          <w:lang w:val="en-US"/>
        </w:rPr>
      </w:pPr>
      <w:bookmarkStart w:id="8" w:name="_Hlk183087251"/>
      <w:r w:rsidRPr="00EE2D4D">
        <w:rPr>
          <w:lang w:val="en-US"/>
        </w:rPr>
        <w:t>6.</w:t>
      </w:r>
      <w:r w:rsidRPr="00EE2D4D">
        <w:rPr>
          <w:lang w:val="en-US"/>
        </w:rPr>
        <w:tab/>
      </w:r>
      <w:r w:rsidR="00AF4AE0" w:rsidRPr="0064135B">
        <w:rPr>
          <w:i/>
          <w:iCs/>
          <w:lang w:val="en-US"/>
        </w:rPr>
        <w:t>Requests</w:t>
      </w:r>
      <w:r w:rsidR="00AF4AE0">
        <w:rPr>
          <w:lang w:val="en-US"/>
        </w:rPr>
        <w:t xml:space="preserve"> the Board to continue to streamline and simplify access to funding by reducing median times taken during the second replenishment of the Green Climate Fund to process accreditation, readiness, and </w:t>
      </w:r>
      <w:r w:rsidR="00AF4AE0" w:rsidRPr="003120C0">
        <w:rPr>
          <w:lang w:val="en-US"/>
        </w:rPr>
        <w:t xml:space="preserve">standard </w:t>
      </w:r>
      <w:r w:rsidR="00AF4AE0" w:rsidRPr="003120C0" w:rsidDel="0003654D">
        <w:rPr>
          <w:lang w:val="en-US"/>
        </w:rPr>
        <w:t xml:space="preserve">proposal </w:t>
      </w:r>
      <w:r w:rsidR="00AF4AE0" w:rsidRPr="003120C0">
        <w:rPr>
          <w:lang w:val="en-US"/>
        </w:rPr>
        <w:t xml:space="preserve">approval process </w:t>
      </w:r>
      <w:r w:rsidR="00AF4AE0">
        <w:rPr>
          <w:lang w:val="en-US"/>
        </w:rPr>
        <w:t xml:space="preserve">and </w:t>
      </w:r>
      <w:r w:rsidR="00AF4AE0" w:rsidRPr="00AC0BF1">
        <w:rPr>
          <w:lang w:val="en-US"/>
        </w:rPr>
        <w:t xml:space="preserve">simplified approval process </w:t>
      </w:r>
      <w:r w:rsidR="00AF4AE0">
        <w:rPr>
          <w:lang w:val="en-US"/>
        </w:rPr>
        <w:t xml:space="preserve">proposals from review to first disbursement, relative to the first replenishment, with an emphasis on reducing processing time for funding proposals in line with </w:t>
      </w:r>
      <w:bookmarkEnd w:id="8"/>
      <w:r w:rsidR="00AF4AE0">
        <w:rPr>
          <w:lang w:val="en-US"/>
        </w:rPr>
        <w:t xml:space="preserve">the </w:t>
      </w:r>
      <w:r w:rsidR="00AF4AE0" w:rsidRPr="00A20163">
        <w:rPr>
          <w:lang w:val="en-US"/>
        </w:rPr>
        <w:t>Strategic Plan for the Green Climate Fund 2024–2027</w:t>
      </w:r>
      <w:r w:rsidR="00AF4AE0">
        <w:rPr>
          <w:lang w:val="en-US"/>
        </w:rPr>
        <w:t>;</w:t>
      </w:r>
    </w:p>
    <w:p w14:paraId="2D283797" w14:textId="7103F62F" w:rsidR="00AF4AE0" w:rsidRPr="00A20163" w:rsidRDefault="00BD5DB4" w:rsidP="00BD5DB4">
      <w:pPr>
        <w:pStyle w:val="RegSingleTxtG"/>
        <w:numPr>
          <w:ilvl w:val="0"/>
          <w:numId w:val="0"/>
        </w:numPr>
        <w:ind w:left="1134"/>
        <w:rPr>
          <w:lang w:val="en-US"/>
        </w:rPr>
      </w:pPr>
      <w:r w:rsidRPr="00A20163">
        <w:rPr>
          <w:lang w:val="en-US"/>
        </w:rPr>
        <w:t>7.</w:t>
      </w:r>
      <w:r w:rsidRPr="00A20163">
        <w:rPr>
          <w:lang w:val="en-US"/>
        </w:rPr>
        <w:tab/>
      </w:r>
      <w:r w:rsidR="00AF4AE0">
        <w:rPr>
          <w:i/>
          <w:iCs/>
          <w:lang w:val="en-US"/>
        </w:rPr>
        <w:t>Also r</w:t>
      </w:r>
      <w:r w:rsidR="00AF4AE0" w:rsidRPr="00795673">
        <w:rPr>
          <w:i/>
          <w:iCs/>
          <w:lang w:val="en-US"/>
        </w:rPr>
        <w:t>equests</w:t>
      </w:r>
      <w:r w:rsidR="00AF4AE0" w:rsidRPr="00894DDE">
        <w:rPr>
          <w:lang w:val="en-US"/>
        </w:rPr>
        <w:t xml:space="preserve"> the Board to continue considering ways to better serve different regions</w:t>
      </w:r>
      <w:r w:rsidR="00AF4AE0">
        <w:rPr>
          <w:lang w:val="en-US"/>
        </w:rPr>
        <w:t xml:space="preserve"> in a geographically balanced manner, including by exploring regional presence in all developing country regions in line with the Governing Instrument for the Green Climate Fund</w:t>
      </w:r>
      <w:r w:rsidR="00AF4AE0" w:rsidRPr="00A20163">
        <w:rPr>
          <w:lang w:val="en-US"/>
        </w:rPr>
        <w:t>;</w:t>
      </w:r>
      <w:r w:rsidR="00AF4AE0">
        <w:rPr>
          <w:rStyle w:val="FootnoteReference"/>
          <w:lang w:val="en-US"/>
        </w:rPr>
        <w:footnoteReference w:id="19"/>
      </w:r>
    </w:p>
    <w:p w14:paraId="7AE954F3" w14:textId="25DED7A7" w:rsidR="00AF4AE0" w:rsidRPr="00464102" w:rsidRDefault="00BD5DB4" w:rsidP="00BD5DB4">
      <w:pPr>
        <w:pStyle w:val="RegSingleTxtG"/>
        <w:numPr>
          <w:ilvl w:val="0"/>
          <w:numId w:val="0"/>
        </w:numPr>
        <w:ind w:left="1134"/>
        <w:rPr>
          <w:lang w:val="en-US"/>
        </w:rPr>
      </w:pPr>
      <w:r w:rsidRPr="00464102">
        <w:rPr>
          <w:lang w:val="en-US"/>
        </w:rPr>
        <w:t>8.</w:t>
      </w:r>
      <w:r w:rsidRPr="00464102">
        <w:rPr>
          <w:lang w:val="en-US"/>
        </w:rPr>
        <w:tab/>
      </w:r>
      <w:r w:rsidR="00AF4AE0">
        <w:rPr>
          <w:i/>
          <w:iCs/>
          <w:lang w:val="en-US"/>
        </w:rPr>
        <w:t>Further r</w:t>
      </w:r>
      <w:r w:rsidR="00AF4AE0" w:rsidRPr="00464102">
        <w:rPr>
          <w:i/>
          <w:iCs/>
          <w:lang w:val="en-US"/>
        </w:rPr>
        <w:t xml:space="preserve">equests </w:t>
      </w:r>
      <w:r w:rsidR="00AF4AE0" w:rsidRPr="00464102">
        <w:rPr>
          <w:lang w:val="en-US"/>
        </w:rPr>
        <w:t xml:space="preserve">the Board to </w:t>
      </w:r>
      <w:r w:rsidR="00AF4AE0">
        <w:rPr>
          <w:lang w:val="en-US"/>
        </w:rPr>
        <w:t>consider taking measures to</w:t>
      </w:r>
      <w:r w:rsidR="00AF4AE0" w:rsidRPr="00464102">
        <w:rPr>
          <w:lang w:val="en-US"/>
        </w:rPr>
        <w:t xml:space="preserve"> ensure that the monitoring and accountability requirements for procedures after accreditation are </w:t>
      </w:r>
      <w:r w:rsidR="00AF4AE0">
        <w:rPr>
          <w:lang w:val="en-US"/>
        </w:rPr>
        <w:t>fit for purpose and take into account the capacity constraints of direct access entities</w:t>
      </w:r>
      <w:r w:rsidR="00AF4AE0" w:rsidRPr="00464102">
        <w:rPr>
          <w:lang w:val="en-US"/>
        </w:rPr>
        <w:t>;</w:t>
      </w:r>
    </w:p>
    <w:p w14:paraId="646CD7D9" w14:textId="5F1E3B89" w:rsidR="00AF4AE0" w:rsidRPr="00176203" w:rsidRDefault="00BD5DB4" w:rsidP="00BD5DB4">
      <w:pPr>
        <w:pStyle w:val="RegSingleTxtG"/>
        <w:numPr>
          <w:ilvl w:val="0"/>
          <w:numId w:val="0"/>
        </w:numPr>
        <w:ind w:left="1134"/>
        <w:rPr>
          <w:lang w:val="en-US"/>
        </w:rPr>
      </w:pPr>
      <w:r w:rsidRPr="00176203">
        <w:rPr>
          <w:lang w:val="en-US"/>
        </w:rPr>
        <w:t>9.</w:t>
      </w:r>
      <w:r w:rsidRPr="00176203">
        <w:rPr>
          <w:lang w:val="en-US"/>
        </w:rPr>
        <w:tab/>
      </w:r>
      <w:r w:rsidR="00AF4AE0" w:rsidRPr="007843EE">
        <w:rPr>
          <w:i/>
          <w:iCs/>
          <w:lang w:val="en-US"/>
        </w:rPr>
        <w:t>Invites</w:t>
      </w:r>
      <w:r w:rsidR="00AF4AE0">
        <w:rPr>
          <w:lang w:val="en-US"/>
        </w:rPr>
        <w:t xml:space="preserve"> </w:t>
      </w:r>
      <w:r w:rsidR="00AF4AE0" w:rsidRPr="00481A76">
        <w:rPr>
          <w:lang w:val="en-US"/>
        </w:rPr>
        <w:t xml:space="preserve">the Board to </w:t>
      </w:r>
      <w:r w:rsidR="00AF4AE0">
        <w:rPr>
          <w:lang w:val="en-US"/>
        </w:rPr>
        <w:t xml:space="preserve">consider how to </w:t>
      </w:r>
      <w:r w:rsidR="00AF4AE0" w:rsidRPr="00481A76">
        <w:rPr>
          <w:lang w:val="en-US"/>
        </w:rPr>
        <w:t>strengthen direct access</w:t>
      </w:r>
      <w:r w:rsidR="00AF4AE0">
        <w:rPr>
          <w:lang w:val="en-US"/>
        </w:rPr>
        <w:t>,</w:t>
      </w:r>
      <w:r w:rsidR="00AF4AE0" w:rsidRPr="00481A76">
        <w:rPr>
          <w:lang w:val="en-US"/>
        </w:rPr>
        <w:t xml:space="preserve"> </w:t>
      </w:r>
      <w:r w:rsidR="00AF4AE0">
        <w:rPr>
          <w:lang w:val="en-US"/>
        </w:rPr>
        <w:t xml:space="preserve">including </w:t>
      </w:r>
      <w:r w:rsidR="00AF4AE0" w:rsidRPr="00481A76">
        <w:rPr>
          <w:lang w:val="en-US"/>
        </w:rPr>
        <w:t xml:space="preserve">through tailored approaches that </w:t>
      </w:r>
      <w:r w:rsidR="00AF4AE0">
        <w:rPr>
          <w:lang w:val="en-US"/>
        </w:rPr>
        <w:t xml:space="preserve">address needs and priorities and are consistent with national institutional arrangements and </w:t>
      </w:r>
      <w:r w:rsidR="00AF4AE0" w:rsidRPr="007843EE">
        <w:rPr>
          <w:lang w:val="en-US"/>
        </w:rPr>
        <w:t xml:space="preserve">address capacity gaps </w:t>
      </w:r>
      <w:r w:rsidR="00AF4AE0">
        <w:rPr>
          <w:lang w:val="en-US"/>
        </w:rPr>
        <w:t>in</w:t>
      </w:r>
      <w:r w:rsidR="00AF4AE0" w:rsidRPr="007843EE">
        <w:rPr>
          <w:lang w:val="en-US"/>
        </w:rPr>
        <w:t xml:space="preserve"> consultation with nationally designated authorities</w:t>
      </w:r>
      <w:r w:rsidR="00AF4AE0">
        <w:rPr>
          <w:lang w:val="en-US"/>
        </w:rPr>
        <w:t>;</w:t>
      </w:r>
    </w:p>
    <w:p w14:paraId="3EA19D7D" w14:textId="1BAD36DB" w:rsidR="00AF4AE0" w:rsidRPr="0014216D" w:rsidRDefault="00BD5DB4" w:rsidP="00BD5DB4">
      <w:pPr>
        <w:pStyle w:val="RegSingleTxtG"/>
        <w:numPr>
          <w:ilvl w:val="0"/>
          <w:numId w:val="0"/>
        </w:numPr>
        <w:ind w:left="1134"/>
        <w:rPr>
          <w:lang w:val="en-US"/>
        </w:rPr>
      </w:pPr>
      <w:r w:rsidRPr="0014216D">
        <w:rPr>
          <w:lang w:val="en-US"/>
        </w:rPr>
        <w:t>10.</w:t>
      </w:r>
      <w:r w:rsidRPr="0014216D">
        <w:rPr>
          <w:lang w:val="en-US"/>
        </w:rPr>
        <w:tab/>
      </w:r>
      <w:r w:rsidR="00AF4AE0">
        <w:rPr>
          <w:i/>
          <w:iCs/>
          <w:lang w:val="en-US"/>
        </w:rPr>
        <w:t>E</w:t>
      </w:r>
      <w:r w:rsidR="00AF4AE0" w:rsidRPr="00A20163">
        <w:rPr>
          <w:i/>
          <w:iCs/>
          <w:lang w:val="en-US"/>
        </w:rPr>
        <w:t>ncourages</w:t>
      </w:r>
      <w:r w:rsidR="00AF4AE0" w:rsidRPr="00A20163">
        <w:rPr>
          <w:lang w:val="en-US"/>
        </w:rPr>
        <w:t xml:space="preserve"> the Board to continue supporting adaptation </w:t>
      </w:r>
      <w:r w:rsidR="00AF4AE0">
        <w:rPr>
          <w:lang w:val="en-US"/>
        </w:rPr>
        <w:t>action</w:t>
      </w:r>
      <w:r w:rsidR="00AF4AE0" w:rsidRPr="00A20163">
        <w:rPr>
          <w:lang w:val="en-US"/>
        </w:rPr>
        <w:t xml:space="preserve">, including the implementation of </w:t>
      </w:r>
      <w:r w:rsidR="00AF4AE0">
        <w:rPr>
          <w:lang w:val="en-US"/>
        </w:rPr>
        <w:t>n</w:t>
      </w:r>
      <w:r w:rsidR="00AF4AE0" w:rsidRPr="00A20163">
        <w:rPr>
          <w:lang w:val="en-US"/>
        </w:rPr>
        <w:t xml:space="preserve">ational </w:t>
      </w:r>
      <w:r w:rsidR="00AF4AE0">
        <w:rPr>
          <w:lang w:val="en-US"/>
        </w:rPr>
        <w:t>a</w:t>
      </w:r>
      <w:r w:rsidR="00AF4AE0" w:rsidRPr="00A20163">
        <w:rPr>
          <w:lang w:val="en-US"/>
        </w:rPr>
        <w:t xml:space="preserve">daptation </w:t>
      </w:r>
      <w:r w:rsidR="00AF4AE0">
        <w:rPr>
          <w:lang w:val="en-US"/>
        </w:rPr>
        <w:t>p</w:t>
      </w:r>
      <w:r w:rsidR="00AF4AE0" w:rsidRPr="00A20163">
        <w:rPr>
          <w:lang w:val="en-US"/>
        </w:rPr>
        <w:t xml:space="preserve">lans and the projects, policies and programmes identified </w:t>
      </w:r>
      <w:r w:rsidR="00AF4AE0">
        <w:rPr>
          <w:lang w:val="en-US"/>
        </w:rPr>
        <w:t>therein</w:t>
      </w:r>
      <w:r w:rsidR="00AF4AE0" w:rsidRPr="00A20163">
        <w:rPr>
          <w:lang w:val="en-US"/>
        </w:rPr>
        <w:t xml:space="preserve">, in line </w:t>
      </w:r>
      <w:r w:rsidR="00AF4AE0">
        <w:rPr>
          <w:lang w:val="en-US"/>
        </w:rPr>
        <w:t>with</w:t>
      </w:r>
      <w:r w:rsidR="00AF4AE0" w:rsidRPr="00A20163">
        <w:rPr>
          <w:lang w:val="en-US"/>
        </w:rPr>
        <w:t xml:space="preserve"> the Strategic Plan for the Green Climate Fund 2024–2027</w:t>
      </w:r>
      <w:r w:rsidR="00AF4AE0" w:rsidRPr="0014216D">
        <w:rPr>
          <w:lang w:val="en-US"/>
        </w:rPr>
        <w:t>;</w:t>
      </w:r>
    </w:p>
    <w:p w14:paraId="59238F56" w14:textId="25D5F1E2" w:rsidR="00AF4AE0" w:rsidRPr="0014216D" w:rsidRDefault="00BD5DB4" w:rsidP="00BD5DB4">
      <w:pPr>
        <w:pStyle w:val="RegSingleTxtG"/>
        <w:numPr>
          <w:ilvl w:val="0"/>
          <w:numId w:val="0"/>
        </w:numPr>
        <w:ind w:left="1134"/>
        <w:rPr>
          <w:lang w:val="en-US"/>
        </w:rPr>
      </w:pPr>
      <w:r w:rsidRPr="0014216D">
        <w:rPr>
          <w:lang w:val="en-US"/>
        </w:rPr>
        <w:t>11.</w:t>
      </w:r>
      <w:r w:rsidRPr="0014216D">
        <w:rPr>
          <w:lang w:val="en-US"/>
        </w:rPr>
        <w:tab/>
      </w:r>
      <w:r w:rsidR="00AF4AE0" w:rsidRPr="00877662">
        <w:rPr>
          <w:i/>
          <w:iCs/>
          <w:lang w:val="en-US"/>
        </w:rPr>
        <w:t>Urges</w:t>
      </w:r>
      <w:r w:rsidR="00AF4AE0" w:rsidRPr="00877662">
        <w:rPr>
          <w:lang w:val="en-US"/>
        </w:rPr>
        <w:t xml:space="preserve"> the Board to </w:t>
      </w:r>
      <w:r w:rsidR="00AF4AE0">
        <w:rPr>
          <w:lang w:val="en-US"/>
        </w:rPr>
        <w:t xml:space="preserve">continue </w:t>
      </w:r>
      <w:r w:rsidR="00AF4AE0" w:rsidRPr="00877662">
        <w:rPr>
          <w:lang w:val="en-US"/>
        </w:rPr>
        <w:t>strengthen</w:t>
      </w:r>
      <w:r w:rsidR="00AF4AE0">
        <w:rPr>
          <w:lang w:val="en-US"/>
        </w:rPr>
        <w:t>ing</w:t>
      </w:r>
      <w:r w:rsidR="00AF4AE0" w:rsidRPr="00877662">
        <w:rPr>
          <w:lang w:val="en-US"/>
        </w:rPr>
        <w:t xml:space="preserve"> efforts to maintain </w:t>
      </w:r>
      <w:r w:rsidR="00AF4AE0">
        <w:rPr>
          <w:lang w:val="en-US"/>
        </w:rPr>
        <w:t>a</w:t>
      </w:r>
      <w:r w:rsidR="00AF4AE0" w:rsidRPr="00877662">
        <w:rPr>
          <w:lang w:val="en-US"/>
        </w:rPr>
        <w:t xml:space="preserve"> balance </w:t>
      </w:r>
      <w:r w:rsidR="00AF4AE0">
        <w:rPr>
          <w:lang w:val="en-US"/>
        </w:rPr>
        <w:t xml:space="preserve">between funding for </w:t>
      </w:r>
      <w:r w:rsidR="00AF4AE0" w:rsidRPr="00877662">
        <w:rPr>
          <w:lang w:val="en-US"/>
        </w:rPr>
        <w:t>mitigation and adaptation in the overall portfolio, as per its Governing Instrument</w:t>
      </w:r>
      <w:r w:rsidR="00AF4AE0" w:rsidRPr="004B74EC">
        <w:rPr>
          <w:lang w:val="en-US"/>
        </w:rPr>
        <w:t>;</w:t>
      </w:r>
    </w:p>
    <w:p w14:paraId="443EC8A8" w14:textId="7E9B45E9" w:rsidR="00AF4AE0" w:rsidRPr="00A778AF" w:rsidRDefault="00BD5DB4" w:rsidP="00BD5DB4">
      <w:pPr>
        <w:pStyle w:val="RegSingleTxtG"/>
        <w:numPr>
          <w:ilvl w:val="0"/>
          <w:numId w:val="0"/>
        </w:numPr>
        <w:spacing w:before="120"/>
        <w:ind w:left="1134"/>
        <w:rPr>
          <w:i/>
          <w:iCs/>
        </w:rPr>
      </w:pPr>
      <w:r w:rsidRPr="00A778AF">
        <w:t>12.</w:t>
      </w:r>
      <w:r w:rsidRPr="00A778AF">
        <w:tab/>
      </w:r>
      <w:r w:rsidR="00AF4AE0" w:rsidRPr="00576DAD">
        <w:rPr>
          <w:i/>
          <w:iCs/>
          <w:lang w:val="en-US"/>
        </w:rPr>
        <w:t>Encourages</w:t>
      </w:r>
      <w:r w:rsidR="00AF4AE0" w:rsidRPr="00576DAD">
        <w:rPr>
          <w:lang w:val="en-US"/>
        </w:rPr>
        <w:t xml:space="preserve"> the Green Climate Fund to continue collaborat</w:t>
      </w:r>
      <w:r w:rsidR="00AF4AE0">
        <w:rPr>
          <w:lang w:val="en-US"/>
        </w:rPr>
        <w:t>ing</w:t>
      </w:r>
      <w:r w:rsidR="00AF4AE0" w:rsidRPr="00576DAD">
        <w:rPr>
          <w:lang w:val="en-US"/>
        </w:rPr>
        <w:t xml:space="preserve"> with the Climate Technology Centre and Network to enhance access to </w:t>
      </w:r>
      <w:r w:rsidR="00AF4AE0">
        <w:rPr>
          <w:lang w:val="en-US"/>
        </w:rPr>
        <w:t>technology for developing countries</w:t>
      </w:r>
      <w:r w:rsidR="00AF4AE0" w:rsidRPr="00576DAD">
        <w:rPr>
          <w:lang w:val="en-US"/>
        </w:rPr>
        <w:t>, maximize impact and strengthen coherence;</w:t>
      </w:r>
    </w:p>
    <w:p w14:paraId="37A4BCE2" w14:textId="145E3EC8" w:rsidR="00AF4AE0" w:rsidRDefault="00BD5DB4" w:rsidP="00BD5DB4">
      <w:pPr>
        <w:pStyle w:val="RegSingleTxtG"/>
        <w:numPr>
          <w:ilvl w:val="0"/>
          <w:numId w:val="0"/>
        </w:numPr>
        <w:ind w:left="1134"/>
        <w:rPr>
          <w:lang w:val="en-US"/>
        </w:rPr>
      </w:pPr>
      <w:r>
        <w:rPr>
          <w:lang w:val="en-US"/>
        </w:rPr>
        <w:t>13.</w:t>
      </w:r>
      <w:r>
        <w:rPr>
          <w:lang w:val="en-US"/>
        </w:rPr>
        <w:tab/>
      </w:r>
      <w:r w:rsidR="00AF4AE0" w:rsidRPr="00881B35">
        <w:rPr>
          <w:i/>
          <w:iCs/>
        </w:rPr>
        <w:t>Invites</w:t>
      </w:r>
      <w:r w:rsidR="00AF4AE0" w:rsidRPr="00881B35">
        <w:t xml:space="preserve"> the Board to consider areas </w:t>
      </w:r>
      <w:r w:rsidR="00AF4AE0">
        <w:t>f</w:t>
      </w:r>
      <w:r w:rsidR="00AF4AE0" w:rsidRPr="00881B35">
        <w:t>o</w:t>
      </w:r>
      <w:r w:rsidR="00AF4AE0">
        <w:t>r</w:t>
      </w:r>
      <w:r w:rsidR="00AF4AE0" w:rsidRPr="00881B35">
        <w:t xml:space="preserve"> improvement in the context of </w:t>
      </w:r>
      <w:r w:rsidR="00AF4AE0">
        <w:t xml:space="preserve">the </w:t>
      </w:r>
      <w:r w:rsidR="00AF4AE0" w:rsidRPr="00881B35">
        <w:t>gender</w:t>
      </w:r>
      <w:r w:rsidR="00AF4AE0">
        <w:t>-</w:t>
      </w:r>
      <w:r w:rsidR="00AF4AE0" w:rsidRPr="00881B35">
        <w:t>responsiveness of the work</w:t>
      </w:r>
      <w:r w:rsidR="00AF4AE0">
        <w:t xml:space="preserve"> of the Green Climate Fund</w:t>
      </w:r>
      <w:r w:rsidR="00AF4AE0" w:rsidRPr="00881B35">
        <w:t xml:space="preserve">, taking into account relevant insights, </w:t>
      </w:r>
      <w:r w:rsidR="00AF4AE0" w:rsidRPr="00881B35">
        <w:lastRenderedPageBreak/>
        <w:t xml:space="preserve">including </w:t>
      </w:r>
      <w:r w:rsidR="00AF4AE0">
        <w:t xml:space="preserve">from </w:t>
      </w:r>
      <w:r w:rsidR="00AF4AE0" w:rsidRPr="00881B35">
        <w:t xml:space="preserve">the report of the 2024 </w:t>
      </w:r>
      <w:r w:rsidR="00AF4AE0" w:rsidRPr="00784F34">
        <w:rPr>
          <w:lang w:val="en-US"/>
        </w:rPr>
        <w:t>S</w:t>
      </w:r>
      <w:r w:rsidR="00AF4AE0">
        <w:rPr>
          <w:lang w:val="en-US"/>
        </w:rPr>
        <w:t xml:space="preserve">tanding Committee on </w:t>
      </w:r>
      <w:r w:rsidR="00AF4AE0" w:rsidRPr="00784F34">
        <w:rPr>
          <w:lang w:val="en-US"/>
        </w:rPr>
        <w:t>F</w:t>
      </w:r>
      <w:r w:rsidR="00AF4AE0">
        <w:rPr>
          <w:lang w:val="en-US"/>
        </w:rPr>
        <w:t>inance</w:t>
      </w:r>
      <w:r w:rsidR="00AF4AE0" w:rsidRPr="00784F34">
        <w:rPr>
          <w:lang w:val="en-US"/>
        </w:rPr>
        <w:t xml:space="preserve"> </w:t>
      </w:r>
      <w:r w:rsidR="00AF4AE0">
        <w:t>F</w:t>
      </w:r>
      <w:r w:rsidR="00AF4AE0" w:rsidRPr="00881B35">
        <w:t xml:space="preserve">orum on </w:t>
      </w:r>
      <w:r w:rsidR="00AF4AE0" w:rsidRPr="006674ED">
        <w:t>accelerating climate action and resilience through</w:t>
      </w:r>
      <w:r w:rsidR="00AF4AE0" w:rsidRPr="00881B35">
        <w:t xml:space="preserve"> gender</w:t>
      </w:r>
      <w:r w:rsidR="00AF4AE0">
        <w:t>-</w:t>
      </w:r>
      <w:r w:rsidR="00AF4AE0" w:rsidRPr="00881B35">
        <w:t>responsive climate finance</w:t>
      </w:r>
      <w:r w:rsidR="00AF4AE0">
        <w:rPr>
          <w:lang w:val="en-US"/>
        </w:rPr>
        <w:t>;</w:t>
      </w:r>
      <w:r w:rsidR="00AF4AE0">
        <w:rPr>
          <w:rStyle w:val="FootnoteReference"/>
          <w:lang w:val="en-US"/>
        </w:rPr>
        <w:footnoteReference w:id="20"/>
      </w:r>
    </w:p>
    <w:p w14:paraId="45EEFA80" w14:textId="7EEAE4F3" w:rsidR="00AF4AE0" w:rsidRDefault="00BD5DB4" w:rsidP="00BD5DB4">
      <w:pPr>
        <w:pStyle w:val="RegSingleTxtG"/>
        <w:numPr>
          <w:ilvl w:val="0"/>
          <w:numId w:val="0"/>
        </w:numPr>
        <w:ind w:left="1134"/>
        <w:rPr>
          <w:lang w:val="en-US"/>
        </w:rPr>
      </w:pPr>
      <w:r>
        <w:rPr>
          <w:lang w:val="en-US"/>
        </w:rPr>
        <w:t>14.</w:t>
      </w:r>
      <w:r>
        <w:rPr>
          <w:lang w:val="en-US"/>
        </w:rPr>
        <w:tab/>
      </w:r>
      <w:r w:rsidR="00AF4AE0" w:rsidRPr="00A778AF">
        <w:rPr>
          <w:i/>
          <w:iCs/>
          <w:lang w:val="en-US"/>
        </w:rPr>
        <w:t>Urges</w:t>
      </w:r>
      <w:r w:rsidR="00AF4AE0" w:rsidRPr="00EA09A2">
        <w:rPr>
          <w:lang w:val="en-US"/>
        </w:rPr>
        <w:t xml:space="preserve"> the Board to adopt an updated gender action plan for the second replenishment of the Green Climate Fund, noting the previous plan for 2020–2023,</w:t>
      </w:r>
      <w:r w:rsidR="00AF4AE0">
        <w:rPr>
          <w:rStyle w:val="FootnoteReference"/>
          <w:lang w:val="en-US"/>
        </w:rPr>
        <w:footnoteReference w:id="21"/>
      </w:r>
      <w:r w:rsidR="00AF4AE0" w:rsidRPr="00EA09A2">
        <w:rPr>
          <w:lang w:val="en-US"/>
        </w:rPr>
        <w:t xml:space="preserve"> and to actively contribute to the implementation of activities under the UNFCCC gender action plan once </w:t>
      </w:r>
      <w:r w:rsidR="00AF4AE0">
        <w:rPr>
          <w:lang w:val="en-US"/>
        </w:rPr>
        <w:t>the gender action plan</w:t>
      </w:r>
      <w:r w:rsidR="00AF4AE0" w:rsidRPr="00EA09A2">
        <w:rPr>
          <w:lang w:val="en-US"/>
        </w:rPr>
        <w:t xml:space="preserve"> </w:t>
      </w:r>
      <w:r w:rsidR="00AF4AE0">
        <w:rPr>
          <w:lang w:val="en-US"/>
        </w:rPr>
        <w:t>has been adopted</w:t>
      </w:r>
      <w:r w:rsidR="00AF4AE0" w:rsidRPr="00A20163">
        <w:rPr>
          <w:lang w:val="en-US"/>
        </w:rPr>
        <w:t>;</w:t>
      </w:r>
    </w:p>
    <w:p w14:paraId="7C0CD684" w14:textId="7419053D" w:rsidR="00AF4AE0" w:rsidRPr="00A20163" w:rsidRDefault="00BD5DB4" w:rsidP="00BD5DB4">
      <w:pPr>
        <w:pStyle w:val="RegSingleTxtG"/>
        <w:numPr>
          <w:ilvl w:val="0"/>
          <w:numId w:val="0"/>
        </w:numPr>
        <w:ind w:left="1134"/>
        <w:rPr>
          <w:lang w:val="en-US"/>
        </w:rPr>
      </w:pPr>
      <w:r w:rsidRPr="00A20163">
        <w:rPr>
          <w:lang w:val="en-US"/>
        </w:rPr>
        <w:t>15.</w:t>
      </w:r>
      <w:r w:rsidRPr="00A20163">
        <w:rPr>
          <w:lang w:val="en-US"/>
        </w:rPr>
        <w:tab/>
      </w:r>
      <w:r w:rsidR="00AF4AE0">
        <w:rPr>
          <w:i/>
          <w:iCs/>
          <w:lang w:val="en-US"/>
        </w:rPr>
        <w:t>Also u</w:t>
      </w:r>
      <w:r w:rsidR="00AF4AE0" w:rsidRPr="0064135B">
        <w:rPr>
          <w:i/>
          <w:iCs/>
          <w:lang w:val="en-US"/>
        </w:rPr>
        <w:t>rges</w:t>
      </w:r>
      <w:r w:rsidR="00AF4AE0">
        <w:rPr>
          <w:lang w:val="en-US"/>
        </w:rPr>
        <w:t xml:space="preserve"> </w:t>
      </w:r>
      <w:r w:rsidR="00AF4AE0" w:rsidRPr="00D56C33">
        <w:rPr>
          <w:lang w:val="en-US"/>
        </w:rPr>
        <w:t>the Board to continue incorporating</w:t>
      </w:r>
      <w:r w:rsidR="00AF4AE0">
        <w:rPr>
          <w:lang w:val="en-US"/>
        </w:rPr>
        <w:t xml:space="preserve"> </w:t>
      </w:r>
      <w:r w:rsidR="00AF4AE0" w:rsidRPr="00D56C33">
        <w:rPr>
          <w:lang w:val="en-US"/>
        </w:rPr>
        <w:t>in</w:t>
      </w:r>
      <w:r w:rsidR="00AF4AE0">
        <w:rPr>
          <w:lang w:val="en-US"/>
        </w:rPr>
        <w:t>to</w:t>
      </w:r>
      <w:r w:rsidR="00AF4AE0" w:rsidRPr="00D56C33">
        <w:rPr>
          <w:lang w:val="en-US"/>
        </w:rPr>
        <w:t xml:space="preserve"> its decision-making</w:t>
      </w:r>
      <w:r w:rsidR="00AF4AE0">
        <w:rPr>
          <w:lang w:val="en-US"/>
        </w:rPr>
        <w:t xml:space="preserve"> consideration of people and communities on the front line of climate change, including </w:t>
      </w:r>
      <w:r w:rsidR="00AF4AE0" w:rsidRPr="00D56C33">
        <w:rPr>
          <w:lang w:val="en-US"/>
        </w:rPr>
        <w:t>Indigenous Peoples</w:t>
      </w:r>
      <w:r w:rsidR="00AF4AE0">
        <w:rPr>
          <w:lang w:val="en-US"/>
        </w:rPr>
        <w:t xml:space="preserve"> and local communities, in line with the policies of the Green Climate Fund;</w:t>
      </w:r>
    </w:p>
    <w:p w14:paraId="138E73E0" w14:textId="289EEDE4" w:rsidR="00AF4AE0" w:rsidRDefault="00BD5DB4" w:rsidP="00BD5DB4">
      <w:pPr>
        <w:pStyle w:val="RegSingleTxtG"/>
        <w:numPr>
          <w:ilvl w:val="0"/>
          <w:numId w:val="0"/>
        </w:numPr>
        <w:ind w:left="1134"/>
        <w:rPr>
          <w:lang w:val="en-US"/>
        </w:rPr>
      </w:pPr>
      <w:r>
        <w:rPr>
          <w:lang w:val="en-US"/>
        </w:rPr>
        <w:t>16.</w:t>
      </w:r>
      <w:r>
        <w:rPr>
          <w:lang w:val="en-US"/>
        </w:rPr>
        <w:tab/>
      </w:r>
      <w:r w:rsidR="00AF4AE0" w:rsidRPr="0087533C">
        <w:rPr>
          <w:i/>
          <w:iCs/>
        </w:rPr>
        <w:t>Encourages</w:t>
      </w:r>
      <w:r w:rsidR="00AF4AE0" w:rsidRPr="0085519A">
        <w:rPr>
          <w:i/>
          <w:iCs/>
        </w:rPr>
        <w:t xml:space="preserve"> </w:t>
      </w:r>
      <w:r w:rsidR="00AF4AE0">
        <w:t xml:space="preserve">the Board to </w:t>
      </w:r>
      <w:r w:rsidR="00AF4AE0" w:rsidRPr="00317598">
        <w:t>support the increased</w:t>
      </w:r>
      <w:r w:rsidR="00AF4AE0">
        <w:t xml:space="preserve"> use of alternative financial instruments and structures with a view to increasing public and private finance, in line with the Board’s risk appetite statement, for mitigation and adaptation projects in developing countries in line with </w:t>
      </w:r>
      <w:r w:rsidR="00AF4AE0">
        <w:rPr>
          <w:lang w:val="en-US"/>
        </w:rPr>
        <w:t>the Board’s policy</w:t>
      </w:r>
      <w:r w:rsidR="00AF4AE0" w:rsidRPr="00566999">
        <w:rPr>
          <w:lang w:val="en-US"/>
        </w:rPr>
        <w:t>;</w:t>
      </w:r>
    </w:p>
    <w:p w14:paraId="5B001DD5" w14:textId="7CD23DEF" w:rsidR="00AF4AE0" w:rsidRPr="00A20163" w:rsidRDefault="00BD5DB4" w:rsidP="00BD5DB4">
      <w:pPr>
        <w:pStyle w:val="RegSingleTxtG"/>
        <w:numPr>
          <w:ilvl w:val="0"/>
          <w:numId w:val="0"/>
        </w:numPr>
        <w:ind w:left="1134"/>
        <w:rPr>
          <w:lang w:val="en-US"/>
        </w:rPr>
      </w:pPr>
      <w:r w:rsidRPr="00A20163">
        <w:rPr>
          <w:lang w:val="en-US"/>
        </w:rPr>
        <w:t>17.</w:t>
      </w:r>
      <w:r w:rsidRPr="00A20163">
        <w:rPr>
          <w:lang w:val="en-US"/>
        </w:rPr>
        <w:tab/>
      </w:r>
      <w:r w:rsidR="00AF4AE0" w:rsidRPr="00F421F3">
        <w:rPr>
          <w:i/>
          <w:iCs/>
        </w:rPr>
        <w:t>Reiterates</w:t>
      </w:r>
      <w:r w:rsidR="00AF4AE0">
        <w:t xml:space="preserve"> its request</w:t>
      </w:r>
      <w:r w:rsidR="00AF4AE0" w:rsidRPr="00400859">
        <w:rPr>
          <w:rStyle w:val="FootnoteReference"/>
          <w:lang w:val="en-US"/>
        </w:rPr>
        <w:footnoteReference w:id="22"/>
      </w:r>
      <w:r w:rsidR="00AF4AE0">
        <w:rPr>
          <w:lang w:val="en-US"/>
        </w:rPr>
        <w:t xml:space="preserve"> to </w:t>
      </w:r>
      <w:r w:rsidR="00AF4AE0" w:rsidRPr="00A20163">
        <w:rPr>
          <w:lang w:val="en-US"/>
        </w:rPr>
        <w:t xml:space="preserve">the Board to strengthen monitoring and reporting of disbursements for, and impacts arising from, </w:t>
      </w:r>
      <w:r w:rsidR="00AF4AE0">
        <w:rPr>
          <w:lang w:val="en-US"/>
        </w:rPr>
        <w:t xml:space="preserve">inter alia, </w:t>
      </w:r>
      <w:r w:rsidR="00AF4AE0" w:rsidRPr="00A20163">
        <w:rPr>
          <w:lang w:val="en-US"/>
        </w:rPr>
        <w:t>multi-country activities on a per-country basis in a manner consistent with the integrated results management framework</w:t>
      </w:r>
      <w:r w:rsidR="00AF4AE0">
        <w:rPr>
          <w:lang w:val="en-US"/>
        </w:rPr>
        <w:t>;</w:t>
      </w:r>
      <w:r w:rsidR="00AF4AE0">
        <w:rPr>
          <w:rStyle w:val="FootnoteReference"/>
          <w:lang w:val="en-US"/>
        </w:rPr>
        <w:footnoteReference w:id="23"/>
      </w:r>
    </w:p>
    <w:p w14:paraId="2E855CD5" w14:textId="469C7F73" w:rsidR="00AF4AE0" w:rsidRDefault="00BD5DB4" w:rsidP="00BD5DB4">
      <w:pPr>
        <w:pStyle w:val="RegSingleTxtG"/>
        <w:numPr>
          <w:ilvl w:val="0"/>
          <w:numId w:val="0"/>
        </w:numPr>
        <w:ind w:left="1134"/>
        <w:rPr>
          <w:lang w:val="en-US"/>
        </w:rPr>
      </w:pPr>
      <w:r>
        <w:rPr>
          <w:lang w:val="en-US"/>
        </w:rPr>
        <w:t>18.</w:t>
      </w:r>
      <w:r>
        <w:rPr>
          <w:lang w:val="en-US"/>
        </w:rPr>
        <w:tab/>
      </w:r>
      <w:r w:rsidR="00AF4AE0" w:rsidRPr="00513681">
        <w:rPr>
          <w:i/>
          <w:iCs/>
          <w:lang w:val="en-US"/>
        </w:rPr>
        <w:t>Decides</w:t>
      </w:r>
      <w:r w:rsidR="00AF4AE0" w:rsidRPr="00C3232F">
        <w:rPr>
          <w:lang w:val="en-US"/>
        </w:rPr>
        <w:t xml:space="preserve"> to </w:t>
      </w:r>
      <w:r w:rsidR="00AF4AE0">
        <w:rPr>
          <w:lang w:val="en-US"/>
        </w:rPr>
        <w:t>modify</w:t>
      </w:r>
      <w:r w:rsidR="00AF4AE0" w:rsidRPr="00C3232F">
        <w:rPr>
          <w:lang w:val="en-US"/>
        </w:rPr>
        <w:t xml:space="preserve"> the arrangements between the C</w:t>
      </w:r>
      <w:r w:rsidR="00AF4AE0">
        <w:rPr>
          <w:lang w:val="en-US"/>
        </w:rPr>
        <w:t>onference of the Parties</w:t>
      </w:r>
      <w:r w:rsidR="00AF4AE0" w:rsidRPr="00C3232F">
        <w:rPr>
          <w:lang w:val="en-US"/>
        </w:rPr>
        <w:t xml:space="preserve"> and the Green Climate Fund,</w:t>
      </w:r>
      <w:r w:rsidR="00AF4AE0">
        <w:rPr>
          <w:rStyle w:val="FootnoteReference"/>
          <w:lang w:val="en-US"/>
        </w:rPr>
        <w:footnoteReference w:id="24"/>
      </w:r>
      <w:r w:rsidR="00AF4AE0" w:rsidRPr="00C3232F">
        <w:rPr>
          <w:lang w:val="en-US"/>
        </w:rPr>
        <w:t xml:space="preserve"> as outlined in the annex, for consideration and approval by the Board before the thirtieth session of the C</w:t>
      </w:r>
      <w:r w:rsidR="00AF4AE0">
        <w:rPr>
          <w:lang w:val="en-US"/>
        </w:rPr>
        <w:t>onference of the Parties (November 2025)</w:t>
      </w:r>
      <w:r w:rsidR="00AF4AE0" w:rsidRPr="00C3232F">
        <w:rPr>
          <w:lang w:val="en-US"/>
        </w:rPr>
        <w:t>, thereby making the revis</w:t>
      </w:r>
      <w:r w:rsidR="00AF4AE0">
        <w:rPr>
          <w:lang w:val="en-US"/>
        </w:rPr>
        <w:t>ed arrangements</w:t>
      </w:r>
      <w:r w:rsidR="00AF4AE0" w:rsidRPr="00C3232F">
        <w:rPr>
          <w:lang w:val="en-US"/>
        </w:rPr>
        <w:t xml:space="preserve"> effective upon the Board</w:t>
      </w:r>
      <w:r w:rsidR="00AF4AE0">
        <w:rPr>
          <w:lang w:val="en-US"/>
        </w:rPr>
        <w:t>’</w:t>
      </w:r>
      <w:r w:rsidR="00AF4AE0" w:rsidRPr="00C3232F">
        <w:rPr>
          <w:lang w:val="en-US"/>
        </w:rPr>
        <w:t>s approval</w:t>
      </w:r>
      <w:r w:rsidR="00AF4AE0">
        <w:rPr>
          <w:lang w:val="en-US"/>
        </w:rPr>
        <w:t>, and</w:t>
      </w:r>
      <w:r w:rsidR="00AF4AE0" w:rsidRPr="00C3232F">
        <w:rPr>
          <w:lang w:val="en-US"/>
        </w:rPr>
        <w:t xml:space="preserve"> ensur</w:t>
      </w:r>
      <w:r w:rsidR="00AF4AE0">
        <w:rPr>
          <w:lang w:val="en-US"/>
        </w:rPr>
        <w:t>ing</w:t>
      </w:r>
      <w:r w:rsidR="00AF4AE0" w:rsidRPr="00C3232F">
        <w:rPr>
          <w:lang w:val="en-US"/>
        </w:rPr>
        <w:t xml:space="preserve"> that the subsequent guidance from the C</w:t>
      </w:r>
      <w:r w:rsidR="00AF4AE0">
        <w:rPr>
          <w:lang w:val="en-US"/>
        </w:rPr>
        <w:t>onference of the Parties</w:t>
      </w:r>
      <w:r w:rsidR="00AF4AE0" w:rsidRPr="00C3232F">
        <w:rPr>
          <w:lang w:val="en-US"/>
        </w:rPr>
        <w:t xml:space="preserve"> and the </w:t>
      </w:r>
      <w:r w:rsidR="00AF4AE0" w:rsidRPr="002A6AFE">
        <w:rPr>
          <w:lang w:val="en-US"/>
        </w:rPr>
        <w:t>Conference of the Parties serving as the meeting of the Parties to the Paris Agreement</w:t>
      </w:r>
      <w:r w:rsidR="00AF4AE0" w:rsidRPr="00C3232F">
        <w:rPr>
          <w:lang w:val="en-US"/>
        </w:rPr>
        <w:t xml:space="preserve"> is provided to the Green Climate Fund</w:t>
      </w:r>
      <w:r w:rsidR="00AF4AE0">
        <w:rPr>
          <w:lang w:val="en-US"/>
        </w:rPr>
        <w:t xml:space="preserve"> annually until</w:t>
      </w:r>
      <w:r w:rsidR="00AF4AE0" w:rsidRPr="00C3232F">
        <w:rPr>
          <w:lang w:val="en-US"/>
        </w:rPr>
        <w:t xml:space="preserve"> </w:t>
      </w:r>
      <w:r w:rsidR="00AF4AE0">
        <w:rPr>
          <w:lang w:val="en-US"/>
        </w:rPr>
        <w:t>their</w:t>
      </w:r>
      <w:r w:rsidR="00AF4AE0" w:rsidRPr="00C3232F">
        <w:rPr>
          <w:lang w:val="en-US"/>
        </w:rPr>
        <w:t xml:space="preserve"> thirty-first </w:t>
      </w:r>
      <w:r w:rsidR="00AF4AE0">
        <w:rPr>
          <w:lang w:val="en-US"/>
        </w:rPr>
        <w:t xml:space="preserve">(November 2026) </w:t>
      </w:r>
      <w:r w:rsidR="00AF4AE0" w:rsidRPr="00C3232F">
        <w:rPr>
          <w:lang w:val="en-US"/>
        </w:rPr>
        <w:t xml:space="preserve">and eighth </w:t>
      </w:r>
      <w:r w:rsidR="00AF4AE0">
        <w:rPr>
          <w:lang w:val="en-US"/>
        </w:rPr>
        <w:t xml:space="preserve">(November 2026) </w:t>
      </w:r>
      <w:r w:rsidR="00AF4AE0" w:rsidRPr="00C3232F">
        <w:rPr>
          <w:lang w:val="en-US"/>
        </w:rPr>
        <w:t>sessions respectively</w:t>
      </w:r>
      <w:r w:rsidR="00AF4AE0">
        <w:rPr>
          <w:lang w:val="en-US"/>
        </w:rPr>
        <w:t xml:space="preserve">, </w:t>
      </w:r>
      <w:r w:rsidR="00AF4AE0" w:rsidRPr="000A4CC6">
        <w:rPr>
          <w:lang w:val="en-US"/>
        </w:rPr>
        <w:t>and biennially thereafter</w:t>
      </w:r>
      <w:r w:rsidR="00AF4AE0">
        <w:rPr>
          <w:lang w:val="en-US"/>
        </w:rPr>
        <w:t>, and also at sessions held in the year immediately preceding the initiation of discussions on new replenishments;</w:t>
      </w:r>
    </w:p>
    <w:p w14:paraId="4D4712CC" w14:textId="0E0A9255" w:rsidR="00AF4AE0" w:rsidRPr="00A20163" w:rsidRDefault="00BD5DB4" w:rsidP="00BD5DB4">
      <w:pPr>
        <w:pStyle w:val="RegSingleTxtG"/>
        <w:numPr>
          <w:ilvl w:val="0"/>
          <w:numId w:val="0"/>
        </w:numPr>
        <w:ind w:left="1134"/>
        <w:rPr>
          <w:lang w:val="en-US"/>
        </w:rPr>
      </w:pPr>
      <w:r w:rsidRPr="00A20163">
        <w:rPr>
          <w:lang w:val="en-US"/>
        </w:rPr>
        <w:t>19.</w:t>
      </w:r>
      <w:r w:rsidRPr="00A20163">
        <w:rPr>
          <w:lang w:val="en-US"/>
        </w:rPr>
        <w:tab/>
      </w:r>
      <w:r w:rsidR="00AF4AE0">
        <w:rPr>
          <w:i/>
          <w:iCs/>
        </w:rPr>
        <w:t>Confirms</w:t>
      </w:r>
      <w:r w:rsidR="00AF4AE0">
        <w:t xml:space="preserve"> that guidance may be provided outside the biennial cycle referred to in the modified arrangements outlined in the annex, upon request by a Party, consistent with rules 9–13 of the draft rules of procedure</w:t>
      </w:r>
      <w:r w:rsidR="00AF4AE0">
        <w:rPr>
          <w:rStyle w:val="FootnoteReference"/>
        </w:rPr>
        <w:footnoteReference w:id="25"/>
      </w:r>
      <w:r w:rsidR="00AF4AE0">
        <w:t xml:space="preserve"> </w:t>
      </w:r>
      <w:r w:rsidR="00AF4AE0" w:rsidDel="00674820">
        <w:t xml:space="preserve">being applied, </w:t>
      </w:r>
      <w:r w:rsidR="00AF4AE0">
        <w:t>as well as</w:t>
      </w:r>
      <w:r w:rsidR="00AF4AE0" w:rsidRPr="006E1949">
        <w:rPr>
          <w:i/>
          <w:iCs/>
        </w:rPr>
        <w:t xml:space="preserve"> </w:t>
      </w:r>
      <w:r w:rsidR="00AF4AE0" w:rsidRPr="006B6CC4">
        <w:t>at each session preced</w:t>
      </w:r>
      <w:r w:rsidR="00AF4AE0">
        <w:t>ing</w:t>
      </w:r>
      <w:r w:rsidR="00AF4AE0" w:rsidRPr="006B6CC4">
        <w:t xml:space="preserve"> the final year of </w:t>
      </w:r>
      <w:r w:rsidR="00AF4AE0">
        <w:t xml:space="preserve">each </w:t>
      </w:r>
      <w:r w:rsidR="00AF4AE0" w:rsidRPr="001A74B3">
        <w:t xml:space="preserve">replenishment </w:t>
      </w:r>
      <w:r w:rsidR="00AF4AE0">
        <w:t xml:space="preserve">of the </w:t>
      </w:r>
      <w:r w:rsidR="00AF4AE0" w:rsidRPr="006B6CC4">
        <w:t>Green Climate F</w:t>
      </w:r>
      <w:r w:rsidR="00AF4AE0">
        <w:t>und;</w:t>
      </w:r>
    </w:p>
    <w:p w14:paraId="3AA8F786" w14:textId="6EC81CED" w:rsidR="00AF4AE0" w:rsidRPr="00142B0D" w:rsidRDefault="00BD5DB4" w:rsidP="00BD5DB4">
      <w:pPr>
        <w:pStyle w:val="RegSingleTxtG"/>
        <w:numPr>
          <w:ilvl w:val="0"/>
          <w:numId w:val="0"/>
        </w:numPr>
        <w:ind w:left="1134"/>
      </w:pPr>
      <w:r w:rsidRPr="00142B0D">
        <w:t>20.</w:t>
      </w:r>
      <w:r w:rsidRPr="00142B0D">
        <w:tab/>
      </w:r>
      <w:r w:rsidR="00AF4AE0" w:rsidRPr="029B8BCD">
        <w:rPr>
          <w:i/>
          <w:iCs/>
        </w:rPr>
        <w:t>Invites</w:t>
      </w:r>
      <w:r w:rsidR="00AF4AE0" w:rsidRPr="029B8BCD">
        <w:t xml:space="preserve"> Parties to submit views and recommendations on elements of guidance for the Green Climate Fund via the submission portal</w:t>
      </w:r>
      <w:r w:rsidR="00AF4AE0" w:rsidRPr="029B8BCD">
        <w:rPr>
          <w:vertAlign w:val="superscript"/>
        </w:rPr>
        <w:footnoteReference w:id="26"/>
      </w:r>
      <w:r w:rsidR="00AF4AE0" w:rsidRPr="029B8BCD">
        <w:t xml:space="preserve"> no later than </w:t>
      </w:r>
      <w:r w:rsidR="00AF4AE0">
        <w:t>16</w:t>
      </w:r>
      <w:r w:rsidR="00AF4AE0" w:rsidRPr="029B8BCD">
        <w:t xml:space="preserve"> weeks prior to the thirtieth</w:t>
      </w:r>
      <w:r w:rsidR="00AF4AE0">
        <w:t xml:space="preserve"> session </w:t>
      </w:r>
      <w:r w:rsidR="00AF4AE0" w:rsidRPr="029B8BCD">
        <w:t>of the Conference of the Parties;</w:t>
      </w:r>
    </w:p>
    <w:p w14:paraId="197321C8" w14:textId="78584E7E" w:rsidR="00AF4AE0" w:rsidRPr="00142B0D" w:rsidRDefault="00BD5DB4" w:rsidP="00BD5DB4">
      <w:pPr>
        <w:pStyle w:val="RegSingleTxtG"/>
        <w:numPr>
          <w:ilvl w:val="0"/>
          <w:numId w:val="0"/>
        </w:numPr>
        <w:ind w:left="1134"/>
        <w:rPr>
          <w:lang w:val="en-US"/>
        </w:rPr>
      </w:pPr>
      <w:r w:rsidRPr="00142B0D">
        <w:rPr>
          <w:lang w:val="en-US"/>
        </w:rPr>
        <w:t>21.</w:t>
      </w:r>
      <w:r w:rsidRPr="00142B0D">
        <w:rPr>
          <w:lang w:val="en-US"/>
        </w:rPr>
        <w:tab/>
      </w:r>
      <w:r w:rsidR="00AF4AE0" w:rsidRPr="00142B0D">
        <w:rPr>
          <w:i/>
          <w:iCs/>
          <w:lang w:val="en-US"/>
        </w:rPr>
        <w:t>Requests</w:t>
      </w:r>
      <w:r w:rsidR="00AF4AE0" w:rsidRPr="00142B0D">
        <w:rPr>
          <w:lang w:val="en-US"/>
        </w:rPr>
        <w:t xml:space="preserve"> the Standing Committee on Finance to take into consideration the submissions referred to in paragraph </w:t>
      </w:r>
      <w:r w:rsidR="00AF4AE0" w:rsidRPr="0036768A">
        <w:rPr>
          <w:lang w:val="en-US"/>
        </w:rPr>
        <w:t>20</w:t>
      </w:r>
      <w:r w:rsidR="00AF4AE0" w:rsidRPr="00142B0D">
        <w:rPr>
          <w:lang w:val="en-US"/>
        </w:rPr>
        <w:t xml:space="preserve"> above in preparing its draft guidance for the Green Climate Fund for consideration by the Conference of the Parties at its </w:t>
      </w:r>
      <w:r w:rsidR="00AF4AE0" w:rsidRPr="029B8BCD">
        <w:t>thirtieth</w:t>
      </w:r>
      <w:r w:rsidR="00AF4AE0">
        <w:t xml:space="preserve"> session </w:t>
      </w:r>
      <w:r w:rsidR="00AF4AE0" w:rsidRPr="00142B0D">
        <w:rPr>
          <w:lang w:val="en-US"/>
        </w:rPr>
        <w:t xml:space="preserve">and the Conference of the Parties serving as the meeting of the Parties to the Paris Agreement at its </w:t>
      </w:r>
      <w:r w:rsidR="00AF4AE0">
        <w:rPr>
          <w:lang w:val="en-US"/>
        </w:rPr>
        <w:t>seventh</w:t>
      </w:r>
      <w:r w:rsidR="00AF4AE0" w:rsidRPr="00142B0D">
        <w:rPr>
          <w:lang w:val="en-US"/>
        </w:rPr>
        <w:t xml:space="preserve"> session (November 2025</w:t>
      </w:r>
      <w:r w:rsidR="00AF4AE0">
        <w:rPr>
          <w:lang w:val="en-US"/>
        </w:rPr>
        <w:t>)</w:t>
      </w:r>
      <w:r w:rsidR="00AF4AE0" w:rsidRPr="00142B0D">
        <w:rPr>
          <w:lang w:val="en-US"/>
        </w:rPr>
        <w:t>;</w:t>
      </w:r>
    </w:p>
    <w:p w14:paraId="19C182CD" w14:textId="4F4A8189" w:rsidR="00AF4AE0" w:rsidRDefault="00BD5DB4" w:rsidP="00BD5DB4">
      <w:pPr>
        <w:pStyle w:val="RegSingleTxtG"/>
        <w:numPr>
          <w:ilvl w:val="0"/>
          <w:numId w:val="0"/>
        </w:numPr>
        <w:ind w:left="1134"/>
        <w:rPr>
          <w:lang w:val="en-US"/>
        </w:rPr>
      </w:pPr>
      <w:r>
        <w:rPr>
          <w:lang w:val="en-US"/>
        </w:rPr>
        <w:t>22.</w:t>
      </w:r>
      <w:r>
        <w:rPr>
          <w:lang w:val="en-US"/>
        </w:rPr>
        <w:tab/>
      </w:r>
      <w:r w:rsidR="00AF4AE0" w:rsidRPr="00142B0D">
        <w:rPr>
          <w:i/>
          <w:iCs/>
          <w:lang w:val="en-US"/>
        </w:rPr>
        <w:t>Also requests</w:t>
      </w:r>
      <w:r w:rsidR="00AF4AE0" w:rsidRPr="00142B0D">
        <w:rPr>
          <w:lang w:val="en-US"/>
        </w:rPr>
        <w:t xml:space="preserve"> the Board of the Fund to include in its annual report to the Conference of the Parties information on the steps it has taken to implement the guidance provided in this decision</w:t>
      </w:r>
      <w:r w:rsidR="00AF4AE0">
        <w:rPr>
          <w:lang w:val="en-US"/>
        </w:rPr>
        <w:t>;</w:t>
      </w:r>
    </w:p>
    <w:p w14:paraId="29604783" w14:textId="69CF4302" w:rsidR="009833DF" w:rsidRDefault="00BD5DB4" w:rsidP="00BD5DB4">
      <w:pPr>
        <w:pStyle w:val="RegSingleTxtG"/>
        <w:numPr>
          <w:ilvl w:val="0"/>
          <w:numId w:val="0"/>
        </w:numPr>
        <w:ind w:left="1134"/>
        <w:rPr>
          <w:lang w:val="en-US"/>
        </w:rPr>
        <w:sectPr w:rsidR="009833DF" w:rsidSect="001C679A">
          <w:headerReference w:type="even" r:id="rId59"/>
          <w:headerReference w:type="default" r:id="rId60"/>
          <w:footerReference w:type="even" r:id="rId61"/>
          <w:footerReference w:type="default" r:id="rId62"/>
          <w:footnotePr>
            <w:numRestart w:val="eachSect"/>
          </w:footnotePr>
          <w:pgSz w:w="11906" w:h="16838" w:code="9"/>
          <w:pgMar w:top="1417" w:right="1134" w:bottom="1134" w:left="1134" w:header="850" w:footer="567" w:gutter="0"/>
          <w:cols w:space="708"/>
          <w:docGrid w:linePitch="360"/>
        </w:sectPr>
      </w:pPr>
      <w:r>
        <w:rPr>
          <w:lang w:val="en-US"/>
        </w:rPr>
        <w:t>23.</w:t>
      </w:r>
      <w:r>
        <w:rPr>
          <w:lang w:val="en-US"/>
        </w:rPr>
        <w:tab/>
      </w:r>
      <w:r w:rsidR="00AF4AE0" w:rsidRPr="0003200E">
        <w:rPr>
          <w:i/>
          <w:iCs/>
          <w:lang w:val="en-US"/>
        </w:rPr>
        <w:t>Takes note</w:t>
      </w:r>
      <w:r w:rsidR="00AF4AE0" w:rsidRPr="0003200E">
        <w:rPr>
          <w:lang w:val="en-US"/>
        </w:rPr>
        <w:t xml:space="preserve"> of decision </w:t>
      </w:r>
      <w:hyperlink r:id="rId63" w:history="1">
        <w:r w:rsidR="00162131" w:rsidRPr="005879B0">
          <w:rPr>
            <w:rStyle w:val="Hyperlink"/>
            <w:lang w:val="en-US"/>
          </w:rPr>
          <w:t>9</w:t>
        </w:r>
        <w:r w:rsidR="00AF4AE0" w:rsidRPr="005879B0">
          <w:rPr>
            <w:rStyle w:val="Hyperlink"/>
            <w:lang w:val="en-US"/>
          </w:rPr>
          <w:t>/CMA.6</w:t>
        </w:r>
      </w:hyperlink>
      <w:r w:rsidR="00AF4AE0" w:rsidRPr="00445F22">
        <w:rPr>
          <w:lang w:val="en-US"/>
        </w:rPr>
        <w:t xml:space="preserve"> and </w:t>
      </w:r>
      <w:r w:rsidR="00AF4AE0" w:rsidRPr="00445F22">
        <w:rPr>
          <w:i/>
          <w:iCs/>
          <w:lang w:val="en-US"/>
        </w:rPr>
        <w:t>decides</w:t>
      </w:r>
      <w:r w:rsidR="00AF4AE0" w:rsidRPr="00445F22">
        <w:rPr>
          <w:lang w:val="en-US"/>
        </w:rPr>
        <w:t xml:space="preserve"> to transmit to the Green Climate Fund the guidance from the Conference of the Parties serving as the meeting of the Parties to the Paris Agreement contained in paragraphs 2–8 of that decision.</w:t>
      </w:r>
      <w:r w:rsidR="00AF4AE0" w:rsidRPr="004826B7">
        <w:rPr>
          <w:vertAlign w:val="superscript"/>
          <w:lang w:val="en-US"/>
        </w:rPr>
        <w:footnoteReference w:id="27"/>
      </w:r>
    </w:p>
    <w:p w14:paraId="6F5406EA" w14:textId="77777777" w:rsidR="003C5A56" w:rsidRDefault="003C5A56" w:rsidP="009833DF">
      <w:pPr>
        <w:pStyle w:val="HChG"/>
        <w:spacing w:before="0"/>
        <w:ind w:left="0" w:firstLine="0"/>
      </w:pPr>
      <w:r>
        <w:lastRenderedPageBreak/>
        <w:t xml:space="preserve">Annex </w:t>
      </w:r>
    </w:p>
    <w:p w14:paraId="059A3C84" w14:textId="69D02BA8" w:rsidR="003C5A56" w:rsidRPr="00335E1E" w:rsidRDefault="003C5A56" w:rsidP="003C5A56">
      <w:pPr>
        <w:pStyle w:val="HChG"/>
        <w:tabs>
          <w:tab w:val="clear" w:pos="851"/>
        </w:tabs>
        <w:ind w:firstLine="0"/>
      </w:pPr>
      <w:bookmarkStart w:id="9" w:name="_Toc485284858"/>
      <w:bookmarkStart w:id="10" w:name="_Toc485284941"/>
      <w:r w:rsidRPr="007905D2">
        <w:t>Modifications</w:t>
      </w:r>
      <w:r w:rsidRPr="007905D2">
        <w:rPr>
          <w:szCs w:val="28"/>
        </w:rPr>
        <w:t xml:space="preserve"> to the </w:t>
      </w:r>
      <w:r w:rsidRPr="007905D2">
        <w:t>arrangements</w:t>
      </w:r>
      <w:r w:rsidRPr="007905D2">
        <w:rPr>
          <w:szCs w:val="28"/>
        </w:rPr>
        <w:t xml:space="preserve"> between the Conference of the </w:t>
      </w:r>
      <w:r w:rsidRPr="007905D2">
        <w:t>Parties</w:t>
      </w:r>
      <w:r w:rsidRPr="007905D2">
        <w:rPr>
          <w:szCs w:val="28"/>
        </w:rPr>
        <w:t xml:space="preserve"> and the Green Climate </w:t>
      </w:r>
      <w:r w:rsidRPr="007905D2">
        <w:t>Fund</w:t>
      </w:r>
      <w:bookmarkEnd w:id="9"/>
      <w:bookmarkEnd w:id="10"/>
      <w:r w:rsidRPr="004E4AAD">
        <w:rPr>
          <w:rStyle w:val="FootnoteReference"/>
          <w:sz w:val="24"/>
          <w:szCs w:val="24"/>
        </w:rPr>
        <w:footnoteReference w:id="28"/>
      </w:r>
    </w:p>
    <w:p w14:paraId="09105106" w14:textId="77777777" w:rsidR="003C5A56" w:rsidRPr="007905D2" w:rsidRDefault="003C5A56" w:rsidP="003C5A56">
      <w:pPr>
        <w:pStyle w:val="SingleTxtG"/>
      </w:pPr>
      <w:r w:rsidRPr="004E4AAD">
        <w:rPr>
          <w:b/>
          <w:bCs/>
        </w:rPr>
        <w:t>Paragraph 3</w:t>
      </w:r>
    </w:p>
    <w:p w14:paraId="52010814" w14:textId="77777777" w:rsidR="003C5A56" w:rsidRPr="004E4AAD" w:rsidRDefault="003C5A56" w:rsidP="003C5A56">
      <w:pPr>
        <w:pStyle w:val="RegSingleTxtG"/>
        <w:numPr>
          <w:ilvl w:val="0"/>
          <w:numId w:val="0"/>
        </w:numPr>
        <w:ind w:left="1134"/>
        <w:rPr>
          <w:bCs/>
        </w:rPr>
      </w:pPr>
      <w:r w:rsidRPr="004E4AAD">
        <w:rPr>
          <w:bCs/>
        </w:rPr>
        <w:t xml:space="preserve">For the existing paragraph 3 </w:t>
      </w:r>
      <w:r w:rsidRPr="004E4AAD">
        <w:rPr>
          <w:bCs/>
          <w:i/>
        </w:rPr>
        <w:t>substitute</w:t>
      </w:r>
    </w:p>
    <w:p w14:paraId="0C9FCA40" w14:textId="552E3C61" w:rsidR="003C5A56" w:rsidRDefault="00BD5DB4" w:rsidP="00BD5DB4">
      <w:pPr>
        <w:pStyle w:val="RegSingleTxtG"/>
        <w:numPr>
          <w:ilvl w:val="0"/>
          <w:numId w:val="0"/>
        </w:numPr>
        <w:ind w:left="1134"/>
      </w:pPr>
      <w:r>
        <w:t>3.</w:t>
      </w:r>
      <w:r>
        <w:tab/>
      </w:r>
      <w:r w:rsidR="003C5A56" w:rsidRPr="00F6341A">
        <w:t xml:space="preserve">The COP </w:t>
      </w:r>
      <w:r w:rsidR="003C5A56" w:rsidRPr="007905D2">
        <w:rPr>
          <w:lang w:val="en-AU"/>
        </w:rPr>
        <w:t>will</w:t>
      </w:r>
      <w:r w:rsidR="003C5A56" w:rsidRPr="00F6341A">
        <w:t xml:space="preserve"> communicate guidance to the GCF</w:t>
      </w:r>
      <w:r w:rsidR="003C5A56">
        <w:t>:</w:t>
      </w:r>
    </w:p>
    <w:p w14:paraId="691EAAB3" w14:textId="4BAD5F4F" w:rsidR="003C5A56" w:rsidRPr="006511F4" w:rsidRDefault="00BD5DB4" w:rsidP="00BD5DB4">
      <w:pPr>
        <w:pStyle w:val="RegSingleTxtG2"/>
        <w:numPr>
          <w:ilvl w:val="0"/>
          <w:numId w:val="0"/>
        </w:numPr>
        <w:ind w:left="1134" w:firstLine="567"/>
      </w:pPr>
      <w:r w:rsidRPr="006511F4">
        <w:rPr>
          <w:szCs w:val="28"/>
        </w:rPr>
        <w:t>(a)</w:t>
      </w:r>
      <w:r w:rsidRPr="006511F4">
        <w:rPr>
          <w:szCs w:val="28"/>
        </w:rPr>
        <w:tab/>
      </w:r>
      <w:r w:rsidR="003C5A56">
        <w:t>Annually</w:t>
      </w:r>
      <w:r w:rsidR="003C5A56" w:rsidRPr="006511F4">
        <w:t xml:space="preserve"> after each of its sessions</w:t>
      </w:r>
      <w:r w:rsidR="003C5A56">
        <w:t xml:space="preserve">, </w:t>
      </w:r>
      <w:r w:rsidR="003C5A56" w:rsidRPr="006511F4">
        <w:t>until the end of 2026,</w:t>
      </w:r>
      <w:r w:rsidR="003C5A56">
        <w:t xml:space="preserve"> </w:t>
      </w:r>
      <w:r w:rsidR="003C5A56" w:rsidRPr="006511F4">
        <w:t xml:space="preserve">and </w:t>
      </w:r>
      <w:r w:rsidR="003C5A56">
        <w:t xml:space="preserve">biennially </w:t>
      </w:r>
      <w:r w:rsidR="003C5A56" w:rsidRPr="006511F4">
        <w:t xml:space="preserve">thereafter, after every </w:t>
      </w:r>
      <w:r w:rsidR="003C5A56">
        <w:t xml:space="preserve">other </w:t>
      </w:r>
      <w:r w:rsidR="003C5A56" w:rsidRPr="006511F4">
        <w:t>session;</w:t>
      </w:r>
    </w:p>
    <w:p w14:paraId="588790BC" w14:textId="0180F7C1" w:rsidR="003C5A56" w:rsidRPr="006511F4" w:rsidRDefault="00BD5DB4" w:rsidP="00BD5DB4">
      <w:pPr>
        <w:pStyle w:val="RegSingleTxtG2"/>
        <w:numPr>
          <w:ilvl w:val="0"/>
          <w:numId w:val="0"/>
        </w:numPr>
        <w:ind w:left="1134" w:firstLine="567"/>
      </w:pPr>
      <w:r w:rsidRPr="006511F4">
        <w:rPr>
          <w:szCs w:val="28"/>
        </w:rPr>
        <w:t>(b)</w:t>
      </w:r>
      <w:r w:rsidRPr="006511F4">
        <w:rPr>
          <w:szCs w:val="28"/>
        </w:rPr>
        <w:tab/>
      </w:r>
      <w:r w:rsidR="003C5A56">
        <w:t>A</w:t>
      </w:r>
      <w:r w:rsidR="003C5A56" w:rsidRPr="006511F4">
        <w:t xml:space="preserve">fter each of its sessions immediately preceding the </w:t>
      </w:r>
      <w:r w:rsidR="003C5A56">
        <w:t>final</w:t>
      </w:r>
      <w:r w:rsidR="003C5A56" w:rsidRPr="006511F4">
        <w:t xml:space="preserve"> year of each replenishment </w:t>
      </w:r>
      <w:r w:rsidR="003C5A56">
        <w:t xml:space="preserve">of the </w:t>
      </w:r>
      <w:r w:rsidR="003C5A56" w:rsidRPr="006511F4">
        <w:t>G</w:t>
      </w:r>
      <w:r w:rsidR="003C5A56">
        <w:t xml:space="preserve">reen </w:t>
      </w:r>
      <w:r w:rsidR="003C5A56" w:rsidRPr="006511F4">
        <w:t>C</w:t>
      </w:r>
      <w:r w:rsidR="003C5A56">
        <w:t>limate Fund</w:t>
      </w:r>
      <w:r w:rsidR="003C5A56" w:rsidRPr="006511F4">
        <w:t xml:space="preserve">; </w:t>
      </w:r>
    </w:p>
    <w:p w14:paraId="63C851DD" w14:textId="3FE9A58D" w:rsidR="003C5A56" w:rsidRPr="006511F4" w:rsidRDefault="00BD5DB4" w:rsidP="00BD5DB4">
      <w:pPr>
        <w:pStyle w:val="RegSingleTxtG2"/>
        <w:numPr>
          <w:ilvl w:val="0"/>
          <w:numId w:val="0"/>
        </w:numPr>
        <w:ind w:left="1134" w:firstLine="567"/>
      </w:pPr>
      <w:r w:rsidRPr="006511F4">
        <w:rPr>
          <w:szCs w:val="28"/>
        </w:rPr>
        <w:t>(c)</w:t>
      </w:r>
      <w:r w:rsidRPr="006511F4">
        <w:rPr>
          <w:szCs w:val="28"/>
        </w:rPr>
        <w:tab/>
      </w:r>
      <w:r w:rsidR="003C5A56">
        <w:t>W</w:t>
      </w:r>
      <w:r w:rsidR="003C5A56" w:rsidRPr="006511F4">
        <w:t xml:space="preserve">here </w:t>
      </w:r>
      <w:r w:rsidR="003C5A56" w:rsidRPr="007905D2">
        <w:rPr>
          <w:lang w:val="en-AU"/>
        </w:rPr>
        <w:t>applicable</w:t>
      </w:r>
      <w:r w:rsidR="003C5A56" w:rsidRPr="006511F4">
        <w:t xml:space="preserve">, after any </w:t>
      </w:r>
      <w:r w:rsidR="003C5A56">
        <w:t xml:space="preserve">of its </w:t>
      </w:r>
      <w:r w:rsidR="003C5A56" w:rsidRPr="006511F4">
        <w:t>session</w:t>
      </w:r>
      <w:r w:rsidR="003C5A56">
        <w:t>s</w:t>
      </w:r>
      <w:r w:rsidR="003C5A56" w:rsidRPr="006511F4">
        <w:t xml:space="preserve"> not referred to in </w:t>
      </w:r>
      <w:r w:rsidR="003C5A56">
        <w:t>paragraph 3</w:t>
      </w:r>
      <w:r w:rsidR="003C5A56" w:rsidRPr="006511F4">
        <w:t>(a</w:t>
      </w:r>
      <w:r w:rsidR="003C5A56">
        <w:t>–</w:t>
      </w:r>
      <w:r w:rsidR="003C5A56" w:rsidRPr="006511F4">
        <w:t xml:space="preserve">b) above, should the COP decide to </w:t>
      </w:r>
      <w:r w:rsidR="003C5A56">
        <w:t>do so.</w:t>
      </w:r>
    </w:p>
    <w:p w14:paraId="16F975C3" w14:textId="77777777" w:rsidR="003C5A56" w:rsidRPr="00E339A9" w:rsidRDefault="003C5A56" w:rsidP="003C5A56">
      <w:pPr>
        <w:pStyle w:val="SingleTxtG"/>
        <w:spacing w:before="240"/>
        <w:rPr>
          <w:b/>
          <w:bCs/>
        </w:rPr>
      </w:pPr>
      <w:r w:rsidRPr="00E339A9">
        <w:rPr>
          <w:b/>
          <w:bCs/>
        </w:rPr>
        <w:t>Paragraph 16</w:t>
      </w:r>
    </w:p>
    <w:p w14:paraId="7B277195" w14:textId="77777777" w:rsidR="003C5A56" w:rsidRPr="004E4AAD" w:rsidRDefault="003C5A56" w:rsidP="003C5A56">
      <w:pPr>
        <w:pStyle w:val="SingleTxtG"/>
        <w:rPr>
          <w:bCs/>
        </w:rPr>
      </w:pPr>
      <w:r>
        <w:rPr>
          <w:bCs/>
        </w:rPr>
        <w:t xml:space="preserve">For the existing paragraph 16 </w:t>
      </w:r>
      <w:r w:rsidRPr="004E4AAD">
        <w:rPr>
          <w:bCs/>
          <w:i/>
          <w:iCs/>
        </w:rPr>
        <w:t>substitute</w:t>
      </w:r>
    </w:p>
    <w:p w14:paraId="0D6C8F23" w14:textId="382A8DC4" w:rsidR="00AF4AE0" w:rsidRDefault="005554D1" w:rsidP="00FC18AB">
      <w:pPr>
        <w:spacing w:after="120"/>
        <w:ind w:left="1134"/>
      </w:pPr>
      <w:r>
        <w:t xml:space="preserve">16. </w:t>
      </w:r>
      <w:r>
        <w:tab/>
      </w:r>
      <w:r w:rsidR="003C5A56" w:rsidRPr="00F6341A">
        <w:t>The COP may request additional information from the G</w:t>
      </w:r>
      <w:r w:rsidR="003C5A56">
        <w:t xml:space="preserve">reen </w:t>
      </w:r>
      <w:r w:rsidR="003C5A56" w:rsidRPr="00F6341A">
        <w:t>C</w:t>
      </w:r>
      <w:r w:rsidR="003C5A56">
        <w:t xml:space="preserve">limate </w:t>
      </w:r>
      <w:r w:rsidR="003C5A56" w:rsidRPr="00F6341A">
        <w:t>F</w:t>
      </w:r>
      <w:r w:rsidR="003C5A56">
        <w:t>und</w:t>
      </w:r>
      <w:r w:rsidR="003C5A56" w:rsidRPr="00F6341A">
        <w:t xml:space="preserve"> via its guidance.</w:t>
      </w:r>
    </w:p>
    <w:p w14:paraId="357ECFEC" w14:textId="39A2CB4D" w:rsidR="00FC18AB" w:rsidRPr="00FC18AB" w:rsidRDefault="00BD7A87" w:rsidP="00A6634C">
      <w:pPr>
        <w:ind w:left="1134" w:right="566"/>
        <w:jc w:val="right"/>
        <w:rPr>
          <w:i/>
          <w:iCs/>
        </w:rPr>
      </w:pPr>
      <w:r>
        <w:rPr>
          <w:i/>
          <w:iCs/>
        </w:rPr>
        <w:t>11</w:t>
      </w:r>
      <w:r w:rsidRPr="00BD7A87">
        <w:rPr>
          <w:i/>
          <w:iCs/>
          <w:vertAlign w:val="superscript"/>
        </w:rPr>
        <w:t>th</w:t>
      </w:r>
      <w:r>
        <w:rPr>
          <w:i/>
          <w:iCs/>
        </w:rPr>
        <w:t xml:space="preserve"> </w:t>
      </w:r>
      <w:r w:rsidR="00FC18AB" w:rsidRPr="00FC18AB">
        <w:rPr>
          <w:i/>
          <w:iCs/>
        </w:rPr>
        <w:t>plenary meeting</w:t>
      </w:r>
    </w:p>
    <w:p w14:paraId="4EC69928" w14:textId="2659656B" w:rsidR="00AF3D1C" w:rsidRPr="00AF3D1C" w:rsidRDefault="00BD7A87" w:rsidP="00A6634C">
      <w:pPr>
        <w:ind w:left="1134" w:right="566"/>
        <w:jc w:val="right"/>
        <w:rPr>
          <w:i/>
          <w:iCs/>
          <w:lang w:val="en-US"/>
        </w:rPr>
      </w:pPr>
      <w:r>
        <w:rPr>
          <w:i/>
          <w:iCs/>
        </w:rPr>
        <w:t>23</w:t>
      </w:r>
      <w:r w:rsidR="00FC18AB" w:rsidRPr="00FC18AB">
        <w:rPr>
          <w:i/>
          <w:iCs/>
        </w:rPr>
        <w:t xml:space="preserve"> November 2024</w:t>
      </w:r>
    </w:p>
    <w:p w14:paraId="72F3D2C0" w14:textId="77777777" w:rsidR="00AF3D1C" w:rsidRDefault="00AF3D1C" w:rsidP="00BD5DB4">
      <w:pPr>
        <w:pStyle w:val="RegH4G"/>
        <w:numPr>
          <w:ilvl w:val="0"/>
          <w:numId w:val="0"/>
        </w:numPr>
        <w:ind w:hanging="454"/>
      </w:pPr>
    </w:p>
    <w:p w14:paraId="4689CAD6" w14:textId="77777777" w:rsidR="00AF3D1C" w:rsidRDefault="00AF3D1C" w:rsidP="00BD5DB4">
      <w:pPr>
        <w:pStyle w:val="RegH5G"/>
        <w:numPr>
          <w:ilvl w:val="0"/>
          <w:numId w:val="0"/>
        </w:numPr>
        <w:ind w:left="1135" w:hanging="454"/>
        <w:sectPr w:rsidR="00AF3D1C" w:rsidSect="001C679A">
          <w:footnotePr>
            <w:numRestart w:val="eachSect"/>
          </w:footnotePr>
          <w:pgSz w:w="11906" w:h="16838" w:code="9"/>
          <w:pgMar w:top="1417" w:right="1134" w:bottom="1134" w:left="1134" w:header="850" w:footer="567" w:gutter="0"/>
          <w:cols w:space="708"/>
          <w:docGrid w:linePitch="360"/>
        </w:sectPr>
      </w:pPr>
    </w:p>
    <w:p w14:paraId="0A2E7857" w14:textId="2D4EFABB" w:rsidR="00AF3D1C" w:rsidRPr="00AF3D1C" w:rsidRDefault="003824C9" w:rsidP="00BD5DB4">
      <w:pPr>
        <w:pStyle w:val="RegHChG"/>
        <w:numPr>
          <w:ilvl w:val="0"/>
          <w:numId w:val="0"/>
        </w:numPr>
        <w:ind w:left="1135" w:hanging="454"/>
      </w:pPr>
      <w:bookmarkStart w:id="11" w:name="CP4"/>
      <w:r>
        <w:lastRenderedPageBreak/>
        <w:t>Decision 4/CP.29</w:t>
      </w:r>
      <w:bookmarkEnd w:id="11"/>
    </w:p>
    <w:p w14:paraId="53F421E7" w14:textId="77777777" w:rsidR="00674620" w:rsidRPr="00214DE9" w:rsidRDefault="00674620" w:rsidP="00674620">
      <w:pPr>
        <w:pStyle w:val="HChG"/>
      </w:pPr>
      <w:r>
        <w:tab/>
      </w:r>
      <w:r>
        <w:tab/>
      </w:r>
      <w:r>
        <w:rPr>
          <w:color w:val="1A1A1C"/>
          <w:sz w:val="30"/>
          <w:szCs w:val="30"/>
          <w:shd w:val="clear" w:color="auto" w:fill="FFFFFF"/>
        </w:rPr>
        <w:t>Report of the Global Environment Facility to the Conference of the Parties and guidance to the Global Environment Facility</w:t>
      </w:r>
      <w:r w:rsidRPr="00214DE9">
        <w:t xml:space="preserve"> </w:t>
      </w:r>
    </w:p>
    <w:p w14:paraId="57C585C4" w14:textId="77777777" w:rsidR="00674620" w:rsidRPr="005C59E1" w:rsidRDefault="00674620" w:rsidP="00BD5DB4">
      <w:pPr>
        <w:pStyle w:val="RegH5G"/>
        <w:numPr>
          <w:ilvl w:val="0"/>
          <w:numId w:val="0"/>
        </w:numPr>
        <w:tabs>
          <w:tab w:val="left" w:pos="720"/>
        </w:tabs>
        <w:ind w:left="1701" w:right="-1" w:hanging="454"/>
        <w:rPr>
          <w:color w:val="000000"/>
        </w:rPr>
      </w:pPr>
      <w:r w:rsidRPr="005C59E1">
        <w:rPr>
          <w:color w:val="000000"/>
        </w:rPr>
        <w:t>The Conference of the Parties</w:t>
      </w:r>
    </w:p>
    <w:p w14:paraId="4FA98ACA" w14:textId="568B7A8F" w:rsidR="00674620" w:rsidRPr="005C59E1" w:rsidRDefault="00BD5DB4" w:rsidP="00BD5DB4">
      <w:pPr>
        <w:pStyle w:val="RegSingleTxtG"/>
        <w:numPr>
          <w:ilvl w:val="0"/>
          <w:numId w:val="0"/>
        </w:numPr>
        <w:ind w:left="1134"/>
      </w:pPr>
      <w:r w:rsidRPr="005C59E1">
        <w:t>1.</w:t>
      </w:r>
      <w:r w:rsidRPr="005C59E1">
        <w:tab/>
      </w:r>
      <w:r w:rsidR="00674620" w:rsidRPr="00A03FED">
        <w:rPr>
          <w:i/>
          <w:iCs/>
        </w:rPr>
        <w:t>Notes</w:t>
      </w:r>
      <w:r w:rsidR="00674620" w:rsidRPr="005C59E1">
        <w:t xml:space="preserve"> the report of the Global Environment Facility to the Conference of the Parties at its twenty-ninth session,</w:t>
      </w:r>
      <w:r w:rsidR="00674620" w:rsidRPr="005C59E1">
        <w:rPr>
          <w:rStyle w:val="FootnoteReference"/>
        </w:rPr>
        <w:footnoteReference w:id="29"/>
      </w:r>
      <w:r w:rsidR="00674620" w:rsidRPr="005C59E1">
        <w:t xml:space="preserve"> including the responses of the Global Environment Facility to previous guidance received from the Conference of the Parties, and </w:t>
      </w:r>
      <w:r w:rsidR="00674620" w:rsidRPr="00A03FED">
        <w:rPr>
          <w:i/>
          <w:iCs/>
        </w:rPr>
        <w:t>welcomes</w:t>
      </w:r>
      <w:r w:rsidR="00674620" w:rsidRPr="005C59E1">
        <w:t xml:space="preserve"> the approval by the Council of the Global Environment Facility of several work programmes;</w:t>
      </w:r>
    </w:p>
    <w:p w14:paraId="363E5860" w14:textId="343B0069" w:rsidR="00674620" w:rsidRPr="005C59E1" w:rsidRDefault="00BD5DB4" w:rsidP="00BD5DB4">
      <w:pPr>
        <w:pStyle w:val="RegSingleTxtG"/>
        <w:numPr>
          <w:ilvl w:val="0"/>
          <w:numId w:val="0"/>
        </w:numPr>
        <w:ind w:left="1134"/>
      </w:pPr>
      <w:r w:rsidRPr="005C59E1">
        <w:t>2.</w:t>
      </w:r>
      <w:r w:rsidRPr="005C59E1">
        <w:tab/>
      </w:r>
      <w:r w:rsidR="00674620" w:rsidRPr="005C59E1">
        <w:rPr>
          <w:i/>
          <w:iCs/>
        </w:rPr>
        <w:t xml:space="preserve">Invites </w:t>
      </w:r>
      <w:r w:rsidR="00674620" w:rsidRPr="005C59E1">
        <w:t xml:space="preserve">the Global Environment Facility, in the context of programming for the climate change focal area under its ninth replenishment, to consider, inter alia: </w:t>
      </w:r>
    </w:p>
    <w:p w14:paraId="10D1316C" w14:textId="5FAE13D0" w:rsidR="00674620" w:rsidRPr="005C59E1" w:rsidRDefault="00BD5DB4" w:rsidP="00BD5DB4">
      <w:pPr>
        <w:pStyle w:val="RegSingleTxtG2"/>
        <w:numPr>
          <w:ilvl w:val="0"/>
          <w:numId w:val="0"/>
        </w:numPr>
        <w:ind w:left="1134" w:firstLine="567"/>
      </w:pPr>
      <w:r w:rsidRPr="005C59E1">
        <w:rPr>
          <w:szCs w:val="28"/>
        </w:rPr>
        <w:t>(a)</w:t>
      </w:r>
      <w:r w:rsidRPr="005C59E1">
        <w:rPr>
          <w:szCs w:val="28"/>
        </w:rPr>
        <w:tab/>
      </w:r>
      <w:r w:rsidR="00674620" w:rsidRPr="005C59E1">
        <w:t xml:space="preserve">Working with developing countries on ways of incorporating just transition elements into national climate plans and programmes; </w:t>
      </w:r>
    </w:p>
    <w:p w14:paraId="4461A7D8" w14:textId="31CB4F4D" w:rsidR="00674620" w:rsidRPr="005C59E1" w:rsidRDefault="00BD5DB4" w:rsidP="00BD5DB4">
      <w:pPr>
        <w:pStyle w:val="RegSingleTxtG2"/>
        <w:numPr>
          <w:ilvl w:val="0"/>
          <w:numId w:val="0"/>
        </w:numPr>
        <w:ind w:left="1134" w:firstLine="567"/>
      </w:pPr>
      <w:r w:rsidRPr="005C59E1">
        <w:rPr>
          <w:szCs w:val="28"/>
        </w:rPr>
        <w:t>(b)</w:t>
      </w:r>
      <w:r w:rsidRPr="005C59E1">
        <w:rPr>
          <w:szCs w:val="28"/>
        </w:rPr>
        <w:tab/>
      </w:r>
      <w:r w:rsidR="00674620" w:rsidRPr="005C59E1">
        <w:t xml:space="preserve">Working with developing countries on establishing nationally determined mechanisms to facilitate coordination of support received; </w:t>
      </w:r>
    </w:p>
    <w:p w14:paraId="7170D85E" w14:textId="28B13858" w:rsidR="00674620" w:rsidRPr="005C59E1" w:rsidRDefault="00BD5DB4" w:rsidP="00BD5DB4">
      <w:pPr>
        <w:pStyle w:val="RegSingleTxtG2"/>
        <w:numPr>
          <w:ilvl w:val="0"/>
          <w:numId w:val="0"/>
        </w:numPr>
        <w:ind w:left="1134" w:firstLine="567"/>
      </w:pPr>
      <w:r w:rsidRPr="005C59E1">
        <w:rPr>
          <w:szCs w:val="28"/>
        </w:rPr>
        <w:t>(c)</w:t>
      </w:r>
      <w:r w:rsidRPr="005C59E1">
        <w:rPr>
          <w:szCs w:val="28"/>
        </w:rPr>
        <w:tab/>
      </w:r>
      <w:r w:rsidR="00674620" w:rsidRPr="005C59E1">
        <w:t xml:space="preserve">Ways of increasing the contribution of the </w:t>
      </w:r>
      <w:r w:rsidR="00674620" w:rsidRPr="005C59E1">
        <w:rPr>
          <w:rFonts w:eastAsia="Malgun Gothic" w:hint="eastAsia"/>
          <w:lang w:eastAsia="ko-KR"/>
        </w:rPr>
        <w:t xml:space="preserve">Global Environment Facility project </w:t>
      </w:r>
      <w:r w:rsidR="00674620" w:rsidRPr="005C59E1">
        <w:t>portfolio to adaptation</w:t>
      </w:r>
      <w:r w:rsidR="00674620">
        <w:t>,</w:t>
      </w:r>
      <w:r w:rsidR="00674620" w:rsidRPr="005C59E1">
        <w:rPr>
          <w:rFonts w:eastAsia="Malgun Gothic" w:hint="eastAsia"/>
          <w:lang w:eastAsia="ko-KR"/>
        </w:rPr>
        <w:t xml:space="preserve"> as appropriate</w:t>
      </w:r>
      <w:r w:rsidR="00674620" w:rsidRPr="005C59E1">
        <w:t xml:space="preserve">, in line with </w:t>
      </w:r>
      <w:r w:rsidR="00674620" w:rsidRPr="005C59E1">
        <w:rPr>
          <w:rFonts w:eastAsia="Malgun Gothic" w:hint="eastAsia"/>
          <w:lang w:eastAsia="ko-KR"/>
        </w:rPr>
        <w:t xml:space="preserve">its </w:t>
      </w:r>
      <w:r w:rsidR="00674620" w:rsidRPr="005C59E1">
        <w:t>mandate;</w:t>
      </w:r>
    </w:p>
    <w:p w14:paraId="11297241" w14:textId="61A8EDA2" w:rsidR="00674620" w:rsidRPr="005C59E1" w:rsidRDefault="00BD5DB4" w:rsidP="00BD5DB4">
      <w:pPr>
        <w:pStyle w:val="RegSingleTxtG2"/>
        <w:numPr>
          <w:ilvl w:val="0"/>
          <w:numId w:val="0"/>
        </w:numPr>
        <w:ind w:left="1134" w:firstLine="567"/>
      </w:pPr>
      <w:r w:rsidRPr="005C59E1">
        <w:rPr>
          <w:szCs w:val="28"/>
        </w:rPr>
        <w:t>(d)</w:t>
      </w:r>
      <w:r w:rsidRPr="005C59E1">
        <w:rPr>
          <w:szCs w:val="28"/>
        </w:rPr>
        <w:tab/>
      </w:r>
      <w:r w:rsidR="00674620" w:rsidRPr="005C59E1">
        <w:t xml:space="preserve">Supporting the development of pipelines of projects </w:t>
      </w:r>
      <w:r w:rsidR="00674620" w:rsidRPr="005C59E1">
        <w:rPr>
          <w:rFonts w:eastAsia="Malgun Gothic" w:hint="eastAsia"/>
          <w:lang w:eastAsia="ko-KR"/>
        </w:rPr>
        <w:t xml:space="preserve">in </w:t>
      </w:r>
      <w:r w:rsidR="00674620" w:rsidRPr="005C59E1">
        <w:t>line with national plans and strategies;</w:t>
      </w:r>
    </w:p>
    <w:p w14:paraId="7E10F4DC" w14:textId="06C8D53B" w:rsidR="00674620" w:rsidRPr="005C59E1" w:rsidRDefault="00BD5DB4" w:rsidP="00BD5DB4">
      <w:pPr>
        <w:pStyle w:val="RegSingleTxtG2"/>
        <w:numPr>
          <w:ilvl w:val="0"/>
          <w:numId w:val="0"/>
        </w:numPr>
        <w:ind w:left="1134" w:firstLine="567"/>
      </w:pPr>
      <w:r w:rsidRPr="005C59E1">
        <w:rPr>
          <w:szCs w:val="28"/>
        </w:rPr>
        <w:t>(e)</w:t>
      </w:r>
      <w:r w:rsidRPr="005C59E1">
        <w:rPr>
          <w:szCs w:val="28"/>
        </w:rPr>
        <w:tab/>
      </w:r>
      <w:r w:rsidR="00674620" w:rsidRPr="005C59E1">
        <w:t>Ways of supporting developing countries in their efforts to strengthen institutional capacity and/or arrangements, as appropriate, for climate action, in line with needs and priorities of developing country Parties;</w:t>
      </w:r>
    </w:p>
    <w:p w14:paraId="6B8EA689" w14:textId="0F8F47F9" w:rsidR="00674620" w:rsidRPr="005C59E1" w:rsidRDefault="00BD5DB4" w:rsidP="00BD5DB4">
      <w:pPr>
        <w:pStyle w:val="RegSingleTxtG2"/>
        <w:numPr>
          <w:ilvl w:val="0"/>
          <w:numId w:val="0"/>
        </w:numPr>
        <w:ind w:left="1134" w:firstLine="567"/>
      </w:pPr>
      <w:r w:rsidRPr="005C59E1">
        <w:rPr>
          <w:szCs w:val="28"/>
        </w:rPr>
        <w:t>(f)</w:t>
      </w:r>
      <w:r w:rsidRPr="005C59E1">
        <w:rPr>
          <w:szCs w:val="28"/>
        </w:rPr>
        <w:tab/>
      </w:r>
      <w:r w:rsidR="00674620" w:rsidRPr="005C59E1">
        <w:t xml:space="preserve">Consulting with the Technology Executive Committee and </w:t>
      </w:r>
      <w:r w:rsidR="00674620">
        <w:t xml:space="preserve">the </w:t>
      </w:r>
      <w:r w:rsidR="00674620" w:rsidRPr="005C59E1">
        <w:t>Climate Technology Centre and Network on technology-related elements of the programming;</w:t>
      </w:r>
    </w:p>
    <w:p w14:paraId="5A97D778" w14:textId="1A8586C1" w:rsidR="00674620" w:rsidRPr="005C59E1" w:rsidRDefault="00BD5DB4" w:rsidP="00BD5DB4">
      <w:pPr>
        <w:pStyle w:val="RegSingleTxtG2"/>
        <w:numPr>
          <w:ilvl w:val="0"/>
          <w:numId w:val="0"/>
        </w:numPr>
        <w:ind w:left="1134" w:firstLine="567"/>
      </w:pPr>
      <w:r w:rsidRPr="005C59E1">
        <w:rPr>
          <w:szCs w:val="28"/>
        </w:rPr>
        <w:t>(g)</w:t>
      </w:r>
      <w:r w:rsidRPr="005C59E1">
        <w:rPr>
          <w:szCs w:val="28"/>
        </w:rPr>
        <w:tab/>
      </w:r>
      <w:r w:rsidR="00674620" w:rsidRPr="005C59E1">
        <w:t xml:space="preserve">Continuing </w:t>
      </w:r>
      <w:r w:rsidR="00674620">
        <w:t xml:space="preserve">to provide </w:t>
      </w:r>
      <w:r w:rsidR="00674620" w:rsidRPr="005C59E1">
        <w:t xml:space="preserve">technical support </w:t>
      </w:r>
      <w:r w:rsidR="00674620">
        <w:t>f</w:t>
      </w:r>
      <w:r w:rsidR="00674620" w:rsidRPr="005C59E1">
        <w:t>o</w:t>
      </w:r>
      <w:r w:rsidR="00674620">
        <w:t>r</w:t>
      </w:r>
      <w:r w:rsidR="00674620" w:rsidRPr="005C59E1">
        <w:t xml:space="preserve"> developing country Parties for their preparation of national communications, recognizing that such support is based on technical considerations and should enhance the technical capacity of countries; </w:t>
      </w:r>
    </w:p>
    <w:p w14:paraId="0E32009F" w14:textId="5B1D9FBA" w:rsidR="00674620" w:rsidRPr="005C59E1" w:rsidRDefault="00BD5DB4" w:rsidP="00BD5DB4">
      <w:pPr>
        <w:pStyle w:val="RegSingleTxtG"/>
        <w:numPr>
          <w:ilvl w:val="0"/>
          <w:numId w:val="0"/>
        </w:numPr>
        <w:ind w:left="1134"/>
      </w:pPr>
      <w:r w:rsidRPr="005C59E1">
        <w:t>3.</w:t>
      </w:r>
      <w:r w:rsidRPr="005C59E1">
        <w:tab/>
      </w:r>
      <w:r w:rsidR="00674620" w:rsidRPr="005C59E1">
        <w:rPr>
          <w:i/>
          <w:iCs/>
        </w:rPr>
        <w:t xml:space="preserve">Welcomes </w:t>
      </w:r>
      <w:r w:rsidR="00674620" w:rsidRPr="005C59E1">
        <w:t xml:space="preserve">the ongoing efforts </w:t>
      </w:r>
      <w:r w:rsidR="00674620">
        <w:t>undertaken by</w:t>
      </w:r>
      <w:r w:rsidR="00674620" w:rsidRPr="005C59E1">
        <w:t xml:space="preserve"> the Global Environment Facility, in collaboration with the Green Climate Fund, the Adaptation Fund and the Climate Investment Funds, with a view to enhancing developing countries’ access to climate finance, scaling up successful projects, maximizing the impact of climate finance and strengthening coherence and </w:t>
      </w:r>
      <w:r w:rsidR="00674620" w:rsidRPr="005C59E1">
        <w:rPr>
          <w:i/>
          <w:iCs/>
        </w:rPr>
        <w:t>invites</w:t>
      </w:r>
      <w:r w:rsidR="00674620" w:rsidRPr="005C59E1">
        <w:t xml:space="preserve"> the Global Environment Facility to ensure that efforts to enhance coherence and complementarity among climate funds do not restrict the access of developing countries to resources or reduce the finance available to them;</w:t>
      </w:r>
    </w:p>
    <w:p w14:paraId="2F4E8810" w14:textId="3DDCCFD3" w:rsidR="00674620" w:rsidRPr="005C59E1" w:rsidRDefault="00BD5DB4" w:rsidP="00BD5DB4">
      <w:pPr>
        <w:pStyle w:val="RegSingleTxtG"/>
        <w:numPr>
          <w:ilvl w:val="0"/>
          <w:numId w:val="0"/>
        </w:numPr>
        <w:ind w:left="1134"/>
      </w:pPr>
      <w:r w:rsidRPr="005C59E1">
        <w:t>4.</w:t>
      </w:r>
      <w:r w:rsidRPr="005C59E1">
        <w:tab/>
      </w:r>
      <w:r w:rsidR="00674620" w:rsidRPr="005C59E1">
        <w:rPr>
          <w:i/>
          <w:iCs/>
        </w:rPr>
        <w:t>Requests</w:t>
      </w:r>
      <w:r w:rsidR="00674620" w:rsidRPr="005C59E1">
        <w:t xml:space="preserve"> the Global Environment Facility, in administering the Least Developed Countries Fund and the Special Climate Change Fund, to contribute to improving the coherence of and coordination across the funding arrangements for responding to loss and damage in line with decisions </w:t>
      </w:r>
      <w:hyperlink r:id="rId64" w:history="1">
        <w:r w:rsidR="00674620" w:rsidRPr="00B26B88">
          <w:rPr>
            <w:rStyle w:val="Hyperlink"/>
          </w:rPr>
          <w:t>1/CP.28</w:t>
        </w:r>
      </w:hyperlink>
      <w:r w:rsidR="00674620" w:rsidRPr="005C59E1">
        <w:t xml:space="preserve"> and </w:t>
      </w:r>
      <w:hyperlink r:id="rId65" w:history="1">
        <w:r w:rsidR="00674620" w:rsidRPr="00B26B88">
          <w:rPr>
            <w:rStyle w:val="Hyperlink"/>
          </w:rPr>
          <w:t>5/CMA.5</w:t>
        </w:r>
      </w:hyperlink>
      <w:r w:rsidR="00674620" w:rsidRPr="005C59E1">
        <w:t>;</w:t>
      </w:r>
    </w:p>
    <w:p w14:paraId="72C69F68" w14:textId="26FFC95E" w:rsidR="00674620" w:rsidRPr="005C59E1" w:rsidRDefault="00BD5DB4" w:rsidP="00BD5DB4">
      <w:pPr>
        <w:pStyle w:val="RegSingleTxtG"/>
        <w:numPr>
          <w:ilvl w:val="0"/>
          <w:numId w:val="0"/>
        </w:numPr>
        <w:ind w:left="1134"/>
      </w:pPr>
      <w:r w:rsidRPr="005C59E1">
        <w:t>5.</w:t>
      </w:r>
      <w:r w:rsidRPr="005C59E1">
        <w:tab/>
      </w:r>
      <w:r w:rsidR="00674620" w:rsidRPr="005C59E1">
        <w:rPr>
          <w:i/>
          <w:iCs/>
        </w:rPr>
        <w:t>Also requests</w:t>
      </w:r>
      <w:r w:rsidR="00674620" w:rsidRPr="005C59E1">
        <w:t xml:space="preserve"> the Global Environment Facility to continue ensur</w:t>
      </w:r>
      <w:r w:rsidR="00674620">
        <w:t>ing</w:t>
      </w:r>
      <w:r w:rsidR="00674620" w:rsidRPr="005C59E1">
        <w:t xml:space="preserve"> that its efforts to enhance coherence and complementarity </w:t>
      </w:r>
      <w:r w:rsidR="00674620" w:rsidRPr="005C59E1">
        <w:rPr>
          <w:rFonts w:eastAsia="Malgun Gothic" w:hint="eastAsia"/>
          <w:lang w:eastAsia="ko-KR"/>
        </w:rPr>
        <w:t xml:space="preserve">with other climate funds </w:t>
      </w:r>
      <w:r w:rsidR="00674620" w:rsidRPr="005C59E1">
        <w:t>do not result in restricted access to resources by developing countries or reduced availability of finance for them;</w:t>
      </w:r>
    </w:p>
    <w:p w14:paraId="48DE5191" w14:textId="4A868DEE" w:rsidR="00674620" w:rsidRPr="005C59E1" w:rsidRDefault="00BD5DB4" w:rsidP="00BD5DB4">
      <w:pPr>
        <w:pStyle w:val="RegSingleTxtG"/>
        <w:numPr>
          <w:ilvl w:val="0"/>
          <w:numId w:val="0"/>
        </w:numPr>
        <w:ind w:left="1134"/>
      </w:pPr>
      <w:r w:rsidRPr="005C59E1">
        <w:t>6.</w:t>
      </w:r>
      <w:r w:rsidRPr="005C59E1">
        <w:tab/>
      </w:r>
      <w:r w:rsidR="00674620" w:rsidRPr="005C59E1">
        <w:rPr>
          <w:i/>
          <w:iCs/>
        </w:rPr>
        <w:t>Urges</w:t>
      </w:r>
      <w:r w:rsidR="00674620" w:rsidRPr="005C59E1">
        <w:t xml:space="preserve"> the Global Environment Facility to ensure that a broad range of implementing agencies are engaged in its programming in order to reduce concentration of projects among few implementing agencies and </w:t>
      </w:r>
      <w:r w:rsidR="00674620" w:rsidRPr="005C59E1">
        <w:rPr>
          <w:i/>
          <w:iCs/>
        </w:rPr>
        <w:t>also urges</w:t>
      </w:r>
      <w:r w:rsidR="00674620" w:rsidRPr="005C59E1">
        <w:t xml:space="preserve"> the Global Environment Facility, in the context of its review of the Global Environment Facility partnership, to consider national and regional </w:t>
      </w:r>
      <w:r w:rsidR="00674620" w:rsidRPr="005C59E1">
        <w:lastRenderedPageBreak/>
        <w:t>entities in developing countries in all regions, with a focus on underserved regions, when expanding the number of implementing agencies;</w:t>
      </w:r>
    </w:p>
    <w:p w14:paraId="13EBFA06" w14:textId="5364510F" w:rsidR="00674620" w:rsidRPr="005C59E1" w:rsidRDefault="00BD5DB4" w:rsidP="00BD5DB4">
      <w:pPr>
        <w:pStyle w:val="RegSingleTxtG"/>
        <w:numPr>
          <w:ilvl w:val="0"/>
          <w:numId w:val="0"/>
        </w:numPr>
        <w:ind w:left="1134"/>
      </w:pPr>
      <w:r w:rsidRPr="005C59E1">
        <w:t>7.</w:t>
      </w:r>
      <w:r w:rsidRPr="005C59E1">
        <w:tab/>
      </w:r>
      <w:r w:rsidR="00674620" w:rsidRPr="005C59E1">
        <w:rPr>
          <w:i/>
          <w:iCs/>
        </w:rPr>
        <w:t>Further urges</w:t>
      </w:r>
      <w:r w:rsidR="00674620" w:rsidRPr="005C59E1">
        <w:t xml:space="preserve"> the Global Environment Facility to consider ways of strengthening local capacities and country ownership in its provision of support; </w:t>
      </w:r>
    </w:p>
    <w:p w14:paraId="5EE3838E" w14:textId="596A0590" w:rsidR="00674620" w:rsidRPr="005C59E1" w:rsidRDefault="00BD5DB4" w:rsidP="00BD5DB4">
      <w:pPr>
        <w:pStyle w:val="RegSingleTxtG"/>
        <w:numPr>
          <w:ilvl w:val="0"/>
          <w:numId w:val="0"/>
        </w:numPr>
        <w:ind w:left="1134"/>
      </w:pPr>
      <w:r w:rsidRPr="005C59E1">
        <w:t>8.</w:t>
      </w:r>
      <w:r w:rsidRPr="005C59E1">
        <w:tab/>
      </w:r>
      <w:r w:rsidR="00674620" w:rsidRPr="005C59E1">
        <w:rPr>
          <w:i/>
          <w:iCs/>
        </w:rPr>
        <w:t xml:space="preserve">Notes </w:t>
      </w:r>
      <w:r w:rsidR="00674620" w:rsidRPr="005C59E1">
        <w:rPr>
          <w:i/>
        </w:rPr>
        <w:t>with concern</w:t>
      </w:r>
      <w:r w:rsidR="00674620" w:rsidRPr="005C59E1">
        <w:t xml:space="preserve"> the absence of a pledging session for the Least Developed Countries Fund and the Special Climate Change Fund at this session of the Conference of the Parties owing to the small number of pledges, highlighting the importance of increased support </w:t>
      </w:r>
      <w:r w:rsidR="00674620">
        <w:t>f</w:t>
      </w:r>
      <w:r w:rsidR="00674620" w:rsidRPr="005C59E1">
        <w:t>o</w:t>
      </w:r>
      <w:r w:rsidR="00674620">
        <w:t>r</w:t>
      </w:r>
      <w:r w:rsidR="00674620" w:rsidRPr="005C59E1">
        <w:t xml:space="preserve"> both </w:t>
      </w:r>
      <w:r w:rsidR="00674620">
        <w:t>F</w:t>
      </w:r>
      <w:r w:rsidR="00674620" w:rsidRPr="005C59E1">
        <w:t>unds</w:t>
      </w:r>
      <w:r w:rsidR="00674620">
        <w:t>,</w:t>
      </w:r>
      <w:r w:rsidR="00674620" w:rsidRPr="005C59E1">
        <w:t xml:space="preserve"> and recalling paragraph 8 of </w:t>
      </w:r>
      <w:r w:rsidR="00674620" w:rsidRPr="005C59E1">
        <w:rPr>
          <w:color w:val="000000"/>
        </w:rPr>
        <w:t xml:space="preserve">decision </w:t>
      </w:r>
      <w:hyperlink r:id="rId66" w:history="1">
        <w:r w:rsidR="00674620" w:rsidRPr="00B26B88">
          <w:rPr>
            <w:rStyle w:val="Hyperlink"/>
          </w:rPr>
          <w:t>17/CP.27</w:t>
        </w:r>
      </w:hyperlink>
      <w:r w:rsidR="00674620">
        <w:rPr>
          <w:color w:val="000000"/>
        </w:rPr>
        <w:t>,</w:t>
      </w:r>
      <w:r w:rsidR="00674620" w:rsidRPr="005C59E1">
        <w:t xml:space="preserve"> while acknowledging approval of the largest ever Least Developed Countries Fund and Special Climate Change Fund work programme in fiscal year 2024, with USD 382.32 million allocated to 31 projects and programmes under the Least Developed Countries Fund and USD 24.87 million to </w:t>
      </w:r>
      <w:r w:rsidR="006D4205">
        <w:t>5</w:t>
      </w:r>
      <w:r w:rsidR="00674620" w:rsidRPr="005C59E1">
        <w:t xml:space="preserve"> projects under the Special Climate Change Fund, totalling USD 407.19 million across 36 projects and programmes;</w:t>
      </w:r>
    </w:p>
    <w:p w14:paraId="593AD472" w14:textId="538611E9" w:rsidR="00674620" w:rsidRPr="005C59E1" w:rsidRDefault="00BD5DB4" w:rsidP="00BD5DB4">
      <w:pPr>
        <w:pStyle w:val="RegSingleTxtG"/>
        <w:numPr>
          <w:ilvl w:val="0"/>
          <w:numId w:val="0"/>
        </w:numPr>
        <w:ind w:left="1134"/>
      </w:pPr>
      <w:r w:rsidRPr="005C59E1">
        <w:t>9.</w:t>
      </w:r>
      <w:r w:rsidRPr="005C59E1">
        <w:tab/>
      </w:r>
      <w:r w:rsidR="00674620" w:rsidRPr="005C59E1">
        <w:rPr>
          <w:i/>
          <w:iCs/>
        </w:rPr>
        <w:t xml:space="preserve">Requests </w:t>
      </w:r>
      <w:r w:rsidR="00674620" w:rsidRPr="005C59E1">
        <w:t>the Global Environment Facility to further streamline</w:t>
      </w:r>
      <w:r w:rsidR="00674620" w:rsidRPr="005C59E1">
        <w:rPr>
          <w:rFonts w:eastAsia="Malgun Gothic" w:hint="eastAsia"/>
          <w:lang w:eastAsia="ko-KR"/>
        </w:rPr>
        <w:t xml:space="preserve"> </w:t>
      </w:r>
      <w:r w:rsidR="00674620" w:rsidRPr="005C59E1">
        <w:t xml:space="preserve">the processes of </w:t>
      </w:r>
      <w:r w:rsidR="00674620">
        <w:t xml:space="preserve">the </w:t>
      </w:r>
      <w:r w:rsidR="00674620" w:rsidRPr="005C59E1">
        <w:t>Least Developed Countries Fund and the Special Climate Change Fund to simplify access for eligible countries</w:t>
      </w:r>
      <w:r w:rsidR="00674620">
        <w:t>,</w:t>
      </w:r>
      <w:r w:rsidR="00674620" w:rsidRPr="005C59E1">
        <w:t xml:space="preserve"> as appropriate;</w:t>
      </w:r>
    </w:p>
    <w:p w14:paraId="40F50EE7" w14:textId="74D61239" w:rsidR="00674620" w:rsidRPr="005C59E1" w:rsidRDefault="00BD5DB4" w:rsidP="00BD5DB4">
      <w:pPr>
        <w:pStyle w:val="RegSingleTxtG"/>
        <w:numPr>
          <w:ilvl w:val="0"/>
          <w:numId w:val="0"/>
        </w:numPr>
        <w:ind w:left="1134"/>
      </w:pPr>
      <w:r w:rsidRPr="005C59E1">
        <w:t>10.</w:t>
      </w:r>
      <w:r w:rsidRPr="005C59E1">
        <w:tab/>
      </w:r>
      <w:r w:rsidR="00674620" w:rsidRPr="005C59E1">
        <w:rPr>
          <w:rFonts w:eastAsia="Malgun Gothic"/>
          <w:i/>
          <w:iCs/>
          <w:lang w:eastAsia="ko-KR"/>
        </w:rPr>
        <w:t xml:space="preserve">Welcomes </w:t>
      </w:r>
      <w:r w:rsidR="00674620" w:rsidRPr="005C59E1">
        <w:rPr>
          <w:rFonts w:eastAsia="Malgun Gothic" w:hint="eastAsia"/>
          <w:lang w:eastAsia="ko-KR"/>
        </w:rPr>
        <w:t xml:space="preserve">the </w:t>
      </w:r>
      <w:r w:rsidR="00674620" w:rsidRPr="005C59E1">
        <w:rPr>
          <w:rFonts w:eastAsia="Malgun Gothic"/>
          <w:lang w:eastAsia="ko-KR"/>
        </w:rPr>
        <w:t>ongoing collaboration of the Global Environment Facility with the Technology E</w:t>
      </w:r>
      <w:r w:rsidR="00674620" w:rsidRPr="005C59E1">
        <w:rPr>
          <w:color w:val="000000"/>
          <w:bdr w:val="none" w:sz="0" w:space="0" w:color="auto" w:frame="1"/>
        </w:rPr>
        <w:t xml:space="preserve">xecutive Committee and the Climate Technology Centre and Network and </w:t>
      </w:r>
      <w:r w:rsidR="00674620" w:rsidRPr="005C59E1">
        <w:rPr>
          <w:i/>
          <w:iCs/>
          <w:color w:val="000000"/>
          <w:bdr w:val="none" w:sz="0" w:space="0" w:color="auto" w:frame="1"/>
        </w:rPr>
        <w:t>encourages</w:t>
      </w:r>
      <w:r w:rsidR="00674620" w:rsidRPr="005C59E1">
        <w:rPr>
          <w:color w:val="000000"/>
          <w:bdr w:val="none" w:sz="0" w:space="0" w:color="auto" w:frame="1"/>
        </w:rPr>
        <w:t xml:space="preserve"> the </w:t>
      </w:r>
      <w:r w:rsidR="00674620" w:rsidRPr="005C59E1">
        <w:t>Global Environment Facility</w:t>
      </w:r>
      <w:r w:rsidR="00674620" w:rsidRPr="005C59E1">
        <w:rPr>
          <w:rFonts w:eastAsia="Malgun Gothic" w:hint="eastAsia"/>
          <w:lang w:eastAsia="ko-KR"/>
        </w:rPr>
        <w:t xml:space="preserve"> </w:t>
      </w:r>
      <w:r w:rsidR="00674620" w:rsidRPr="005C59E1">
        <w:rPr>
          <w:rFonts w:eastAsia="Malgun Gothic"/>
          <w:lang w:eastAsia="ko-KR"/>
        </w:rPr>
        <w:t>t</w:t>
      </w:r>
      <w:r w:rsidR="00674620" w:rsidRPr="005C59E1">
        <w:rPr>
          <w:rFonts w:eastAsia="Malgun Gothic" w:hint="eastAsia"/>
          <w:lang w:eastAsia="ko-KR"/>
        </w:rPr>
        <w:t xml:space="preserve">o consider opportunities </w:t>
      </w:r>
      <w:r w:rsidR="00674620" w:rsidRPr="005C59E1">
        <w:rPr>
          <w:rFonts w:eastAsia="Malgun Gothic"/>
          <w:lang w:eastAsia="ko-KR"/>
        </w:rPr>
        <w:t>for</w:t>
      </w:r>
      <w:r w:rsidR="00674620" w:rsidRPr="005C59E1">
        <w:rPr>
          <w:rFonts w:eastAsia="Malgun Gothic" w:hint="eastAsia"/>
          <w:lang w:eastAsia="ko-KR"/>
        </w:rPr>
        <w:t xml:space="preserve"> scal</w:t>
      </w:r>
      <w:r w:rsidR="00674620" w:rsidRPr="005C59E1">
        <w:rPr>
          <w:rFonts w:eastAsia="Malgun Gothic"/>
          <w:lang w:eastAsia="ko-KR"/>
        </w:rPr>
        <w:t>ing</w:t>
      </w:r>
      <w:r w:rsidR="00674620" w:rsidRPr="005C59E1">
        <w:rPr>
          <w:rFonts w:eastAsia="Malgun Gothic" w:hint="eastAsia"/>
          <w:lang w:eastAsia="ko-KR"/>
        </w:rPr>
        <w:t xml:space="preserve"> up programmes focused on technology and innovation; </w:t>
      </w:r>
    </w:p>
    <w:p w14:paraId="14498691" w14:textId="7F3D7C4A" w:rsidR="00674620" w:rsidRPr="005C59E1" w:rsidRDefault="00BD5DB4" w:rsidP="00BD5DB4">
      <w:pPr>
        <w:pStyle w:val="RegSingleTxtG"/>
        <w:numPr>
          <w:ilvl w:val="0"/>
          <w:numId w:val="0"/>
        </w:numPr>
        <w:ind w:left="1134"/>
      </w:pPr>
      <w:r w:rsidRPr="005C59E1">
        <w:t>11.</w:t>
      </w:r>
      <w:r w:rsidRPr="005C59E1">
        <w:tab/>
      </w:r>
      <w:r w:rsidR="00674620" w:rsidRPr="005C59E1">
        <w:rPr>
          <w:i/>
          <w:iCs/>
        </w:rPr>
        <w:t xml:space="preserve">Invites </w:t>
      </w:r>
      <w:r w:rsidR="00674620" w:rsidRPr="005C59E1">
        <w:t xml:space="preserve">the Global Environment Facility to consider areas </w:t>
      </w:r>
      <w:r w:rsidR="00674620">
        <w:t>for</w:t>
      </w:r>
      <w:r w:rsidR="00674620" w:rsidRPr="005C59E1">
        <w:t xml:space="preserve"> improvement in the context of the gender-responsiveness of its work, taking into account relevant insights, including the summary report of the 2024 Forum of the Standing Committee on Finance on accelerating climate action and resilience through gender-responsive finance;</w:t>
      </w:r>
      <w:r w:rsidR="00674620" w:rsidRPr="005C59E1">
        <w:rPr>
          <w:rStyle w:val="FootnoteReference"/>
        </w:rPr>
        <w:footnoteReference w:id="30"/>
      </w:r>
      <w:r w:rsidR="00674620" w:rsidRPr="005C59E1">
        <w:rPr>
          <w:i/>
          <w:iCs/>
        </w:rPr>
        <w:t xml:space="preserve"> </w:t>
      </w:r>
    </w:p>
    <w:p w14:paraId="63BC2990" w14:textId="53BC70BA" w:rsidR="00674620" w:rsidRPr="005C59E1" w:rsidRDefault="00BD5DB4" w:rsidP="00BD5DB4">
      <w:pPr>
        <w:pStyle w:val="RegSingleTxtG"/>
        <w:numPr>
          <w:ilvl w:val="0"/>
          <w:numId w:val="0"/>
        </w:numPr>
        <w:ind w:left="1134"/>
      </w:pPr>
      <w:r w:rsidRPr="005C59E1">
        <w:t>12.</w:t>
      </w:r>
      <w:r w:rsidRPr="005C59E1">
        <w:tab/>
      </w:r>
      <w:r w:rsidR="00674620" w:rsidRPr="005C59E1">
        <w:rPr>
          <w:i/>
          <w:iCs/>
        </w:rPr>
        <w:t>Encourages</w:t>
      </w:r>
      <w:r w:rsidR="00674620" w:rsidRPr="005C59E1">
        <w:t xml:space="preserve"> the Global Environment Facility to work to ensure that all its implementing agencies fully comply with its policy on gender equality</w:t>
      </w:r>
      <w:r w:rsidR="00674620" w:rsidRPr="005C59E1">
        <w:rPr>
          <w:rStyle w:val="FootnoteReference"/>
        </w:rPr>
        <w:footnoteReference w:id="31"/>
      </w:r>
      <w:r w:rsidR="00674620" w:rsidRPr="005C59E1">
        <w:t xml:space="preserve"> in implementing climate projects funded by the Global Environment Facility in order to help ensure equal opportunities for women and men </w:t>
      </w:r>
      <w:r w:rsidR="00674620" w:rsidRPr="005C59E1">
        <w:rPr>
          <w:rFonts w:eastAsia="Malgun Gothic" w:hint="eastAsia"/>
          <w:lang w:eastAsia="ko-KR"/>
        </w:rPr>
        <w:t>in</w:t>
      </w:r>
      <w:r w:rsidR="00674620" w:rsidRPr="005C59E1">
        <w:t xml:space="preserve"> terms of participating in, contributing to and benefiting from activities financed by the Global Environment Facility;</w:t>
      </w:r>
    </w:p>
    <w:p w14:paraId="44935EB1" w14:textId="21F51F3F" w:rsidR="00674620" w:rsidRPr="005C59E1" w:rsidRDefault="00BD5DB4" w:rsidP="00BD5DB4">
      <w:pPr>
        <w:pStyle w:val="RegSingleTxtG"/>
        <w:numPr>
          <w:ilvl w:val="0"/>
          <w:numId w:val="0"/>
        </w:numPr>
        <w:ind w:left="1134"/>
      </w:pPr>
      <w:r w:rsidRPr="005C59E1">
        <w:t>13.</w:t>
      </w:r>
      <w:r w:rsidRPr="005C59E1">
        <w:tab/>
      </w:r>
      <w:r w:rsidR="00674620" w:rsidRPr="005C59E1">
        <w:rPr>
          <w:i/>
          <w:iCs/>
        </w:rPr>
        <w:t>Also encourages</w:t>
      </w:r>
      <w:r w:rsidR="00674620" w:rsidRPr="005C59E1">
        <w:t xml:space="preserve"> the Global Environment Facility to clearly outline in its work programmes how Indigenous Peoples as well as local communities can meaningfully engage in the development of Global Environment Facility programmes and projects</w:t>
      </w:r>
      <w:r w:rsidR="00674620" w:rsidRPr="005C59E1">
        <w:rPr>
          <w:rFonts w:eastAsia="Malgun Gothic" w:hint="eastAsia"/>
          <w:lang w:eastAsia="ko-KR"/>
        </w:rPr>
        <w:t xml:space="preserve"> and </w:t>
      </w:r>
      <w:r w:rsidR="00674620" w:rsidRPr="005C59E1">
        <w:t xml:space="preserve">benefit </w:t>
      </w:r>
      <w:r w:rsidR="00674620" w:rsidRPr="005C59E1">
        <w:rPr>
          <w:rFonts w:eastAsia="Malgun Gothic" w:hint="eastAsia"/>
          <w:lang w:eastAsia="ko-KR"/>
        </w:rPr>
        <w:t>there</w:t>
      </w:r>
      <w:r w:rsidR="00674620" w:rsidRPr="005C59E1">
        <w:t>from;</w:t>
      </w:r>
    </w:p>
    <w:p w14:paraId="64A47CEC" w14:textId="29119104" w:rsidR="00674620" w:rsidRPr="005C59E1" w:rsidRDefault="00BD5DB4" w:rsidP="00BD5DB4">
      <w:pPr>
        <w:pStyle w:val="RegSingleTxtG"/>
        <w:numPr>
          <w:ilvl w:val="0"/>
          <w:numId w:val="0"/>
        </w:numPr>
        <w:ind w:left="1134"/>
      </w:pPr>
      <w:r w:rsidRPr="005C59E1">
        <w:t>14.</w:t>
      </w:r>
      <w:r w:rsidRPr="005C59E1">
        <w:tab/>
      </w:r>
      <w:r w:rsidR="00674620" w:rsidRPr="005C59E1">
        <w:rPr>
          <w:i/>
          <w:iCs/>
        </w:rPr>
        <w:t xml:space="preserve">Requests </w:t>
      </w:r>
      <w:r w:rsidR="00674620" w:rsidRPr="005C59E1">
        <w:t>the</w:t>
      </w:r>
      <w:r w:rsidR="00674620" w:rsidRPr="005C59E1">
        <w:rPr>
          <w:i/>
          <w:iCs/>
        </w:rPr>
        <w:t xml:space="preserve"> </w:t>
      </w:r>
      <w:r w:rsidR="00674620" w:rsidRPr="005C59E1">
        <w:t xml:space="preserve">Global Environment Facility, in administering the Least Developed Countries Fund, to continue facilitating the smooth transition of developing countries graduating from least developed country status by continuing to provide approved funding through the </w:t>
      </w:r>
      <w:r w:rsidR="00674620" w:rsidRPr="005C59E1">
        <w:rPr>
          <w:rFonts w:eastAsia="Malgun Gothic" w:hint="eastAsia"/>
          <w:lang w:eastAsia="ko-KR"/>
        </w:rPr>
        <w:t>Fund</w:t>
      </w:r>
      <w:r w:rsidR="00674620" w:rsidRPr="005C59E1">
        <w:t xml:space="preserve"> until the completion of projects approved by the Least Developed Countries Fund Council prior to those countries’ graduation from least developed country status and </w:t>
      </w:r>
      <w:r w:rsidR="00674620" w:rsidRPr="005C59E1">
        <w:rPr>
          <w:i/>
          <w:iCs/>
        </w:rPr>
        <w:t>also requests</w:t>
      </w:r>
      <w:r w:rsidR="00674620" w:rsidRPr="005C59E1">
        <w:t xml:space="preserve"> the Global Environment Facility to consider developing further measures to help ensure this smooth transition for recently graduated least developed countries;</w:t>
      </w:r>
    </w:p>
    <w:p w14:paraId="155954A9" w14:textId="7B989ED0" w:rsidR="00674620" w:rsidRPr="005C59E1" w:rsidRDefault="00BD5DB4" w:rsidP="00BD5DB4">
      <w:pPr>
        <w:pStyle w:val="RegSingleTxtG"/>
        <w:numPr>
          <w:ilvl w:val="0"/>
          <w:numId w:val="0"/>
        </w:numPr>
        <w:ind w:left="1134"/>
      </w:pPr>
      <w:r w:rsidRPr="005C59E1">
        <w:t>15.</w:t>
      </w:r>
      <w:r w:rsidRPr="005C59E1">
        <w:tab/>
      </w:r>
      <w:r w:rsidR="00674620" w:rsidRPr="005C59E1">
        <w:rPr>
          <w:i/>
          <w:iCs/>
        </w:rPr>
        <w:t>Further requests</w:t>
      </w:r>
      <w:r w:rsidR="00674620" w:rsidRPr="005C59E1">
        <w:t xml:space="preserve"> the Global Environment Facility to continue to support the strengthening of institutional arrangements and the building of capacity </w:t>
      </w:r>
      <w:r w:rsidR="00674620">
        <w:t>in</w:t>
      </w:r>
      <w:r w:rsidR="00674620" w:rsidRPr="005C59E1">
        <w:t xml:space="preserve"> developing countries with a view to facilitating improved access to and use of Global Environment Facility resources, facilitating knowledge-sharing and South–South learning on Global Environment Facility projects and exploring areas for further collaboration;</w:t>
      </w:r>
    </w:p>
    <w:p w14:paraId="1F119297" w14:textId="55C181AD" w:rsidR="00674620" w:rsidRPr="005C59E1" w:rsidRDefault="00BD5DB4" w:rsidP="00BD5DB4">
      <w:pPr>
        <w:pStyle w:val="RegSingleTxtG"/>
        <w:numPr>
          <w:ilvl w:val="0"/>
          <w:numId w:val="0"/>
        </w:numPr>
        <w:ind w:left="1134"/>
      </w:pPr>
      <w:r w:rsidRPr="005C59E1">
        <w:t>16.</w:t>
      </w:r>
      <w:r w:rsidRPr="005C59E1">
        <w:tab/>
      </w:r>
      <w:r w:rsidR="00674620" w:rsidRPr="005C59E1">
        <w:rPr>
          <w:i/>
          <w:iCs/>
        </w:rPr>
        <w:t>Decides</w:t>
      </w:r>
      <w:r w:rsidR="00674620" w:rsidRPr="005C59E1">
        <w:t xml:space="preserve"> to modify the memorandum of understanding between the Conference of the Parties and the Global Environment Facility,</w:t>
      </w:r>
      <w:r w:rsidR="00674620" w:rsidRPr="005C59E1">
        <w:rPr>
          <w:rStyle w:val="FootnoteReference"/>
        </w:rPr>
        <w:footnoteReference w:id="32"/>
      </w:r>
      <w:r w:rsidR="00674620" w:rsidRPr="005C59E1">
        <w:t xml:space="preserve"> as outlined in the annex</w:t>
      </w:r>
      <w:r w:rsidR="00674620" w:rsidRPr="005C59E1">
        <w:rPr>
          <w:rFonts w:eastAsia="Malgun Gothic" w:hint="eastAsia"/>
          <w:lang w:eastAsia="ko-KR"/>
        </w:rPr>
        <w:t xml:space="preserve">, </w:t>
      </w:r>
      <w:r w:rsidR="00674620" w:rsidRPr="005C59E1">
        <w:t xml:space="preserve">for consideration and approval by the Council of the Global Environment Facility before the thirtieth session of the Conference of the Parties (November 2025), thereby making the revised memorandum of understanding effective upon the Council’s approval, and ensuring that the subsequent </w:t>
      </w:r>
      <w:r w:rsidR="00674620" w:rsidRPr="005C59E1">
        <w:lastRenderedPageBreak/>
        <w:t>guidance from the Conference of the Parties and the Conference of the Parties serving as the meeting of the Parties to the Paris Agreement is provided to the Global Environment Facility annually</w:t>
      </w:r>
      <w:r w:rsidR="00674620" w:rsidRPr="005C59E1">
        <w:rPr>
          <w:rFonts w:eastAsia="Malgun Gothic" w:hint="eastAsia"/>
          <w:lang w:eastAsia="ko-KR"/>
        </w:rPr>
        <w:t xml:space="preserve"> </w:t>
      </w:r>
      <w:r w:rsidR="00674620" w:rsidRPr="005C59E1">
        <w:rPr>
          <w:rFonts w:eastAsia="Malgun Gothic"/>
          <w:lang w:eastAsia="ko-KR"/>
        </w:rPr>
        <w:t>until</w:t>
      </w:r>
      <w:r w:rsidR="00674620" w:rsidRPr="005C59E1">
        <w:rPr>
          <w:rFonts w:eastAsia="Malgun Gothic" w:hint="eastAsia"/>
          <w:lang w:eastAsia="ko-KR"/>
        </w:rPr>
        <w:t xml:space="preserve"> their thirty-first (November 2026) and eighth (November 2026) sessions respectively, and biennially thereafter, and also </w:t>
      </w:r>
      <w:r w:rsidR="00674620" w:rsidRPr="005C59E1">
        <w:rPr>
          <w:rFonts w:eastAsia="Malgun Gothic"/>
          <w:lang w:eastAsia="ko-KR"/>
        </w:rPr>
        <w:t xml:space="preserve">at </w:t>
      </w:r>
      <w:r w:rsidR="00674620" w:rsidRPr="005C59E1">
        <w:rPr>
          <w:rFonts w:eastAsia="Malgun Gothic" w:hint="eastAsia"/>
          <w:lang w:eastAsia="ko-KR"/>
        </w:rPr>
        <w:t>sessions</w:t>
      </w:r>
      <w:r w:rsidR="00674620" w:rsidRPr="005C59E1">
        <w:rPr>
          <w:rFonts w:hint="eastAsia"/>
        </w:rPr>
        <w:t xml:space="preserve"> </w:t>
      </w:r>
      <w:r w:rsidR="00674620" w:rsidRPr="005C59E1">
        <w:t xml:space="preserve">held in the year immediately preceding the initiation </w:t>
      </w:r>
      <w:r w:rsidR="00674620" w:rsidRPr="005C59E1">
        <w:rPr>
          <w:rFonts w:eastAsia="Malgun Gothic" w:hint="eastAsia"/>
          <w:lang w:eastAsia="ko-KR"/>
        </w:rPr>
        <w:t xml:space="preserve">of discussions on </w:t>
      </w:r>
      <w:r w:rsidR="00674620" w:rsidRPr="005C59E1">
        <w:t>new replenishment</w:t>
      </w:r>
      <w:r w:rsidR="00674620" w:rsidRPr="005C59E1">
        <w:rPr>
          <w:rFonts w:eastAsia="Malgun Gothic" w:hint="eastAsia"/>
          <w:lang w:eastAsia="ko-KR"/>
        </w:rPr>
        <w:t>s</w:t>
      </w:r>
      <w:r w:rsidR="00674620" w:rsidRPr="005C59E1">
        <w:t>;</w:t>
      </w:r>
    </w:p>
    <w:p w14:paraId="0031715E" w14:textId="1413C6E2" w:rsidR="00674620" w:rsidRPr="005C59E1" w:rsidRDefault="00BD5DB4" w:rsidP="00BD5DB4">
      <w:pPr>
        <w:pStyle w:val="RegSingleTxtG"/>
        <w:numPr>
          <w:ilvl w:val="0"/>
          <w:numId w:val="0"/>
        </w:numPr>
        <w:ind w:left="1134"/>
      </w:pPr>
      <w:r w:rsidRPr="005C59E1">
        <w:t>17.</w:t>
      </w:r>
      <w:r w:rsidRPr="005C59E1">
        <w:tab/>
      </w:r>
      <w:r w:rsidR="00674620" w:rsidRPr="005C59E1">
        <w:rPr>
          <w:i/>
          <w:iCs/>
        </w:rPr>
        <w:t>Confirms</w:t>
      </w:r>
      <w:r w:rsidR="00674620" w:rsidRPr="005C59E1">
        <w:t xml:space="preserve"> that guidance</w:t>
      </w:r>
      <w:r w:rsidR="00674620" w:rsidRPr="005C59E1">
        <w:rPr>
          <w:rFonts w:eastAsia="Malgun Gothic" w:hint="eastAsia"/>
          <w:lang w:eastAsia="ko-KR"/>
        </w:rPr>
        <w:t xml:space="preserve"> may be provided outside the </w:t>
      </w:r>
      <w:r w:rsidR="00674620" w:rsidRPr="005C59E1">
        <w:t xml:space="preserve">biennial cycle referred to in the </w:t>
      </w:r>
      <w:r w:rsidR="00674620" w:rsidRPr="005C59E1">
        <w:rPr>
          <w:rFonts w:eastAsia="Malgun Gothic" w:hint="eastAsia"/>
          <w:lang w:eastAsia="ko-KR"/>
        </w:rPr>
        <w:t>modifi</w:t>
      </w:r>
      <w:r w:rsidR="00674620">
        <w:rPr>
          <w:rFonts w:eastAsia="Malgun Gothic"/>
          <w:lang w:eastAsia="ko-KR"/>
        </w:rPr>
        <w:t>cation</w:t>
      </w:r>
      <w:r w:rsidR="00674620" w:rsidRPr="005C59E1">
        <w:rPr>
          <w:rFonts w:eastAsia="Malgun Gothic" w:hint="eastAsia"/>
          <w:lang w:eastAsia="ko-KR"/>
        </w:rPr>
        <w:t xml:space="preserve"> </w:t>
      </w:r>
      <w:r w:rsidR="00674620">
        <w:rPr>
          <w:rFonts w:eastAsia="Malgun Gothic"/>
          <w:lang w:eastAsia="ko-KR"/>
        </w:rPr>
        <w:t xml:space="preserve">to the </w:t>
      </w:r>
      <w:r w:rsidR="00674620" w:rsidRPr="005C59E1">
        <w:rPr>
          <w:rFonts w:eastAsia="Malgun Gothic"/>
          <w:lang w:eastAsia="ko-KR"/>
        </w:rPr>
        <w:t xml:space="preserve">memorandum of understanding </w:t>
      </w:r>
      <w:r w:rsidR="00674620">
        <w:rPr>
          <w:rFonts w:eastAsia="Malgun Gothic"/>
          <w:lang w:eastAsia="ko-KR"/>
        </w:rPr>
        <w:t>as outlin</w:t>
      </w:r>
      <w:r w:rsidR="00674620" w:rsidRPr="005C59E1">
        <w:rPr>
          <w:rFonts w:eastAsia="Malgun Gothic"/>
          <w:lang w:eastAsia="ko-KR"/>
        </w:rPr>
        <w:t>ed</w:t>
      </w:r>
      <w:r w:rsidR="00674620" w:rsidRPr="005C59E1">
        <w:rPr>
          <w:rFonts w:eastAsia="Malgun Gothic" w:hint="eastAsia"/>
          <w:lang w:eastAsia="ko-KR"/>
        </w:rPr>
        <w:t xml:space="preserve"> in the annex</w:t>
      </w:r>
      <w:r w:rsidR="00215272">
        <w:rPr>
          <w:rFonts w:eastAsia="Malgun Gothic"/>
          <w:lang w:eastAsia="ko-KR"/>
        </w:rPr>
        <w:t>,</w:t>
      </w:r>
      <w:r w:rsidR="00674620" w:rsidRPr="005C59E1">
        <w:rPr>
          <w:rFonts w:hint="eastAsia"/>
        </w:rPr>
        <w:t xml:space="preserve"> </w:t>
      </w:r>
      <w:r w:rsidR="00674620" w:rsidRPr="005C59E1">
        <w:t>upon request by a Party</w:t>
      </w:r>
      <w:r w:rsidR="00215272">
        <w:t>,</w:t>
      </w:r>
      <w:r w:rsidR="00674620" w:rsidRPr="005C59E1">
        <w:t xml:space="preserve"> consistent with rules 9–13 of the draft rules of procedure</w:t>
      </w:r>
      <w:r w:rsidR="00674620" w:rsidRPr="005C59E1">
        <w:rPr>
          <w:rStyle w:val="FootnoteReference"/>
          <w:rFonts w:eastAsia="Malgun Gothic"/>
          <w:lang w:eastAsia="ko-KR"/>
        </w:rPr>
        <w:footnoteReference w:id="33"/>
      </w:r>
      <w:r w:rsidR="00674620" w:rsidRPr="005C59E1">
        <w:t xml:space="preserve"> being applied</w:t>
      </w:r>
      <w:r w:rsidR="00674620" w:rsidRPr="005C59E1">
        <w:rPr>
          <w:rFonts w:eastAsia="Malgun Gothic" w:hint="eastAsia"/>
          <w:lang w:eastAsia="ko-KR"/>
        </w:rPr>
        <w:t xml:space="preserve">, as well as at </w:t>
      </w:r>
      <w:r w:rsidR="00674620" w:rsidRPr="005C59E1">
        <w:t xml:space="preserve">each session </w:t>
      </w:r>
      <w:r w:rsidR="00674620" w:rsidRPr="005C59E1">
        <w:rPr>
          <w:rFonts w:eastAsia="Malgun Gothic" w:hint="eastAsia"/>
          <w:lang w:eastAsia="ko-KR"/>
        </w:rPr>
        <w:t xml:space="preserve">preceding the final </w:t>
      </w:r>
      <w:r w:rsidR="00674620" w:rsidRPr="005C59E1">
        <w:t>year of each replenishment of the Global Environment Facility</w:t>
      </w:r>
      <w:r w:rsidR="00674620" w:rsidRPr="005C59E1">
        <w:rPr>
          <w:rFonts w:eastAsia="Malgun Gothic" w:hint="eastAsia"/>
          <w:lang w:eastAsia="ko-KR"/>
        </w:rPr>
        <w:t>;</w:t>
      </w:r>
    </w:p>
    <w:p w14:paraId="03D6D3B5" w14:textId="6D2A8A97" w:rsidR="00674620" w:rsidRPr="005C59E1" w:rsidRDefault="00BD5DB4" w:rsidP="00BD5DB4">
      <w:pPr>
        <w:pStyle w:val="RegSingleTxtG"/>
        <w:numPr>
          <w:ilvl w:val="0"/>
          <w:numId w:val="0"/>
        </w:numPr>
        <w:ind w:left="1134"/>
      </w:pPr>
      <w:r w:rsidRPr="005C59E1">
        <w:t>18.</w:t>
      </w:r>
      <w:r w:rsidRPr="005C59E1">
        <w:tab/>
      </w:r>
      <w:r w:rsidR="00674620" w:rsidRPr="005C59E1">
        <w:rPr>
          <w:i/>
          <w:iCs/>
        </w:rPr>
        <w:t>Invites</w:t>
      </w:r>
      <w:r w:rsidR="00674620" w:rsidRPr="005C59E1">
        <w:t xml:space="preserve"> Parties to submit views and recommendations on elements of guidance for the Global Environment Facility via the submission portal</w:t>
      </w:r>
      <w:r w:rsidR="00674620" w:rsidRPr="007C164C">
        <w:rPr>
          <w:sz w:val="18"/>
          <w:szCs w:val="18"/>
          <w:vertAlign w:val="superscript"/>
        </w:rPr>
        <w:footnoteReference w:id="34"/>
      </w:r>
      <w:r w:rsidR="00674620" w:rsidRPr="007C164C">
        <w:rPr>
          <w:sz w:val="18"/>
          <w:szCs w:val="18"/>
        </w:rPr>
        <w:t xml:space="preserve"> </w:t>
      </w:r>
      <w:r w:rsidR="00674620" w:rsidRPr="005C59E1">
        <w:t xml:space="preserve">no later than </w:t>
      </w:r>
      <w:r w:rsidR="00674620" w:rsidRPr="005C59E1">
        <w:rPr>
          <w:rFonts w:eastAsia="Malgun Gothic" w:hint="eastAsia"/>
          <w:lang w:eastAsia="ko-KR"/>
        </w:rPr>
        <w:t>16</w:t>
      </w:r>
      <w:r w:rsidR="00674620" w:rsidRPr="005C59E1">
        <w:t xml:space="preserve"> weeks prior to the thirtieth session of the Conference of the Parties;</w:t>
      </w:r>
    </w:p>
    <w:p w14:paraId="63846ED7" w14:textId="1ED85B12" w:rsidR="00674620" w:rsidRPr="005C59E1" w:rsidRDefault="00BD5DB4" w:rsidP="00BD5DB4">
      <w:pPr>
        <w:pStyle w:val="RegSingleTxtG"/>
        <w:numPr>
          <w:ilvl w:val="0"/>
          <w:numId w:val="0"/>
        </w:numPr>
        <w:ind w:left="1134"/>
      </w:pPr>
      <w:r w:rsidRPr="005C59E1">
        <w:t>19.</w:t>
      </w:r>
      <w:r w:rsidRPr="005C59E1">
        <w:tab/>
      </w:r>
      <w:r w:rsidR="00674620" w:rsidRPr="005C59E1">
        <w:rPr>
          <w:i/>
          <w:iCs/>
        </w:rPr>
        <w:t>Requests</w:t>
      </w:r>
      <w:r w:rsidR="00674620" w:rsidRPr="005C59E1">
        <w:t xml:space="preserve"> the Standing Committee on Finance to take into consideration the submissions referred to in paragraph</w:t>
      </w:r>
      <w:r w:rsidR="00674620" w:rsidRPr="005C59E1">
        <w:rPr>
          <w:rFonts w:eastAsia="Malgun Gothic" w:hint="eastAsia"/>
          <w:lang w:eastAsia="ko-KR"/>
        </w:rPr>
        <w:t xml:space="preserve"> </w:t>
      </w:r>
      <w:r w:rsidR="00674620" w:rsidRPr="005C59E1">
        <w:rPr>
          <w:rFonts w:eastAsia="Malgun Gothic"/>
          <w:lang w:eastAsia="ko-KR"/>
        </w:rPr>
        <w:t>18</w:t>
      </w:r>
      <w:r w:rsidR="00674620" w:rsidRPr="005C59E1">
        <w:t xml:space="preserve"> above in preparing its draft guidance for the Global Environment Facility for consideration by the Conference of the Parties at its thirtieth session and the Conference of the Parties serving as the meeting of the Parties to the Paris Agreement at its seventh session (November 2025);</w:t>
      </w:r>
    </w:p>
    <w:p w14:paraId="6A9D1D22" w14:textId="0F0A7287" w:rsidR="00674620" w:rsidRDefault="00BD5DB4" w:rsidP="00BD5DB4">
      <w:pPr>
        <w:pStyle w:val="RegSingleTxtG"/>
        <w:numPr>
          <w:ilvl w:val="0"/>
          <w:numId w:val="0"/>
        </w:numPr>
        <w:ind w:left="1134"/>
      </w:pPr>
      <w:r>
        <w:t>20.</w:t>
      </w:r>
      <w:r>
        <w:tab/>
      </w:r>
      <w:r w:rsidR="00674620" w:rsidRPr="005C59E1">
        <w:rPr>
          <w:i/>
          <w:iCs/>
        </w:rPr>
        <w:t>Also requests</w:t>
      </w:r>
      <w:r w:rsidR="00674620" w:rsidRPr="005C59E1">
        <w:t xml:space="preserve"> the Global Environment Facility to include in its annual report to the Conference of the Parties information on the steps it has taken to implement the guidance provided in this decision;</w:t>
      </w:r>
    </w:p>
    <w:p w14:paraId="70C61534" w14:textId="01BEC7FA" w:rsidR="003824C9" w:rsidRDefault="00BD5DB4" w:rsidP="00BD5DB4">
      <w:pPr>
        <w:pStyle w:val="RegSingleTxtG"/>
        <w:numPr>
          <w:ilvl w:val="0"/>
          <w:numId w:val="0"/>
        </w:numPr>
        <w:ind w:left="1134"/>
      </w:pPr>
      <w:r>
        <w:t>21.</w:t>
      </w:r>
      <w:r>
        <w:tab/>
      </w:r>
      <w:r w:rsidR="00674620" w:rsidRPr="00674620">
        <w:rPr>
          <w:i/>
          <w:iCs/>
        </w:rPr>
        <w:t>Takes note</w:t>
      </w:r>
      <w:r w:rsidR="00674620" w:rsidRPr="005C59E1">
        <w:t xml:space="preserve"> of decision </w:t>
      </w:r>
      <w:hyperlink r:id="rId67" w:history="1">
        <w:r w:rsidR="00540C83" w:rsidRPr="00540C83">
          <w:rPr>
            <w:rStyle w:val="Hyperlink"/>
          </w:rPr>
          <w:t>10</w:t>
        </w:r>
        <w:r w:rsidR="00674620" w:rsidRPr="00540C83">
          <w:rPr>
            <w:rStyle w:val="Hyperlink"/>
          </w:rPr>
          <w:t>/CMA.6</w:t>
        </w:r>
      </w:hyperlink>
      <w:r w:rsidR="00674620" w:rsidRPr="005C59E1">
        <w:t xml:space="preserve"> and </w:t>
      </w:r>
      <w:r w:rsidR="00674620" w:rsidRPr="00674620">
        <w:rPr>
          <w:i/>
          <w:iCs/>
        </w:rPr>
        <w:t>decides</w:t>
      </w:r>
      <w:r w:rsidR="00674620" w:rsidRPr="005C59E1">
        <w:t xml:space="preserve"> to transmit to the Global Environment Facility the guidance from the Conference of the Parties serving as the meeting of the Parties to the Paris Agreement contained in paragraphs </w:t>
      </w:r>
      <w:r w:rsidR="00674620" w:rsidRPr="00674620">
        <w:rPr>
          <w:rFonts w:eastAsia="Malgun Gothic" w:hint="eastAsia"/>
          <w:lang w:eastAsia="ko-KR"/>
        </w:rPr>
        <w:t>2</w:t>
      </w:r>
      <w:r w:rsidR="00674620" w:rsidRPr="005C59E1">
        <w:t>–6 of that decision.</w:t>
      </w:r>
      <w:r w:rsidR="00674620" w:rsidRPr="007C164C">
        <w:rPr>
          <w:sz w:val="18"/>
          <w:szCs w:val="18"/>
          <w:vertAlign w:val="superscript"/>
        </w:rPr>
        <w:footnoteReference w:id="35"/>
      </w:r>
    </w:p>
    <w:p w14:paraId="1ECE9893" w14:textId="188A03C1" w:rsidR="00500033" w:rsidRDefault="00BD5DB4" w:rsidP="00BD5DB4">
      <w:pPr>
        <w:pStyle w:val="RegHChG"/>
        <w:numPr>
          <w:ilvl w:val="0"/>
          <w:numId w:val="0"/>
        </w:numPr>
        <w:tabs>
          <w:tab w:val="left" w:pos="1135"/>
        </w:tabs>
        <w:ind w:left="1135" w:hanging="454"/>
      </w:pPr>
      <w:r>
        <w:t>II.</w:t>
      </w:r>
      <w:r>
        <w:tab/>
      </w:r>
      <w:r w:rsidR="00500033">
        <w:br w:type="page"/>
      </w:r>
    </w:p>
    <w:p w14:paraId="0FE294CB" w14:textId="77777777" w:rsidR="00EA6EDA" w:rsidRPr="005C59E1" w:rsidRDefault="00EA6EDA" w:rsidP="00BD5DB4">
      <w:pPr>
        <w:pStyle w:val="RegHChG"/>
        <w:numPr>
          <w:ilvl w:val="0"/>
          <w:numId w:val="0"/>
        </w:numPr>
        <w:ind w:hanging="454"/>
        <w:rPr>
          <w:b w:val="0"/>
          <w:bCs/>
          <w:sz w:val="24"/>
          <w:szCs w:val="24"/>
        </w:rPr>
      </w:pPr>
      <w:r w:rsidRPr="005C59E1">
        <w:lastRenderedPageBreak/>
        <w:t>Annex</w:t>
      </w:r>
    </w:p>
    <w:p w14:paraId="0272F668" w14:textId="77777777" w:rsidR="00EA6EDA" w:rsidRPr="005C59E1" w:rsidRDefault="00EA6EDA" w:rsidP="00BD5DB4">
      <w:pPr>
        <w:pStyle w:val="RegHChG"/>
        <w:numPr>
          <w:ilvl w:val="0"/>
          <w:numId w:val="0"/>
        </w:numPr>
        <w:ind w:left="1135" w:hanging="454"/>
      </w:pPr>
      <w:r w:rsidRPr="005C59E1">
        <w:t>Modification to the memorandum of understanding between the Conference of the Parties and the Council of the Global Environment Facility</w:t>
      </w:r>
    </w:p>
    <w:p w14:paraId="0F63B246" w14:textId="77777777" w:rsidR="00EA6EDA" w:rsidRPr="000D3E05" w:rsidRDefault="00EA6EDA" w:rsidP="00EA6EDA">
      <w:pPr>
        <w:pStyle w:val="SingleTxtG"/>
        <w:rPr>
          <w:b/>
          <w:bCs/>
        </w:rPr>
      </w:pPr>
      <w:r w:rsidRPr="000D3E05">
        <w:rPr>
          <w:b/>
          <w:bCs/>
        </w:rPr>
        <w:t>Paragraph 3</w:t>
      </w:r>
    </w:p>
    <w:p w14:paraId="7EBAEDA3" w14:textId="77777777" w:rsidR="00EA6EDA" w:rsidRPr="00A44A14" w:rsidRDefault="00EA6EDA" w:rsidP="00EA6EDA">
      <w:pPr>
        <w:pStyle w:val="SingleTxtG"/>
      </w:pPr>
      <w:r>
        <w:t xml:space="preserve">For the existing </w:t>
      </w:r>
      <w:r w:rsidRPr="00A44A14">
        <w:t xml:space="preserve">paragraph 3 </w:t>
      </w:r>
      <w:r w:rsidRPr="000D3E05">
        <w:rPr>
          <w:i/>
        </w:rPr>
        <w:t>substitute</w:t>
      </w:r>
    </w:p>
    <w:p w14:paraId="643B7E9F" w14:textId="77777777" w:rsidR="00EA6EDA" w:rsidRPr="0084729C" w:rsidRDefault="00EA6EDA" w:rsidP="00EA6EDA">
      <w:pPr>
        <w:pStyle w:val="RegSingleTxtG"/>
        <w:numPr>
          <w:ilvl w:val="0"/>
          <w:numId w:val="0"/>
        </w:numPr>
        <w:ind w:left="1134"/>
      </w:pPr>
      <w:r w:rsidRPr="0084729C">
        <w:t xml:space="preserve">3. </w:t>
      </w:r>
      <w:r>
        <w:tab/>
      </w:r>
      <w:r w:rsidRPr="0084729C">
        <w:t>The Conference of the Parties will communicate to the Council of the Global Environment Facility any policy guidance approved by the Conference of the Parties concerning the Financial Mechanism:</w:t>
      </w:r>
    </w:p>
    <w:p w14:paraId="59759611" w14:textId="5D9E2F50" w:rsidR="00EA6EDA" w:rsidRPr="0084729C" w:rsidRDefault="00BD5DB4" w:rsidP="00BD5DB4">
      <w:pPr>
        <w:pStyle w:val="RegSingleTxtG2"/>
        <w:numPr>
          <w:ilvl w:val="0"/>
          <w:numId w:val="0"/>
        </w:numPr>
        <w:ind w:left="1134" w:firstLine="567"/>
        <w:rPr>
          <w:lang w:eastAsia="ko-KR"/>
        </w:rPr>
      </w:pPr>
      <w:r w:rsidRPr="0084729C">
        <w:rPr>
          <w:szCs w:val="28"/>
          <w:lang w:eastAsia="ko-KR"/>
        </w:rPr>
        <w:t>(a)</w:t>
      </w:r>
      <w:r w:rsidRPr="0084729C">
        <w:rPr>
          <w:szCs w:val="28"/>
          <w:lang w:eastAsia="ko-KR"/>
        </w:rPr>
        <w:tab/>
      </w:r>
      <w:r w:rsidR="00EA6EDA" w:rsidRPr="0084729C">
        <w:rPr>
          <w:lang w:eastAsia="ko-KR"/>
        </w:rPr>
        <w:t>Annually</w:t>
      </w:r>
      <w:r w:rsidR="00EA6EDA" w:rsidRPr="0084729C">
        <w:rPr>
          <w:rFonts w:eastAsia="Malgun Gothic" w:hint="eastAsia"/>
          <w:lang w:eastAsia="ko-KR"/>
        </w:rPr>
        <w:t xml:space="preserve"> after each of its sessions</w:t>
      </w:r>
      <w:r w:rsidR="00EA6EDA" w:rsidRPr="0084729C">
        <w:rPr>
          <w:lang w:eastAsia="ko-KR"/>
        </w:rPr>
        <w:t>, until the end of 2026, and biennially thereafter, after every other session;</w:t>
      </w:r>
    </w:p>
    <w:p w14:paraId="0F0AF121" w14:textId="374E9B07" w:rsidR="00EA6EDA" w:rsidRPr="0084729C" w:rsidRDefault="00BD5DB4" w:rsidP="00BD5DB4">
      <w:pPr>
        <w:pStyle w:val="RegSingleTxtG2"/>
        <w:numPr>
          <w:ilvl w:val="0"/>
          <w:numId w:val="0"/>
        </w:numPr>
        <w:ind w:left="1134" w:firstLine="567"/>
        <w:rPr>
          <w:lang w:eastAsia="ko-KR"/>
        </w:rPr>
      </w:pPr>
      <w:r w:rsidRPr="0084729C">
        <w:rPr>
          <w:szCs w:val="28"/>
          <w:lang w:eastAsia="ko-KR"/>
        </w:rPr>
        <w:t>(b)</w:t>
      </w:r>
      <w:r w:rsidRPr="0084729C">
        <w:rPr>
          <w:szCs w:val="28"/>
          <w:lang w:eastAsia="ko-KR"/>
        </w:rPr>
        <w:tab/>
      </w:r>
      <w:r w:rsidR="00EA6EDA" w:rsidRPr="0084729C">
        <w:rPr>
          <w:lang w:eastAsia="ko-KR"/>
        </w:rPr>
        <w:t>After each of its sessions immediately preceding the final year of each replenishment of the Global Environment Facility;</w:t>
      </w:r>
    </w:p>
    <w:p w14:paraId="31D1487E" w14:textId="027AAD14" w:rsidR="00EA6EDA" w:rsidRDefault="00BD5DB4" w:rsidP="00BD5DB4">
      <w:pPr>
        <w:pStyle w:val="RegSingleTxtG2"/>
        <w:numPr>
          <w:ilvl w:val="0"/>
          <w:numId w:val="0"/>
        </w:numPr>
        <w:ind w:left="1134" w:firstLine="567"/>
        <w:rPr>
          <w:lang w:eastAsia="ko-KR"/>
        </w:rPr>
      </w:pPr>
      <w:r>
        <w:rPr>
          <w:szCs w:val="28"/>
          <w:lang w:eastAsia="ko-KR"/>
        </w:rPr>
        <w:t>(c)</w:t>
      </w:r>
      <w:r>
        <w:rPr>
          <w:szCs w:val="28"/>
          <w:lang w:eastAsia="ko-KR"/>
        </w:rPr>
        <w:tab/>
      </w:r>
      <w:r w:rsidR="00EA6EDA" w:rsidRPr="0084729C">
        <w:rPr>
          <w:lang w:eastAsia="ko-KR"/>
        </w:rPr>
        <w:t>Where applicable, after any session not referred to in paragraph 3(a–b) above, should the Conference of the Parties decide to do so.</w:t>
      </w:r>
    </w:p>
    <w:p w14:paraId="32E6CFB5" w14:textId="12F55576" w:rsidR="00EA6EDA" w:rsidRPr="00EA6EDA" w:rsidRDefault="00BD7A87" w:rsidP="00EA6EDA">
      <w:pPr>
        <w:pStyle w:val="RegSingleTxtG2"/>
        <w:numPr>
          <w:ilvl w:val="0"/>
          <w:numId w:val="0"/>
        </w:numPr>
        <w:spacing w:after="0"/>
        <w:ind w:left="1701"/>
        <w:jc w:val="right"/>
        <w:rPr>
          <w:i/>
          <w:iCs/>
          <w:lang w:eastAsia="ko-KR"/>
        </w:rPr>
      </w:pPr>
      <w:r>
        <w:rPr>
          <w:i/>
          <w:iCs/>
          <w:lang w:eastAsia="ko-KR"/>
        </w:rPr>
        <w:t>11</w:t>
      </w:r>
      <w:r w:rsidRPr="00BD7A87">
        <w:rPr>
          <w:i/>
          <w:iCs/>
          <w:vertAlign w:val="superscript"/>
          <w:lang w:eastAsia="ko-KR"/>
        </w:rPr>
        <w:t>th</w:t>
      </w:r>
      <w:r>
        <w:rPr>
          <w:i/>
          <w:iCs/>
          <w:lang w:eastAsia="ko-KR"/>
        </w:rPr>
        <w:t xml:space="preserve"> </w:t>
      </w:r>
      <w:r w:rsidR="00EA6EDA" w:rsidRPr="00EA6EDA">
        <w:rPr>
          <w:i/>
          <w:iCs/>
          <w:lang w:eastAsia="ko-KR"/>
        </w:rPr>
        <w:t>plenary meeting</w:t>
      </w:r>
    </w:p>
    <w:p w14:paraId="3DB2C974" w14:textId="21C43C43" w:rsidR="00500033" w:rsidRPr="00EA6EDA" w:rsidRDefault="00BD7A87" w:rsidP="00EA6EDA">
      <w:pPr>
        <w:pStyle w:val="RegSingleTxtG2"/>
        <w:numPr>
          <w:ilvl w:val="0"/>
          <w:numId w:val="0"/>
        </w:numPr>
        <w:spacing w:after="0"/>
        <w:ind w:left="1701"/>
        <w:jc w:val="right"/>
        <w:rPr>
          <w:i/>
          <w:iCs/>
          <w:lang w:eastAsia="ko-KR"/>
        </w:rPr>
      </w:pPr>
      <w:r>
        <w:rPr>
          <w:i/>
          <w:iCs/>
          <w:lang w:eastAsia="ko-KR"/>
        </w:rPr>
        <w:t>23</w:t>
      </w:r>
      <w:r w:rsidR="00EA6EDA" w:rsidRPr="00EA6EDA">
        <w:rPr>
          <w:i/>
          <w:iCs/>
          <w:lang w:eastAsia="ko-KR"/>
        </w:rPr>
        <w:t xml:space="preserve"> November 2024</w:t>
      </w:r>
    </w:p>
    <w:p w14:paraId="14C7B5B5" w14:textId="3DD153B5" w:rsidR="00EA6EDA" w:rsidRDefault="00EA6EDA" w:rsidP="00BD5DB4">
      <w:pPr>
        <w:pStyle w:val="RegHChG"/>
        <w:numPr>
          <w:ilvl w:val="0"/>
          <w:numId w:val="0"/>
        </w:numPr>
        <w:ind w:hanging="454"/>
      </w:pPr>
    </w:p>
    <w:p w14:paraId="4C92956E" w14:textId="6579889C" w:rsidR="00EA6EDA" w:rsidRDefault="00BD5DB4" w:rsidP="00BD5DB4">
      <w:pPr>
        <w:pStyle w:val="RegHChG"/>
        <w:numPr>
          <w:ilvl w:val="0"/>
          <w:numId w:val="0"/>
        </w:numPr>
        <w:tabs>
          <w:tab w:val="left" w:pos="1135"/>
        </w:tabs>
        <w:ind w:left="1135" w:hanging="454"/>
        <w:sectPr w:rsidR="00EA6EDA" w:rsidSect="001C679A">
          <w:headerReference w:type="even" r:id="rId68"/>
          <w:headerReference w:type="default" r:id="rId69"/>
          <w:footerReference w:type="even" r:id="rId70"/>
          <w:footerReference w:type="default" r:id="rId71"/>
          <w:footnotePr>
            <w:numRestart w:val="eachSect"/>
          </w:footnotePr>
          <w:pgSz w:w="11906" w:h="16838" w:code="9"/>
          <w:pgMar w:top="1417" w:right="1134" w:bottom="1134" w:left="1134" w:header="850" w:footer="567" w:gutter="0"/>
          <w:cols w:space="708"/>
          <w:docGrid w:linePitch="360"/>
        </w:sectPr>
      </w:pPr>
      <w:r>
        <w:t>I.</w:t>
      </w:r>
      <w:r>
        <w:tab/>
      </w:r>
    </w:p>
    <w:p w14:paraId="7AF26B49" w14:textId="2F0D33CD" w:rsidR="00D06FC0" w:rsidRDefault="00D06FC0" w:rsidP="00BD5DB4">
      <w:pPr>
        <w:pStyle w:val="RegHChG"/>
        <w:numPr>
          <w:ilvl w:val="0"/>
          <w:numId w:val="0"/>
        </w:numPr>
        <w:ind w:left="1135" w:hanging="454"/>
      </w:pPr>
      <w:bookmarkStart w:id="12" w:name="CP5"/>
      <w:r>
        <w:lastRenderedPageBreak/>
        <w:t>Decision 5/CP.29</w:t>
      </w:r>
      <w:bookmarkEnd w:id="12"/>
    </w:p>
    <w:p w14:paraId="07F3D18C" w14:textId="77777777" w:rsidR="005F7B1E" w:rsidRPr="00A96DC7" w:rsidRDefault="005F7B1E" w:rsidP="005F7B1E">
      <w:pPr>
        <w:pStyle w:val="HChG"/>
      </w:pPr>
      <w:r>
        <w:tab/>
      </w:r>
      <w:r>
        <w:tab/>
        <w:t>Report of the Fund for responding to Loss and Damage and guidance to the Fund</w:t>
      </w:r>
    </w:p>
    <w:p w14:paraId="2FBAA680" w14:textId="77777777" w:rsidR="005F7B1E" w:rsidRPr="00311D6B" w:rsidRDefault="005F7B1E" w:rsidP="005F7B1E">
      <w:pPr>
        <w:suppressAutoHyphens w:val="0"/>
        <w:autoSpaceDE w:val="0"/>
        <w:autoSpaceDN w:val="0"/>
        <w:adjustRightInd w:val="0"/>
        <w:spacing w:before="240" w:after="120"/>
        <w:ind w:left="1134" w:right="1134" w:firstLine="567"/>
        <w:jc w:val="both"/>
        <w:rPr>
          <w:rFonts w:eastAsia="DengXian"/>
          <w:color w:val="000000"/>
        </w:rPr>
      </w:pPr>
      <w:r w:rsidRPr="6104D06B">
        <w:rPr>
          <w:rFonts w:eastAsia="DengXian"/>
          <w:i/>
          <w:iCs/>
          <w:color w:val="000000" w:themeColor="text1"/>
        </w:rPr>
        <w:t>The Conference of the Parties</w:t>
      </w:r>
      <w:r w:rsidRPr="6104D06B">
        <w:rPr>
          <w:rFonts w:eastAsia="DengXian"/>
          <w:color w:val="000000" w:themeColor="text1"/>
        </w:rPr>
        <w:t xml:space="preserve">, </w:t>
      </w:r>
    </w:p>
    <w:p w14:paraId="269250A5" w14:textId="57FA39CA" w:rsidR="005F7B1E" w:rsidRPr="00311D6B" w:rsidRDefault="005F7B1E" w:rsidP="005F7B1E">
      <w:pPr>
        <w:suppressAutoHyphens w:val="0"/>
        <w:autoSpaceDE w:val="0"/>
        <w:autoSpaceDN w:val="0"/>
        <w:adjustRightInd w:val="0"/>
        <w:spacing w:after="120"/>
        <w:ind w:left="1134" w:right="1133" w:firstLine="567"/>
        <w:jc w:val="both"/>
        <w:rPr>
          <w:rFonts w:eastAsia="DengXian"/>
          <w:color w:val="000000"/>
        </w:rPr>
      </w:pPr>
      <w:r w:rsidRPr="00311D6B">
        <w:rPr>
          <w:rFonts w:eastAsia="DengXian"/>
          <w:i/>
          <w:iCs/>
          <w:color w:val="000000"/>
        </w:rPr>
        <w:t xml:space="preserve">Recalling </w:t>
      </w:r>
      <w:r w:rsidRPr="00311D6B">
        <w:rPr>
          <w:rFonts w:eastAsia="DengXian"/>
          <w:color w:val="000000"/>
        </w:rPr>
        <w:t xml:space="preserve">decisions </w:t>
      </w:r>
      <w:hyperlink r:id="rId72" w:history="1">
        <w:r w:rsidRPr="00B26B88">
          <w:rPr>
            <w:rStyle w:val="Hyperlink"/>
            <w:rFonts w:eastAsia="DengXian"/>
          </w:rPr>
          <w:t>2/CP.27</w:t>
        </w:r>
      </w:hyperlink>
      <w:r>
        <w:rPr>
          <w:rFonts w:eastAsia="DengXian"/>
          <w:color w:val="000000"/>
        </w:rPr>
        <w:t xml:space="preserve"> and </w:t>
      </w:r>
      <w:hyperlink r:id="rId73" w:history="1">
        <w:r w:rsidRPr="00B26B88">
          <w:rPr>
            <w:rStyle w:val="Hyperlink"/>
            <w:rFonts w:eastAsia="DengXian"/>
          </w:rPr>
          <w:t>2/CMA.4</w:t>
        </w:r>
      </w:hyperlink>
      <w:r>
        <w:rPr>
          <w:rFonts w:eastAsia="DengXian"/>
          <w:color w:val="000000"/>
        </w:rPr>
        <w:t xml:space="preserve">; and </w:t>
      </w:r>
      <w:hyperlink r:id="rId74" w:history="1">
        <w:r w:rsidRPr="00B26B88">
          <w:rPr>
            <w:rStyle w:val="Hyperlink"/>
            <w:rFonts w:eastAsia="DengXian"/>
          </w:rPr>
          <w:t>1/CP.28</w:t>
        </w:r>
      </w:hyperlink>
      <w:r>
        <w:rPr>
          <w:rFonts w:eastAsia="DengXian"/>
          <w:color w:val="000000"/>
        </w:rPr>
        <w:t xml:space="preserve"> and </w:t>
      </w:r>
      <w:hyperlink r:id="rId75" w:history="1">
        <w:r w:rsidRPr="00B26B88">
          <w:rPr>
            <w:rStyle w:val="Hyperlink"/>
            <w:rFonts w:eastAsia="DengXian"/>
          </w:rPr>
          <w:t>5/CMA.5</w:t>
        </w:r>
      </w:hyperlink>
      <w:r>
        <w:rPr>
          <w:rFonts w:eastAsia="DengXian"/>
          <w:color w:val="000000"/>
        </w:rPr>
        <w:t>,</w:t>
      </w:r>
    </w:p>
    <w:p w14:paraId="562CA31B" w14:textId="356C15B4" w:rsidR="005F7B1E" w:rsidRPr="00311D6B" w:rsidRDefault="00BD5DB4" w:rsidP="00BD5DB4">
      <w:pPr>
        <w:pStyle w:val="RegSingleTxtG"/>
        <w:numPr>
          <w:ilvl w:val="0"/>
          <w:numId w:val="0"/>
        </w:numPr>
        <w:spacing w:before="120"/>
        <w:ind w:left="1134"/>
      </w:pPr>
      <w:bookmarkStart w:id="13" w:name="_Ref152673066"/>
      <w:r w:rsidRPr="00311D6B">
        <w:t>1.</w:t>
      </w:r>
      <w:r w:rsidRPr="00311D6B">
        <w:tab/>
      </w:r>
      <w:r w:rsidR="005F7B1E" w:rsidRPr="00D23B59">
        <w:rPr>
          <w:i/>
          <w:iCs/>
        </w:rPr>
        <w:t xml:space="preserve">Welcomes </w:t>
      </w:r>
      <w:r w:rsidR="005F7B1E" w:rsidRPr="00311D6B">
        <w:t xml:space="preserve">the report of the Board </w:t>
      </w:r>
      <w:r w:rsidR="005F7B1E">
        <w:t xml:space="preserve">of the Fund for responding to Loss and Damage </w:t>
      </w:r>
      <w:r w:rsidR="005F7B1E" w:rsidRPr="00311D6B">
        <w:t>for</w:t>
      </w:r>
      <w:r w:rsidR="005F7B1E">
        <w:t> </w:t>
      </w:r>
      <w:r w:rsidR="005F7B1E" w:rsidRPr="00311D6B">
        <w:t>202</w:t>
      </w:r>
      <w:r w:rsidR="005F7B1E">
        <w:t>4</w:t>
      </w:r>
      <w:r w:rsidR="005F7B1E" w:rsidRPr="00311D6B">
        <w:rPr>
          <w:rStyle w:val="FootnoteReference"/>
        </w:rPr>
        <w:footnoteReference w:id="36"/>
      </w:r>
      <w:r w:rsidR="005F7B1E" w:rsidRPr="00311D6B">
        <w:t xml:space="preserve"> and the information therein;</w:t>
      </w:r>
      <w:bookmarkEnd w:id="13"/>
    </w:p>
    <w:p w14:paraId="097A227F" w14:textId="41E97CF8" w:rsidR="005F7B1E" w:rsidRPr="00311D6B" w:rsidRDefault="00BD5DB4" w:rsidP="00BD5DB4">
      <w:pPr>
        <w:pStyle w:val="RegSingleTxtG"/>
        <w:numPr>
          <w:ilvl w:val="0"/>
          <w:numId w:val="0"/>
        </w:numPr>
        <w:ind w:left="1134"/>
      </w:pPr>
      <w:r w:rsidRPr="00311D6B">
        <w:t>2.</w:t>
      </w:r>
      <w:r w:rsidRPr="00311D6B">
        <w:tab/>
      </w:r>
      <w:r w:rsidR="005F7B1E" w:rsidRPr="00311D6B">
        <w:rPr>
          <w:i/>
          <w:iCs/>
        </w:rPr>
        <w:t>Note</w:t>
      </w:r>
      <w:r w:rsidR="005F7B1E">
        <w:rPr>
          <w:i/>
          <w:iCs/>
        </w:rPr>
        <w:t>s</w:t>
      </w:r>
      <w:r w:rsidR="005F7B1E" w:rsidRPr="00311D6B">
        <w:t xml:space="preserve"> the following information</w:t>
      </w:r>
      <w:r w:rsidR="005F7B1E">
        <w:t xml:space="preserve"> and</w:t>
      </w:r>
      <w:r w:rsidR="005F7B1E" w:rsidRPr="00311D6B">
        <w:t xml:space="preserve"> actions </w:t>
      </w:r>
      <w:r w:rsidR="005F7B1E">
        <w:t>of</w:t>
      </w:r>
      <w:r w:rsidR="005F7B1E" w:rsidRPr="00311D6B">
        <w:t xml:space="preserve"> the Board</w:t>
      </w:r>
      <w:r w:rsidR="005F7B1E">
        <w:t xml:space="preserve"> </w:t>
      </w:r>
      <w:r w:rsidR="005F7B1E" w:rsidRPr="00311D6B">
        <w:t>presented in the report:</w:t>
      </w:r>
    </w:p>
    <w:p w14:paraId="2D8A13E4" w14:textId="4975A937" w:rsidR="005F7B1E" w:rsidRDefault="00BD5DB4" w:rsidP="00BD5DB4">
      <w:pPr>
        <w:pStyle w:val="RegSingleTxtG2"/>
        <w:numPr>
          <w:ilvl w:val="0"/>
          <w:numId w:val="0"/>
        </w:numPr>
        <w:ind w:left="1134" w:firstLine="567"/>
      </w:pPr>
      <w:r>
        <w:rPr>
          <w:szCs w:val="28"/>
        </w:rPr>
        <w:t>(a)</w:t>
      </w:r>
      <w:r>
        <w:rPr>
          <w:szCs w:val="28"/>
        </w:rPr>
        <w:tab/>
      </w:r>
      <w:r w:rsidR="005F7B1E">
        <w:t>The selection by the Board of the Philippines as the host country of the Board through an open,</w:t>
      </w:r>
      <w:r w:rsidR="005F7B1E" w:rsidRPr="00015EA8">
        <w:t xml:space="preserve"> </w:t>
      </w:r>
      <w:r w:rsidR="005F7B1E">
        <w:t>transparent and competitive process, and the conclusion of the host country agreement between the Philippines and the Board;</w:t>
      </w:r>
      <w:r w:rsidR="005F7B1E" w:rsidRPr="00345670">
        <w:t xml:space="preserve"> </w:t>
      </w:r>
    </w:p>
    <w:p w14:paraId="2529DCAF" w14:textId="07E3CE80" w:rsidR="005F7B1E" w:rsidRDefault="00BD5DB4" w:rsidP="00BD5DB4">
      <w:pPr>
        <w:pStyle w:val="RegSingleTxtG2"/>
        <w:numPr>
          <w:ilvl w:val="0"/>
          <w:numId w:val="0"/>
        </w:numPr>
        <w:ind w:left="1134" w:firstLine="567"/>
      </w:pPr>
      <w:r>
        <w:rPr>
          <w:szCs w:val="28"/>
        </w:rPr>
        <w:t>(b)</w:t>
      </w:r>
      <w:r>
        <w:rPr>
          <w:szCs w:val="28"/>
        </w:rPr>
        <w:tab/>
      </w:r>
      <w:r w:rsidR="005F7B1E">
        <w:t>The a</w:t>
      </w:r>
      <w:r w:rsidR="005F7B1E" w:rsidRPr="00345670">
        <w:t>pproval</w:t>
      </w:r>
      <w:r w:rsidR="005F7B1E">
        <w:t xml:space="preserve"> by the Board</w:t>
      </w:r>
      <w:r w:rsidR="005F7B1E" w:rsidRPr="002B5BAC">
        <w:t xml:space="preserve"> of the draft of the arrangements</w:t>
      </w:r>
      <w:r w:rsidR="005F7B1E">
        <w:t>,</w:t>
      </w:r>
      <w:r w:rsidR="005F7B1E" w:rsidRPr="002B5BAC">
        <w:t xml:space="preserve"> </w:t>
      </w:r>
      <w:r w:rsidR="005F7B1E">
        <w:t>as developed by the Standing Committee on Finance,</w:t>
      </w:r>
      <w:r w:rsidR="005F7B1E" w:rsidRPr="002B5BAC">
        <w:t xml:space="preserve"> to be concluded between the Conference of the Parties, the Conference of the Parties serving as the meeting of the Parties to the Paris Agreement and the Board</w:t>
      </w:r>
      <w:r w:rsidR="005F7B1E">
        <w:t xml:space="preserve"> consistently with the Governing Instrument of the Fund;</w:t>
      </w:r>
      <w:r w:rsidR="005F7B1E">
        <w:rPr>
          <w:rStyle w:val="FootnoteReference"/>
        </w:rPr>
        <w:footnoteReference w:id="37"/>
      </w:r>
    </w:p>
    <w:p w14:paraId="5203EAA8" w14:textId="242A5AA2" w:rsidR="005F7B1E" w:rsidRDefault="00BD5DB4" w:rsidP="00BD5DB4">
      <w:pPr>
        <w:pStyle w:val="RegSingleTxtG2"/>
        <w:numPr>
          <w:ilvl w:val="0"/>
          <w:numId w:val="0"/>
        </w:numPr>
        <w:ind w:left="1134" w:firstLine="567"/>
      </w:pPr>
      <w:r>
        <w:rPr>
          <w:szCs w:val="28"/>
        </w:rPr>
        <w:t>(c)</w:t>
      </w:r>
      <w:r>
        <w:rPr>
          <w:szCs w:val="28"/>
        </w:rPr>
        <w:tab/>
      </w:r>
      <w:r w:rsidR="005F7B1E">
        <w:t>The prompt selection of the Executive Director of the Fund by the Board</w:t>
      </w:r>
      <w:r w:rsidR="005F7B1E" w:rsidRPr="008C6EA9">
        <w:t xml:space="preserve"> </w:t>
      </w:r>
      <w:r w:rsidR="005F7B1E">
        <w:t>through a merit-based, open and transparent process;</w:t>
      </w:r>
    </w:p>
    <w:p w14:paraId="7B4E1B00" w14:textId="3032140C" w:rsidR="005F7B1E" w:rsidRDefault="00BD5DB4" w:rsidP="00BD5DB4">
      <w:pPr>
        <w:pStyle w:val="RegSingleTxtG2"/>
        <w:numPr>
          <w:ilvl w:val="0"/>
          <w:numId w:val="0"/>
        </w:numPr>
        <w:ind w:left="1134" w:firstLine="567"/>
      </w:pPr>
      <w:bookmarkStart w:id="14" w:name="_Ref183081229"/>
      <w:r>
        <w:rPr>
          <w:szCs w:val="28"/>
        </w:rPr>
        <w:t>(d)</w:t>
      </w:r>
      <w:r>
        <w:rPr>
          <w:szCs w:val="28"/>
        </w:rPr>
        <w:tab/>
      </w:r>
      <w:r w:rsidR="005F7B1E">
        <w:t>The c</w:t>
      </w:r>
      <w:r w:rsidR="005F7B1E" w:rsidRPr="006806EE">
        <w:t>onfirm</w:t>
      </w:r>
      <w:r w:rsidR="005F7B1E">
        <w:t>ation</w:t>
      </w:r>
      <w:r w:rsidR="005F7B1E" w:rsidRPr="006806EE">
        <w:t xml:space="preserve"> </w:t>
      </w:r>
      <w:r w:rsidR="005F7B1E">
        <w:t xml:space="preserve">by the Board </w:t>
      </w:r>
      <w:r w:rsidR="005F7B1E" w:rsidRPr="006806EE">
        <w:t xml:space="preserve">that the conditions set out in paragraph 20 of decisions </w:t>
      </w:r>
      <w:hyperlink r:id="rId76" w:history="1">
        <w:r w:rsidR="005F7B1E" w:rsidRPr="00B26B88">
          <w:rPr>
            <w:rStyle w:val="Hyperlink"/>
          </w:rPr>
          <w:t>1/CP.28</w:t>
        </w:r>
      </w:hyperlink>
      <w:r w:rsidR="005F7B1E" w:rsidRPr="006806EE">
        <w:t xml:space="preserve"> and </w:t>
      </w:r>
      <w:hyperlink r:id="rId77" w:history="1">
        <w:r w:rsidR="005F7B1E" w:rsidRPr="00B26B88">
          <w:rPr>
            <w:rStyle w:val="Hyperlink"/>
          </w:rPr>
          <w:t>5/CMA.5</w:t>
        </w:r>
      </w:hyperlink>
      <w:r w:rsidR="005F7B1E" w:rsidRPr="006806EE">
        <w:t xml:space="preserve"> can be met during </w:t>
      </w:r>
      <w:r w:rsidR="005F7B1E">
        <w:t>an</w:t>
      </w:r>
      <w:r w:rsidR="005F7B1E" w:rsidRPr="006806EE">
        <w:t xml:space="preserve"> interim period</w:t>
      </w:r>
      <w:r w:rsidR="005F7B1E">
        <w:t xml:space="preserve"> of four years;</w:t>
      </w:r>
      <w:bookmarkEnd w:id="14"/>
    </w:p>
    <w:p w14:paraId="7E6EC562" w14:textId="564856AD" w:rsidR="005F7B1E" w:rsidRPr="005B21BF" w:rsidRDefault="00BD5DB4" w:rsidP="00BD5DB4">
      <w:pPr>
        <w:pStyle w:val="RegSingleTxtG2"/>
        <w:numPr>
          <w:ilvl w:val="0"/>
          <w:numId w:val="0"/>
        </w:numPr>
        <w:ind w:left="1134" w:firstLine="567"/>
      </w:pPr>
      <w:r w:rsidRPr="005B21BF">
        <w:rPr>
          <w:szCs w:val="28"/>
        </w:rPr>
        <w:t>(e)</w:t>
      </w:r>
      <w:r w:rsidRPr="005B21BF">
        <w:rPr>
          <w:szCs w:val="28"/>
        </w:rPr>
        <w:tab/>
      </w:r>
      <w:r w:rsidR="005F7B1E">
        <w:t>The d</w:t>
      </w:r>
      <w:r w:rsidR="005F7B1E" w:rsidRPr="005B21BF">
        <w:t>eci</w:t>
      </w:r>
      <w:r w:rsidR="005F7B1E">
        <w:t>sion of the Board</w:t>
      </w:r>
      <w:r w:rsidR="005F7B1E" w:rsidRPr="005B21BF">
        <w:t xml:space="preserve"> to launch </w:t>
      </w:r>
      <w:r w:rsidR="005F7B1E">
        <w:t>an</w:t>
      </w:r>
      <w:r w:rsidR="005F7B1E" w:rsidRPr="005B21BF">
        <w:t xml:space="preserve"> independent assessment of the performance of the World Bank as host of the Fund’s secretariat</w:t>
      </w:r>
      <w:r w:rsidR="005F7B1E">
        <w:rPr>
          <w:rStyle w:val="FootnoteReference"/>
        </w:rPr>
        <w:footnoteReference w:id="38"/>
      </w:r>
      <w:r w:rsidR="005F7B1E" w:rsidRPr="005B21BF">
        <w:t xml:space="preserve"> no later than </w:t>
      </w:r>
      <w:r w:rsidR="005F7B1E">
        <w:t xml:space="preserve">at </w:t>
      </w:r>
      <w:r w:rsidR="005F7B1E" w:rsidRPr="005B21BF">
        <w:t>the first meeting of the Board in 2027 and to report</w:t>
      </w:r>
      <w:r w:rsidR="005F7B1E">
        <w:t xml:space="preserve"> on</w:t>
      </w:r>
      <w:r w:rsidR="005F7B1E" w:rsidRPr="005B21BF">
        <w:t xml:space="preserve"> the outcomes </w:t>
      </w:r>
      <w:r w:rsidR="005F7B1E">
        <w:t>there</w:t>
      </w:r>
      <w:r w:rsidR="005F7B1E" w:rsidRPr="005B21BF">
        <w:t xml:space="preserve">of to the Conference of the Parties and the Conference of the Parties serving as the meeting of the Parties to the Paris Agreement no later than at their thirty-third </w:t>
      </w:r>
      <w:r w:rsidR="005F7B1E">
        <w:t>(</w:t>
      </w:r>
      <w:r w:rsidR="0077175D">
        <w:t xml:space="preserve">November </w:t>
      </w:r>
      <w:r w:rsidR="005F7B1E">
        <w:t xml:space="preserve">2028) </w:t>
      </w:r>
      <w:r w:rsidR="005F7B1E" w:rsidRPr="005B21BF">
        <w:t xml:space="preserve">and tenth </w:t>
      </w:r>
      <w:r w:rsidR="005F7B1E">
        <w:t>(</w:t>
      </w:r>
      <w:r w:rsidR="0077175D">
        <w:t xml:space="preserve">November </w:t>
      </w:r>
      <w:r w:rsidR="005F7B1E">
        <w:t xml:space="preserve">2028) </w:t>
      </w:r>
      <w:r w:rsidR="001364AF">
        <w:t xml:space="preserve">sessions </w:t>
      </w:r>
      <w:r w:rsidR="005F7B1E" w:rsidRPr="005B21BF">
        <w:t>respectively</w:t>
      </w:r>
      <w:r w:rsidR="005F7B1E">
        <w:t>;</w:t>
      </w:r>
    </w:p>
    <w:p w14:paraId="7A974080" w14:textId="463ABBED" w:rsidR="005F7B1E" w:rsidRPr="006C5AF4" w:rsidRDefault="00BD5DB4" w:rsidP="00BD5DB4">
      <w:pPr>
        <w:pStyle w:val="RegSingleTxtG"/>
        <w:numPr>
          <w:ilvl w:val="0"/>
          <w:numId w:val="0"/>
        </w:numPr>
        <w:ind w:left="1134"/>
      </w:pPr>
      <w:r w:rsidRPr="006C5AF4">
        <w:t>3.</w:t>
      </w:r>
      <w:r w:rsidRPr="006C5AF4">
        <w:tab/>
      </w:r>
      <w:r w:rsidR="005F7B1E" w:rsidRPr="006C5AF4">
        <w:rPr>
          <w:i/>
          <w:iCs/>
        </w:rPr>
        <w:t>Welcome</w:t>
      </w:r>
      <w:r w:rsidR="005F7B1E">
        <w:rPr>
          <w:i/>
          <w:iCs/>
        </w:rPr>
        <w:t>s</w:t>
      </w:r>
      <w:r w:rsidR="005F7B1E" w:rsidRPr="006C5AF4">
        <w:t xml:space="preserve"> the rapid progress of the Board in operationalizing the</w:t>
      </w:r>
      <w:r w:rsidR="005F7B1E">
        <w:t xml:space="preserve"> Fund;</w:t>
      </w:r>
    </w:p>
    <w:p w14:paraId="1792711A" w14:textId="776A5B3A" w:rsidR="005F7B1E" w:rsidRDefault="00BD5DB4" w:rsidP="00BD5DB4">
      <w:pPr>
        <w:pStyle w:val="RegSingleTxtG"/>
        <w:numPr>
          <w:ilvl w:val="0"/>
          <w:numId w:val="0"/>
        </w:numPr>
        <w:ind w:left="1134"/>
      </w:pPr>
      <w:r>
        <w:t>4.</w:t>
      </w:r>
      <w:r>
        <w:tab/>
      </w:r>
      <w:r w:rsidR="005F7B1E">
        <w:rPr>
          <w:i/>
          <w:iCs/>
        </w:rPr>
        <w:t xml:space="preserve">Notes with appreciation </w:t>
      </w:r>
      <w:r w:rsidR="005F7B1E">
        <w:t>the confirmation by the World Bank of its ability and willingness to operationalize the Fund</w:t>
      </w:r>
      <w:r w:rsidR="005F7B1E" w:rsidRPr="00CD5DA4">
        <w:t xml:space="preserve"> </w:t>
      </w:r>
      <w:r w:rsidR="005F7B1E">
        <w:t xml:space="preserve">as a World Bank hosted financial intermediary fund for the interim period </w:t>
      </w:r>
      <w:r w:rsidR="005F7B1E" w:rsidRPr="00915F5D">
        <w:t xml:space="preserve">referred to in paragraph </w:t>
      </w:r>
      <w:r w:rsidR="005F7B1E">
        <w:rPr>
          <w:cs/>
        </w:rPr>
        <w:t>‎</w:t>
      </w:r>
      <w:r w:rsidR="005F7B1E">
        <w:t>2(d) above, as well as that the World Bank took the steps necessary to promptly operationalize the Fund</w:t>
      </w:r>
      <w:r w:rsidR="005F7B1E" w:rsidRPr="008D384B">
        <w:t xml:space="preserve"> </w:t>
      </w:r>
      <w:r w:rsidR="005F7B1E">
        <w:t>as a financial intermediary fund; submitted to the Board of the Fund within eight</w:t>
      </w:r>
      <w:r w:rsidR="005F7B1E" w:rsidRPr="008D384B">
        <w:t xml:space="preserve"> </w:t>
      </w:r>
      <w:r w:rsidR="005F7B1E">
        <w:t>months after the conclusion of the twenty</w:t>
      </w:r>
      <w:r w:rsidR="005F7B1E">
        <w:noBreakHyphen/>
        <w:t>eighth session of the Conference of the Parties the</w:t>
      </w:r>
      <w:r w:rsidR="005F7B1E" w:rsidRPr="008D384B">
        <w:t xml:space="preserve"> </w:t>
      </w:r>
      <w:r w:rsidR="005F7B1E">
        <w:t>relevant financial intermediary fund documentation, approved by the World Bank Board of</w:t>
      </w:r>
      <w:r w:rsidR="005F7B1E" w:rsidRPr="008D384B">
        <w:t xml:space="preserve"> </w:t>
      </w:r>
      <w:r w:rsidR="005F7B1E">
        <w:t>Directors, including a hosting agreement between the Board of the Fund and the World Bank,</w:t>
      </w:r>
      <w:r w:rsidR="005F7B1E" w:rsidRPr="008D384B">
        <w:t xml:space="preserve"> </w:t>
      </w:r>
      <w:r w:rsidR="005F7B1E">
        <w:t>based on consultations with and guidance from the Board of the Fund;</w:t>
      </w:r>
      <w:r w:rsidR="005F7B1E" w:rsidRPr="00246296">
        <w:t xml:space="preserve"> </w:t>
      </w:r>
      <w:r w:rsidR="005F7B1E">
        <w:t>and established a new, dedicated and independent secretariat hosted by the World Bank</w:t>
      </w:r>
      <w:r w:rsidR="005F7B1E" w:rsidRPr="00CD5DA4">
        <w:t xml:space="preserve"> </w:t>
      </w:r>
      <w:r w:rsidR="005F7B1E">
        <w:t>to service the Fund;</w:t>
      </w:r>
    </w:p>
    <w:p w14:paraId="6809BCFF" w14:textId="446F2850" w:rsidR="005F7B1E" w:rsidRDefault="00BD5DB4" w:rsidP="00BD5DB4">
      <w:pPr>
        <w:pStyle w:val="RegSingleTxtG"/>
        <w:numPr>
          <w:ilvl w:val="0"/>
          <w:numId w:val="0"/>
        </w:numPr>
        <w:ind w:left="1134"/>
      </w:pPr>
      <w:r>
        <w:t>5.</w:t>
      </w:r>
      <w:r>
        <w:tab/>
      </w:r>
      <w:r w:rsidR="005F7B1E" w:rsidRPr="00CC1E61">
        <w:rPr>
          <w:i/>
          <w:iCs/>
        </w:rPr>
        <w:t>Welcome</w:t>
      </w:r>
      <w:r w:rsidR="005F7B1E">
        <w:rPr>
          <w:i/>
          <w:iCs/>
        </w:rPr>
        <w:t>s</w:t>
      </w:r>
      <w:r w:rsidR="005F7B1E">
        <w:t xml:space="preserve"> the c</w:t>
      </w:r>
      <w:r w:rsidR="005F7B1E" w:rsidRPr="006806EE">
        <w:t>onfirm</w:t>
      </w:r>
      <w:r w:rsidR="005F7B1E">
        <w:t>ation</w:t>
      </w:r>
      <w:r w:rsidR="005F7B1E" w:rsidRPr="006806EE">
        <w:t xml:space="preserve"> </w:t>
      </w:r>
      <w:r w:rsidR="005F7B1E">
        <w:t xml:space="preserve">by the Board of the Fund </w:t>
      </w:r>
      <w:r w:rsidR="005F7B1E" w:rsidRPr="006806EE">
        <w:t xml:space="preserve">that the conditions set out in paragraph 20 of decisions </w:t>
      </w:r>
      <w:hyperlink r:id="rId78" w:history="1">
        <w:r w:rsidR="005F7B1E" w:rsidRPr="00B26B88">
          <w:rPr>
            <w:rStyle w:val="Hyperlink"/>
          </w:rPr>
          <w:t>1/CP.28</w:t>
        </w:r>
      </w:hyperlink>
      <w:r w:rsidR="005F7B1E" w:rsidRPr="006806EE">
        <w:t xml:space="preserve"> and </w:t>
      </w:r>
      <w:hyperlink r:id="rId79" w:history="1">
        <w:r w:rsidR="005F7B1E" w:rsidRPr="00B26B88">
          <w:rPr>
            <w:rStyle w:val="Hyperlink"/>
          </w:rPr>
          <w:t>5/CMA.5</w:t>
        </w:r>
      </w:hyperlink>
      <w:r w:rsidR="005F7B1E" w:rsidRPr="006806EE">
        <w:t xml:space="preserve"> can be met </w:t>
      </w:r>
      <w:r w:rsidR="005F7B1E">
        <w:t xml:space="preserve">by the World Bank </w:t>
      </w:r>
      <w:r w:rsidR="005F7B1E" w:rsidRPr="006806EE">
        <w:t>during the interim period</w:t>
      </w:r>
      <w:r w:rsidR="005F7B1E">
        <w:t xml:space="preserve"> referred to in paragraph </w:t>
      </w:r>
      <w:r w:rsidR="005F7B1E">
        <w:rPr>
          <w:cs/>
        </w:rPr>
        <w:t>‎</w:t>
      </w:r>
      <w:r w:rsidR="005F7B1E">
        <w:t>2(d) above, and the signing of the agreements between the Board of the Fund and the World Bank to operationalize the Fund</w:t>
      </w:r>
      <w:r w:rsidR="005F7B1E" w:rsidRPr="00CD5DA4">
        <w:t xml:space="preserve"> </w:t>
      </w:r>
      <w:r w:rsidR="005F7B1E">
        <w:t>as a World Bank hosted financial intermediary fund;</w:t>
      </w:r>
    </w:p>
    <w:p w14:paraId="58A47893" w14:textId="6A0106CF" w:rsidR="005F7B1E" w:rsidRDefault="00BD5DB4" w:rsidP="00BD5DB4">
      <w:pPr>
        <w:pStyle w:val="RegSingleTxtG"/>
        <w:numPr>
          <w:ilvl w:val="0"/>
          <w:numId w:val="0"/>
        </w:numPr>
        <w:spacing w:before="120"/>
        <w:ind w:left="1134"/>
      </w:pPr>
      <w:r>
        <w:t>6.</w:t>
      </w:r>
      <w:r>
        <w:tab/>
      </w:r>
      <w:r w:rsidR="005F7B1E">
        <w:rPr>
          <w:i/>
          <w:iCs/>
        </w:rPr>
        <w:t xml:space="preserve">Welcomes with appreciation </w:t>
      </w:r>
      <w:r w:rsidR="005F7B1E">
        <w:t xml:space="preserve">that the Government of the Philippines promptly conferred the Board of the Fund with the legal personality and the legal capacity as necessary for discharging its roles and functions, in particular the legal </w:t>
      </w:r>
      <w:r w:rsidR="005F7B1E" w:rsidRPr="488A1D75">
        <w:t xml:space="preserve">capacity to negotiate, conclude </w:t>
      </w:r>
      <w:r w:rsidR="005F7B1E" w:rsidRPr="488A1D75">
        <w:lastRenderedPageBreak/>
        <w:t>and enter into a hosting arrangement with the World Bank as</w:t>
      </w:r>
      <w:r w:rsidR="005F7B1E">
        <w:t xml:space="preserve"> </w:t>
      </w:r>
      <w:r w:rsidR="005F7B1E" w:rsidRPr="488A1D75">
        <w:t>interim trustee and host of the Fund’s secretariat</w:t>
      </w:r>
      <w:r w:rsidR="005F7B1E">
        <w:t>;</w:t>
      </w:r>
    </w:p>
    <w:p w14:paraId="38B2757F" w14:textId="40F74AE5" w:rsidR="005F7B1E" w:rsidRPr="00F300E2" w:rsidRDefault="00BD5DB4" w:rsidP="00BD5DB4">
      <w:pPr>
        <w:pStyle w:val="RegSingleTxtG"/>
        <w:numPr>
          <w:ilvl w:val="0"/>
          <w:numId w:val="0"/>
        </w:numPr>
        <w:spacing w:before="120"/>
        <w:ind w:left="1134"/>
      </w:pPr>
      <w:r w:rsidRPr="00F300E2">
        <w:t>7.</w:t>
      </w:r>
      <w:r w:rsidRPr="00F300E2">
        <w:tab/>
      </w:r>
      <w:r w:rsidR="005F7B1E">
        <w:rPr>
          <w:i/>
          <w:iCs/>
        </w:rPr>
        <w:t>Expresses appreciation</w:t>
      </w:r>
      <w:r w:rsidR="005F7B1E">
        <w:t xml:space="preserve"> to the Governments of Antigua and Barbuda, Armenia, the Bahamas, Barbados, Eswatini, Kenya and Togo for offering to host the Board of the Fund and to </w:t>
      </w:r>
      <w:r w:rsidR="005F7B1E" w:rsidRPr="00BA48FC">
        <w:t>confer</w:t>
      </w:r>
      <w:r w:rsidR="005F7B1E">
        <w:t xml:space="preserve"> it</w:t>
      </w:r>
      <w:r w:rsidR="005F7B1E" w:rsidRPr="00BA48FC">
        <w:t xml:space="preserve"> with the </w:t>
      </w:r>
      <w:r w:rsidR="005F7B1E">
        <w:t xml:space="preserve">necessary </w:t>
      </w:r>
      <w:r w:rsidR="005F7B1E" w:rsidRPr="00BA48FC">
        <w:t xml:space="preserve">legal personality and </w:t>
      </w:r>
      <w:r w:rsidR="005F7B1E">
        <w:t xml:space="preserve">legal </w:t>
      </w:r>
      <w:r w:rsidR="005F7B1E" w:rsidRPr="00BA48FC">
        <w:t>capacity</w:t>
      </w:r>
      <w:r w:rsidR="005F7B1E">
        <w:t>;</w:t>
      </w:r>
    </w:p>
    <w:p w14:paraId="315257AA" w14:textId="2687C0AC" w:rsidR="005F7B1E" w:rsidRDefault="00BD5DB4" w:rsidP="00BD5DB4">
      <w:pPr>
        <w:pStyle w:val="RegSingleTxtG"/>
        <w:numPr>
          <w:ilvl w:val="0"/>
          <w:numId w:val="0"/>
        </w:numPr>
        <w:ind w:left="1134"/>
      </w:pPr>
      <w:r>
        <w:t>8.</w:t>
      </w:r>
      <w:r>
        <w:tab/>
      </w:r>
      <w:r w:rsidR="005F7B1E">
        <w:rPr>
          <w:i/>
          <w:iCs/>
        </w:rPr>
        <w:t>Also e</w:t>
      </w:r>
      <w:r w:rsidR="005F7B1E" w:rsidRPr="00CC1E61">
        <w:rPr>
          <w:i/>
          <w:iCs/>
        </w:rPr>
        <w:t>xpress</w:t>
      </w:r>
      <w:r w:rsidR="005F7B1E">
        <w:rPr>
          <w:i/>
          <w:iCs/>
        </w:rPr>
        <w:t>es appreciation</w:t>
      </w:r>
      <w:r w:rsidR="005F7B1E">
        <w:t xml:space="preserve"> to the secretariats of the UNFCCC and the Green Climate Fund and the United Nations</w:t>
      </w:r>
      <w:r w:rsidR="005F7B1E" w:rsidRPr="00F6710B">
        <w:t xml:space="preserve"> </w:t>
      </w:r>
      <w:r w:rsidR="005F7B1E">
        <w:t>Development Programme for jointly forming the interim secretariat</w:t>
      </w:r>
      <w:r w:rsidR="005F7B1E" w:rsidRPr="00F6710B">
        <w:t xml:space="preserve"> </w:t>
      </w:r>
      <w:r w:rsidR="005F7B1E">
        <w:t>for the Fund and providing support, including</w:t>
      </w:r>
      <w:r w:rsidR="005F7B1E" w:rsidRPr="00F6710B">
        <w:t xml:space="preserve"> </w:t>
      </w:r>
      <w:r w:rsidR="005F7B1E">
        <w:t>administrative support, to the Board of the Fund during the transitional period until the</w:t>
      </w:r>
      <w:r w:rsidR="005F7B1E" w:rsidRPr="00F6710B">
        <w:t xml:space="preserve"> </w:t>
      </w:r>
      <w:r w:rsidR="005F7B1E">
        <w:t xml:space="preserve">establishment of the independent secretariat and </w:t>
      </w:r>
      <w:r w:rsidR="005F7B1E" w:rsidRPr="00834309">
        <w:rPr>
          <w:i/>
          <w:iCs/>
        </w:rPr>
        <w:t>look</w:t>
      </w:r>
      <w:r w:rsidR="005F7B1E">
        <w:rPr>
          <w:i/>
          <w:iCs/>
        </w:rPr>
        <w:t>s</w:t>
      </w:r>
      <w:r w:rsidR="005F7B1E" w:rsidRPr="00834309">
        <w:rPr>
          <w:i/>
          <w:iCs/>
        </w:rPr>
        <w:t xml:space="preserve"> forward</w:t>
      </w:r>
      <w:r w:rsidR="005F7B1E">
        <w:t xml:space="preserve"> to a smooth and cost-effective transition of the interim secretariat’s functions under the new, dedicated and independent secretariat;</w:t>
      </w:r>
    </w:p>
    <w:p w14:paraId="3EF9D605" w14:textId="361A359E" w:rsidR="005F7B1E" w:rsidRPr="00D93BD7" w:rsidRDefault="00BD5DB4" w:rsidP="00BD5DB4">
      <w:pPr>
        <w:pStyle w:val="RegSingleTxtG"/>
        <w:numPr>
          <w:ilvl w:val="0"/>
          <w:numId w:val="0"/>
        </w:numPr>
        <w:ind w:left="1134"/>
      </w:pPr>
      <w:r w:rsidRPr="00D93BD7">
        <w:t>9.</w:t>
      </w:r>
      <w:r w:rsidRPr="00D93BD7">
        <w:tab/>
      </w:r>
      <w:r w:rsidR="005F7B1E" w:rsidRPr="003A6017">
        <w:rPr>
          <w:i/>
          <w:iCs/>
        </w:rPr>
        <w:t>Welcome</w:t>
      </w:r>
      <w:r w:rsidR="005F7B1E">
        <w:rPr>
          <w:i/>
          <w:iCs/>
        </w:rPr>
        <w:t>s</w:t>
      </w:r>
      <w:r w:rsidR="005F7B1E" w:rsidRPr="003A6017">
        <w:t xml:space="preserve"> the financial pledges made to the Fund by the Governments of</w:t>
      </w:r>
      <w:r w:rsidR="005F7B1E">
        <w:t xml:space="preserve"> Australia, Austria, Estonia, Luxembourg, the Republic of Korea, New Zealand and Sweden and the government of the Walloon </w:t>
      </w:r>
      <w:r w:rsidR="005F7B1E" w:rsidRPr="001F69D5">
        <w:t xml:space="preserve">Region of Belgium, </w:t>
      </w:r>
      <w:r w:rsidR="005F7B1E">
        <w:t xml:space="preserve">which, together with the other pledges mentioned in table 2 of the annex to document </w:t>
      </w:r>
      <w:hyperlink r:id="rId80" w:history="1">
        <w:r w:rsidR="005F7B1E" w:rsidRPr="005946FF">
          <w:rPr>
            <w:rStyle w:val="Hyperlink"/>
          </w:rPr>
          <w:t>FCCC/CP/2024/9–FCCC/PA/CMA/2024/13</w:t>
        </w:r>
      </w:hyperlink>
      <w:r w:rsidR="005F7B1E">
        <w:t xml:space="preserve">, </w:t>
      </w:r>
      <w:r w:rsidR="005F7B1E" w:rsidRPr="001F69D5">
        <w:t>amount to the equivalent of USD </w:t>
      </w:r>
      <w:r w:rsidR="001D6BA0" w:rsidRPr="001D6BA0">
        <w:t>731.15</w:t>
      </w:r>
      <w:r w:rsidR="006A710B">
        <w:t xml:space="preserve"> </w:t>
      </w:r>
      <w:r w:rsidR="005F7B1E" w:rsidRPr="001F69D5">
        <w:t>million;</w:t>
      </w:r>
      <w:r w:rsidR="005F7B1E" w:rsidRPr="008F03A4">
        <w:rPr>
          <w:i/>
          <w:iCs/>
        </w:rPr>
        <w:t xml:space="preserve"> </w:t>
      </w:r>
    </w:p>
    <w:p w14:paraId="11945FAD" w14:textId="343A27EB" w:rsidR="005F7B1E" w:rsidRDefault="00BD5DB4" w:rsidP="00BD5DB4">
      <w:pPr>
        <w:pStyle w:val="RegSingleTxtG"/>
        <w:numPr>
          <w:ilvl w:val="0"/>
          <w:numId w:val="0"/>
        </w:numPr>
        <w:ind w:left="1134"/>
      </w:pPr>
      <w:r>
        <w:t>10.</w:t>
      </w:r>
      <w:r>
        <w:tab/>
      </w:r>
      <w:r w:rsidR="005F7B1E" w:rsidRPr="00D1427C">
        <w:rPr>
          <w:i/>
          <w:iCs/>
        </w:rPr>
        <w:t>Notes</w:t>
      </w:r>
      <w:r w:rsidR="005F7B1E">
        <w:t xml:space="preserve"> the importance of converting pledges to contributions in a timely manner, </w:t>
      </w:r>
      <w:r w:rsidR="005F7B1E" w:rsidRPr="00DB1080">
        <w:rPr>
          <w:i/>
          <w:iCs/>
        </w:rPr>
        <w:t>urges</w:t>
      </w:r>
      <w:r w:rsidR="005F7B1E">
        <w:t xml:space="preserve"> the conversion of pledges as soon as possible</w:t>
      </w:r>
      <w:r w:rsidR="005F7B1E" w:rsidDel="008D0C04">
        <w:t>,</w:t>
      </w:r>
      <w:r w:rsidR="005F7B1E">
        <w:t xml:space="preserve"> and </w:t>
      </w:r>
      <w:r w:rsidR="005F7B1E" w:rsidRPr="00DB1080">
        <w:rPr>
          <w:i/>
          <w:iCs/>
        </w:rPr>
        <w:t>requests</w:t>
      </w:r>
      <w:r w:rsidR="005F7B1E">
        <w:t xml:space="preserve"> the Board to engage with the relevant Parties for the timely conversion of pledges to fully executed contribution agreements or arrangements to increase the predictability of resources for the Fund</w:t>
      </w:r>
      <w:r w:rsidR="005F7B1E" w:rsidRPr="00311D6B">
        <w:t>;</w:t>
      </w:r>
    </w:p>
    <w:p w14:paraId="04272BDF" w14:textId="6C73DEE0" w:rsidR="005F7B1E" w:rsidRPr="00D1043A" w:rsidRDefault="00BD5DB4" w:rsidP="00BD5DB4">
      <w:pPr>
        <w:pStyle w:val="RegSingleTxtG"/>
        <w:numPr>
          <w:ilvl w:val="0"/>
          <w:numId w:val="0"/>
        </w:numPr>
        <w:ind w:left="1134"/>
      </w:pPr>
      <w:r w:rsidRPr="00D1043A">
        <w:t>11.</w:t>
      </w:r>
      <w:r w:rsidRPr="00D1043A">
        <w:tab/>
      </w:r>
      <w:r w:rsidR="005F7B1E" w:rsidRPr="00D1043A">
        <w:rPr>
          <w:i/>
          <w:iCs/>
        </w:rPr>
        <w:t>Expresses gratitude</w:t>
      </w:r>
      <w:r w:rsidR="005F7B1E" w:rsidRPr="00D1043A">
        <w:t xml:space="preserve"> to the Government of Japan for disbursing USD 10 million towards the operationalization of the Fund</w:t>
      </w:r>
      <w:r w:rsidR="005F7B1E">
        <w:t>;</w:t>
      </w:r>
    </w:p>
    <w:p w14:paraId="6DCAAA14" w14:textId="46595738" w:rsidR="005F7B1E" w:rsidRDefault="00BD5DB4" w:rsidP="00BD5DB4">
      <w:pPr>
        <w:pStyle w:val="RegSingleTxtG"/>
        <w:numPr>
          <w:ilvl w:val="0"/>
          <w:numId w:val="0"/>
        </w:numPr>
        <w:ind w:left="1134"/>
      </w:pPr>
      <w:r>
        <w:t>12.</w:t>
      </w:r>
      <w:r>
        <w:tab/>
      </w:r>
      <w:r w:rsidR="005F7B1E" w:rsidRPr="00467F2A">
        <w:rPr>
          <w:i/>
          <w:iCs/>
        </w:rPr>
        <w:t>Express</w:t>
      </w:r>
      <w:r w:rsidR="005F7B1E">
        <w:rPr>
          <w:i/>
          <w:iCs/>
        </w:rPr>
        <w:t>es</w:t>
      </w:r>
      <w:r w:rsidR="005F7B1E" w:rsidRPr="00467F2A">
        <w:rPr>
          <w:i/>
          <w:iCs/>
        </w:rPr>
        <w:t xml:space="preserve"> appreciation</w:t>
      </w:r>
      <w:r w:rsidR="005F7B1E">
        <w:t xml:space="preserve"> to the Governments of the United Arab Emirates, the Republic of Korea and Azerbaijan for hosting the 1</w:t>
      </w:r>
      <w:r w:rsidR="005F7B1E" w:rsidRPr="005A6FFA">
        <w:rPr>
          <w:vertAlign w:val="superscript"/>
        </w:rPr>
        <w:t>st</w:t>
      </w:r>
      <w:r w:rsidR="005F7B1E">
        <w:t>, 2</w:t>
      </w:r>
      <w:r w:rsidR="005F7B1E" w:rsidRPr="00467F2A">
        <w:rPr>
          <w:vertAlign w:val="superscript"/>
        </w:rPr>
        <w:t>nd</w:t>
      </w:r>
      <w:r w:rsidR="005F7B1E">
        <w:t xml:space="preserve"> and 3</w:t>
      </w:r>
      <w:r w:rsidR="005F7B1E" w:rsidRPr="005A6FFA">
        <w:rPr>
          <w:vertAlign w:val="superscript"/>
        </w:rPr>
        <w:t>rd</w:t>
      </w:r>
      <w:r w:rsidR="005F7B1E">
        <w:t xml:space="preserve"> meetings respectively of the Board of the Fund;</w:t>
      </w:r>
    </w:p>
    <w:p w14:paraId="12EBB795" w14:textId="0700D789" w:rsidR="005F7B1E" w:rsidRDefault="00BD5DB4" w:rsidP="00BD5DB4">
      <w:pPr>
        <w:pStyle w:val="RegSingleTxtG"/>
        <w:numPr>
          <w:ilvl w:val="0"/>
          <w:numId w:val="0"/>
        </w:numPr>
        <w:ind w:left="1134"/>
      </w:pPr>
      <w:r>
        <w:t>13.</w:t>
      </w:r>
      <w:r>
        <w:tab/>
      </w:r>
      <w:r w:rsidR="005F7B1E">
        <w:rPr>
          <w:i/>
          <w:iCs/>
        </w:rPr>
        <w:t xml:space="preserve">Welcomes </w:t>
      </w:r>
      <w:r w:rsidR="005F7B1E" w:rsidRPr="004034E0">
        <w:t>the</w:t>
      </w:r>
      <w:r w:rsidR="005F7B1E">
        <w:t xml:space="preserve"> prompt selection and appointment of Ibrahima Cheikh Diong as the Executive Director of the Fund through a merit-based, open and transparent process;</w:t>
      </w:r>
    </w:p>
    <w:p w14:paraId="77EE7B69" w14:textId="10116949" w:rsidR="005F7B1E" w:rsidRDefault="00BD5DB4" w:rsidP="00BD5DB4">
      <w:pPr>
        <w:pStyle w:val="RegSingleTxtG"/>
        <w:numPr>
          <w:ilvl w:val="0"/>
          <w:numId w:val="0"/>
        </w:numPr>
        <w:ind w:left="1134"/>
      </w:pPr>
      <w:r>
        <w:t>14.</w:t>
      </w:r>
      <w:r>
        <w:tab/>
      </w:r>
      <w:r w:rsidR="005F7B1E" w:rsidRPr="007D7E5E">
        <w:rPr>
          <w:i/>
          <w:iCs/>
        </w:rPr>
        <w:t>Also welcomes</w:t>
      </w:r>
      <w:r w:rsidR="005F7B1E">
        <w:t xml:space="preserve"> the launch of the </w:t>
      </w:r>
      <w:r w:rsidR="005F7B1E" w:rsidRPr="00896318">
        <w:t xml:space="preserve">annual high-level dialogue </w:t>
      </w:r>
      <w:r w:rsidR="005F7B1E">
        <w:t>on coordination and complementarity at</w:t>
      </w:r>
      <w:r w:rsidR="005F7B1E" w:rsidRPr="00896318">
        <w:t xml:space="preserve"> a high-level event</w:t>
      </w:r>
      <w:r w:rsidR="005F7B1E">
        <w:t>, organized by the Presidency of the twenty-ninth session of the Conference of the Parties and the Board</w:t>
      </w:r>
      <w:r w:rsidR="005F7B1E" w:rsidRPr="00896318">
        <w:t xml:space="preserve"> </w:t>
      </w:r>
      <w:r w:rsidR="005F7B1E">
        <w:t xml:space="preserve">of the Fund, held </w:t>
      </w:r>
      <w:r w:rsidR="005F7B1E" w:rsidRPr="00896318">
        <w:t>on the margins of the World Leaders Climate Action Summit</w:t>
      </w:r>
      <w:r w:rsidR="005F7B1E">
        <w:t xml:space="preserve"> in conjunction with the twenty-ninth session of the Conference of the Parties and the sixth session of the Conference of the Parties </w:t>
      </w:r>
      <w:r w:rsidR="005F7B1E" w:rsidRPr="00542EC1">
        <w:t>serving as the meeting of the Parties to the Paris Agreement</w:t>
      </w:r>
      <w:r w:rsidR="005F7B1E">
        <w:t>;</w:t>
      </w:r>
    </w:p>
    <w:p w14:paraId="13015266" w14:textId="4126FF00" w:rsidR="005F7B1E" w:rsidRDefault="00BD5DB4" w:rsidP="00BD5DB4">
      <w:pPr>
        <w:pStyle w:val="RegSingleTxtG"/>
        <w:numPr>
          <w:ilvl w:val="0"/>
          <w:numId w:val="0"/>
        </w:numPr>
        <w:ind w:left="1134"/>
      </w:pPr>
      <w:r>
        <w:t>15.</w:t>
      </w:r>
      <w:r>
        <w:tab/>
      </w:r>
      <w:r w:rsidR="005F7B1E" w:rsidRPr="007D7E5E">
        <w:rPr>
          <w:i/>
          <w:iCs/>
        </w:rPr>
        <w:t xml:space="preserve">Further welcomes </w:t>
      </w:r>
      <w:r w:rsidR="005F7B1E">
        <w:t xml:space="preserve">the </w:t>
      </w:r>
      <w:r w:rsidR="005F7B1E" w:rsidRPr="00C11BA2">
        <w:t>adopt</w:t>
      </w:r>
      <w:r w:rsidR="005F7B1E">
        <w:t>ion by the Board of the Fund of</w:t>
      </w:r>
      <w:r w:rsidR="005F7B1E" w:rsidRPr="00C11BA2">
        <w:t xml:space="preserve"> its workplan for 2024–</w:t>
      </w:r>
      <w:r w:rsidR="005F7B1E">
        <w:t>‍</w:t>
      </w:r>
      <w:r w:rsidR="005F7B1E" w:rsidRPr="00C11BA2">
        <w:t>2025</w:t>
      </w:r>
      <w:r w:rsidR="005F7B1E">
        <w:t>,</w:t>
      </w:r>
      <w:r w:rsidR="005F7B1E">
        <w:rPr>
          <w:rStyle w:val="FootnoteReference"/>
        </w:rPr>
        <w:footnoteReference w:id="39"/>
      </w:r>
      <w:r w:rsidR="005F7B1E" w:rsidRPr="00C11BA2">
        <w:t xml:space="preserve"> </w:t>
      </w:r>
      <w:r w:rsidR="005F7B1E">
        <w:t xml:space="preserve">which is </w:t>
      </w:r>
      <w:r w:rsidR="005F7B1E" w:rsidRPr="00C11BA2">
        <w:t>aimed at implementing the provisions of the Governing Instrument of the Fund with a view to approving funding decisions as soon as possible, developing operational procedures and policies for delivering on the mandate of the Fund</w:t>
      </w:r>
      <w:r w:rsidR="005F7B1E">
        <w:t>,</w:t>
      </w:r>
      <w:r w:rsidR="005F7B1E" w:rsidRPr="00C11BA2">
        <w:t xml:space="preserve"> </w:t>
      </w:r>
      <w:r w:rsidR="005F7B1E">
        <w:t xml:space="preserve">and </w:t>
      </w:r>
      <w:r w:rsidR="005F7B1E" w:rsidRPr="00C11BA2">
        <w:t>ensuring appropriate safeguards</w:t>
      </w:r>
      <w:r w:rsidR="005F7B1E">
        <w:t xml:space="preserve">, and </w:t>
      </w:r>
      <w:r w:rsidR="005F7B1E" w:rsidRPr="007D7E5E">
        <w:rPr>
          <w:i/>
          <w:iCs/>
        </w:rPr>
        <w:t>looks forward</w:t>
      </w:r>
      <w:r w:rsidR="005F7B1E">
        <w:t xml:space="preserve"> to the timely implementation of the workplan;</w:t>
      </w:r>
    </w:p>
    <w:p w14:paraId="34C2D238" w14:textId="1C3BE759" w:rsidR="005F7B1E" w:rsidRDefault="00BD5DB4" w:rsidP="00BD5DB4">
      <w:pPr>
        <w:pStyle w:val="RegSingleTxtG"/>
        <w:numPr>
          <w:ilvl w:val="0"/>
          <w:numId w:val="0"/>
        </w:numPr>
        <w:ind w:left="1134"/>
      </w:pPr>
      <w:r>
        <w:t>16.</w:t>
      </w:r>
      <w:r>
        <w:tab/>
      </w:r>
      <w:r w:rsidR="005F7B1E" w:rsidRPr="007D7E5E">
        <w:rPr>
          <w:i/>
          <w:iCs/>
        </w:rPr>
        <w:t>Notes with appreciation</w:t>
      </w:r>
      <w:r w:rsidR="005F7B1E">
        <w:t xml:space="preserve"> the Board’s timeline in its workplan for preparing a long</w:t>
      </w:r>
      <w:r w:rsidR="005F7B1E">
        <w:noBreakHyphen/>
        <w:t>term fundraising and resource mobilization strategy</w:t>
      </w:r>
      <w:r w:rsidR="005F7B1E" w:rsidRPr="00AE5A0B">
        <w:t xml:space="preserve"> </w:t>
      </w:r>
      <w:r w:rsidR="005F7B1E">
        <w:t xml:space="preserve">and plan for the Fund by the end of 2025, guided by paragraph 12 of decisions </w:t>
      </w:r>
      <w:hyperlink r:id="rId81" w:history="1">
        <w:r w:rsidR="005F7B1E" w:rsidRPr="00B26B88">
          <w:rPr>
            <w:rStyle w:val="Hyperlink"/>
          </w:rPr>
          <w:t>1/CP.28</w:t>
        </w:r>
      </w:hyperlink>
      <w:r w:rsidR="005F7B1E">
        <w:t xml:space="preserve"> and </w:t>
      </w:r>
      <w:hyperlink r:id="rId82" w:history="1">
        <w:r w:rsidR="005F7B1E" w:rsidRPr="00B26B88">
          <w:rPr>
            <w:rStyle w:val="Hyperlink"/>
          </w:rPr>
          <w:t>5/CMA.5</w:t>
        </w:r>
      </w:hyperlink>
      <w:r w:rsidR="005F7B1E">
        <w:t xml:space="preserve"> and paragraphs 54–56 of the Governing Instrument of the Fund;</w:t>
      </w:r>
    </w:p>
    <w:p w14:paraId="31078CE8" w14:textId="1934DE2B" w:rsidR="005F7B1E" w:rsidRPr="009866A2" w:rsidRDefault="00BD5DB4" w:rsidP="00BD5DB4">
      <w:pPr>
        <w:pStyle w:val="RegSingleTxtG"/>
        <w:numPr>
          <w:ilvl w:val="0"/>
          <w:numId w:val="0"/>
        </w:numPr>
        <w:ind w:left="1134"/>
      </w:pPr>
      <w:r w:rsidRPr="009866A2">
        <w:t>17.</w:t>
      </w:r>
      <w:r w:rsidRPr="009866A2">
        <w:tab/>
      </w:r>
      <w:r w:rsidR="005F7B1E" w:rsidRPr="00CD7E82">
        <w:rPr>
          <w:i/>
          <w:iCs/>
        </w:rPr>
        <w:t>Affirm</w:t>
      </w:r>
      <w:r w:rsidR="005F7B1E">
        <w:rPr>
          <w:i/>
          <w:iCs/>
        </w:rPr>
        <w:t>s</w:t>
      </w:r>
      <w:r w:rsidR="005F7B1E" w:rsidRPr="00CD7E82">
        <w:t xml:space="preserve"> the </w:t>
      </w:r>
      <w:r w:rsidR="005F7B1E">
        <w:t xml:space="preserve">need to promote efforts that enhance </w:t>
      </w:r>
      <w:r w:rsidR="005F7B1E" w:rsidRPr="00CD7E82">
        <w:t>coherence and complementarity</w:t>
      </w:r>
      <w:r w:rsidR="005F7B1E">
        <w:t xml:space="preserve"> of the Fund with new and existing arrangements for responding to loss and damage </w:t>
      </w:r>
      <w:r w:rsidR="005F7B1E" w:rsidRPr="0049141A">
        <w:t xml:space="preserve">associated with the adverse effects of climate change </w:t>
      </w:r>
      <w:r w:rsidR="005F7B1E">
        <w:t xml:space="preserve">and </w:t>
      </w:r>
      <w:r w:rsidR="005F7B1E" w:rsidRPr="009C5E90">
        <w:rPr>
          <w:rFonts w:eastAsia="Times New Roman"/>
          <w:i/>
          <w:iCs/>
          <w:lang w:val="en-US" w:eastAsia="en-US"/>
        </w:rPr>
        <w:t>welcome</w:t>
      </w:r>
      <w:r w:rsidR="005F7B1E">
        <w:rPr>
          <w:rFonts w:eastAsia="Times New Roman"/>
          <w:i/>
          <w:iCs/>
          <w:lang w:val="en-US" w:eastAsia="en-US"/>
        </w:rPr>
        <w:t>s</w:t>
      </w:r>
      <w:r w:rsidR="005F7B1E">
        <w:rPr>
          <w:rFonts w:eastAsia="Times New Roman"/>
          <w:lang w:val="en-US" w:eastAsia="en-US"/>
        </w:rPr>
        <w:t xml:space="preserve"> the inclusion of a target in the workplan of the Board to develop a complementarity and coherence framework in 2025;</w:t>
      </w:r>
    </w:p>
    <w:p w14:paraId="09B55C9A" w14:textId="3F9A301F" w:rsidR="005F7B1E" w:rsidRDefault="00BD5DB4" w:rsidP="00BD5DB4">
      <w:pPr>
        <w:pStyle w:val="RegSingleTxtG"/>
        <w:numPr>
          <w:ilvl w:val="0"/>
          <w:numId w:val="0"/>
        </w:numPr>
        <w:ind w:left="1134"/>
      </w:pPr>
      <w:r>
        <w:t>18.</w:t>
      </w:r>
      <w:r>
        <w:tab/>
      </w:r>
      <w:r w:rsidR="005F7B1E" w:rsidRPr="00210574">
        <w:rPr>
          <w:i/>
          <w:iCs/>
        </w:rPr>
        <w:t>Invites</w:t>
      </w:r>
      <w:r w:rsidR="005F7B1E">
        <w:t xml:space="preserve"> Parties to submit views and recommendations on elements of guidance for the Fund for responding to Loss and Damage via the submission portal</w:t>
      </w:r>
      <w:r w:rsidR="005F7B1E">
        <w:rPr>
          <w:rStyle w:val="FootnoteReference"/>
        </w:rPr>
        <w:footnoteReference w:id="40"/>
      </w:r>
      <w:r w:rsidR="005F7B1E">
        <w:t xml:space="preserve"> no later than 10 weeks prior to the thirtieth session of the Conference of the Parties (November 2025);</w:t>
      </w:r>
    </w:p>
    <w:p w14:paraId="5F11B281" w14:textId="76B2ACC0" w:rsidR="005F7B1E" w:rsidRDefault="00BD5DB4" w:rsidP="00BD5DB4">
      <w:pPr>
        <w:pStyle w:val="RegSingleTxtG"/>
        <w:numPr>
          <w:ilvl w:val="0"/>
          <w:numId w:val="0"/>
        </w:numPr>
        <w:ind w:left="1134"/>
      </w:pPr>
      <w:r>
        <w:lastRenderedPageBreak/>
        <w:t>19.</w:t>
      </w:r>
      <w:r>
        <w:tab/>
      </w:r>
      <w:r w:rsidR="005F7B1E" w:rsidRPr="00210574">
        <w:rPr>
          <w:i/>
          <w:iCs/>
        </w:rPr>
        <w:t>Requests</w:t>
      </w:r>
      <w:r w:rsidR="005F7B1E">
        <w:t xml:space="preserve"> the Standing Committee on Finance to take into consideration the submissions referred to in paragraph 18 above when preparing its draft guidance for the Fund for responding to Loss and Damage for consideration by the Conference of the Parties at its thirtieth session;</w:t>
      </w:r>
    </w:p>
    <w:p w14:paraId="60AB153A" w14:textId="624E7385" w:rsidR="005F7B1E" w:rsidRDefault="00BD5DB4" w:rsidP="00BD5DB4">
      <w:pPr>
        <w:pStyle w:val="RegSingleTxtG"/>
        <w:numPr>
          <w:ilvl w:val="0"/>
          <w:numId w:val="0"/>
        </w:numPr>
        <w:ind w:left="1134"/>
      </w:pPr>
      <w:r>
        <w:t>20.</w:t>
      </w:r>
      <w:r>
        <w:tab/>
      </w:r>
      <w:r w:rsidR="005F7B1E" w:rsidRPr="005F7B1E">
        <w:rPr>
          <w:i/>
          <w:iCs/>
        </w:rPr>
        <w:t>Also requests</w:t>
      </w:r>
      <w:r w:rsidR="005F7B1E">
        <w:t xml:space="preserve"> the Board of the Fund to include in its annual report to the Conference of the Parties information on the steps it has taken to implement the guidance provided in this decision.</w:t>
      </w:r>
    </w:p>
    <w:p w14:paraId="4BB1F953" w14:textId="0EF8C9D7" w:rsidR="00512F4E" w:rsidRDefault="001E1B17" w:rsidP="00512F4E">
      <w:pPr>
        <w:pStyle w:val="RegSingleTxtG"/>
        <w:numPr>
          <w:ilvl w:val="0"/>
          <w:numId w:val="0"/>
        </w:numPr>
        <w:spacing w:after="0"/>
        <w:ind w:left="1134"/>
        <w:jc w:val="right"/>
        <w:rPr>
          <w:i/>
          <w:iCs/>
        </w:rPr>
      </w:pPr>
      <w:r>
        <w:rPr>
          <w:i/>
          <w:iCs/>
        </w:rPr>
        <w:t>11</w:t>
      </w:r>
      <w:r w:rsidRPr="001E1B17">
        <w:rPr>
          <w:i/>
          <w:iCs/>
          <w:vertAlign w:val="superscript"/>
        </w:rPr>
        <w:t>th</w:t>
      </w:r>
      <w:r w:rsidR="00512F4E">
        <w:rPr>
          <w:i/>
          <w:iCs/>
        </w:rPr>
        <w:t xml:space="preserve"> plenary meeting</w:t>
      </w:r>
    </w:p>
    <w:p w14:paraId="3AFC4C4A" w14:textId="2900B54B" w:rsidR="00512F4E" w:rsidRPr="00512F4E" w:rsidRDefault="001E1B17" w:rsidP="00512F4E">
      <w:pPr>
        <w:pStyle w:val="RegSingleTxtG"/>
        <w:numPr>
          <w:ilvl w:val="0"/>
          <w:numId w:val="0"/>
        </w:numPr>
        <w:spacing w:after="0"/>
        <w:ind w:left="1134"/>
        <w:jc w:val="right"/>
        <w:rPr>
          <w:i/>
          <w:iCs/>
        </w:rPr>
      </w:pPr>
      <w:r>
        <w:rPr>
          <w:i/>
          <w:iCs/>
        </w:rPr>
        <w:t>23</w:t>
      </w:r>
      <w:r w:rsidR="00512F4E">
        <w:rPr>
          <w:i/>
          <w:iCs/>
        </w:rPr>
        <w:t xml:space="preserve"> November 2024</w:t>
      </w:r>
    </w:p>
    <w:p w14:paraId="20F560E9" w14:textId="77777777" w:rsidR="00512F4E" w:rsidRDefault="00512F4E" w:rsidP="00BD5DB4">
      <w:pPr>
        <w:pStyle w:val="RegHChG"/>
        <w:numPr>
          <w:ilvl w:val="0"/>
          <w:numId w:val="0"/>
        </w:numPr>
        <w:ind w:hanging="454"/>
      </w:pPr>
    </w:p>
    <w:p w14:paraId="00937D9A" w14:textId="09F3A004" w:rsidR="00512F4E" w:rsidRDefault="00BD5DB4" w:rsidP="00BD5DB4">
      <w:pPr>
        <w:pStyle w:val="RegHChG"/>
        <w:numPr>
          <w:ilvl w:val="0"/>
          <w:numId w:val="0"/>
        </w:numPr>
        <w:tabs>
          <w:tab w:val="left" w:pos="1135"/>
        </w:tabs>
        <w:ind w:left="1135" w:hanging="454"/>
        <w:sectPr w:rsidR="00512F4E" w:rsidSect="001C679A">
          <w:headerReference w:type="even" r:id="rId83"/>
          <w:headerReference w:type="default" r:id="rId84"/>
          <w:footerReference w:type="even" r:id="rId85"/>
          <w:footerReference w:type="default" r:id="rId86"/>
          <w:footnotePr>
            <w:numRestart w:val="eachSect"/>
          </w:footnotePr>
          <w:pgSz w:w="11906" w:h="16838" w:code="9"/>
          <w:pgMar w:top="1417" w:right="1134" w:bottom="1134" w:left="1134" w:header="850" w:footer="567" w:gutter="0"/>
          <w:cols w:space="708"/>
          <w:docGrid w:linePitch="360"/>
        </w:sectPr>
      </w:pPr>
      <w:r>
        <w:t>I.</w:t>
      </w:r>
      <w:r>
        <w:tab/>
      </w:r>
    </w:p>
    <w:p w14:paraId="6679A5F7" w14:textId="49668074" w:rsidR="002013D4" w:rsidRDefault="002013D4" w:rsidP="00BD5DB4">
      <w:pPr>
        <w:pStyle w:val="RegHChG"/>
        <w:numPr>
          <w:ilvl w:val="0"/>
          <w:numId w:val="0"/>
        </w:numPr>
        <w:ind w:left="1135" w:hanging="454"/>
      </w:pPr>
      <w:bookmarkStart w:id="15" w:name="CP6"/>
      <w:r>
        <w:lastRenderedPageBreak/>
        <w:t xml:space="preserve">Decision </w:t>
      </w:r>
      <w:r w:rsidR="004E776D">
        <w:t>6</w:t>
      </w:r>
      <w:r>
        <w:t>/CP.29</w:t>
      </w:r>
      <w:bookmarkEnd w:id="15"/>
    </w:p>
    <w:p w14:paraId="06E36CD4" w14:textId="77777777" w:rsidR="00882319" w:rsidRDefault="00882319" w:rsidP="00882319">
      <w:pPr>
        <w:pStyle w:val="HChG"/>
      </w:pPr>
      <w:r>
        <w:tab/>
      </w:r>
      <w:r>
        <w:tab/>
      </w:r>
      <w:r w:rsidRPr="003740DE">
        <w:t>Arrangements between the Conference of the Parties, the Conference of the Parties serving as the meeting of the Parties to the Paris Agreement and the Board of the Fund for responding to Loss and Damage</w:t>
      </w:r>
    </w:p>
    <w:p w14:paraId="5DD2C63F" w14:textId="77777777" w:rsidR="00882319" w:rsidRPr="00311D6B" w:rsidRDefault="00882319" w:rsidP="00882319">
      <w:pPr>
        <w:suppressAutoHyphens w:val="0"/>
        <w:autoSpaceDE w:val="0"/>
        <w:autoSpaceDN w:val="0"/>
        <w:adjustRightInd w:val="0"/>
        <w:spacing w:before="240" w:after="120"/>
        <w:ind w:left="1134" w:right="1134" w:firstLine="567"/>
        <w:jc w:val="both"/>
        <w:rPr>
          <w:rFonts w:eastAsia="DengXian"/>
          <w:color w:val="000000"/>
        </w:rPr>
      </w:pPr>
      <w:r w:rsidRPr="6104D06B">
        <w:rPr>
          <w:rFonts w:eastAsia="DengXian"/>
          <w:i/>
          <w:iCs/>
          <w:color w:val="000000" w:themeColor="text1"/>
        </w:rPr>
        <w:t>The Conference of the Parties</w:t>
      </w:r>
      <w:r w:rsidRPr="6104D06B">
        <w:rPr>
          <w:rFonts w:eastAsia="DengXian"/>
          <w:color w:val="000000" w:themeColor="text1"/>
        </w:rPr>
        <w:t xml:space="preserve">, </w:t>
      </w:r>
    </w:p>
    <w:p w14:paraId="7A0C58CB" w14:textId="77777777" w:rsidR="00882319" w:rsidRPr="00882319" w:rsidRDefault="00882319" w:rsidP="003009DD">
      <w:pPr>
        <w:pStyle w:val="RegSingleTxtG"/>
        <w:numPr>
          <w:ilvl w:val="0"/>
          <w:numId w:val="0"/>
        </w:numPr>
        <w:ind w:left="1134"/>
        <w:rPr>
          <w:i/>
          <w:iCs/>
        </w:rPr>
      </w:pPr>
      <w:r w:rsidRPr="00882319">
        <w:rPr>
          <w:i/>
          <w:iCs/>
        </w:rPr>
        <w:tab/>
        <w:t xml:space="preserve">Recalling </w:t>
      </w:r>
      <w:r w:rsidRPr="00E27F0D">
        <w:t>Article 11 of the Convention</w:t>
      </w:r>
      <w:r w:rsidRPr="00236B84">
        <w:t xml:space="preserve"> and Article 9, paragraph 8, of the Paris Agreement,</w:t>
      </w:r>
    </w:p>
    <w:p w14:paraId="46B751E4" w14:textId="7D8DCDB7" w:rsidR="00882319" w:rsidRDefault="00882319" w:rsidP="003009DD">
      <w:pPr>
        <w:pStyle w:val="RegSingleTxtG"/>
        <w:numPr>
          <w:ilvl w:val="0"/>
          <w:numId w:val="0"/>
        </w:numPr>
        <w:ind w:left="1134"/>
      </w:pPr>
      <w:r>
        <w:tab/>
      </w:r>
      <w:r w:rsidRPr="00FD2FB2">
        <w:rPr>
          <w:i/>
          <w:iCs/>
        </w:rPr>
        <w:t xml:space="preserve">Also recalling </w:t>
      </w:r>
      <w:r w:rsidRPr="00FD2FB2">
        <w:t xml:space="preserve">paragraphs 2–3 of decisions </w:t>
      </w:r>
      <w:hyperlink r:id="rId87" w:history="1">
        <w:r w:rsidRPr="00B26B88">
          <w:rPr>
            <w:rStyle w:val="Hyperlink"/>
          </w:rPr>
          <w:t>2/CP.27</w:t>
        </w:r>
      </w:hyperlink>
      <w:r w:rsidRPr="00FD2FB2">
        <w:t xml:space="preserve"> and </w:t>
      </w:r>
      <w:hyperlink r:id="rId88" w:history="1">
        <w:r w:rsidRPr="00B26B88">
          <w:rPr>
            <w:rStyle w:val="Hyperlink"/>
          </w:rPr>
          <w:t>2/CMA.4</w:t>
        </w:r>
      </w:hyperlink>
      <w:r w:rsidRPr="00FD2FB2">
        <w:t>; and</w:t>
      </w:r>
      <w:r w:rsidR="00BF4B18">
        <w:t xml:space="preserve"> </w:t>
      </w:r>
      <w:r w:rsidRPr="00FD2FB2">
        <w:t xml:space="preserve">decisions </w:t>
      </w:r>
      <w:hyperlink r:id="rId89" w:history="1">
        <w:r w:rsidRPr="00B26B88">
          <w:rPr>
            <w:rStyle w:val="Hyperlink"/>
          </w:rPr>
          <w:t>1/CP.28</w:t>
        </w:r>
      </w:hyperlink>
      <w:r w:rsidRPr="00FD2FB2">
        <w:t xml:space="preserve"> and </w:t>
      </w:r>
      <w:hyperlink r:id="rId90" w:history="1">
        <w:r w:rsidRPr="00B26B88">
          <w:rPr>
            <w:rStyle w:val="Hyperlink"/>
          </w:rPr>
          <w:t>5/CMA.5</w:t>
        </w:r>
      </w:hyperlink>
      <w:r w:rsidRPr="00FD2FB2" w:rsidDel="00BF4B18">
        <w:t>, as well as annex I to those decisions</w:t>
      </w:r>
      <w:r w:rsidRPr="00FD2FB2">
        <w:t xml:space="preserve">, which sets out the Governing Instrument of the Fund referred to in paragraph 3 of decisions </w:t>
      </w:r>
      <w:hyperlink r:id="rId91" w:history="1">
        <w:r w:rsidRPr="00B26B88">
          <w:rPr>
            <w:rStyle w:val="Hyperlink"/>
          </w:rPr>
          <w:t>2/CP.27</w:t>
        </w:r>
      </w:hyperlink>
      <w:r w:rsidRPr="00FD2FB2">
        <w:t xml:space="preserve"> and </w:t>
      </w:r>
      <w:hyperlink r:id="rId92" w:history="1">
        <w:r w:rsidRPr="00B26B88">
          <w:rPr>
            <w:rStyle w:val="Hyperlink"/>
          </w:rPr>
          <w:t>2/CMA.4</w:t>
        </w:r>
      </w:hyperlink>
      <w:r>
        <w:t>,</w:t>
      </w:r>
    </w:p>
    <w:p w14:paraId="01CD7245" w14:textId="03C5BD0D" w:rsidR="00882319" w:rsidRPr="004E76BD" w:rsidRDefault="00882319" w:rsidP="003009DD">
      <w:pPr>
        <w:pStyle w:val="RegSingleTxtG"/>
        <w:numPr>
          <w:ilvl w:val="0"/>
          <w:numId w:val="0"/>
        </w:numPr>
        <w:ind w:left="1134"/>
      </w:pPr>
      <w:r>
        <w:rPr>
          <w:i/>
          <w:iCs/>
        </w:rPr>
        <w:tab/>
      </w:r>
      <w:r>
        <w:rPr>
          <w:i/>
          <w:iCs/>
        </w:rPr>
        <w:tab/>
      </w:r>
      <w:r w:rsidRPr="00FD2FB2">
        <w:rPr>
          <w:i/>
          <w:iCs/>
        </w:rPr>
        <w:t xml:space="preserve">Further </w:t>
      </w:r>
      <w:r w:rsidRPr="009D2A51">
        <w:rPr>
          <w:i/>
          <w:iCs/>
        </w:rPr>
        <w:t>recalling</w:t>
      </w:r>
      <w:r w:rsidRPr="00CB0225">
        <w:t xml:space="preserve"> decisions </w:t>
      </w:r>
      <w:hyperlink r:id="rId93" w:history="1">
        <w:r w:rsidRPr="00B26B88">
          <w:rPr>
            <w:rStyle w:val="Hyperlink"/>
          </w:rPr>
          <w:t>1/CP.28</w:t>
        </w:r>
      </w:hyperlink>
      <w:r w:rsidRPr="004E76BD">
        <w:t xml:space="preserve"> and </w:t>
      </w:r>
      <w:hyperlink r:id="rId94" w:history="1">
        <w:r w:rsidRPr="00B26B88">
          <w:rPr>
            <w:rStyle w:val="Hyperlink"/>
          </w:rPr>
          <w:t>5/CMA.5</w:t>
        </w:r>
      </w:hyperlink>
      <w:r w:rsidRPr="00CB0225">
        <w:t xml:space="preserve">, </w:t>
      </w:r>
      <w:r w:rsidR="00FA2B3E">
        <w:t xml:space="preserve">in </w:t>
      </w:r>
      <w:r w:rsidRPr="00CB0225">
        <w:t xml:space="preserve">which, inter alia, the Fund </w:t>
      </w:r>
      <w:r w:rsidR="00A76849">
        <w:t xml:space="preserve">was designated </w:t>
      </w:r>
      <w:r w:rsidRPr="00CB0225">
        <w:t xml:space="preserve">as an operating entity of the </w:t>
      </w:r>
      <w:r>
        <w:t>F</w:t>
      </w:r>
      <w:r w:rsidRPr="00CB0225">
        <w:t xml:space="preserve">inancial </w:t>
      </w:r>
      <w:r>
        <w:t>M</w:t>
      </w:r>
      <w:r w:rsidRPr="00CB0225">
        <w:t xml:space="preserve">echanism of the Convention, </w:t>
      </w:r>
      <w:r w:rsidRPr="004E76BD">
        <w:t>also serving the Paris Agreement</w:t>
      </w:r>
      <w:r>
        <w:t>,</w:t>
      </w:r>
      <w:r w:rsidRPr="00CB0225">
        <w:t xml:space="preserve"> and the Conference of the Parties and the </w:t>
      </w:r>
      <w:r w:rsidRPr="004E76BD">
        <w:t>Conference of the Parties serving as the meeting of the Parties to the Paris Agreement</w:t>
      </w:r>
      <w:r w:rsidR="00A76849">
        <w:t xml:space="preserve"> were requested</w:t>
      </w:r>
      <w:r w:rsidRPr="00CB0225">
        <w:t xml:space="preserve"> to conclude arrangements with </w:t>
      </w:r>
      <w:r>
        <w:t xml:space="preserve">the </w:t>
      </w:r>
      <w:r w:rsidRPr="00CB0225">
        <w:t xml:space="preserve">Board </w:t>
      </w:r>
      <w:r>
        <w:t>of the Fund for responding to Loss and Damage</w:t>
      </w:r>
      <w:r w:rsidRPr="00CB0225">
        <w:t xml:space="preserve"> to ensure that it is accountable to and functions under the guidance of the Conference of the Parties </w:t>
      </w:r>
      <w:r w:rsidRPr="004E76BD">
        <w:t>and the Conference of the Parties serving as the meeting of the Parties to the Paris Agreement</w:t>
      </w:r>
      <w:r>
        <w:t>,</w:t>
      </w:r>
    </w:p>
    <w:p w14:paraId="41A57DC2" w14:textId="171448DA" w:rsidR="00882319" w:rsidRDefault="00882319" w:rsidP="006F384A">
      <w:pPr>
        <w:pStyle w:val="RegSingleTxtG"/>
        <w:numPr>
          <w:ilvl w:val="0"/>
          <w:numId w:val="0"/>
        </w:numPr>
        <w:ind w:left="1134"/>
      </w:pPr>
      <w:r>
        <w:rPr>
          <w:i/>
          <w:iCs/>
        </w:rPr>
        <w:tab/>
        <w:t>R</w:t>
      </w:r>
      <w:r w:rsidRPr="00FD2FB2">
        <w:rPr>
          <w:i/>
          <w:iCs/>
        </w:rPr>
        <w:t xml:space="preserve">ecognizing </w:t>
      </w:r>
      <w:r w:rsidRPr="004E76BD">
        <w:t>that</w:t>
      </w:r>
      <w:r>
        <w:t>,</w:t>
      </w:r>
      <w:r w:rsidRPr="004E76BD">
        <w:t xml:space="preserve"> pursuant to paragraph 6 of decisions </w:t>
      </w:r>
      <w:hyperlink r:id="rId95" w:history="1">
        <w:r w:rsidRPr="00B26B88">
          <w:rPr>
            <w:rStyle w:val="Hyperlink"/>
          </w:rPr>
          <w:t>1/CP.28</w:t>
        </w:r>
      </w:hyperlink>
      <w:r w:rsidRPr="004E76BD">
        <w:t xml:space="preserve"> and </w:t>
      </w:r>
      <w:hyperlink r:id="rId96" w:history="1">
        <w:r w:rsidRPr="00B26B88">
          <w:rPr>
            <w:rStyle w:val="Hyperlink"/>
          </w:rPr>
          <w:t>5/CMA.5</w:t>
        </w:r>
      </w:hyperlink>
      <w:r w:rsidRPr="004E76BD">
        <w:t xml:space="preserve">, the arrangements between the Conference of the Parties to the UNFCCC, the Conference of the Parties serving as the meeting of the Parties to the Paris Agreement and the Board are to be consistent with decisions </w:t>
      </w:r>
      <w:hyperlink r:id="rId97" w:history="1">
        <w:r w:rsidRPr="00B26B88">
          <w:rPr>
            <w:rStyle w:val="Hyperlink"/>
          </w:rPr>
          <w:t>1/CP.28</w:t>
        </w:r>
      </w:hyperlink>
      <w:r w:rsidRPr="004E76BD">
        <w:t xml:space="preserve"> and </w:t>
      </w:r>
      <w:hyperlink r:id="rId98" w:history="1">
        <w:r w:rsidRPr="00B26B88">
          <w:rPr>
            <w:rStyle w:val="Hyperlink"/>
          </w:rPr>
          <w:t>5/CMA.5</w:t>
        </w:r>
      </w:hyperlink>
      <w:r>
        <w:t>,</w:t>
      </w:r>
      <w:r w:rsidRPr="004E76BD">
        <w:t xml:space="preserve"> and the Governing Instrument of the Fund</w:t>
      </w:r>
      <w:r>
        <w:t xml:space="preserve"> contained in annex I to those decisions</w:t>
      </w:r>
      <w:r w:rsidRPr="004E76BD">
        <w:t>,</w:t>
      </w:r>
    </w:p>
    <w:p w14:paraId="04D65A44" w14:textId="1001DB30" w:rsidR="00882319" w:rsidRDefault="00882319" w:rsidP="001E366B">
      <w:pPr>
        <w:pStyle w:val="RegSingleTxtG"/>
        <w:numPr>
          <w:ilvl w:val="0"/>
          <w:numId w:val="0"/>
        </w:numPr>
        <w:ind w:left="1134"/>
      </w:pPr>
      <w:r>
        <w:tab/>
      </w:r>
      <w:r>
        <w:rPr>
          <w:i/>
          <w:iCs/>
        </w:rPr>
        <w:t>R</w:t>
      </w:r>
      <w:r w:rsidRPr="00E27F0D">
        <w:rPr>
          <w:i/>
          <w:iCs/>
        </w:rPr>
        <w:t>ecalling</w:t>
      </w:r>
      <w:r w:rsidRPr="00925DCA">
        <w:t xml:space="preserve"> decision</w:t>
      </w:r>
      <w:r>
        <w:t>s</w:t>
      </w:r>
      <w:r w:rsidRPr="00925DCA">
        <w:t xml:space="preserve"> </w:t>
      </w:r>
      <w:hyperlink r:id="rId99" w:history="1">
        <w:r w:rsidRPr="00B26B88">
          <w:rPr>
            <w:rStyle w:val="Hyperlink"/>
          </w:rPr>
          <w:t>1/CP.28</w:t>
        </w:r>
      </w:hyperlink>
      <w:r w:rsidRPr="004E76BD">
        <w:t xml:space="preserve"> and </w:t>
      </w:r>
      <w:hyperlink r:id="rId100" w:history="1">
        <w:r w:rsidRPr="00B26B88">
          <w:rPr>
            <w:rStyle w:val="Hyperlink"/>
          </w:rPr>
          <w:t>5/CMA.5</w:t>
        </w:r>
      </w:hyperlink>
      <w:r w:rsidRPr="00925DCA">
        <w:t xml:space="preserve">, </w:t>
      </w:r>
      <w:r w:rsidR="003A32C9">
        <w:t xml:space="preserve">in </w:t>
      </w:r>
      <w:r w:rsidRPr="00925DCA">
        <w:t xml:space="preserve">which the </w:t>
      </w:r>
      <w:r>
        <w:t xml:space="preserve">Standing Committee on Finance </w:t>
      </w:r>
      <w:r w:rsidR="003A32C9">
        <w:t xml:space="preserve">was requested </w:t>
      </w:r>
      <w:r>
        <w:t>to develop the arrangements to be concluded between the Conference of the Parties, the Conference</w:t>
      </w:r>
      <w:r w:rsidRPr="00150770">
        <w:t xml:space="preserve"> </w:t>
      </w:r>
      <w:r>
        <w:t>of the Parties serving as the meeting of the Parties to the Paris Agreement and the Board, consistently with the Governing Instrument of the Fund, for consideration and</w:t>
      </w:r>
      <w:r w:rsidRPr="00150770">
        <w:t xml:space="preserve"> </w:t>
      </w:r>
      <w:r>
        <w:t>approval by the Board and subsequent consideration and approval by the Conference of the</w:t>
      </w:r>
      <w:r w:rsidRPr="00150770">
        <w:t xml:space="preserve"> </w:t>
      </w:r>
      <w:r>
        <w:t>Parties at its twenty-ninth session and the Conference of the Parties serving as the meeting</w:t>
      </w:r>
      <w:r w:rsidRPr="00150770">
        <w:t xml:space="preserve"> </w:t>
      </w:r>
      <w:r>
        <w:t>of the Parties to the Paris Agreement at its sixth session,</w:t>
      </w:r>
    </w:p>
    <w:p w14:paraId="2E51A491" w14:textId="77777777" w:rsidR="00882319" w:rsidRPr="00925DCA" w:rsidRDefault="00882319" w:rsidP="001E366B">
      <w:pPr>
        <w:pStyle w:val="RegSingleTxtG"/>
        <w:numPr>
          <w:ilvl w:val="0"/>
          <w:numId w:val="0"/>
        </w:numPr>
        <w:ind w:left="1134"/>
      </w:pPr>
      <w:r>
        <w:rPr>
          <w:i/>
          <w:iCs/>
        </w:rPr>
        <w:tab/>
        <w:t>Also r</w:t>
      </w:r>
      <w:r w:rsidRPr="00E27F0D">
        <w:rPr>
          <w:i/>
          <w:iCs/>
        </w:rPr>
        <w:t xml:space="preserve">ecalling </w:t>
      </w:r>
      <w:r w:rsidRPr="00E87D86">
        <w:t>paragraph 13 of</w:t>
      </w:r>
      <w:r w:rsidRPr="00925DCA">
        <w:t xml:space="preserve"> the </w:t>
      </w:r>
      <w:r>
        <w:t>G</w:t>
      </w:r>
      <w:r w:rsidRPr="00925DCA">
        <w:t xml:space="preserve">overning </w:t>
      </w:r>
      <w:r>
        <w:t>I</w:t>
      </w:r>
      <w:r w:rsidRPr="00925DCA">
        <w:t xml:space="preserve">nstrument </w:t>
      </w:r>
      <w:r>
        <w:t>of the</w:t>
      </w:r>
      <w:r w:rsidRPr="00925DCA">
        <w:t xml:space="preserve"> Fund</w:t>
      </w:r>
      <w:r>
        <w:t>,</w:t>
      </w:r>
    </w:p>
    <w:p w14:paraId="0D231B8E" w14:textId="5BE20C02" w:rsidR="00882319" w:rsidRPr="00E73AC9" w:rsidRDefault="00BD5DB4" w:rsidP="00BD5DB4">
      <w:pPr>
        <w:pStyle w:val="RegSingleTxtG"/>
        <w:numPr>
          <w:ilvl w:val="0"/>
          <w:numId w:val="0"/>
        </w:numPr>
        <w:ind w:left="1134"/>
      </w:pPr>
      <w:r w:rsidRPr="00E73AC9">
        <w:t>1.</w:t>
      </w:r>
      <w:r w:rsidRPr="00E73AC9">
        <w:tab/>
      </w:r>
      <w:r w:rsidR="00882319" w:rsidRPr="001E366B">
        <w:rPr>
          <w:i/>
          <w:iCs/>
        </w:rPr>
        <w:t>Welcomes with appreciation</w:t>
      </w:r>
      <w:r w:rsidR="00882319">
        <w:t xml:space="preserve"> </w:t>
      </w:r>
      <w:r w:rsidR="00882319" w:rsidRPr="00925DCA">
        <w:t xml:space="preserve">the </w:t>
      </w:r>
      <w:r w:rsidR="00882319" w:rsidRPr="00841A5B">
        <w:t xml:space="preserve">draft arrangements between the Conference of the Parties to the UNFCCC, the Conference of the Parties serving as the meeting of the Parties to the Paris Agreement and the Board of the Fund for responding to Loss and Damage </w:t>
      </w:r>
      <w:r w:rsidR="00882319">
        <w:t>as contained</w:t>
      </w:r>
      <w:r w:rsidR="00882319" w:rsidRPr="00841A5B">
        <w:t xml:space="preserve"> in the </w:t>
      </w:r>
      <w:r w:rsidR="00882319" w:rsidRPr="00925DCA">
        <w:t>report of the Standing Committee on Finance</w:t>
      </w:r>
      <w:r w:rsidR="00882319">
        <w:rPr>
          <w:rStyle w:val="FootnoteReference"/>
        </w:rPr>
        <w:footnoteReference w:id="41"/>
      </w:r>
      <w:r w:rsidR="00882319">
        <w:t xml:space="preserve"> and approved by</w:t>
      </w:r>
      <w:r w:rsidR="00882319" w:rsidRPr="00925DCA">
        <w:t xml:space="preserve"> the Board</w:t>
      </w:r>
      <w:r w:rsidR="00882319">
        <w:t xml:space="preserve">; </w:t>
      </w:r>
    </w:p>
    <w:p w14:paraId="16E4D800" w14:textId="156196C7" w:rsidR="00882319" w:rsidRPr="00925DCA" w:rsidRDefault="00BD5DB4" w:rsidP="00BD5DB4">
      <w:pPr>
        <w:pStyle w:val="RegSingleTxtG"/>
        <w:numPr>
          <w:ilvl w:val="0"/>
          <w:numId w:val="0"/>
        </w:numPr>
        <w:ind w:left="1134"/>
      </w:pPr>
      <w:r w:rsidRPr="00925DCA">
        <w:t>2.</w:t>
      </w:r>
      <w:r w:rsidRPr="00925DCA">
        <w:tab/>
      </w:r>
      <w:r w:rsidR="00882319" w:rsidRPr="002F44F2">
        <w:rPr>
          <w:i/>
          <w:iCs/>
        </w:rPr>
        <w:t>Confirm</w:t>
      </w:r>
      <w:r w:rsidR="00882319">
        <w:rPr>
          <w:i/>
          <w:iCs/>
        </w:rPr>
        <w:t xml:space="preserve">s </w:t>
      </w:r>
      <w:r w:rsidR="00882319" w:rsidRPr="00925DCA">
        <w:t xml:space="preserve">that the arrangements between the </w:t>
      </w:r>
      <w:r w:rsidR="00882319" w:rsidRPr="00EB6926">
        <w:t xml:space="preserve">Conference of the Parties, the Conference of the Parties serving as the meeting of the Parties to the Paris Agreement and the Board </w:t>
      </w:r>
      <w:r w:rsidR="00882319" w:rsidRPr="00925DCA">
        <w:t xml:space="preserve">shall be </w:t>
      </w:r>
      <w:r w:rsidR="00882319">
        <w:t xml:space="preserve">consistent </w:t>
      </w:r>
      <w:r w:rsidR="00882319" w:rsidRPr="00925DCA">
        <w:t xml:space="preserve">with the </w:t>
      </w:r>
      <w:r w:rsidR="00882319">
        <w:t>G</w:t>
      </w:r>
      <w:r w:rsidR="00882319" w:rsidRPr="00925DCA">
        <w:t xml:space="preserve">overning </w:t>
      </w:r>
      <w:r w:rsidR="00882319">
        <w:t>I</w:t>
      </w:r>
      <w:r w:rsidR="00882319" w:rsidRPr="00925DCA">
        <w:t xml:space="preserve">nstrument </w:t>
      </w:r>
      <w:r w:rsidR="00882319">
        <w:t xml:space="preserve">of </w:t>
      </w:r>
      <w:r w:rsidR="00882319" w:rsidRPr="00925DCA">
        <w:t>the Fund</w:t>
      </w:r>
      <w:r w:rsidR="00882319">
        <w:t xml:space="preserve"> for responding to Loss and Damage</w:t>
      </w:r>
      <w:r w:rsidR="00882319" w:rsidRPr="00925DCA">
        <w:t xml:space="preserve">, contained in </w:t>
      </w:r>
      <w:r w:rsidR="00882319">
        <w:t xml:space="preserve">annex I to </w:t>
      </w:r>
      <w:r w:rsidR="00882319" w:rsidRPr="00925DCA">
        <w:t>decision</w:t>
      </w:r>
      <w:r w:rsidR="00882319">
        <w:t>s</w:t>
      </w:r>
      <w:r w:rsidR="00882319" w:rsidRPr="00925DCA">
        <w:t xml:space="preserve"> </w:t>
      </w:r>
      <w:hyperlink r:id="rId101" w:history="1">
        <w:r w:rsidR="00882319" w:rsidRPr="00B26B88">
          <w:rPr>
            <w:rStyle w:val="Hyperlink"/>
          </w:rPr>
          <w:t>1/CP.28</w:t>
        </w:r>
      </w:hyperlink>
      <w:r w:rsidR="00882319">
        <w:t xml:space="preserve"> and </w:t>
      </w:r>
      <w:hyperlink r:id="rId102" w:history="1">
        <w:r w:rsidR="00882319" w:rsidRPr="00B26B88">
          <w:rPr>
            <w:rStyle w:val="Hyperlink"/>
          </w:rPr>
          <w:t>5/CMA.5</w:t>
        </w:r>
      </w:hyperlink>
      <w:r w:rsidR="00882319" w:rsidRPr="00925DCA">
        <w:t>;</w:t>
      </w:r>
    </w:p>
    <w:p w14:paraId="643F416E" w14:textId="5A23402B" w:rsidR="00882319" w:rsidRPr="00925DCA" w:rsidRDefault="00BD5DB4" w:rsidP="00BD5DB4">
      <w:pPr>
        <w:pStyle w:val="RegSingleTxtG"/>
        <w:numPr>
          <w:ilvl w:val="0"/>
          <w:numId w:val="0"/>
        </w:numPr>
        <w:ind w:left="1134"/>
      </w:pPr>
      <w:r w:rsidRPr="00925DCA">
        <w:t>3.</w:t>
      </w:r>
      <w:r w:rsidRPr="00925DCA">
        <w:tab/>
      </w:r>
      <w:r w:rsidR="00882319" w:rsidRPr="002F44F2">
        <w:rPr>
          <w:i/>
          <w:iCs/>
        </w:rPr>
        <w:t>Note</w:t>
      </w:r>
      <w:r w:rsidR="00882319">
        <w:rPr>
          <w:i/>
          <w:iCs/>
        </w:rPr>
        <w:t>s</w:t>
      </w:r>
      <w:r w:rsidR="00882319" w:rsidRPr="00925DCA">
        <w:t xml:space="preserve"> that the Board has approved the arrangements, as transmitted by the Standing Committee on Finance, contained in annex </w:t>
      </w:r>
      <w:r w:rsidR="00882319">
        <w:t>IV</w:t>
      </w:r>
      <w:r w:rsidR="00882319" w:rsidRPr="00925DCA">
        <w:t xml:space="preserve"> to the report o</w:t>
      </w:r>
      <w:r w:rsidR="00882319">
        <w:t>f the</w:t>
      </w:r>
      <w:r w:rsidR="00882319" w:rsidRPr="00925DCA">
        <w:t xml:space="preserve"> Board</w:t>
      </w:r>
      <w:r w:rsidR="00882319">
        <w:t>;</w:t>
      </w:r>
      <w:r w:rsidR="00882319">
        <w:rPr>
          <w:rStyle w:val="FootnoteReference"/>
        </w:rPr>
        <w:footnoteReference w:id="42"/>
      </w:r>
    </w:p>
    <w:p w14:paraId="61EE0ABB" w14:textId="1933251B" w:rsidR="00882319" w:rsidRDefault="00BD5DB4" w:rsidP="00BD5DB4">
      <w:pPr>
        <w:pStyle w:val="RegSingleTxtG"/>
        <w:numPr>
          <w:ilvl w:val="0"/>
          <w:numId w:val="0"/>
        </w:numPr>
        <w:ind w:left="1134"/>
      </w:pPr>
      <w:r>
        <w:t>4.</w:t>
      </w:r>
      <w:r>
        <w:tab/>
      </w:r>
      <w:r w:rsidR="00882319" w:rsidRPr="00341C65">
        <w:rPr>
          <w:i/>
          <w:iCs/>
        </w:rPr>
        <w:t>Approve</w:t>
      </w:r>
      <w:r w:rsidR="00882319">
        <w:rPr>
          <w:i/>
          <w:iCs/>
        </w:rPr>
        <w:t>s</w:t>
      </w:r>
      <w:r w:rsidR="00882319" w:rsidRPr="00925DCA">
        <w:t xml:space="preserve"> the arrangements between the </w:t>
      </w:r>
      <w:r w:rsidR="00882319" w:rsidRPr="00EB6926">
        <w:t>Conference of the Parties, the Conference of the Parties serving as the meeting of the Parties to the Paris Agreement and the Board</w:t>
      </w:r>
      <w:r w:rsidR="00882319">
        <w:t xml:space="preserve"> </w:t>
      </w:r>
      <w:r w:rsidR="00882319" w:rsidRPr="00925DCA">
        <w:t>contained in the annex, thereby bringing the arrangements into force</w:t>
      </w:r>
      <w:r w:rsidR="00882319">
        <w:t xml:space="preserve"> subject to the approval of the Conference of the Parties serving as the meeting of the Parties to the Paris Agreement</w:t>
      </w:r>
      <w:r w:rsidR="00882319" w:rsidRPr="00925DCA">
        <w:t>;</w:t>
      </w:r>
    </w:p>
    <w:p w14:paraId="629A7AE7" w14:textId="4018F9C7" w:rsidR="00882319" w:rsidRDefault="00BD5DB4" w:rsidP="00BD5DB4">
      <w:pPr>
        <w:pStyle w:val="RegSingleTxtG"/>
        <w:numPr>
          <w:ilvl w:val="0"/>
          <w:numId w:val="0"/>
        </w:numPr>
        <w:ind w:left="1134"/>
      </w:pPr>
      <w:r>
        <w:lastRenderedPageBreak/>
        <w:t>5.</w:t>
      </w:r>
      <w:r>
        <w:tab/>
      </w:r>
      <w:r w:rsidR="00882319" w:rsidRPr="00882319">
        <w:rPr>
          <w:i/>
          <w:iCs/>
        </w:rPr>
        <w:t xml:space="preserve">Requests </w:t>
      </w:r>
      <w:r w:rsidR="00882319" w:rsidRPr="0029613B">
        <w:t>the Board to report on the implementation of the arrangements referred to in paragraph 4 above in its annual reports to the Conference of the Parties</w:t>
      </w:r>
      <w:r w:rsidR="00882319">
        <w:t>, starting at its thirtieth session (November 2025),</w:t>
      </w:r>
      <w:r w:rsidR="00882319" w:rsidRPr="0029613B">
        <w:t xml:space="preserve"> and the Conference of the Parties serving as the meeting of the Parties to the Paris Agreement, starting at </w:t>
      </w:r>
      <w:r w:rsidR="00882319">
        <w:t>its</w:t>
      </w:r>
      <w:r w:rsidR="00882319" w:rsidRPr="0029613B">
        <w:t xml:space="preserve"> seventh session</w:t>
      </w:r>
      <w:r w:rsidR="00882319">
        <w:t xml:space="preserve"> (November 2025)</w:t>
      </w:r>
      <w:r w:rsidR="00882319" w:rsidRPr="00D07436">
        <w:t>.</w:t>
      </w:r>
    </w:p>
    <w:p w14:paraId="3FCAC056" w14:textId="77777777" w:rsidR="00A86DC1" w:rsidRDefault="00A86DC1" w:rsidP="00BD5DB4">
      <w:pPr>
        <w:pStyle w:val="RegHChG"/>
        <w:numPr>
          <w:ilvl w:val="0"/>
          <w:numId w:val="0"/>
        </w:numPr>
        <w:ind w:hanging="454"/>
        <w:sectPr w:rsidR="00A86DC1" w:rsidSect="001C679A">
          <w:headerReference w:type="even" r:id="rId103"/>
          <w:headerReference w:type="default" r:id="rId104"/>
          <w:footerReference w:type="even" r:id="rId105"/>
          <w:footerReference w:type="default" r:id="rId106"/>
          <w:footnotePr>
            <w:numRestart w:val="eachSect"/>
          </w:footnotePr>
          <w:pgSz w:w="11906" w:h="16838" w:code="9"/>
          <w:pgMar w:top="1417" w:right="1134" w:bottom="1134" w:left="1134" w:header="850" w:footer="567" w:gutter="0"/>
          <w:cols w:space="708"/>
          <w:docGrid w:linePitch="360"/>
        </w:sectPr>
      </w:pPr>
    </w:p>
    <w:p w14:paraId="3DAF80F6" w14:textId="7A99D8BF" w:rsidR="001D5BA7" w:rsidRDefault="001D5BA7" w:rsidP="00BD5DB4">
      <w:pPr>
        <w:pStyle w:val="RegHChG"/>
        <w:numPr>
          <w:ilvl w:val="0"/>
          <w:numId w:val="0"/>
        </w:numPr>
        <w:ind w:hanging="454"/>
      </w:pPr>
      <w:r>
        <w:lastRenderedPageBreak/>
        <w:t>Annex</w:t>
      </w:r>
    </w:p>
    <w:p w14:paraId="10F33FE7" w14:textId="77777777" w:rsidR="001D5BA7" w:rsidRPr="006238CD" w:rsidRDefault="001D5BA7" w:rsidP="001D5BA7">
      <w:pPr>
        <w:pStyle w:val="HChG"/>
        <w:tabs>
          <w:tab w:val="clear" w:pos="851"/>
        </w:tabs>
        <w:ind w:firstLine="0"/>
      </w:pPr>
      <w:r>
        <w:t>Arrangements between the Conference of the Parties to the UNFCCC, the Conference of the Parties serving as the meeting of the Parties to the Paris Agreement and the Board of the Fund for responding to Loss and Damage</w:t>
      </w:r>
    </w:p>
    <w:p w14:paraId="5EE72EEC" w14:textId="77777777" w:rsidR="001D5BA7" w:rsidRPr="00695197" w:rsidRDefault="001D5BA7" w:rsidP="001D5BA7">
      <w:pPr>
        <w:pStyle w:val="H4G"/>
        <w:rPr>
          <w:bCs/>
          <w:iCs/>
        </w:rPr>
      </w:pPr>
      <w:r w:rsidRPr="00695197">
        <w:tab/>
      </w:r>
      <w:r w:rsidRPr="00695197">
        <w:tab/>
      </w:r>
      <w:r w:rsidRPr="00695197">
        <w:rPr>
          <w:b/>
          <w:bCs/>
          <w:iCs/>
        </w:rPr>
        <w:t>Preamble</w:t>
      </w:r>
    </w:p>
    <w:p w14:paraId="660001CD" w14:textId="77777777" w:rsidR="001D5BA7" w:rsidRPr="00695197" w:rsidRDefault="001D5BA7" w:rsidP="001D5BA7">
      <w:pPr>
        <w:pStyle w:val="SingleTxtG"/>
        <w:ind w:firstLine="567"/>
      </w:pPr>
      <w:r w:rsidRPr="00695197">
        <w:rPr>
          <w:i/>
          <w:iCs/>
        </w:rPr>
        <w:tab/>
        <w:t>Recalling</w:t>
      </w:r>
      <w:r w:rsidRPr="00695197">
        <w:t xml:space="preserve"> Article 11 of the Convention and Article 9, paragraph 8, of the Paris Agreement,</w:t>
      </w:r>
    </w:p>
    <w:p w14:paraId="29520F28" w14:textId="42719A1E" w:rsidR="001D5BA7" w:rsidRPr="00695197" w:rsidRDefault="001D5BA7" w:rsidP="00253274">
      <w:pPr>
        <w:pStyle w:val="RegSingleTxtG"/>
        <w:numPr>
          <w:ilvl w:val="0"/>
          <w:numId w:val="0"/>
        </w:numPr>
        <w:ind w:left="1134"/>
      </w:pPr>
      <w:r w:rsidRPr="00695197">
        <w:rPr>
          <w:i/>
          <w:iCs/>
        </w:rPr>
        <w:tab/>
        <w:t xml:space="preserve">Also recalling </w:t>
      </w:r>
      <w:r w:rsidRPr="00695197">
        <w:t xml:space="preserve">paragraphs 2–3 of decisions </w:t>
      </w:r>
      <w:hyperlink r:id="rId107" w:history="1">
        <w:r w:rsidRPr="00B26B88">
          <w:rPr>
            <w:rStyle w:val="Hyperlink"/>
          </w:rPr>
          <w:t>2/CP.27</w:t>
        </w:r>
      </w:hyperlink>
      <w:r w:rsidRPr="00695197">
        <w:t xml:space="preserve"> and </w:t>
      </w:r>
      <w:hyperlink r:id="rId108" w:history="1">
        <w:r w:rsidRPr="00B26B88">
          <w:rPr>
            <w:rStyle w:val="Hyperlink"/>
          </w:rPr>
          <w:t>2/CMA.4</w:t>
        </w:r>
      </w:hyperlink>
      <w:r w:rsidRPr="00695197">
        <w:t xml:space="preserve">; and decisions </w:t>
      </w:r>
      <w:hyperlink r:id="rId109" w:history="1">
        <w:r w:rsidRPr="00B26B88">
          <w:rPr>
            <w:rStyle w:val="Hyperlink"/>
          </w:rPr>
          <w:t>1/CP.28</w:t>
        </w:r>
      </w:hyperlink>
      <w:r w:rsidRPr="00695197">
        <w:t xml:space="preserve"> and </w:t>
      </w:r>
      <w:hyperlink r:id="rId110" w:history="1">
        <w:r w:rsidRPr="00B26B88">
          <w:rPr>
            <w:rStyle w:val="Hyperlink"/>
          </w:rPr>
          <w:t>5/CMA.5</w:t>
        </w:r>
      </w:hyperlink>
      <w:r w:rsidRPr="00695197">
        <w:t xml:space="preserve">, as well as annex I to those decisions, which sets out the Governing Instrument of the Fund referred to in paragraph 3 of decisions </w:t>
      </w:r>
      <w:hyperlink r:id="rId111" w:history="1">
        <w:r w:rsidRPr="00B26B88">
          <w:rPr>
            <w:rStyle w:val="Hyperlink"/>
          </w:rPr>
          <w:t>2/CP.27</w:t>
        </w:r>
      </w:hyperlink>
      <w:r w:rsidRPr="00695197">
        <w:t xml:space="preserve"> and </w:t>
      </w:r>
      <w:hyperlink r:id="rId112" w:history="1">
        <w:r w:rsidRPr="00B26B88">
          <w:rPr>
            <w:rStyle w:val="Hyperlink"/>
          </w:rPr>
          <w:t>2/CMA.4</w:t>
        </w:r>
      </w:hyperlink>
      <w:r w:rsidRPr="00695197">
        <w:t xml:space="preserve"> (hereinafter referred to as the Fund),</w:t>
      </w:r>
    </w:p>
    <w:p w14:paraId="4C1C4AC5" w14:textId="3D0719C6" w:rsidR="001D5BA7" w:rsidRPr="00695197" w:rsidRDefault="001D5BA7" w:rsidP="001D5BA7">
      <w:pPr>
        <w:pStyle w:val="SingleTxtG"/>
        <w:ind w:firstLine="567"/>
      </w:pPr>
      <w:r w:rsidRPr="00695197">
        <w:rPr>
          <w:i/>
          <w:iCs/>
        </w:rPr>
        <w:tab/>
        <w:t>Recognizing</w:t>
      </w:r>
      <w:r w:rsidRPr="00695197">
        <w:t xml:space="preserve"> that the Fund is designated as an entity entrusted with the operation of the Financial Mechanism of the Convention, also serving the Paris Agreement, which will be accountable to and function under the guidance of the Conference of the Parties to the UNFCCC and the Conference of the Parties serving as the meeting of the Parties to the Paris Agreement, as per paragraph 5 of decisions </w:t>
      </w:r>
      <w:hyperlink r:id="rId113" w:history="1">
        <w:r w:rsidRPr="00B26B88">
          <w:rPr>
            <w:rStyle w:val="Hyperlink"/>
          </w:rPr>
          <w:t>1/CP.28</w:t>
        </w:r>
      </w:hyperlink>
      <w:r w:rsidRPr="00695197">
        <w:t xml:space="preserve"> and </w:t>
      </w:r>
      <w:hyperlink r:id="rId114" w:history="1">
        <w:r w:rsidRPr="00B26B88">
          <w:rPr>
            <w:rStyle w:val="Hyperlink"/>
          </w:rPr>
          <w:t>5/CMA.5</w:t>
        </w:r>
      </w:hyperlink>
      <w:r w:rsidRPr="00695197">
        <w:t xml:space="preserve">, </w:t>
      </w:r>
    </w:p>
    <w:p w14:paraId="746D4E37" w14:textId="0B9D7D0B" w:rsidR="001D5BA7" w:rsidRPr="00695197" w:rsidRDefault="001D5BA7" w:rsidP="001D5BA7">
      <w:pPr>
        <w:pStyle w:val="SingleTxtG"/>
        <w:ind w:firstLine="567"/>
      </w:pPr>
      <w:r w:rsidRPr="00695197">
        <w:rPr>
          <w:i/>
          <w:iCs/>
        </w:rPr>
        <w:t xml:space="preserve">Also recognizing </w:t>
      </w:r>
      <w:r w:rsidRPr="00695197">
        <w:t>that,</w:t>
      </w:r>
      <w:r w:rsidRPr="00695197">
        <w:rPr>
          <w:i/>
          <w:iCs/>
        </w:rPr>
        <w:t xml:space="preserve"> </w:t>
      </w:r>
      <w:r w:rsidRPr="00695197">
        <w:t xml:space="preserve">pursuant to paragraph 6 of decisions </w:t>
      </w:r>
      <w:hyperlink r:id="rId115" w:history="1">
        <w:r w:rsidRPr="00B26B88">
          <w:rPr>
            <w:rStyle w:val="Hyperlink"/>
          </w:rPr>
          <w:t>1/CP.28</w:t>
        </w:r>
      </w:hyperlink>
      <w:r w:rsidRPr="00695197">
        <w:t xml:space="preserve"> and </w:t>
      </w:r>
      <w:hyperlink r:id="rId116" w:history="1">
        <w:r w:rsidRPr="00B26B88">
          <w:rPr>
            <w:rStyle w:val="Hyperlink"/>
          </w:rPr>
          <w:t>5/CMA.5</w:t>
        </w:r>
      </w:hyperlink>
      <w:r w:rsidRPr="00695197">
        <w:t xml:space="preserve">, the arrangements between the Conference of the Parties to the UNFCCC, the Conference of the Parties serving as the meeting of the Parties to the Paris Agreement and the Board of the Fund are to be consistent with decisions </w:t>
      </w:r>
      <w:hyperlink r:id="rId117" w:history="1">
        <w:r w:rsidRPr="00B26B88">
          <w:rPr>
            <w:rStyle w:val="Hyperlink"/>
          </w:rPr>
          <w:t>1/CP.28</w:t>
        </w:r>
      </w:hyperlink>
      <w:r w:rsidRPr="00695197">
        <w:t xml:space="preserve"> and </w:t>
      </w:r>
      <w:hyperlink r:id="rId118" w:history="1">
        <w:r w:rsidRPr="00B26B88">
          <w:rPr>
            <w:rStyle w:val="Hyperlink"/>
          </w:rPr>
          <w:t>5/CMA.5</w:t>
        </w:r>
      </w:hyperlink>
      <w:r w:rsidRPr="00695197">
        <w:t xml:space="preserve"> and the Governing Instrument of the Fund</w:t>
      </w:r>
      <w:r>
        <w:t>,</w:t>
      </w:r>
    </w:p>
    <w:p w14:paraId="205E8E57" w14:textId="77777777" w:rsidR="001D5BA7" w:rsidRPr="00695197" w:rsidRDefault="001D5BA7" w:rsidP="001D5BA7">
      <w:pPr>
        <w:pStyle w:val="SingleTxtG"/>
        <w:ind w:firstLine="567"/>
      </w:pPr>
      <w:r w:rsidRPr="00695197">
        <w:tab/>
        <w:t>The Conference of the Parties to the UNFCCC (COP), the Conference of the Parties serving as the meeting of the Parties to the Paris Agreement (CMA) and the Board of the Fund for responding to Loss and Damage (hereinafter referred to as the “Board” and the “Fund” respectively) hereby agree to the following arrangements:</w:t>
      </w:r>
    </w:p>
    <w:p w14:paraId="66876AE8" w14:textId="0EA737EB" w:rsidR="001D5BA7" w:rsidRPr="00695197" w:rsidRDefault="00BD5DB4" w:rsidP="00BD5DB4">
      <w:pPr>
        <w:pStyle w:val="RegHChG"/>
        <w:numPr>
          <w:ilvl w:val="0"/>
          <w:numId w:val="0"/>
        </w:numPr>
        <w:tabs>
          <w:tab w:val="left" w:pos="1135"/>
        </w:tabs>
        <w:ind w:left="1135" w:hanging="454"/>
      </w:pPr>
      <w:r w:rsidRPr="00695197">
        <w:t>I.</w:t>
      </w:r>
      <w:r w:rsidRPr="00695197">
        <w:tab/>
      </w:r>
      <w:r w:rsidR="001D5BA7" w:rsidRPr="00695197">
        <w:t>Purpose of these arrangements</w:t>
      </w:r>
    </w:p>
    <w:p w14:paraId="741D352C" w14:textId="40155D40" w:rsidR="001D5BA7" w:rsidRPr="00695197" w:rsidRDefault="00BD5DB4" w:rsidP="00BD5DB4">
      <w:pPr>
        <w:pStyle w:val="RegSingleTxtG"/>
        <w:numPr>
          <w:ilvl w:val="0"/>
          <w:numId w:val="0"/>
        </w:numPr>
        <w:ind w:left="1134"/>
      </w:pPr>
      <w:r w:rsidRPr="00695197">
        <w:t>1.</w:t>
      </w:r>
      <w:r w:rsidRPr="00695197">
        <w:tab/>
      </w:r>
      <w:r w:rsidR="001D5BA7" w:rsidRPr="00695197">
        <w:t>The purpose of these arrangements is to set out the working relationship between the COP, the CMA and the Board to ensure that the Fund is accountable to and functions under the guidance of the COP and the CMA, consistently with the Governing Instrument of the Fund,</w:t>
      </w:r>
      <w:r w:rsidR="00324FBC">
        <w:rPr>
          <w:rStyle w:val="FootnoteReference"/>
        </w:rPr>
        <w:footnoteReference w:id="43"/>
      </w:r>
      <w:r w:rsidR="001D5BA7" w:rsidRPr="00695197">
        <w:t xml:space="preserve"> and receives guidance from the COP and the CMA on its policies, programme priorities and eligibility criteria.</w:t>
      </w:r>
    </w:p>
    <w:p w14:paraId="1F8DD298" w14:textId="51FBB32B" w:rsidR="001D5BA7" w:rsidRPr="00695197" w:rsidRDefault="00BD5DB4" w:rsidP="00BD5DB4">
      <w:pPr>
        <w:pStyle w:val="RegHChG"/>
        <w:numPr>
          <w:ilvl w:val="0"/>
          <w:numId w:val="0"/>
        </w:numPr>
        <w:tabs>
          <w:tab w:val="left" w:pos="1135"/>
        </w:tabs>
        <w:ind w:left="1135" w:hanging="454"/>
      </w:pPr>
      <w:r w:rsidRPr="00695197">
        <w:t>II.</w:t>
      </w:r>
      <w:r w:rsidRPr="00695197">
        <w:tab/>
      </w:r>
      <w:r w:rsidR="001D5BA7" w:rsidRPr="00695197">
        <w:t>Determination and communication of guidance from the Conference of the Parties to the UNFCCC and the Conference of the Parties serving as the meeting of the Parties to the Paris Agreement</w:t>
      </w:r>
    </w:p>
    <w:p w14:paraId="1ED4E391" w14:textId="7D26BBB3" w:rsidR="001D5BA7" w:rsidRPr="00695197" w:rsidRDefault="00BD5DB4" w:rsidP="00BD5DB4">
      <w:pPr>
        <w:pStyle w:val="RegSingleTxtG"/>
        <w:numPr>
          <w:ilvl w:val="0"/>
          <w:numId w:val="0"/>
        </w:numPr>
        <w:ind w:left="1134"/>
      </w:pPr>
      <w:r w:rsidRPr="00695197">
        <w:t>2.</w:t>
      </w:r>
      <w:r w:rsidRPr="00695197">
        <w:tab/>
      </w:r>
      <w:r w:rsidR="001D5BA7" w:rsidRPr="00695197">
        <w:t>The Board will receive guidance from the COP and the CMA on its policies, programme priorities and eligibility criteria.</w:t>
      </w:r>
      <w:r w:rsidR="001D5BA7" w:rsidRPr="00695197">
        <w:rPr>
          <w:vertAlign w:val="superscript"/>
        </w:rPr>
        <w:footnoteReference w:id="44"/>
      </w:r>
    </w:p>
    <w:p w14:paraId="682AFD0D" w14:textId="41EB5B9F" w:rsidR="001D5BA7" w:rsidRPr="00695197" w:rsidRDefault="00BD5DB4" w:rsidP="00BD5DB4">
      <w:pPr>
        <w:pStyle w:val="RegSingleTxtG"/>
        <w:numPr>
          <w:ilvl w:val="0"/>
          <w:numId w:val="0"/>
        </w:numPr>
        <w:ind w:left="1134"/>
      </w:pPr>
      <w:r w:rsidRPr="00695197">
        <w:t>3.</w:t>
      </w:r>
      <w:r w:rsidRPr="00695197">
        <w:tab/>
      </w:r>
      <w:r w:rsidR="001D5BA7" w:rsidRPr="00695197">
        <w:t>The Board will submit annual reports to the COP and the CMA for their consideration.</w:t>
      </w:r>
      <w:r w:rsidR="001D5BA7" w:rsidRPr="00695197">
        <w:rPr>
          <w:vertAlign w:val="superscript"/>
        </w:rPr>
        <w:footnoteReference w:id="45"/>
      </w:r>
    </w:p>
    <w:p w14:paraId="543AD195" w14:textId="04A826F6" w:rsidR="001D5BA7" w:rsidRPr="00695197" w:rsidRDefault="00BD5DB4" w:rsidP="00BD5DB4">
      <w:pPr>
        <w:pStyle w:val="RegSingleTxtG"/>
        <w:numPr>
          <w:ilvl w:val="0"/>
          <w:numId w:val="0"/>
        </w:numPr>
        <w:ind w:left="1134"/>
      </w:pPr>
      <w:r w:rsidRPr="00695197">
        <w:lastRenderedPageBreak/>
        <w:t>4.</w:t>
      </w:r>
      <w:r w:rsidRPr="00695197">
        <w:tab/>
      </w:r>
      <w:r w:rsidR="001D5BA7" w:rsidRPr="00695197">
        <w:t>The COP and the CMA will adopt decisions providing guidance to the Board at each of their sessions, unless otherwise decided by the COP and the CMA.</w:t>
      </w:r>
    </w:p>
    <w:p w14:paraId="6F87369D" w14:textId="3561D153" w:rsidR="001D5BA7" w:rsidRPr="00695197" w:rsidRDefault="00BD5DB4" w:rsidP="00BD5DB4">
      <w:pPr>
        <w:pStyle w:val="RegSingleTxtG"/>
        <w:numPr>
          <w:ilvl w:val="0"/>
          <w:numId w:val="0"/>
        </w:numPr>
        <w:ind w:left="1134"/>
      </w:pPr>
      <w:r w:rsidRPr="00695197">
        <w:t>5.</w:t>
      </w:r>
      <w:r w:rsidRPr="00695197">
        <w:tab/>
      </w:r>
      <w:r w:rsidR="001D5BA7" w:rsidRPr="00695197">
        <w:t xml:space="preserve">The COP and the CMA will provide such guidance on the basis of, inter alia, a thorough consideration of the information in the annual reports of the Board. </w:t>
      </w:r>
    </w:p>
    <w:p w14:paraId="31471E0C" w14:textId="58BF13A7" w:rsidR="001D5BA7" w:rsidRPr="00695197" w:rsidRDefault="00BD5DB4" w:rsidP="00BD5DB4">
      <w:pPr>
        <w:pStyle w:val="RegSingleTxtG"/>
        <w:numPr>
          <w:ilvl w:val="0"/>
          <w:numId w:val="0"/>
        </w:numPr>
        <w:ind w:left="1134"/>
      </w:pPr>
      <w:r w:rsidRPr="00695197">
        <w:t>6.</w:t>
      </w:r>
      <w:r w:rsidRPr="00695197">
        <w:tab/>
      </w:r>
      <w:r w:rsidR="001D5BA7" w:rsidRPr="00695197">
        <w:t>The Board may review the periodicity of the guidance from the COP and the CMA and make a recommendation thereon for consideration by the COP and the CMA.</w:t>
      </w:r>
      <w:r w:rsidR="001D5BA7" w:rsidRPr="00695197">
        <w:rPr>
          <w:vertAlign w:val="superscript"/>
        </w:rPr>
        <w:footnoteReference w:id="46"/>
      </w:r>
    </w:p>
    <w:p w14:paraId="10587353" w14:textId="1E9BC41B" w:rsidR="001D5BA7" w:rsidRPr="00695197" w:rsidRDefault="00BD5DB4" w:rsidP="00BD5DB4">
      <w:pPr>
        <w:pStyle w:val="RegHChG"/>
        <w:numPr>
          <w:ilvl w:val="0"/>
          <w:numId w:val="0"/>
        </w:numPr>
        <w:tabs>
          <w:tab w:val="left" w:pos="1135"/>
        </w:tabs>
        <w:ind w:left="1135" w:hanging="454"/>
      </w:pPr>
      <w:r w:rsidRPr="00695197">
        <w:t>III.</w:t>
      </w:r>
      <w:r w:rsidRPr="00695197">
        <w:tab/>
      </w:r>
      <w:r w:rsidR="001D5BA7" w:rsidRPr="00695197">
        <w:t>Conformity with guidance of the Conference of the Parties to the UNFCCC and the Conference of the Parties serving as the meeting of the Parties to the Paris Agreement</w:t>
      </w:r>
    </w:p>
    <w:p w14:paraId="2C4CFD23" w14:textId="35873227" w:rsidR="001D5BA7" w:rsidRPr="00695197" w:rsidRDefault="00BD5DB4" w:rsidP="00BD5DB4">
      <w:pPr>
        <w:pStyle w:val="RegSingleTxtG"/>
        <w:numPr>
          <w:ilvl w:val="0"/>
          <w:numId w:val="0"/>
        </w:numPr>
        <w:ind w:left="1134"/>
        <w:rPr>
          <w:rFonts w:asciiTheme="majorBidi" w:hAnsiTheme="majorBidi" w:cstheme="majorBidi"/>
        </w:rPr>
      </w:pPr>
      <w:r w:rsidRPr="00695197">
        <w:rPr>
          <w:rFonts w:asciiTheme="majorBidi" w:hAnsiTheme="majorBidi" w:cstheme="majorBidi"/>
        </w:rPr>
        <w:t>7.</w:t>
      </w:r>
      <w:r w:rsidRPr="00695197">
        <w:rPr>
          <w:rFonts w:asciiTheme="majorBidi" w:hAnsiTheme="majorBidi" w:cstheme="majorBidi"/>
        </w:rPr>
        <w:tab/>
      </w:r>
      <w:r w:rsidR="001D5BA7" w:rsidRPr="00695197">
        <w:rPr>
          <w:rFonts w:asciiTheme="majorBidi" w:hAnsiTheme="majorBidi" w:cstheme="majorBidi"/>
        </w:rPr>
        <w:t>The Board will take appropriate action in response to the guidance received from the COP and the CMA and will report on such action in its annual reports.</w:t>
      </w:r>
    </w:p>
    <w:p w14:paraId="2097F438" w14:textId="2B3BF087" w:rsidR="001D5BA7" w:rsidRPr="00695197" w:rsidRDefault="00BD5DB4" w:rsidP="00BD5DB4">
      <w:pPr>
        <w:pStyle w:val="RegHChG"/>
        <w:numPr>
          <w:ilvl w:val="0"/>
          <w:numId w:val="0"/>
        </w:numPr>
        <w:tabs>
          <w:tab w:val="left" w:pos="1135"/>
        </w:tabs>
        <w:ind w:left="1135" w:hanging="454"/>
      </w:pPr>
      <w:r w:rsidRPr="00695197">
        <w:t>IV.</w:t>
      </w:r>
      <w:r w:rsidRPr="00695197">
        <w:tab/>
      </w:r>
      <w:r w:rsidR="001D5BA7" w:rsidRPr="00695197">
        <w:t>Reconsideration of funding decisions</w:t>
      </w:r>
    </w:p>
    <w:p w14:paraId="0080CD48" w14:textId="463CF2D0" w:rsidR="001D5BA7" w:rsidRPr="00695197" w:rsidRDefault="00BD5DB4" w:rsidP="00BD5DB4">
      <w:pPr>
        <w:pStyle w:val="RegSingleTxtG"/>
        <w:numPr>
          <w:ilvl w:val="0"/>
          <w:numId w:val="0"/>
        </w:numPr>
        <w:ind w:left="1134"/>
        <w:rPr>
          <w:rFonts w:asciiTheme="majorBidi" w:hAnsiTheme="majorBidi" w:cstheme="majorBidi"/>
        </w:rPr>
      </w:pPr>
      <w:r w:rsidRPr="00695197">
        <w:rPr>
          <w:rFonts w:asciiTheme="majorBidi" w:hAnsiTheme="majorBidi" w:cstheme="majorBidi"/>
        </w:rPr>
        <w:t>8.</w:t>
      </w:r>
      <w:r w:rsidRPr="00695197">
        <w:rPr>
          <w:rFonts w:asciiTheme="majorBidi" w:hAnsiTheme="majorBidi" w:cstheme="majorBidi"/>
        </w:rPr>
        <w:tab/>
      </w:r>
      <w:r w:rsidR="001D5BA7" w:rsidRPr="00695197">
        <w:rPr>
          <w:rFonts w:asciiTheme="majorBidi" w:hAnsiTheme="majorBidi" w:cstheme="majorBidi"/>
        </w:rPr>
        <w:t>These arrangements reaffirm that the Board has responsibility for setting the strategic direction of the Fund and for the Fund’s governance and operational modalities, policies, frameworks and work programme, including relevant funding decisions.</w:t>
      </w:r>
      <w:r w:rsidR="001D5BA7" w:rsidRPr="00695197">
        <w:rPr>
          <w:vertAlign w:val="superscript"/>
        </w:rPr>
        <w:footnoteReference w:id="47"/>
      </w:r>
    </w:p>
    <w:p w14:paraId="684FFAD3" w14:textId="10C08F0F" w:rsidR="001D5BA7" w:rsidRPr="00695197" w:rsidRDefault="00BD5DB4" w:rsidP="00BD5DB4">
      <w:pPr>
        <w:pStyle w:val="RegSingleTxtG"/>
        <w:numPr>
          <w:ilvl w:val="0"/>
          <w:numId w:val="0"/>
        </w:numPr>
        <w:ind w:left="1134"/>
        <w:rPr>
          <w:rFonts w:asciiTheme="majorBidi" w:hAnsiTheme="majorBidi" w:cstheme="majorBidi"/>
        </w:rPr>
      </w:pPr>
      <w:r w:rsidRPr="00695197">
        <w:rPr>
          <w:rFonts w:asciiTheme="majorBidi" w:hAnsiTheme="majorBidi" w:cstheme="majorBidi"/>
        </w:rPr>
        <w:t>9.</w:t>
      </w:r>
      <w:r w:rsidRPr="00695197">
        <w:rPr>
          <w:rFonts w:asciiTheme="majorBidi" w:hAnsiTheme="majorBidi" w:cstheme="majorBidi"/>
        </w:rPr>
        <w:tab/>
      </w:r>
      <w:r w:rsidR="001D5BA7" w:rsidRPr="00695197">
        <w:rPr>
          <w:rFonts w:asciiTheme="majorBidi" w:hAnsiTheme="majorBidi" w:cstheme="majorBidi"/>
        </w:rPr>
        <w:t>The COP and the CMA may provide additional guidance to the Board to clarify policies, programme priorities and eligibility criteria as they impact funding decisions.</w:t>
      </w:r>
    </w:p>
    <w:p w14:paraId="5F566F48" w14:textId="7BCD5EF3" w:rsidR="001D5BA7" w:rsidRPr="00695197" w:rsidRDefault="00BD5DB4" w:rsidP="00BD5DB4">
      <w:pPr>
        <w:pStyle w:val="RegSingleTxtG"/>
        <w:numPr>
          <w:ilvl w:val="0"/>
          <w:numId w:val="0"/>
        </w:numPr>
        <w:ind w:left="1134"/>
        <w:rPr>
          <w:rFonts w:asciiTheme="majorBidi" w:hAnsiTheme="majorBidi" w:cstheme="majorBidi"/>
        </w:rPr>
      </w:pPr>
      <w:r w:rsidRPr="00695197">
        <w:rPr>
          <w:rFonts w:asciiTheme="majorBidi" w:hAnsiTheme="majorBidi" w:cstheme="majorBidi"/>
        </w:rPr>
        <w:t>10.</w:t>
      </w:r>
      <w:r w:rsidRPr="00695197">
        <w:rPr>
          <w:rFonts w:asciiTheme="majorBidi" w:hAnsiTheme="majorBidi" w:cstheme="majorBidi"/>
        </w:rPr>
        <w:tab/>
      </w:r>
      <w:r w:rsidR="001D5BA7" w:rsidRPr="00695197">
        <w:rPr>
          <w:rFonts w:asciiTheme="majorBidi" w:hAnsiTheme="majorBidi" w:cstheme="majorBidi"/>
        </w:rPr>
        <w:t>Further modalities by which a particular funding decision may be reconsidered, as per Article 11, paragraph 3(b), of the Convention, will be developed by the Board, as appropriate.</w:t>
      </w:r>
    </w:p>
    <w:p w14:paraId="11F8016A" w14:textId="0D6521C6" w:rsidR="001D5BA7" w:rsidRPr="00695197" w:rsidRDefault="00BD5DB4" w:rsidP="00BD5DB4">
      <w:pPr>
        <w:pStyle w:val="RegHChG"/>
        <w:numPr>
          <w:ilvl w:val="0"/>
          <w:numId w:val="0"/>
        </w:numPr>
        <w:tabs>
          <w:tab w:val="left" w:pos="1135"/>
        </w:tabs>
        <w:ind w:left="1135" w:hanging="454"/>
      </w:pPr>
      <w:r w:rsidRPr="00695197">
        <w:t>V.</w:t>
      </w:r>
      <w:r w:rsidRPr="00695197">
        <w:tab/>
      </w:r>
      <w:r w:rsidR="001D5BA7" w:rsidRPr="00695197">
        <w:t xml:space="preserve">Financial </w:t>
      </w:r>
      <w:r w:rsidR="001D5BA7" w:rsidRPr="00695197">
        <w:rPr>
          <w:bCs/>
        </w:rPr>
        <w:t>instruments</w:t>
      </w:r>
    </w:p>
    <w:p w14:paraId="725AF454" w14:textId="2B30E244" w:rsidR="001D5BA7" w:rsidRPr="00695197" w:rsidRDefault="00BD5DB4" w:rsidP="00BD5DB4">
      <w:pPr>
        <w:pStyle w:val="RegSingleTxtG"/>
        <w:numPr>
          <w:ilvl w:val="0"/>
          <w:numId w:val="0"/>
        </w:numPr>
        <w:ind w:left="1134"/>
        <w:rPr>
          <w:rFonts w:asciiTheme="majorBidi" w:hAnsiTheme="majorBidi" w:cstheme="majorBidi"/>
        </w:rPr>
      </w:pPr>
      <w:r w:rsidRPr="00695197">
        <w:rPr>
          <w:rFonts w:asciiTheme="majorBidi" w:hAnsiTheme="majorBidi" w:cstheme="majorBidi"/>
        </w:rPr>
        <w:t>11.</w:t>
      </w:r>
      <w:r w:rsidRPr="00695197">
        <w:rPr>
          <w:rFonts w:asciiTheme="majorBidi" w:hAnsiTheme="majorBidi" w:cstheme="majorBidi"/>
        </w:rPr>
        <w:tab/>
      </w:r>
      <w:r w:rsidR="001D5BA7" w:rsidRPr="00695197">
        <w:rPr>
          <w:rFonts w:asciiTheme="majorBidi" w:hAnsiTheme="majorBidi" w:cstheme="majorBidi"/>
        </w:rPr>
        <w:t>In its provision of finance, the Fund will take into account guidance from the COP and the CMA, pursuant to paragraphs 57–59</w:t>
      </w:r>
      <w:r w:rsidR="001D5BA7" w:rsidRPr="006C1246">
        <w:rPr>
          <w:rFonts w:asciiTheme="majorBidi" w:hAnsiTheme="majorBidi" w:cstheme="majorBidi"/>
        </w:rPr>
        <w:t xml:space="preserve"> </w:t>
      </w:r>
      <w:r w:rsidR="001D5BA7" w:rsidRPr="00695197">
        <w:rPr>
          <w:rFonts w:asciiTheme="majorBidi" w:hAnsiTheme="majorBidi" w:cstheme="majorBidi"/>
        </w:rPr>
        <w:t>of the Governing Instrument.</w:t>
      </w:r>
    </w:p>
    <w:p w14:paraId="265C3CE5" w14:textId="305AEC88" w:rsidR="001D5BA7" w:rsidRPr="00695197" w:rsidRDefault="00BD5DB4" w:rsidP="00BD5DB4">
      <w:pPr>
        <w:pStyle w:val="RegHChG"/>
        <w:numPr>
          <w:ilvl w:val="0"/>
          <w:numId w:val="0"/>
        </w:numPr>
        <w:tabs>
          <w:tab w:val="left" w:pos="1135"/>
        </w:tabs>
        <w:ind w:left="1135" w:hanging="454"/>
        <w:rPr>
          <w:rFonts w:asciiTheme="majorBidi" w:hAnsiTheme="majorBidi" w:cstheme="majorBidi"/>
        </w:rPr>
      </w:pPr>
      <w:r w:rsidRPr="00695197">
        <w:t>VI.</w:t>
      </w:r>
      <w:r w:rsidRPr="00695197">
        <w:tab/>
      </w:r>
      <w:r w:rsidR="001D5BA7" w:rsidRPr="00695197">
        <w:rPr>
          <w:rFonts w:asciiTheme="majorBidi" w:hAnsiTheme="majorBidi" w:cstheme="majorBidi"/>
        </w:rPr>
        <w:t xml:space="preserve">Annual reports of the Board </w:t>
      </w:r>
      <w:r w:rsidR="001D5BA7" w:rsidRPr="00695197">
        <w:t>to the Conference of the Parties and the Conference of the Parties serving as the meeting of the Parties to the Paris Agreement</w:t>
      </w:r>
    </w:p>
    <w:p w14:paraId="3B98D2C4" w14:textId="7A3DCFD4" w:rsidR="001D5BA7" w:rsidRPr="00695197" w:rsidRDefault="00BD5DB4" w:rsidP="00BD5DB4">
      <w:pPr>
        <w:pStyle w:val="RegSingleTxtG"/>
        <w:numPr>
          <w:ilvl w:val="0"/>
          <w:numId w:val="0"/>
        </w:numPr>
        <w:ind w:left="1134"/>
        <w:rPr>
          <w:rFonts w:asciiTheme="majorBidi" w:hAnsiTheme="majorBidi" w:cstheme="majorBidi"/>
        </w:rPr>
      </w:pPr>
      <w:r w:rsidRPr="00695197">
        <w:rPr>
          <w:rFonts w:asciiTheme="majorBidi" w:hAnsiTheme="majorBidi" w:cstheme="majorBidi"/>
        </w:rPr>
        <w:t>12.</w:t>
      </w:r>
      <w:r w:rsidRPr="00695197">
        <w:rPr>
          <w:rFonts w:asciiTheme="majorBidi" w:hAnsiTheme="majorBidi" w:cstheme="majorBidi"/>
        </w:rPr>
        <w:tab/>
      </w:r>
      <w:r w:rsidR="001D5BA7" w:rsidRPr="00695197">
        <w:rPr>
          <w:rFonts w:asciiTheme="majorBidi" w:hAnsiTheme="majorBidi" w:cstheme="majorBidi"/>
        </w:rPr>
        <w:t>The Board will include in its annual reports to the COP and the CMA:</w:t>
      </w:r>
    </w:p>
    <w:p w14:paraId="70DA7E2B" w14:textId="77C27635" w:rsidR="001D5BA7" w:rsidRPr="00695197" w:rsidRDefault="00BD5DB4" w:rsidP="00BD5DB4">
      <w:pPr>
        <w:pStyle w:val="RegSingleTxtG2"/>
        <w:numPr>
          <w:ilvl w:val="0"/>
          <w:numId w:val="0"/>
        </w:numPr>
        <w:ind w:left="1134" w:firstLine="567"/>
      </w:pPr>
      <w:r w:rsidRPr="00695197">
        <w:rPr>
          <w:szCs w:val="28"/>
        </w:rPr>
        <w:t>(a)</w:t>
      </w:r>
      <w:r w:rsidRPr="00695197">
        <w:rPr>
          <w:szCs w:val="28"/>
        </w:rPr>
        <w:tab/>
      </w:r>
      <w:r w:rsidR="001D5BA7" w:rsidRPr="00695197">
        <w:t>Information on implementation of policies, programme priorities and eligibility criteria, including information on action taken by the Board in response to guidance provided by the COP and the CMA;</w:t>
      </w:r>
    </w:p>
    <w:p w14:paraId="09273714" w14:textId="66F8F456" w:rsidR="001D5BA7" w:rsidRPr="00695197" w:rsidRDefault="00BD5DB4" w:rsidP="00BD5DB4">
      <w:pPr>
        <w:pStyle w:val="RegSingleTxtG2"/>
        <w:numPr>
          <w:ilvl w:val="0"/>
          <w:numId w:val="0"/>
        </w:numPr>
        <w:ind w:left="1134" w:firstLine="567"/>
      </w:pPr>
      <w:r w:rsidRPr="00695197">
        <w:rPr>
          <w:szCs w:val="28"/>
        </w:rPr>
        <w:t>(b)</w:t>
      </w:r>
      <w:r w:rsidRPr="00695197">
        <w:rPr>
          <w:szCs w:val="28"/>
        </w:rPr>
        <w:tab/>
      </w:r>
      <w:r w:rsidR="001D5BA7" w:rsidRPr="00695197">
        <w:t xml:space="preserve">A synthesis </w:t>
      </w:r>
      <w:r w:rsidR="001D5BA7" w:rsidRPr="00695197">
        <w:rPr>
          <w:rFonts w:asciiTheme="majorBidi" w:hAnsiTheme="majorBidi" w:cstheme="majorBidi"/>
        </w:rPr>
        <w:t xml:space="preserve">of the different </w:t>
      </w:r>
      <w:r w:rsidR="001D5BA7" w:rsidRPr="00695197">
        <w:t>activities under implementation and a list of the activities approved, as well as a financial report;</w:t>
      </w:r>
    </w:p>
    <w:p w14:paraId="4078ACB1" w14:textId="2782FB8C" w:rsidR="001D5BA7" w:rsidRPr="00695197" w:rsidRDefault="00BD5DB4" w:rsidP="00BD5DB4">
      <w:pPr>
        <w:pStyle w:val="RegSingleTxtG2"/>
        <w:numPr>
          <w:ilvl w:val="0"/>
          <w:numId w:val="0"/>
        </w:numPr>
        <w:ind w:left="1134" w:firstLine="567"/>
      </w:pPr>
      <w:r w:rsidRPr="00695197">
        <w:rPr>
          <w:szCs w:val="28"/>
        </w:rPr>
        <w:t>(c)</w:t>
      </w:r>
      <w:r w:rsidRPr="00695197">
        <w:rPr>
          <w:szCs w:val="28"/>
        </w:rPr>
        <w:tab/>
      </w:r>
      <w:r w:rsidR="001D5BA7" w:rsidRPr="00695197">
        <w:t>Information on all activities financed by the Fund</w:t>
      </w:r>
      <w:r w:rsidR="001D5BA7" w:rsidRPr="00695197">
        <w:rPr>
          <w:rFonts w:asciiTheme="majorBidi" w:hAnsiTheme="majorBidi" w:cstheme="majorBidi"/>
        </w:rPr>
        <w:t>;</w:t>
      </w:r>
    </w:p>
    <w:p w14:paraId="7085E581" w14:textId="0782299C" w:rsidR="001D5BA7" w:rsidRPr="00695197" w:rsidRDefault="00BD5DB4" w:rsidP="00BD5DB4">
      <w:pPr>
        <w:pStyle w:val="RegSingleTxtG2"/>
        <w:numPr>
          <w:ilvl w:val="0"/>
          <w:numId w:val="0"/>
        </w:numPr>
        <w:ind w:left="1134" w:firstLine="567"/>
      </w:pPr>
      <w:r w:rsidRPr="00695197">
        <w:rPr>
          <w:szCs w:val="28"/>
        </w:rPr>
        <w:t>(d)</w:t>
      </w:r>
      <w:r w:rsidRPr="00695197">
        <w:rPr>
          <w:szCs w:val="28"/>
        </w:rPr>
        <w:tab/>
      </w:r>
      <w:r w:rsidR="001D5BA7" w:rsidRPr="00695197">
        <w:t>Action taken to develop, operate and review the resource allocation system referred to in paragraphs 60–61 of the Governing Instrument;</w:t>
      </w:r>
    </w:p>
    <w:p w14:paraId="5BC27295" w14:textId="177F3E35" w:rsidR="001D5BA7" w:rsidRPr="00695197" w:rsidRDefault="00BD5DB4" w:rsidP="00BD5DB4">
      <w:pPr>
        <w:pStyle w:val="RegSingleTxtG2"/>
        <w:numPr>
          <w:ilvl w:val="0"/>
          <w:numId w:val="0"/>
        </w:numPr>
        <w:ind w:left="1134" w:firstLine="567"/>
        <w:rPr>
          <w:rFonts w:asciiTheme="majorBidi" w:hAnsiTheme="majorBidi" w:cstheme="majorBidi"/>
        </w:rPr>
      </w:pPr>
      <w:r w:rsidRPr="00695197">
        <w:rPr>
          <w:rFonts w:asciiTheme="majorBidi" w:hAnsiTheme="majorBidi" w:cstheme="majorBidi"/>
          <w:szCs w:val="28"/>
        </w:rPr>
        <w:t>(e)</w:t>
      </w:r>
      <w:r w:rsidRPr="00695197">
        <w:rPr>
          <w:rFonts w:asciiTheme="majorBidi" w:hAnsiTheme="majorBidi" w:cstheme="majorBidi"/>
          <w:szCs w:val="28"/>
        </w:rPr>
        <w:tab/>
      </w:r>
      <w:r w:rsidR="001D5BA7" w:rsidRPr="00695197">
        <w:rPr>
          <w:rFonts w:asciiTheme="majorBidi" w:hAnsiTheme="majorBidi" w:cstheme="majorBidi"/>
        </w:rPr>
        <w:t>Any reports of the independent evaluations of the performance of the Fund referred to in paragraphs 64–65 of the Governing Instrument;</w:t>
      </w:r>
    </w:p>
    <w:p w14:paraId="4DB2AD8C" w14:textId="2041CDC2" w:rsidR="001D5BA7" w:rsidRPr="00695197" w:rsidRDefault="00BD5DB4" w:rsidP="00BD5DB4">
      <w:pPr>
        <w:pStyle w:val="RegSingleTxtG2"/>
        <w:numPr>
          <w:ilvl w:val="0"/>
          <w:numId w:val="0"/>
        </w:numPr>
        <w:ind w:left="1134" w:firstLine="567"/>
      </w:pPr>
      <w:r w:rsidRPr="00695197">
        <w:rPr>
          <w:szCs w:val="28"/>
        </w:rPr>
        <w:t>(f)</w:t>
      </w:r>
      <w:r w:rsidRPr="00695197">
        <w:rPr>
          <w:szCs w:val="28"/>
        </w:rPr>
        <w:tab/>
      </w:r>
      <w:r w:rsidR="001D5BA7" w:rsidRPr="00695197">
        <w:t>Information on how it has drawn on expert and technical advice, including from the relevant constituted bodies established under the Convention and the Paris Agreement, as appropriate;</w:t>
      </w:r>
    </w:p>
    <w:p w14:paraId="5AB8B185" w14:textId="0A209D5E" w:rsidR="001D5BA7" w:rsidRPr="00695197" w:rsidRDefault="00BD5DB4" w:rsidP="00BD5DB4">
      <w:pPr>
        <w:pStyle w:val="RegSingleTxtG2"/>
        <w:numPr>
          <w:ilvl w:val="0"/>
          <w:numId w:val="0"/>
        </w:numPr>
        <w:ind w:left="1134" w:firstLine="567"/>
      </w:pPr>
      <w:r w:rsidRPr="00695197">
        <w:rPr>
          <w:szCs w:val="28"/>
        </w:rPr>
        <w:lastRenderedPageBreak/>
        <w:t>(g)</w:t>
      </w:r>
      <w:r w:rsidRPr="00695197">
        <w:rPr>
          <w:szCs w:val="28"/>
        </w:rPr>
        <w:tab/>
      </w:r>
      <w:r w:rsidR="001D5BA7" w:rsidRPr="00695197">
        <w:t>Information on t</w:t>
      </w:r>
      <w:r w:rsidR="001D5BA7" w:rsidRPr="00695197">
        <w:rPr>
          <w:rFonts w:asciiTheme="majorBidi" w:hAnsiTheme="majorBidi" w:cstheme="majorBidi"/>
        </w:rPr>
        <w:t xml:space="preserve">he high-level dialogue referred to in paragraph 11 of annex II to decisions </w:t>
      </w:r>
      <w:hyperlink r:id="rId119" w:history="1">
        <w:r w:rsidR="001D5BA7" w:rsidRPr="00B26B88">
          <w:rPr>
            <w:rStyle w:val="Hyperlink"/>
          </w:rPr>
          <w:t>1/CP.28</w:t>
        </w:r>
      </w:hyperlink>
      <w:r w:rsidR="001D5BA7" w:rsidRPr="00695197">
        <w:rPr>
          <w:rFonts w:asciiTheme="majorBidi" w:hAnsiTheme="majorBidi" w:cstheme="majorBidi"/>
        </w:rPr>
        <w:t xml:space="preserve"> and </w:t>
      </w:r>
      <w:hyperlink r:id="rId120" w:history="1">
        <w:r w:rsidR="004C5804">
          <w:rPr>
            <w:rStyle w:val="Hyperlink"/>
          </w:rPr>
          <w:t>5</w:t>
        </w:r>
        <w:r w:rsidR="001D5BA7" w:rsidRPr="00B26B88">
          <w:rPr>
            <w:rStyle w:val="Hyperlink"/>
          </w:rPr>
          <w:t>/CMA.5</w:t>
        </w:r>
      </w:hyperlink>
      <w:r w:rsidR="001D5BA7" w:rsidRPr="00695197">
        <w:rPr>
          <w:rFonts w:asciiTheme="majorBidi" w:hAnsiTheme="majorBidi" w:cstheme="majorBidi"/>
        </w:rPr>
        <w:t>, as described in paragraph 12 of annex II to those decisions</w:t>
      </w:r>
      <w:r w:rsidR="001D5BA7">
        <w:rPr>
          <w:rFonts w:asciiTheme="majorBidi" w:hAnsiTheme="majorBidi" w:cstheme="majorBidi"/>
        </w:rPr>
        <w:t>;</w:t>
      </w:r>
    </w:p>
    <w:p w14:paraId="7A7F171A" w14:textId="33B03651" w:rsidR="001D5BA7" w:rsidRPr="00695197" w:rsidRDefault="00BD5DB4" w:rsidP="00BD5DB4">
      <w:pPr>
        <w:pStyle w:val="RegSingleTxtG2"/>
        <w:numPr>
          <w:ilvl w:val="0"/>
          <w:numId w:val="0"/>
        </w:numPr>
        <w:ind w:left="1134" w:firstLine="567"/>
      </w:pPr>
      <w:r w:rsidRPr="00695197">
        <w:rPr>
          <w:szCs w:val="28"/>
        </w:rPr>
        <w:t>(h)</w:t>
      </w:r>
      <w:r w:rsidRPr="00695197">
        <w:rPr>
          <w:szCs w:val="28"/>
        </w:rPr>
        <w:tab/>
      </w:r>
      <w:r w:rsidR="001D5BA7" w:rsidRPr="00695197">
        <w:t>Information on action taken to enhance coordination and complementarity pursuant to paragraphs 51–53 of the Governing Instrument, as well as recommendations to the COP and the CMA pursuant to paragraph 22(s) of the Governing Instrument.</w:t>
      </w:r>
    </w:p>
    <w:p w14:paraId="78A62DD6" w14:textId="41D8C2A6" w:rsidR="001D5BA7" w:rsidRPr="00695197" w:rsidRDefault="00BD5DB4" w:rsidP="00BD5DB4">
      <w:pPr>
        <w:pStyle w:val="RegSingleTxtG"/>
        <w:numPr>
          <w:ilvl w:val="0"/>
          <w:numId w:val="0"/>
        </w:numPr>
        <w:ind w:left="1134"/>
      </w:pPr>
      <w:r w:rsidRPr="00695197">
        <w:t>13.</w:t>
      </w:r>
      <w:r w:rsidRPr="00695197">
        <w:tab/>
      </w:r>
      <w:r w:rsidR="001D5BA7" w:rsidRPr="00695197">
        <w:t>The Board is encouraged to include information in its annual reports on how it has established consultative forums to engage and communicate with stakeholders, pursuant to paragraph 28 of the Governing Instrument, and how it has developed and managed mechanisms to promote the input and participation of stakeholders, pursuant to paragraph 29 of the Governing Instrument.</w:t>
      </w:r>
    </w:p>
    <w:p w14:paraId="1A397271" w14:textId="58AB61EE" w:rsidR="001D5BA7" w:rsidRPr="00695197" w:rsidRDefault="00BD5DB4" w:rsidP="00BD5DB4">
      <w:pPr>
        <w:pStyle w:val="RegSingleTxtG"/>
        <w:numPr>
          <w:ilvl w:val="0"/>
          <w:numId w:val="0"/>
        </w:numPr>
        <w:ind w:left="1134"/>
        <w:rPr>
          <w:rFonts w:asciiTheme="majorBidi" w:hAnsiTheme="majorBidi" w:cstheme="majorBidi"/>
        </w:rPr>
      </w:pPr>
      <w:r w:rsidRPr="00695197">
        <w:rPr>
          <w:rFonts w:asciiTheme="majorBidi" w:hAnsiTheme="majorBidi" w:cstheme="majorBidi"/>
        </w:rPr>
        <w:t>14.</w:t>
      </w:r>
      <w:r w:rsidRPr="00695197">
        <w:rPr>
          <w:rFonts w:asciiTheme="majorBidi" w:hAnsiTheme="majorBidi" w:cstheme="majorBidi"/>
        </w:rPr>
        <w:tab/>
      </w:r>
      <w:r w:rsidR="001D5BA7" w:rsidRPr="00695197">
        <w:rPr>
          <w:rFonts w:asciiTheme="majorBidi" w:hAnsiTheme="majorBidi" w:cstheme="majorBidi"/>
        </w:rPr>
        <w:t>The COP and the CMA may request the Board to provide additional information in its annual reports.</w:t>
      </w:r>
    </w:p>
    <w:p w14:paraId="28E80ABB" w14:textId="57399F91" w:rsidR="001D5BA7" w:rsidRPr="00695197" w:rsidRDefault="00BD5DB4" w:rsidP="00BD5DB4">
      <w:pPr>
        <w:pStyle w:val="RegHChG"/>
        <w:numPr>
          <w:ilvl w:val="0"/>
          <w:numId w:val="0"/>
        </w:numPr>
        <w:tabs>
          <w:tab w:val="left" w:pos="1135"/>
        </w:tabs>
        <w:ind w:left="1135" w:hanging="454"/>
      </w:pPr>
      <w:r w:rsidRPr="00695197">
        <w:t>VII.</w:t>
      </w:r>
      <w:r w:rsidRPr="00695197">
        <w:tab/>
      </w:r>
      <w:r w:rsidR="001D5BA7" w:rsidRPr="00695197">
        <w:t>Determination of funding necessary and available</w:t>
      </w:r>
    </w:p>
    <w:p w14:paraId="68F06BD1" w14:textId="64A63484" w:rsidR="001D5BA7" w:rsidRPr="00695197" w:rsidRDefault="00BD5DB4" w:rsidP="00BD5DB4">
      <w:pPr>
        <w:pStyle w:val="RegSingleTxtG"/>
        <w:numPr>
          <w:ilvl w:val="0"/>
          <w:numId w:val="0"/>
        </w:numPr>
        <w:ind w:left="1134"/>
        <w:rPr>
          <w:rFonts w:asciiTheme="majorBidi" w:hAnsiTheme="majorBidi" w:cstheme="majorBidi"/>
        </w:rPr>
      </w:pPr>
      <w:r w:rsidRPr="00695197">
        <w:rPr>
          <w:rFonts w:asciiTheme="majorBidi" w:hAnsiTheme="majorBidi" w:cstheme="majorBidi"/>
        </w:rPr>
        <w:t>15.</w:t>
      </w:r>
      <w:r w:rsidRPr="00695197">
        <w:rPr>
          <w:rFonts w:asciiTheme="majorBidi" w:hAnsiTheme="majorBidi" w:cstheme="majorBidi"/>
        </w:rPr>
        <w:tab/>
      </w:r>
      <w:r w:rsidR="001D5BA7" w:rsidRPr="00695197">
        <w:rPr>
          <w:rFonts w:asciiTheme="majorBidi" w:hAnsiTheme="majorBidi" w:cstheme="majorBidi"/>
        </w:rPr>
        <w:t>The Board will include information in its annual reports to the COP and the CMA on its long-term fundraising and resource mobilization strategy, as appropriate.</w:t>
      </w:r>
      <w:r w:rsidR="001D5BA7" w:rsidRPr="00695197">
        <w:rPr>
          <w:rStyle w:val="FootnoteReference"/>
          <w:rFonts w:cstheme="majorBidi"/>
        </w:rPr>
        <w:footnoteReference w:id="48"/>
      </w:r>
    </w:p>
    <w:p w14:paraId="6A65207E" w14:textId="554F7772" w:rsidR="001D5BA7" w:rsidRPr="00695197" w:rsidRDefault="00BD5DB4" w:rsidP="00BD5DB4">
      <w:pPr>
        <w:pStyle w:val="RegHChG"/>
        <w:numPr>
          <w:ilvl w:val="0"/>
          <w:numId w:val="0"/>
        </w:numPr>
        <w:tabs>
          <w:tab w:val="left" w:pos="1135"/>
        </w:tabs>
        <w:ind w:left="1135" w:hanging="454"/>
      </w:pPr>
      <w:r w:rsidRPr="00695197">
        <w:t>VIII.</w:t>
      </w:r>
      <w:r w:rsidRPr="00695197">
        <w:tab/>
      </w:r>
      <w:r w:rsidR="001D5BA7" w:rsidRPr="00695197">
        <w:t>Periodic review of the Fund</w:t>
      </w:r>
    </w:p>
    <w:p w14:paraId="449C6D5F" w14:textId="545829FB" w:rsidR="001D5BA7" w:rsidRPr="00695197" w:rsidRDefault="00BD5DB4" w:rsidP="00BD5DB4">
      <w:pPr>
        <w:pStyle w:val="RegSingleTxtG"/>
        <w:numPr>
          <w:ilvl w:val="0"/>
          <w:numId w:val="0"/>
        </w:numPr>
        <w:ind w:left="1134"/>
        <w:rPr>
          <w:rFonts w:asciiTheme="majorBidi" w:hAnsiTheme="majorBidi" w:cstheme="majorBidi"/>
        </w:rPr>
      </w:pPr>
      <w:r w:rsidRPr="00695197">
        <w:rPr>
          <w:rFonts w:asciiTheme="majorBidi" w:hAnsiTheme="majorBidi" w:cstheme="majorBidi"/>
        </w:rPr>
        <w:t>16.</w:t>
      </w:r>
      <w:r w:rsidRPr="00695197">
        <w:rPr>
          <w:rFonts w:asciiTheme="majorBidi" w:hAnsiTheme="majorBidi" w:cstheme="majorBidi"/>
        </w:rPr>
        <w:tab/>
      </w:r>
      <w:r w:rsidR="001D5BA7" w:rsidRPr="00695197">
        <w:rPr>
          <w:rFonts w:asciiTheme="majorBidi" w:hAnsiTheme="majorBidi" w:cstheme="majorBidi"/>
        </w:rPr>
        <w:t>Pursuant to paragraph 66 of the Governing Instrument, the Fund will be subject to periodic reviews conducted by the COP and the CMA, which will be informed by, inter alia, the results of the independent evaluation of the performance of the Fund referred to in paragraph 64 of the Governing Instrument and the annual reports of the Board to the COP and the CMA.</w:t>
      </w:r>
    </w:p>
    <w:p w14:paraId="401CA90F" w14:textId="33B8D1DF" w:rsidR="001D5BA7" w:rsidRPr="00695197" w:rsidRDefault="00BD5DB4" w:rsidP="00BD5DB4">
      <w:pPr>
        <w:pStyle w:val="RegHChG"/>
        <w:numPr>
          <w:ilvl w:val="0"/>
          <w:numId w:val="0"/>
        </w:numPr>
        <w:tabs>
          <w:tab w:val="left" w:pos="1135"/>
        </w:tabs>
        <w:ind w:left="1135" w:hanging="454"/>
      </w:pPr>
      <w:r w:rsidRPr="00695197">
        <w:t>IX.</w:t>
      </w:r>
      <w:r w:rsidRPr="00695197">
        <w:tab/>
      </w:r>
      <w:r w:rsidR="001D5BA7" w:rsidRPr="00695197">
        <w:t>Amendments to the Governing Instrument</w:t>
      </w:r>
    </w:p>
    <w:p w14:paraId="268E6C3B" w14:textId="35630B64" w:rsidR="001D5BA7" w:rsidRPr="00695197" w:rsidRDefault="00BD5DB4" w:rsidP="00BD5DB4">
      <w:pPr>
        <w:pStyle w:val="RegSingleTxtG"/>
        <w:numPr>
          <w:ilvl w:val="0"/>
          <w:numId w:val="0"/>
        </w:numPr>
        <w:ind w:left="1134"/>
        <w:rPr>
          <w:rFonts w:asciiTheme="majorBidi" w:hAnsiTheme="majorBidi" w:cstheme="majorBidi"/>
        </w:rPr>
      </w:pPr>
      <w:r w:rsidRPr="00695197">
        <w:rPr>
          <w:rFonts w:asciiTheme="majorBidi" w:hAnsiTheme="majorBidi" w:cstheme="majorBidi"/>
        </w:rPr>
        <w:t>17.</w:t>
      </w:r>
      <w:r w:rsidRPr="00695197">
        <w:rPr>
          <w:rFonts w:asciiTheme="majorBidi" w:hAnsiTheme="majorBidi" w:cstheme="majorBidi"/>
        </w:rPr>
        <w:tab/>
      </w:r>
      <w:r w:rsidR="001D5BA7" w:rsidRPr="00695197">
        <w:rPr>
          <w:rFonts w:asciiTheme="majorBidi" w:hAnsiTheme="majorBidi" w:cstheme="majorBidi"/>
        </w:rPr>
        <w:t>The Board may recommend amendments to the Governing Instrument for consideration by the COP and the CMA.</w:t>
      </w:r>
      <w:r w:rsidR="001D5BA7" w:rsidRPr="00695197">
        <w:rPr>
          <w:rStyle w:val="FootnoteReference"/>
          <w:rFonts w:asciiTheme="majorBidi" w:hAnsiTheme="majorBidi" w:cstheme="majorBidi"/>
        </w:rPr>
        <w:footnoteReference w:id="49"/>
      </w:r>
    </w:p>
    <w:p w14:paraId="40DAEDB9" w14:textId="4ED7519E" w:rsidR="001D5BA7" w:rsidRPr="00695197" w:rsidRDefault="00BD5DB4" w:rsidP="00BD5DB4">
      <w:pPr>
        <w:pStyle w:val="RegHChG"/>
        <w:numPr>
          <w:ilvl w:val="0"/>
          <w:numId w:val="0"/>
        </w:numPr>
        <w:tabs>
          <w:tab w:val="left" w:pos="1135"/>
        </w:tabs>
        <w:ind w:left="1135" w:hanging="454"/>
      </w:pPr>
      <w:r w:rsidRPr="00695197">
        <w:t>X.</w:t>
      </w:r>
      <w:r w:rsidRPr="00695197">
        <w:tab/>
      </w:r>
      <w:r w:rsidR="001D5BA7" w:rsidRPr="00695197">
        <w:t>Termination of the Fund</w:t>
      </w:r>
    </w:p>
    <w:p w14:paraId="29DEA754" w14:textId="0F8DD2A9" w:rsidR="001D5BA7" w:rsidRPr="00695197" w:rsidRDefault="00BD5DB4" w:rsidP="00BD5DB4">
      <w:pPr>
        <w:pStyle w:val="RegSingleTxtG"/>
        <w:numPr>
          <w:ilvl w:val="0"/>
          <w:numId w:val="0"/>
        </w:numPr>
        <w:ind w:left="1134"/>
        <w:rPr>
          <w:rFonts w:asciiTheme="majorBidi" w:hAnsiTheme="majorBidi" w:cstheme="majorBidi"/>
        </w:rPr>
      </w:pPr>
      <w:r w:rsidRPr="00695197">
        <w:rPr>
          <w:rFonts w:asciiTheme="majorBidi" w:hAnsiTheme="majorBidi" w:cstheme="majorBidi"/>
        </w:rPr>
        <w:t>18.</w:t>
      </w:r>
      <w:r w:rsidRPr="00695197">
        <w:rPr>
          <w:rFonts w:asciiTheme="majorBidi" w:hAnsiTheme="majorBidi" w:cstheme="majorBidi"/>
        </w:rPr>
        <w:tab/>
      </w:r>
      <w:r w:rsidR="001D5BA7" w:rsidRPr="00695197">
        <w:rPr>
          <w:rFonts w:asciiTheme="majorBidi" w:hAnsiTheme="majorBidi" w:cstheme="majorBidi"/>
        </w:rPr>
        <w:t>The Board may recommend the termination of the Fund for consideration by the COP and the CMA.</w:t>
      </w:r>
      <w:r w:rsidR="001D5BA7" w:rsidRPr="00695197">
        <w:rPr>
          <w:rStyle w:val="FootnoteReference"/>
          <w:rFonts w:asciiTheme="majorBidi" w:hAnsiTheme="majorBidi" w:cstheme="majorBidi"/>
        </w:rPr>
        <w:footnoteReference w:id="50"/>
      </w:r>
    </w:p>
    <w:p w14:paraId="5DC6022D" w14:textId="7E409B2C" w:rsidR="001D5BA7" w:rsidRPr="00695197" w:rsidRDefault="00BD5DB4" w:rsidP="00BD5DB4">
      <w:pPr>
        <w:pStyle w:val="RegHChG"/>
        <w:numPr>
          <w:ilvl w:val="0"/>
          <w:numId w:val="0"/>
        </w:numPr>
        <w:tabs>
          <w:tab w:val="left" w:pos="1135"/>
        </w:tabs>
        <w:ind w:left="1135" w:hanging="454"/>
      </w:pPr>
      <w:r w:rsidRPr="00695197">
        <w:t>XI.</w:t>
      </w:r>
      <w:r w:rsidRPr="00695197">
        <w:tab/>
      </w:r>
      <w:r w:rsidR="001D5BA7" w:rsidRPr="00695197">
        <w:t>Cooperation between the secretariat of the Fund and the UNFCCC secretariat, and representation of the Board in sessions of the Conference of the Parties and the Conference of the Parties serving as the meeting of the Parties to the Paris Agreement</w:t>
      </w:r>
    </w:p>
    <w:p w14:paraId="104E6F30" w14:textId="42FCFB47" w:rsidR="001D5BA7" w:rsidRPr="00695197" w:rsidRDefault="00BD5DB4" w:rsidP="00BD5DB4">
      <w:pPr>
        <w:pStyle w:val="RegSingleTxtG"/>
        <w:numPr>
          <w:ilvl w:val="0"/>
          <w:numId w:val="0"/>
        </w:numPr>
        <w:ind w:left="1134"/>
        <w:rPr>
          <w:rFonts w:asciiTheme="majorBidi" w:hAnsiTheme="majorBidi" w:cstheme="majorBidi"/>
        </w:rPr>
      </w:pPr>
      <w:r w:rsidRPr="00695197">
        <w:rPr>
          <w:rFonts w:asciiTheme="majorBidi" w:hAnsiTheme="majorBidi" w:cstheme="majorBidi"/>
        </w:rPr>
        <w:t>19.</w:t>
      </w:r>
      <w:r w:rsidRPr="00695197">
        <w:rPr>
          <w:rFonts w:asciiTheme="majorBidi" w:hAnsiTheme="majorBidi" w:cstheme="majorBidi"/>
        </w:rPr>
        <w:tab/>
      </w:r>
      <w:r w:rsidR="001D5BA7" w:rsidRPr="00695197">
        <w:rPr>
          <w:rFonts w:asciiTheme="majorBidi" w:hAnsiTheme="majorBidi" w:cstheme="majorBidi"/>
        </w:rPr>
        <w:t>The secretariat of the Fund may, as necessary and subject to the direction of the Board of the Fund, cooperate and exchange views with the UNFCCC secretariat on matters relevant to the operation of the Financial Mechanism of the Convention and the Paris Agreement, including implementation of these arrangements between the COP, the CMA and the Board, coordination with other international financing channels and funding arrangements, as appropriate, and participation of representatives in sessions of the COP and the CMA.</w:t>
      </w:r>
    </w:p>
    <w:p w14:paraId="2C0C3B10" w14:textId="30CCFC6F" w:rsidR="001D5BA7" w:rsidRPr="00695197" w:rsidRDefault="00BD5DB4" w:rsidP="00BD5DB4">
      <w:pPr>
        <w:pStyle w:val="RegSingleTxtG"/>
        <w:numPr>
          <w:ilvl w:val="0"/>
          <w:numId w:val="0"/>
        </w:numPr>
        <w:ind w:left="1134"/>
        <w:rPr>
          <w:rFonts w:asciiTheme="majorBidi" w:hAnsiTheme="majorBidi" w:cstheme="majorBidi"/>
        </w:rPr>
      </w:pPr>
      <w:r w:rsidRPr="00695197">
        <w:rPr>
          <w:rFonts w:asciiTheme="majorBidi" w:hAnsiTheme="majorBidi" w:cstheme="majorBidi"/>
        </w:rPr>
        <w:lastRenderedPageBreak/>
        <w:t>20.</w:t>
      </w:r>
      <w:r w:rsidRPr="00695197">
        <w:rPr>
          <w:rFonts w:asciiTheme="majorBidi" w:hAnsiTheme="majorBidi" w:cstheme="majorBidi"/>
        </w:rPr>
        <w:tab/>
      </w:r>
      <w:r w:rsidR="001D5BA7" w:rsidRPr="00695197">
        <w:rPr>
          <w:rFonts w:asciiTheme="majorBidi" w:hAnsiTheme="majorBidi" w:cstheme="majorBidi"/>
        </w:rPr>
        <w:t xml:space="preserve">The participation of representatives of the UNFCCC secretariat in meetings of the Board, and of the secretariat of the Fund in sessions of the COP and the CMA, is to be governed by the rules of procedure of the Board and the draft rules of procedure of the COP respectively. </w:t>
      </w:r>
    </w:p>
    <w:p w14:paraId="6C42983F" w14:textId="370408A9" w:rsidR="001D5BA7" w:rsidRPr="00695197" w:rsidRDefault="00BD5DB4" w:rsidP="00BD5DB4">
      <w:pPr>
        <w:pStyle w:val="RegHChG"/>
        <w:numPr>
          <w:ilvl w:val="0"/>
          <w:numId w:val="0"/>
        </w:numPr>
        <w:tabs>
          <w:tab w:val="left" w:pos="1135"/>
        </w:tabs>
        <w:ind w:left="1135" w:hanging="454"/>
      </w:pPr>
      <w:r w:rsidRPr="00695197">
        <w:t>XII.</w:t>
      </w:r>
      <w:r w:rsidRPr="00695197">
        <w:tab/>
      </w:r>
      <w:r w:rsidR="001D5BA7" w:rsidRPr="00695197">
        <w:t>Final clauses</w:t>
      </w:r>
    </w:p>
    <w:p w14:paraId="51D79502" w14:textId="652E29BC" w:rsidR="001D5BA7" w:rsidRPr="00695197" w:rsidRDefault="00BD5DB4" w:rsidP="00BD5DB4">
      <w:pPr>
        <w:pStyle w:val="RegSingleTxtG"/>
        <w:numPr>
          <w:ilvl w:val="0"/>
          <w:numId w:val="0"/>
        </w:numPr>
        <w:ind w:left="1134"/>
        <w:rPr>
          <w:rFonts w:asciiTheme="majorBidi" w:hAnsiTheme="majorBidi" w:cstheme="majorBidi"/>
        </w:rPr>
      </w:pPr>
      <w:r w:rsidRPr="00695197">
        <w:rPr>
          <w:rFonts w:asciiTheme="majorBidi" w:hAnsiTheme="majorBidi" w:cstheme="majorBidi"/>
        </w:rPr>
        <w:t>21.</w:t>
      </w:r>
      <w:r w:rsidRPr="00695197">
        <w:rPr>
          <w:rFonts w:asciiTheme="majorBidi" w:hAnsiTheme="majorBidi" w:cstheme="majorBidi"/>
        </w:rPr>
        <w:tab/>
      </w:r>
      <w:r w:rsidR="001D5BA7" w:rsidRPr="00695197">
        <w:rPr>
          <w:rFonts w:asciiTheme="majorBidi" w:hAnsiTheme="majorBidi" w:cstheme="majorBidi"/>
        </w:rPr>
        <w:t>These arrangements can only be modified by mutual written consent of the COP, the CMA and the Board.</w:t>
      </w:r>
    </w:p>
    <w:p w14:paraId="71AC9859" w14:textId="42878CB7" w:rsidR="00250C44" w:rsidRPr="00250C44" w:rsidRDefault="00BD5DB4" w:rsidP="00BD5DB4">
      <w:pPr>
        <w:pStyle w:val="RegSingleTxtG"/>
        <w:numPr>
          <w:ilvl w:val="0"/>
          <w:numId w:val="0"/>
        </w:numPr>
        <w:ind w:left="1134"/>
        <w:rPr>
          <w:rFonts w:asciiTheme="majorBidi" w:hAnsiTheme="majorBidi" w:cstheme="majorBidi"/>
          <w:sz w:val="22"/>
          <w:szCs w:val="22"/>
        </w:rPr>
      </w:pPr>
      <w:r w:rsidRPr="00250C44">
        <w:rPr>
          <w:rFonts w:asciiTheme="majorBidi" w:hAnsiTheme="majorBidi" w:cstheme="majorBidi"/>
          <w:szCs w:val="22"/>
        </w:rPr>
        <w:t>22.</w:t>
      </w:r>
      <w:r w:rsidRPr="00250C44">
        <w:rPr>
          <w:rFonts w:asciiTheme="majorBidi" w:hAnsiTheme="majorBidi" w:cstheme="majorBidi"/>
          <w:szCs w:val="22"/>
        </w:rPr>
        <w:tab/>
      </w:r>
      <w:r w:rsidR="001D5BA7" w:rsidRPr="00695197">
        <w:rPr>
          <w:rFonts w:asciiTheme="majorBidi" w:hAnsiTheme="majorBidi" w:cstheme="majorBidi"/>
        </w:rPr>
        <w:t>These arrangements are effective upon approval by the Board and subsequent approval by the COP and the CMA.</w:t>
      </w:r>
    </w:p>
    <w:p w14:paraId="54D10AC9" w14:textId="1DCC528C" w:rsidR="0065176F" w:rsidRPr="00250C44" w:rsidRDefault="00BD5DB4" w:rsidP="00BD5DB4">
      <w:pPr>
        <w:pStyle w:val="RegSingleTxtG"/>
        <w:numPr>
          <w:ilvl w:val="0"/>
          <w:numId w:val="0"/>
        </w:numPr>
        <w:ind w:left="1134"/>
        <w:rPr>
          <w:rFonts w:asciiTheme="majorBidi" w:hAnsiTheme="majorBidi" w:cstheme="majorBidi"/>
          <w:sz w:val="22"/>
          <w:szCs w:val="22"/>
        </w:rPr>
      </w:pPr>
      <w:r w:rsidRPr="00250C44">
        <w:rPr>
          <w:rFonts w:asciiTheme="majorBidi" w:hAnsiTheme="majorBidi" w:cstheme="majorBidi"/>
          <w:szCs w:val="22"/>
        </w:rPr>
        <w:t>23.</w:t>
      </w:r>
      <w:r w:rsidRPr="00250C44">
        <w:rPr>
          <w:rFonts w:asciiTheme="majorBidi" w:hAnsiTheme="majorBidi" w:cstheme="majorBidi"/>
          <w:szCs w:val="22"/>
        </w:rPr>
        <w:tab/>
      </w:r>
      <w:r w:rsidR="001D5BA7" w:rsidRPr="00695197">
        <w:t>These arrangements may only be terminated by mutual written consent of the COP, the CMA and the Board.</w:t>
      </w:r>
    </w:p>
    <w:p w14:paraId="6F99C1E1" w14:textId="38B8A608" w:rsidR="00250C44" w:rsidRPr="00250C44" w:rsidRDefault="00FD25EF" w:rsidP="00250C44">
      <w:pPr>
        <w:pStyle w:val="RegSingleTxtG"/>
        <w:numPr>
          <w:ilvl w:val="0"/>
          <w:numId w:val="0"/>
        </w:numPr>
        <w:spacing w:after="0"/>
        <w:ind w:left="1134"/>
        <w:jc w:val="right"/>
        <w:rPr>
          <w:i/>
          <w:iCs/>
        </w:rPr>
      </w:pPr>
      <w:r>
        <w:rPr>
          <w:i/>
          <w:iCs/>
        </w:rPr>
        <w:t>11</w:t>
      </w:r>
      <w:r w:rsidRPr="00FD25EF">
        <w:rPr>
          <w:i/>
          <w:iCs/>
          <w:vertAlign w:val="superscript"/>
        </w:rPr>
        <w:t>th</w:t>
      </w:r>
      <w:r>
        <w:rPr>
          <w:i/>
          <w:iCs/>
        </w:rPr>
        <w:t xml:space="preserve"> </w:t>
      </w:r>
      <w:r w:rsidR="00250C44" w:rsidRPr="00250C44">
        <w:rPr>
          <w:i/>
          <w:iCs/>
        </w:rPr>
        <w:t>plenary meeting</w:t>
      </w:r>
    </w:p>
    <w:p w14:paraId="03B8CCDE" w14:textId="7F9816D2" w:rsidR="00250C44" w:rsidRPr="00250C44" w:rsidRDefault="00FD25EF" w:rsidP="00250C44">
      <w:pPr>
        <w:pStyle w:val="RegSingleTxtG"/>
        <w:numPr>
          <w:ilvl w:val="0"/>
          <w:numId w:val="0"/>
        </w:numPr>
        <w:spacing w:after="0"/>
        <w:ind w:left="1134"/>
        <w:jc w:val="right"/>
        <w:rPr>
          <w:rFonts w:asciiTheme="majorBidi" w:hAnsiTheme="majorBidi" w:cstheme="majorBidi"/>
          <w:i/>
          <w:iCs/>
          <w:sz w:val="22"/>
          <w:szCs w:val="22"/>
        </w:rPr>
      </w:pPr>
      <w:r>
        <w:rPr>
          <w:i/>
          <w:iCs/>
        </w:rPr>
        <w:t>23</w:t>
      </w:r>
      <w:r w:rsidR="00250C44" w:rsidRPr="00250C44">
        <w:rPr>
          <w:i/>
          <w:iCs/>
        </w:rPr>
        <w:t xml:space="preserve"> November 2024</w:t>
      </w:r>
    </w:p>
    <w:p w14:paraId="2AAEFB8D" w14:textId="77777777" w:rsidR="00250C44" w:rsidRDefault="00250C44" w:rsidP="00BD5DB4">
      <w:pPr>
        <w:pStyle w:val="RegHChG"/>
        <w:numPr>
          <w:ilvl w:val="0"/>
          <w:numId w:val="0"/>
        </w:numPr>
        <w:ind w:hanging="454"/>
      </w:pPr>
    </w:p>
    <w:p w14:paraId="15F51649" w14:textId="34117BEF" w:rsidR="00250C44" w:rsidRDefault="00BD5DB4" w:rsidP="00BD5DB4">
      <w:pPr>
        <w:pStyle w:val="RegHChG"/>
        <w:numPr>
          <w:ilvl w:val="0"/>
          <w:numId w:val="0"/>
        </w:numPr>
        <w:tabs>
          <w:tab w:val="left" w:pos="1135"/>
        </w:tabs>
        <w:ind w:left="1135" w:hanging="454"/>
        <w:sectPr w:rsidR="00250C44" w:rsidSect="001C679A">
          <w:footnotePr>
            <w:numRestart w:val="eachSect"/>
          </w:footnotePr>
          <w:pgSz w:w="11906" w:h="16838" w:code="9"/>
          <w:pgMar w:top="1417" w:right="1134" w:bottom="1134" w:left="1134" w:header="850" w:footer="567" w:gutter="0"/>
          <w:cols w:space="708"/>
          <w:docGrid w:linePitch="360"/>
        </w:sectPr>
      </w:pPr>
      <w:r>
        <w:t>I.</w:t>
      </w:r>
      <w:r>
        <w:tab/>
      </w:r>
    </w:p>
    <w:p w14:paraId="3F943B5B" w14:textId="5F933B95" w:rsidR="0015118D" w:rsidRDefault="0015118D" w:rsidP="00BD5DB4">
      <w:pPr>
        <w:pStyle w:val="RegHChG"/>
        <w:numPr>
          <w:ilvl w:val="0"/>
          <w:numId w:val="0"/>
        </w:numPr>
        <w:ind w:left="1135" w:hanging="454"/>
      </w:pPr>
      <w:bookmarkStart w:id="16" w:name="CP7"/>
      <w:r>
        <w:lastRenderedPageBreak/>
        <w:t>Decision 7/CP.29</w:t>
      </w:r>
      <w:bookmarkEnd w:id="16"/>
    </w:p>
    <w:p w14:paraId="0A980C49" w14:textId="7A2C1D34" w:rsidR="002F2AA2" w:rsidRPr="00420D1C" w:rsidRDefault="002F2AA2" w:rsidP="00420D1C">
      <w:pPr>
        <w:pStyle w:val="MainTitle"/>
        <w:ind w:firstLine="0"/>
      </w:pPr>
      <w:r>
        <w:t>Gender and climate change</w:t>
      </w:r>
    </w:p>
    <w:p w14:paraId="061BFCDA" w14:textId="1BA8ACBB" w:rsidR="002F2AA2" w:rsidRDefault="0032260C" w:rsidP="0032260C">
      <w:pPr>
        <w:pStyle w:val="RegSingleTxtG"/>
        <w:numPr>
          <w:ilvl w:val="0"/>
          <w:numId w:val="0"/>
        </w:numPr>
        <w:ind w:left="1135"/>
        <w:rPr>
          <w:i/>
        </w:rPr>
      </w:pPr>
      <w:r>
        <w:rPr>
          <w:i/>
        </w:rPr>
        <w:tab/>
      </w:r>
      <w:r w:rsidR="002F2AA2" w:rsidRPr="005F29A1">
        <w:rPr>
          <w:i/>
        </w:rPr>
        <w:t>The Conference of the Parties</w:t>
      </w:r>
      <w:r w:rsidR="002F2AA2">
        <w:t>,</w:t>
      </w:r>
      <w:r w:rsidR="002F2AA2" w:rsidRPr="005F29A1">
        <w:rPr>
          <w:i/>
        </w:rPr>
        <w:tab/>
      </w:r>
    </w:p>
    <w:p w14:paraId="7ABFF0BD" w14:textId="7865C4AA" w:rsidR="002F2AA2" w:rsidRPr="005F29A1" w:rsidRDefault="002F2AA2" w:rsidP="0032260C">
      <w:pPr>
        <w:pStyle w:val="RegSingleTxtG"/>
        <w:numPr>
          <w:ilvl w:val="0"/>
          <w:numId w:val="0"/>
        </w:numPr>
        <w:ind w:left="1135"/>
        <w:rPr>
          <w:i/>
        </w:rPr>
      </w:pPr>
      <w:r w:rsidRPr="005F29A1">
        <w:rPr>
          <w:i/>
        </w:rPr>
        <w:tab/>
        <w:t>Recalling</w:t>
      </w:r>
      <w:r w:rsidRPr="009D73AF">
        <w:t xml:space="preserve"> </w:t>
      </w:r>
      <w:r w:rsidRPr="005F29A1">
        <w:rPr>
          <w:iCs/>
        </w:rPr>
        <w:t>decisions</w:t>
      </w:r>
      <w:r w:rsidRPr="009D73AF">
        <w:t xml:space="preserve"> </w:t>
      </w:r>
      <w:hyperlink r:id="rId121" w:history="1">
        <w:r w:rsidRPr="00B26B88">
          <w:rPr>
            <w:rStyle w:val="Hyperlink"/>
          </w:rPr>
          <w:t>36/CP.7</w:t>
        </w:r>
      </w:hyperlink>
      <w:r w:rsidRPr="009D73AF">
        <w:t xml:space="preserve">, </w:t>
      </w:r>
      <w:hyperlink r:id="rId122" w:history="1">
        <w:r w:rsidRPr="00B26B88">
          <w:rPr>
            <w:rStyle w:val="Hyperlink"/>
          </w:rPr>
          <w:t>1/CP.16</w:t>
        </w:r>
      </w:hyperlink>
      <w:r w:rsidRPr="009D73AF">
        <w:t xml:space="preserve">, </w:t>
      </w:r>
      <w:hyperlink r:id="rId123" w:history="1">
        <w:r w:rsidRPr="00B26B88">
          <w:rPr>
            <w:rStyle w:val="Hyperlink"/>
          </w:rPr>
          <w:t>23/CP.18</w:t>
        </w:r>
      </w:hyperlink>
      <w:r w:rsidRPr="009D73AF">
        <w:t xml:space="preserve">, </w:t>
      </w:r>
      <w:hyperlink r:id="rId124" w:history="1">
        <w:r w:rsidRPr="00B26B88">
          <w:rPr>
            <w:rStyle w:val="Hyperlink"/>
          </w:rPr>
          <w:t>18/CP.20</w:t>
        </w:r>
      </w:hyperlink>
      <w:r w:rsidRPr="009D73AF">
        <w:t xml:space="preserve">, </w:t>
      </w:r>
      <w:hyperlink r:id="rId125" w:history="1">
        <w:r w:rsidRPr="00B26B88">
          <w:rPr>
            <w:rStyle w:val="Hyperlink"/>
          </w:rPr>
          <w:t>1/CP.21</w:t>
        </w:r>
      </w:hyperlink>
      <w:r w:rsidRPr="009D73AF">
        <w:t xml:space="preserve">, </w:t>
      </w:r>
      <w:hyperlink r:id="rId126" w:history="1">
        <w:r w:rsidRPr="00B26B88">
          <w:rPr>
            <w:rStyle w:val="Hyperlink"/>
          </w:rPr>
          <w:t>21/CP.22</w:t>
        </w:r>
      </w:hyperlink>
      <w:r w:rsidRPr="009D73AF">
        <w:t xml:space="preserve">, </w:t>
      </w:r>
      <w:hyperlink r:id="rId127" w:history="1">
        <w:r w:rsidRPr="00B26B88">
          <w:rPr>
            <w:rStyle w:val="Hyperlink"/>
          </w:rPr>
          <w:t>3/CP.23</w:t>
        </w:r>
      </w:hyperlink>
      <w:r>
        <w:t>,</w:t>
      </w:r>
      <w:r w:rsidRPr="009D73AF">
        <w:t xml:space="preserve"> </w:t>
      </w:r>
      <w:hyperlink r:id="rId128" w:history="1">
        <w:r w:rsidRPr="00B26B88">
          <w:rPr>
            <w:rStyle w:val="Hyperlink"/>
          </w:rPr>
          <w:t>3/CP.25</w:t>
        </w:r>
      </w:hyperlink>
      <w:r w:rsidRPr="009D73AF">
        <w:t xml:space="preserve">, </w:t>
      </w:r>
      <w:hyperlink r:id="rId129" w:history="1">
        <w:r w:rsidRPr="00B26B88">
          <w:rPr>
            <w:rStyle w:val="Hyperlink"/>
          </w:rPr>
          <w:t>20/CP.26</w:t>
        </w:r>
      </w:hyperlink>
      <w:r>
        <w:t xml:space="preserve">, </w:t>
      </w:r>
      <w:hyperlink r:id="rId130" w:history="1">
        <w:r w:rsidRPr="00B26B88">
          <w:rPr>
            <w:rStyle w:val="Hyperlink"/>
          </w:rPr>
          <w:t>24/CP.27</w:t>
        </w:r>
      </w:hyperlink>
      <w:r>
        <w:t xml:space="preserve"> and </w:t>
      </w:r>
      <w:hyperlink r:id="rId131" w:history="1">
        <w:r w:rsidRPr="00B26B88">
          <w:rPr>
            <w:rStyle w:val="Hyperlink"/>
          </w:rPr>
          <w:t>15/CP.28</w:t>
        </w:r>
      </w:hyperlink>
      <w:r w:rsidRPr="005F29A1">
        <w:t>,</w:t>
      </w:r>
    </w:p>
    <w:p w14:paraId="30836FAF" w14:textId="77777777" w:rsidR="002F2AA2" w:rsidRDefault="002F2AA2" w:rsidP="0032260C">
      <w:pPr>
        <w:pStyle w:val="RegSingleTxtG"/>
        <w:numPr>
          <w:ilvl w:val="0"/>
          <w:numId w:val="0"/>
        </w:numPr>
        <w:ind w:left="1135"/>
      </w:pPr>
      <w:r w:rsidRPr="005F29A1">
        <w:tab/>
      </w:r>
      <w:r w:rsidRPr="005F29A1">
        <w:rPr>
          <w:i/>
        </w:rPr>
        <w:t xml:space="preserve">Acknowledging </w:t>
      </w:r>
      <w:r w:rsidRPr="005F29A1">
        <w:t>the continuing need for gender mainstreaming through all relevant targets and goals in activities under the Convention as an important contribution to increasing their effectiveness, fairness and sustainability,</w:t>
      </w:r>
    </w:p>
    <w:p w14:paraId="3D604B24" w14:textId="77777777" w:rsidR="002F2AA2" w:rsidRPr="00C308E5" w:rsidRDefault="002F2AA2" w:rsidP="0032260C">
      <w:pPr>
        <w:pStyle w:val="RegSingleTxtG"/>
        <w:numPr>
          <w:ilvl w:val="0"/>
          <w:numId w:val="0"/>
        </w:numPr>
        <w:ind w:left="1135"/>
        <w:rPr>
          <w:i/>
        </w:rPr>
      </w:pPr>
      <w:r>
        <w:rPr>
          <w:i/>
        </w:rPr>
        <w:tab/>
      </w:r>
      <w:r w:rsidRPr="005F29A1">
        <w:rPr>
          <w:i/>
        </w:rPr>
        <w:tab/>
      </w:r>
      <w:r w:rsidRPr="00C308E5">
        <w:rPr>
          <w:i/>
        </w:rPr>
        <w:t xml:space="preserve">Also acknowledging </w:t>
      </w:r>
      <w:r w:rsidRPr="00B47958">
        <w:rPr>
          <w:iCs/>
        </w:rPr>
        <w:t xml:space="preserve">the important role of the </w:t>
      </w:r>
      <w:r w:rsidRPr="00E77337">
        <w:rPr>
          <w:iCs/>
        </w:rPr>
        <w:t xml:space="preserve">enhanced </w:t>
      </w:r>
      <w:r w:rsidRPr="00B47958">
        <w:rPr>
          <w:iCs/>
        </w:rPr>
        <w:t>Lima work programme on gender and its gender action plan in advancing gender equality and the empowerment of women and girls in the UNFCCC process, demonstrated by the</w:t>
      </w:r>
      <w:r w:rsidDel="00644FB4">
        <w:rPr>
          <w:iCs/>
        </w:rPr>
        <w:t>ir</w:t>
      </w:r>
      <w:r w:rsidRPr="00B47958">
        <w:rPr>
          <w:iCs/>
        </w:rPr>
        <w:t xml:space="preserve"> review by the Subsidiary Body for Implementation,</w:t>
      </w:r>
    </w:p>
    <w:p w14:paraId="322F7141" w14:textId="77777777" w:rsidR="002F2AA2" w:rsidRPr="00C308E5" w:rsidRDefault="002F2AA2" w:rsidP="0032260C">
      <w:pPr>
        <w:pStyle w:val="RegSingleTxtG"/>
        <w:numPr>
          <w:ilvl w:val="0"/>
          <w:numId w:val="0"/>
        </w:numPr>
        <w:ind w:left="1135"/>
        <w:rPr>
          <w:i/>
        </w:rPr>
      </w:pPr>
      <w:r w:rsidRPr="00C308E5">
        <w:rPr>
          <w:i/>
        </w:rPr>
        <w:tab/>
        <w:t xml:space="preserve">Recognizing with concern </w:t>
      </w:r>
      <w:r w:rsidRPr="00B47958">
        <w:rPr>
          <w:iCs/>
        </w:rPr>
        <w:t>that climate change impacts on women and men can often differ owing to historical and current gender inequalities and multidimensional factors and can be more pronounced in developing countries and for local communities and Indigenous Peoples,</w:t>
      </w:r>
    </w:p>
    <w:p w14:paraId="6118A7E6" w14:textId="77777777" w:rsidR="002F2AA2" w:rsidRPr="00C308E5" w:rsidRDefault="002F2AA2" w:rsidP="0032260C">
      <w:pPr>
        <w:pStyle w:val="RegSingleTxtG"/>
        <w:numPr>
          <w:ilvl w:val="0"/>
          <w:numId w:val="0"/>
        </w:numPr>
        <w:ind w:left="1135"/>
        <w:rPr>
          <w:i/>
        </w:rPr>
      </w:pPr>
      <w:r w:rsidRPr="00C308E5">
        <w:rPr>
          <w:i/>
        </w:rPr>
        <w:tab/>
        <w:t xml:space="preserve">Acknowledging </w:t>
      </w:r>
      <w:r w:rsidRPr="00B47958">
        <w:rPr>
          <w:iCs/>
        </w:rPr>
        <w:t>that climate change is a common concern of humankind</w:t>
      </w:r>
      <w:r w:rsidRPr="00B47958" w:rsidDel="00D43BD6">
        <w:rPr>
          <w:iCs/>
        </w:rPr>
        <w:t>,</w:t>
      </w:r>
      <w:r w:rsidRPr="00B47958">
        <w:rPr>
          <w:iCs/>
        </w:rPr>
        <w:t xml:space="preserve"> Parties should, when taking action to address climate change, respect, promote and consider their respective obligations on human rights, the right to health, the rights of Indigenous Peoples, local communities, migrants, children, persons with disabilities and people in vulnerable situations and the right to development, as well as gender equality, empowerment of women and intergenerational equity,</w:t>
      </w:r>
    </w:p>
    <w:p w14:paraId="09EE01DE" w14:textId="77777777" w:rsidR="002F2AA2" w:rsidRDefault="002F2AA2" w:rsidP="0032260C">
      <w:pPr>
        <w:pStyle w:val="RegSingleTxtG"/>
        <w:numPr>
          <w:ilvl w:val="0"/>
          <w:numId w:val="0"/>
        </w:numPr>
        <w:ind w:left="1135"/>
        <w:rPr>
          <w:i/>
        </w:rPr>
      </w:pPr>
      <w:r w:rsidRPr="00C308E5">
        <w:rPr>
          <w:i/>
        </w:rPr>
        <w:tab/>
        <w:t xml:space="preserve">Taking into account </w:t>
      </w:r>
      <w:r w:rsidRPr="00B47958">
        <w:rPr>
          <w:iCs/>
        </w:rPr>
        <w:t>the imperatives of a just transition of the workforce and the creation of decent work and quality jobs in accordance with nationally defined development priorities,</w:t>
      </w:r>
    </w:p>
    <w:p w14:paraId="0ACA56ED" w14:textId="1CC1060A" w:rsidR="002F2AA2" w:rsidRPr="00DB6C41" w:rsidRDefault="00BD5DB4" w:rsidP="00BD5DB4">
      <w:pPr>
        <w:pStyle w:val="RegSingleTxtG"/>
        <w:numPr>
          <w:ilvl w:val="0"/>
          <w:numId w:val="0"/>
        </w:numPr>
        <w:tabs>
          <w:tab w:val="left" w:pos="568"/>
        </w:tabs>
        <w:ind w:left="1135"/>
      </w:pPr>
      <w:r w:rsidRPr="00DB6C41">
        <w:t>1.</w:t>
      </w:r>
      <w:r w:rsidRPr="00DB6C41">
        <w:tab/>
      </w:r>
      <w:r w:rsidR="002F2AA2" w:rsidRPr="00202FD9">
        <w:rPr>
          <w:i/>
          <w:iCs/>
        </w:rPr>
        <w:t>Takes note</w:t>
      </w:r>
      <w:r w:rsidR="002F2AA2" w:rsidRPr="00202FD9">
        <w:t xml:space="preserve"> of the synthesis report on progress, challenges, gaps and priorities in implementing the gender action plan, and future work to be undertaken on gender and climate change</w:t>
      </w:r>
      <w:r w:rsidR="002F2AA2">
        <w:rPr>
          <w:rStyle w:val="FootnoteReference"/>
        </w:rPr>
        <w:footnoteReference w:id="51"/>
      </w:r>
      <w:r w:rsidR="002F2AA2" w:rsidRPr="00202FD9">
        <w:t xml:space="preserve"> and the summary report on the in-session workshop</w:t>
      </w:r>
      <w:r w:rsidR="002F2AA2">
        <w:t>,</w:t>
      </w:r>
      <w:r w:rsidR="002F2AA2" w:rsidRPr="00202FD9">
        <w:t xml:space="preserve"> held at the </w:t>
      </w:r>
      <w:r w:rsidR="002F2AA2">
        <w:t>sixtieth</w:t>
      </w:r>
      <w:r w:rsidR="002F2AA2" w:rsidRPr="00202FD9">
        <w:t xml:space="preserve"> session of the Subsidiary Body for Implementation</w:t>
      </w:r>
      <w:r w:rsidR="002F2AA2">
        <w:t>,</w:t>
      </w:r>
      <w:r w:rsidR="002F2AA2" w:rsidRPr="00752FD0">
        <w:t xml:space="preserve"> to discuss the synthesis report</w:t>
      </w:r>
      <w:r w:rsidR="002F2AA2" w:rsidRPr="00752FD0">
        <w:rPr>
          <w:rStyle w:val="FootnoteReference"/>
        </w:rPr>
        <w:footnoteReference w:id="52"/>
      </w:r>
      <w:r w:rsidR="002F2AA2" w:rsidRPr="00752FD0">
        <w:t xml:space="preserve"> and </w:t>
      </w:r>
      <w:r w:rsidR="002F2AA2" w:rsidRPr="00752FD0">
        <w:rPr>
          <w:i/>
          <w:iCs/>
        </w:rPr>
        <w:t>recognizes</w:t>
      </w:r>
      <w:r w:rsidR="002F2AA2" w:rsidRPr="00752FD0">
        <w:t xml:space="preserve"> the action taken </w:t>
      </w:r>
      <w:r w:rsidR="002F2AA2" w:rsidRPr="00023D65">
        <w:t xml:space="preserve">by Parties, UNFCCC constituted bodies, the secretariat and observers to </w:t>
      </w:r>
      <w:r w:rsidR="002F2AA2" w:rsidRPr="00DB6C41">
        <w:t>implement the enhanced Lima work programme on gender and its gender action plan;</w:t>
      </w:r>
    </w:p>
    <w:p w14:paraId="0F757B32" w14:textId="5F09F9CD" w:rsidR="002F2AA2" w:rsidRPr="0089684B" w:rsidRDefault="00BD5DB4" w:rsidP="00BD5DB4">
      <w:pPr>
        <w:pStyle w:val="RegSingleTxtG"/>
        <w:numPr>
          <w:ilvl w:val="0"/>
          <w:numId w:val="0"/>
        </w:numPr>
        <w:tabs>
          <w:tab w:val="left" w:pos="568"/>
        </w:tabs>
        <w:ind w:left="1135"/>
      </w:pPr>
      <w:r w:rsidRPr="0089684B">
        <w:t>2.</w:t>
      </w:r>
      <w:r w:rsidRPr="0089684B">
        <w:tab/>
      </w:r>
      <w:r w:rsidR="002F2AA2">
        <w:rPr>
          <w:i/>
          <w:iCs/>
        </w:rPr>
        <w:t>T</w:t>
      </w:r>
      <w:r w:rsidR="002F2AA2" w:rsidRPr="00DB6C41">
        <w:rPr>
          <w:i/>
          <w:iCs/>
        </w:rPr>
        <w:t>akes note</w:t>
      </w:r>
      <w:r w:rsidR="002F2AA2" w:rsidRPr="00DB6C41">
        <w:t xml:space="preserve"> of the reports on gender composition,</w:t>
      </w:r>
      <w:r w:rsidR="002F2AA2">
        <w:rPr>
          <w:rStyle w:val="FootnoteReference"/>
        </w:rPr>
        <w:footnoteReference w:id="53"/>
      </w:r>
      <w:r w:rsidR="002F2AA2" w:rsidRPr="00DB6C41">
        <w:t xml:space="preserve"> according to which gender balance in Party delegations was achieved at </w:t>
      </w:r>
      <w:r w:rsidR="002F2AA2">
        <w:t>the fifty-eighth and sixtieth sessions of the subsidiary bodies</w:t>
      </w:r>
      <w:r w:rsidR="002F2AA2" w:rsidRPr="00DB6C41">
        <w:t xml:space="preserve">, women’s representation in Party delegations to sessions of the governing </w:t>
      </w:r>
      <w:r w:rsidR="002F2AA2" w:rsidRPr="0089684B">
        <w:t xml:space="preserve">bodies has remained the same or declined year-on-year since </w:t>
      </w:r>
      <w:r w:rsidR="002F2AA2">
        <w:t>the twenty-fifth sessions</w:t>
      </w:r>
      <w:r w:rsidR="000F5DAC">
        <w:t xml:space="preserve"> of the Conference of the Parties</w:t>
      </w:r>
      <w:r w:rsidR="002F2AA2">
        <w:t>,</w:t>
      </w:r>
      <w:r w:rsidR="002F2AA2" w:rsidRPr="0089684B">
        <w:t xml:space="preserve"> and progress in achieving the goal of gender balance in constituted bodies remains inconsistent;</w:t>
      </w:r>
    </w:p>
    <w:p w14:paraId="2903F060" w14:textId="121F8A51" w:rsidR="002F2AA2" w:rsidRDefault="00BD5DB4" w:rsidP="00BD5DB4">
      <w:pPr>
        <w:pStyle w:val="RegSingleTxtG"/>
        <w:numPr>
          <w:ilvl w:val="0"/>
          <w:numId w:val="0"/>
        </w:numPr>
        <w:tabs>
          <w:tab w:val="left" w:pos="568"/>
        </w:tabs>
        <w:ind w:left="1135"/>
      </w:pPr>
      <w:r>
        <w:t>3.</w:t>
      </w:r>
      <w:r>
        <w:tab/>
      </w:r>
      <w:r w:rsidR="002F2AA2" w:rsidRPr="007F1086">
        <w:rPr>
          <w:i/>
        </w:rPr>
        <w:t>Notes</w:t>
      </w:r>
      <w:r w:rsidR="002F2AA2" w:rsidRPr="0089684B">
        <w:t xml:space="preserve"> the synthesis report by the secretariat on implementation of gender-responsive climate policies, plans, strategies and action, as reported by Parties in reports and communications under the UNFCCC,</w:t>
      </w:r>
      <w:r w:rsidR="002F2AA2">
        <w:rPr>
          <w:rStyle w:val="FootnoteReference"/>
        </w:rPr>
        <w:footnoteReference w:id="54"/>
      </w:r>
      <w:r w:rsidR="002F2AA2" w:rsidRPr="0089684B">
        <w:t xml:space="preserve"> and the progress reflected therein;</w:t>
      </w:r>
      <w:r w:rsidR="002F2AA2">
        <w:t xml:space="preserve"> </w:t>
      </w:r>
    </w:p>
    <w:p w14:paraId="17296A18" w14:textId="0B6739C2" w:rsidR="002F2AA2" w:rsidRDefault="00BD5DB4" w:rsidP="00BD5DB4">
      <w:pPr>
        <w:pStyle w:val="RegSingleTxtG"/>
        <w:numPr>
          <w:ilvl w:val="0"/>
          <w:numId w:val="0"/>
        </w:numPr>
        <w:tabs>
          <w:tab w:val="left" w:pos="568"/>
        </w:tabs>
        <w:ind w:left="1135"/>
      </w:pPr>
      <w:r>
        <w:t>4.</w:t>
      </w:r>
      <w:r>
        <w:tab/>
      </w:r>
      <w:r w:rsidR="002F2AA2" w:rsidRPr="006D3F59">
        <w:rPr>
          <w:i/>
        </w:rPr>
        <w:t xml:space="preserve">Encourages </w:t>
      </w:r>
      <w:r w:rsidR="002F2AA2" w:rsidRPr="005F29A1">
        <w:t>Parties to enhance their efforts to advance the implementation of the decisions referred to in the preamble</w:t>
      </w:r>
      <w:r w:rsidR="002F2AA2">
        <w:t xml:space="preserve">; </w:t>
      </w:r>
    </w:p>
    <w:p w14:paraId="2AD7DEAE" w14:textId="57665211" w:rsidR="002F2AA2" w:rsidRPr="005F29A1" w:rsidRDefault="00BD5DB4" w:rsidP="00BD5DB4">
      <w:pPr>
        <w:pStyle w:val="RegSingleTxtG"/>
        <w:numPr>
          <w:ilvl w:val="0"/>
          <w:numId w:val="0"/>
        </w:numPr>
        <w:tabs>
          <w:tab w:val="left" w:pos="568"/>
        </w:tabs>
        <w:ind w:left="1135"/>
      </w:pPr>
      <w:r w:rsidRPr="005F29A1">
        <w:lastRenderedPageBreak/>
        <w:t>5.</w:t>
      </w:r>
      <w:r w:rsidRPr="005F29A1">
        <w:tab/>
      </w:r>
      <w:r w:rsidR="002F2AA2" w:rsidRPr="006D3F59">
        <w:rPr>
          <w:i/>
          <w:iCs/>
        </w:rPr>
        <w:t>Acknowledges</w:t>
      </w:r>
      <w:r w:rsidR="002F2AA2" w:rsidRPr="00F26B79">
        <w:t xml:space="preserve"> </w:t>
      </w:r>
      <w:r w:rsidR="002F2AA2" w:rsidRPr="005F29A1">
        <w:t xml:space="preserve">that capacity-building, knowledge management and the sharing of experience are essential to supporting relevant actors in designing and implementing gender-responsive climate </w:t>
      </w:r>
      <w:r w:rsidR="002F2AA2" w:rsidRPr="005F29A1" w:rsidDel="004D428D">
        <w:t xml:space="preserve">action </w:t>
      </w:r>
      <w:r w:rsidR="002F2AA2" w:rsidRPr="005F29A1">
        <w:t>and for increasing the effectiveness and scaling up of these measures;</w:t>
      </w:r>
    </w:p>
    <w:p w14:paraId="36868963" w14:textId="4B8C109E" w:rsidR="002F2AA2" w:rsidRPr="005F29A1" w:rsidRDefault="00BD5DB4" w:rsidP="00BD5DB4">
      <w:pPr>
        <w:pStyle w:val="RegSingleTxtG"/>
        <w:numPr>
          <w:ilvl w:val="0"/>
          <w:numId w:val="0"/>
        </w:numPr>
        <w:tabs>
          <w:tab w:val="left" w:pos="568"/>
        </w:tabs>
        <w:ind w:left="1135"/>
      </w:pPr>
      <w:r w:rsidRPr="005F29A1">
        <w:t>6.</w:t>
      </w:r>
      <w:r w:rsidRPr="005F29A1">
        <w:tab/>
      </w:r>
      <w:r w:rsidR="002F2AA2" w:rsidRPr="005F29A1">
        <w:rPr>
          <w:i/>
        </w:rPr>
        <w:t>R</w:t>
      </w:r>
      <w:r w:rsidR="002F2AA2">
        <w:t>e</w:t>
      </w:r>
      <w:r w:rsidR="002F2AA2">
        <w:rPr>
          <w:i/>
          <w:iCs/>
        </w:rPr>
        <w:t>cognizes</w:t>
      </w:r>
      <w:r w:rsidR="002F2AA2" w:rsidRPr="00C62463">
        <w:t xml:space="preserve"> that the full, meaningful and equal participation and leadership of women in all aspects of the UNFCCC process and in national- and local-level climate policy</w:t>
      </w:r>
      <w:r w:rsidR="002F2AA2">
        <w:t>making</w:t>
      </w:r>
      <w:r w:rsidR="002F2AA2" w:rsidRPr="00C62463">
        <w:t xml:space="preserve"> and action is vital for achieving long-term climate goals</w:t>
      </w:r>
      <w:r w:rsidR="000F1446">
        <w:t xml:space="preserve"> </w:t>
      </w:r>
      <w:r w:rsidR="002F2AA2" w:rsidRPr="00C62463">
        <w:t xml:space="preserve">and </w:t>
      </w:r>
      <w:r w:rsidR="002F2AA2" w:rsidRPr="00BF34B1">
        <w:rPr>
          <w:i/>
          <w:iCs/>
        </w:rPr>
        <w:t>notes</w:t>
      </w:r>
      <w:r w:rsidR="002F2AA2" w:rsidRPr="00C62463">
        <w:t xml:space="preserve"> the importance of taking further steps in this regard</w:t>
      </w:r>
      <w:r w:rsidR="002F2AA2" w:rsidRPr="005F29A1">
        <w:t>;</w:t>
      </w:r>
      <w:r w:rsidR="002F2AA2">
        <w:t xml:space="preserve"> </w:t>
      </w:r>
    </w:p>
    <w:p w14:paraId="62515C13" w14:textId="647DDCCA" w:rsidR="002F2AA2" w:rsidRPr="005F29A1" w:rsidRDefault="00BD5DB4" w:rsidP="00BD5DB4">
      <w:pPr>
        <w:pStyle w:val="RegSingleTxtG"/>
        <w:numPr>
          <w:ilvl w:val="0"/>
          <w:numId w:val="0"/>
        </w:numPr>
        <w:tabs>
          <w:tab w:val="left" w:pos="568"/>
        </w:tabs>
        <w:ind w:left="1135"/>
      </w:pPr>
      <w:r w:rsidRPr="005F29A1">
        <w:t>7.</w:t>
      </w:r>
      <w:r w:rsidRPr="005F29A1">
        <w:tab/>
      </w:r>
      <w:r w:rsidR="002F2AA2" w:rsidRPr="005F29A1">
        <w:rPr>
          <w:i/>
        </w:rPr>
        <w:t>Acknowledges</w:t>
      </w:r>
      <w:r w:rsidR="002F2AA2" w:rsidRPr="005F29A1">
        <w:t xml:space="preserve"> that coherence with relevant United Nations processes, in particular the 2030 Agenda for Sustainable Development, as applicable, and within national implementation will contribute to improving the efficiency and effectiveness of efforts to integrate gender considerations into climate action;</w:t>
      </w:r>
    </w:p>
    <w:p w14:paraId="66463F2F" w14:textId="15EDF287" w:rsidR="002F2AA2" w:rsidRPr="008037A6" w:rsidRDefault="00BD5DB4" w:rsidP="00BD5DB4">
      <w:pPr>
        <w:pStyle w:val="RegSingleTxtG"/>
        <w:numPr>
          <w:ilvl w:val="0"/>
          <w:numId w:val="0"/>
        </w:numPr>
        <w:tabs>
          <w:tab w:val="left" w:pos="568"/>
        </w:tabs>
        <w:ind w:left="1135"/>
      </w:pPr>
      <w:r w:rsidRPr="008037A6">
        <w:t>8.</w:t>
      </w:r>
      <w:r w:rsidRPr="008037A6">
        <w:tab/>
      </w:r>
      <w:r w:rsidR="002F2AA2" w:rsidRPr="007F5051">
        <w:rPr>
          <w:i/>
          <w:iCs/>
        </w:rPr>
        <w:t>Encourages</w:t>
      </w:r>
      <w:r w:rsidR="002F2AA2">
        <w:t xml:space="preserve"> U</w:t>
      </w:r>
      <w:r w:rsidR="002F2AA2" w:rsidRPr="00A22FB9">
        <w:t xml:space="preserve">nited Nations entities to cooperate with Parties on mainstreaming gender- and age-disaggregated data in their existing policies, enabling mechanisms and programmes, across all levels of governance, and to support Parties in directly applying the best available science in the collection and analysis of data sets, including on the impacts of </w:t>
      </w:r>
      <w:r w:rsidR="002F2AA2">
        <w:t>e</w:t>
      </w:r>
      <w:r w:rsidR="002F2AA2" w:rsidRPr="00A22FB9">
        <w:t>xtreme weather and slow onset events;</w:t>
      </w:r>
    </w:p>
    <w:p w14:paraId="2FF2D8B3" w14:textId="27BCED72" w:rsidR="002F2AA2" w:rsidRPr="005F29A1" w:rsidRDefault="00BD5DB4" w:rsidP="00BD5DB4">
      <w:pPr>
        <w:pStyle w:val="RegSingleTxtG"/>
        <w:numPr>
          <w:ilvl w:val="0"/>
          <w:numId w:val="0"/>
        </w:numPr>
        <w:tabs>
          <w:tab w:val="left" w:pos="568"/>
        </w:tabs>
        <w:ind w:left="1135"/>
      </w:pPr>
      <w:r w:rsidRPr="005F29A1">
        <w:t>9.</w:t>
      </w:r>
      <w:r w:rsidRPr="005F29A1">
        <w:tab/>
      </w:r>
      <w:r w:rsidR="002F2AA2" w:rsidRPr="005F29A1">
        <w:rPr>
          <w:i/>
          <w:lang w:val="en-US"/>
        </w:rPr>
        <w:t>Invites</w:t>
      </w:r>
      <w:r w:rsidR="002F2AA2" w:rsidRPr="005F29A1">
        <w:rPr>
          <w:lang w:val="en-US"/>
        </w:rPr>
        <w:t xml:space="preserve"> Parties </w:t>
      </w:r>
      <w:r w:rsidR="002F2AA2" w:rsidRPr="005F29A1">
        <w:t xml:space="preserve">to </w:t>
      </w:r>
      <w:r w:rsidR="002F2AA2">
        <w:t>include</w:t>
      </w:r>
      <w:r w:rsidR="002F2AA2" w:rsidRPr="005F29A1">
        <w:t xml:space="preserve"> information on efforts and steps taken to implement the enhanced Lima work programme on gender and </w:t>
      </w:r>
      <w:r w:rsidR="002F2AA2">
        <w:t>any subsequent gender action plan</w:t>
      </w:r>
      <w:r w:rsidR="002F2AA2" w:rsidRPr="005F29A1">
        <w:t xml:space="preserve"> in their national reporting under the UNFCCC process, as applicable;</w:t>
      </w:r>
    </w:p>
    <w:p w14:paraId="127010B7" w14:textId="45033960" w:rsidR="002F2AA2" w:rsidRPr="005F29A1" w:rsidRDefault="00BD5DB4" w:rsidP="00BD5DB4">
      <w:pPr>
        <w:pStyle w:val="RegSingleTxtG"/>
        <w:numPr>
          <w:ilvl w:val="0"/>
          <w:numId w:val="0"/>
        </w:numPr>
        <w:tabs>
          <w:tab w:val="left" w:pos="568"/>
        </w:tabs>
        <w:ind w:left="1135"/>
      </w:pPr>
      <w:r w:rsidRPr="005F29A1">
        <w:t>10.</w:t>
      </w:r>
      <w:r w:rsidRPr="005F29A1">
        <w:tab/>
      </w:r>
      <w:r w:rsidR="002F2AA2" w:rsidRPr="00737C95">
        <w:rPr>
          <w:i/>
        </w:rPr>
        <w:t xml:space="preserve">Notes </w:t>
      </w:r>
      <w:r w:rsidR="002F2AA2" w:rsidRPr="005F29A1">
        <w:t xml:space="preserve">that gender-responsive implementation </w:t>
      </w:r>
      <w:r w:rsidR="002F2AA2" w:rsidRPr="00737C95">
        <w:rPr>
          <w:lang w:val="en-US"/>
        </w:rPr>
        <w:t xml:space="preserve">and means of implementation of climate policy and action can </w:t>
      </w:r>
      <w:r w:rsidR="002F2AA2" w:rsidRPr="005F29A1">
        <w:t xml:space="preserve">enable Parties to raise ambition, as well as enhance gender equality, and just transition of the workforce and the creation of decent work and quality jobs in accordance with nationally defined development priorities; </w:t>
      </w:r>
    </w:p>
    <w:p w14:paraId="703DED1B" w14:textId="6030A3A7" w:rsidR="002F2AA2" w:rsidRDefault="00BD5DB4" w:rsidP="00BD5DB4">
      <w:pPr>
        <w:pStyle w:val="RegSingleTxtG"/>
        <w:numPr>
          <w:ilvl w:val="0"/>
          <w:numId w:val="0"/>
        </w:numPr>
        <w:tabs>
          <w:tab w:val="left" w:pos="568"/>
        </w:tabs>
        <w:ind w:left="1135"/>
      </w:pPr>
      <w:r>
        <w:t>11.</w:t>
      </w:r>
      <w:r>
        <w:tab/>
      </w:r>
      <w:r w:rsidR="002F2AA2">
        <w:rPr>
          <w:i/>
          <w:iCs/>
        </w:rPr>
        <w:t>Decides</w:t>
      </w:r>
      <w:r w:rsidR="002F2AA2">
        <w:t xml:space="preserve"> </w:t>
      </w:r>
      <w:r w:rsidR="002F2AA2" w:rsidRPr="00232A9A">
        <w:t xml:space="preserve">to </w:t>
      </w:r>
      <w:r w:rsidR="002F2AA2">
        <w:t>extend</w:t>
      </w:r>
      <w:r w:rsidR="002F2AA2" w:rsidRPr="00232A9A">
        <w:t xml:space="preserve"> the enhanced Lima work programme on gender</w:t>
      </w:r>
      <w:r w:rsidR="002F2AA2">
        <w:t xml:space="preserve"> for a period of 10 years</w:t>
      </w:r>
      <w:r w:rsidR="002F2AA2" w:rsidRPr="005F29A1">
        <w:t>;</w:t>
      </w:r>
      <w:r w:rsidR="002F2AA2">
        <w:t xml:space="preserve"> </w:t>
      </w:r>
    </w:p>
    <w:p w14:paraId="12BE2098" w14:textId="731305C3" w:rsidR="002F2AA2" w:rsidRDefault="00BD5DB4" w:rsidP="00BD5DB4">
      <w:pPr>
        <w:pStyle w:val="RegSingleTxtG"/>
        <w:numPr>
          <w:ilvl w:val="0"/>
          <w:numId w:val="0"/>
        </w:numPr>
        <w:tabs>
          <w:tab w:val="left" w:pos="568"/>
        </w:tabs>
        <w:ind w:left="1135"/>
      </w:pPr>
      <w:bookmarkStart w:id="17" w:name="_Ref183025070"/>
      <w:r>
        <w:t>12.</w:t>
      </w:r>
      <w:r>
        <w:tab/>
      </w:r>
      <w:r w:rsidR="002F2AA2">
        <w:rPr>
          <w:i/>
          <w:iCs/>
        </w:rPr>
        <w:t>Also d</w:t>
      </w:r>
      <w:r w:rsidR="002F2AA2" w:rsidRPr="00A90C93">
        <w:rPr>
          <w:i/>
          <w:iCs/>
        </w:rPr>
        <w:t>ecides</w:t>
      </w:r>
      <w:r w:rsidR="002F2AA2">
        <w:t xml:space="preserve"> that a review of the implementation of the enhanced Lima work programme on gender to identify progress, challenges and further work to be undertaken shall be initiated at the seventieth session of the Subsidiary Body for Implementation (June 2029) with a view to the Subsidiary Body for Implementation concluding the review at its seventy-first session (November 2029) and recommending a draft decision thereon for consideration and adoption by the Conference of the Parties at its thirty-fourth session (November 2029);</w:t>
      </w:r>
      <w:bookmarkEnd w:id="17"/>
    </w:p>
    <w:p w14:paraId="22F51D65" w14:textId="28A5935C" w:rsidR="002F2AA2" w:rsidRDefault="00BD5DB4" w:rsidP="00BD5DB4">
      <w:pPr>
        <w:pStyle w:val="RegSingleTxtG"/>
        <w:numPr>
          <w:ilvl w:val="0"/>
          <w:numId w:val="0"/>
        </w:numPr>
        <w:tabs>
          <w:tab w:val="left" w:pos="568"/>
        </w:tabs>
        <w:ind w:left="1135"/>
      </w:pPr>
      <w:r>
        <w:t>13.</w:t>
      </w:r>
      <w:r>
        <w:tab/>
      </w:r>
      <w:r w:rsidR="002F2AA2" w:rsidRPr="00A75823">
        <w:rPr>
          <w:i/>
          <w:iCs/>
        </w:rPr>
        <w:t>Requests</w:t>
      </w:r>
      <w:r w:rsidR="002F2AA2">
        <w:t xml:space="preserve"> the Subsidiary Body for Implementation to initiate the development of a new gender action plan at its sixty-second session (June 2025) taking into account the inputs to and outcome of the review of the enhanced Lima work programme on gender and its gender action plan in 2024 and the workshops referred to in paragraphs 14</w:t>
      </w:r>
      <w:r w:rsidR="002F2AA2" w:rsidRPr="00E77337">
        <w:t xml:space="preserve"> and </w:t>
      </w:r>
      <w:r w:rsidR="002F2AA2">
        <w:t>16 below with a view to recommending a draft decision for consideration and adoption by the Conference of the Parties at its thirtieth session (November 2025);</w:t>
      </w:r>
    </w:p>
    <w:p w14:paraId="30756BAE" w14:textId="40F3897E" w:rsidR="002F2AA2" w:rsidRDefault="00BD5DB4" w:rsidP="00BD5DB4">
      <w:pPr>
        <w:pStyle w:val="RegSingleTxtG"/>
        <w:numPr>
          <w:ilvl w:val="0"/>
          <w:numId w:val="0"/>
        </w:numPr>
        <w:tabs>
          <w:tab w:val="left" w:pos="568"/>
        </w:tabs>
        <w:ind w:left="1135"/>
      </w:pPr>
      <w:bookmarkStart w:id="18" w:name="_Ref183025094"/>
      <w:r>
        <w:t>14.</w:t>
      </w:r>
      <w:r>
        <w:tab/>
      </w:r>
      <w:r w:rsidR="002F2AA2" w:rsidRPr="00A75823">
        <w:rPr>
          <w:i/>
          <w:iCs/>
        </w:rPr>
        <w:t>Also requests</w:t>
      </w:r>
      <w:r w:rsidR="002F2AA2">
        <w:t xml:space="preserve"> the Chair of the Subsidiary Body for Implementation to organize, with the support of the secretariat, a technical workshop, to be held at the sixty-second session of the Subsidiary Body for Implementation, to facilitate the design of gender action plan activities, taking into account, inter alia, the progress, challenges, gaps and priorities identified by Parties and observers during the review referred to in paragraph 13 above and the information presented in the synthesis report referred to in paragraph 1 above, with a view to informing the development of the new gender action plan referred to in paragraph 13 above;</w:t>
      </w:r>
      <w:bookmarkEnd w:id="18"/>
    </w:p>
    <w:p w14:paraId="23B0D0B3" w14:textId="48087B86" w:rsidR="002F2AA2" w:rsidRDefault="00BD5DB4" w:rsidP="00BD5DB4">
      <w:pPr>
        <w:pStyle w:val="RegSingleTxtG"/>
        <w:numPr>
          <w:ilvl w:val="0"/>
          <w:numId w:val="0"/>
        </w:numPr>
        <w:tabs>
          <w:tab w:val="left" w:pos="568"/>
        </w:tabs>
        <w:ind w:left="1135"/>
      </w:pPr>
      <w:bookmarkStart w:id="19" w:name="_Ref183026543"/>
      <w:r>
        <w:t>15.</w:t>
      </w:r>
      <w:r>
        <w:tab/>
      </w:r>
      <w:r w:rsidR="002F2AA2" w:rsidRPr="00A75823">
        <w:rPr>
          <w:i/>
          <w:iCs/>
        </w:rPr>
        <w:t>Invites</w:t>
      </w:r>
      <w:r w:rsidR="002F2AA2">
        <w:t xml:space="preserve"> Parties and observers to submit via the submission portal</w:t>
      </w:r>
      <w:r w:rsidR="002F2AA2">
        <w:rPr>
          <w:rStyle w:val="FootnoteReference"/>
        </w:rPr>
        <w:footnoteReference w:id="55"/>
      </w:r>
      <w:r w:rsidR="002F2AA2">
        <w:t xml:space="preserve"> by 31 March 2025 views on the format and scope of the in-session technical workshop referred to in paragraph </w:t>
      </w:r>
      <w:r w:rsidR="00E16933">
        <w:rPr>
          <w:cs/>
        </w:rPr>
        <w:t>‎</w:t>
      </w:r>
      <w:r w:rsidR="00E16933">
        <w:t>14 above</w:t>
      </w:r>
      <w:r w:rsidR="002F2AA2">
        <w:t>;</w:t>
      </w:r>
      <w:bookmarkEnd w:id="19"/>
    </w:p>
    <w:p w14:paraId="51431860" w14:textId="3AC0FFE5" w:rsidR="002F2AA2" w:rsidRDefault="00BD5DB4" w:rsidP="00BD5DB4">
      <w:pPr>
        <w:pStyle w:val="RegSingleTxtG"/>
        <w:numPr>
          <w:ilvl w:val="0"/>
          <w:numId w:val="0"/>
        </w:numPr>
        <w:tabs>
          <w:tab w:val="left" w:pos="568"/>
        </w:tabs>
        <w:ind w:left="1135"/>
      </w:pPr>
      <w:bookmarkStart w:id="20" w:name="_Ref183025577"/>
      <w:r>
        <w:t>16.</w:t>
      </w:r>
      <w:r>
        <w:tab/>
      </w:r>
      <w:r w:rsidR="002F2AA2" w:rsidRPr="00A75823">
        <w:rPr>
          <w:i/>
          <w:iCs/>
        </w:rPr>
        <w:t>Decides</w:t>
      </w:r>
      <w:r w:rsidR="002F2AA2">
        <w:t xml:space="preserve"> that other in-person or hybrid technical workshops on the topic referred to in paragraph 14 above may be held during 2025 in conjunction with existing events, such as the </w:t>
      </w:r>
      <w:r w:rsidR="002F2AA2">
        <w:lastRenderedPageBreak/>
        <w:t>regional climate weeks, at the discretion of the Chair of the Subsidiary Body for Implementation upon receiving an expression of interest from a Party to host such a workshop, while aiming to ensure inclusive and balanced geographical representation at the workshops;</w:t>
      </w:r>
      <w:bookmarkEnd w:id="20"/>
    </w:p>
    <w:p w14:paraId="160B014E" w14:textId="4D5B1853" w:rsidR="002F2AA2" w:rsidRPr="005F29A1" w:rsidRDefault="00BD5DB4" w:rsidP="00BD5DB4">
      <w:pPr>
        <w:pStyle w:val="RegSingleTxtG"/>
        <w:numPr>
          <w:ilvl w:val="0"/>
          <w:numId w:val="0"/>
        </w:numPr>
        <w:tabs>
          <w:tab w:val="left" w:pos="568"/>
        </w:tabs>
        <w:ind w:left="1135"/>
      </w:pPr>
      <w:r w:rsidRPr="005F29A1">
        <w:t>17.</w:t>
      </w:r>
      <w:r w:rsidRPr="005F29A1">
        <w:tab/>
      </w:r>
      <w:r w:rsidR="002F2AA2" w:rsidRPr="005F29A1">
        <w:rPr>
          <w:i/>
          <w:lang w:val="en-US"/>
        </w:rPr>
        <w:t xml:space="preserve">Encourages </w:t>
      </w:r>
      <w:r w:rsidR="002F2AA2" w:rsidRPr="005F29A1">
        <w:rPr>
          <w:lang w:val="en-US"/>
        </w:rPr>
        <w:t>Parties</w:t>
      </w:r>
      <w:r w:rsidR="002F2AA2" w:rsidRPr="005F29A1">
        <w:rPr>
          <w:i/>
          <w:lang w:val="en-US"/>
        </w:rPr>
        <w:t xml:space="preserve"> </w:t>
      </w:r>
      <w:r w:rsidR="002F2AA2" w:rsidRPr="005F29A1">
        <w:rPr>
          <w:lang w:val="en-US"/>
        </w:rPr>
        <w:t>to appoint and provide support for a national gender and climate change focal point for climate negotiations, implementation and monitoring;</w:t>
      </w:r>
    </w:p>
    <w:p w14:paraId="3F3DCC6D" w14:textId="70141449" w:rsidR="002F2AA2" w:rsidRPr="005832DC" w:rsidRDefault="00BD5DB4" w:rsidP="00BD5DB4">
      <w:pPr>
        <w:pStyle w:val="RegSingleTxtG"/>
        <w:numPr>
          <w:ilvl w:val="0"/>
          <w:numId w:val="0"/>
        </w:numPr>
        <w:tabs>
          <w:tab w:val="left" w:pos="568"/>
        </w:tabs>
        <w:ind w:left="1135"/>
      </w:pPr>
      <w:r w:rsidRPr="005832DC">
        <w:t>18.</w:t>
      </w:r>
      <w:r w:rsidRPr="005832DC">
        <w:tab/>
      </w:r>
      <w:r w:rsidR="002F2AA2" w:rsidRPr="005832DC">
        <w:rPr>
          <w:i/>
        </w:rPr>
        <w:t>Requests</w:t>
      </w:r>
      <w:r w:rsidR="002F2AA2" w:rsidRPr="005832DC">
        <w:t xml:space="preserve"> all constituted bodies to continue to include in their regular reports information on progress towards integrating a gender perspective into their processes;</w:t>
      </w:r>
    </w:p>
    <w:p w14:paraId="40D84930" w14:textId="2F371B03" w:rsidR="002F2AA2" w:rsidRPr="00991EE5" w:rsidRDefault="00BD5DB4" w:rsidP="00BD5DB4">
      <w:pPr>
        <w:pStyle w:val="RegSingleTxtG"/>
        <w:numPr>
          <w:ilvl w:val="0"/>
          <w:numId w:val="0"/>
        </w:numPr>
        <w:tabs>
          <w:tab w:val="left" w:pos="568"/>
        </w:tabs>
        <w:ind w:left="1135"/>
        <w:rPr>
          <w:lang w:val="en-US"/>
        </w:rPr>
      </w:pPr>
      <w:r w:rsidRPr="00991EE5">
        <w:rPr>
          <w:lang w:val="en-US"/>
        </w:rPr>
        <w:t>19.</w:t>
      </w:r>
      <w:r w:rsidRPr="00991EE5">
        <w:rPr>
          <w:lang w:val="en-US"/>
        </w:rPr>
        <w:tab/>
      </w:r>
      <w:r w:rsidR="002F2AA2" w:rsidRPr="005832DC">
        <w:rPr>
          <w:i/>
          <w:lang w:val="en-US"/>
        </w:rPr>
        <w:t xml:space="preserve">Invites </w:t>
      </w:r>
      <w:r w:rsidR="002F2AA2" w:rsidRPr="005832DC">
        <w:rPr>
          <w:lang w:val="en-US"/>
        </w:rPr>
        <w:t>relevant public and private entities to increase the gender-responsiveness of climate finance with a view to strengthening the capacity</w:t>
      </w:r>
      <w:r w:rsidR="002F2AA2" w:rsidRPr="005F29A1">
        <w:rPr>
          <w:lang w:val="en-US"/>
        </w:rPr>
        <w:t xml:space="preserve"> of women;</w:t>
      </w:r>
      <w:r w:rsidR="002F2AA2" w:rsidRPr="00991EE5">
        <w:t xml:space="preserve"> </w:t>
      </w:r>
    </w:p>
    <w:p w14:paraId="447C9D3D" w14:textId="4884F1A5" w:rsidR="002F2AA2" w:rsidRPr="00991EE5" w:rsidRDefault="00BD5DB4" w:rsidP="00BD5DB4">
      <w:pPr>
        <w:pStyle w:val="RegSingleTxtG"/>
        <w:numPr>
          <w:ilvl w:val="0"/>
          <w:numId w:val="0"/>
        </w:numPr>
        <w:tabs>
          <w:tab w:val="left" w:pos="568"/>
        </w:tabs>
        <w:ind w:left="1135"/>
        <w:rPr>
          <w:lang w:val="en-US"/>
        </w:rPr>
      </w:pPr>
      <w:r w:rsidRPr="00991EE5">
        <w:rPr>
          <w:lang w:val="en-US"/>
        </w:rPr>
        <w:t>20.</w:t>
      </w:r>
      <w:r w:rsidRPr="00991EE5">
        <w:rPr>
          <w:lang w:val="en-US"/>
        </w:rPr>
        <w:tab/>
      </w:r>
      <w:r w:rsidR="002F2AA2">
        <w:rPr>
          <w:i/>
          <w:iCs/>
          <w:lang w:val="en-US"/>
        </w:rPr>
        <w:t>E</w:t>
      </w:r>
      <w:r w:rsidR="002F2AA2" w:rsidRPr="00991EE5">
        <w:rPr>
          <w:i/>
          <w:iCs/>
          <w:lang w:val="en-US"/>
        </w:rPr>
        <w:t>ncourages</w:t>
      </w:r>
      <w:r w:rsidR="002F2AA2" w:rsidRPr="00991EE5">
        <w:rPr>
          <w:lang w:val="en-US"/>
        </w:rPr>
        <w:t xml:space="preserve"> Parties and relevant public and private entities to strengthen the gender</w:t>
      </w:r>
      <w:r w:rsidR="002F2AA2">
        <w:rPr>
          <w:lang w:val="en-US"/>
        </w:rPr>
        <w:t>-</w:t>
      </w:r>
      <w:r w:rsidR="002F2AA2" w:rsidRPr="00991EE5">
        <w:rPr>
          <w:lang w:val="en-US"/>
        </w:rPr>
        <w:t xml:space="preserve">responsiveness of climate finance with a view to further building the capacity of women and </w:t>
      </w:r>
      <w:r w:rsidR="002F2AA2" w:rsidRPr="00991EE5" w:rsidDel="00C275AE">
        <w:rPr>
          <w:lang w:val="en-US"/>
        </w:rPr>
        <w:t xml:space="preserve">for </w:t>
      </w:r>
      <w:r w:rsidR="002F2AA2" w:rsidRPr="00991EE5">
        <w:rPr>
          <w:lang w:val="en-US"/>
        </w:rPr>
        <w:t xml:space="preserve">implementation work under the </w:t>
      </w:r>
      <w:r w:rsidR="002F2AA2" w:rsidRPr="00E77337">
        <w:rPr>
          <w:lang w:val="en-US"/>
        </w:rPr>
        <w:t xml:space="preserve">enhanced Lima work programme on gender and any subsequent </w:t>
      </w:r>
      <w:r w:rsidR="002F2AA2" w:rsidRPr="00991EE5">
        <w:rPr>
          <w:lang w:val="en-US"/>
        </w:rPr>
        <w:t xml:space="preserve">gender action plan, and in order to facilitate simplified access to climate finance for grass-roots women’s organizations as well as for </w:t>
      </w:r>
      <w:r w:rsidR="002F2AA2">
        <w:rPr>
          <w:lang w:val="en-US"/>
        </w:rPr>
        <w:t>I</w:t>
      </w:r>
      <w:r w:rsidR="002F2AA2" w:rsidRPr="00991EE5">
        <w:rPr>
          <w:lang w:val="en-US"/>
        </w:rPr>
        <w:t xml:space="preserve">ndigenous </w:t>
      </w:r>
      <w:r w:rsidR="002F2AA2">
        <w:rPr>
          <w:lang w:val="en-US"/>
        </w:rPr>
        <w:t>P</w:t>
      </w:r>
      <w:r w:rsidR="002F2AA2" w:rsidRPr="00991EE5">
        <w:rPr>
          <w:lang w:val="en-US"/>
        </w:rPr>
        <w:t>eoples, especially women, and local communities;</w:t>
      </w:r>
    </w:p>
    <w:p w14:paraId="7BA90F17" w14:textId="4BC7BC05" w:rsidR="002F2AA2" w:rsidRPr="007937F3" w:rsidRDefault="00BD5DB4" w:rsidP="00BD5DB4">
      <w:pPr>
        <w:pStyle w:val="RegSingleTxtG"/>
        <w:numPr>
          <w:ilvl w:val="0"/>
          <w:numId w:val="0"/>
        </w:numPr>
        <w:tabs>
          <w:tab w:val="left" w:pos="568"/>
        </w:tabs>
        <w:ind w:left="1135"/>
      </w:pPr>
      <w:r w:rsidRPr="007937F3">
        <w:t>21.</w:t>
      </w:r>
      <w:r w:rsidRPr="007937F3">
        <w:tab/>
      </w:r>
      <w:r w:rsidR="002F2AA2" w:rsidRPr="00991EE5">
        <w:rPr>
          <w:i/>
          <w:iCs/>
          <w:lang w:val="en-US"/>
        </w:rPr>
        <w:t>Emphasizes</w:t>
      </w:r>
      <w:r w:rsidR="002F2AA2" w:rsidRPr="00991EE5">
        <w:rPr>
          <w:lang w:val="en-US"/>
        </w:rPr>
        <w:t xml:space="preserve"> the urgency of scaled-up support for developing country Parties to implement the </w:t>
      </w:r>
      <w:r w:rsidR="002F2AA2" w:rsidRPr="00E77337">
        <w:rPr>
          <w:lang w:val="en-US"/>
        </w:rPr>
        <w:t xml:space="preserve">Lima work programme on gender and any subsequent </w:t>
      </w:r>
      <w:r w:rsidR="002F2AA2" w:rsidRPr="00991EE5">
        <w:rPr>
          <w:lang w:val="en-US"/>
        </w:rPr>
        <w:t>gender action plan, consistent with relevant provisions of the Convention</w:t>
      </w:r>
      <w:r w:rsidR="002F2AA2" w:rsidRPr="00E77337">
        <w:rPr>
          <w:lang w:val="en-US"/>
        </w:rPr>
        <w:t>;</w:t>
      </w:r>
    </w:p>
    <w:p w14:paraId="1FB4CEB5" w14:textId="30276740" w:rsidR="002F2AA2" w:rsidRPr="005F29A1" w:rsidRDefault="00BD5DB4" w:rsidP="00BD5DB4">
      <w:pPr>
        <w:pStyle w:val="RegSingleTxtG"/>
        <w:numPr>
          <w:ilvl w:val="0"/>
          <w:numId w:val="0"/>
        </w:numPr>
        <w:tabs>
          <w:tab w:val="left" w:pos="568"/>
        </w:tabs>
        <w:ind w:left="1135"/>
      </w:pPr>
      <w:bookmarkStart w:id="21" w:name="_Ref183026564"/>
      <w:r w:rsidRPr="005F29A1">
        <w:t>22.</w:t>
      </w:r>
      <w:r w:rsidRPr="005F29A1">
        <w:tab/>
      </w:r>
      <w:r w:rsidR="002F2AA2" w:rsidRPr="005F29A1">
        <w:rPr>
          <w:i/>
          <w:lang w:val="en-US"/>
        </w:rPr>
        <w:t xml:space="preserve">Requests </w:t>
      </w:r>
      <w:r w:rsidR="002F2AA2" w:rsidRPr="005F29A1">
        <w:rPr>
          <w:lang w:val="en-US"/>
        </w:rPr>
        <w:t>the secretariat to continue to:</w:t>
      </w:r>
      <w:bookmarkEnd w:id="21"/>
    </w:p>
    <w:p w14:paraId="766AB836" w14:textId="064C1752" w:rsidR="002F2AA2" w:rsidRPr="005F29A1" w:rsidRDefault="00BD5DB4" w:rsidP="00BD5DB4">
      <w:pPr>
        <w:pStyle w:val="RegSingleTxtG"/>
        <w:numPr>
          <w:ilvl w:val="0"/>
          <w:numId w:val="0"/>
        </w:numPr>
        <w:tabs>
          <w:tab w:val="left" w:pos="2269"/>
        </w:tabs>
        <w:ind w:left="1135" w:firstLine="567"/>
      </w:pPr>
      <w:r w:rsidRPr="005F29A1">
        <w:t>(a)</w:t>
      </w:r>
      <w:r w:rsidRPr="005F29A1">
        <w:tab/>
      </w:r>
      <w:r w:rsidR="002F2AA2" w:rsidRPr="005F29A1">
        <w:t xml:space="preserve">Maintain the position of senior gender focal point to retain relevant expertise and support and monitor the implementation of the enhanced Lima work programme on gender and </w:t>
      </w:r>
      <w:r w:rsidR="002F2AA2" w:rsidRPr="00E77337">
        <w:t>any subsequent</w:t>
      </w:r>
      <w:r w:rsidR="002F2AA2" w:rsidRPr="005F29A1">
        <w:t xml:space="preserve"> gender action plan;</w:t>
      </w:r>
    </w:p>
    <w:p w14:paraId="7729F43D" w14:textId="7D1E1658" w:rsidR="002F2AA2" w:rsidRPr="005F29A1" w:rsidRDefault="00BD5DB4" w:rsidP="00BD5DB4">
      <w:pPr>
        <w:pStyle w:val="RegSingleTxtG"/>
        <w:numPr>
          <w:ilvl w:val="0"/>
          <w:numId w:val="0"/>
        </w:numPr>
        <w:tabs>
          <w:tab w:val="left" w:pos="2269"/>
        </w:tabs>
        <w:ind w:left="1135" w:firstLine="567"/>
      </w:pPr>
      <w:r w:rsidRPr="005F29A1">
        <w:t>(b)</w:t>
      </w:r>
      <w:r w:rsidRPr="005F29A1">
        <w:tab/>
      </w:r>
      <w:r w:rsidR="002F2AA2" w:rsidRPr="005F29A1">
        <w:t>Prepare an annual gender composition report and a biennial synthesis report on progress in integrating a gender perspective into constituted body processes;</w:t>
      </w:r>
    </w:p>
    <w:p w14:paraId="1F8BB57C" w14:textId="23E0AB73" w:rsidR="002F2AA2" w:rsidRPr="005F29A1" w:rsidRDefault="00BD5DB4" w:rsidP="00BD5DB4">
      <w:pPr>
        <w:pStyle w:val="RegSingleTxtG"/>
        <w:numPr>
          <w:ilvl w:val="0"/>
          <w:numId w:val="0"/>
        </w:numPr>
        <w:tabs>
          <w:tab w:val="left" w:pos="2269"/>
        </w:tabs>
        <w:ind w:left="1135" w:firstLine="567"/>
      </w:pPr>
      <w:r w:rsidRPr="005F29A1">
        <w:t>(c)</w:t>
      </w:r>
      <w:r w:rsidRPr="005F29A1">
        <w:tab/>
      </w:r>
      <w:r w:rsidR="002F2AA2" w:rsidRPr="005F29A1">
        <w:t>Provide capacity-building support to constituted bodies and secretariat staff in integrating a gender perspective into their respective areas of work in collaboration with relevant organizations, as appropriate;</w:t>
      </w:r>
    </w:p>
    <w:p w14:paraId="4DBE0A1F" w14:textId="1772A2EA" w:rsidR="002F2AA2" w:rsidRPr="005F29A1" w:rsidRDefault="00BD5DB4" w:rsidP="00BD5DB4">
      <w:pPr>
        <w:pStyle w:val="RegSingleTxtG"/>
        <w:numPr>
          <w:ilvl w:val="0"/>
          <w:numId w:val="0"/>
        </w:numPr>
        <w:tabs>
          <w:tab w:val="left" w:pos="2269"/>
        </w:tabs>
        <w:ind w:left="1135" w:firstLine="567"/>
      </w:pPr>
      <w:r w:rsidRPr="005F29A1">
        <w:t>(d)</w:t>
      </w:r>
      <w:r w:rsidRPr="005F29A1">
        <w:tab/>
      </w:r>
      <w:r w:rsidR="002F2AA2" w:rsidRPr="005F29A1">
        <w:t xml:space="preserve">Facilitate coordination with other United Nations entities, intergovernmental organizations and non-governmental organizations when supporting the implementation of the enhanced Lima work programme on gender and </w:t>
      </w:r>
      <w:r w:rsidR="002F2AA2" w:rsidRPr="00E77337">
        <w:t>any subsequent</w:t>
      </w:r>
      <w:r w:rsidR="002F2AA2">
        <w:t xml:space="preserve"> gender action plan</w:t>
      </w:r>
      <w:r w:rsidR="002F2AA2" w:rsidRPr="005F29A1">
        <w:t>;</w:t>
      </w:r>
    </w:p>
    <w:p w14:paraId="0E972A52" w14:textId="37035F7A" w:rsidR="002F2AA2" w:rsidRDefault="00BD5DB4" w:rsidP="00BD5DB4">
      <w:pPr>
        <w:pStyle w:val="RegSingleTxtG"/>
        <w:numPr>
          <w:ilvl w:val="0"/>
          <w:numId w:val="0"/>
        </w:numPr>
        <w:tabs>
          <w:tab w:val="left" w:pos="2269"/>
        </w:tabs>
        <w:ind w:left="1135" w:firstLine="567"/>
      </w:pPr>
      <w:r>
        <w:t>(e)</w:t>
      </w:r>
      <w:r>
        <w:tab/>
      </w:r>
      <w:r w:rsidR="002F2AA2" w:rsidRPr="005F29A1">
        <w:t>Facilitate support for building and strengthening the skills and capacities of national gender and climate change focal points;</w:t>
      </w:r>
    </w:p>
    <w:p w14:paraId="583F4435" w14:textId="3B7FF5BE" w:rsidR="002F2AA2" w:rsidRPr="005F29A1" w:rsidRDefault="00BD5DB4" w:rsidP="00BD5DB4">
      <w:pPr>
        <w:pStyle w:val="RegSingleTxtG"/>
        <w:numPr>
          <w:ilvl w:val="0"/>
          <w:numId w:val="0"/>
        </w:numPr>
        <w:tabs>
          <w:tab w:val="left" w:pos="2269"/>
        </w:tabs>
        <w:ind w:left="1135" w:firstLine="567"/>
      </w:pPr>
      <w:r w:rsidRPr="005F29A1">
        <w:t>(f)</w:t>
      </w:r>
      <w:r w:rsidRPr="005F29A1">
        <w:tab/>
      </w:r>
      <w:r w:rsidR="002F2AA2" w:rsidRPr="00752FD0">
        <w:t>Support the attendance of national gender and climate change focal points</w:t>
      </w:r>
      <w:r w:rsidR="002F2AA2">
        <w:t xml:space="preserve"> </w:t>
      </w:r>
      <w:r w:rsidR="002F2AA2" w:rsidRPr="00752FD0">
        <w:t xml:space="preserve">at relevant mandated UNFCCC meetings, upon request and subject to </w:t>
      </w:r>
      <w:r w:rsidR="000F3B26">
        <w:t xml:space="preserve">the </w:t>
      </w:r>
      <w:r w:rsidR="002F2AA2" w:rsidRPr="00752FD0">
        <w:t>availab</w:t>
      </w:r>
      <w:r w:rsidR="009610A5">
        <w:t>ility</w:t>
      </w:r>
      <w:r w:rsidR="002F2AA2" w:rsidRPr="00752FD0">
        <w:t xml:space="preserve"> </w:t>
      </w:r>
      <w:r w:rsidR="009610A5">
        <w:t xml:space="preserve">of </w:t>
      </w:r>
      <w:r w:rsidR="002F2AA2" w:rsidRPr="00752FD0">
        <w:t>resources;</w:t>
      </w:r>
    </w:p>
    <w:p w14:paraId="0E289CD8" w14:textId="1B879586" w:rsidR="002F2AA2" w:rsidRPr="005F29A1" w:rsidRDefault="00BD5DB4" w:rsidP="00BD5DB4">
      <w:pPr>
        <w:pStyle w:val="RegSingleTxtG"/>
        <w:numPr>
          <w:ilvl w:val="0"/>
          <w:numId w:val="0"/>
        </w:numPr>
        <w:tabs>
          <w:tab w:val="left" w:pos="2269"/>
        </w:tabs>
        <w:ind w:left="1135" w:firstLine="567"/>
      </w:pPr>
      <w:r w:rsidRPr="005F29A1">
        <w:t>(g)</w:t>
      </w:r>
      <w:r w:rsidRPr="005F29A1">
        <w:tab/>
      </w:r>
      <w:r w:rsidR="002F2AA2" w:rsidRPr="005F29A1">
        <w:t>Enhance communication and information-sharing through existing UNFCCC web-based resources and communication activities;</w:t>
      </w:r>
    </w:p>
    <w:p w14:paraId="4715BA0C" w14:textId="53CA861B" w:rsidR="002F2AA2" w:rsidRPr="005F29A1" w:rsidRDefault="00BD5DB4" w:rsidP="00BD5DB4">
      <w:pPr>
        <w:pStyle w:val="RegSingleTxtG"/>
        <w:numPr>
          <w:ilvl w:val="0"/>
          <w:numId w:val="0"/>
        </w:numPr>
        <w:tabs>
          <w:tab w:val="left" w:pos="2269"/>
        </w:tabs>
        <w:ind w:left="1135" w:firstLine="567"/>
      </w:pPr>
      <w:r w:rsidRPr="005F29A1">
        <w:t>(h)</w:t>
      </w:r>
      <w:r w:rsidRPr="005F29A1">
        <w:tab/>
      </w:r>
      <w:r w:rsidR="002F2AA2" w:rsidRPr="005F29A1">
        <w:t>Participate in the United Nations System-</w:t>
      </w:r>
      <w:r w:rsidR="002F2AA2">
        <w:t>w</w:t>
      </w:r>
      <w:r w:rsidR="002F2AA2" w:rsidRPr="005F29A1">
        <w:t>ide Action Plan on Gender Equality and the Empowerment of Women to strengthen the integration of gender considerations within the organization and work of the secretariat;</w:t>
      </w:r>
    </w:p>
    <w:p w14:paraId="278F4550" w14:textId="5225D702" w:rsidR="002F2AA2" w:rsidRPr="00C04D82" w:rsidRDefault="00BD5DB4" w:rsidP="00BD5DB4">
      <w:pPr>
        <w:pStyle w:val="RegSingleTxtG"/>
        <w:numPr>
          <w:ilvl w:val="0"/>
          <w:numId w:val="0"/>
        </w:numPr>
        <w:tabs>
          <w:tab w:val="left" w:pos="568"/>
        </w:tabs>
        <w:ind w:left="1135"/>
      </w:pPr>
      <w:bookmarkStart w:id="22" w:name="_Ref183026570"/>
      <w:r w:rsidRPr="00C04D82">
        <w:t>23.</w:t>
      </w:r>
      <w:r w:rsidRPr="00C04D82">
        <w:tab/>
      </w:r>
      <w:r w:rsidR="002F2AA2">
        <w:rPr>
          <w:i/>
          <w:iCs/>
        </w:rPr>
        <w:t xml:space="preserve">Encourages </w:t>
      </w:r>
      <w:r w:rsidR="002F2AA2" w:rsidRPr="00C04D82">
        <w:t xml:space="preserve">the secretariat to consider </w:t>
      </w:r>
      <w:r w:rsidR="002F2AA2">
        <w:t>making sure all budget proposals have considered effects on gender equality in its own organizational structure, and to appoint</w:t>
      </w:r>
      <w:r w:rsidR="002F2AA2" w:rsidRPr="00C04D82">
        <w:t xml:space="preserve"> gender focal points in </w:t>
      </w:r>
      <w:r w:rsidR="002F2AA2">
        <w:t xml:space="preserve">relevant </w:t>
      </w:r>
      <w:r w:rsidR="002F2AA2" w:rsidRPr="00C04D82">
        <w:t>departments, provided this does not add to the overall cost but increases efficiency;</w:t>
      </w:r>
      <w:bookmarkEnd w:id="22"/>
    </w:p>
    <w:p w14:paraId="3E62D791" w14:textId="7D481A4C" w:rsidR="002F2AA2" w:rsidRDefault="00BD5DB4" w:rsidP="00BD5DB4">
      <w:pPr>
        <w:pStyle w:val="RegSingleTxtG"/>
        <w:numPr>
          <w:ilvl w:val="0"/>
          <w:numId w:val="0"/>
        </w:numPr>
        <w:tabs>
          <w:tab w:val="left" w:pos="568"/>
        </w:tabs>
        <w:ind w:left="1135"/>
      </w:pPr>
      <w:r>
        <w:t>24.</w:t>
      </w:r>
      <w:r>
        <w:tab/>
      </w:r>
      <w:r w:rsidR="002F2AA2" w:rsidRPr="005F29A1">
        <w:rPr>
          <w:i/>
        </w:rPr>
        <w:t>Invites</w:t>
      </w:r>
      <w:r w:rsidR="002F2AA2" w:rsidRPr="005F29A1">
        <w:t xml:space="preserve"> Parties to provide support </w:t>
      </w:r>
      <w:r w:rsidR="002F2AA2">
        <w:t>t</w:t>
      </w:r>
      <w:r w:rsidR="002F2AA2" w:rsidRPr="005F29A1">
        <w:t xml:space="preserve">o developing country Parties </w:t>
      </w:r>
      <w:r w:rsidR="002F2AA2">
        <w:t>f</w:t>
      </w:r>
      <w:r w:rsidR="002F2AA2" w:rsidRPr="005F29A1">
        <w:t>o</w:t>
      </w:r>
      <w:r w:rsidR="002F2AA2">
        <w:t>r</w:t>
      </w:r>
      <w:r w:rsidR="002F2AA2" w:rsidRPr="005F29A1">
        <w:t xml:space="preserve"> address</w:t>
      </w:r>
      <w:r w:rsidR="002F2AA2">
        <w:t>ing</w:t>
      </w:r>
      <w:r w:rsidR="002F2AA2" w:rsidRPr="005F29A1">
        <w:t xml:space="preserve"> gender-related action </w:t>
      </w:r>
      <w:r w:rsidR="002F2AA2">
        <w:t>under</w:t>
      </w:r>
      <w:r w:rsidR="002F2AA2" w:rsidRPr="005F29A1">
        <w:t xml:space="preserve"> the Convention</w:t>
      </w:r>
      <w:r w:rsidR="002F2AA2" w:rsidRPr="00E77337">
        <w:t>,</w:t>
      </w:r>
      <w:r w:rsidR="002F2AA2" w:rsidRPr="005F29A1">
        <w:t xml:space="preserve"> including </w:t>
      </w:r>
      <w:r w:rsidR="002F2AA2">
        <w:t xml:space="preserve">in relation to </w:t>
      </w:r>
      <w:r w:rsidR="002F2AA2" w:rsidRPr="005F29A1">
        <w:t xml:space="preserve">the </w:t>
      </w:r>
      <w:r w:rsidR="002F2AA2" w:rsidRPr="00E77337">
        <w:t>enhanced Lima work programme on gender and any subsequent</w:t>
      </w:r>
      <w:r w:rsidR="002F2AA2" w:rsidRPr="005F29A1">
        <w:t xml:space="preserve"> gender action plan</w:t>
      </w:r>
      <w:r w:rsidR="002F2AA2">
        <w:t>;</w:t>
      </w:r>
    </w:p>
    <w:p w14:paraId="70F4B6C8" w14:textId="783751C0" w:rsidR="002F2AA2" w:rsidRPr="00C519D7" w:rsidRDefault="00BD5DB4" w:rsidP="00BD5DB4">
      <w:pPr>
        <w:pStyle w:val="RegSingleTxtG"/>
        <w:numPr>
          <w:ilvl w:val="0"/>
          <w:numId w:val="0"/>
        </w:numPr>
        <w:tabs>
          <w:tab w:val="left" w:pos="568"/>
        </w:tabs>
        <w:ind w:left="1135"/>
      </w:pPr>
      <w:r w:rsidRPr="00C519D7">
        <w:t>25.</w:t>
      </w:r>
      <w:r w:rsidRPr="00C519D7">
        <w:tab/>
      </w:r>
      <w:r w:rsidR="002F2AA2" w:rsidRPr="00C519D7">
        <w:rPr>
          <w:i/>
          <w:iCs/>
        </w:rPr>
        <w:t>Encourages</w:t>
      </w:r>
      <w:r w:rsidR="002F2AA2" w:rsidRPr="00C519D7">
        <w:t xml:space="preserve"> Parties, the secretariat and relevant organizations, in implementing the enhanced Lima work programme on gender, to fully engage men and boys as agents and </w:t>
      </w:r>
      <w:r w:rsidR="002F2AA2" w:rsidRPr="00C519D7">
        <w:lastRenderedPageBreak/>
        <w:t>beneficiaries of change and as strategic partners and allies in achieving gender equality and the empowerment of all women and girls in the context of climate change;</w:t>
      </w:r>
    </w:p>
    <w:p w14:paraId="24A6ABE3" w14:textId="5DC8B792" w:rsidR="002F2AA2" w:rsidRPr="002F2AA2" w:rsidRDefault="00BD5DB4" w:rsidP="00BD5DB4">
      <w:pPr>
        <w:pStyle w:val="RegSingleTxtG"/>
        <w:numPr>
          <w:ilvl w:val="0"/>
          <w:numId w:val="0"/>
        </w:numPr>
        <w:tabs>
          <w:tab w:val="left" w:pos="568"/>
        </w:tabs>
        <w:ind w:left="1135"/>
      </w:pPr>
      <w:r w:rsidRPr="002F2AA2">
        <w:t>26.</w:t>
      </w:r>
      <w:r w:rsidRPr="002F2AA2">
        <w:tab/>
      </w:r>
      <w:r w:rsidR="002F2AA2" w:rsidRPr="00C519D7">
        <w:rPr>
          <w:i/>
          <w:iCs/>
          <w:lang w:val="en-US"/>
        </w:rPr>
        <w:t>Takes note</w:t>
      </w:r>
      <w:r w:rsidR="002F2AA2" w:rsidRPr="00C519D7">
        <w:rPr>
          <w:lang w:val="en-US"/>
        </w:rPr>
        <w:t xml:space="preserve"> of the estimated budgetary implications of</w:t>
      </w:r>
      <w:r w:rsidR="002F2AA2" w:rsidRPr="005F29A1">
        <w:rPr>
          <w:lang w:val="en-US"/>
        </w:rPr>
        <w:t xml:space="preserve"> the activities to be undertaken by the secretariat referred to in paragraph</w:t>
      </w:r>
      <w:r w:rsidR="002F2AA2">
        <w:rPr>
          <w:lang w:val="en-US"/>
        </w:rPr>
        <w:t>s</w:t>
      </w:r>
      <w:r w:rsidR="002F2AA2" w:rsidRPr="005F29A1">
        <w:rPr>
          <w:lang w:val="en-US"/>
        </w:rPr>
        <w:t xml:space="preserve"> </w:t>
      </w:r>
      <w:r w:rsidR="002F2AA2">
        <w:rPr>
          <w:lang w:val="en-US"/>
        </w:rPr>
        <w:t>14, 15, 16, 22 and 23 above;</w:t>
      </w:r>
    </w:p>
    <w:p w14:paraId="365C8959" w14:textId="205E53FC" w:rsidR="002F2AA2" w:rsidRPr="00616929" w:rsidRDefault="00BD5DB4" w:rsidP="00BD5DB4">
      <w:pPr>
        <w:pStyle w:val="RegSingleTxtG"/>
        <w:numPr>
          <w:ilvl w:val="0"/>
          <w:numId w:val="0"/>
        </w:numPr>
        <w:tabs>
          <w:tab w:val="left" w:pos="568"/>
        </w:tabs>
        <w:ind w:left="1135"/>
      </w:pPr>
      <w:r w:rsidRPr="00616929">
        <w:t>27.</w:t>
      </w:r>
      <w:r w:rsidRPr="00616929">
        <w:tab/>
      </w:r>
      <w:r w:rsidR="002F2AA2" w:rsidRPr="002F2AA2">
        <w:rPr>
          <w:i/>
          <w:lang w:val="en-US"/>
        </w:rPr>
        <w:t>Requests</w:t>
      </w:r>
      <w:r w:rsidR="002F2AA2" w:rsidRPr="002F2AA2">
        <w:rPr>
          <w:lang w:val="en-US"/>
        </w:rPr>
        <w:t xml:space="preserve"> that the actions of the secretariat called for in this decision be undertaken subject to the availability of financial resources.</w:t>
      </w:r>
    </w:p>
    <w:p w14:paraId="6E3A5D1C" w14:textId="6C8A72F7" w:rsidR="00616929" w:rsidRDefault="00FD25EF" w:rsidP="00616929">
      <w:pPr>
        <w:pStyle w:val="RegSingleTxtG"/>
        <w:numPr>
          <w:ilvl w:val="0"/>
          <w:numId w:val="0"/>
        </w:numPr>
        <w:spacing w:after="0"/>
        <w:ind w:left="1134"/>
        <w:jc w:val="right"/>
        <w:rPr>
          <w:i/>
          <w:lang w:val="en-US"/>
        </w:rPr>
      </w:pPr>
      <w:r>
        <w:rPr>
          <w:i/>
          <w:lang w:val="en-US"/>
        </w:rPr>
        <w:t>Resumed 11</w:t>
      </w:r>
      <w:r w:rsidRPr="00FD25EF">
        <w:rPr>
          <w:i/>
          <w:vertAlign w:val="superscript"/>
          <w:lang w:val="en-US"/>
        </w:rPr>
        <w:t>th</w:t>
      </w:r>
      <w:r>
        <w:rPr>
          <w:i/>
          <w:lang w:val="en-US"/>
        </w:rPr>
        <w:t xml:space="preserve"> </w:t>
      </w:r>
      <w:r w:rsidR="00616929">
        <w:rPr>
          <w:i/>
          <w:lang w:val="en-US"/>
        </w:rPr>
        <w:t>plenary meeting</w:t>
      </w:r>
    </w:p>
    <w:p w14:paraId="3F265564" w14:textId="5FA8289E" w:rsidR="00616929" w:rsidRDefault="00FD25EF" w:rsidP="00616929">
      <w:pPr>
        <w:pStyle w:val="RegSingleTxtG"/>
        <w:numPr>
          <w:ilvl w:val="0"/>
          <w:numId w:val="0"/>
        </w:numPr>
        <w:spacing w:after="0"/>
        <w:ind w:left="1134"/>
        <w:jc w:val="right"/>
      </w:pPr>
      <w:r>
        <w:rPr>
          <w:i/>
          <w:lang w:val="en-US"/>
        </w:rPr>
        <w:t>2</w:t>
      </w:r>
      <w:r w:rsidR="00CF1FC6">
        <w:rPr>
          <w:i/>
          <w:lang w:val="en-US"/>
        </w:rPr>
        <w:t>4</w:t>
      </w:r>
      <w:r w:rsidR="00616929">
        <w:rPr>
          <w:i/>
          <w:lang w:val="en-US"/>
        </w:rPr>
        <w:t xml:space="preserve"> November 2024</w:t>
      </w:r>
    </w:p>
    <w:p w14:paraId="545D6C97" w14:textId="77777777" w:rsidR="00616929" w:rsidRDefault="00616929" w:rsidP="00BD5DB4">
      <w:pPr>
        <w:pStyle w:val="RegHChG"/>
        <w:numPr>
          <w:ilvl w:val="0"/>
          <w:numId w:val="0"/>
        </w:numPr>
        <w:ind w:hanging="454"/>
      </w:pPr>
    </w:p>
    <w:p w14:paraId="1F1BCE86" w14:textId="42C87C88" w:rsidR="00616929" w:rsidRDefault="00BD5DB4" w:rsidP="00BD5DB4">
      <w:pPr>
        <w:pStyle w:val="RegHChG"/>
        <w:numPr>
          <w:ilvl w:val="0"/>
          <w:numId w:val="0"/>
        </w:numPr>
        <w:tabs>
          <w:tab w:val="left" w:pos="1135"/>
        </w:tabs>
        <w:ind w:left="1135" w:hanging="454"/>
        <w:sectPr w:rsidR="00616929" w:rsidSect="001C679A">
          <w:headerReference w:type="even" r:id="rId132"/>
          <w:headerReference w:type="default" r:id="rId133"/>
          <w:footerReference w:type="even" r:id="rId134"/>
          <w:footerReference w:type="default" r:id="rId135"/>
          <w:footnotePr>
            <w:numRestart w:val="eachSect"/>
          </w:footnotePr>
          <w:pgSz w:w="11906" w:h="16838" w:code="9"/>
          <w:pgMar w:top="1417" w:right="1134" w:bottom="1134" w:left="1134" w:header="850" w:footer="567" w:gutter="0"/>
          <w:cols w:space="708"/>
          <w:docGrid w:linePitch="360"/>
        </w:sectPr>
      </w:pPr>
      <w:r>
        <w:t>I.</w:t>
      </w:r>
      <w:r>
        <w:tab/>
      </w:r>
    </w:p>
    <w:p w14:paraId="5A012ECD" w14:textId="07C00FCF" w:rsidR="00C34B63" w:rsidRDefault="00C34B63" w:rsidP="00BD5DB4">
      <w:pPr>
        <w:pStyle w:val="RegHChG"/>
        <w:numPr>
          <w:ilvl w:val="0"/>
          <w:numId w:val="0"/>
        </w:numPr>
        <w:ind w:left="1135" w:hanging="454"/>
      </w:pPr>
      <w:bookmarkStart w:id="23" w:name="CP8"/>
      <w:r>
        <w:lastRenderedPageBreak/>
        <w:t>Decision 8/CP.29</w:t>
      </w:r>
      <w:bookmarkEnd w:id="23"/>
    </w:p>
    <w:p w14:paraId="0042B34B" w14:textId="77777777" w:rsidR="00153B66" w:rsidRPr="0007711D" w:rsidRDefault="00153B66" w:rsidP="00F7259E">
      <w:pPr>
        <w:pStyle w:val="HChG"/>
        <w:ind w:firstLine="0"/>
      </w:pPr>
      <w:r w:rsidRPr="00A51C38">
        <w:t>Warsaw International Mechanism for Loss and Damage associated with Climate Change Impacts and joint annual report of its Executive Committee and the Santiago network for averting, minimizing and addressing loss and damage associated with the adverse effects of climate change</w:t>
      </w:r>
    </w:p>
    <w:p w14:paraId="19E4FACC" w14:textId="77777777" w:rsidR="00153B66" w:rsidRPr="00FD0978" w:rsidRDefault="00153B66" w:rsidP="00E64C8E">
      <w:pPr>
        <w:pStyle w:val="RegSingleTxtG"/>
        <w:numPr>
          <w:ilvl w:val="0"/>
          <w:numId w:val="0"/>
        </w:numPr>
        <w:ind w:left="1134"/>
        <w:rPr>
          <w:i/>
          <w:iCs/>
        </w:rPr>
      </w:pPr>
      <w:r w:rsidRPr="00FD0978">
        <w:rPr>
          <w:i/>
          <w:iCs/>
        </w:rPr>
        <w:tab/>
        <w:t>The Conference of the Parties</w:t>
      </w:r>
      <w:r w:rsidRPr="00FD0978">
        <w:rPr>
          <w:rStyle w:val="FootnoteReference"/>
        </w:rPr>
        <w:footnoteReference w:id="56"/>
      </w:r>
    </w:p>
    <w:p w14:paraId="42E42F62" w14:textId="354C14D8" w:rsidR="006539EC" w:rsidRDefault="00BD5DB4" w:rsidP="00BD5DB4">
      <w:pPr>
        <w:pStyle w:val="RegSingleTxtG"/>
        <w:numPr>
          <w:ilvl w:val="0"/>
          <w:numId w:val="0"/>
        </w:numPr>
        <w:ind w:left="1134"/>
      </w:pPr>
      <w:r>
        <w:t>1.</w:t>
      </w:r>
      <w:r>
        <w:tab/>
      </w:r>
      <w:r w:rsidR="00153B66" w:rsidRPr="00FD0978">
        <w:t xml:space="preserve">Endorses decision </w:t>
      </w:r>
      <w:hyperlink r:id="rId136" w:history="1">
        <w:r w:rsidR="0033496D" w:rsidRPr="0033496D">
          <w:rPr>
            <w:rStyle w:val="Hyperlink"/>
          </w:rPr>
          <w:t>16</w:t>
        </w:r>
        <w:r w:rsidR="00153B66" w:rsidRPr="0033496D">
          <w:rPr>
            <w:rStyle w:val="Hyperlink"/>
          </w:rPr>
          <w:t>/CMA.6</w:t>
        </w:r>
      </w:hyperlink>
      <w:r w:rsidR="00153B66" w:rsidRPr="00FD0978">
        <w:t>, on</w:t>
      </w:r>
      <w:r w:rsidR="00153B66">
        <w:t xml:space="preserve"> the </w:t>
      </w:r>
      <w:r w:rsidR="00153B66" w:rsidRPr="00764852">
        <w:t>Warsaw International Mechanism for Loss and Damage associated with Climate Change Impacts and joint annual report of its Executive Committee and the Santiago network for averting, minimizing and addressing loss and damage associated with the adverse effects of climate change</w:t>
      </w:r>
      <w:r w:rsidR="00153B66">
        <w:t>,</w:t>
      </w:r>
      <w:r w:rsidR="00153B66" w:rsidRPr="00837D64">
        <w:rPr>
          <w:sz w:val="18"/>
          <w:szCs w:val="18"/>
          <w:vertAlign w:val="superscript"/>
        </w:rPr>
        <w:footnoteReference w:id="57"/>
      </w:r>
      <w:r w:rsidR="00153B66">
        <w:t xml:space="preserve"> which provides as follows:</w:t>
      </w:r>
    </w:p>
    <w:p w14:paraId="69D2AB4C" w14:textId="77777777" w:rsidR="004A346E" w:rsidRDefault="00AC4F8A" w:rsidP="004A346E">
      <w:pPr>
        <w:pStyle w:val="RegSingleTxtG"/>
        <w:numPr>
          <w:ilvl w:val="0"/>
          <w:numId w:val="0"/>
        </w:numPr>
        <w:ind w:left="1701"/>
      </w:pPr>
      <w:r w:rsidRPr="0052655E">
        <w:t>“1.</w:t>
      </w:r>
      <w:r w:rsidRPr="0052655E">
        <w:tab/>
      </w:r>
      <w:r w:rsidR="00153B66" w:rsidRPr="009B33AD">
        <w:rPr>
          <w:i/>
          <w:iCs/>
        </w:rPr>
        <w:t>Welcomes</w:t>
      </w:r>
      <w:r w:rsidR="00153B66" w:rsidRPr="00C70CCC">
        <w:t xml:space="preserve"> the progress of the Executive Committee of the Warsaw International Mechanism for Loss and Damage associated with Climate Change Impacts in implementing its rolling workplan </w:t>
      </w:r>
      <w:bookmarkStart w:id="24" w:name="_Hlk182902270"/>
      <w:r w:rsidR="00153B66" w:rsidRPr="00C70CCC">
        <w:t>for 2023–2027</w:t>
      </w:r>
      <w:bookmarkEnd w:id="24"/>
      <w:r w:rsidR="00153B66">
        <w:rPr>
          <w:rStyle w:val="FootnoteReference"/>
        </w:rPr>
        <w:footnoteReference w:id="58"/>
      </w:r>
      <w:r w:rsidR="00153B66" w:rsidRPr="00C70CCC">
        <w:t xml:space="preserve"> and the progress of the Advisory Board and the interim secretariat of the Santiago network for averting, minimizing and addressing loss and damage associated with the adverse effects of climate change in operationalizing the Santiago network</w:t>
      </w:r>
      <w:r w:rsidR="00153B66">
        <w:t>;</w:t>
      </w:r>
    </w:p>
    <w:p w14:paraId="1C09A1BB" w14:textId="5933EA22" w:rsidR="00153B66" w:rsidRDefault="004A346E" w:rsidP="004A346E">
      <w:pPr>
        <w:pStyle w:val="RegSingleTxtG"/>
        <w:numPr>
          <w:ilvl w:val="0"/>
          <w:numId w:val="0"/>
        </w:numPr>
        <w:ind w:left="1701"/>
      </w:pPr>
      <w:r w:rsidRPr="0052655E">
        <w:t>“2.</w:t>
      </w:r>
      <w:r w:rsidRPr="0052655E">
        <w:tab/>
      </w:r>
      <w:r w:rsidR="00153B66" w:rsidRPr="00C70CCC">
        <w:rPr>
          <w:i/>
          <w:iCs/>
        </w:rPr>
        <w:t>Adopts</w:t>
      </w:r>
      <w:r w:rsidR="00153B66" w:rsidRPr="00C70CCC">
        <w:t xml:space="preserve"> the rules of procedure of the Advisory Board of the Santiago network, as contained in the </w:t>
      </w:r>
      <w:r w:rsidR="00153B66" w:rsidRPr="00B732D8">
        <w:t>annex</w:t>
      </w:r>
      <w:r w:rsidR="00153B66">
        <w:t>;</w:t>
      </w:r>
    </w:p>
    <w:p w14:paraId="388E55E1" w14:textId="1C83BC5B" w:rsidR="00153B66" w:rsidRPr="00C70CCC" w:rsidRDefault="004A346E" w:rsidP="004A346E">
      <w:pPr>
        <w:pStyle w:val="RegSingleTxtG"/>
        <w:numPr>
          <w:ilvl w:val="0"/>
          <w:numId w:val="0"/>
        </w:numPr>
        <w:ind w:left="1701"/>
      </w:pPr>
      <w:r w:rsidRPr="0052655E">
        <w:t>“3.</w:t>
      </w:r>
      <w:r w:rsidRPr="0052655E">
        <w:tab/>
      </w:r>
      <w:r w:rsidR="00153B66" w:rsidRPr="00C70CCC">
        <w:rPr>
          <w:i/>
          <w:iCs/>
        </w:rPr>
        <w:t>Expresses appreciation</w:t>
      </w:r>
      <w:r w:rsidR="00153B66" w:rsidRPr="00C70CCC">
        <w:t xml:space="preserve"> to the</w:t>
      </w:r>
      <w:r w:rsidR="00153B66">
        <w:t xml:space="preserve"> organizations, </w:t>
      </w:r>
      <w:r w:rsidR="00153B66" w:rsidRPr="00C70CCC">
        <w:t xml:space="preserve">constituted bodies under the Convention and the Paris Agreement and other stakeholders that have </w:t>
      </w:r>
      <w:r w:rsidR="00153B66">
        <w:t>contributed to</w:t>
      </w:r>
      <w:r w:rsidR="00153B66" w:rsidRPr="00C70CCC">
        <w:t xml:space="preserve"> the implementation of the rolling workplan of the Executive Committee</w:t>
      </w:r>
      <w:r w:rsidR="00153B66">
        <w:t xml:space="preserve"> </w:t>
      </w:r>
      <w:r w:rsidR="00153B66" w:rsidRPr="00E161B9">
        <w:t>for 2023–</w:t>
      </w:r>
      <w:r w:rsidR="00153B66">
        <w:t>‍</w:t>
      </w:r>
      <w:r w:rsidR="00153B66" w:rsidRPr="00E161B9">
        <w:t>2027</w:t>
      </w:r>
      <w:r w:rsidR="00153B66" w:rsidRPr="00C70CCC">
        <w:t>,</w:t>
      </w:r>
      <w:r w:rsidR="00153B66" w:rsidRPr="00A0319C">
        <w:t xml:space="preserve"> </w:t>
      </w:r>
      <w:r w:rsidR="00153B66" w:rsidRPr="00C70CCC">
        <w:t>including</w:t>
      </w:r>
      <w:r w:rsidR="00153B66">
        <w:t xml:space="preserve"> through </w:t>
      </w:r>
      <w:r w:rsidR="00153B66" w:rsidRPr="00C70CCC">
        <w:t>its thematic expert groups, and to the organizations, bodies, networks and experts that have</w:t>
      </w:r>
      <w:r w:rsidR="00153B66">
        <w:t xml:space="preserve"> become or</w:t>
      </w:r>
      <w:r w:rsidR="00153B66" w:rsidRPr="00C70CCC">
        <w:t xml:space="preserve"> expressed </w:t>
      </w:r>
      <w:r w:rsidR="00153B66">
        <w:t>an</w:t>
      </w:r>
      <w:r w:rsidR="00153B66" w:rsidRPr="00C70CCC">
        <w:t xml:space="preserve"> interest in becoming members of the Santiago network;</w:t>
      </w:r>
    </w:p>
    <w:p w14:paraId="47817580" w14:textId="786FB687" w:rsidR="00153B66" w:rsidRDefault="004A346E" w:rsidP="004A346E">
      <w:pPr>
        <w:pStyle w:val="RegSingleTxtG"/>
        <w:numPr>
          <w:ilvl w:val="0"/>
          <w:numId w:val="0"/>
        </w:numPr>
        <w:ind w:left="1701"/>
      </w:pPr>
      <w:r w:rsidRPr="0052655E">
        <w:t>“4.</w:t>
      </w:r>
      <w:r w:rsidRPr="0052655E">
        <w:tab/>
      </w:r>
      <w:r w:rsidR="00153B66" w:rsidRPr="00C70CCC">
        <w:rPr>
          <w:i/>
          <w:iCs/>
        </w:rPr>
        <w:t>R</w:t>
      </w:r>
      <w:r w:rsidR="00153B66">
        <w:rPr>
          <w:i/>
          <w:iCs/>
        </w:rPr>
        <w:t>e</w:t>
      </w:r>
      <w:r w:rsidR="00153B66" w:rsidRPr="00C70CCC">
        <w:rPr>
          <w:i/>
          <w:iCs/>
        </w:rPr>
        <w:t xml:space="preserve">quests </w:t>
      </w:r>
      <w:r w:rsidR="00153B66" w:rsidRPr="00C70CCC">
        <w:t xml:space="preserve">the subsidiary bodies to continue consideration of the </w:t>
      </w:r>
      <w:r w:rsidR="00153B66" w:rsidRPr="005B30F6">
        <w:rPr>
          <w:rStyle w:val="Strong"/>
          <w:b w:val="0"/>
          <w:bCs w:val="0"/>
        </w:rPr>
        <w:t>2024</w:t>
      </w:r>
      <w:r w:rsidR="00153B66" w:rsidRPr="00C70CCC">
        <w:rPr>
          <w:rStyle w:val="Strong"/>
        </w:rPr>
        <w:t xml:space="preserve"> </w:t>
      </w:r>
      <w:r w:rsidR="00153B66" w:rsidRPr="000714D6">
        <w:t xml:space="preserve">joint </w:t>
      </w:r>
      <w:r w:rsidR="00153B66" w:rsidRPr="000714D6" w:rsidDel="009A374E">
        <w:t xml:space="preserve">annual </w:t>
      </w:r>
      <w:r w:rsidR="00153B66" w:rsidRPr="000714D6">
        <w:t>report of the</w:t>
      </w:r>
      <w:r w:rsidR="00153B66" w:rsidRPr="00C70CCC">
        <w:rPr>
          <w:b/>
          <w:bCs/>
        </w:rPr>
        <w:t xml:space="preserve"> </w:t>
      </w:r>
      <w:r w:rsidR="00153B66" w:rsidRPr="005B30F6">
        <w:rPr>
          <w:rStyle w:val="Strong"/>
          <w:b w:val="0"/>
          <w:bCs w:val="0"/>
        </w:rPr>
        <w:t>Executive Committee</w:t>
      </w:r>
      <w:r w:rsidR="00153B66" w:rsidRPr="00C70CCC">
        <w:rPr>
          <w:rStyle w:val="Strong"/>
        </w:rPr>
        <w:t xml:space="preserve"> </w:t>
      </w:r>
      <w:r w:rsidR="00153B66" w:rsidRPr="000714D6">
        <w:t>and</w:t>
      </w:r>
      <w:r w:rsidR="00153B66">
        <w:t xml:space="preserve"> the</w:t>
      </w:r>
      <w:r w:rsidR="00153B66" w:rsidRPr="00C70CCC">
        <w:rPr>
          <w:b/>
          <w:bCs/>
        </w:rPr>
        <w:t xml:space="preserve"> </w:t>
      </w:r>
      <w:r w:rsidR="00153B66" w:rsidRPr="005B30F6">
        <w:rPr>
          <w:rStyle w:val="Strong"/>
          <w:b w:val="0"/>
          <w:bCs w:val="0"/>
        </w:rPr>
        <w:t>Santiago network</w:t>
      </w:r>
      <w:r w:rsidR="00153B66">
        <w:rPr>
          <w:rStyle w:val="FootnoteReference"/>
        </w:rPr>
        <w:footnoteReference w:id="59"/>
      </w:r>
      <w:r w:rsidR="00153B66" w:rsidRPr="00C70CCC">
        <w:t xml:space="preserve"> and the</w:t>
      </w:r>
      <w:r w:rsidR="00153B66">
        <w:t xml:space="preserve"> 2024</w:t>
      </w:r>
      <w:r w:rsidR="00153B66" w:rsidRPr="00C70CCC">
        <w:t xml:space="preserve"> review of the W</w:t>
      </w:r>
      <w:r w:rsidR="00153B66">
        <w:t xml:space="preserve">arsaw </w:t>
      </w:r>
      <w:r w:rsidR="00153B66" w:rsidRPr="00C70CCC">
        <w:t>I</w:t>
      </w:r>
      <w:r w:rsidR="00153B66">
        <w:t xml:space="preserve">nternational </w:t>
      </w:r>
      <w:r w:rsidR="00153B66" w:rsidRPr="00C70CCC">
        <w:t>M</w:t>
      </w:r>
      <w:r w:rsidR="00153B66">
        <w:t>echanism</w:t>
      </w:r>
      <w:r w:rsidR="00153B66" w:rsidRPr="00C70CCC">
        <w:t xml:space="preserve"> at their sixty-second sessions </w:t>
      </w:r>
      <w:r w:rsidR="00153B66">
        <w:t>(June 2025)</w:t>
      </w:r>
      <w:r w:rsidR="00153B66" w:rsidRPr="00C70CCC">
        <w:t xml:space="preserve"> </w:t>
      </w:r>
      <w:r w:rsidR="00153B66">
        <w:t>with a view to</w:t>
      </w:r>
      <w:r w:rsidR="00153B66" w:rsidRPr="00C70CCC">
        <w:t xml:space="preserve"> recommend</w:t>
      </w:r>
      <w:r w:rsidR="00153B66">
        <w:t>ing</w:t>
      </w:r>
      <w:r w:rsidR="00153B66" w:rsidRPr="00C70CCC">
        <w:t xml:space="preserve"> a draft decision or decisions thereon </w:t>
      </w:r>
      <w:r w:rsidR="00153B66">
        <w:t>for consideration and adoption by</w:t>
      </w:r>
      <w:r w:rsidR="00153B66" w:rsidRPr="00C70CCC">
        <w:t xml:space="preserve"> the governing body or bodies at the session</w:t>
      </w:r>
      <w:r w:rsidR="00153B66">
        <w:t>(</w:t>
      </w:r>
      <w:r w:rsidR="00153B66" w:rsidRPr="00C70CCC">
        <w:t>s</w:t>
      </w:r>
      <w:r w:rsidR="00153B66">
        <w:t>)</w:t>
      </w:r>
      <w:r w:rsidR="00153B66" w:rsidRPr="00C70CCC">
        <w:t xml:space="preserve"> to be held in November 2025</w:t>
      </w:r>
      <w:r w:rsidR="00153B66">
        <w:t>;</w:t>
      </w:r>
    </w:p>
    <w:p w14:paraId="4C858465" w14:textId="2E25A986" w:rsidR="00153B66" w:rsidRDefault="004A346E" w:rsidP="004A346E">
      <w:pPr>
        <w:pStyle w:val="RegSingleTxtG"/>
        <w:numPr>
          <w:ilvl w:val="0"/>
          <w:numId w:val="0"/>
        </w:numPr>
        <w:ind w:left="1701"/>
      </w:pPr>
      <w:r w:rsidRPr="003D0758">
        <w:t>“5.</w:t>
      </w:r>
      <w:r w:rsidRPr="003D0758">
        <w:tab/>
      </w:r>
      <w:r w:rsidR="00153B66" w:rsidRPr="009E642D">
        <w:rPr>
          <w:i/>
          <w:iCs/>
        </w:rPr>
        <w:t>Notes</w:t>
      </w:r>
      <w:r w:rsidR="00153B66" w:rsidRPr="009E642D">
        <w:t xml:space="preserve"> that considerations related to the governance of the Warsaw International Mechanism will continue at its s</w:t>
      </w:r>
      <w:r w:rsidR="00153B66">
        <w:t>eventh</w:t>
      </w:r>
      <w:r w:rsidR="00153B66" w:rsidRPr="009E642D">
        <w:t xml:space="preserve"> session (November 2025).</w:t>
      </w:r>
      <w:r w:rsidR="00153B66" w:rsidRPr="009E642D">
        <w:rPr>
          <w:rStyle w:val="FootnoteReference"/>
        </w:rPr>
        <w:footnoteReference w:id="60"/>
      </w:r>
      <w:r w:rsidR="00153B66">
        <w:t>”</w:t>
      </w:r>
    </w:p>
    <w:p w14:paraId="5AE78E15" w14:textId="45ADBD83" w:rsidR="0085606F" w:rsidRDefault="00BD5DB4" w:rsidP="00BD5DB4">
      <w:pPr>
        <w:pStyle w:val="RegSingleTxtG"/>
        <w:numPr>
          <w:ilvl w:val="0"/>
          <w:numId w:val="0"/>
        </w:numPr>
        <w:ind w:left="1134"/>
      </w:pPr>
      <w:r>
        <w:t>2.</w:t>
      </w:r>
      <w:r>
        <w:tab/>
      </w:r>
      <w:r w:rsidR="00153B66" w:rsidRPr="005B30F6">
        <w:rPr>
          <w:i/>
          <w:iCs/>
        </w:rPr>
        <w:t>Notes</w:t>
      </w:r>
      <w:r w:rsidR="00153B66">
        <w:t xml:space="preserve"> that considerations related to the governance of the Warsaw International Mechanism will continue at its thirtieth session (November 2025).</w:t>
      </w:r>
      <w:r w:rsidR="00153B66" w:rsidRPr="00837D64">
        <w:rPr>
          <w:sz w:val="18"/>
          <w:szCs w:val="18"/>
          <w:vertAlign w:val="superscript"/>
        </w:rPr>
        <w:footnoteReference w:id="61"/>
      </w:r>
      <w:r w:rsidR="0085606F">
        <w:br w:type="page"/>
      </w:r>
    </w:p>
    <w:p w14:paraId="67760B91" w14:textId="77777777" w:rsidR="00F62599" w:rsidRDefault="00F62599" w:rsidP="00F62599">
      <w:pPr>
        <w:pStyle w:val="HChG"/>
        <w:pageBreakBefore/>
        <w:spacing w:before="0"/>
      </w:pPr>
      <w:r>
        <w:lastRenderedPageBreak/>
        <w:t>Annex</w:t>
      </w:r>
      <w:r w:rsidRPr="00FD0978">
        <w:rPr>
          <w:rStyle w:val="FootnoteReference"/>
          <w:sz w:val="24"/>
          <w:szCs w:val="24"/>
          <w:vertAlign w:val="baseline"/>
        </w:rPr>
        <w:footnoteReference w:customMarkFollows="1" w:id="62"/>
        <w:t>*</w:t>
      </w:r>
    </w:p>
    <w:p w14:paraId="36A6ACFE" w14:textId="77777777" w:rsidR="00F62599" w:rsidRDefault="00F62599" w:rsidP="00F62599">
      <w:pPr>
        <w:pStyle w:val="HChG"/>
        <w:tabs>
          <w:tab w:val="left" w:pos="720"/>
        </w:tabs>
        <w:ind w:firstLine="0"/>
        <w:rPr>
          <w:rStyle w:val="FootnoteReference"/>
          <w:b w:val="0"/>
          <w:bCs/>
          <w:spacing w:val="-2"/>
          <w:sz w:val="24"/>
          <w:szCs w:val="24"/>
          <w:vertAlign w:val="baseline"/>
        </w:rPr>
      </w:pPr>
      <w:r w:rsidRPr="00C157FE">
        <w:rPr>
          <w:spacing w:val="-2"/>
        </w:rPr>
        <w:t>Rules of procedure of the Advisory Board of the Santiago network for averting, minimizing and addressing loss and damage associated with the adverse effects of climate change</w:t>
      </w:r>
      <w:r w:rsidRPr="004A2C05">
        <w:rPr>
          <w:rStyle w:val="FootnoteReference"/>
          <w:b w:val="0"/>
          <w:bCs/>
          <w:spacing w:val="-2"/>
          <w:sz w:val="24"/>
          <w:szCs w:val="24"/>
          <w:vertAlign w:val="baseline"/>
        </w:rPr>
        <w:footnoteReference w:customMarkFollows="1" w:id="63"/>
        <w:t>**</w:t>
      </w:r>
    </w:p>
    <w:p w14:paraId="52877657" w14:textId="75793330" w:rsidR="00F62599" w:rsidRPr="00025EFC" w:rsidRDefault="00BD5DB4" w:rsidP="00BD5DB4">
      <w:pPr>
        <w:pStyle w:val="RegHChG"/>
        <w:numPr>
          <w:ilvl w:val="0"/>
          <w:numId w:val="0"/>
        </w:numPr>
        <w:tabs>
          <w:tab w:val="left" w:pos="1135"/>
        </w:tabs>
        <w:ind w:left="1135" w:hanging="454"/>
        <w:rPr>
          <w:rFonts w:eastAsia="Times New Roman"/>
          <w:color w:val="000000"/>
          <w:kern w:val="2"/>
          <w:szCs w:val="24"/>
          <w:lang w:val="en-US" w:eastAsia="en-US"/>
          <w14:ligatures w14:val="standardContextual"/>
        </w:rPr>
      </w:pPr>
      <w:r w:rsidRPr="00025EFC">
        <w:rPr>
          <w:rFonts w:eastAsia="Times New Roman"/>
          <w:color w:val="000000"/>
          <w:kern w:val="2"/>
          <w:szCs w:val="24"/>
          <w:lang w:val="en-US" w:eastAsia="en-US"/>
          <w14:ligatures w14:val="standardContextual"/>
        </w:rPr>
        <w:t>I.</w:t>
      </w:r>
      <w:r w:rsidRPr="00025EFC">
        <w:rPr>
          <w:rFonts w:eastAsia="Times New Roman"/>
          <w:color w:val="000000"/>
          <w:kern w:val="2"/>
          <w:szCs w:val="24"/>
          <w:lang w:val="en-US" w:eastAsia="en-US"/>
          <w14:ligatures w14:val="standardContextual"/>
        </w:rPr>
        <w:tab/>
      </w:r>
      <w:r w:rsidR="00F62599" w:rsidRPr="00025EFC">
        <w:rPr>
          <w:rFonts w:eastAsia="Times New Roman"/>
          <w:color w:val="000000"/>
          <w:kern w:val="2"/>
          <w:szCs w:val="24"/>
          <w:lang w:val="en-US" w:eastAsia="en-US"/>
          <w14:ligatures w14:val="standardContextual"/>
        </w:rPr>
        <w:t>Scope</w:t>
      </w:r>
    </w:p>
    <w:p w14:paraId="31D3C21F" w14:textId="2F6FF791" w:rsidR="00F62599" w:rsidRDefault="00BD5DB4" w:rsidP="00BD5DB4">
      <w:pPr>
        <w:pStyle w:val="RegSingleTxtG"/>
        <w:numPr>
          <w:ilvl w:val="0"/>
          <w:numId w:val="0"/>
        </w:numPr>
        <w:ind w:left="1134"/>
      </w:pPr>
      <w:r>
        <w:t>1.</w:t>
      </w:r>
      <w:r>
        <w:tab/>
      </w:r>
      <w:r w:rsidR="00F62599">
        <w:t xml:space="preserve">These rules and procedures shall apply to the Advisory Board of the Santiago network (the “Advisory Board”) in accordance with decision </w:t>
      </w:r>
      <w:hyperlink r:id="rId137" w:history="1">
        <w:r w:rsidR="00F62599" w:rsidRPr="00B26B88">
          <w:rPr>
            <w:rStyle w:val="Hyperlink"/>
          </w:rPr>
          <w:t>12/CMA.4</w:t>
        </w:r>
      </w:hyperlink>
      <w:r w:rsidR="00F62599">
        <w:t xml:space="preserve">, endorsed by decision </w:t>
      </w:r>
      <w:hyperlink r:id="rId138" w:history="1">
        <w:r w:rsidR="00F62599" w:rsidRPr="00B26B88">
          <w:rPr>
            <w:rStyle w:val="Hyperlink"/>
          </w:rPr>
          <w:t>11/CP.27</w:t>
        </w:r>
      </w:hyperlink>
      <w:r w:rsidR="00F62599">
        <w:t xml:space="preserve">, and decision </w:t>
      </w:r>
      <w:hyperlink r:id="rId139" w:history="1">
        <w:r w:rsidR="00F62599" w:rsidRPr="00B26B88">
          <w:rPr>
            <w:rStyle w:val="Hyperlink"/>
          </w:rPr>
          <w:t>6/CMA.5</w:t>
        </w:r>
      </w:hyperlink>
      <w:r w:rsidR="00F62599">
        <w:t xml:space="preserve">, endorsed by decision </w:t>
      </w:r>
      <w:hyperlink r:id="rId140" w:history="1">
        <w:r w:rsidR="00F62599" w:rsidRPr="00B26B88">
          <w:rPr>
            <w:rStyle w:val="Hyperlink"/>
          </w:rPr>
          <w:t>2/CP.28</w:t>
        </w:r>
      </w:hyperlink>
      <w:r w:rsidR="00F62599">
        <w:t>, as well as any other relevant decisions of the governing body or bodies.</w:t>
      </w:r>
    </w:p>
    <w:p w14:paraId="23CAE2ED" w14:textId="0EECD9E6" w:rsidR="00F62599" w:rsidRDefault="00BD5DB4" w:rsidP="00BD5DB4">
      <w:pPr>
        <w:pStyle w:val="RegHChG"/>
        <w:numPr>
          <w:ilvl w:val="0"/>
          <w:numId w:val="0"/>
        </w:numPr>
        <w:tabs>
          <w:tab w:val="left" w:pos="1135"/>
        </w:tabs>
        <w:ind w:left="1135" w:hanging="454"/>
        <w:rPr>
          <w:rFonts w:eastAsia="Times New Roman"/>
          <w:color w:val="000000"/>
          <w:kern w:val="2"/>
          <w:szCs w:val="24"/>
          <w:lang w:val="en-US" w:eastAsia="en-US"/>
          <w14:ligatures w14:val="standardContextual"/>
        </w:rPr>
      </w:pPr>
      <w:r>
        <w:rPr>
          <w:rFonts w:eastAsia="Times New Roman"/>
          <w:color w:val="000000"/>
          <w:kern w:val="2"/>
          <w:szCs w:val="24"/>
          <w:lang w:val="en-US" w:eastAsia="en-US"/>
          <w14:ligatures w14:val="standardContextual"/>
        </w:rPr>
        <w:t>II.</w:t>
      </w:r>
      <w:r>
        <w:rPr>
          <w:rFonts w:eastAsia="Times New Roman"/>
          <w:color w:val="000000"/>
          <w:kern w:val="2"/>
          <w:szCs w:val="24"/>
          <w:lang w:val="en-US" w:eastAsia="en-US"/>
          <w14:ligatures w14:val="standardContextual"/>
        </w:rPr>
        <w:tab/>
      </w:r>
      <w:r w:rsidR="00F62599">
        <w:rPr>
          <w:rFonts w:eastAsia="Times New Roman"/>
          <w:color w:val="000000"/>
          <w:kern w:val="2"/>
          <w:szCs w:val="24"/>
          <w:lang w:val="en-US" w:eastAsia="en-US"/>
          <w14:ligatures w14:val="standardContextual"/>
        </w:rPr>
        <w:t>Definitions</w:t>
      </w:r>
    </w:p>
    <w:p w14:paraId="39705266" w14:textId="4F125FAA" w:rsidR="00F62599" w:rsidRDefault="00BD5DB4" w:rsidP="00BD5DB4">
      <w:pPr>
        <w:pStyle w:val="RegSingleTxtG"/>
        <w:numPr>
          <w:ilvl w:val="0"/>
          <w:numId w:val="0"/>
        </w:numPr>
        <w:ind w:left="1134"/>
        <w:rPr>
          <w:lang w:val="en-US" w:eastAsia="en-US"/>
        </w:rPr>
      </w:pPr>
      <w:r>
        <w:rPr>
          <w:lang w:val="en-US" w:eastAsia="en-US"/>
        </w:rPr>
        <w:t>2.</w:t>
      </w:r>
      <w:r>
        <w:rPr>
          <w:lang w:val="en-US" w:eastAsia="en-US"/>
        </w:rPr>
        <w:tab/>
      </w:r>
      <w:r w:rsidR="00F62599">
        <w:rPr>
          <w:lang w:val="en-US" w:eastAsia="en-US"/>
        </w:rPr>
        <w:t>For the purpose of these rules:</w:t>
      </w:r>
    </w:p>
    <w:p w14:paraId="2515E4A7" w14:textId="762A47D3" w:rsidR="00F62599" w:rsidRDefault="00BD5DB4" w:rsidP="00BD5DB4">
      <w:pPr>
        <w:pStyle w:val="RegSingleTxtG2"/>
        <w:numPr>
          <w:ilvl w:val="0"/>
          <w:numId w:val="0"/>
        </w:numPr>
        <w:tabs>
          <w:tab w:val="left" w:pos="1702"/>
        </w:tabs>
        <w:ind w:left="1134" w:firstLine="567"/>
        <w:rPr>
          <w:lang w:val="en-US" w:eastAsia="en-US"/>
        </w:rPr>
      </w:pPr>
      <w:r>
        <w:rPr>
          <w:szCs w:val="28"/>
          <w:lang w:val="en-US" w:eastAsia="en-US"/>
        </w:rPr>
        <w:t>(a)</w:t>
      </w:r>
      <w:r>
        <w:rPr>
          <w:szCs w:val="28"/>
          <w:lang w:val="en-US" w:eastAsia="en-US"/>
        </w:rPr>
        <w:tab/>
      </w:r>
      <w:r w:rsidR="00F62599">
        <w:rPr>
          <w:lang w:val="en-US" w:eastAsia="en-US"/>
        </w:rPr>
        <w:t>“Co-chairs” means the members of the Santiago network elected as co-chairs of the Advisory Board of the Santiago network;</w:t>
      </w:r>
    </w:p>
    <w:p w14:paraId="53F1AD17" w14:textId="74E451FD" w:rsidR="00F62599" w:rsidRDefault="00BD5DB4" w:rsidP="00BD5DB4">
      <w:pPr>
        <w:pStyle w:val="RegSingleTxtG2"/>
        <w:numPr>
          <w:ilvl w:val="0"/>
          <w:numId w:val="0"/>
        </w:numPr>
        <w:tabs>
          <w:tab w:val="left" w:pos="1702"/>
        </w:tabs>
        <w:ind w:left="1134" w:firstLine="567"/>
        <w:rPr>
          <w:lang w:val="en-US" w:eastAsia="en-US"/>
        </w:rPr>
      </w:pPr>
      <w:r>
        <w:rPr>
          <w:szCs w:val="28"/>
          <w:lang w:val="en-US" w:eastAsia="en-US"/>
        </w:rPr>
        <w:t>(b)</w:t>
      </w:r>
      <w:r>
        <w:rPr>
          <w:szCs w:val="28"/>
          <w:lang w:val="en-US" w:eastAsia="en-US"/>
        </w:rPr>
        <w:tab/>
      </w:r>
      <w:r w:rsidR="00F62599">
        <w:rPr>
          <w:lang w:val="en-US" w:eastAsia="en-US"/>
        </w:rPr>
        <w:t xml:space="preserve">“Secretariat” means the secretariat referred to in paragraph 3(a) of decision </w:t>
      </w:r>
      <w:hyperlink r:id="rId141" w:history="1">
        <w:r w:rsidR="00F62599" w:rsidRPr="00B26B88">
          <w:rPr>
            <w:rStyle w:val="Hyperlink"/>
            <w:lang w:val="en-US" w:eastAsia="en-US"/>
          </w:rPr>
          <w:t>12/CMA.4</w:t>
        </w:r>
      </w:hyperlink>
      <w:r w:rsidR="00F62599">
        <w:rPr>
          <w:lang w:val="en-US" w:eastAsia="en-US"/>
        </w:rPr>
        <w:t xml:space="preserve">, endorsed by decision </w:t>
      </w:r>
      <w:hyperlink r:id="rId142" w:history="1">
        <w:r w:rsidR="00F62599" w:rsidRPr="00B26B88">
          <w:rPr>
            <w:rStyle w:val="Hyperlink"/>
            <w:lang w:val="en-US" w:eastAsia="en-US"/>
          </w:rPr>
          <w:t>11/CP.27</w:t>
        </w:r>
      </w:hyperlink>
      <w:r w:rsidR="00F62599">
        <w:rPr>
          <w:lang w:val="en-US" w:eastAsia="en-US"/>
        </w:rPr>
        <w:t>, as a hosted secretariat, and also in the Terms of Reference of the Santiago network, in Annex I of the same decisions.</w:t>
      </w:r>
    </w:p>
    <w:p w14:paraId="798A1DB3" w14:textId="30A63FA4" w:rsidR="00F62599" w:rsidRDefault="00BD5DB4" w:rsidP="00BD5DB4">
      <w:pPr>
        <w:pStyle w:val="RegHChG"/>
        <w:numPr>
          <w:ilvl w:val="0"/>
          <w:numId w:val="0"/>
        </w:numPr>
        <w:tabs>
          <w:tab w:val="left" w:pos="1135"/>
        </w:tabs>
        <w:ind w:left="1135" w:hanging="454"/>
        <w:rPr>
          <w:rFonts w:eastAsia="Times New Roman"/>
          <w:color w:val="000000"/>
          <w:kern w:val="2"/>
          <w:szCs w:val="24"/>
          <w:lang w:val="en-US" w:eastAsia="en-US"/>
          <w14:ligatures w14:val="standardContextual"/>
        </w:rPr>
      </w:pPr>
      <w:r>
        <w:rPr>
          <w:rFonts w:eastAsia="Times New Roman"/>
          <w:color w:val="000000"/>
          <w:kern w:val="2"/>
          <w:szCs w:val="24"/>
          <w:lang w:val="en-US" w:eastAsia="en-US"/>
          <w14:ligatures w14:val="standardContextual"/>
        </w:rPr>
        <w:t>III.</w:t>
      </w:r>
      <w:r>
        <w:rPr>
          <w:rFonts w:eastAsia="Times New Roman"/>
          <w:color w:val="000000"/>
          <w:kern w:val="2"/>
          <w:szCs w:val="24"/>
          <w:lang w:val="en-US" w:eastAsia="en-US"/>
          <w14:ligatures w14:val="standardContextual"/>
        </w:rPr>
        <w:tab/>
      </w:r>
      <w:r w:rsidR="00F62599">
        <w:rPr>
          <w:rFonts w:eastAsia="Times New Roman"/>
          <w:color w:val="000000"/>
          <w:kern w:val="2"/>
          <w:szCs w:val="24"/>
          <w:lang w:val="en-US" w:eastAsia="en-US"/>
          <w14:ligatures w14:val="standardContextual"/>
        </w:rPr>
        <w:t>Membership</w:t>
      </w:r>
    </w:p>
    <w:p w14:paraId="42A24DC5" w14:textId="6429BF8C" w:rsidR="00F62599" w:rsidRDefault="00BD5DB4" w:rsidP="00BD5DB4">
      <w:pPr>
        <w:pStyle w:val="RegSingleTxtG"/>
        <w:numPr>
          <w:ilvl w:val="0"/>
          <w:numId w:val="0"/>
        </w:numPr>
        <w:ind w:left="1134"/>
        <w:rPr>
          <w:lang w:val="en-US" w:eastAsia="en-US"/>
        </w:rPr>
      </w:pPr>
      <w:r>
        <w:rPr>
          <w:lang w:val="en-US" w:eastAsia="en-US"/>
        </w:rPr>
        <w:t>3.</w:t>
      </w:r>
      <w:r>
        <w:rPr>
          <w:lang w:val="en-US" w:eastAsia="en-US"/>
        </w:rPr>
        <w:tab/>
      </w:r>
      <w:r w:rsidR="00F62599">
        <w:rPr>
          <w:lang w:val="en-US" w:eastAsia="en-US"/>
        </w:rPr>
        <w:t>The Advisory Board, with the aim of achieving fair and balanced representation, shall be composed of the following, taking into account the need for gender balance:</w:t>
      </w:r>
    </w:p>
    <w:p w14:paraId="678E4E37" w14:textId="06436FEE" w:rsidR="00F62599" w:rsidRDefault="00BD5DB4" w:rsidP="00BD5DB4">
      <w:pPr>
        <w:pStyle w:val="RegSingleTxtG2"/>
        <w:numPr>
          <w:ilvl w:val="0"/>
          <w:numId w:val="0"/>
        </w:numPr>
        <w:tabs>
          <w:tab w:val="left" w:pos="1702"/>
        </w:tabs>
        <w:ind w:left="1134" w:firstLine="567"/>
        <w:rPr>
          <w:lang w:val="en-US" w:eastAsia="en-US"/>
        </w:rPr>
      </w:pPr>
      <w:r>
        <w:rPr>
          <w:szCs w:val="28"/>
          <w:lang w:val="en-US" w:eastAsia="en-US"/>
        </w:rPr>
        <w:t>(a)</w:t>
      </w:r>
      <w:r>
        <w:rPr>
          <w:szCs w:val="28"/>
          <w:lang w:val="en-US" w:eastAsia="en-US"/>
        </w:rPr>
        <w:tab/>
      </w:r>
      <w:r w:rsidR="00F62599">
        <w:rPr>
          <w:lang w:val="en-US" w:eastAsia="en-US"/>
        </w:rPr>
        <w:t>Two members from each of the five recognized United Nations regional groups;</w:t>
      </w:r>
    </w:p>
    <w:p w14:paraId="595B710A" w14:textId="07F2BCD8" w:rsidR="00F62599" w:rsidRDefault="00BD5DB4" w:rsidP="00BD5DB4">
      <w:pPr>
        <w:pStyle w:val="RegSingleTxtG2"/>
        <w:numPr>
          <w:ilvl w:val="0"/>
          <w:numId w:val="0"/>
        </w:numPr>
        <w:tabs>
          <w:tab w:val="left" w:pos="1702"/>
        </w:tabs>
        <w:ind w:left="1134" w:firstLine="567"/>
        <w:rPr>
          <w:lang w:val="en-US" w:eastAsia="en-US"/>
        </w:rPr>
      </w:pPr>
      <w:r>
        <w:rPr>
          <w:szCs w:val="28"/>
          <w:lang w:val="en-US" w:eastAsia="en-US"/>
        </w:rPr>
        <w:t>(b)</w:t>
      </w:r>
      <w:r>
        <w:rPr>
          <w:szCs w:val="28"/>
          <w:lang w:val="en-US" w:eastAsia="en-US"/>
        </w:rPr>
        <w:tab/>
      </w:r>
      <w:r w:rsidR="00F62599">
        <w:rPr>
          <w:lang w:val="en-US" w:eastAsia="en-US"/>
        </w:rPr>
        <w:t>One member each from the least developed countries and small island developing States;</w:t>
      </w:r>
    </w:p>
    <w:p w14:paraId="240C7D67" w14:textId="7CFCC3DC" w:rsidR="00F62599" w:rsidRDefault="00BD5DB4" w:rsidP="00BD5DB4">
      <w:pPr>
        <w:pStyle w:val="RegSingleTxtG2"/>
        <w:numPr>
          <w:ilvl w:val="0"/>
          <w:numId w:val="0"/>
        </w:numPr>
        <w:tabs>
          <w:tab w:val="left" w:pos="1702"/>
        </w:tabs>
        <w:ind w:left="1134" w:firstLine="567"/>
        <w:rPr>
          <w:lang w:val="en-US" w:eastAsia="en-US"/>
        </w:rPr>
      </w:pPr>
      <w:r>
        <w:rPr>
          <w:szCs w:val="28"/>
          <w:lang w:val="en-US" w:eastAsia="en-US"/>
        </w:rPr>
        <w:t>(c)</w:t>
      </w:r>
      <w:r>
        <w:rPr>
          <w:szCs w:val="28"/>
          <w:lang w:val="en-US" w:eastAsia="en-US"/>
        </w:rPr>
        <w:tab/>
      </w:r>
      <w:r w:rsidR="00F62599">
        <w:rPr>
          <w:lang w:val="en-US" w:eastAsia="en-US"/>
        </w:rPr>
        <w:t>Two members of the Executive Committee of the Warsaw International Mechanism (ExCom), nominated by the ExCom from among its members.</w:t>
      </w:r>
    </w:p>
    <w:p w14:paraId="0E339A0F" w14:textId="6DCA17B7" w:rsidR="00F62599" w:rsidRDefault="00BD5DB4" w:rsidP="00BD5DB4">
      <w:pPr>
        <w:pStyle w:val="RegSingleTxtG"/>
        <w:numPr>
          <w:ilvl w:val="0"/>
          <w:numId w:val="0"/>
        </w:numPr>
        <w:ind w:left="1134"/>
        <w:rPr>
          <w:rFonts w:eastAsia="Times New Roman"/>
          <w:color w:val="000000"/>
          <w:kern w:val="2"/>
          <w:sz w:val="24"/>
          <w:szCs w:val="24"/>
          <w:lang w:val="en-US" w:eastAsia="en-US"/>
          <w14:ligatures w14:val="standardContextual"/>
        </w:rPr>
      </w:pPr>
      <w:r>
        <w:rPr>
          <w:rFonts w:eastAsia="Times New Roman"/>
          <w:color w:val="000000"/>
          <w:kern w:val="2"/>
          <w:szCs w:val="24"/>
          <w:lang w:val="en-US" w:eastAsia="en-US"/>
          <w14:ligatures w14:val="standardContextual"/>
        </w:rPr>
        <w:t>4.</w:t>
      </w:r>
      <w:r>
        <w:rPr>
          <w:rFonts w:eastAsia="Times New Roman"/>
          <w:color w:val="000000"/>
          <w:kern w:val="2"/>
          <w:szCs w:val="24"/>
          <w:lang w:val="en-US" w:eastAsia="en-US"/>
          <w14:ligatures w14:val="standardContextual"/>
        </w:rPr>
        <w:tab/>
      </w:r>
      <w:r w:rsidR="00F62599">
        <w:rPr>
          <w:lang w:val="en-US" w:eastAsia="en-US"/>
        </w:rPr>
        <w:t>The Advisory Board will also have three other representatives, one from the Women and Gender constituency, one from Indigenous Peoples organizations, and one from the children and youth non-governmental organizations, who may actively participate in the deliberations of the Advisory Board</w:t>
      </w:r>
      <w:r w:rsidR="00F62599">
        <w:rPr>
          <w:rFonts w:eastAsia="Times New Roman"/>
          <w:color w:val="000000"/>
          <w:kern w:val="2"/>
          <w:sz w:val="24"/>
          <w:szCs w:val="24"/>
          <w:lang w:val="en-US" w:eastAsia="en-US"/>
          <w14:ligatures w14:val="standardContextual"/>
        </w:rPr>
        <w:t>.</w:t>
      </w:r>
    </w:p>
    <w:p w14:paraId="6CA9E96B" w14:textId="5AC90B79" w:rsidR="00F62599" w:rsidRDefault="00BD5DB4" w:rsidP="00BD5DB4">
      <w:pPr>
        <w:pStyle w:val="RegSingleTxtG"/>
        <w:numPr>
          <w:ilvl w:val="0"/>
          <w:numId w:val="0"/>
        </w:numPr>
        <w:ind w:left="1134"/>
        <w:rPr>
          <w:lang w:val="en-US" w:eastAsia="en-US"/>
        </w:rPr>
      </w:pPr>
      <w:r>
        <w:rPr>
          <w:lang w:val="en-US" w:eastAsia="en-US"/>
        </w:rPr>
        <w:t>5.</w:t>
      </w:r>
      <w:r>
        <w:rPr>
          <w:lang w:val="en-US" w:eastAsia="en-US"/>
        </w:rPr>
        <w:tab/>
      </w:r>
      <w:r w:rsidR="00F62599">
        <w:rPr>
          <w:lang w:val="en-US" w:eastAsia="en-US"/>
        </w:rPr>
        <w:t>Members and representatives elected to the Advisory Board shall serve a term of two years and shall be eligible to serve a maximum of two consecutive terms of office.</w:t>
      </w:r>
    </w:p>
    <w:p w14:paraId="4D6CA202" w14:textId="196F3821" w:rsidR="00F62599" w:rsidRDefault="00BD5DB4" w:rsidP="00BD5DB4">
      <w:pPr>
        <w:pStyle w:val="RegSingleTxtG"/>
        <w:numPr>
          <w:ilvl w:val="0"/>
          <w:numId w:val="0"/>
        </w:numPr>
        <w:ind w:left="1134"/>
        <w:rPr>
          <w:lang w:val="en-US" w:eastAsia="en-US"/>
        </w:rPr>
      </w:pPr>
      <w:r>
        <w:rPr>
          <w:lang w:val="en-US" w:eastAsia="en-US"/>
        </w:rPr>
        <w:t>6.</w:t>
      </w:r>
      <w:r>
        <w:rPr>
          <w:lang w:val="en-US" w:eastAsia="en-US"/>
        </w:rPr>
        <w:tab/>
      </w:r>
      <w:r w:rsidR="00F62599">
        <w:rPr>
          <w:lang w:val="en-US" w:eastAsia="en-US"/>
        </w:rPr>
        <w:t>Half of the members elected in 2023 shall serve a term of three years and half of the members shall serve a term of two years, after which time the governing body or bodies shall elect half of the members every year for a term of two years.</w:t>
      </w:r>
    </w:p>
    <w:p w14:paraId="5B90158B" w14:textId="1130D52F" w:rsidR="00F62599" w:rsidRDefault="00BD5DB4" w:rsidP="00BD5DB4">
      <w:pPr>
        <w:pStyle w:val="RegSingleTxtG"/>
        <w:numPr>
          <w:ilvl w:val="0"/>
          <w:numId w:val="0"/>
        </w:numPr>
        <w:ind w:left="1134"/>
        <w:rPr>
          <w:lang w:val="en-US" w:eastAsia="en-US"/>
        </w:rPr>
      </w:pPr>
      <w:r>
        <w:rPr>
          <w:lang w:val="en-US" w:eastAsia="en-US"/>
        </w:rPr>
        <w:t>7.</w:t>
      </w:r>
      <w:r>
        <w:rPr>
          <w:lang w:val="en-US" w:eastAsia="en-US"/>
        </w:rPr>
        <w:tab/>
      </w:r>
      <w:r w:rsidR="00F62599">
        <w:rPr>
          <w:lang w:val="en-US" w:eastAsia="en-US"/>
        </w:rPr>
        <w:t>The members of the Advisory Board shall remain in office until their successors are elected.</w:t>
      </w:r>
    </w:p>
    <w:p w14:paraId="41976823" w14:textId="4378ED35" w:rsidR="00F62599" w:rsidRDefault="00BD5DB4" w:rsidP="00BD5DB4">
      <w:pPr>
        <w:pStyle w:val="RegSingleTxtG"/>
        <w:numPr>
          <w:ilvl w:val="0"/>
          <w:numId w:val="0"/>
        </w:numPr>
        <w:ind w:left="1134"/>
        <w:rPr>
          <w:lang w:val="en-US" w:eastAsia="en-US"/>
        </w:rPr>
      </w:pPr>
      <w:r>
        <w:rPr>
          <w:lang w:val="en-US" w:eastAsia="en-US"/>
        </w:rPr>
        <w:t>8.</w:t>
      </w:r>
      <w:r>
        <w:rPr>
          <w:lang w:val="en-US" w:eastAsia="en-US"/>
        </w:rPr>
        <w:tab/>
      </w:r>
      <w:r w:rsidR="00F62599">
        <w:rPr>
          <w:lang w:val="en-US" w:eastAsia="en-US"/>
        </w:rPr>
        <w:t>The term of office of a member shall start at the first meeting of the Advisory Board in the calendar year following their election and shall end immediately before the first meeting of the Advisory Board in the calendar year in which their term ends.</w:t>
      </w:r>
    </w:p>
    <w:p w14:paraId="6882DD1B" w14:textId="1F05FAF3" w:rsidR="00F62599" w:rsidRDefault="00BD5DB4" w:rsidP="00BD5DB4">
      <w:pPr>
        <w:pStyle w:val="RegSingleTxtG"/>
        <w:numPr>
          <w:ilvl w:val="0"/>
          <w:numId w:val="0"/>
        </w:numPr>
        <w:ind w:left="1134"/>
        <w:rPr>
          <w:lang w:val="en-US" w:eastAsia="en-US"/>
        </w:rPr>
      </w:pPr>
      <w:r>
        <w:rPr>
          <w:lang w:val="en-US" w:eastAsia="en-US"/>
        </w:rPr>
        <w:lastRenderedPageBreak/>
        <w:t>9.</w:t>
      </w:r>
      <w:r>
        <w:rPr>
          <w:lang w:val="en-US" w:eastAsia="en-US"/>
        </w:rPr>
        <w:tab/>
      </w:r>
      <w:r w:rsidR="00F62599">
        <w:rPr>
          <w:lang w:val="en-US" w:eastAsia="en-US"/>
        </w:rPr>
        <w:t>If a member or representative of the Advisory Board resigns or is otherwise unable to complete their term, the regional group or constituency from which the member comes - or the ExCom, for members nominated by it - may decide, bearing in mind the proximity of the next session of the governing body or bodies, to appoint another member from the same group or constituency to replace said member for the remainder of that member’s term, in which case the appointment shall count as one term.</w:t>
      </w:r>
    </w:p>
    <w:p w14:paraId="7F693F34" w14:textId="060593DB" w:rsidR="00F62599" w:rsidRDefault="00BD5DB4" w:rsidP="00BD5DB4">
      <w:pPr>
        <w:pStyle w:val="RegSingleTxtG"/>
        <w:numPr>
          <w:ilvl w:val="0"/>
          <w:numId w:val="0"/>
        </w:numPr>
        <w:ind w:left="1134"/>
        <w:rPr>
          <w:lang w:val="en-US" w:eastAsia="en-US"/>
        </w:rPr>
      </w:pPr>
      <w:r>
        <w:rPr>
          <w:lang w:val="en-US" w:eastAsia="en-US"/>
        </w:rPr>
        <w:t>10.</w:t>
      </w:r>
      <w:r>
        <w:rPr>
          <w:lang w:val="en-US" w:eastAsia="en-US"/>
        </w:rPr>
        <w:tab/>
      </w:r>
      <w:r w:rsidR="00F62599">
        <w:rPr>
          <w:lang w:val="en-US" w:eastAsia="en-US"/>
        </w:rPr>
        <w:t>If a member is temporarily unable to serve in the Advisory Board, the Advisory Board shall, at the request of that member, invite the group, constituency, or the ExCom, to replace said member in an ad interim capacity for a period of up to one year from the date of that request.</w:t>
      </w:r>
    </w:p>
    <w:p w14:paraId="03AAAB66" w14:textId="5CB77B64" w:rsidR="00F62599" w:rsidRDefault="00BD5DB4" w:rsidP="00BD5DB4">
      <w:pPr>
        <w:pStyle w:val="RegHChG"/>
        <w:numPr>
          <w:ilvl w:val="0"/>
          <w:numId w:val="0"/>
        </w:numPr>
        <w:tabs>
          <w:tab w:val="left" w:pos="1135"/>
        </w:tabs>
        <w:ind w:left="1135" w:hanging="454"/>
        <w:rPr>
          <w:rFonts w:eastAsia="Times New Roman"/>
          <w:color w:val="000000"/>
          <w:kern w:val="2"/>
          <w:szCs w:val="24"/>
          <w:lang w:val="en-US" w:eastAsia="en-US"/>
          <w14:ligatures w14:val="standardContextual"/>
        </w:rPr>
      </w:pPr>
      <w:r>
        <w:rPr>
          <w:rFonts w:eastAsia="Times New Roman"/>
          <w:color w:val="000000"/>
          <w:kern w:val="2"/>
          <w:szCs w:val="24"/>
          <w:lang w:val="en-US" w:eastAsia="en-US"/>
          <w14:ligatures w14:val="standardContextual"/>
        </w:rPr>
        <w:t>IV.</w:t>
      </w:r>
      <w:r>
        <w:rPr>
          <w:rFonts w:eastAsia="Times New Roman"/>
          <w:color w:val="000000"/>
          <w:kern w:val="2"/>
          <w:szCs w:val="24"/>
          <w:lang w:val="en-US" w:eastAsia="en-US"/>
          <w14:ligatures w14:val="standardContextual"/>
        </w:rPr>
        <w:tab/>
      </w:r>
      <w:r w:rsidR="00F62599">
        <w:rPr>
          <w:rFonts w:eastAsia="Times New Roman"/>
          <w:color w:val="000000"/>
          <w:kern w:val="2"/>
          <w:szCs w:val="24"/>
          <w:lang w:val="en-US" w:eastAsia="en-US"/>
          <w14:ligatures w14:val="standardContextual"/>
        </w:rPr>
        <w:t>Conflicts of interest and confidentiality</w:t>
      </w:r>
    </w:p>
    <w:p w14:paraId="457E251F" w14:textId="78547FCB" w:rsidR="00F62599" w:rsidRDefault="00BD5DB4" w:rsidP="00BD5DB4">
      <w:pPr>
        <w:pStyle w:val="RegSingleTxtG"/>
        <w:numPr>
          <w:ilvl w:val="0"/>
          <w:numId w:val="0"/>
        </w:numPr>
        <w:ind w:left="1134"/>
        <w:rPr>
          <w:lang w:val="en-US" w:eastAsia="en-US"/>
        </w:rPr>
      </w:pPr>
      <w:r>
        <w:rPr>
          <w:lang w:val="en-US" w:eastAsia="en-US"/>
        </w:rPr>
        <w:t>11.</w:t>
      </w:r>
      <w:r>
        <w:rPr>
          <w:lang w:val="en-US" w:eastAsia="en-US"/>
        </w:rPr>
        <w:tab/>
      </w:r>
      <w:r w:rsidR="00F62599">
        <w:rPr>
          <w:lang w:val="en-US" w:eastAsia="en-US"/>
        </w:rPr>
        <w:t>Advisory Board members must promptly disclose and recuse themselves from any deliberations or decision-making where their personal or financial interests may be affected, in order to avoid a conflict of interest or the appearance of one.</w:t>
      </w:r>
    </w:p>
    <w:p w14:paraId="1362F187" w14:textId="0A444695" w:rsidR="00F62599" w:rsidRDefault="00BD5DB4" w:rsidP="00BD5DB4">
      <w:pPr>
        <w:pStyle w:val="RegSingleTxtG"/>
        <w:numPr>
          <w:ilvl w:val="0"/>
          <w:numId w:val="0"/>
        </w:numPr>
        <w:ind w:left="1134"/>
        <w:rPr>
          <w:lang w:val="en-US" w:eastAsia="en-US"/>
        </w:rPr>
      </w:pPr>
      <w:r>
        <w:rPr>
          <w:lang w:val="en-US" w:eastAsia="en-US"/>
        </w:rPr>
        <w:t>12.</w:t>
      </w:r>
      <w:r>
        <w:rPr>
          <w:lang w:val="en-US" w:eastAsia="en-US"/>
        </w:rPr>
        <w:tab/>
      </w:r>
      <w:r w:rsidR="00F62599">
        <w:rPr>
          <w:lang w:val="en-US" w:eastAsia="en-US"/>
        </w:rPr>
        <w:t>Advisory Board members should not disclose any confidential information they receive in the course of their duties, even after leaving the Advisory Board, except as required by national law.</w:t>
      </w:r>
    </w:p>
    <w:p w14:paraId="55D884A9" w14:textId="492ACE97" w:rsidR="00F62599" w:rsidRDefault="00BD5DB4" w:rsidP="00BD5DB4">
      <w:pPr>
        <w:pStyle w:val="RegHChG"/>
        <w:numPr>
          <w:ilvl w:val="0"/>
          <w:numId w:val="0"/>
        </w:numPr>
        <w:tabs>
          <w:tab w:val="left" w:pos="1135"/>
        </w:tabs>
        <w:ind w:left="1135" w:hanging="454"/>
        <w:rPr>
          <w:rFonts w:eastAsia="Times New Roman"/>
          <w:color w:val="000000"/>
          <w:kern w:val="2"/>
          <w:szCs w:val="24"/>
          <w:lang w:val="en-US" w:eastAsia="en-US"/>
          <w14:ligatures w14:val="standardContextual"/>
        </w:rPr>
      </w:pPr>
      <w:r>
        <w:rPr>
          <w:rFonts w:eastAsia="Times New Roman"/>
          <w:color w:val="000000"/>
          <w:kern w:val="2"/>
          <w:szCs w:val="24"/>
          <w:lang w:val="en-US" w:eastAsia="en-US"/>
          <w14:ligatures w14:val="standardContextual"/>
        </w:rPr>
        <w:t>V.</w:t>
      </w:r>
      <w:r>
        <w:rPr>
          <w:rFonts w:eastAsia="Times New Roman"/>
          <w:color w:val="000000"/>
          <w:kern w:val="2"/>
          <w:szCs w:val="24"/>
          <w:lang w:val="en-US" w:eastAsia="en-US"/>
          <w14:ligatures w14:val="standardContextual"/>
        </w:rPr>
        <w:tab/>
      </w:r>
      <w:r w:rsidR="00F62599">
        <w:rPr>
          <w:rFonts w:eastAsia="Times New Roman"/>
          <w:color w:val="000000"/>
          <w:kern w:val="2"/>
          <w:szCs w:val="24"/>
          <w:lang w:val="en-US" w:eastAsia="en-US"/>
          <w14:ligatures w14:val="standardContextual"/>
        </w:rPr>
        <w:t>Chairing arrangements</w:t>
      </w:r>
    </w:p>
    <w:p w14:paraId="6E661F35" w14:textId="4972837A" w:rsidR="00F62599" w:rsidRDefault="00BD5DB4" w:rsidP="00BD5DB4">
      <w:pPr>
        <w:pStyle w:val="RegSingleTxtG"/>
        <w:numPr>
          <w:ilvl w:val="0"/>
          <w:numId w:val="0"/>
        </w:numPr>
        <w:ind w:left="1134"/>
        <w:rPr>
          <w:lang w:val="en-US" w:eastAsia="en-US"/>
        </w:rPr>
      </w:pPr>
      <w:r>
        <w:rPr>
          <w:lang w:val="en-US" w:eastAsia="en-US"/>
        </w:rPr>
        <w:t>13.</w:t>
      </w:r>
      <w:r>
        <w:rPr>
          <w:lang w:val="en-US" w:eastAsia="en-US"/>
        </w:rPr>
        <w:tab/>
      </w:r>
      <w:r w:rsidR="00F62599">
        <w:rPr>
          <w:lang w:val="en-US" w:eastAsia="en-US"/>
        </w:rPr>
        <w:t>The Advisory Board shall elect annually two co-chairs from among its members to serve for a term of one year.</w:t>
      </w:r>
    </w:p>
    <w:p w14:paraId="5EC82FF5" w14:textId="5DB6D0BB" w:rsidR="00F62599" w:rsidRDefault="00BD5DB4" w:rsidP="00BD5DB4">
      <w:pPr>
        <w:pStyle w:val="RegSingleTxtG"/>
        <w:numPr>
          <w:ilvl w:val="0"/>
          <w:numId w:val="0"/>
        </w:numPr>
        <w:ind w:left="1134"/>
        <w:rPr>
          <w:lang w:val="en-US" w:eastAsia="en-US"/>
        </w:rPr>
      </w:pPr>
      <w:r>
        <w:rPr>
          <w:lang w:val="en-US" w:eastAsia="en-US"/>
        </w:rPr>
        <w:t>14.</w:t>
      </w:r>
      <w:r>
        <w:rPr>
          <w:lang w:val="en-US" w:eastAsia="en-US"/>
        </w:rPr>
        <w:tab/>
      </w:r>
      <w:r w:rsidR="00F62599">
        <w:rPr>
          <w:lang w:val="en-US" w:eastAsia="en-US"/>
        </w:rPr>
        <w:t>If one or both co-chairs are absent from a particular meeting, any other member or members designated by the Advisory Board shall serve as co-chair or co-chairs.</w:t>
      </w:r>
    </w:p>
    <w:p w14:paraId="40E4C603" w14:textId="0A223779" w:rsidR="00F62599" w:rsidRDefault="00BD5DB4" w:rsidP="00BD5DB4">
      <w:pPr>
        <w:pStyle w:val="RegSingleTxtG"/>
        <w:numPr>
          <w:ilvl w:val="0"/>
          <w:numId w:val="0"/>
        </w:numPr>
        <w:ind w:left="1134"/>
        <w:rPr>
          <w:lang w:val="en-US" w:eastAsia="en-US"/>
        </w:rPr>
      </w:pPr>
      <w:r>
        <w:rPr>
          <w:lang w:val="en-US" w:eastAsia="en-US"/>
        </w:rPr>
        <w:t>15.</w:t>
      </w:r>
      <w:r>
        <w:rPr>
          <w:lang w:val="en-US" w:eastAsia="en-US"/>
        </w:rPr>
        <w:tab/>
      </w:r>
      <w:r w:rsidR="00F62599">
        <w:rPr>
          <w:lang w:val="en-US" w:eastAsia="en-US"/>
        </w:rPr>
        <w:t>If a co-chair is unable to complete the term of office, the Advisory Board shall elect a replacement to complete that term of office.</w:t>
      </w:r>
    </w:p>
    <w:p w14:paraId="238D2C2C" w14:textId="7DF70FB3" w:rsidR="00F62599" w:rsidRDefault="00BD5DB4" w:rsidP="00BD5DB4">
      <w:pPr>
        <w:pStyle w:val="RegSingleTxtG"/>
        <w:numPr>
          <w:ilvl w:val="0"/>
          <w:numId w:val="0"/>
        </w:numPr>
        <w:ind w:left="1134"/>
        <w:rPr>
          <w:lang w:val="en-US" w:eastAsia="en-US"/>
        </w:rPr>
      </w:pPr>
      <w:r>
        <w:rPr>
          <w:lang w:val="en-US" w:eastAsia="en-US"/>
        </w:rPr>
        <w:t>16.</w:t>
      </w:r>
      <w:r>
        <w:rPr>
          <w:lang w:val="en-US" w:eastAsia="en-US"/>
        </w:rPr>
        <w:tab/>
      </w:r>
      <w:r w:rsidR="00F62599">
        <w:rPr>
          <w:lang w:val="en-US" w:eastAsia="en-US"/>
        </w:rPr>
        <w:t>The co-chairs shall collaborate in chairing meetings of the Advisory Board and related intersessional work. The co-chairs shall, inter alia, declare the opening and closing of meetings, ensure the observance of these rules of procedure, accord the right to speak and announce decisions. The co-chairs shall rule on points of order and, subject to these rules of procedure, shall have complete control over the proceedings of meetings and the maintenance of order at meetings.</w:t>
      </w:r>
    </w:p>
    <w:p w14:paraId="79E4479B" w14:textId="4277835B" w:rsidR="00F62599" w:rsidRDefault="00BD5DB4" w:rsidP="00BD5DB4">
      <w:pPr>
        <w:pStyle w:val="RegSingleTxtG"/>
        <w:numPr>
          <w:ilvl w:val="0"/>
          <w:numId w:val="0"/>
        </w:numPr>
        <w:ind w:left="1134"/>
        <w:rPr>
          <w:lang w:val="en-US" w:eastAsia="en-US"/>
        </w:rPr>
      </w:pPr>
      <w:r>
        <w:rPr>
          <w:lang w:val="en-US" w:eastAsia="en-US"/>
        </w:rPr>
        <w:t>17.</w:t>
      </w:r>
      <w:r>
        <w:rPr>
          <w:lang w:val="en-US" w:eastAsia="en-US"/>
        </w:rPr>
        <w:tab/>
      </w:r>
      <w:r w:rsidR="00F62599">
        <w:rPr>
          <w:lang w:val="en-US" w:eastAsia="en-US"/>
        </w:rPr>
        <w:t>The co-chairs shall share and allocate between themselves responsibility for chairing Advisory Board meetings.</w:t>
      </w:r>
    </w:p>
    <w:p w14:paraId="459C0B48" w14:textId="5E1E10CD" w:rsidR="00F62599" w:rsidRDefault="00BD5DB4" w:rsidP="00BD5DB4">
      <w:pPr>
        <w:pStyle w:val="RegSingleTxtG"/>
        <w:numPr>
          <w:ilvl w:val="0"/>
          <w:numId w:val="0"/>
        </w:numPr>
        <w:ind w:left="1134"/>
        <w:rPr>
          <w:lang w:val="en-US" w:eastAsia="en-US"/>
        </w:rPr>
      </w:pPr>
      <w:r>
        <w:rPr>
          <w:lang w:val="en-US" w:eastAsia="en-US"/>
        </w:rPr>
        <w:t>18.</w:t>
      </w:r>
      <w:r>
        <w:rPr>
          <w:lang w:val="en-US" w:eastAsia="en-US"/>
        </w:rPr>
        <w:tab/>
      </w:r>
      <w:r w:rsidR="00F62599">
        <w:rPr>
          <w:lang w:val="en-US" w:eastAsia="en-US"/>
        </w:rPr>
        <w:t>The co-chairs or any member designated by the Advisory Board shall report to the governing body or bodies on behalf of the Advisory Board.</w:t>
      </w:r>
    </w:p>
    <w:p w14:paraId="0E699A4F" w14:textId="283D98DD" w:rsidR="00F62599" w:rsidRDefault="00BD5DB4" w:rsidP="00BD5DB4">
      <w:pPr>
        <w:pStyle w:val="RegSingleTxtG"/>
        <w:numPr>
          <w:ilvl w:val="0"/>
          <w:numId w:val="0"/>
        </w:numPr>
        <w:ind w:left="1134"/>
        <w:rPr>
          <w:lang w:val="en-US" w:eastAsia="en-US"/>
        </w:rPr>
      </w:pPr>
      <w:r>
        <w:rPr>
          <w:lang w:val="en-US" w:eastAsia="en-US"/>
        </w:rPr>
        <w:t>19.</w:t>
      </w:r>
      <w:r>
        <w:rPr>
          <w:lang w:val="en-US" w:eastAsia="en-US"/>
        </w:rPr>
        <w:tab/>
      </w:r>
      <w:r w:rsidR="00F62599">
        <w:rPr>
          <w:lang w:val="en-US" w:eastAsia="en-US"/>
        </w:rPr>
        <w:t>The co-chairs or any member designated by the Advisory Board shall represent the Advisory Board in external meetings and shall report back to the Advisory Board on those meetings.</w:t>
      </w:r>
    </w:p>
    <w:p w14:paraId="04517150" w14:textId="760B3D5A" w:rsidR="00F62599" w:rsidRDefault="00BD5DB4" w:rsidP="00BD5DB4">
      <w:pPr>
        <w:pStyle w:val="RegSingleTxtG"/>
        <w:numPr>
          <w:ilvl w:val="0"/>
          <w:numId w:val="0"/>
        </w:numPr>
        <w:ind w:left="1134"/>
        <w:rPr>
          <w:lang w:val="en-US" w:eastAsia="en-US"/>
        </w:rPr>
      </w:pPr>
      <w:r>
        <w:rPr>
          <w:lang w:val="en-US" w:eastAsia="en-US"/>
        </w:rPr>
        <w:t>20.</w:t>
      </w:r>
      <w:r>
        <w:rPr>
          <w:lang w:val="en-US" w:eastAsia="en-US"/>
        </w:rPr>
        <w:tab/>
      </w:r>
      <w:r w:rsidR="00F62599">
        <w:rPr>
          <w:lang w:val="en-US" w:eastAsia="en-US"/>
        </w:rPr>
        <w:t>The co-chairs may also jointly delegate tasks to members of the Advisory Board in the interest of expediting and advancing the work of the Advisory Board.</w:t>
      </w:r>
    </w:p>
    <w:p w14:paraId="4374CEC6" w14:textId="06BC04A7" w:rsidR="00F62599" w:rsidRDefault="00BD5DB4" w:rsidP="00BD5DB4">
      <w:pPr>
        <w:pStyle w:val="RegSingleTxtG"/>
        <w:numPr>
          <w:ilvl w:val="0"/>
          <w:numId w:val="0"/>
        </w:numPr>
        <w:ind w:left="1134"/>
        <w:rPr>
          <w:lang w:val="en-US" w:eastAsia="en-US"/>
        </w:rPr>
      </w:pPr>
      <w:r>
        <w:rPr>
          <w:lang w:val="en-US" w:eastAsia="en-US"/>
        </w:rPr>
        <w:t>21.</w:t>
      </w:r>
      <w:r>
        <w:rPr>
          <w:lang w:val="en-US" w:eastAsia="en-US"/>
        </w:rPr>
        <w:tab/>
      </w:r>
      <w:r w:rsidR="00F62599">
        <w:rPr>
          <w:lang w:val="en-US" w:eastAsia="en-US"/>
        </w:rPr>
        <w:t>The Advisory Board may further define additional roles and responsibilities for the co-chairs.</w:t>
      </w:r>
    </w:p>
    <w:p w14:paraId="732D4B0F" w14:textId="5EA54E5C" w:rsidR="00F62599" w:rsidRDefault="00BD5DB4" w:rsidP="00BD5DB4">
      <w:pPr>
        <w:pStyle w:val="RegSingleTxtG"/>
        <w:numPr>
          <w:ilvl w:val="0"/>
          <w:numId w:val="0"/>
        </w:numPr>
        <w:ind w:left="1134"/>
        <w:rPr>
          <w:lang w:val="en-US" w:eastAsia="en-US"/>
        </w:rPr>
      </w:pPr>
      <w:r>
        <w:rPr>
          <w:lang w:val="en-US" w:eastAsia="en-US"/>
        </w:rPr>
        <w:t>22.</w:t>
      </w:r>
      <w:r>
        <w:rPr>
          <w:lang w:val="en-US" w:eastAsia="en-US"/>
        </w:rPr>
        <w:tab/>
      </w:r>
      <w:r w:rsidR="00F62599">
        <w:rPr>
          <w:lang w:val="en-US" w:eastAsia="en-US"/>
        </w:rPr>
        <w:t>The co-chairs, in the exercise of their functions, remain under the authority of the Advisory Board.</w:t>
      </w:r>
    </w:p>
    <w:p w14:paraId="2BA56314" w14:textId="2F25F7EF" w:rsidR="00F62599" w:rsidRDefault="00BD5DB4" w:rsidP="00BD5DB4">
      <w:pPr>
        <w:pStyle w:val="RegHChG"/>
        <w:numPr>
          <w:ilvl w:val="0"/>
          <w:numId w:val="0"/>
        </w:numPr>
        <w:tabs>
          <w:tab w:val="left" w:pos="1135"/>
        </w:tabs>
        <w:ind w:left="1135" w:hanging="454"/>
        <w:rPr>
          <w:rFonts w:eastAsia="Times New Roman"/>
          <w:color w:val="000000"/>
          <w:kern w:val="2"/>
          <w:szCs w:val="24"/>
          <w:lang w:val="en-US" w:eastAsia="en-US"/>
          <w14:ligatures w14:val="standardContextual"/>
        </w:rPr>
      </w:pPr>
      <w:r>
        <w:rPr>
          <w:rFonts w:eastAsia="Times New Roman"/>
          <w:color w:val="000000"/>
          <w:kern w:val="2"/>
          <w:szCs w:val="24"/>
          <w:lang w:val="en-US" w:eastAsia="en-US"/>
          <w14:ligatures w14:val="standardContextual"/>
        </w:rPr>
        <w:lastRenderedPageBreak/>
        <w:t>VI.</w:t>
      </w:r>
      <w:r>
        <w:rPr>
          <w:rFonts w:eastAsia="Times New Roman"/>
          <w:color w:val="000000"/>
          <w:kern w:val="2"/>
          <w:szCs w:val="24"/>
          <w:lang w:val="en-US" w:eastAsia="en-US"/>
          <w14:ligatures w14:val="standardContextual"/>
        </w:rPr>
        <w:tab/>
      </w:r>
      <w:r w:rsidR="00F62599">
        <w:rPr>
          <w:rFonts w:eastAsia="Times New Roman"/>
          <w:color w:val="000000"/>
          <w:kern w:val="2"/>
          <w:szCs w:val="24"/>
          <w:lang w:val="en-US" w:eastAsia="en-US"/>
          <w14:ligatures w14:val="standardContextual"/>
        </w:rPr>
        <w:t>Subcommittees and panels</w:t>
      </w:r>
    </w:p>
    <w:p w14:paraId="02D6CE03" w14:textId="556F6FEF" w:rsidR="00F62599" w:rsidRDefault="00BD5DB4" w:rsidP="00BD5DB4">
      <w:pPr>
        <w:pStyle w:val="RegSingleTxtG"/>
        <w:numPr>
          <w:ilvl w:val="0"/>
          <w:numId w:val="0"/>
        </w:numPr>
        <w:ind w:left="1134"/>
        <w:rPr>
          <w:lang w:val="en-US" w:eastAsia="en-US"/>
        </w:rPr>
      </w:pPr>
      <w:r>
        <w:rPr>
          <w:lang w:val="en-US" w:eastAsia="en-US"/>
        </w:rPr>
        <w:t>23.</w:t>
      </w:r>
      <w:r>
        <w:rPr>
          <w:lang w:val="en-US" w:eastAsia="en-US"/>
        </w:rPr>
        <w:tab/>
      </w:r>
      <w:r w:rsidR="00F62599">
        <w:rPr>
          <w:lang w:val="en-US" w:eastAsia="en-US"/>
        </w:rPr>
        <w:t>The Advisory Board may establish subcommittees, panels, working groups or task forces, if required, to undertake specific tasks assigned by the Advisory Board or to provide expert advice in order to assist the Advisory Board in executing its work.</w:t>
      </w:r>
    </w:p>
    <w:p w14:paraId="05A9F11B" w14:textId="25D7734F" w:rsidR="00F62599" w:rsidRDefault="00BD5DB4" w:rsidP="00BD5DB4">
      <w:pPr>
        <w:pStyle w:val="RegSingleTxtG"/>
        <w:numPr>
          <w:ilvl w:val="0"/>
          <w:numId w:val="0"/>
        </w:numPr>
        <w:ind w:left="1134"/>
        <w:rPr>
          <w:lang w:val="en-US" w:eastAsia="en-US"/>
        </w:rPr>
      </w:pPr>
      <w:r>
        <w:rPr>
          <w:lang w:val="en-US" w:eastAsia="en-US"/>
        </w:rPr>
        <w:t>24.</w:t>
      </w:r>
      <w:r>
        <w:rPr>
          <w:lang w:val="en-US" w:eastAsia="en-US"/>
        </w:rPr>
        <w:tab/>
      </w:r>
      <w:r w:rsidR="00F62599">
        <w:rPr>
          <w:lang w:val="en-US" w:eastAsia="en-US"/>
        </w:rPr>
        <w:t>In establishing subcommittees, panels, working groups or task forces, the Advisory Board will determine an appropriate number of participants and ensure that participants have appropriate expertise in the relevant field of work.</w:t>
      </w:r>
    </w:p>
    <w:p w14:paraId="63934C23" w14:textId="0C9406D9" w:rsidR="00F62599" w:rsidRDefault="00BD5DB4" w:rsidP="00BD5DB4">
      <w:pPr>
        <w:pStyle w:val="RegHChG"/>
        <w:numPr>
          <w:ilvl w:val="0"/>
          <w:numId w:val="0"/>
        </w:numPr>
        <w:tabs>
          <w:tab w:val="left" w:pos="1135"/>
        </w:tabs>
        <w:ind w:left="1135" w:hanging="454"/>
        <w:rPr>
          <w:rFonts w:eastAsia="Times New Roman"/>
          <w:color w:val="000000"/>
          <w:kern w:val="2"/>
          <w:szCs w:val="24"/>
          <w:lang w:val="en-US" w:eastAsia="en-US"/>
          <w14:ligatures w14:val="standardContextual"/>
        </w:rPr>
      </w:pPr>
      <w:r>
        <w:rPr>
          <w:rFonts w:eastAsia="Times New Roman"/>
          <w:color w:val="000000"/>
          <w:kern w:val="2"/>
          <w:szCs w:val="24"/>
          <w:lang w:val="en-US" w:eastAsia="en-US"/>
          <w14:ligatures w14:val="standardContextual"/>
        </w:rPr>
        <w:t>VII.</w:t>
      </w:r>
      <w:r>
        <w:rPr>
          <w:rFonts w:eastAsia="Times New Roman"/>
          <w:color w:val="000000"/>
          <w:kern w:val="2"/>
          <w:szCs w:val="24"/>
          <w:lang w:val="en-US" w:eastAsia="en-US"/>
          <w14:ligatures w14:val="standardContextual"/>
        </w:rPr>
        <w:tab/>
      </w:r>
      <w:r w:rsidR="00F62599">
        <w:rPr>
          <w:rFonts w:eastAsia="Times New Roman"/>
          <w:color w:val="000000"/>
          <w:kern w:val="2"/>
          <w:szCs w:val="24"/>
          <w:lang w:val="en-US" w:eastAsia="en-US"/>
          <w14:ligatures w14:val="standardContextual"/>
        </w:rPr>
        <w:t>Secretariat</w:t>
      </w:r>
    </w:p>
    <w:p w14:paraId="24DCB572" w14:textId="06E14EAD" w:rsidR="00F62599" w:rsidRDefault="00BD5DB4" w:rsidP="00BD5DB4">
      <w:pPr>
        <w:pStyle w:val="RegSingleTxtG"/>
        <w:numPr>
          <w:ilvl w:val="0"/>
          <w:numId w:val="0"/>
        </w:numPr>
        <w:ind w:left="1134"/>
        <w:rPr>
          <w:lang w:val="en-US" w:eastAsia="en-US"/>
        </w:rPr>
      </w:pPr>
      <w:r>
        <w:rPr>
          <w:lang w:val="en-US" w:eastAsia="en-US"/>
        </w:rPr>
        <w:t>25.</w:t>
      </w:r>
      <w:r>
        <w:rPr>
          <w:lang w:val="en-US" w:eastAsia="en-US"/>
        </w:rPr>
        <w:tab/>
      </w:r>
      <w:r w:rsidR="00F62599">
        <w:rPr>
          <w:lang w:val="en-US" w:eastAsia="en-US"/>
        </w:rPr>
        <w:t>The director of the Santiago network secretariat shall serve as secretary to the Advisory Board.</w:t>
      </w:r>
    </w:p>
    <w:p w14:paraId="42299FB2" w14:textId="1BE04C71" w:rsidR="00F62599" w:rsidRDefault="00BD5DB4" w:rsidP="00BD5DB4">
      <w:pPr>
        <w:pStyle w:val="RegSingleTxtG"/>
        <w:numPr>
          <w:ilvl w:val="0"/>
          <w:numId w:val="0"/>
        </w:numPr>
        <w:ind w:left="1134"/>
        <w:rPr>
          <w:lang w:val="en-US" w:eastAsia="en-US"/>
        </w:rPr>
      </w:pPr>
      <w:r>
        <w:rPr>
          <w:lang w:val="en-US" w:eastAsia="en-US"/>
        </w:rPr>
        <w:t>26.</w:t>
      </w:r>
      <w:r>
        <w:rPr>
          <w:lang w:val="en-US" w:eastAsia="en-US"/>
        </w:rPr>
        <w:tab/>
      </w:r>
      <w:r w:rsidR="00F62599">
        <w:rPr>
          <w:lang w:val="en-US" w:eastAsia="en-US"/>
        </w:rPr>
        <w:t>The secretary shall be responsible for facilitating and providing support to the:</w:t>
      </w:r>
    </w:p>
    <w:p w14:paraId="51E03BDE" w14:textId="24C7B10F" w:rsidR="00F62599" w:rsidRDefault="00BD5DB4" w:rsidP="00BD5DB4">
      <w:pPr>
        <w:pStyle w:val="RegSingleTxtG2"/>
        <w:numPr>
          <w:ilvl w:val="0"/>
          <w:numId w:val="0"/>
        </w:numPr>
        <w:tabs>
          <w:tab w:val="left" w:pos="1702"/>
        </w:tabs>
        <w:ind w:left="1134" w:firstLine="567"/>
        <w:rPr>
          <w:lang w:val="en-US" w:eastAsia="en-US"/>
        </w:rPr>
      </w:pPr>
      <w:r>
        <w:rPr>
          <w:szCs w:val="28"/>
          <w:lang w:val="en-US" w:eastAsia="en-US"/>
        </w:rPr>
        <w:t>(a)</w:t>
      </w:r>
      <w:r>
        <w:rPr>
          <w:szCs w:val="28"/>
          <w:lang w:val="en-US" w:eastAsia="en-US"/>
        </w:rPr>
        <w:tab/>
      </w:r>
      <w:r w:rsidR="00F62599">
        <w:rPr>
          <w:lang w:val="en-US" w:eastAsia="en-US"/>
        </w:rPr>
        <w:t>Making of the necessary arrangements for the meetings of the Advisory Board, including announcing meetings, issuing invitations and making available the documents for meetings;</w:t>
      </w:r>
    </w:p>
    <w:p w14:paraId="22658313" w14:textId="0129344A" w:rsidR="00F62599" w:rsidRDefault="00BD5DB4" w:rsidP="00BD5DB4">
      <w:pPr>
        <w:pStyle w:val="RegSingleTxtG2"/>
        <w:numPr>
          <w:ilvl w:val="0"/>
          <w:numId w:val="0"/>
        </w:numPr>
        <w:tabs>
          <w:tab w:val="left" w:pos="1702"/>
        </w:tabs>
        <w:ind w:left="1134" w:firstLine="567"/>
        <w:rPr>
          <w:lang w:val="en-US" w:eastAsia="en-US"/>
        </w:rPr>
      </w:pPr>
      <w:r>
        <w:rPr>
          <w:szCs w:val="28"/>
          <w:lang w:val="en-US" w:eastAsia="en-US"/>
        </w:rPr>
        <w:t>(b)</w:t>
      </w:r>
      <w:r>
        <w:rPr>
          <w:szCs w:val="28"/>
          <w:lang w:val="en-US" w:eastAsia="en-US"/>
        </w:rPr>
        <w:tab/>
      </w:r>
      <w:r w:rsidR="00F62599">
        <w:rPr>
          <w:lang w:val="en-US" w:eastAsia="en-US"/>
        </w:rPr>
        <w:t>Maintaining of meeting records and arranging for the storage and preservation of documents of meetings;</w:t>
      </w:r>
    </w:p>
    <w:p w14:paraId="2B62380F" w14:textId="122A7077" w:rsidR="00F62599" w:rsidRDefault="00BD5DB4" w:rsidP="00BD5DB4">
      <w:pPr>
        <w:pStyle w:val="RegSingleTxtG2"/>
        <w:numPr>
          <w:ilvl w:val="0"/>
          <w:numId w:val="0"/>
        </w:numPr>
        <w:tabs>
          <w:tab w:val="left" w:pos="1702"/>
        </w:tabs>
        <w:ind w:left="1134" w:firstLine="567"/>
        <w:rPr>
          <w:lang w:val="en-US" w:eastAsia="en-US"/>
        </w:rPr>
      </w:pPr>
      <w:r>
        <w:rPr>
          <w:szCs w:val="28"/>
          <w:lang w:val="en-US" w:eastAsia="en-US"/>
        </w:rPr>
        <w:t>(c)</w:t>
      </w:r>
      <w:r>
        <w:rPr>
          <w:szCs w:val="28"/>
          <w:lang w:val="en-US" w:eastAsia="en-US"/>
        </w:rPr>
        <w:tab/>
      </w:r>
      <w:r w:rsidR="00F62599">
        <w:rPr>
          <w:lang w:val="en-US" w:eastAsia="en-US"/>
        </w:rPr>
        <w:t>Making of documents of the meetings of the Advisory Board available to the public, unless otherwise determined by the Advisory Board.</w:t>
      </w:r>
    </w:p>
    <w:p w14:paraId="720D6E37" w14:textId="574877D8" w:rsidR="00F62599" w:rsidRDefault="00BD5DB4" w:rsidP="00BD5DB4">
      <w:pPr>
        <w:pStyle w:val="RegSingleTxtG2"/>
        <w:numPr>
          <w:ilvl w:val="0"/>
          <w:numId w:val="0"/>
        </w:numPr>
        <w:tabs>
          <w:tab w:val="left" w:pos="1702"/>
        </w:tabs>
        <w:ind w:left="1134" w:firstLine="567"/>
        <w:rPr>
          <w:lang w:val="en-US" w:eastAsia="en-US"/>
        </w:rPr>
      </w:pPr>
      <w:r>
        <w:rPr>
          <w:szCs w:val="28"/>
          <w:lang w:val="en-US" w:eastAsia="en-US"/>
        </w:rPr>
        <w:t>(d)</w:t>
      </w:r>
      <w:r>
        <w:rPr>
          <w:szCs w:val="28"/>
          <w:lang w:val="en-US" w:eastAsia="en-US"/>
        </w:rPr>
        <w:tab/>
      </w:r>
      <w:r w:rsidR="00F62599">
        <w:rPr>
          <w:lang w:val="en-US" w:eastAsia="en-US"/>
        </w:rPr>
        <w:t>Tracking of the implementation of decisions and actions taken by the Advisory Board and report on the progress of these actions.</w:t>
      </w:r>
    </w:p>
    <w:p w14:paraId="084A1ADC" w14:textId="0EF7E63D" w:rsidR="00F62599" w:rsidRDefault="00BD5DB4" w:rsidP="00BD5DB4">
      <w:pPr>
        <w:pStyle w:val="RegSingleTxtG"/>
        <w:numPr>
          <w:ilvl w:val="0"/>
          <w:numId w:val="0"/>
        </w:numPr>
        <w:ind w:left="1134"/>
        <w:rPr>
          <w:lang w:val="en-US" w:eastAsia="en-US"/>
        </w:rPr>
      </w:pPr>
      <w:r>
        <w:rPr>
          <w:lang w:val="en-US" w:eastAsia="en-US"/>
        </w:rPr>
        <w:t>27.</w:t>
      </w:r>
      <w:r>
        <w:rPr>
          <w:lang w:val="en-US" w:eastAsia="en-US"/>
        </w:rPr>
        <w:tab/>
      </w:r>
      <w:r w:rsidR="00F62599">
        <w:rPr>
          <w:lang w:val="en-US" w:eastAsia="en-US"/>
        </w:rPr>
        <w:t>In addition, the secretary shall facilitate support that the Advisory Board may require or that the governing body or bodies may direct with respect to the Advisory Board</w:t>
      </w:r>
    </w:p>
    <w:p w14:paraId="1DF52C89" w14:textId="57165641" w:rsidR="00F62599" w:rsidRDefault="00BD5DB4" w:rsidP="00BD5DB4">
      <w:pPr>
        <w:pStyle w:val="RegHChG"/>
        <w:numPr>
          <w:ilvl w:val="0"/>
          <w:numId w:val="0"/>
        </w:numPr>
        <w:tabs>
          <w:tab w:val="left" w:pos="1135"/>
        </w:tabs>
        <w:ind w:left="1135" w:hanging="454"/>
        <w:rPr>
          <w:rFonts w:eastAsia="Times New Roman"/>
          <w:color w:val="000000"/>
          <w:kern w:val="2"/>
          <w:szCs w:val="24"/>
          <w:lang w:val="en-US" w:eastAsia="en-US"/>
          <w14:ligatures w14:val="standardContextual"/>
        </w:rPr>
      </w:pPr>
      <w:r>
        <w:rPr>
          <w:rFonts w:eastAsia="Times New Roman"/>
          <w:color w:val="000000"/>
          <w:kern w:val="2"/>
          <w:szCs w:val="24"/>
          <w:lang w:val="en-US" w:eastAsia="en-US"/>
          <w14:ligatures w14:val="standardContextual"/>
        </w:rPr>
        <w:t>VIII.</w:t>
      </w:r>
      <w:r>
        <w:rPr>
          <w:rFonts w:eastAsia="Times New Roman"/>
          <w:color w:val="000000"/>
          <w:kern w:val="2"/>
          <w:szCs w:val="24"/>
          <w:lang w:val="en-US" w:eastAsia="en-US"/>
          <w14:ligatures w14:val="standardContextual"/>
        </w:rPr>
        <w:tab/>
      </w:r>
      <w:r w:rsidR="00F62599">
        <w:rPr>
          <w:rFonts w:eastAsia="Times New Roman"/>
          <w:color w:val="000000"/>
          <w:kern w:val="2"/>
          <w:szCs w:val="24"/>
          <w:lang w:val="en-US" w:eastAsia="en-US"/>
          <w14:ligatures w14:val="standardContextual"/>
        </w:rPr>
        <w:t>Meetings</w:t>
      </w:r>
    </w:p>
    <w:p w14:paraId="61BA499A" w14:textId="1A33FA4F" w:rsidR="00F62599" w:rsidRDefault="00BD5DB4" w:rsidP="00BD5DB4">
      <w:pPr>
        <w:pStyle w:val="RegSingleTxtG"/>
        <w:numPr>
          <w:ilvl w:val="0"/>
          <w:numId w:val="0"/>
        </w:numPr>
        <w:ind w:left="1134"/>
        <w:rPr>
          <w:lang w:val="en-US" w:eastAsia="en-US"/>
        </w:rPr>
      </w:pPr>
      <w:r>
        <w:rPr>
          <w:lang w:val="en-US" w:eastAsia="en-US"/>
        </w:rPr>
        <w:t>28.</w:t>
      </w:r>
      <w:r>
        <w:rPr>
          <w:lang w:val="en-US" w:eastAsia="en-US"/>
        </w:rPr>
        <w:tab/>
      </w:r>
      <w:r w:rsidR="00F62599">
        <w:rPr>
          <w:lang w:val="en-US" w:eastAsia="en-US"/>
        </w:rPr>
        <w:t>The Advisory Board shall meet at least twice a year, where possible in connection with meetings of the ExCom, while retaining its flexibility to adjust the number of meetings to suit its needs.</w:t>
      </w:r>
    </w:p>
    <w:p w14:paraId="42A67DE0" w14:textId="33FA08E5" w:rsidR="00F62599" w:rsidRDefault="00BD5DB4" w:rsidP="00BD5DB4">
      <w:pPr>
        <w:pStyle w:val="RegSingleTxtG"/>
        <w:numPr>
          <w:ilvl w:val="0"/>
          <w:numId w:val="0"/>
        </w:numPr>
        <w:ind w:left="1134"/>
        <w:rPr>
          <w:lang w:val="en-US" w:eastAsia="en-US"/>
        </w:rPr>
      </w:pPr>
      <w:r>
        <w:rPr>
          <w:lang w:val="en-US" w:eastAsia="en-US"/>
        </w:rPr>
        <w:t>29.</w:t>
      </w:r>
      <w:r>
        <w:rPr>
          <w:lang w:val="en-US" w:eastAsia="en-US"/>
        </w:rPr>
        <w:tab/>
      </w:r>
      <w:r w:rsidR="00F62599">
        <w:rPr>
          <w:lang w:val="en-US" w:eastAsia="en-US"/>
        </w:rPr>
        <w:t>The Advisory Board shall hold its meetings at the location of the Santiago network secretariat head office, unless otherwise decided by the Advisory Board and subject to the necessary arrangements being made, and may hold meetings in hybrid (in person and virtual) format. Decisions on the location of meetings other than the location of the Santiago network secretariat shall take into account the costs and benefits of venue rotation, particularly in developing countries and with respect to facilitating the participation of key stakeholders, as well as the location of the ExCom meetings.</w:t>
      </w:r>
    </w:p>
    <w:p w14:paraId="0837C78E" w14:textId="26B62018" w:rsidR="00F62599" w:rsidRDefault="00BD5DB4" w:rsidP="00BD5DB4">
      <w:pPr>
        <w:pStyle w:val="RegSingleTxtG"/>
        <w:numPr>
          <w:ilvl w:val="0"/>
          <w:numId w:val="0"/>
        </w:numPr>
        <w:ind w:left="1134"/>
        <w:rPr>
          <w:lang w:val="en-US" w:eastAsia="en-US"/>
        </w:rPr>
      </w:pPr>
      <w:r>
        <w:rPr>
          <w:lang w:val="en-US" w:eastAsia="en-US"/>
        </w:rPr>
        <w:t>30.</w:t>
      </w:r>
      <w:r>
        <w:rPr>
          <w:lang w:val="en-US" w:eastAsia="en-US"/>
        </w:rPr>
        <w:tab/>
      </w:r>
      <w:r w:rsidR="00F62599">
        <w:rPr>
          <w:lang w:val="en-US" w:eastAsia="en-US"/>
        </w:rPr>
        <w:t>The Advisory Board may decide to hold meetings virtually on an exceptional basis and when required to advance its work, as proposed by the co-chairs after consultation with the Advisory Board.</w:t>
      </w:r>
    </w:p>
    <w:p w14:paraId="5EEF4982" w14:textId="5D808689" w:rsidR="00F62599" w:rsidRDefault="00BD5DB4" w:rsidP="00BD5DB4">
      <w:pPr>
        <w:pStyle w:val="RegSingleTxtG"/>
        <w:numPr>
          <w:ilvl w:val="0"/>
          <w:numId w:val="0"/>
        </w:numPr>
        <w:ind w:left="1134"/>
        <w:rPr>
          <w:lang w:val="en-US" w:eastAsia="en-US"/>
        </w:rPr>
      </w:pPr>
      <w:r>
        <w:rPr>
          <w:lang w:val="en-US" w:eastAsia="en-US"/>
        </w:rPr>
        <w:t>31.</w:t>
      </w:r>
      <w:r>
        <w:rPr>
          <w:lang w:val="en-US" w:eastAsia="en-US"/>
        </w:rPr>
        <w:tab/>
      </w:r>
      <w:r w:rsidR="00F62599">
        <w:rPr>
          <w:lang w:val="en-US" w:eastAsia="en-US"/>
        </w:rPr>
        <w:t>In arranging virtual meetings, the Advisory Board shall consider the working modalities of such meetings, including the fair and balanced choice of timing in light of the time zones of members, with the aim of ensuring inclusive and effective participation of all members.</w:t>
      </w:r>
    </w:p>
    <w:p w14:paraId="1CE3DF8A" w14:textId="2422937A" w:rsidR="00F62599" w:rsidRDefault="00BD5DB4" w:rsidP="00BD5DB4">
      <w:pPr>
        <w:pStyle w:val="RegSingleTxtG"/>
        <w:numPr>
          <w:ilvl w:val="0"/>
          <w:numId w:val="0"/>
        </w:numPr>
        <w:ind w:left="1134"/>
        <w:rPr>
          <w:lang w:val="en-US" w:eastAsia="en-US"/>
        </w:rPr>
      </w:pPr>
      <w:r>
        <w:rPr>
          <w:lang w:val="en-US" w:eastAsia="en-US"/>
        </w:rPr>
        <w:t>32.</w:t>
      </w:r>
      <w:r>
        <w:rPr>
          <w:lang w:val="en-US" w:eastAsia="en-US"/>
        </w:rPr>
        <w:tab/>
      </w:r>
      <w:r w:rsidR="00F62599">
        <w:rPr>
          <w:lang w:val="en-US" w:eastAsia="en-US"/>
        </w:rPr>
        <w:t>At the first Advisory Board meeting of each calendar year, the co-chairs shall propose a schedule of meetings for that calendar year.</w:t>
      </w:r>
    </w:p>
    <w:p w14:paraId="6D036668" w14:textId="1E6F0514" w:rsidR="00F62599" w:rsidRDefault="00BD5DB4" w:rsidP="00BD5DB4">
      <w:pPr>
        <w:pStyle w:val="RegSingleTxtG"/>
        <w:numPr>
          <w:ilvl w:val="0"/>
          <w:numId w:val="0"/>
        </w:numPr>
        <w:ind w:left="1134"/>
        <w:rPr>
          <w:lang w:val="en-US" w:eastAsia="en-US"/>
        </w:rPr>
      </w:pPr>
      <w:r>
        <w:rPr>
          <w:lang w:val="en-US" w:eastAsia="en-US"/>
        </w:rPr>
        <w:t>33.</w:t>
      </w:r>
      <w:r>
        <w:rPr>
          <w:lang w:val="en-US" w:eastAsia="en-US"/>
        </w:rPr>
        <w:tab/>
      </w:r>
      <w:r w:rsidR="00F62599">
        <w:rPr>
          <w:lang w:val="en-US" w:eastAsia="en-US"/>
        </w:rPr>
        <w:t>At each meeting, the Advisory Board will confirm the dates, duration and venue of the following meeting.</w:t>
      </w:r>
    </w:p>
    <w:p w14:paraId="367C833E" w14:textId="41456636" w:rsidR="00F62599" w:rsidRDefault="00BD5DB4" w:rsidP="00BD5DB4">
      <w:pPr>
        <w:pStyle w:val="RegSingleTxtG"/>
        <w:numPr>
          <w:ilvl w:val="0"/>
          <w:numId w:val="0"/>
        </w:numPr>
        <w:ind w:left="1134"/>
        <w:rPr>
          <w:lang w:val="en-US" w:eastAsia="en-US"/>
        </w:rPr>
      </w:pPr>
      <w:r>
        <w:rPr>
          <w:lang w:val="en-US" w:eastAsia="en-US"/>
        </w:rPr>
        <w:t>34.</w:t>
      </w:r>
      <w:r>
        <w:rPr>
          <w:lang w:val="en-US" w:eastAsia="en-US"/>
        </w:rPr>
        <w:tab/>
      </w:r>
      <w:r w:rsidR="00F62599">
        <w:rPr>
          <w:lang w:val="en-US" w:eastAsia="en-US"/>
        </w:rPr>
        <w:t xml:space="preserve">If changes to the scheduled or additional meetings are required, the co-chairs shall, after consultation with the Advisory Board, request the secretariat to give notice of any </w:t>
      </w:r>
      <w:r w:rsidR="00F62599">
        <w:rPr>
          <w:lang w:val="en-US" w:eastAsia="en-US"/>
        </w:rPr>
        <w:lastRenderedPageBreak/>
        <w:t>changes in the dates of scheduled meetings and/or of the dates of additional meetings to members and representatives, and observers. To the extent possible, notice of a meeting shall be given at least four weeks before the opening of that meeting.</w:t>
      </w:r>
    </w:p>
    <w:p w14:paraId="61C3A4E2" w14:textId="57F085AF" w:rsidR="00F62599" w:rsidRDefault="00BD5DB4" w:rsidP="00BD5DB4">
      <w:pPr>
        <w:pStyle w:val="RegHChG"/>
        <w:numPr>
          <w:ilvl w:val="0"/>
          <w:numId w:val="0"/>
        </w:numPr>
        <w:tabs>
          <w:tab w:val="left" w:pos="1135"/>
        </w:tabs>
        <w:ind w:left="1135" w:hanging="454"/>
        <w:rPr>
          <w:rFonts w:eastAsia="Times New Roman"/>
          <w:color w:val="000000"/>
          <w:kern w:val="2"/>
          <w:szCs w:val="24"/>
          <w:lang w:val="en-US" w:eastAsia="en-US"/>
          <w14:ligatures w14:val="standardContextual"/>
        </w:rPr>
      </w:pPr>
      <w:r>
        <w:rPr>
          <w:rFonts w:eastAsia="Times New Roman"/>
          <w:color w:val="000000"/>
          <w:kern w:val="2"/>
          <w:szCs w:val="24"/>
          <w:lang w:val="en-US" w:eastAsia="en-US"/>
          <w14:ligatures w14:val="standardContextual"/>
        </w:rPr>
        <w:t>IX.</w:t>
      </w:r>
      <w:r>
        <w:rPr>
          <w:rFonts w:eastAsia="Times New Roman"/>
          <w:color w:val="000000"/>
          <w:kern w:val="2"/>
          <w:szCs w:val="24"/>
          <w:lang w:val="en-US" w:eastAsia="en-US"/>
          <w14:ligatures w14:val="standardContextual"/>
        </w:rPr>
        <w:tab/>
      </w:r>
      <w:r w:rsidR="00F62599">
        <w:rPr>
          <w:rFonts w:eastAsia="Times New Roman"/>
          <w:color w:val="000000"/>
          <w:kern w:val="2"/>
          <w:szCs w:val="24"/>
          <w:lang w:val="en-US" w:eastAsia="en-US"/>
          <w14:ligatures w14:val="standardContextual"/>
        </w:rPr>
        <w:t>Quorum</w:t>
      </w:r>
    </w:p>
    <w:p w14:paraId="29995742" w14:textId="26DF19E1" w:rsidR="00F62599" w:rsidRDefault="00BD5DB4" w:rsidP="00BD5DB4">
      <w:pPr>
        <w:pStyle w:val="RegSingleTxtG"/>
        <w:numPr>
          <w:ilvl w:val="0"/>
          <w:numId w:val="0"/>
        </w:numPr>
        <w:ind w:left="1134"/>
        <w:rPr>
          <w:lang w:val="en-US" w:eastAsia="en-US"/>
        </w:rPr>
      </w:pPr>
      <w:r>
        <w:rPr>
          <w:lang w:val="en-US" w:eastAsia="en-US"/>
        </w:rPr>
        <w:t>35.</w:t>
      </w:r>
      <w:r>
        <w:rPr>
          <w:lang w:val="en-US" w:eastAsia="en-US"/>
        </w:rPr>
        <w:tab/>
      </w:r>
      <w:r w:rsidR="00F62599">
        <w:rPr>
          <w:lang w:val="en-US" w:eastAsia="en-US"/>
        </w:rPr>
        <w:t>At least 10 of the Advisory Board members, as laid out in paragraph 3, must be present at a meeting to constitute a quorum. Members participating in meetings virtually will count towards quorum. A quorum shall be established prior to the commencement of each meeting.</w:t>
      </w:r>
    </w:p>
    <w:p w14:paraId="7AB53AB1" w14:textId="04395784" w:rsidR="00F62599" w:rsidRDefault="00BD5DB4" w:rsidP="00BD5DB4">
      <w:pPr>
        <w:pStyle w:val="RegSingleTxtG"/>
        <w:numPr>
          <w:ilvl w:val="0"/>
          <w:numId w:val="0"/>
        </w:numPr>
        <w:ind w:left="1134"/>
        <w:rPr>
          <w:lang w:val="en-US" w:eastAsia="en-US"/>
        </w:rPr>
      </w:pPr>
      <w:r>
        <w:rPr>
          <w:lang w:val="en-US" w:eastAsia="en-US"/>
        </w:rPr>
        <w:t>36.</w:t>
      </w:r>
      <w:r>
        <w:rPr>
          <w:lang w:val="en-US" w:eastAsia="en-US"/>
        </w:rPr>
        <w:tab/>
      </w:r>
      <w:r w:rsidR="00F62599">
        <w:rPr>
          <w:lang w:val="en-US" w:eastAsia="en-US"/>
        </w:rPr>
        <w:t>A quorum shall be confirmed by the co-chairs immediately prior to the adoption of any decision by the Advisory Board.</w:t>
      </w:r>
    </w:p>
    <w:p w14:paraId="15998F97" w14:textId="12A2A24E" w:rsidR="00F62599" w:rsidRDefault="00BD5DB4" w:rsidP="00BD5DB4">
      <w:pPr>
        <w:pStyle w:val="RegSingleTxtG"/>
        <w:numPr>
          <w:ilvl w:val="0"/>
          <w:numId w:val="0"/>
        </w:numPr>
        <w:ind w:left="1134"/>
        <w:rPr>
          <w:lang w:val="en-US" w:eastAsia="en-US"/>
        </w:rPr>
      </w:pPr>
      <w:r>
        <w:rPr>
          <w:lang w:val="en-US" w:eastAsia="en-US"/>
        </w:rPr>
        <w:t>37.</w:t>
      </w:r>
      <w:r>
        <w:rPr>
          <w:lang w:val="en-US" w:eastAsia="en-US"/>
        </w:rPr>
        <w:tab/>
      </w:r>
      <w:r w:rsidR="00F62599">
        <w:rPr>
          <w:lang w:val="en-US" w:eastAsia="en-US"/>
        </w:rPr>
        <w:t>A member may ask for a confirmation of quorum prior to the commencement of a meeting or prior to the adoption of any decision by the Advisory Board.</w:t>
      </w:r>
    </w:p>
    <w:p w14:paraId="3F264DED" w14:textId="482A1CE0" w:rsidR="00F62599" w:rsidRDefault="00BD5DB4" w:rsidP="00BD5DB4">
      <w:pPr>
        <w:pStyle w:val="RegHChG"/>
        <w:numPr>
          <w:ilvl w:val="0"/>
          <w:numId w:val="0"/>
        </w:numPr>
        <w:tabs>
          <w:tab w:val="left" w:pos="1135"/>
        </w:tabs>
        <w:ind w:left="1135" w:hanging="454"/>
        <w:rPr>
          <w:rFonts w:eastAsia="Times New Roman"/>
          <w:color w:val="000000"/>
          <w:kern w:val="2"/>
          <w:szCs w:val="24"/>
          <w:lang w:val="en-US" w:eastAsia="en-US"/>
          <w14:ligatures w14:val="standardContextual"/>
        </w:rPr>
      </w:pPr>
      <w:r>
        <w:rPr>
          <w:rFonts w:eastAsia="Times New Roman"/>
          <w:color w:val="000000"/>
          <w:kern w:val="2"/>
          <w:szCs w:val="24"/>
          <w:lang w:val="en-US" w:eastAsia="en-US"/>
          <w14:ligatures w14:val="standardContextual"/>
        </w:rPr>
        <w:t>X.</w:t>
      </w:r>
      <w:r>
        <w:rPr>
          <w:rFonts w:eastAsia="Times New Roman"/>
          <w:color w:val="000000"/>
          <w:kern w:val="2"/>
          <w:szCs w:val="24"/>
          <w:lang w:val="en-US" w:eastAsia="en-US"/>
          <w14:ligatures w14:val="standardContextual"/>
        </w:rPr>
        <w:tab/>
      </w:r>
      <w:r w:rsidR="00F62599">
        <w:rPr>
          <w:rFonts w:eastAsia="Times New Roman"/>
          <w:color w:val="000000"/>
          <w:kern w:val="2"/>
          <w:szCs w:val="24"/>
          <w:lang w:val="en-US" w:eastAsia="en-US"/>
          <w14:ligatures w14:val="standardContextual"/>
        </w:rPr>
        <w:t>Agenda and documentation for meetings</w:t>
      </w:r>
    </w:p>
    <w:p w14:paraId="3B884E2C" w14:textId="6FB9DB97" w:rsidR="00F62599" w:rsidRDefault="00BD5DB4" w:rsidP="00BD5DB4">
      <w:pPr>
        <w:pStyle w:val="RegSingleTxtG"/>
        <w:numPr>
          <w:ilvl w:val="0"/>
          <w:numId w:val="0"/>
        </w:numPr>
        <w:ind w:left="1134"/>
        <w:rPr>
          <w:lang w:val="en-US" w:eastAsia="en-US"/>
        </w:rPr>
      </w:pPr>
      <w:r>
        <w:rPr>
          <w:lang w:val="en-US" w:eastAsia="en-US"/>
        </w:rPr>
        <w:t>38.</w:t>
      </w:r>
      <w:r>
        <w:rPr>
          <w:lang w:val="en-US" w:eastAsia="en-US"/>
        </w:rPr>
        <w:tab/>
      </w:r>
      <w:r w:rsidR="00F62599">
        <w:rPr>
          <w:lang w:val="en-US" w:eastAsia="en-US"/>
        </w:rPr>
        <w:t>The co-chairs, assisted by the secretariat, shall prepare the provisional agenda for each meeting as well as a draft report on the meeting.</w:t>
      </w:r>
    </w:p>
    <w:p w14:paraId="772BB5FD" w14:textId="50A1F17B" w:rsidR="00F62599" w:rsidRDefault="00BD5DB4" w:rsidP="00BD5DB4">
      <w:pPr>
        <w:pStyle w:val="RegSingleTxtG"/>
        <w:numPr>
          <w:ilvl w:val="0"/>
          <w:numId w:val="0"/>
        </w:numPr>
        <w:ind w:left="1134"/>
        <w:rPr>
          <w:lang w:val="en-US" w:eastAsia="en-US"/>
        </w:rPr>
      </w:pPr>
      <w:r>
        <w:rPr>
          <w:lang w:val="en-US" w:eastAsia="en-US"/>
        </w:rPr>
        <w:t>39.</w:t>
      </w:r>
      <w:r>
        <w:rPr>
          <w:lang w:val="en-US" w:eastAsia="en-US"/>
        </w:rPr>
        <w:tab/>
      </w:r>
      <w:r w:rsidR="00F62599">
        <w:rPr>
          <w:lang w:val="en-US" w:eastAsia="en-US"/>
        </w:rPr>
        <w:t>Members and representatives may propose additions or changes to the provisional agenda, in writing, to the secretariat within one week of receiving the provisional agenda, and these additions or changes shall be included in a revised provisional agenda prepared by the secretariat with the approval of the co-chairs.</w:t>
      </w:r>
    </w:p>
    <w:p w14:paraId="62F19A1A" w14:textId="095D0553" w:rsidR="00F62599" w:rsidRDefault="00BD5DB4" w:rsidP="00BD5DB4">
      <w:pPr>
        <w:pStyle w:val="RegSingleTxtG"/>
        <w:numPr>
          <w:ilvl w:val="0"/>
          <w:numId w:val="0"/>
        </w:numPr>
        <w:ind w:left="1134"/>
        <w:rPr>
          <w:lang w:val="en-US" w:eastAsia="en-US"/>
        </w:rPr>
      </w:pPr>
      <w:r>
        <w:rPr>
          <w:lang w:val="en-US" w:eastAsia="en-US"/>
        </w:rPr>
        <w:t>40.</w:t>
      </w:r>
      <w:r>
        <w:rPr>
          <w:lang w:val="en-US" w:eastAsia="en-US"/>
        </w:rPr>
        <w:tab/>
      </w:r>
      <w:r w:rsidR="00F62599">
        <w:rPr>
          <w:lang w:val="en-US" w:eastAsia="en-US"/>
        </w:rPr>
        <w:t>The secretariat shall transmit the revised provisional agenda for a meeting to the members and representatives of the Advisory Board at least four weeks prior to that meeting. The revised provisional agenda may be transmitted after that date with the approval of the co-chairs.</w:t>
      </w:r>
    </w:p>
    <w:p w14:paraId="69B1C690" w14:textId="1457DA43" w:rsidR="00F62599" w:rsidRDefault="00BD5DB4" w:rsidP="00BD5DB4">
      <w:pPr>
        <w:pStyle w:val="RegSingleTxtG"/>
        <w:numPr>
          <w:ilvl w:val="0"/>
          <w:numId w:val="0"/>
        </w:numPr>
        <w:ind w:left="1134"/>
        <w:rPr>
          <w:lang w:val="en-US" w:eastAsia="en-US"/>
        </w:rPr>
      </w:pPr>
      <w:r>
        <w:rPr>
          <w:lang w:val="en-US" w:eastAsia="en-US"/>
        </w:rPr>
        <w:t>41.</w:t>
      </w:r>
      <w:r>
        <w:rPr>
          <w:lang w:val="en-US" w:eastAsia="en-US"/>
        </w:rPr>
        <w:tab/>
      </w:r>
      <w:r w:rsidR="00F62599">
        <w:rPr>
          <w:lang w:val="en-US" w:eastAsia="en-US"/>
        </w:rPr>
        <w:t>Unless otherwise decided by the co-chairs, documents for a meeting of the Advisory Board should be published on the Santiago network website at least two weeks prior to that meeting, to the extent possible.</w:t>
      </w:r>
    </w:p>
    <w:p w14:paraId="641B6A76" w14:textId="480F7712" w:rsidR="00F62599" w:rsidRDefault="00BD5DB4" w:rsidP="00BD5DB4">
      <w:pPr>
        <w:pStyle w:val="RegSingleTxtG"/>
        <w:numPr>
          <w:ilvl w:val="0"/>
          <w:numId w:val="0"/>
        </w:numPr>
        <w:ind w:left="1134"/>
        <w:rPr>
          <w:lang w:val="en-US" w:eastAsia="en-US"/>
        </w:rPr>
      </w:pPr>
      <w:r>
        <w:rPr>
          <w:lang w:val="en-US" w:eastAsia="en-US"/>
        </w:rPr>
        <w:t>42.</w:t>
      </w:r>
      <w:r>
        <w:rPr>
          <w:lang w:val="en-US" w:eastAsia="en-US"/>
        </w:rPr>
        <w:tab/>
      </w:r>
      <w:r w:rsidR="00F62599">
        <w:rPr>
          <w:lang w:val="en-US" w:eastAsia="en-US"/>
        </w:rPr>
        <w:t>The Advisory Board shall, at the beginning of each meeting, adopt the meeting agenda.</w:t>
      </w:r>
    </w:p>
    <w:p w14:paraId="0AD01D24" w14:textId="76E84798" w:rsidR="00F62599" w:rsidRDefault="00BD5DB4" w:rsidP="00BD5DB4">
      <w:pPr>
        <w:pStyle w:val="RegSingleTxtG"/>
        <w:numPr>
          <w:ilvl w:val="0"/>
          <w:numId w:val="0"/>
        </w:numPr>
        <w:ind w:left="1134"/>
        <w:rPr>
          <w:lang w:val="en-US" w:eastAsia="en-US"/>
        </w:rPr>
      </w:pPr>
      <w:r>
        <w:rPr>
          <w:lang w:val="en-US" w:eastAsia="en-US"/>
        </w:rPr>
        <w:t>43.</w:t>
      </w:r>
      <w:r>
        <w:rPr>
          <w:lang w:val="en-US" w:eastAsia="en-US"/>
        </w:rPr>
        <w:tab/>
      </w:r>
      <w:r w:rsidR="00F62599">
        <w:rPr>
          <w:lang w:val="en-US" w:eastAsia="en-US"/>
        </w:rPr>
        <w:t>Before the end of each meeting, the co-chairs shall present draft decisions for consideration and approval by the Advisory Board.</w:t>
      </w:r>
    </w:p>
    <w:p w14:paraId="6CFAB39C" w14:textId="0A5195B0" w:rsidR="00F62599" w:rsidRDefault="00BD5DB4" w:rsidP="00BD5DB4">
      <w:pPr>
        <w:pStyle w:val="RegHChG"/>
        <w:numPr>
          <w:ilvl w:val="0"/>
          <w:numId w:val="0"/>
        </w:numPr>
        <w:tabs>
          <w:tab w:val="left" w:pos="1135"/>
        </w:tabs>
        <w:ind w:left="1135" w:hanging="454"/>
        <w:rPr>
          <w:rFonts w:eastAsia="Times New Roman"/>
          <w:color w:val="000000"/>
          <w:kern w:val="2"/>
          <w:szCs w:val="24"/>
          <w:lang w:val="en-US" w:eastAsia="en-US"/>
          <w14:ligatures w14:val="standardContextual"/>
        </w:rPr>
      </w:pPr>
      <w:r>
        <w:rPr>
          <w:rFonts w:eastAsia="Times New Roman"/>
          <w:color w:val="000000"/>
          <w:kern w:val="2"/>
          <w:szCs w:val="24"/>
          <w:lang w:val="en-US" w:eastAsia="en-US"/>
          <w14:ligatures w14:val="standardContextual"/>
        </w:rPr>
        <w:t>XI.</w:t>
      </w:r>
      <w:r>
        <w:rPr>
          <w:rFonts w:eastAsia="Times New Roman"/>
          <w:color w:val="000000"/>
          <w:kern w:val="2"/>
          <w:szCs w:val="24"/>
          <w:lang w:val="en-US" w:eastAsia="en-US"/>
          <w14:ligatures w14:val="standardContextual"/>
        </w:rPr>
        <w:tab/>
      </w:r>
      <w:r w:rsidR="00F62599">
        <w:rPr>
          <w:rFonts w:eastAsia="Times New Roman"/>
          <w:color w:val="000000"/>
          <w:kern w:val="2"/>
          <w:szCs w:val="24"/>
          <w:lang w:val="en-US" w:eastAsia="en-US"/>
          <w14:ligatures w14:val="standardContextual"/>
        </w:rPr>
        <w:t>Decision-making</w:t>
      </w:r>
    </w:p>
    <w:p w14:paraId="68C95717" w14:textId="1695C274" w:rsidR="00F62599" w:rsidRPr="0084490D" w:rsidRDefault="00BD5DB4" w:rsidP="00BD5DB4">
      <w:pPr>
        <w:pStyle w:val="RegSingleTxtG"/>
        <w:numPr>
          <w:ilvl w:val="0"/>
          <w:numId w:val="0"/>
        </w:numPr>
        <w:ind w:left="1134"/>
        <w:rPr>
          <w:lang w:val="en-US" w:eastAsia="en-US"/>
        </w:rPr>
      </w:pPr>
      <w:r w:rsidRPr="0084490D">
        <w:rPr>
          <w:lang w:val="en-US" w:eastAsia="en-US"/>
        </w:rPr>
        <w:t>44.</w:t>
      </w:r>
      <w:r w:rsidRPr="0084490D">
        <w:rPr>
          <w:lang w:val="en-US" w:eastAsia="en-US"/>
        </w:rPr>
        <w:tab/>
      </w:r>
      <w:r w:rsidR="00F62599" w:rsidRPr="0084490D">
        <w:t>Decisions</w:t>
      </w:r>
      <w:r w:rsidR="00F62599" w:rsidRPr="0084490D">
        <w:rPr>
          <w:lang w:val="en-US" w:eastAsia="en-US"/>
        </w:rPr>
        <w:t xml:space="preserve"> of the Advisory Board will be taken by consensus by its members as laid out in paragraph 3.</w:t>
      </w:r>
    </w:p>
    <w:p w14:paraId="0F1EEB18" w14:textId="09121AAB" w:rsidR="00F62599" w:rsidRDefault="00BD5DB4" w:rsidP="00BD5DB4">
      <w:pPr>
        <w:pStyle w:val="RegSingleTxtG"/>
        <w:numPr>
          <w:ilvl w:val="0"/>
          <w:numId w:val="0"/>
        </w:numPr>
        <w:ind w:left="1134"/>
        <w:rPr>
          <w:lang w:val="en-US" w:eastAsia="en-US"/>
        </w:rPr>
      </w:pPr>
      <w:r>
        <w:rPr>
          <w:lang w:val="en-US" w:eastAsia="en-US"/>
        </w:rPr>
        <w:t>45.</w:t>
      </w:r>
      <w:r>
        <w:rPr>
          <w:lang w:val="en-US" w:eastAsia="en-US"/>
        </w:rPr>
        <w:tab/>
      </w:r>
      <w:r w:rsidR="00F62599">
        <w:rPr>
          <w:lang w:val="en-US" w:eastAsia="en-US"/>
        </w:rPr>
        <w:t>Efforts by the co-chairs to facilitate the reaching of consensus may include:</w:t>
      </w:r>
    </w:p>
    <w:p w14:paraId="302DB41D" w14:textId="6A6A3F7A" w:rsidR="00F62599" w:rsidRDefault="00BD5DB4" w:rsidP="00BD5DB4">
      <w:pPr>
        <w:pStyle w:val="RegSingleTxtG2"/>
        <w:numPr>
          <w:ilvl w:val="0"/>
          <w:numId w:val="0"/>
        </w:numPr>
        <w:tabs>
          <w:tab w:val="left" w:pos="1702"/>
        </w:tabs>
        <w:ind w:left="1134" w:firstLine="567"/>
        <w:rPr>
          <w:lang w:val="en-US" w:eastAsia="en-US"/>
        </w:rPr>
      </w:pPr>
      <w:r>
        <w:rPr>
          <w:szCs w:val="28"/>
          <w:lang w:val="en-US" w:eastAsia="en-US"/>
        </w:rPr>
        <w:t>(a)</w:t>
      </w:r>
      <w:r>
        <w:rPr>
          <w:szCs w:val="28"/>
          <w:lang w:val="en-US" w:eastAsia="en-US"/>
        </w:rPr>
        <w:tab/>
      </w:r>
      <w:r w:rsidR="00F62599">
        <w:rPr>
          <w:lang w:val="en-US" w:eastAsia="en-US"/>
        </w:rPr>
        <w:t>Consulting with members on draft documents, including draft decisions, prior to the meeting;</w:t>
      </w:r>
    </w:p>
    <w:p w14:paraId="64637F72" w14:textId="2743ADAB" w:rsidR="00F62599" w:rsidRDefault="00BD5DB4" w:rsidP="00BD5DB4">
      <w:pPr>
        <w:pStyle w:val="RegSingleTxtG2"/>
        <w:numPr>
          <w:ilvl w:val="0"/>
          <w:numId w:val="0"/>
        </w:numPr>
        <w:tabs>
          <w:tab w:val="left" w:pos="1702"/>
        </w:tabs>
        <w:ind w:left="1134" w:firstLine="567"/>
        <w:rPr>
          <w:lang w:val="en-US" w:eastAsia="en-US"/>
        </w:rPr>
      </w:pPr>
      <w:r>
        <w:rPr>
          <w:szCs w:val="28"/>
          <w:lang w:val="en-US" w:eastAsia="en-US"/>
        </w:rPr>
        <w:t>(b)</w:t>
      </w:r>
      <w:r>
        <w:rPr>
          <w:szCs w:val="28"/>
          <w:lang w:val="en-US" w:eastAsia="en-US"/>
        </w:rPr>
        <w:tab/>
      </w:r>
      <w:r w:rsidR="00F62599">
        <w:rPr>
          <w:lang w:val="en-US" w:eastAsia="en-US"/>
        </w:rPr>
        <w:t>Consulting with members on the relevant matter during the meeting;</w:t>
      </w:r>
    </w:p>
    <w:p w14:paraId="581D1A1F" w14:textId="30EDA0EF" w:rsidR="00F62599" w:rsidRDefault="00BD5DB4" w:rsidP="00BD5DB4">
      <w:pPr>
        <w:pStyle w:val="RegSingleTxtG2"/>
        <w:numPr>
          <w:ilvl w:val="0"/>
          <w:numId w:val="0"/>
        </w:numPr>
        <w:tabs>
          <w:tab w:val="left" w:pos="1702"/>
        </w:tabs>
        <w:ind w:left="1134" w:firstLine="567"/>
        <w:rPr>
          <w:lang w:val="en-US" w:eastAsia="en-US"/>
        </w:rPr>
      </w:pPr>
      <w:r>
        <w:rPr>
          <w:szCs w:val="28"/>
          <w:lang w:val="en-US" w:eastAsia="en-US"/>
        </w:rPr>
        <w:t>(c)</w:t>
      </w:r>
      <w:r>
        <w:rPr>
          <w:szCs w:val="28"/>
          <w:lang w:val="en-US" w:eastAsia="en-US"/>
        </w:rPr>
        <w:tab/>
      </w:r>
      <w:r w:rsidR="00F62599">
        <w:rPr>
          <w:lang w:val="en-US" w:eastAsia="en-US"/>
        </w:rPr>
        <w:t>Providing the opportunity for members to state and/or formally record in the report on the relevant meeting their reservations regarding a particular decision without preventing consensus from being reached.</w:t>
      </w:r>
    </w:p>
    <w:p w14:paraId="6F7FEBB4" w14:textId="108A9E75" w:rsidR="00F62599" w:rsidRDefault="00BD5DB4" w:rsidP="00BD5DB4">
      <w:pPr>
        <w:pStyle w:val="RegSingleTxtG2"/>
        <w:numPr>
          <w:ilvl w:val="0"/>
          <w:numId w:val="0"/>
        </w:numPr>
        <w:tabs>
          <w:tab w:val="left" w:pos="1702"/>
        </w:tabs>
        <w:ind w:left="1134" w:firstLine="567"/>
        <w:rPr>
          <w:lang w:val="en-US" w:eastAsia="en-US"/>
        </w:rPr>
      </w:pPr>
      <w:r>
        <w:rPr>
          <w:szCs w:val="28"/>
          <w:lang w:val="en-US" w:eastAsia="en-US"/>
        </w:rPr>
        <w:t>(d)</w:t>
      </w:r>
      <w:r>
        <w:rPr>
          <w:szCs w:val="28"/>
          <w:lang w:val="en-US" w:eastAsia="en-US"/>
        </w:rPr>
        <w:tab/>
      </w:r>
      <w:r w:rsidR="00F62599">
        <w:rPr>
          <w:lang w:val="en-US" w:eastAsia="en-US"/>
        </w:rPr>
        <w:t>Postponing the decision on the matter to a later meeting in order to allow for further exchange on the matter;</w:t>
      </w:r>
    </w:p>
    <w:p w14:paraId="19824D6E" w14:textId="45A61BF0" w:rsidR="00F62599" w:rsidRDefault="00BD5DB4" w:rsidP="00BD5DB4">
      <w:pPr>
        <w:pStyle w:val="RegSingleTxtG"/>
        <w:numPr>
          <w:ilvl w:val="0"/>
          <w:numId w:val="0"/>
        </w:numPr>
        <w:ind w:left="1134"/>
        <w:rPr>
          <w:lang w:val="en-US" w:eastAsia="en-US"/>
        </w:rPr>
      </w:pPr>
      <w:r>
        <w:rPr>
          <w:lang w:val="en-US" w:eastAsia="en-US"/>
        </w:rPr>
        <w:t>46.</w:t>
      </w:r>
      <w:r>
        <w:rPr>
          <w:lang w:val="en-US" w:eastAsia="en-US"/>
        </w:rPr>
        <w:tab/>
      </w:r>
      <w:r w:rsidR="00F62599">
        <w:rPr>
          <w:lang w:val="en-US" w:eastAsia="en-US"/>
        </w:rPr>
        <w:t>If all efforts at reaching consensus have been exhausted, and no consensus is reached, decisions will be taken by a four-fifths majority of the members present and voting.</w:t>
      </w:r>
    </w:p>
    <w:p w14:paraId="36E14450" w14:textId="5C1FA913" w:rsidR="00F62599" w:rsidRDefault="00BD5DB4" w:rsidP="00BD5DB4">
      <w:pPr>
        <w:pStyle w:val="RegSingleTxtG"/>
        <w:numPr>
          <w:ilvl w:val="0"/>
          <w:numId w:val="0"/>
        </w:numPr>
        <w:ind w:left="1134"/>
        <w:rPr>
          <w:lang w:val="en-US" w:eastAsia="en-US"/>
        </w:rPr>
      </w:pPr>
      <w:r>
        <w:rPr>
          <w:lang w:val="en-US" w:eastAsia="en-US"/>
        </w:rPr>
        <w:lastRenderedPageBreak/>
        <w:t>47.</w:t>
      </w:r>
      <w:r>
        <w:rPr>
          <w:lang w:val="en-US" w:eastAsia="en-US"/>
        </w:rPr>
        <w:tab/>
      </w:r>
      <w:r w:rsidR="00F62599">
        <w:rPr>
          <w:lang w:val="en-US" w:eastAsia="en-US"/>
        </w:rPr>
        <w:t>The co-chairs, acting together and in good faith, and following consultations with all members, shall determine whether all efforts at reaching consensus in respect of a particular draft decision have been exhausted.</w:t>
      </w:r>
    </w:p>
    <w:p w14:paraId="7B06723F" w14:textId="7F578895" w:rsidR="00F62599" w:rsidRDefault="00BD5DB4" w:rsidP="00BD5DB4">
      <w:pPr>
        <w:pStyle w:val="RegSingleTxtG"/>
        <w:numPr>
          <w:ilvl w:val="0"/>
          <w:numId w:val="0"/>
        </w:numPr>
        <w:ind w:left="1134"/>
        <w:rPr>
          <w:lang w:val="en-US" w:eastAsia="en-US"/>
        </w:rPr>
      </w:pPr>
      <w:r>
        <w:rPr>
          <w:lang w:val="en-US" w:eastAsia="en-US"/>
        </w:rPr>
        <w:t>48.</w:t>
      </w:r>
      <w:r>
        <w:rPr>
          <w:lang w:val="en-US" w:eastAsia="en-US"/>
        </w:rPr>
        <w:tab/>
      </w:r>
      <w:r w:rsidR="00F62599">
        <w:rPr>
          <w:lang w:val="en-US" w:eastAsia="en-US"/>
        </w:rPr>
        <w:t>In making such a determination the co-chairs shall take into consideration:</w:t>
      </w:r>
    </w:p>
    <w:p w14:paraId="4159DC23" w14:textId="22F3D5A3" w:rsidR="00F62599" w:rsidRDefault="00BD5DB4" w:rsidP="00BD5DB4">
      <w:pPr>
        <w:pStyle w:val="RegSingleTxtG2"/>
        <w:numPr>
          <w:ilvl w:val="0"/>
          <w:numId w:val="0"/>
        </w:numPr>
        <w:tabs>
          <w:tab w:val="left" w:pos="1702"/>
        </w:tabs>
        <w:ind w:left="1134" w:firstLine="567"/>
        <w:rPr>
          <w:lang w:val="en-US" w:eastAsia="en-US"/>
        </w:rPr>
      </w:pPr>
      <w:r>
        <w:rPr>
          <w:szCs w:val="28"/>
          <w:lang w:val="en-US" w:eastAsia="en-US"/>
        </w:rPr>
        <w:t>(a)</w:t>
      </w:r>
      <w:r>
        <w:rPr>
          <w:szCs w:val="28"/>
          <w:lang w:val="en-US" w:eastAsia="en-US"/>
        </w:rPr>
        <w:tab/>
      </w:r>
      <w:r w:rsidR="00F62599">
        <w:rPr>
          <w:lang w:val="en-US" w:eastAsia="en-US"/>
        </w:rPr>
        <w:t>Whether consultations on the relevant matter have occurred during and/or between meetings, including between the co-chairs, without consensus being reached;</w:t>
      </w:r>
    </w:p>
    <w:p w14:paraId="2F5F114B" w14:textId="6B72820B" w:rsidR="00F62599" w:rsidRDefault="00BD5DB4" w:rsidP="00BD5DB4">
      <w:pPr>
        <w:pStyle w:val="RegSingleTxtG2"/>
        <w:numPr>
          <w:ilvl w:val="0"/>
          <w:numId w:val="0"/>
        </w:numPr>
        <w:tabs>
          <w:tab w:val="left" w:pos="1702"/>
        </w:tabs>
        <w:ind w:left="1134" w:firstLine="567"/>
        <w:rPr>
          <w:lang w:val="en-US" w:eastAsia="en-US"/>
        </w:rPr>
      </w:pPr>
      <w:r>
        <w:rPr>
          <w:szCs w:val="28"/>
          <w:lang w:val="en-US" w:eastAsia="en-US"/>
        </w:rPr>
        <w:t>(b)</w:t>
      </w:r>
      <w:r>
        <w:rPr>
          <w:szCs w:val="28"/>
          <w:lang w:val="en-US" w:eastAsia="en-US"/>
        </w:rPr>
        <w:tab/>
      </w:r>
      <w:r w:rsidR="00F62599">
        <w:rPr>
          <w:lang w:val="en-US" w:eastAsia="en-US"/>
        </w:rPr>
        <w:t>Whether the subject matter of the draft decision has been considered at prior meetings without consensus being reached;</w:t>
      </w:r>
    </w:p>
    <w:p w14:paraId="6D273745" w14:textId="53D69DD9" w:rsidR="00F62599" w:rsidRDefault="00BD5DB4" w:rsidP="00BD5DB4">
      <w:pPr>
        <w:pStyle w:val="RegSingleTxtG2"/>
        <w:numPr>
          <w:ilvl w:val="0"/>
          <w:numId w:val="0"/>
        </w:numPr>
        <w:tabs>
          <w:tab w:val="left" w:pos="1702"/>
        </w:tabs>
        <w:ind w:left="1134" w:firstLine="567"/>
        <w:rPr>
          <w:lang w:val="en-US" w:eastAsia="en-US"/>
        </w:rPr>
      </w:pPr>
      <w:r>
        <w:rPr>
          <w:szCs w:val="28"/>
          <w:lang w:val="en-US" w:eastAsia="en-US"/>
        </w:rPr>
        <w:t>(c)</w:t>
      </w:r>
      <w:r>
        <w:rPr>
          <w:szCs w:val="28"/>
          <w:lang w:val="en-US" w:eastAsia="en-US"/>
        </w:rPr>
        <w:tab/>
      </w:r>
      <w:r w:rsidR="00F62599">
        <w:rPr>
          <w:lang w:val="en-US" w:eastAsia="en-US"/>
        </w:rPr>
        <w:t>Whether and how many members have indicated that they cannot join consensus on a decision.</w:t>
      </w:r>
    </w:p>
    <w:p w14:paraId="148047C8" w14:textId="45972E43" w:rsidR="00F62599" w:rsidRDefault="00BD5DB4" w:rsidP="00BD5DB4">
      <w:pPr>
        <w:pStyle w:val="RegSingleTxtG"/>
        <w:numPr>
          <w:ilvl w:val="0"/>
          <w:numId w:val="0"/>
        </w:numPr>
        <w:ind w:left="1134"/>
        <w:rPr>
          <w:lang w:val="en-US" w:eastAsia="en-US"/>
        </w:rPr>
      </w:pPr>
      <w:r>
        <w:rPr>
          <w:lang w:val="en-US" w:eastAsia="en-US"/>
        </w:rPr>
        <w:t>49.</w:t>
      </w:r>
      <w:r>
        <w:rPr>
          <w:lang w:val="en-US" w:eastAsia="en-US"/>
        </w:rPr>
        <w:tab/>
      </w:r>
      <w:r w:rsidR="00F62599">
        <w:rPr>
          <w:lang w:val="en-US" w:eastAsia="en-US"/>
        </w:rPr>
        <w:t>Each member shall have one vote.</w:t>
      </w:r>
      <w:r w:rsidR="00F62599" w:rsidDel="00900469">
        <w:rPr>
          <w:lang w:val="en-US" w:eastAsia="en-US"/>
        </w:rPr>
        <w:t xml:space="preserve"> </w:t>
      </w:r>
      <w:r w:rsidR="00F62599">
        <w:rPr>
          <w:lang w:val="en-US" w:eastAsia="en-US"/>
        </w:rPr>
        <w:t>For the purpose of this rule, “members present and voting” means members participating in the meeting (both in person and virtually) at which voting takes place and casting an affirmative or negative vote. Members abstaining from voting shall be considered as not voting for the purpose of determining the four-fifths majority.</w:t>
      </w:r>
    </w:p>
    <w:p w14:paraId="184E84EC" w14:textId="0C12BADC" w:rsidR="00F62599" w:rsidRDefault="00BD5DB4" w:rsidP="00BD5DB4">
      <w:pPr>
        <w:pStyle w:val="RegHChG"/>
        <w:numPr>
          <w:ilvl w:val="0"/>
          <w:numId w:val="0"/>
        </w:numPr>
        <w:tabs>
          <w:tab w:val="left" w:pos="1135"/>
        </w:tabs>
        <w:ind w:left="1135" w:hanging="454"/>
        <w:rPr>
          <w:rFonts w:eastAsia="Times New Roman"/>
          <w:color w:val="000000"/>
          <w:kern w:val="2"/>
          <w:sz w:val="24"/>
          <w:szCs w:val="24"/>
          <w:lang w:val="en-US" w:eastAsia="en-US"/>
          <w14:ligatures w14:val="standardContextual"/>
        </w:rPr>
      </w:pPr>
      <w:r>
        <w:rPr>
          <w:rFonts w:eastAsia="Times New Roman"/>
          <w:color w:val="000000"/>
          <w:kern w:val="2"/>
          <w:szCs w:val="24"/>
          <w:lang w:val="en-US" w:eastAsia="en-US"/>
          <w14:ligatures w14:val="standardContextual"/>
        </w:rPr>
        <w:t>XII.</w:t>
      </w:r>
      <w:r>
        <w:rPr>
          <w:rFonts w:eastAsia="Times New Roman"/>
          <w:color w:val="000000"/>
          <w:kern w:val="2"/>
          <w:szCs w:val="24"/>
          <w:lang w:val="en-US" w:eastAsia="en-US"/>
          <w14:ligatures w14:val="standardContextual"/>
        </w:rPr>
        <w:tab/>
      </w:r>
      <w:r w:rsidR="00F62599">
        <w:rPr>
          <w:rFonts w:eastAsia="Times New Roman"/>
          <w:color w:val="000000"/>
          <w:kern w:val="2"/>
          <w:szCs w:val="24"/>
          <w:lang w:val="en-US" w:eastAsia="en-US"/>
          <w14:ligatures w14:val="standardContextual"/>
        </w:rPr>
        <w:t>Process for intersessional decision making:</w:t>
      </w:r>
    </w:p>
    <w:p w14:paraId="174E0D3B" w14:textId="08284604" w:rsidR="00F62599" w:rsidRDefault="00BD5DB4" w:rsidP="00BD5DB4">
      <w:pPr>
        <w:pStyle w:val="RegSingleTxtG"/>
        <w:numPr>
          <w:ilvl w:val="0"/>
          <w:numId w:val="0"/>
        </w:numPr>
        <w:ind w:left="1134"/>
        <w:rPr>
          <w:lang w:val="en-US" w:eastAsia="en-US"/>
        </w:rPr>
      </w:pPr>
      <w:r>
        <w:rPr>
          <w:lang w:val="en-US" w:eastAsia="en-US"/>
        </w:rPr>
        <w:t>50.</w:t>
      </w:r>
      <w:r>
        <w:rPr>
          <w:lang w:val="en-US" w:eastAsia="en-US"/>
        </w:rPr>
        <w:tab/>
      </w:r>
      <w:r w:rsidR="00F62599">
        <w:rPr>
          <w:lang w:val="en-US" w:eastAsia="en-US"/>
        </w:rPr>
        <w:t>The Advisory Board may take a decision without meeting on an extraordinary basis when, in the judgment of both co-chairs, such a decision should not be postponed to the next Advisory Board meeting. In such a case, the secretariat, with the approval of the co-chairs, shall transmit to Board members a proposed decision with the invitation to approve the decision on a non-objection basis for a prescribed period (generally 21 days but in urgent cases no less than one week). Copies of such a proposal shall be provided to the representatives for their information.</w:t>
      </w:r>
    </w:p>
    <w:p w14:paraId="285E4C74" w14:textId="43FE26EE" w:rsidR="00F62599" w:rsidRDefault="00BD5DB4" w:rsidP="00BD5DB4">
      <w:pPr>
        <w:pStyle w:val="RegSingleTxtG"/>
        <w:numPr>
          <w:ilvl w:val="0"/>
          <w:numId w:val="0"/>
        </w:numPr>
        <w:ind w:left="1134"/>
        <w:rPr>
          <w:lang w:val="en-US" w:eastAsia="en-US"/>
        </w:rPr>
      </w:pPr>
      <w:r>
        <w:rPr>
          <w:lang w:val="en-US" w:eastAsia="en-US"/>
        </w:rPr>
        <w:t>51.</w:t>
      </w:r>
      <w:r>
        <w:rPr>
          <w:lang w:val="en-US" w:eastAsia="en-US"/>
        </w:rPr>
        <w:tab/>
      </w:r>
      <w:r w:rsidR="00F62599">
        <w:rPr>
          <w:lang w:val="en-US" w:eastAsia="en-US"/>
        </w:rPr>
        <w:t>The provisions on quorum and other rules set forth in these rules of procedure shall apply mutatis mutandis to the aforementioned procedure.</w:t>
      </w:r>
    </w:p>
    <w:p w14:paraId="44A7C493" w14:textId="26AFDEAC" w:rsidR="00F62599" w:rsidRDefault="00BD5DB4" w:rsidP="00BD5DB4">
      <w:pPr>
        <w:pStyle w:val="RegSingleTxtG"/>
        <w:numPr>
          <w:ilvl w:val="0"/>
          <w:numId w:val="0"/>
        </w:numPr>
        <w:ind w:left="1134"/>
        <w:rPr>
          <w:lang w:val="en-US" w:eastAsia="en-US"/>
        </w:rPr>
      </w:pPr>
      <w:r>
        <w:rPr>
          <w:lang w:val="en-US" w:eastAsia="en-US"/>
        </w:rPr>
        <w:t>52.</w:t>
      </w:r>
      <w:r>
        <w:rPr>
          <w:lang w:val="en-US" w:eastAsia="en-US"/>
        </w:rPr>
        <w:tab/>
      </w:r>
      <w:r w:rsidR="00F62599">
        <w:rPr>
          <w:lang w:val="en-US" w:eastAsia="en-US"/>
        </w:rPr>
        <w:t>In the absence of an objection by an Advisory Board member within the prescribed period, the decision will be deemed taken upon the expiration of the prescribed period. If an objection is received within the prescribed period, the co-chairs will work to resolve the concerns of the objecting Board member(s) directly. If the objecting Board member(s) uphold their objection following discussion with the co-chairs, the proposed decision will be considered by the Board at the following Advisory Board meeting. The secretariat shall circulate all written comments and objections to Advisory Board members and representatives and notify all members and representatives of the action taken pursuant to this paragraph.</w:t>
      </w:r>
    </w:p>
    <w:p w14:paraId="732D0B59" w14:textId="179ABF76" w:rsidR="00F62599" w:rsidRDefault="00BD5DB4" w:rsidP="00BD5DB4">
      <w:pPr>
        <w:pStyle w:val="RegSingleTxtG"/>
        <w:numPr>
          <w:ilvl w:val="0"/>
          <w:numId w:val="0"/>
        </w:numPr>
        <w:ind w:left="1134"/>
        <w:rPr>
          <w:lang w:val="en-US" w:eastAsia="en-US"/>
        </w:rPr>
      </w:pPr>
      <w:r>
        <w:rPr>
          <w:lang w:val="en-US" w:eastAsia="en-US"/>
        </w:rPr>
        <w:t>53.</w:t>
      </w:r>
      <w:r>
        <w:rPr>
          <w:lang w:val="en-US" w:eastAsia="en-US"/>
        </w:rPr>
        <w:tab/>
      </w:r>
      <w:r w:rsidR="00F62599">
        <w:rPr>
          <w:lang w:val="en-US" w:eastAsia="en-US"/>
        </w:rPr>
        <w:t>Decisions approved between meetings shall be recorded in the report of the following Board meeting.</w:t>
      </w:r>
    </w:p>
    <w:p w14:paraId="22194E45" w14:textId="231FD77E" w:rsidR="00F62599" w:rsidRDefault="00BD5DB4" w:rsidP="00BD5DB4">
      <w:pPr>
        <w:pStyle w:val="RegHChG"/>
        <w:numPr>
          <w:ilvl w:val="0"/>
          <w:numId w:val="0"/>
        </w:numPr>
        <w:tabs>
          <w:tab w:val="left" w:pos="1135"/>
        </w:tabs>
        <w:ind w:left="1135" w:hanging="454"/>
        <w:rPr>
          <w:rFonts w:eastAsia="Times New Roman"/>
          <w:color w:val="000000"/>
          <w:kern w:val="2"/>
          <w:szCs w:val="24"/>
          <w:lang w:val="en-US" w:eastAsia="en-US"/>
          <w14:ligatures w14:val="standardContextual"/>
        </w:rPr>
      </w:pPr>
      <w:r>
        <w:rPr>
          <w:rFonts w:eastAsia="Times New Roman"/>
          <w:color w:val="000000"/>
          <w:kern w:val="2"/>
          <w:szCs w:val="24"/>
          <w:lang w:val="en-US" w:eastAsia="en-US"/>
          <w14:ligatures w14:val="standardContextual"/>
        </w:rPr>
        <w:t>XIII.</w:t>
      </w:r>
      <w:r>
        <w:rPr>
          <w:rFonts w:eastAsia="Times New Roman"/>
          <w:color w:val="000000"/>
          <w:kern w:val="2"/>
          <w:szCs w:val="24"/>
          <w:lang w:val="en-US" w:eastAsia="en-US"/>
          <w14:ligatures w14:val="standardContextual"/>
        </w:rPr>
        <w:tab/>
      </w:r>
      <w:r w:rsidR="00F62599">
        <w:rPr>
          <w:rFonts w:eastAsia="Times New Roman"/>
          <w:color w:val="000000"/>
          <w:kern w:val="2"/>
          <w:szCs w:val="24"/>
          <w:lang w:val="en-US" w:eastAsia="en-US"/>
          <w14:ligatures w14:val="standardContextual"/>
        </w:rPr>
        <w:t>Use of electronic means of communication</w:t>
      </w:r>
    </w:p>
    <w:p w14:paraId="3FDC6723" w14:textId="3B28B11F" w:rsidR="00F62599" w:rsidRDefault="00BD5DB4" w:rsidP="00BD5DB4">
      <w:pPr>
        <w:pStyle w:val="RegSingleTxtG"/>
        <w:numPr>
          <w:ilvl w:val="0"/>
          <w:numId w:val="0"/>
        </w:numPr>
        <w:ind w:left="1134"/>
        <w:rPr>
          <w:rFonts w:eastAsia="Times New Roman"/>
          <w:color w:val="000000"/>
          <w:kern w:val="2"/>
          <w:lang w:val="en-US" w:eastAsia="en-US"/>
          <w14:ligatures w14:val="standardContextual"/>
        </w:rPr>
      </w:pPr>
      <w:r>
        <w:rPr>
          <w:rFonts w:eastAsia="Times New Roman"/>
          <w:color w:val="000000"/>
          <w:kern w:val="2"/>
          <w:lang w:val="en-US" w:eastAsia="en-US"/>
          <w14:ligatures w14:val="standardContextual"/>
        </w:rPr>
        <w:t>54.</w:t>
      </w:r>
      <w:r>
        <w:rPr>
          <w:rFonts w:eastAsia="Times New Roman"/>
          <w:color w:val="000000"/>
          <w:kern w:val="2"/>
          <w:lang w:val="en-US" w:eastAsia="en-US"/>
          <w14:ligatures w14:val="standardContextual"/>
        </w:rPr>
        <w:tab/>
      </w:r>
      <w:r w:rsidR="00F62599">
        <w:rPr>
          <w:rFonts w:eastAsia="Times New Roman"/>
          <w:color w:val="000000"/>
          <w:kern w:val="2"/>
          <w:lang w:val="en-US" w:eastAsia="en-US"/>
          <w14:ligatures w14:val="standardContextual"/>
        </w:rPr>
        <w:t>The Advisory Board may use electronic means of communication to facilitate work and to take decisions in accordance with guidelines to be agreed by the Advisory Board. The secretariat shall ensure that a secure and dedicated web interface is established and maintained to facilitate the work of the Board.</w:t>
      </w:r>
    </w:p>
    <w:p w14:paraId="056D7ACB" w14:textId="2B88D38E" w:rsidR="00F62599" w:rsidRDefault="00BD5DB4" w:rsidP="00BD5DB4">
      <w:pPr>
        <w:pStyle w:val="RegHChG"/>
        <w:numPr>
          <w:ilvl w:val="0"/>
          <w:numId w:val="0"/>
        </w:numPr>
        <w:tabs>
          <w:tab w:val="left" w:pos="1135"/>
        </w:tabs>
        <w:ind w:left="1135" w:hanging="454"/>
        <w:rPr>
          <w:rFonts w:eastAsia="Times New Roman"/>
          <w:color w:val="000000"/>
          <w:kern w:val="2"/>
          <w:szCs w:val="24"/>
          <w:lang w:val="en-US" w:eastAsia="en-US"/>
          <w14:ligatures w14:val="standardContextual"/>
        </w:rPr>
      </w:pPr>
      <w:r>
        <w:rPr>
          <w:rFonts w:eastAsia="Times New Roman"/>
          <w:color w:val="000000"/>
          <w:kern w:val="2"/>
          <w:szCs w:val="24"/>
          <w:lang w:val="en-US" w:eastAsia="en-US"/>
          <w14:ligatures w14:val="standardContextual"/>
        </w:rPr>
        <w:t>XIV.</w:t>
      </w:r>
      <w:r>
        <w:rPr>
          <w:rFonts w:eastAsia="Times New Roman"/>
          <w:color w:val="000000"/>
          <w:kern w:val="2"/>
          <w:szCs w:val="24"/>
          <w:lang w:val="en-US" w:eastAsia="en-US"/>
          <w14:ligatures w14:val="standardContextual"/>
        </w:rPr>
        <w:tab/>
      </w:r>
      <w:r w:rsidR="00F62599">
        <w:rPr>
          <w:rFonts w:eastAsia="Times New Roman"/>
          <w:color w:val="000000"/>
          <w:kern w:val="2"/>
          <w:szCs w:val="24"/>
          <w:lang w:val="en-US" w:eastAsia="en-US"/>
          <w14:ligatures w14:val="standardContextual"/>
        </w:rPr>
        <w:t>Participation of observers in meetings</w:t>
      </w:r>
    </w:p>
    <w:p w14:paraId="540C5F63" w14:textId="5CF7DA91" w:rsidR="00F62599" w:rsidRDefault="00BD5DB4" w:rsidP="00BD5DB4">
      <w:pPr>
        <w:pStyle w:val="RegSingleTxtG"/>
        <w:numPr>
          <w:ilvl w:val="0"/>
          <w:numId w:val="0"/>
        </w:numPr>
        <w:ind w:left="1134"/>
        <w:rPr>
          <w:lang w:val="en-US" w:eastAsia="en-US"/>
        </w:rPr>
      </w:pPr>
      <w:r>
        <w:rPr>
          <w:lang w:val="en-US" w:eastAsia="en-US"/>
        </w:rPr>
        <w:t>55.</w:t>
      </w:r>
      <w:r>
        <w:rPr>
          <w:lang w:val="en-US" w:eastAsia="en-US"/>
        </w:rPr>
        <w:tab/>
      </w:r>
      <w:r w:rsidR="00F62599">
        <w:rPr>
          <w:lang w:val="en-US" w:eastAsia="en-US"/>
        </w:rPr>
        <w:t>Advisory Board meetings will be open to observers, unless otherwise decided by the Advisory Board, and the Advisory Board will invite observers from relevant constituted bodies, civil society organizations and other organizations, bodies, networks and experts to attend its meetings in order to provide technical expertise and inputs, as appropriate, to the Advisory Board for its deliberations.</w:t>
      </w:r>
    </w:p>
    <w:p w14:paraId="79B44828" w14:textId="465F9C31" w:rsidR="00F62599" w:rsidRDefault="00BD5DB4" w:rsidP="00BD5DB4">
      <w:pPr>
        <w:pStyle w:val="RegSingleTxtG"/>
        <w:numPr>
          <w:ilvl w:val="0"/>
          <w:numId w:val="0"/>
        </w:numPr>
        <w:ind w:left="1134"/>
        <w:rPr>
          <w:lang w:val="en-US" w:eastAsia="en-US"/>
        </w:rPr>
      </w:pPr>
      <w:r>
        <w:rPr>
          <w:lang w:val="en-US" w:eastAsia="en-US"/>
        </w:rPr>
        <w:lastRenderedPageBreak/>
        <w:t>56.</w:t>
      </w:r>
      <w:r>
        <w:rPr>
          <w:lang w:val="en-US" w:eastAsia="en-US"/>
        </w:rPr>
        <w:tab/>
      </w:r>
      <w:r w:rsidR="00F62599">
        <w:rPr>
          <w:lang w:val="en-US" w:eastAsia="en-US"/>
        </w:rPr>
        <w:t>The Advisory Board may decide on additional procedures for the participation of observers.</w:t>
      </w:r>
    </w:p>
    <w:p w14:paraId="144115A7" w14:textId="3E39B19D" w:rsidR="00F62599" w:rsidRDefault="00BD5DB4" w:rsidP="00BD5DB4">
      <w:pPr>
        <w:pStyle w:val="RegHChG"/>
        <w:numPr>
          <w:ilvl w:val="0"/>
          <w:numId w:val="0"/>
        </w:numPr>
        <w:tabs>
          <w:tab w:val="left" w:pos="1135"/>
        </w:tabs>
        <w:ind w:left="1135" w:hanging="454"/>
        <w:rPr>
          <w:rFonts w:eastAsia="Times New Roman"/>
          <w:color w:val="000000"/>
          <w:kern w:val="2"/>
          <w:szCs w:val="24"/>
          <w:lang w:val="en-US" w:eastAsia="en-US"/>
          <w14:ligatures w14:val="standardContextual"/>
        </w:rPr>
      </w:pPr>
      <w:r>
        <w:rPr>
          <w:rFonts w:eastAsia="Times New Roman"/>
          <w:color w:val="000000"/>
          <w:kern w:val="2"/>
          <w:szCs w:val="24"/>
          <w:lang w:val="en-US" w:eastAsia="en-US"/>
          <w14:ligatures w14:val="standardContextual"/>
        </w:rPr>
        <w:t>XV.</w:t>
      </w:r>
      <w:r>
        <w:rPr>
          <w:rFonts w:eastAsia="Times New Roman"/>
          <w:color w:val="000000"/>
          <w:kern w:val="2"/>
          <w:szCs w:val="24"/>
          <w:lang w:val="en-US" w:eastAsia="en-US"/>
          <w14:ligatures w14:val="standardContextual"/>
        </w:rPr>
        <w:tab/>
      </w:r>
      <w:r w:rsidR="00F62599">
        <w:rPr>
          <w:rFonts w:eastAsia="Times New Roman"/>
          <w:color w:val="000000"/>
          <w:kern w:val="2"/>
          <w:szCs w:val="24"/>
          <w:lang w:val="en-US" w:eastAsia="en-US"/>
          <w14:ligatures w14:val="standardContextual"/>
        </w:rPr>
        <w:t>Transparency</w:t>
      </w:r>
    </w:p>
    <w:p w14:paraId="1FE86988" w14:textId="7F140611" w:rsidR="00F62599" w:rsidRDefault="00BD5DB4" w:rsidP="00BD5DB4">
      <w:pPr>
        <w:pStyle w:val="RegSingleTxtG"/>
        <w:numPr>
          <w:ilvl w:val="0"/>
          <w:numId w:val="0"/>
        </w:numPr>
        <w:ind w:left="1134"/>
        <w:rPr>
          <w:lang w:val="en-US" w:eastAsia="en-US"/>
        </w:rPr>
      </w:pPr>
      <w:r>
        <w:rPr>
          <w:lang w:val="en-US" w:eastAsia="en-US"/>
        </w:rPr>
        <w:t>57.</w:t>
      </w:r>
      <w:r>
        <w:rPr>
          <w:lang w:val="en-US" w:eastAsia="en-US"/>
        </w:rPr>
        <w:tab/>
      </w:r>
      <w:r w:rsidR="00F62599">
        <w:rPr>
          <w:lang w:val="en-US" w:eastAsia="en-US"/>
        </w:rPr>
        <w:t>The decisions and products of the Advisory Board shall be made publicly available on the Santiago network website unless decided otherwise by the Advisory Board.</w:t>
      </w:r>
    </w:p>
    <w:p w14:paraId="32255349" w14:textId="5397BBFF" w:rsidR="00F62599" w:rsidRDefault="00BD5DB4" w:rsidP="00BD5DB4">
      <w:pPr>
        <w:pStyle w:val="RegHChG"/>
        <w:numPr>
          <w:ilvl w:val="0"/>
          <w:numId w:val="0"/>
        </w:numPr>
        <w:tabs>
          <w:tab w:val="left" w:pos="1135"/>
        </w:tabs>
        <w:ind w:left="1135" w:hanging="454"/>
        <w:rPr>
          <w:rFonts w:eastAsia="Times New Roman"/>
          <w:color w:val="000000"/>
          <w:kern w:val="2"/>
          <w:sz w:val="24"/>
          <w:szCs w:val="24"/>
          <w:lang w:val="en-US" w:eastAsia="en-US"/>
          <w14:ligatures w14:val="standardContextual"/>
        </w:rPr>
      </w:pPr>
      <w:r>
        <w:rPr>
          <w:rFonts w:eastAsia="Times New Roman"/>
          <w:color w:val="000000"/>
          <w:kern w:val="2"/>
          <w:szCs w:val="24"/>
          <w:lang w:val="en-US" w:eastAsia="en-US"/>
          <w14:ligatures w14:val="standardContextual"/>
        </w:rPr>
        <w:t>XVI.</w:t>
      </w:r>
      <w:r>
        <w:rPr>
          <w:rFonts w:eastAsia="Times New Roman"/>
          <w:color w:val="000000"/>
          <w:kern w:val="2"/>
          <w:szCs w:val="24"/>
          <w:lang w:val="en-US" w:eastAsia="en-US"/>
          <w14:ligatures w14:val="standardContextual"/>
        </w:rPr>
        <w:tab/>
      </w:r>
      <w:r w:rsidR="00F62599">
        <w:rPr>
          <w:rFonts w:eastAsia="Times New Roman"/>
          <w:color w:val="000000"/>
          <w:kern w:val="2"/>
          <w:szCs w:val="24"/>
          <w:lang w:val="en-US" w:eastAsia="en-US"/>
          <w14:ligatures w14:val="standardContextual"/>
        </w:rPr>
        <w:t>Working language</w:t>
      </w:r>
    </w:p>
    <w:p w14:paraId="5CF8D8EE" w14:textId="4E95602F" w:rsidR="00F62599" w:rsidRDefault="00BD5DB4" w:rsidP="00BD5DB4">
      <w:pPr>
        <w:pStyle w:val="RegSingleTxtG"/>
        <w:numPr>
          <w:ilvl w:val="0"/>
          <w:numId w:val="0"/>
        </w:numPr>
        <w:ind w:left="1134"/>
        <w:rPr>
          <w:lang w:val="en-US" w:eastAsia="en-US"/>
        </w:rPr>
      </w:pPr>
      <w:r>
        <w:rPr>
          <w:lang w:val="en-US" w:eastAsia="en-US"/>
        </w:rPr>
        <w:t>58.</w:t>
      </w:r>
      <w:r>
        <w:rPr>
          <w:lang w:val="en-US" w:eastAsia="en-US"/>
        </w:rPr>
        <w:tab/>
      </w:r>
      <w:r w:rsidR="00F62599">
        <w:rPr>
          <w:lang w:val="en-US" w:eastAsia="en-US"/>
        </w:rPr>
        <w:t>English shall be the working language of the Advisory Board.</w:t>
      </w:r>
    </w:p>
    <w:p w14:paraId="51A71241" w14:textId="695720E2" w:rsidR="00F62599" w:rsidRDefault="00BD5DB4" w:rsidP="00BD5DB4">
      <w:pPr>
        <w:pStyle w:val="RegHChG"/>
        <w:numPr>
          <w:ilvl w:val="0"/>
          <w:numId w:val="0"/>
        </w:numPr>
        <w:tabs>
          <w:tab w:val="left" w:pos="1135"/>
        </w:tabs>
        <w:ind w:left="1135" w:hanging="454"/>
        <w:rPr>
          <w:rFonts w:eastAsia="Times New Roman"/>
          <w:color w:val="000000"/>
          <w:kern w:val="2"/>
          <w:szCs w:val="24"/>
          <w:lang w:val="en-US" w:eastAsia="en-US"/>
          <w14:ligatures w14:val="standardContextual"/>
        </w:rPr>
      </w:pPr>
      <w:r>
        <w:rPr>
          <w:rFonts w:eastAsia="Times New Roman"/>
          <w:color w:val="000000"/>
          <w:kern w:val="2"/>
          <w:szCs w:val="24"/>
          <w:lang w:val="en-US" w:eastAsia="en-US"/>
          <w14:ligatures w14:val="standardContextual"/>
        </w:rPr>
        <w:t>XVII.</w:t>
      </w:r>
      <w:r>
        <w:rPr>
          <w:rFonts w:eastAsia="Times New Roman"/>
          <w:color w:val="000000"/>
          <w:kern w:val="2"/>
          <w:szCs w:val="24"/>
          <w:lang w:val="en-US" w:eastAsia="en-US"/>
          <w14:ligatures w14:val="standardContextual"/>
        </w:rPr>
        <w:tab/>
      </w:r>
      <w:r w:rsidR="00F62599">
        <w:rPr>
          <w:rFonts w:eastAsia="Times New Roman"/>
          <w:color w:val="000000"/>
          <w:kern w:val="2"/>
          <w:szCs w:val="24"/>
          <w:lang w:val="en-US" w:eastAsia="en-US"/>
          <w14:ligatures w14:val="standardContextual"/>
        </w:rPr>
        <w:t>Modifications to the rules of procedure</w:t>
      </w:r>
    </w:p>
    <w:p w14:paraId="0D938D66" w14:textId="7FCCA807" w:rsidR="00153B66" w:rsidRPr="00722BAD" w:rsidRDefault="00BD5DB4" w:rsidP="00BD5DB4">
      <w:pPr>
        <w:pStyle w:val="RegSingleTxtG"/>
        <w:numPr>
          <w:ilvl w:val="0"/>
          <w:numId w:val="0"/>
        </w:numPr>
        <w:ind w:left="1134"/>
      </w:pPr>
      <w:r w:rsidRPr="00722BAD">
        <w:t>59.</w:t>
      </w:r>
      <w:r w:rsidRPr="00722BAD">
        <w:tab/>
      </w:r>
      <w:r w:rsidR="00F62599">
        <w:rPr>
          <w:lang w:val="en-US" w:eastAsia="en-US"/>
        </w:rPr>
        <w:t xml:space="preserve">Decisions to propose modifications to these rules of procedure, except with respect to matters decided in decision </w:t>
      </w:r>
      <w:hyperlink r:id="rId143" w:history="1">
        <w:r w:rsidR="00F62599" w:rsidRPr="00B26B88">
          <w:rPr>
            <w:rStyle w:val="Hyperlink"/>
            <w:lang w:val="en-US" w:eastAsia="en-US"/>
          </w:rPr>
          <w:t>12/CMA.4</w:t>
        </w:r>
      </w:hyperlink>
      <w:r w:rsidR="00F62599">
        <w:rPr>
          <w:lang w:val="en-US" w:eastAsia="en-US"/>
        </w:rPr>
        <w:t>, may be taken by the Advisory Board by consensus with a view to recommending them to the governing body or bodies through the subsidiary bodies for consideration and adoption.</w:t>
      </w:r>
    </w:p>
    <w:p w14:paraId="7E8E62DE" w14:textId="7A686783" w:rsidR="00722BAD" w:rsidRPr="00722BAD" w:rsidRDefault="008D7410" w:rsidP="00722BAD">
      <w:pPr>
        <w:pStyle w:val="RegSingleTxtG"/>
        <w:numPr>
          <w:ilvl w:val="0"/>
          <w:numId w:val="0"/>
        </w:numPr>
        <w:spacing w:after="0"/>
        <w:ind w:left="1134"/>
        <w:jc w:val="right"/>
        <w:rPr>
          <w:i/>
          <w:iCs/>
          <w:lang w:val="en-US" w:eastAsia="en-US"/>
        </w:rPr>
      </w:pPr>
      <w:r>
        <w:rPr>
          <w:i/>
          <w:iCs/>
          <w:lang w:val="en-US" w:eastAsia="en-US"/>
        </w:rPr>
        <w:t>Resumed 11</w:t>
      </w:r>
      <w:r w:rsidRPr="008D7410">
        <w:rPr>
          <w:i/>
          <w:iCs/>
          <w:vertAlign w:val="superscript"/>
          <w:lang w:val="en-US" w:eastAsia="en-US"/>
        </w:rPr>
        <w:t>th</w:t>
      </w:r>
      <w:r>
        <w:rPr>
          <w:i/>
          <w:iCs/>
          <w:lang w:val="en-US" w:eastAsia="en-US"/>
        </w:rPr>
        <w:t xml:space="preserve"> </w:t>
      </w:r>
      <w:r w:rsidR="00722BAD" w:rsidRPr="00722BAD">
        <w:rPr>
          <w:i/>
          <w:iCs/>
          <w:lang w:val="en-US" w:eastAsia="en-US"/>
        </w:rPr>
        <w:t>plenary meeting</w:t>
      </w:r>
    </w:p>
    <w:p w14:paraId="6C52C694" w14:textId="5D182A49" w:rsidR="00722BAD" w:rsidRPr="00722BAD" w:rsidRDefault="008D7410" w:rsidP="00722BAD">
      <w:pPr>
        <w:pStyle w:val="RegSingleTxtG"/>
        <w:numPr>
          <w:ilvl w:val="0"/>
          <w:numId w:val="0"/>
        </w:numPr>
        <w:spacing w:after="0"/>
        <w:ind w:left="1134"/>
        <w:jc w:val="right"/>
        <w:rPr>
          <w:i/>
          <w:iCs/>
        </w:rPr>
      </w:pPr>
      <w:r>
        <w:rPr>
          <w:i/>
          <w:iCs/>
          <w:lang w:val="en-US" w:eastAsia="en-US"/>
        </w:rPr>
        <w:t>23</w:t>
      </w:r>
      <w:r w:rsidR="00722BAD" w:rsidRPr="00722BAD">
        <w:rPr>
          <w:i/>
          <w:iCs/>
          <w:lang w:val="en-US" w:eastAsia="en-US"/>
        </w:rPr>
        <w:t xml:space="preserve"> November 2024</w:t>
      </w:r>
    </w:p>
    <w:p w14:paraId="4550A7B5" w14:textId="77777777" w:rsidR="001E2BCC" w:rsidRDefault="001E2BCC" w:rsidP="00BD5DB4">
      <w:pPr>
        <w:pStyle w:val="RegHChG"/>
        <w:numPr>
          <w:ilvl w:val="0"/>
          <w:numId w:val="0"/>
        </w:numPr>
        <w:ind w:hanging="454"/>
      </w:pPr>
    </w:p>
    <w:p w14:paraId="423EB44A" w14:textId="5607AEE0" w:rsidR="001E2BCC" w:rsidRDefault="00BD5DB4" w:rsidP="00BD5DB4">
      <w:pPr>
        <w:pStyle w:val="RegHChG"/>
        <w:numPr>
          <w:ilvl w:val="0"/>
          <w:numId w:val="0"/>
        </w:numPr>
        <w:tabs>
          <w:tab w:val="left" w:pos="1135"/>
        </w:tabs>
        <w:ind w:left="1135" w:hanging="454"/>
        <w:sectPr w:rsidR="001E2BCC" w:rsidSect="001C679A">
          <w:headerReference w:type="even" r:id="rId144"/>
          <w:headerReference w:type="default" r:id="rId145"/>
          <w:footerReference w:type="even" r:id="rId146"/>
          <w:footerReference w:type="default" r:id="rId147"/>
          <w:footnotePr>
            <w:numRestart w:val="eachSect"/>
          </w:footnotePr>
          <w:pgSz w:w="11906" w:h="16838" w:code="9"/>
          <w:pgMar w:top="1417" w:right="1134" w:bottom="1134" w:left="1134" w:header="850" w:footer="567" w:gutter="0"/>
          <w:cols w:space="708"/>
          <w:docGrid w:linePitch="360"/>
        </w:sectPr>
      </w:pPr>
      <w:r>
        <w:t>I.</w:t>
      </w:r>
      <w:r>
        <w:tab/>
      </w:r>
    </w:p>
    <w:p w14:paraId="7E4E4948" w14:textId="0292DF64" w:rsidR="00071889" w:rsidRDefault="00071889" w:rsidP="00BD5DB4">
      <w:pPr>
        <w:pStyle w:val="RegHChG"/>
        <w:numPr>
          <w:ilvl w:val="0"/>
          <w:numId w:val="0"/>
        </w:numPr>
        <w:ind w:left="1135" w:hanging="454"/>
      </w:pPr>
      <w:bookmarkStart w:id="25" w:name="CP9"/>
      <w:r>
        <w:lastRenderedPageBreak/>
        <w:t>Decision 9/CP.29</w:t>
      </w:r>
      <w:bookmarkEnd w:id="25"/>
    </w:p>
    <w:p w14:paraId="412F8402" w14:textId="77777777" w:rsidR="00AA053F" w:rsidRPr="00A96DC7" w:rsidRDefault="00AA053F" w:rsidP="00AA053F">
      <w:pPr>
        <w:pStyle w:val="HChG"/>
        <w:spacing w:before="320"/>
        <w:ind w:firstLine="0"/>
      </w:pPr>
      <w:r w:rsidRPr="004B0C0A">
        <w:t>Poznan strategic programme on technology transfer</w:t>
      </w:r>
    </w:p>
    <w:p w14:paraId="56E8091B" w14:textId="77777777" w:rsidR="00AA053F" w:rsidRPr="00FB4612" w:rsidRDefault="00AA053F" w:rsidP="00AA053F">
      <w:pPr>
        <w:pStyle w:val="RegSingleTxtG"/>
        <w:numPr>
          <w:ilvl w:val="0"/>
          <w:numId w:val="0"/>
        </w:numPr>
        <w:ind w:left="1134" w:firstLine="567"/>
        <w:rPr>
          <w:i/>
          <w:iCs/>
        </w:rPr>
      </w:pPr>
      <w:r w:rsidRPr="00FB4612">
        <w:rPr>
          <w:i/>
          <w:iCs/>
        </w:rPr>
        <w:t>The Conference of the Parties</w:t>
      </w:r>
      <w:r w:rsidRPr="00FB4612">
        <w:t>,</w:t>
      </w:r>
    </w:p>
    <w:p w14:paraId="1EB23C7C" w14:textId="7D9F1D11" w:rsidR="00AA053F" w:rsidRPr="00FB4612" w:rsidRDefault="00AA053F" w:rsidP="00AA053F">
      <w:pPr>
        <w:pStyle w:val="RegSingleTxtG"/>
        <w:numPr>
          <w:ilvl w:val="0"/>
          <w:numId w:val="0"/>
        </w:numPr>
        <w:spacing w:before="120"/>
        <w:ind w:left="1134" w:firstLine="567"/>
      </w:pPr>
      <w:r w:rsidRPr="00FB4612">
        <w:rPr>
          <w:i/>
          <w:iCs/>
        </w:rPr>
        <w:t>Recalling</w:t>
      </w:r>
      <w:r w:rsidRPr="00FB4612">
        <w:t xml:space="preserve"> decisions </w:t>
      </w:r>
      <w:hyperlink r:id="rId148" w:history="1">
        <w:r w:rsidRPr="006222EA">
          <w:rPr>
            <w:rStyle w:val="Hyperlink"/>
          </w:rPr>
          <w:t>2/CP.14</w:t>
        </w:r>
      </w:hyperlink>
      <w:r w:rsidRPr="00FB4612">
        <w:t xml:space="preserve"> and </w:t>
      </w:r>
      <w:hyperlink r:id="rId149" w:history="1">
        <w:r w:rsidRPr="00B26B88">
          <w:rPr>
            <w:rStyle w:val="Hyperlink"/>
          </w:rPr>
          <w:t>1/CP.27</w:t>
        </w:r>
      </w:hyperlink>
      <w:r w:rsidRPr="00FB4612">
        <w:t>, paragraph 46,</w:t>
      </w:r>
    </w:p>
    <w:p w14:paraId="36C71533" w14:textId="1CA3E151" w:rsidR="00AA053F" w:rsidRDefault="00BD5DB4" w:rsidP="00BD5DB4">
      <w:pPr>
        <w:pStyle w:val="RegSingleTxtG"/>
        <w:numPr>
          <w:ilvl w:val="0"/>
          <w:numId w:val="0"/>
        </w:numPr>
        <w:ind w:left="1134"/>
      </w:pPr>
      <w:r>
        <w:t>1.</w:t>
      </w:r>
      <w:r>
        <w:tab/>
      </w:r>
      <w:r w:rsidR="00AA053F" w:rsidRPr="007A1751">
        <w:rPr>
          <w:i/>
          <w:iCs/>
        </w:rPr>
        <w:t>Welcomes</w:t>
      </w:r>
      <w:r w:rsidR="00AA053F" w:rsidRPr="00FB4612">
        <w:t xml:space="preserve"> the financial support provided by the Global Environment Facility under the Poznan strategic programme </w:t>
      </w:r>
      <w:r w:rsidR="00AA053F">
        <w:t>on technology transfer</w:t>
      </w:r>
      <w:r w:rsidR="00AA053F" w:rsidRPr="00FB4612">
        <w:t xml:space="preserve">, </w:t>
      </w:r>
      <w:r w:rsidR="00AA053F">
        <w:t xml:space="preserve">including for </w:t>
      </w:r>
      <w:r w:rsidR="00AA053F" w:rsidRPr="00FB4612">
        <w:t xml:space="preserve">undertaking technology needs assessments, supporting the regional climate technology transfer and finance centres and piloting priority technology projects </w:t>
      </w:r>
      <w:r w:rsidR="00AA053F">
        <w:t>aimed at</w:t>
      </w:r>
      <w:r w:rsidR="00AA053F" w:rsidRPr="0055362D">
        <w:t xml:space="preserve"> scal</w:t>
      </w:r>
      <w:r w:rsidR="00AA053F">
        <w:t>ing</w:t>
      </w:r>
      <w:r w:rsidR="00AA053F" w:rsidRPr="0055362D">
        <w:t xml:space="preserve"> up the level of investment </w:t>
      </w:r>
      <w:r w:rsidR="00AA053F">
        <w:t>in</w:t>
      </w:r>
      <w:r w:rsidR="00AA053F" w:rsidRPr="0055362D">
        <w:t xml:space="preserve"> technology transfer</w:t>
      </w:r>
      <w:r w:rsidR="00AA053F" w:rsidRPr="00FB4612">
        <w:t>;</w:t>
      </w:r>
    </w:p>
    <w:p w14:paraId="0E850931" w14:textId="1F2D019F" w:rsidR="00AA053F" w:rsidRPr="00C321CE" w:rsidRDefault="00BD5DB4" w:rsidP="00BD5DB4">
      <w:pPr>
        <w:pStyle w:val="RegSingleTxtG"/>
        <w:numPr>
          <w:ilvl w:val="0"/>
          <w:numId w:val="0"/>
        </w:numPr>
        <w:ind w:left="1134"/>
        <w:rPr>
          <w:spacing w:val="-2"/>
        </w:rPr>
      </w:pPr>
      <w:r w:rsidRPr="00C321CE">
        <w:rPr>
          <w:spacing w:val="-2"/>
        </w:rPr>
        <w:t>2.</w:t>
      </w:r>
      <w:r w:rsidRPr="00C321CE">
        <w:rPr>
          <w:spacing w:val="-2"/>
        </w:rPr>
        <w:tab/>
      </w:r>
      <w:r w:rsidR="00AA053F" w:rsidRPr="00C321CE">
        <w:rPr>
          <w:i/>
          <w:iCs/>
          <w:spacing w:val="-2"/>
        </w:rPr>
        <w:t>Requests</w:t>
      </w:r>
      <w:r w:rsidR="00AA053F" w:rsidRPr="00C321CE">
        <w:rPr>
          <w:spacing w:val="-2"/>
        </w:rPr>
        <w:t xml:space="preserve"> the secretariat, under the guidance of the Technology Executive Committee and in consultation with the Global Environment Facility, to prepare a report, for consideration by the Subsidiary Body for Implementation at its sixty-fourth session (June 2026), on the evaluation of the Poznan strategic programme, to take stock of progress, challenges, and successes in and lessons learned from implementing the Poznan strategic programme;</w:t>
      </w:r>
    </w:p>
    <w:p w14:paraId="20BE511A" w14:textId="4D7BBDCB" w:rsidR="00AA053F" w:rsidRDefault="00BD5DB4" w:rsidP="00BD5DB4">
      <w:pPr>
        <w:pStyle w:val="RegSingleTxtG"/>
        <w:numPr>
          <w:ilvl w:val="0"/>
          <w:numId w:val="0"/>
        </w:numPr>
        <w:ind w:left="1134"/>
      </w:pPr>
      <w:r>
        <w:t>3.</w:t>
      </w:r>
      <w:r>
        <w:tab/>
      </w:r>
      <w:r w:rsidR="00AA053F">
        <w:rPr>
          <w:i/>
          <w:iCs/>
        </w:rPr>
        <w:t>Also r</w:t>
      </w:r>
      <w:r w:rsidR="00AA053F" w:rsidRPr="003D3675">
        <w:rPr>
          <w:i/>
          <w:iCs/>
        </w:rPr>
        <w:t>equest</w:t>
      </w:r>
      <w:r w:rsidR="00AA053F">
        <w:rPr>
          <w:i/>
          <w:iCs/>
        </w:rPr>
        <w:t>s</w:t>
      </w:r>
      <w:r w:rsidR="00AA053F">
        <w:t xml:space="preserve"> the </w:t>
      </w:r>
      <w:r w:rsidR="00AA053F" w:rsidRPr="00854FB0">
        <w:t xml:space="preserve">Subsidiary Body for Implementation </w:t>
      </w:r>
      <w:r w:rsidR="00AA053F">
        <w:t>to consider the report referred to in paragraph 2 above with a view to recommending a draft decision on this matter for consideration and adoption by the Conference of the Parties at its thirty-first session (November 2026) with the aim of supporting the implementation of activities, such as those identified and prioritized in developing countries’ nationally determined contributions, national adaptation plans, technology needs assessments, technology action plans and long</w:t>
      </w:r>
      <w:r w:rsidR="00AA053F">
        <w:noBreakHyphen/>
        <w:t>term strategies, and informing the technology implementation programme</w:t>
      </w:r>
      <w:r w:rsidR="00AA053F">
        <w:rPr>
          <w:rStyle w:val="FootnoteReference"/>
        </w:rPr>
        <w:footnoteReference w:id="64"/>
      </w:r>
      <w:r w:rsidR="00C32346">
        <w:t>;</w:t>
      </w:r>
    </w:p>
    <w:p w14:paraId="38572D1A" w14:textId="50D66F61" w:rsidR="009C22B9" w:rsidRDefault="00BD5DB4" w:rsidP="00BD5DB4">
      <w:pPr>
        <w:pStyle w:val="RegSingleTxtG"/>
        <w:numPr>
          <w:ilvl w:val="0"/>
          <w:numId w:val="0"/>
        </w:numPr>
        <w:ind w:left="1134"/>
      </w:pPr>
      <w:r>
        <w:t>4.</w:t>
      </w:r>
      <w:r>
        <w:tab/>
      </w:r>
      <w:r w:rsidR="00AA053F" w:rsidRPr="004F59F5">
        <w:rPr>
          <w:i/>
          <w:iCs/>
        </w:rPr>
        <w:t>Takes note</w:t>
      </w:r>
      <w:r w:rsidR="00AA053F">
        <w:t xml:space="preserve"> of the estimated budgetary implications of the activities to be undertaken by the secretariat referred to in paragraph</w:t>
      </w:r>
      <w:r w:rsidR="00AA053F" w:rsidRPr="00D03D7D">
        <w:t xml:space="preserve"> 2 above</w:t>
      </w:r>
      <w:r w:rsidR="00AA053F">
        <w:t>;</w:t>
      </w:r>
    </w:p>
    <w:p w14:paraId="648E4665" w14:textId="4B09C4F9" w:rsidR="00AA053F" w:rsidRDefault="00BD5DB4" w:rsidP="00BD5DB4">
      <w:pPr>
        <w:pStyle w:val="RegSingleTxtG"/>
        <w:numPr>
          <w:ilvl w:val="0"/>
          <w:numId w:val="0"/>
        </w:numPr>
        <w:ind w:left="1134"/>
      </w:pPr>
      <w:r>
        <w:t>5.</w:t>
      </w:r>
      <w:r>
        <w:tab/>
      </w:r>
      <w:r w:rsidR="00AA053F" w:rsidRPr="009C22B9">
        <w:rPr>
          <w:i/>
          <w:iCs/>
        </w:rPr>
        <w:t>Requests</w:t>
      </w:r>
      <w:r w:rsidR="00AA053F">
        <w:t xml:space="preserve"> that the action</w:t>
      </w:r>
      <w:r w:rsidR="001145D1">
        <w:t>s</w:t>
      </w:r>
      <w:r w:rsidR="00AA053F">
        <w:t xml:space="preserve"> of the secretariat called for in this decision be undertaken subject to the availability of financial resources.</w:t>
      </w:r>
    </w:p>
    <w:p w14:paraId="143BC7D9" w14:textId="2424B79B" w:rsidR="009C22B9" w:rsidRDefault="008D7410" w:rsidP="009C22B9">
      <w:pPr>
        <w:pStyle w:val="RegSingleTxtG"/>
        <w:numPr>
          <w:ilvl w:val="0"/>
          <w:numId w:val="0"/>
        </w:numPr>
        <w:spacing w:after="0"/>
        <w:ind w:left="1134"/>
        <w:jc w:val="right"/>
        <w:rPr>
          <w:i/>
          <w:iCs/>
        </w:rPr>
      </w:pPr>
      <w:r>
        <w:rPr>
          <w:i/>
          <w:iCs/>
        </w:rPr>
        <w:t>11</w:t>
      </w:r>
      <w:r w:rsidRPr="008D7410">
        <w:rPr>
          <w:i/>
          <w:iCs/>
          <w:vertAlign w:val="superscript"/>
        </w:rPr>
        <w:t>th</w:t>
      </w:r>
      <w:r w:rsidR="009C22B9">
        <w:rPr>
          <w:i/>
          <w:iCs/>
        </w:rPr>
        <w:t xml:space="preserve"> plenary meeting</w:t>
      </w:r>
    </w:p>
    <w:p w14:paraId="59D50BE6" w14:textId="14C50A4E" w:rsidR="009C22B9" w:rsidRDefault="008D7410" w:rsidP="009C22B9">
      <w:pPr>
        <w:pStyle w:val="RegSingleTxtG"/>
        <w:numPr>
          <w:ilvl w:val="0"/>
          <w:numId w:val="0"/>
        </w:numPr>
        <w:spacing w:after="0"/>
        <w:ind w:left="1134"/>
        <w:jc w:val="right"/>
      </w:pPr>
      <w:r>
        <w:rPr>
          <w:i/>
          <w:iCs/>
        </w:rPr>
        <w:t>23</w:t>
      </w:r>
      <w:r w:rsidR="009C22B9">
        <w:rPr>
          <w:i/>
          <w:iCs/>
        </w:rPr>
        <w:t xml:space="preserve"> November 2024</w:t>
      </w:r>
    </w:p>
    <w:p w14:paraId="51A84E13" w14:textId="77777777" w:rsidR="009C22B9" w:rsidRDefault="009C22B9" w:rsidP="00BD5DB4">
      <w:pPr>
        <w:pStyle w:val="RegHChG"/>
        <w:numPr>
          <w:ilvl w:val="0"/>
          <w:numId w:val="0"/>
        </w:numPr>
        <w:ind w:hanging="454"/>
      </w:pPr>
    </w:p>
    <w:p w14:paraId="40C816AE" w14:textId="3D218C22" w:rsidR="009C22B9" w:rsidRDefault="00BD5DB4" w:rsidP="00BD5DB4">
      <w:pPr>
        <w:pStyle w:val="RegHChG"/>
        <w:numPr>
          <w:ilvl w:val="0"/>
          <w:numId w:val="0"/>
        </w:numPr>
        <w:tabs>
          <w:tab w:val="left" w:pos="1135"/>
        </w:tabs>
        <w:ind w:left="1135" w:hanging="454"/>
        <w:sectPr w:rsidR="009C22B9" w:rsidSect="001C679A">
          <w:headerReference w:type="even" r:id="rId150"/>
          <w:footerReference w:type="even" r:id="rId151"/>
          <w:footnotePr>
            <w:numRestart w:val="eachSect"/>
          </w:footnotePr>
          <w:pgSz w:w="11906" w:h="16838" w:code="9"/>
          <w:pgMar w:top="1417" w:right="1134" w:bottom="1134" w:left="1134" w:header="850" w:footer="567" w:gutter="0"/>
          <w:cols w:space="708"/>
          <w:docGrid w:linePitch="360"/>
        </w:sectPr>
      </w:pPr>
      <w:r>
        <w:t>I.</w:t>
      </w:r>
      <w:r>
        <w:tab/>
      </w:r>
    </w:p>
    <w:p w14:paraId="04A5382F" w14:textId="14640815" w:rsidR="009451C8" w:rsidRDefault="009451C8" w:rsidP="00BD5DB4">
      <w:pPr>
        <w:pStyle w:val="RegHChG"/>
        <w:numPr>
          <w:ilvl w:val="0"/>
          <w:numId w:val="0"/>
        </w:numPr>
        <w:ind w:left="1135" w:hanging="454"/>
      </w:pPr>
      <w:bookmarkStart w:id="26" w:name="CP10"/>
      <w:r>
        <w:lastRenderedPageBreak/>
        <w:t>Decision 10/CP.29</w:t>
      </w:r>
      <w:bookmarkEnd w:id="26"/>
    </w:p>
    <w:p w14:paraId="39CBEF0D" w14:textId="77777777" w:rsidR="000E5DB4" w:rsidRPr="00DF2AE2" w:rsidRDefault="000E5DB4" w:rsidP="00BD5DB4">
      <w:pPr>
        <w:pStyle w:val="RegHChG"/>
        <w:numPr>
          <w:ilvl w:val="0"/>
          <w:numId w:val="0"/>
        </w:numPr>
        <w:ind w:left="1134" w:hanging="454"/>
      </w:pPr>
      <w:r w:rsidRPr="00DF2AE2">
        <w:t>Enhancing climate technology development and transfer through the Technology Mechanism</w:t>
      </w:r>
    </w:p>
    <w:p w14:paraId="5F9E9E36" w14:textId="77777777" w:rsidR="000E5DB4" w:rsidRPr="00DF2AE2" w:rsidRDefault="000E5DB4" w:rsidP="000E5DB4">
      <w:pPr>
        <w:pStyle w:val="RegSingleTxtG"/>
        <w:numPr>
          <w:ilvl w:val="0"/>
          <w:numId w:val="0"/>
        </w:numPr>
        <w:ind w:left="1135"/>
        <w:rPr>
          <w:rFonts w:asciiTheme="majorBidi" w:hAnsiTheme="majorBidi" w:cstheme="majorBidi"/>
          <w:i/>
          <w:iCs/>
        </w:rPr>
      </w:pPr>
      <w:r w:rsidRPr="00DF2AE2">
        <w:rPr>
          <w:rFonts w:asciiTheme="majorBidi" w:hAnsiTheme="majorBidi" w:cstheme="majorBidi"/>
          <w:i/>
          <w:iCs/>
        </w:rPr>
        <w:tab/>
        <w:t>The Conference of the Parties</w:t>
      </w:r>
      <w:r w:rsidRPr="00DF2AE2">
        <w:rPr>
          <w:rFonts w:asciiTheme="majorBidi" w:hAnsiTheme="majorBidi" w:cstheme="majorBidi"/>
        </w:rPr>
        <w:t>,</w:t>
      </w:r>
    </w:p>
    <w:p w14:paraId="63286B4F" w14:textId="21B97542" w:rsidR="000E5DB4" w:rsidRPr="00DF2AE2" w:rsidRDefault="000E5DB4" w:rsidP="000E5DB4">
      <w:pPr>
        <w:spacing w:after="120"/>
        <w:ind w:left="1134" w:right="1133" w:firstLine="567"/>
        <w:rPr>
          <w:rFonts w:asciiTheme="majorBidi" w:hAnsiTheme="majorBidi" w:cstheme="majorBidi"/>
        </w:rPr>
      </w:pPr>
      <w:r w:rsidRPr="00DF2AE2">
        <w:rPr>
          <w:rFonts w:asciiTheme="majorBidi" w:hAnsiTheme="majorBidi" w:cstheme="majorBidi"/>
          <w:i/>
          <w:iCs/>
        </w:rPr>
        <w:t xml:space="preserve">Recalling </w:t>
      </w:r>
      <w:r w:rsidRPr="00DF2AE2">
        <w:rPr>
          <w:rFonts w:asciiTheme="majorBidi" w:hAnsiTheme="majorBidi" w:cstheme="majorBidi"/>
        </w:rPr>
        <w:t>decisions</w:t>
      </w:r>
      <w:r w:rsidRPr="00DF2AE2">
        <w:rPr>
          <w:rFonts w:asciiTheme="majorBidi" w:hAnsiTheme="majorBidi" w:cstheme="majorBidi"/>
          <w:i/>
          <w:iCs/>
        </w:rPr>
        <w:t xml:space="preserve"> </w:t>
      </w:r>
      <w:hyperlink r:id="rId152" w:history="1">
        <w:r w:rsidRPr="00B26B88">
          <w:rPr>
            <w:rStyle w:val="Hyperlink"/>
            <w:rFonts w:asciiTheme="majorBidi" w:hAnsiTheme="majorBidi" w:cstheme="majorBidi"/>
          </w:rPr>
          <w:t>2/CP.17</w:t>
        </w:r>
      </w:hyperlink>
      <w:r w:rsidRPr="00DF2AE2">
        <w:rPr>
          <w:rFonts w:asciiTheme="majorBidi" w:hAnsiTheme="majorBidi" w:cstheme="majorBidi"/>
        </w:rPr>
        <w:t xml:space="preserve">, </w:t>
      </w:r>
      <w:hyperlink r:id="rId153" w:history="1">
        <w:r w:rsidRPr="00B26B88">
          <w:rPr>
            <w:rStyle w:val="Hyperlink"/>
            <w:rFonts w:asciiTheme="majorBidi" w:hAnsiTheme="majorBidi" w:cstheme="majorBidi"/>
          </w:rPr>
          <w:t>1/CP.21</w:t>
        </w:r>
      </w:hyperlink>
      <w:r w:rsidRPr="00DF2AE2">
        <w:rPr>
          <w:rFonts w:asciiTheme="majorBidi" w:hAnsiTheme="majorBidi" w:cstheme="majorBidi"/>
        </w:rPr>
        <w:t xml:space="preserve">, </w:t>
      </w:r>
      <w:hyperlink r:id="rId154" w:history="1">
        <w:r w:rsidRPr="00B26B88">
          <w:rPr>
            <w:rStyle w:val="Hyperlink"/>
            <w:rFonts w:asciiTheme="majorBidi" w:hAnsiTheme="majorBidi" w:cstheme="majorBidi"/>
          </w:rPr>
          <w:t>15/CP.22</w:t>
        </w:r>
      </w:hyperlink>
      <w:r w:rsidRPr="00DF2AE2">
        <w:rPr>
          <w:rFonts w:asciiTheme="majorBidi" w:hAnsiTheme="majorBidi" w:cstheme="majorBidi"/>
        </w:rPr>
        <w:t xml:space="preserve">, </w:t>
      </w:r>
      <w:hyperlink r:id="rId155" w:history="1">
        <w:r w:rsidRPr="00B26B88">
          <w:rPr>
            <w:rStyle w:val="Hyperlink"/>
            <w:rFonts w:asciiTheme="majorBidi" w:hAnsiTheme="majorBidi" w:cstheme="majorBidi"/>
          </w:rPr>
          <w:t>21/CP.22</w:t>
        </w:r>
      </w:hyperlink>
      <w:r w:rsidRPr="00DF2AE2">
        <w:rPr>
          <w:rFonts w:asciiTheme="majorBidi" w:hAnsiTheme="majorBidi" w:cstheme="majorBidi"/>
        </w:rPr>
        <w:t xml:space="preserve">, </w:t>
      </w:r>
      <w:hyperlink r:id="rId156" w:history="1">
        <w:r w:rsidRPr="00B26B88">
          <w:rPr>
            <w:rStyle w:val="Hyperlink"/>
            <w:rFonts w:asciiTheme="majorBidi" w:hAnsiTheme="majorBidi" w:cstheme="majorBidi"/>
          </w:rPr>
          <w:t>15/CP.23</w:t>
        </w:r>
      </w:hyperlink>
      <w:r w:rsidRPr="00DF2AE2">
        <w:rPr>
          <w:rFonts w:asciiTheme="majorBidi" w:hAnsiTheme="majorBidi" w:cstheme="majorBidi"/>
        </w:rPr>
        <w:t xml:space="preserve">, </w:t>
      </w:r>
      <w:hyperlink r:id="rId157" w:history="1">
        <w:r w:rsidRPr="00B26B88">
          <w:rPr>
            <w:rStyle w:val="Hyperlink"/>
            <w:rFonts w:asciiTheme="majorBidi" w:hAnsiTheme="majorBidi" w:cstheme="majorBidi"/>
          </w:rPr>
          <w:t>12/CP.24</w:t>
        </w:r>
      </w:hyperlink>
      <w:r w:rsidRPr="00DF2AE2">
        <w:rPr>
          <w:rFonts w:asciiTheme="majorBidi" w:hAnsiTheme="majorBidi" w:cstheme="majorBidi"/>
        </w:rPr>
        <w:t xml:space="preserve">, </w:t>
      </w:r>
      <w:hyperlink r:id="rId158" w:history="1">
        <w:r w:rsidRPr="00B26B88">
          <w:rPr>
            <w:rStyle w:val="Hyperlink"/>
            <w:rFonts w:asciiTheme="majorBidi" w:hAnsiTheme="majorBidi" w:cstheme="majorBidi"/>
          </w:rPr>
          <w:t>13/CP.24</w:t>
        </w:r>
      </w:hyperlink>
      <w:r w:rsidRPr="00DF2AE2">
        <w:rPr>
          <w:rFonts w:asciiTheme="majorBidi" w:hAnsiTheme="majorBidi" w:cstheme="majorBidi"/>
        </w:rPr>
        <w:t xml:space="preserve">, </w:t>
      </w:r>
      <w:hyperlink r:id="rId159" w:history="1">
        <w:r w:rsidRPr="00B26B88">
          <w:rPr>
            <w:rStyle w:val="Hyperlink"/>
            <w:rFonts w:asciiTheme="majorBidi" w:hAnsiTheme="majorBidi" w:cstheme="majorBidi"/>
          </w:rPr>
          <w:t>14/CP.25</w:t>
        </w:r>
      </w:hyperlink>
      <w:r w:rsidRPr="00DF2AE2">
        <w:rPr>
          <w:rFonts w:asciiTheme="majorBidi" w:hAnsiTheme="majorBidi" w:cstheme="majorBidi"/>
        </w:rPr>
        <w:t xml:space="preserve">, </w:t>
      </w:r>
      <w:hyperlink r:id="rId160" w:history="1">
        <w:r w:rsidRPr="00B26B88">
          <w:rPr>
            <w:rStyle w:val="Hyperlink"/>
            <w:rFonts w:asciiTheme="majorBidi" w:hAnsiTheme="majorBidi" w:cstheme="majorBidi"/>
          </w:rPr>
          <w:t>9/CP.26</w:t>
        </w:r>
      </w:hyperlink>
      <w:r w:rsidRPr="00DF2AE2">
        <w:rPr>
          <w:rFonts w:asciiTheme="majorBidi" w:hAnsiTheme="majorBidi" w:cstheme="majorBidi"/>
        </w:rPr>
        <w:t xml:space="preserve">, </w:t>
      </w:r>
      <w:hyperlink r:id="rId161" w:history="1">
        <w:r w:rsidRPr="00B26B88">
          <w:rPr>
            <w:rStyle w:val="Hyperlink"/>
            <w:rFonts w:asciiTheme="majorBidi" w:hAnsiTheme="majorBidi" w:cstheme="majorBidi"/>
          </w:rPr>
          <w:t>18/CP.27</w:t>
        </w:r>
      </w:hyperlink>
      <w:r w:rsidRPr="00DF2AE2">
        <w:rPr>
          <w:rFonts w:asciiTheme="majorBidi" w:hAnsiTheme="majorBidi" w:cstheme="majorBidi"/>
        </w:rPr>
        <w:t xml:space="preserve"> and </w:t>
      </w:r>
      <w:hyperlink r:id="rId162" w:history="1">
        <w:r w:rsidRPr="00B26B88">
          <w:rPr>
            <w:rStyle w:val="Hyperlink"/>
            <w:rFonts w:asciiTheme="majorBidi" w:hAnsiTheme="majorBidi" w:cstheme="majorBidi"/>
          </w:rPr>
          <w:t>9/CP.28</w:t>
        </w:r>
      </w:hyperlink>
      <w:r>
        <w:rPr>
          <w:rFonts w:asciiTheme="majorBidi" w:hAnsiTheme="majorBidi" w:cstheme="majorBidi"/>
        </w:rPr>
        <w:t>,</w:t>
      </w:r>
      <w:r w:rsidRPr="00DF2AE2">
        <w:rPr>
          <w:rFonts w:asciiTheme="majorBidi" w:hAnsiTheme="majorBidi" w:cstheme="majorBidi"/>
        </w:rPr>
        <w:t xml:space="preserve"> </w:t>
      </w:r>
    </w:p>
    <w:p w14:paraId="20A9B2E8" w14:textId="145933B6" w:rsidR="000E5DB4" w:rsidRPr="00DF2AE2" w:rsidRDefault="00BD5DB4" w:rsidP="00BD5DB4">
      <w:pPr>
        <w:pStyle w:val="RegSingleTxtG"/>
        <w:numPr>
          <w:ilvl w:val="0"/>
          <w:numId w:val="0"/>
        </w:numPr>
        <w:spacing w:before="120"/>
        <w:ind w:left="1134"/>
      </w:pPr>
      <w:r w:rsidRPr="00DF2AE2">
        <w:t>1.</w:t>
      </w:r>
      <w:r w:rsidRPr="00DF2AE2">
        <w:tab/>
      </w:r>
      <w:r w:rsidR="000E5DB4" w:rsidRPr="000E5DB4">
        <w:rPr>
          <w:i/>
          <w:iCs/>
        </w:rPr>
        <w:t>Welcomes with appreciation</w:t>
      </w:r>
      <w:r w:rsidR="000E5DB4" w:rsidRPr="00131117">
        <w:t xml:space="preserve"> the efforts </w:t>
      </w:r>
      <w:r w:rsidR="000E5DB4" w:rsidRPr="00DF2AE2">
        <w:t xml:space="preserve">of the Technology Executive Committee and the Climate Technology Centre and Network </w:t>
      </w:r>
      <w:r w:rsidR="000E5DB4" w:rsidRPr="00131117">
        <w:t xml:space="preserve">in implementing the </w:t>
      </w:r>
      <w:r w:rsidR="000E5DB4">
        <w:t>j</w:t>
      </w:r>
      <w:r w:rsidR="000E5DB4" w:rsidRPr="00131117">
        <w:t xml:space="preserve">oint </w:t>
      </w:r>
      <w:r w:rsidR="000E5DB4">
        <w:t>w</w:t>
      </w:r>
      <w:r w:rsidR="000E5DB4" w:rsidRPr="00131117">
        <w:t xml:space="preserve">ork </w:t>
      </w:r>
      <w:r w:rsidR="000E5DB4">
        <w:t>p</w:t>
      </w:r>
      <w:r w:rsidR="000E5DB4" w:rsidRPr="00131117">
        <w:t>rogramme</w:t>
      </w:r>
      <w:r w:rsidR="000E5DB4">
        <w:t xml:space="preserve"> of the Technology Mechanism for 2023–2027</w:t>
      </w:r>
      <w:r w:rsidR="000E5DB4">
        <w:rPr>
          <w:rStyle w:val="FootnoteReference"/>
        </w:rPr>
        <w:footnoteReference w:id="65"/>
      </w:r>
      <w:r w:rsidR="000E5DB4" w:rsidRPr="00131117">
        <w:t xml:space="preserve"> and </w:t>
      </w:r>
      <w:r w:rsidR="000E5DB4" w:rsidRPr="000E5DB4">
        <w:rPr>
          <w:i/>
          <w:iCs/>
        </w:rPr>
        <w:t>acknowledges</w:t>
      </w:r>
      <w:r w:rsidR="000E5DB4" w:rsidRPr="00131117">
        <w:t xml:space="preserve"> the progress made in executing their respective programmes and plans</w:t>
      </w:r>
      <w:r w:rsidR="000E5DB4">
        <w:t>;</w:t>
      </w:r>
      <w:r w:rsidR="000E5DB4" w:rsidRPr="00DF2AE2">
        <w:t xml:space="preserve"> </w:t>
      </w:r>
    </w:p>
    <w:p w14:paraId="294135C4" w14:textId="72B13C0A" w:rsidR="000E5DB4" w:rsidRPr="00DF2AE2" w:rsidRDefault="00BD5DB4" w:rsidP="00BD5DB4">
      <w:pPr>
        <w:pStyle w:val="RegSingleTxtG"/>
        <w:numPr>
          <w:ilvl w:val="0"/>
          <w:numId w:val="0"/>
        </w:numPr>
        <w:spacing w:before="120"/>
        <w:ind w:left="1134"/>
      </w:pPr>
      <w:r w:rsidRPr="00DF2AE2">
        <w:t>2.</w:t>
      </w:r>
      <w:r w:rsidRPr="00DF2AE2">
        <w:tab/>
      </w:r>
      <w:r w:rsidR="000E5DB4">
        <w:rPr>
          <w:i/>
          <w:iCs/>
        </w:rPr>
        <w:t>W</w:t>
      </w:r>
      <w:r w:rsidR="000E5DB4" w:rsidRPr="00DF2AE2">
        <w:rPr>
          <w:i/>
          <w:iCs/>
        </w:rPr>
        <w:t>elcomes</w:t>
      </w:r>
      <w:r w:rsidR="000E5DB4" w:rsidRPr="003A4503">
        <w:rPr>
          <w:i/>
          <w:iCs/>
        </w:rPr>
        <w:t xml:space="preserve"> with appreciation</w:t>
      </w:r>
      <w:r w:rsidR="000E5DB4" w:rsidRPr="00DF2AE2">
        <w:t xml:space="preserve"> the enhanced collaboration and coordination between the Technology Executive Committee and the Climate Technology Centre and Network, including their organization of joint events and systematic exchange of feedback on one another’s work</w:t>
      </w:r>
      <w:r w:rsidR="000E5DB4" w:rsidRPr="00DF2AE2" w:rsidDel="00774380">
        <w:t xml:space="preserve"> </w:t>
      </w:r>
      <w:r w:rsidR="000E5DB4" w:rsidRPr="00DF2AE2">
        <w:t>in undertaking activities</w:t>
      </w:r>
      <w:r w:rsidR="000E5DB4" w:rsidRPr="00DF2AE2">
        <w:rPr>
          <w:rStyle w:val="FootnoteReference"/>
        </w:rPr>
        <w:footnoteReference w:id="66"/>
      </w:r>
      <w:r w:rsidR="000E5DB4" w:rsidRPr="00DF2AE2">
        <w:t xml:space="preserve"> under their joint work programme for </w:t>
      </w:r>
      <w:r w:rsidR="000E5DB4">
        <w:br/>
      </w:r>
      <w:r w:rsidR="000E5DB4" w:rsidRPr="00DF2AE2">
        <w:t>2023–2027</w:t>
      </w:r>
      <w:r w:rsidR="000E5DB4">
        <w:t>,</w:t>
      </w:r>
      <w:r w:rsidR="000E5DB4" w:rsidRPr="00DF2AE2">
        <w:t xml:space="preserve"> and </w:t>
      </w:r>
      <w:r w:rsidR="000E5DB4" w:rsidRPr="00DF2AE2">
        <w:rPr>
          <w:i/>
          <w:iCs/>
        </w:rPr>
        <w:t>encourages</w:t>
      </w:r>
      <w:r w:rsidR="000E5DB4" w:rsidRPr="00DF2AE2">
        <w:t xml:space="preserve"> them to continue collaboration to maximize the impacts of </w:t>
      </w:r>
      <w:r w:rsidR="000E5DB4">
        <w:t xml:space="preserve">their </w:t>
      </w:r>
      <w:r w:rsidR="000E5DB4" w:rsidRPr="00DF2AE2">
        <w:t>work;</w:t>
      </w:r>
    </w:p>
    <w:p w14:paraId="45B85E9E" w14:textId="5E4EC105" w:rsidR="000E5DB4" w:rsidRPr="00DF2AE2" w:rsidRDefault="00BD5DB4" w:rsidP="00BD5DB4">
      <w:pPr>
        <w:pStyle w:val="RegSingleTxtG"/>
        <w:numPr>
          <w:ilvl w:val="0"/>
          <w:numId w:val="0"/>
        </w:numPr>
        <w:ind w:left="1134"/>
      </w:pPr>
      <w:bookmarkStart w:id="27" w:name="_Ref182422288"/>
      <w:bookmarkStart w:id="28" w:name="_Hlk182419422"/>
      <w:r w:rsidRPr="00DF2AE2">
        <w:t>3.</w:t>
      </w:r>
      <w:r w:rsidRPr="00DF2AE2">
        <w:tab/>
      </w:r>
      <w:r w:rsidR="000E5DB4" w:rsidRPr="478B8C90">
        <w:rPr>
          <w:i/>
          <w:iCs/>
        </w:rPr>
        <w:t xml:space="preserve">Decides </w:t>
      </w:r>
      <w:r w:rsidR="000E5DB4" w:rsidRPr="099674C3">
        <w:t>to conduct</w:t>
      </w:r>
      <w:r w:rsidR="000E5DB4" w:rsidRPr="00DF2AE2" w:rsidDel="007856DE">
        <w:t xml:space="preserve"> </w:t>
      </w:r>
      <w:r w:rsidR="000E5DB4" w:rsidRPr="00DF2AE2">
        <w:t>a review of the functions</w:t>
      </w:r>
      <w:r w:rsidR="000E5DB4" w:rsidRPr="00DF2AE2">
        <w:rPr>
          <w:rStyle w:val="FootnoteReference"/>
        </w:rPr>
        <w:footnoteReference w:id="67"/>
      </w:r>
      <w:r w:rsidR="000E5DB4" w:rsidRPr="00DF2AE2">
        <w:t xml:space="preserve"> and</w:t>
      </w:r>
      <w:r w:rsidR="000E5DB4">
        <w:t xml:space="preserve"> decide </w:t>
      </w:r>
      <w:r w:rsidR="000E5DB4" w:rsidRPr="00DF2AE2">
        <w:t>whether to extend the term</w:t>
      </w:r>
      <w:r w:rsidR="000E5DB4" w:rsidRPr="00DF2AE2">
        <w:rPr>
          <w:rStyle w:val="FootnoteReference"/>
        </w:rPr>
        <w:footnoteReference w:id="68"/>
      </w:r>
      <w:r w:rsidR="000E5DB4" w:rsidRPr="00DF2AE2">
        <w:t xml:space="preserve"> of the Climate Technology Centre </w:t>
      </w:r>
      <w:r w:rsidR="000E5DB4" w:rsidRPr="099674C3">
        <w:t>at its thirtieth session (November 2025</w:t>
      </w:r>
      <w:r w:rsidR="000E5DB4" w:rsidRPr="008B38A5">
        <w:rPr>
          <w:iCs/>
        </w:rPr>
        <w:t>)</w:t>
      </w:r>
      <w:r w:rsidR="000E5DB4">
        <w:rPr>
          <w:iCs/>
        </w:rPr>
        <w:t>,</w:t>
      </w:r>
      <w:r w:rsidR="000E5DB4" w:rsidRPr="00DF2AE2" w:rsidDel="00D06631">
        <w:t xml:space="preserve"> </w:t>
      </w:r>
      <w:r w:rsidR="000E5DB4" w:rsidRPr="00DF2AE2">
        <w:t>taking into account the findings of the first and second independent reviews of the effective implementation of the Climate Technology Centre and Network</w:t>
      </w:r>
      <w:r w:rsidR="000E5DB4" w:rsidRPr="00DF2AE2">
        <w:rPr>
          <w:rStyle w:val="FootnoteReference"/>
        </w:rPr>
        <w:footnoteReference w:id="69"/>
      </w:r>
      <w:r w:rsidR="000E5DB4" w:rsidRPr="00DF2AE2">
        <w:t xml:space="preserve"> and the findings of the first periodic assessment of the effectiveness and adequacy of the support provided to the bodies of the Technology Mechanism in supporting implementation of</w:t>
      </w:r>
      <w:r w:rsidR="000E5DB4" w:rsidRPr="00DF2AE2" w:rsidDel="009B7FB4">
        <w:t xml:space="preserve"> </w:t>
      </w:r>
      <w:r w:rsidR="000E5DB4" w:rsidDel="005E66D2">
        <w:t xml:space="preserve">the </w:t>
      </w:r>
      <w:r w:rsidR="000E5DB4" w:rsidRPr="00DF2AE2">
        <w:t>Paris Agreement on matters relating to technology development and transfer;</w:t>
      </w:r>
      <w:r w:rsidR="000E5DB4">
        <w:rPr>
          <w:rStyle w:val="FootnoteReference"/>
        </w:rPr>
        <w:footnoteReference w:id="70"/>
      </w:r>
      <w:bookmarkEnd w:id="27"/>
    </w:p>
    <w:bookmarkEnd w:id="28"/>
    <w:p w14:paraId="4D0C6368" w14:textId="493342DE" w:rsidR="000E5DB4" w:rsidRDefault="00BD5DB4" w:rsidP="00BD5DB4">
      <w:pPr>
        <w:pStyle w:val="RegSingleTxtG"/>
        <w:numPr>
          <w:ilvl w:val="0"/>
          <w:numId w:val="0"/>
        </w:numPr>
        <w:spacing w:before="120"/>
        <w:ind w:left="1134"/>
      </w:pPr>
      <w:r>
        <w:t>4.</w:t>
      </w:r>
      <w:r>
        <w:tab/>
      </w:r>
      <w:r w:rsidR="000E5DB4" w:rsidRPr="00DF2AE2">
        <w:rPr>
          <w:i/>
          <w:iCs/>
        </w:rPr>
        <w:t>Requests</w:t>
      </w:r>
      <w:r w:rsidR="000E5DB4" w:rsidRPr="00DF2AE2">
        <w:t xml:space="preserve"> the Subsidiary Body for Implementation to initiate, at its sixty-second session (June 2025), the review referred to in paragraph </w:t>
      </w:r>
      <w:r w:rsidR="000E5DB4">
        <w:rPr>
          <w:cs/>
        </w:rPr>
        <w:t>‎</w:t>
      </w:r>
      <w:r w:rsidR="000E5DB4">
        <w:t>3 above</w:t>
      </w:r>
      <w:r w:rsidR="000E5DB4" w:rsidRPr="00DF2AE2">
        <w:t xml:space="preserve"> with a view to recommending a draft decision on this matter for consideration and adoption by the Conference of the Parties at its thirtieth session;</w:t>
      </w:r>
    </w:p>
    <w:p w14:paraId="088D8FA2" w14:textId="71865336" w:rsidR="000E5DB4" w:rsidRPr="000E5DB4" w:rsidRDefault="00BD5DB4" w:rsidP="00BD5DB4">
      <w:pPr>
        <w:pStyle w:val="RegSingleTxtG"/>
        <w:numPr>
          <w:ilvl w:val="0"/>
          <w:numId w:val="0"/>
        </w:numPr>
        <w:spacing w:before="120"/>
        <w:ind w:left="1134"/>
      </w:pPr>
      <w:r w:rsidRPr="000E5DB4">
        <w:t>5.</w:t>
      </w:r>
      <w:r w:rsidRPr="000E5DB4">
        <w:tab/>
      </w:r>
      <w:r w:rsidR="000E5DB4" w:rsidRPr="000E5DB4">
        <w:rPr>
          <w:i/>
        </w:rPr>
        <w:t>Invites</w:t>
      </w:r>
      <w:r w:rsidR="000E5DB4" w:rsidRPr="00DF2AE2">
        <w:t xml:space="preserve"> the Conference of the Parties serving as the meeting of the Parties to the Paris Agreement to participate in the review referred to in paragraph </w:t>
      </w:r>
      <w:r w:rsidR="000E5DB4">
        <w:t>4</w:t>
      </w:r>
      <w:r w:rsidR="000E5DB4" w:rsidRPr="00DF2AE2">
        <w:t xml:space="preserve"> above and to affirm </w:t>
      </w:r>
      <w:r w:rsidR="000E5DB4" w:rsidRPr="000E5DB4">
        <w:rPr>
          <w:iCs/>
        </w:rPr>
        <w:t>this</w:t>
      </w:r>
      <w:r w:rsidR="000E5DB4" w:rsidRPr="000E5DB4">
        <w:rPr>
          <w:i/>
          <w:iCs/>
        </w:rPr>
        <w:t xml:space="preserve"> </w:t>
      </w:r>
      <w:r w:rsidR="000E5DB4" w:rsidRPr="000E5DB4">
        <w:rPr>
          <w:iCs/>
        </w:rPr>
        <w:t>decision in this regard.</w:t>
      </w:r>
    </w:p>
    <w:p w14:paraId="2BB5AB1A" w14:textId="54FB16A4" w:rsidR="000E5DB4" w:rsidRDefault="008D7410" w:rsidP="000E5DB4">
      <w:pPr>
        <w:pStyle w:val="RegSingleTxtG"/>
        <w:numPr>
          <w:ilvl w:val="0"/>
          <w:numId w:val="0"/>
        </w:numPr>
        <w:spacing w:after="0"/>
        <w:ind w:left="1134"/>
        <w:jc w:val="right"/>
        <w:rPr>
          <w:i/>
        </w:rPr>
      </w:pPr>
      <w:r>
        <w:rPr>
          <w:i/>
        </w:rPr>
        <w:t>5</w:t>
      </w:r>
      <w:r w:rsidRPr="008D7410">
        <w:rPr>
          <w:i/>
          <w:vertAlign w:val="superscript"/>
        </w:rPr>
        <w:t>th</w:t>
      </w:r>
      <w:r>
        <w:rPr>
          <w:i/>
        </w:rPr>
        <w:t xml:space="preserve"> </w:t>
      </w:r>
      <w:r w:rsidR="000E5DB4">
        <w:rPr>
          <w:i/>
        </w:rPr>
        <w:t>plenary meeting</w:t>
      </w:r>
    </w:p>
    <w:p w14:paraId="44A48A4D" w14:textId="035B3C72" w:rsidR="000E5DB4" w:rsidRDefault="008D7410" w:rsidP="000E5DB4">
      <w:pPr>
        <w:pStyle w:val="RegSingleTxtG"/>
        <w:numPr>
          <w:ilvl w:val="0"/>
          <w:numId w:val="0"/>
        </w:numPr>
        <w:spacing w:after="0"/>
        <w:ind w:left="1134"/>
        <w:jc w:val="right"/>
        <w:rPr>
          <w:i/>
        </w:rPr>
      </w:pPr>
      <w:r>
        <w:rPr>
          <w:i/>
        </w:rPr>
        <w:t>18</w:t>
      </w:r>
      <w:r w:rsidR="000E5DB4">
        <w:rPr>
          <w:i/>
        </w:rPr>
        <w:t xml:space="preserve"> November 2024</w:t>
      </w:r>
    </w:p>
    <w:p w14:paraId="79C8C7D7" w14:textId="77777777" w:rsidR="00890B17" w:rsidRPr="00F10CC5" w:rsidRDefault="00890B17" w:rsidP="00BF47B4">
      <w:pPr>
        <w:spacing w:before="240"/>
        <w:ind w:left="1134" w:right="1134"/>
        <w:jc w:val="center"/>
        <w:rPr>
          <w:u w:val="single"/>
        </w:rPr>
      </w:pPr>
      <w:r>
        <w:rPr>
          <w:u w:val="single"/>
        </w:rPr>
        <w:tab/>
      </w:r>
      <w:r>
        <w:rPr>
          <w:u w:val="single"/>
        </w:rPr>
        <w:tab/>
      </w:r>
      <w:r>
        <w:rPr>
          <w:u w:val="single"/>
        </w:rPr>
        <w:tab/>
      </w:r>
      <w:r>
        <w:rPr>
          <w:u w:val="single"/>
        </w:rPr>
        <w:tab/>
      </w:r>
    </w:p>
    <w:p w14:paraId="3B45A49C" w14:textId="77777777" w:rsidR="00890B17" w:rsidRDefault="00890B17" w:rsidP="000E5DB4">
      <w:pPr>
        <w:pStyle w:val="RegSingleTxtG"/>
        <w:numPr>
          <w:ilvl w:val="0"/>
          <w:numId w:val="0"/>
        </w:numPr>
        <w:spacing w:after="0"/>
        <w:ind w:left="1134"/>
        <w:jc w:val="right"/>
      </w:pPr>
    </w:p>
    <w:sectPr w:rsidR="00890B17" w:rsidSect="001C679A">
      <w:headerReference w:type="even" r:id="rId163"/>
      <w:headerReference w:type="default" r:id="rId164"/>
      <w:footerReference w:type="even" r:id="rId165"/>
      <w:footerReference w:type="default" r:id="rId166"/>
      <w:footnotePr>
        <w:numRestart w:val="eachSect"/>
      </w:footnotePr>
      <w:pgSz w:w="11906" w:h="16838" w:code="9"/>
      <w:pgMar w:top="1417" w:right="1134" w:bottom="1134" w:left="1134" w:header="85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07901" w14:textId="77777777" w:rsidR="0026394F" w:rsidRPr="008362C4" w:rsidRDefault="0026394F" w:rsidP="008362C4">
      <w:pPr>
        <w:spacing w:line="14" w:lineRule="exact"/>
        <w:rPr>
          <w:color w:val="FFFFFF" w:themeColor="background1"/>
        </w:rPr>
      </w:pPr>
      <w:r w:rsidRPr="008362C4">
        <w:rPr>
          <w:color w:val="FFFFFF" w:themeColor="background1"/>
        </w:rPr>
        <w:separator/>
      </w:r>
    </w:p>
    <w:p w14:paraId="0D3F0338" w14:textId="77777777" w:rsidR="0026394F" w:rsidRPr="008362C4" w:rsidRDefault="0026394F" w:rsidP="00C45173">
      <w:pPr>
        <w:spacing w:line="14" w:lineRule="atLeast"/>
        <w:rPr>
          <w:color w:val="FFFFFF" w:themeColor="background1"/>
          <w:sz w:val="2"/>
          <w:szCs w:val="2"/>
        </w:rPr>
      </w:pPr>
    </w:p>
  </w:endnote>
  <w:endnote w:type="continuationSeparator" w:id="0">
    <w:p w14:paraId="3A85D042" w14:textId="77777777" w:rsidR="0026394F" w:rsidRDefault="0026394F">
      <w:r>
        <w:continuationSeparator/>
      </w:r>
    </w:p>
    <w:p w14:paraId="3A933B89" w14:textId="77777777" w:rsidR="0026394F" w:rsidRDefault="0026394F"/>
  </w:endnote>
  <w:endnote w:type="continuationNotice" w:id="1">
    <w:p w14:paraId="1CC205A7" w14:textId="77777777" w:rsidR="0026394F" w:rsidRDefault="0026394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35D60" w14:textId="3D874F5B" w:rsidR="001C679A" w:rsidRPr="001C679A" w:rsidRDefault="001C679A" w:rsidP="001C679A">
    <w:pPr>
      <w:pStyle w:val="Footer"/>
      <w:tabs>
        <w:tab w:val="right" w:pos="9638"/>
      </w:tabs>
    </w:pPr>
    <w:r w:rsidRPr="001C679A">
      <w:rPr>
        <w:b/>
        <w:sz w:val="18"/>
      </w:rPr>
      <w:fldChar w:fldCharType="begin"/>
    </w:r>
    <w:r w:rsidRPr="001C679A">
      <w:rPr>
        <w:b/>
        <w:sz w:val="18"/>
      </w:rPr>
      <w:instrText xml:space="preserve"> PAGE  \* MERGEFORMAT </w:instrText>
    </w:r>
    <w:r w:rsidRPr="001C679A">
      <w:rPr>
        <w:b/>
        <w:sz w:val="18"/>
      </w:rPr>
      <w:fldChar w:fldCharType="separate"/>
    </w:r>
    <w:r w:rsidRPr="001C679A">
      <w:rPr>
        <w:b/>
        <w:noProof/>
        <w:sz w:val="18"/>
      </w:rPr>
      <w:t>4</w:t>
    </w:r>
    <w:r w:rsidRPr="001C679A">
      <w:rPr>
        <w:b/>
        <w:sz w:val="18"/>
      </w:rPr>
      <w:fldChar w:fldCharType="end"/>
    </w:r>
    <w:r>
      <w:rPr>
        <w:sz w:val="18"/>
      </w:rP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07F73" w14:textId="5FE9E5E5" w:rsidR="001C679A" w:rsidRPr="001C679A" w:rsidRDefault="001C679A" w:rsidP="001C679A">
    <w:pPr>
      <w:pStyle w:val="Footer"/>
      <w:tabs>
        <w:tab w:val="right" w:pos="9638"/>
      </w:tabs>
      <w:rPr>
        <w:b/>
        <w:sz w:val="18"/>
      </w:rPr>
    </w:pPr>
    <w:r>
      <w:tab/>
    </w:r>
    <w:r w:rsidRPr="001C679A">
      <w:rPr>
        <w:b/>
        <w:sz w:val="18"/>
      </w:rPr>
      <w:fldChar w:fldCharType="begin"/>
    </w:r>
    <w:r w:rsidRPr="001C679A">
      <w:rPr>
        <w:b/>
        <w:sz w:val="18"/>
      </w:rPr>
      <w:instrText xml:space="preserve"> PAGE  \* MERGEFORMAT </w:instrText>
    </w:r>
    <w:r w:rsidRPr="001C679A">
      <w:rPr>
        <w:b/>
        <w:sz w:val="18"/>
      </w:rPr>
      <w:fldChar w:fldCharType="separate"/>
    </w:r>
    <w:r w:rsidRPr="001C679A">
      <w:rPr>
        <w:b/>
        <w:noProof/>
        <w:sz w:val="18"/>
      </w:rPr>
      <w:t>20</w:t>
    </w:r>
    <w:r w:rsidRPr="001C679A">
      <w:rPr>
        <w:b/>
        <w:sz w:val="1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BB1BD" w14:textId="7E3D9191" w:rsidR="001C679A" w:rsidRPr="001C679A" w:rsidRDefault="001C679A" w:rsidP="001C679A">
    <w:pPr>
      <w:pStyle w:val="Footer"/>
      <w:tabs>
        <w:tab w:val="right" w:pos="9638"/>
      </w:tabs>
    </w:pPr>
    <w:r w:rsidRPr="001C679A">
      <w:rPr>
        <w:b/>
        <w:sz w:val="18"/>
      </w:rPr>
      <w:fldChar w:fldCharType="begin"/>
    </w:r>
    <w:r w:rsidRPr="001C679A">
      <w:rPr>
        <w:b/>
        <w:sz w:val="18"/>
      </w:rPr>
      <w:instrText xml:space="preserve"> PAGE  \* MERGEFORMAT </w:instrText>
    </w:r>
    <w:r w:rsidRPr="001C679A">
      <w:rPr>
        <w:b/>
        <w:sz w:val="18"/>
      </w:rPr>
      <w:fldChar w:fldCharType="separate"/>
    </w:r>
    <w:r w:rsidRPr="001C679A">
      <w:rPr>
        <w:b/>
        <w:noProof/>
        <w:sz w:val="18"/>
      </w:rPr>
      <w:t>26</w:t>
    </w:r>
    <w:r w:rsidRPr="001C679A">
      <w:rPr>
        <w:b/>
        <w:sz w:val="18"/>
      </w:rPr>
      <w:fldChar w:fldCharType="end"/>
    </w:r>
    <w:r>
      <w:rPr>
        <w:sz w:val="18"/>
      </w:rPr>
      <w:tab/>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FC74D" w14:textId="10525D92" w:rsidR="001C679A" w:rsidRPr="001C679A" w:rsidRDefault="001C679A" w:rsidP="001C679A">
    <w:pPr>
      <w:pStyle w:val="Footer"/>
      <w:tabs>
        <w:tab w:val="right" w:pos="9638"/>
      </w:tabs>
      <w:rPr>
        <w:b/>
        <w:sz w:val="18"/>
      </w:rPr>
    </w:pPr>
    <w:r>
      <w:tab/>
    </w:r>
    <w:r w:rsidRPr="001C679A">
      <w:rPr>
        <w:b/>
        <w:sz w:val="18"/>
      </w:rPr>
      <w:fldChar w:fldCharType="begin"/>
    </w:r>
    <w:r w:rsidRPr="001C679A">
      <w:rPr>
        <w:b/>
        <w:sz w:val="18"/>
      </w:rPr>
      <w:instrText xml:space="preserve"> PAGE  \* MERGEFORMAT </w:instrText>
    </w:r>
    <w:r w:rsidRPr="001C679A">
      <w:rPr>
        <w:b/>
        <w:sz w:val="18"/>
      </w:rPr>
      <w:fldChar w:fldCharType="separate"/>
    </w:r>
    <w:r w:rsidRPr="001C679A">
      <w:rPr>
        <w:b/>
        <w:noProof/>
        <w:sz w:val="18"/>
      </w:rPr>
      <w:t>26</w:t>
    </w:r>
    <w:r w:rsidRPr="001C679A">
      <w:rPr>
        <w:b/>
        <w:sz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98F88" w14:textId="75E12053" w:rsidR="001C679A" w:rsidRPr="001C679A" w:rsidRDefault="001C679A" w:rsidP="001C679A">
    <w:pPr>
      <w:pStyle w:val="Footer"/>
      <w:tabs>
        <w:tab w:val="right" w:pos="9638"/>
      </w:tabs>
    </w:pPr>
    <w:r w:rsidRPr="001C679A">
      <w:rPr>
        <w:b/>
        <w:sz w:val="18"/>
      </w:rPr>
      <w:fldChar w:fldCharType="begin"/>
    </w:r>
    <w:r w:rsidRPr="001C679A">
      <w:rPr>
        <w:b/>
        <w:sz w:val="18"/>
      </w:rPr>
      <w:instrText xml:space="preserve"> PAGE  \* MERGEFORMAT </w:instrText>
    </w:r>
    <w:r w:rsidRPr="001C679A">
      <w:rPr>
        <w:b/>
        <w:sz w:val="18"/>
      </w:rPr>
      <w:fldChar w:fldCharType="separate"/>
    </w:r>
    <w:r w:rsidRPr="001C679A">
      <w:rPr>
        <w:b/>
        <w:noProof/>
        <w:sz w:val="18"/>
      </w:rPr>
      <w:t>30</w:t>
    </w:r>
    <w:r w:rsidRPr="001C679A">
      <w:rPr>
        <w:b/>
        <w:sz w:val="18"/>
      </w:rPr>
      <w:fldChar w:fldCharType="end"/>
    </w:r>
    <w:r>
      <w:rPr>
        <w:sz w:val="18"/>
      </w:rPr>
      <w:tab/>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56A5C" w14:textId="2F066054" w:rsidR="001C679A" w:rsidRPr="001C679A" w:rsidRDefault="001C679A" w:rsidP="001C679A">
    <w:pPr>
      <w:pStyle w:val="Footer"/>
      <w:tabs>
        <w:tab w:val="right" w:pos="9638"/>
      </w:tabs>
      <w:rPr>
        <w:b/>
        <w:sz w:val="18"/>
      </w:rPr>
    </w:pPr>
    <w:r>
      <w:tab/>
    </w:r>
    <w:r w:rsidRPr="001C679A">
      <w:rPr>
        <w:b/>
        <w:sz w:val="18"/>
      </w:rPr>
      <w:fldChar w:fldCharType="begin"/>
    </w:r>
    <w:r w:rsidRPr="001C679A">
      <w:rPr>
        <w:b/>
        <w:sz w:val="18"/>
      </w:rPr>
      <w:instrText xml:space="preserve"> PAGE  \* MERGEFORMAT </w:instrText>
    </w:r>
    <w:r w:rsidRPr="001C679A">
      <w:rPr>
        <w:b/>
        <w:sz w:val="18"/>
      </w:rPr>
      <w:fldChar w:fldCharType="separate"/>
    </w:r>
    <w:r w:rsidRPr="001C679A">
      <w:rPr>
        <w:b/>
        <w:noProof/>
        <w:sz w:val="18"/>
      </w:rPr>
      <w:t>30</w:t>
    </w:r>
    <w:r w:rsidRPr="001C679A">
      <w:rPr>
        <w:b/>
        <w:sz w:val="18"/>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A5466" w14:textId="4C89688D" w:rsidR="001C679A" w:rsidRPr="001C679A" w:rsidRDefault="001C679A" w:rsidP="001C679A">
    <w:pPr>
      <w:pStyle w:val="Footer"/>
      <w:tabs>
        <w:tab w:val="right" w:pos="9638"/>
      </w:tabs>
    </w:pPr>
    <w:r w:rsidRPr="001C679A">
      <w:rPr>
        <w:b/>
        <w:sz w:val="18"/>
      </w:rPr>
      <w:fldChar w:fldCharType="begin"/>
    </w:r>
    <w:r w:rsidRPr="001C679A">
      <w:rPr>
        <w:b/>
        <w:sz w:val="18"/>
      </w:rPr>
      <w:instrText xml:space="preserve"> PAGE  \* MERGEFORMAT </w:instrText>
    </w:r>
    <w:r w:rsidRPr="001C679A">
      <w:rPr>
        <w:b/>
        <w:sz w:val="18"/>
      </w:rPr>
      <w:fldChar w:fldCharType="separate"/>
    </w:r>
    <w:r w:rsidRPr="001C679A">
      <w:rPr>
        <w:b/>
        <w:noProof/>
        <w:sz w:val="18"/>
      </w:rPr>
      <w:t>37</w:t>
    </w:r>
    <w:r w:rsidRPr="001C679A">
      <w:rPr>
        <w:b/>
        <w:sz w:val="18"/>
      </w:rPr>
      <w:fldChar w:fldCharType="end"/>
    </w:r>
    <w:r>
      <w:rPr>
        <w:sz w:val="18"/>
      </w:rPr>
      <w:tab/>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52BFE" w14:textId="0FEED398" w:rsidR="001C679A" w:rsidRPr="001C679A" w:rsidRDefault="001C679A" w:rsidP="001C679A">
    <w:pPr>
      <w:pStyle w:val="Footer"/>
      <w:tabs>
        <w:tab w:val="right" w:pos="9638"/>
      </w:tabs>
    </w:pPr>
    <w:r w:rsidRPr="001C679A">
      <w:rPr>
        <w:b/>
        <w:sz w:val="18"/>
      </w:rPr>
      <w:fldChar w:fldCharType="begin"/>
    </w:r>
    <w:r w:rsidRPr="001C679A">
      <w:rPr>
        <w:b/>
        <w:sz w:val="18"/>
      </w:rPr>
      <w:instrText xml:space="preserve"> PAGE  \* MERGEFORMAT </w:instrText>
    </w:r>
    <w:r w:rsidRPr="001C679A">
      <w:rPr>
        <w:b/>
        <w:sz w:val="18"/>
      </w:rPr>
      <w:fldChar w:fldCharType="separate"/>
    </w:r>
    <w:r w:rsidRPr="001C679A">
      <w:rPr>
        <w:b/>
        <w:noProof/>
        <w:sz w:val="18"/>
      </w:rPr>
      <w:t>40</w:t>
    </w:r>
    <w:r w:rsidRPr="001C679A">
      <w:rPr>
        <w:b/>
        <w:sz w:val="18"/>
      </w:rPr>
      <w:fldChar w:fldCharType="end"/>
    </w:r>
    <w:r>
      <w:rPr>
        <w:sz w:val="18"/>
      </w:rPr>
      <w:tab/>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5D6EB" w14:textId="2D10643D" w:rsidR="001C679A" w:rsidRPr="001C679A" w:rsidRDefault="001C679A" w:rsidP="001C679A">
    <w:pPr>
      <w:pStyle w:val="Footer"/>
      <w:tabs>
        <w:tab w:val="right" w:pos="9638"/>
      </w:tabs>
      <w:rPr>
        <w:b/>
        <w:sz w:val="18"/>
      </w:rPr>
    </w:pPr>
    <w:r>
      <w:tab/>
    </w:r>
    <w:r w:rsidRPr="001C679A">
      <w:rPr>
        <w:b/>
        <w:sz w:val="18"/>
      </w:rPr>
      <w:fldChar w:fldCharType="begin"/>
    </w:r>
    <w:r w:rsidRPr="001C679A">
      <w:rPr>
        <w:b/>
        <w:sz w:val="18"/>
      </w:rPr>
      <w:instrText xml:space="preserve"> PAGE  \* MERGEFORMAT </w:instrText>
    </w:r>
    <w:r w:rsidRPr="001C679A">
      <w:rPr>
        <w:b/>
        <w:sz w:val="18"/>
      </w:rPr>
      <w:fldChar w:fldCharType="separate"/>
    </w:r>
    <w:r w:rsidRPr="001C679A">
      <w:rPr>
        <w:b/>
        <w:noProof/>
        <w:sz w:val="18"/>
      </w:rPr>
      <w:t>39</w:t>
    </w:r>
    <w:r w:rsidRPr="001C679A">
      <w:rPr>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69AFC" w14:textId="2847F011" w:rsidR="001C679A" w:rsidRPr="001C679A" w:rsidRDefault="001C679A" w:rsidP="001C679A">
    <w:pPr>
      <w:pStyle w:val="Footer"/>
      <w:tabs>
        <w:tab w:val="right" w:pos="9638"/>
      </w:tabs>
      <w:rPr>
        <w:b/>
        <w:sz w:val="18"/>
      </w:rPr>
    </w:pPr>
    <w:r>
      <w:tab/>
    </w:r>
    <w:r w:rsidRPr="001C679A">
      <w:rPr>
        <w:b/>
        <w:sz w:val="18"/>
      </w:rPr>
      <w:fldChar w:fldCharType="begin"/>
    </w:r>
    <w:r w:rsidRPr="001C679A">
      <w:rPr>
        <w:b/>
        <w:sz w:val="18"/>
      </w:rPr>
      <w:instrText xml:space="preserve"> PAGE  \* MERGEFORMAT </w:instrText>
    </w:r>
    <w:r w:rsidRPr="001C679A">
      <w:rPr>
        <w:b/>
        <w:sz w:val="18"/>
      </w:rPr>
      <w:fldChar w:fldCharType="separate"/>
    </w:r>
    <w:r w:rsidRPr="001C679A">
      <w:rPr>
        <w:b/>
        <w:noProof/>
        <w:sz w:val="18"/>
      </w:rPr>
      <w:t>6</w:t>
    </w:r>
    <w:r w:rsidRPr="001C679A">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892AD" w14:textId="60ECF018" w:rsidR="001C679A" w:rsidRPr="001C679A" w:rsidRDefault="001C679A" w:rsidP="001C679A">
    <w:pPr>
      <w:pStyle w:val="Footer"/>
      <w:tabs>
        <w:tab w:val="right" w:pos="9638"/>
      </w:tabs>
    </w:pPr>
    <w:r w:rsidRPr="001C679A">
      <w:rPr>
        <w:b/>
        <w:sz w:val="18"/>
      </w:rPr>
      <w:fldChar w:fldCharType="begin"/>
    </w:r>
    <w:r w:rsidRPr="001C679A">
      <w:rPr>
        <w:b/>
        <w:sz w:val="18"/>
      </w:rPr>
      <w:instrText xml:space="preserve"> PAGE  \* MERGEFORMAT </w:instrText>
    </w:r>
    <w:r w:rsidRPr="001C679A">
      <w:rPr>
        <w:b/>
        <w:sz w:val="18"/>
      </w:rPr>
      <w:fldChar w:fldCharType="separate"/>
    </w:r>
    <w:r w:rsidRPr="001C679A">
      <w:rPr>
        <w:b/>
        <w:noProof/>
        <w:sz w:val="18"/>
      </w:rPr>
      <w:t>8</w:t>
    </w:r>
    <w:r w:rsidRPr="001C679A">
      <w:rPr>
        <w:b/>
        <w:sz w:val="18"/>
      </w:rPr>
      <w:fldChar w:fldCharType="end"/>
    </w:r>
    <w:r>
      <w:rPr>
        <w:sz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1A281" w14:textId="66F65084" w:rsidR="001C679A" w:rsidRPr="001C679A" w:rsidRDefault="001C679A" w:rsidP="001C679A">
    <w:pPr>
      <w:pStyle w:val="Footer"/>
      <w:tabs>
        <w:tab w:val="right" w:pos="9638"/>
      </w:tabs>
      <w:rPr>
        <w:b/>
        <w:sz w:val="18"/>
      </w:rPr>
    </w:pPr>
    <w:r>
      <w:tab/>
    </w:r>
    <w:r w:rsidRPr="001C679A">
      <w:rPr>
        <w:b/>
        <w:sz w:val="18"/>
      </w:rPr>
      <w:fldChar w:fldCharType="begin"/>
    </w:r>
    <w:r w:rsidRPr="001C679A">
      <w:rPr>
        <w:b/>
        <w:sz w:val="18"/>
      </w:rPr>
      <w:instrText xml:space="preserve"> PAGE  \* MERGEFORMAT </w:instrText>
    </w:r>
    <w:r w:rsidRPr="001C679A">
      <w:rPr>
        <w:b/>
        <w:sz w:val="18"/>
      </w:rPr>
      <w:fldChar w:fldCharType="separate"/>
    </w:r>
    <w:r w:rsidRPr="001C679A">
      <w:rPr>
        <w:b/>
        <w:noProof/>
        <w:sz w:val="18"/>
      </w:rPr>
      <w:t>8</w:t>
    </w:r>
    <w:r w:rsidRPr="001C679A">
      <w:rPr>
        <w:b/>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B0751" w14:textId="569E9970" w:rsidR="001C679A" w:rsidRPr="001C679A" w:rsidRDefault="001C679A" w:rsidP="001C679A">
    <w:pPr>
      <w:pStyle w:val="Footer"/>
      <w:tabs>
        <w:tab w:val="right" w:pos="9638"/>
      </w:tabs>
    </w:pPr>
    <w:r w:rsidRPr="001C679A">
      <w:rPr>
        <w:b/>
        <w:sz w:val="18"/>
      </w:rPr>
      <w:fldChar w:fldCharType="begin"/>
    </w:r>
    <w:r w:rsidRPr="001C679A">
      <w:rPr>
        <w:b/>
        <w:sz w:val="18"/>
      </w:rPr>
      <w:instrText xml:space="preserve"> PAGE  \* MERGEFORMAT </w:instrText>
    </w:r>
    <w:r w:rsidRPr="001C679A">
      <w:rPr>
        <w:b/>
        <w:sz w:val="18"/>
      </w:rPr>
      <w:fldChar w:fldCharType="separate"/>
    </w:r>
    <w:r w:rsidRPr="001C679A">
      <w:rPr>
        <w:b/>
        <w:noProof/>
        <w:sz w:val="18"/>
      </w:rPr>
      <w:t>12</w:t>
    </w:r>
    <w:r w:rsidRPr="001C679A">
      <w:rPr>
        <w:b/>
        <w:sz w:val="18"/>
      </w:rPr>
      <w:fldChar w:fldCharType="end"/>
    </w:r>
    <w:r>
      <w:rPr>
        <w:sz w:val="18"/>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19E11" w14:textId="691A083C" w:rsidR="001C679A" w:rsidRPr="001C679A" w:rsidRDefault="001C679A" w:rsidP="001C679A">
    <w:pPr>
      <w:pStyle w:val="Footer"/>
      <w:tabs>
        <w:tab w:val="right" w:pos="9638"/>
      </w:tabs>
      <w:rPr>
        <w:b/>
        <w:sz w:val="18"/>
      </w:rPr>
    </w:pPr>
    <w:r>
      <w:tab/>
    </w:r>
    <w:r w:rsidRPr="001C679A">
      <w:rPr>
        <w:b/>
        <w:sz w:val="18"/>
      </w:rPr>
      <w:fldChar w:fldCharType="begin"/>
    </w:r>
    <w:r w:rsidRPr="001C679A">
      <w:rPr>
        <w:b/>
        <w:sz w:val="18"/>
      </w:rPr>
      <w:instrText xml:space="preserve"> PAGE  \* MERGEFORMAT </w:instrText>
    </w:r>
    <w:r w:rsidRPr="001C679A">
      <w:rPr>
        <w:b/>
        <w:sz w:val="18"/>
      </w:rPr>
      <w:fldChar w:fldCharType="separate"/>
    </w:r>
    <w:r w:rsidRPr="001C679A">
      <w:rPr>
        <w:b/>
        <w:noProof/>
        <w:sz w:val="18"/>
      </w:rPr>
      <w:t>14</w:t>
    </w:r>
    <w:r w:rsidRPr="001C679A">
      <w:rPr>
        <w:b/>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5DE9F" w14:textId="05A1A0E7" w:rsidR="001C679A" w:rsidRPr="001C679A" w:rsidRDefault="001C679A" w:rsidP="001C679A">
    <w:pPr>
      <w:pStyle w:val="Footer"/>
      <w:tabs>
        <w:tab w:val="right" w:pos="9638"/>
      </w:tabs>
    </w:pPr>
    <w:r w:rsidRPr="001C679A">
      <w:rPr>
        <w:b/>
        <w:sz w:val="18"/>
      </w:rPr>
      <w:fldChar w:fldCharType="begin"/>
    </w:r>
    <w:r w:rsidRPr="001C679A">
      <w:rPr>
        <w:b/>
        <w:sz w:val="18"/>
      </w:rPr>
      <w:instrText xml:space="preserve"> PAGE  \* MERGEFORMAT </w:instrText>
    </w:r>
    <w:r w:rsidRPr="001C679A">
      <w:rPr>
        <w:b/>
        <w:sz w:val="18"/>
      </w:rPr>
      <w:fldChar w:fldCharType="separate"/>
    </w:r>
    <w:r w:rsidRPr="001C679A">
      <w:rPr>
        <w:b/>
        <w:noProof/>
        <w:sz w:val="18"/>
      </w:rPr>
      <w:t>16</w:t>
    </w:r>
    <w:r w:rsidRPr="001C679A">
      <w:rPr>
        <w:b/>
        <w:sz w:val="18"/>
      </w:rPr>
      <w:fldChar w:fldCharType="end"/>
    </w:r>
    <w:r>
      <w:rPr>
        <w:sz w:val="18"/>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E8347" w14:textId="08CE4BC5" w:rsidR="001C679A" w:rsidRPr="001C679A" w:rsidRDefault="001C679A" w:rsidP="001C679A">
    <w:pPr>
      <w:pStyle w:val="Footer"/>
      <w:tabs>
        <w:tab w:val="right" w:pos="9638"/>
      </w:tabs>
      <w:rPr>
        <w:b/>
        <w:sz w:val="18"/>
      </w:rPr>
    </w:pPr>
    <w:r>
      <w:tab/>
    </w:r>
    <w:r w:rsidRPr="001C679A">
      <w:rPr>
        <w:b/>
        <w:sz w:val="18"/>
      </w:rPr>
      <w:fldChar w:fldCharType="begin"/>
    </w:r>
    <w:r w:rsidRPr="001C679A">
      <w:rPr>
        <w:b/>
        <w:sz w:val="18"/>
      </w:rPr>
      <w:instrText xml:space="preserve"> PAGE  \* MERGEFORMAT </w:instrText>
    </w:r>
    <w:r w:rsidRPr="001C679A">
      <w:rPr>
        <w:b/>
        <w:sz w:val="18"/>
      </w:rPr>
      <w:fldChar w:fldCharType="separate"/>
    </w:r>
    <w:r w:rsidRPr="001C679A">
      <w:rPr>
        <w:b/>
        <w:noProof/>
        <w:sz w:val="18"/>
      </w:rPr>
      <w:t>18</w:t>
    </w:r>
    <w:r w:rsidRPr="001C679A">
      <w:rPr>
        <w:b/>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8B62F" w14:textId="0BA0F781" w:rsidR="001C679A" w:rsidRPr="001C679A" w:rsidRDefault="001C679A" w:rsidP="001C679A">
    <w:pPr>
      <w:pStyle w:val="Footer"/>
      <w:tabs>
        <w:tab w:val="right" w:pos="9638"/>
      </w:tabs>
    </w:pPr>
    <w:r w:rsidRPr="001C679A">
      <w:rPr>
        <w:b/>
        <w:sz w:val="18"/>
      </w:rPr>
      <w:fldChar w:fldCharType="begin"/>
    </w:r>
    <w:r w:rsidRPr="001C679A">
      <w:rPr>
        <w:b/>
        <w:sz w:val="18"/>
      </w:rPr>
      <w:instrText xml:space="preserve"> PAGE  \* MERGEFORMAT </w:instrText>
    </w:r>
    <w:r w:rsidRPr="001C679A">
      <w:rPr>
        <w:b/>
        <w:sz w:val="18"/>
      </w:rPr>
      <w:fldChar w:fldCharType="separate"/>
    </w:r>
    <w:r w:rsidRPr="001C679A">
      <w:rPr>
        <w:b/>
        <w:noProof/>
        <w:sz w:val="18"/>
      </w:rPr>
      <w:t>20</w:t>
    </w:r>
    <w:r w:rsidRPr="001C679A">
      <w:rPr>
        <w:b/>
        <w:sz w:val="18"/>
      </w:rPr>
      <w:fldChar w:fldCharType="end"/>
    </w:r>
    <w:r>
      <w:rPr>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15F1D" w14:textId="77777777" w:rsidR="0026394F" w:rsidRDefault="0026394F">
      <w:r>
        <w:separator/>
      </w:r>
    </w:p>
  </w:footnote>
  <w:footnote w:type="continuationSeparator" w:id="0">
    <w:p w14:paraId="5DEB84A9" w14:textId="77777777" w:rsidR="0026394F" w:rsidRDefault="0026394F">
      <w:r>
        <w:continuationSeparator/>
      </w:r>
    </w:p>
    <w:p w14:paraId="2F4D2FEC" w14:textId="77777777" w:rsidR="0026394F" w:rsidRDefault="0026394F"/>
  </w:footnote>
  <w:footnote w:type="continuationNotice" w:id="1">
    <w:p w14:paraId="509A038D" w14:textId="77777777" w:rsidR="0026394F" w:rsidRDefault="0026394F">
      <w:pPr>
        <w:spacing w:line="240" w:lineRule="auto"/>
      </w:pPr>
    </w:p>
  </w:footnote>
  <w:footnote w:id="2">
    <w:p w14:paraId="4B183CA7" w14:textId="77777777" w:rsidR="00032199" w:rsidRPr="00AB6BF8" w:rsidRDefault="00032199" w:rsidP="00032199">
      <w:pPr>
        <w:pStyle w:val="FootnoteText"/>
        <w:widowControl w:val="0"/>
        <w:tabs>
          <w:tab w:val="clear" w:pos="1021"/>
          <w:tab w:val="right" w:pos="1020"/>
        </w:tabs>
        <w:rPr>
          <w:lang w:val="en-US"/>
        </w:rPr>
      </w:pPr>
      <w:r>
        <w:tab/>
      </w:r>
      <w:r>
        <w:rPr>
          <w:rStyle w:val="FootnoteReference"/>
        </w:rPr>
        <w:footnoteRef/>
      </w:r>
      <w:r>
        <w:tab/>
      </w:r>
      <w:r w:rsidRPr="004A2151">
        <w:t xml:space="preserve">Standing Committee on Finance. 2024. </w:t>
      </w:r>
      <w:r w:rsidRPr="004A2151">
        <w:rPr>
          <w:i/>
          <w:iCs/>
        </w:rPr>
        <w:t>Second report on progress towards achieving the goal of mobilizing jointly USD 100 billion per year to address the needs of developing countries in the context of meaningful mitigation actions and transparency on implementation.</w:t>
      </w:r>
      <w:r w:rsidRPr="004A2151">
        <w:t xml:space="preserve"> Bonn: UNFCCC. Available at</w:t>
      </w:r>
      <w:r>
        <w:t xml:space="preserve"> </w:t>
      </w:r>
      <w:hyperlink r:id="rId1" w:history="1">
        <w:r w:rsidRPr="00DD4A7D">
          <w:rPr>
            <w:rStyle w:val="Hyperlink"/>
          </w:rPr>
          <w:t>https://unfccc.int/process-and-meetings/bodies/constituted-bodies/standing-committee-on-finance-scf/progress-report</w:t>
        </w:r>
      </w:hyperlink>
      <w:r>
        <w:t>.</w:t>
      </w:r>
    </w:p>
  </w:footnote>
  <w:footnote w:id="3">
    <w:p w14:paraId="7BDBBBDD" w14:textId="4F294073" w:rsidR="00032199" w:rsidRPr="003868C5" w:rsidRDefault="00032199" w:rsidP="00032199">
      <w:pPr>
        <w:pStyle w:val="FootnoteText"/>
        <w:widowControl w:val="0"/>
        <w:rPr>
          <w:lang w:val="en-US"/>
        </w:rPr>
      </w:pPr>
      <w:r>
        <w:tab/>
      </w:r>
      <w:r>
        <w:rPr>
          <w:rStyle w:val="FootnoteReference"/>
        </w:rPr>
        <w:footnoteRef/>
      </w:r>
      <w:r>
        <w:tab/>
      </w:r>
      <w:hyperlink r:id="rId2" w:history="1">
        <w:r w:rsidRPr="0006260C">
          <w:rPr>
            <w:rStyle w:val="Hyperlink"/>
          </w:rPr>
          <w:t>FCCC/CP/2024/6/Add.3</w:t>
        </w:r>
        <w:r w:rsidR="009A1EF5">
          <w:rPr>
            <w:rStyle w:val="Hyperlink"/>
          </w:rPr>
          <w:t>–</w:t>
        </w:r>
        <w:r w:rsidRPr="0006260C">
          <w:rPr>
            <w:rStyle w:val="Hyperlink"/>
          </w:rPr>
          <w:t>FCCC/PA/CMA/2024/8/Add.3</w:t>
        </w:r>
      </w:hyperlink>
      <w:r>
        <w:t xml:space="preserve">. </w:t>
      </w:r>
    </w:p>
  </w:footnote>
  <w:footnote w:id="4">
    <w:p w14:paraId="0178F4E4" w14:textId="440C76D7" w:rsidR="00705E67" w:rsidRPr="006158F6" w:rsidRDefault="00705E67" w:rsidP="00705E67">
      <w:pPr>
        <w:pStyle w:val="FootnoteText"/>
        <w:widowControl w:val="0"/>
        <w:tabs>
          <w:tab w:val="clear" w:pos="1021"/>
          <w:tab w:val="right" w:pos="1020"/>
        </w:tabs>
      </w:pPr>
      <w:r w:rsidRPr="006158F6">
        <w:tab/>
      </w:r>
      <w:r w:rsidRPr="006158F6">
        <w:rPr>
          <w:rStyle w:val="FootnoteReference"/>
        </w:rPr>
        <w:footnoteRef/>
      </w:r>
      <w:r w:rsidRPr="006158F6">
        <w:tab/>
      </w:r>
      <w:hyperlink r:id="rId3" w:history="1">
        <w:r w:rsidRPr="00B26B88">
          <w:rPr>
            <w:rStyle w:val="Hyperlink"/>
          </w:rPr>
          <w:t>FCCC/CP/2024/6–FCCC/PA/CMA/2024/8</w:t>
        </w:r>
      </w:hyperlink>
      <w:r w:rsidRPr="006158F6">
        <w:t xml:space="preserve">. </w:t>
      </w:r>
    </w:p>
  </w:footnote>
  <w:footnote w:id="5">
    <w:p w14:paraId="18577173" w14:textId="5CAC4E05" w:rsidR="00705E67" w:rsidRPr="006158F6" w:rsidRDefault="00705E67" w:rsidP="00705E67">
      <w:pPr>
        <w:pStyle w:val="FootnoteText"/>
        <w:widowControl w:val="0"/>
      </w:pPr>
      <w:r w:rsidRPr="006158F6">
        <w:tab/>
      </w:r>
      <w:r w:rsidRPr="006158F6">
        <w:rPr>
          <w:rStyle w:val="FootnoteReference"/>
        </w:rPr>
        <w:footnoteRef/>
      </w:r>
      <w:r w:rsidRPr="006158F6">
        <w:tab/>
      </w:r>
      <w:hyperlink r:id="rId4" w:history="1">
        <w:r w:rsidRPr="00B26B88">
          <w:rPr>
            <w:rStyle w:val="Hyperlink"/>
          </w:rPr>
          <w:t>FCCC/CP/2024/6–FCCC/PA/CMA/2024/8</w:t>
        </w:r>
      </w:hyperlink>
      <w:r w:rsidRPr="006158F6">
        <w:t xml:space="preserve">, annex II. </w:t>
      </w:r>
    </w:p>
  </w:footnote>
  <w:footnote w:id="6">
    <w:p w14:paraId="6DA7F91B" w14:textId="77777777" w:rsidR="00705E67" w:rsidRPr="006158F6" w:rsidRDefault="00705E67" w:rsidP="00705E67">
      <w:pPr>
        <w:pStyle w:val="FootnoteText"/>
        <w:widowControl w:val="0"/>
        <w:tabs>
          <w:tab w:val="clear" w:pos="1021"/>
          <w:tab w:val="right" w:pos="1020"/>
        </w:tabs>
      </w:pPr>
      <w:r w:rsidRPr="006158F6">
        <w:tab/>
      </w:r>
      <w:r w:rsidRPr="006158F6">
        <w:rPr>
          <w:rStyle w:val="FootnoteReference"/>
        </w:rPr>
        <w:footnoteRef/>
      </w:r>
      <w:r w:rsidRPr="006158F6">
        <w:tab/>
      </w:r>
      <w:r w:rsidRPr="00302D31">
        <w:t xml:space="preserve">Standing Committee on Finance. 2024. </w:t>
      </w:r>
      <w:r w:rsidRPr="00FD3140">
        <w:rPr>
          <w:i/>
          <w:iCs/>
        </w:rPr>
        <w:t>Sixth Biennial Assessment and Overview of Climate Finance Flows</w:t>
      </w:r>
      <w:r w:rsidRPr="00302D31">
        <w:t xml:space="preserve">. Bonn: UNFCCC. Available at </w:t>
      </w:r>
      <w:hyperlink r:id="rId5" w:history="1">
        <w:r w:rsidRPr="00F43495">
          <w:rPr>
            <w:rStyle w:val="Hyperlink"/>
          </w:rPr>
          <w:t>https://unfccc.int/topics/climate-finance/resources/biennial-assessment-and-overview-of-climate-finance-flows</w:t>
        </w:r>
      </w:hyperlink>
      <w:r w:rsidRPr="00302D31">
        <w:t>.</w:t>
      </w:r>
      <w:r>
        <w:t xml:space="preserve"> </w:t>
      </w:r>
    </w:p>
  </w:footnote>
  <w:footnote w:id="7">
    <w:p w14:paraId="600C6C37" w14:textId="6FE24E0F" w:rsidR="00705E67" w:rsidRPr="006158F6" w:rsidRDefault="00705E67" w:rsidP="00705E67">
      <w:pPr>
        <w:pStyle w:val="FootnoteText"/>
        <w:widowControl w:val="0"/>
        <w:tabs>
          <w:tab w:val="clear" w:pos="1021"/>
          <w:tab w:val="right" w:pos="1020"/>
        </w:tabs>
      </w:pPr>
      <w:r w:rsidRPr="006158F6">
        <w:tab/>
      </w:r>
      <w:r w:rsidRPr="006158F6">
        <w:rPr>
          <w:rStyle w:val="FootnoteReference"/>
        </w:rPr>
        <w:footnoteRef/>
      </w:r>
      <w:r w:rsidRPr="006158F6">
        <w:tab/>
      </w:r>
      <w:hyperlink r:id="rId6" w:history="1">
        <w:r w:rsidRPr="00B26B88">
          <w:rPr>
            <w:rStyle w:val="Hyperlink"/>
          </w:rPr>
          <w:t>FCCC/CP/2024/6/Add.1–FCCC/PA/CMA/2024/8/Add.1</w:t>
        </w:r>
      </w:hyperlink>
      <w:r w:rsidRPr="006158F6">
        <w:t xml:space="preserve">. </w:t>
      </w:r>
    </w:p>
  </w:footnote>
  <w:footnote w:id="8">
    <w:p w14:paraId="57A075B0" w14:textId="77777777" w:rsidR="00705E67" w:rsidRPr="002D47A2" w:rsidRDefault="00705E67" w:rsidP="00705E67">
      <w:pPr>
        <w:pStyle w:val="FootnoteText"/>
        <w:widowControl w:val="0"/>
        <w:tabs>
          <w:tab w:val="clear" w:pos="1021"/>
          <w:tab w:val="right" w:pos="1020"/>
        </w:tabs>
        <w:rPr>
          <w:lang w:val="en-US"/>
        </w:rPr>
      </w:pPr>
      <w:r>
        <w:tab/>
      </w:r>
      <w:r>
        <w:rPr>
          <w:rStyle w:val="FootnoteReference"/>
        </w:rPr>
        <w:footnoteRef/>
      </w:r>
      <w:r>
        <w:tab/>
        <w:t xml:space="preserve">Standing Committee on Finance. 2024. </w:t>
      </w:r>
      <w:r w:rsidRPr="002D47A2">
        <w:rPr>
          <w:i/>
          <w:iCs/>
        </w:rPr>
        <w:t>Second report on the determination of the needs of developing country Parties related to implementing the Convention and the Paris Agreement</w:t>
      </w:r>
      <w:r>
        <w:t xml:space="preserve">. Bonn: UNFCCC. Available at </w:t>
      </w:r>
      <w:hyperlink r:id="rId7" w:history="1">
        <w:r w:rsidRPr="00F43495">
          <w:rPr>
            <w:rStyle w:val="Hyperlink"/>
          </w:rPr>
          <w:t>https://unfccc.int/topics/climate-finance/workstreams/needs-report</w:t>
        </w:r>
      </w:hyperlink>
      <w:r>
        <w:t xml:space="preserve">. </w:t>
      </w:r>
    </w:p>
  </w:footnote>
  <w:footnote w:id="9">
    <w:p w14:paraId="41CFB681" w14:textId="0C6A1A3F" w:rsidR="00705E67" w:rsidRPr="006158F6" w:rsidRDefault="00705E67" w:rsidP="00705E67">
      <w:pPr>
        <w:pStyle w:val="FootnoteText"/>
        <w:widowControl w:val="0"/>
      </w:pPr>
      <w:r w:rsidRPr="006158F6">
        <w:tab/>
      </w:r>
      <w:r w:rsidRPr="006158F6">
        <w:rPr>
          <w:rStyle w:val="FootnoteReference"/>
        </w:rPr>
        <w:footnoteRef/>
      </w:r>
      <w:r w:rsidRPr="006158F6">
        <w:tab/>
      </w:r>
      <w:hyperlink r:id="rId8" w:history="1">
        <w:r w:rsidRPr="00B26B88">
          <w:rPr>
            <w:rStyle w:val="Hyperlink"/>
          </w:rPr>
          <w:t>FCCC/CP/2024/6/Add.2–FCCC/PA/CMA/2024/8/Add.2</w:t>
        </w:r>
      </w:hyperlink>
      <w:r>
        <w:t>.</w:t>
      </w:r>
      <w:r w:rsidRPr="006158F6">
        <w:t xml:space="preserve"> </w:t>
      </w:r>
    </w:p>
  </w:footnote>
  <w:footnote w:id="10">
    <w:p w14:paraId="58995D56" w14:textId="77777777" w:rsidR="00705E67" w:rsidRPr="00154DED" w:rsidRDefault="00705E67" w:rsidP="00705E67">
      <w:pPr>
        <w:pStyle w:val="FootnoteText"/>
        <w:widowControl w:val="0"/>
        <w:rPr>
          <w:lang w:val="en-US"/>
        </w:rPr>
      </w:pPr>
      <w:r>
        <w:tab/>
      </w:r>
      <w:r>
        <w:rPr>
          <w:rStyle w:val="FootnoteReference"/>
        </w:rPr>
        <w:footnoteRef/>
      </w:r>
      <w:r>
        <w:tab/>
      </w:r>
      <w:r w:rsidRPr="006F06D1">
        <w:t>As identified in the first needs determination report, the starting points for costed needs out to 2030 in nationally determined contributions vary significantly, with some indicating a 2015–2030</w:t>
      </w:r>
      <w:r>
        <w:t xml:space="preserve"> </w:t>
      </w:r>
      <w:r w:rsidRPr="006F06D1">
        <w:t>time frame and others 2020–2030</w:t>
      </w:r>
      <w:r w:rsidRPr="00F54240">
        <w:t>.</w:t>
      </w:r>
    </w:p>
  </w:footnote>
  <w:footnote w:id="11">
    <w:p w14:paraId="0E9E8A5B" w14:textId="77777777" w:rsidR="00705E67" w:rsidRPr="006158F6" w:rsidRDefault="00705E67" w:rsidP="00705E67">
      <w:pPr>
        <w:pStyle w:val="FootnoteText"/>
        <w:widowControl w:val="0"/>
        <w:tabs>
          <w:tab w:val="clear" w:pos="1021"/>
          <w:tab w:val="right" w:pos="1020"/>
        </w:tabs>
      </w:pPr>
      <w:r w:rsidRPr="006158F6">
        <w:tab/>
      </w:r>
      <w:r w:rsidRPr="006158F6">
        <w:rPr>
          <w:rStyle w:val="FootnoteReference"/>
        </w:rPr>
        <w:footnoteRef/>
      </w:r>
      <w:r w:rsidRPr="006158F6">
        <w:tab/>
      </w:r>
      <w:r w:rsidRPr="009F0716">
        <w:t xml:space="preserve">Standing Committee on Finance. 2024. </w:t>
      </w:r>
      <w:r w:rsidRPr="002D47A2">
        <w:rPr>
          <w:i/>
          <w:iCs/>
        </w:rPr>
        <w:t>Report on common practices regarding climate finance definitions, reporting and accounting methods</w:t>
      </w:r>
      <w:r w:rsidRPr="009F0716">
        <w:t xml:space="preserve">. Bonn: UNFCCC. Available at </w:t>
      </w:r>
      <w:hyperlink r:id="rId9" w:history="1">
        <w:r w:rsidRPr="00F43495">
          <w:rPr>
            <w:rStyle w:val="Hyperlink"/>
          </w:rPr>
          <w:t>https://unfccc.int/sites/default/files/resource/Common_Practices_Technical_Report.pdf</w:t>
        </w:r>
      </w:hyperlink>
      <w:r w:rsidRPr="009F0716">
        <w:t>.</w:t>
      </w:r>
      <w:r>
        <w:t xml:space="preserve"> </w:t>
      </w:r>
    </w:p>
  </w:footnote>
  <w:footnote w:id="12">
    <w:p w14:paraId="732E7DED" w14:textId="459209BA" w:rsidR="00705E67" w:rsidRPr="006158F6" w:rsidRDefault="00705E67" w:rsidP="00705E67">
      <w:pPr>
        <w:pStyle w:val="FootnoteText"/>
        <w:widowControl w:val="0"/>
        <w:tabs>
          <w:tab w:val="clear" w:pos="1021"/>
          <w:tab w:val="right" w:pos="1020"/>
        </w:tabs>
      </w:pPr>
      <w:r w:rsidRPr="006158F6">
        <w:tab/>
      </w:r>
      <w:r w:rsidRPr="006158F6">
        <w:rPr>
          <w:rStyle w:val="FootnoteReference"/>
        </w:rPr>
        <w:footnoteRef/>
      </w:r>
      <w:r w:rsidRPr="006158F6">
        <w:tab/>
      </w:r>
      <w:hyperlink r:id="rId10" w:history="1">
        <w:r w:rsidRPr="00B26B88">
          <w:rPr>
            <w:rStyle w:val="Hyperlink"/>
          </w:rPr>
          <w:t>FCCC/CP/2024/6/Add.4–FCCC/PA/CMA/2024/8/Add.4</w:t>
        </w:r>
      </w:hyperlink>
      <w:r w:rsidRPr="006158F6">
        <w:t>.</w:t>
      </w:r>
    </w:p>
  </w:footnote>
  <w:footnote w:id="13">
    <w:p w14:paraId="59A1E821" w14:textId="0C28EBBC" w:rsidR="00705E67" w:rsidRPr="006636D3" w:rsidRDefault="00705E67" w:rsidP="00705E67">
      <w:pPr>
        <w:pStyle w:val="FootnoteText"/>
        <w:widowControl w:val="0"/>
        <w:tabs>
          <w:tab w:val="clear" w:pos="1021"/>
          <w:tab w:val="right" w:pos="1020"/>
        </w:tabs>
        <w:rPr>
          <w:lang w:val="en-US"/>
        </w:rPr>
      </w:pPr>
      <w:r>
        <w:tab/>
      </w:r>
      <w:r>
        <w:rPr>
          <w:rStyle w:val="FootnoteReference"/>
        </w:rPr>
        <w:footnoteRef/>
      </w:r>
      <w:r>
        <w:tab/>
        <w:t>I</w:t>
      </w:r>
      <w:r w:rsidRPr="00843AC3">
        <w:t xml:space="preserve">n accordance with decision </w:t>
      </w:r>
      <w:hyperlink r:id="rId11" w:history="1">
        <w:r w:rsidRPr="00B26B88">
          <w:rPr>
            <w:rStyle w:val="Hyperlink"/>
          </w:rPr>
          <w:t>3/CP.19</w:t>
        </w:r>
      </w:hyperlink>
      <w:r w:rsidRPr="00843AC3">
        <w:t>, para</w:t>
      </w:r>
      <w:r>
        <w:t>.</w:t>
      </w:r>
      <w:r w:rsidRPr="00843AC3">
        <w:t xml:space="preserve"> 11</w:t>
      </w:r>
      <w:r>
        <w:t xml:space="preserve">. </w:t>
      </w:r>
    </w:p>
  </w:footnote>
  <w:footnote w:id="14">
    <w:p w14:paraId="33531DB8" w14:textId="541B5F55" w:rsidR="00705E67" w:rsidRPr="006111AB" w:rsidRDefault="00705E67" w:rsidP="00705E67">
      <w:pPr>
        <w:pStyle w:val="FootnoteText"/>
        <w:widowControl w:val="0"/>
        <w:tabs>
          <w:tab w:val="clear" w:pos="1021"/>
          <w:tab w:val="right" w:pos="1020"/>
        </w:tabs>
        <w:rPr>
          <w:lang w:val="en-US"/>
        </w:rPr>
      </w:pPr>
      <w:r w:rsidRPr="006158F6">
        <w:tab/>
      </w:r>
      <w:r w:rsidRPr="006158F6">
        <w:rPr>
          <w:rStyle w:val="FootnoteReference"/>
        </w:rPr>
        <w:footnoteRef/>
      </w:r>
      <w:r w:rsidRPr="006158F6">
        <w:tab/>
      </w:r>
      <w:hyperlink r:id="rId12" w:history="1">
        <w:r w:rsidRPr="00B26B88">
          <w:rPr>
            <w:rStyle w:val="Hyperlink"/>
          </w:rPr>
          <w:t>FCCC/CP/2024/6/Add.5–FCCC/PA/CMA/2024/8/Add.5</w:t>
        </w:r>
      </w:hyperlink>
      <w:r w:rsidRPr="006158F6">
        <w:t xml:space="preserve">. </w:t>
      </w:r>
    </w:p>
  </w:footnote>
  <w:footnote w:id="15">
    <w:p w14:paraId="16A7EC9F" w14:textId="542F6649" w:rsidR="00705E67" w:rsidRPr="00CA677D" w:rsidRDefault="00705E67" w:rsidP="00705E67">
      <w:pPr>
        <w:pStyle w:val="FootnoteText"/>
        <w:widowControl w:val="0"/>
        <w:rPr>
          <w:lang w:val="en-US"/>
        </w:rPr>
      </w:pPr>
      <w:r>
        <w:tab/>
      </w:r>
      <w:r>
        <w:rPr>
          <w:rStyle w:val="FootnoteReference"/>
        </w:rPr>
        <w:footnoteRef/>
      </w:r>
      <w:r>
        <w:tab/>
        <w:t xml:space="preserve">See decisions </w:t>
      </w:r>
      <w:hyperlink r:id="rId13" w:history="1">
        <w:r w:rsidRPr="00B26B88">
          <w:rPr>
            <w:rStyle w:val="Hyperlink"/>
          </w:rPr>
          <w:t>14/CP.27</w:t>
        </w:r>
      </w:hyperlink>
      <w:r>
        <w:t xml:space="preserve">, para. 13, and </w:t>
      </w:r>
      <w:hyperlink r:id="rId14" w:history="1">
        <w:r w:rsidRPr="00B26B88">
          <w:rPr>
            <w:rStyle w:val="Hyperlink"/>
          </w:rPr>
          <w:t>5/CP.28</w:t>
        </w:r>
      </w:hyperlink>
      <w:r>
        <w:t xml:space="preserve">, para. 13. </w:t>
      </w:r>
    </w:p>
  </w:footnote>
  <w:footnote w:id="16">
    <w:p w14:paraId="0A5149A7" w14:textId="73B52286" w:rsidR="00AF4AE0" w:rsidRPr="00AD5DE9" w:rsidRDefault="00AF4AE0" w:rsidP="00AF4AE0">
      <w:pPr>
        <w:pStyle w:val="FootnoteText"/>
        <w:widowControl w:val="0"/>
        <w:rPr>
          <w:lang w:val="en-US"/>
        </w:rPr>
      </w:pPr>
      <w:r>
        <w:tab/>
      </w:r>
      <w:r>
        <w:rPr>
          <w:rStyle w:val="FootnoteReference"/>
        </w:rPr>
        <w:footnoteRef/>
      </w:r>
      <w:r>
        <w:tab/>
      </w:r>
      <w:hyperlink r:id="rId15" w:history="1">
        <w:r w:rsidRPr="00B26B88">
          <w:rPr>
            <w:rStyle w:val="Hyperlink"/>
          </w:rPr>
          <w:t>FCCC/CP/2024/3</w:t>
        </w:r>
      </w:hyperlink>
      <w:r w:rsidRPr="00BB607A">
        <w:t xml:space="preserve"> and </w:t>
      </w:r>
      <w:hyperlink r:id="rId16" w:history="1">
        <w:r w:rsidRPr="005D0CD7">
          <w:rPr>
            <w:rStyle w:val="Hyperlink"/>
          </w:rPr>
          <w:t>Add.1</w:t>
        </w:r>
      </w:hyperlink>
      <w:r w:rsidRPr="00BB607A">
        <w:t>.</w:t>
      </w:r>
    </w:p>
  </w:footnote>
  <w:footnote w:id="17">
    <w:p w14:paraId="6B834BA8" w14:textId="77777777" w:rsidR="00AF4AE0" w:rsidRPr="00A259C9" w:rsidRDefault="00AF4AE0" w:rsidP="00AF4AE0">
      <w:pPr>
        <w:pStyle w:val="FootnoteText"/>
        <w:rPr>
          <w:lang w:val="en-US"/>
        </w:rPr>
      </w:pPr>
      <w:r>
        <w:tab/>
      </w:r>
      <w:r>
        <w:rPr>
          <w:rStyle w:val="FootnoteReference"/>
        </w:rPr>
        <w:footnoteRef/>
      </w:r>
      <w:r>
        <w:tab/>
      </w:r>
      <w:r w:rsidRPr="00A558AC">
        <w:t>Green Climate Fund Board document GCF/B.</w:t>
      </w:r>
      <w:r>
        <w:t>40</w:t>
      </w:r>
      <w:r w:rsidRPr="00A558AC">
        <w:t>/</w:t>
      </w:r>
      <w:r>
        <w:t>11.</w:t>
      </w:r>
    </w:p>
  </w:footnote>
  <w:footnote w:id="18">
    <w:p w14:paraId="26FA4A85" w14:textId="77777777" w:rsidR="00AF4AE0" w:rsidRPr="002A594C" w:rsidRDefault="00AF4AE0" w:rsidP="00AF4AE0">
      <w:pPr>
        <w:pStyle w:val="FootnoteText"/>
        <w:widowControl w:val="0"/>
      </w:pPr>
      <w:r>
        <w:tab/>
      </w:r>
      <w:r>
        <w:rPr>
          <w:rStyle w:val="FootnoteReference"/>
        </w:rPr>
        <w:footnoteRef/>
      </w:r>
      <w:r>
        <w:tab/>
      </w:r>
      <w:r w:rsidRPr="00BF5C27">
        <w:t>Contained in annex III to Green Climate Fund document GCF/B.36/21</w:t>
      </w:r>
      <w:r>
        <w:t>.</w:t>
      </w:r>
    </w:p>
  </w:footnote>
  <w:footnote w:id="19">
    <w:p w14:paraId="6B0985BD" w14:textId="039E6158" w:rsidR="00AF4AE0" w:rsidRPr="00024A6E" w:rsidRDefault="00AF4AE0" w:rsidP="00AF4AE0">
      <w:pPr>
        <w:pStyle w:val="FootnoteText"/>
        <w:rPr>
          <w:lang w:val="en-US"/>
        </w:rPr>
      </w:pPr>
      <w:r>
        <w:tab/>
      </w:r>
      <w:r>
        <w:rPr>
          <w:rStyle w:val="FootnoteReference"/>
        </w:rPr>
        <w:footnoteRef/>
      </w:r>
      <w:r>
        <w:tab/>
      </w:r>
      <w:r w:rsidRPr="00024A6E">
        <w:t xml:space="preserve">Decision </w:t>
      </w:r>
      <w:hyperlink r:id="rId17" w:history="1">
        <w:r w:rsidRPr="00B26B88">
          <w:rPr>
            <w:rStyle w:val="Hyperlink"/>
          </w:rPr>
          <w:t>3/CP.17</w:t>
        </w:r>
      </w:hyperlink>
      <w:r w:rsidRPr="00024A6E">
        <w:t>, annex.</w:t>
      </w:r>
    </w:p>
  </w:footnote>
  <w:footnote w:id="20">
    <w:p w14:paraId="675C910E" w14:textId="752A2A1E" w:rsidR="00AF4AE0" w:rsidRDefault="00AF4AE0" w:rsidP="00AF4AE0">
      <w:pPr>
        <w:pStyle w:val="FootnoteText"/>
        <w:widowControl w:val="0"/>
      </w:pPr>
      <w:r>
        <w:tab/>
      </w:r>
      <w:r>
        <w:rPr>
          <w:rStyle w:val="FootnoteReference"/>
        </w:rPr>
        <w:footnoteRef/>
      </w:r>
      <w:r>
        <w:tab/>
      </w:r>
      <w:hyperlink r:id="rId18" w:history="1">
        <w:r w:rsidRPr="00B26B88">
          <w:rPr>
            <w:rStyle w:val="Hyperlink"/>
          </w:rPr>
          <w:t>FCCC/CP/2024/6/Add.5–FCCC/PA/CMA/2024/8/Add.5</w:t>
        </w:r>
      </w:hyperlink>
      <w:r>
        <w:t>.</w:t>
      </w:r>
    </w:p>
  </w:footnote>
  <w:footnote w:id="21">
    <w:p w14:paraId="6535A76A" w14:textId="77777777" w:rsidR="00AF4AE0" w:rsidRPr="00467812" w:rsidRDefault="00AF4AE0" w:rsidP="00AF4AE0">
      <w:pPr>
        <w:pStyle w:val="FootnoteText"/>
        <w:rPr>
          <w:lang w:val="en-US"/>
        </w:rPr>
      </w:pPr>
      <w:r>
        <w:tab/>
      </w:r>
      <w:r>
        <w:rPr>
          <w:rStyle w:val="FootnoteReference"/>
        </w:rPr>
        <w:footnoteRef/>
      </w:r>
      <w:r>
        <w:tab/>
      </w:r>
      <w:r w:rsidRPr="004930CB">
        <w:t xml:space="preserve">See Green Climate Fund Board </w:t>
      </w:r>
      <w:r w:rsidRPr="00620FDF">
        <w:t>decision B.24/12</w:t>
      </w:r>
      <w:r>
        <w:t>.</w:t>
      </w:r>
    </w:p>
  </w:footnote>
  <w:footnote w:id="22">
    <w:p w14:paraId="56648BD6" w14:textId="16968A10" w:rsidR="00AF4AE0" w:rsidRPr="0067300B" w:rsidRDefault="00AF4AE0" w:rsidP="00AF4AE0">
      <w:pPr>
        <w:pStyle w:val="FootnoteText"/>
        <w:rPr>
          <w:lang w:val="en-US"/>
        </w:rPr>
      </w:pPr>
      <w:r>
        <w:tab/>
      </w:r>
      <w:r>
        <w:rPr>
          <w:rStyle w:val="FootnoteReference"/>
        </w:rPr>
        <w:footnoteRef/>
      </w:r>
      <w:r>
        <w:tab/>
        <w:t xml:space="preserve">Decision </w:t>
      </w:r>
      <w:hyperlink r:id="rId19" w:history="1">
        <w:r w:rsidRPr="00B26B88">
          <w:rPr>
            <w:rStyle w:val="Hyperlink"/>
          </w:rPr>
          <w:t>6/CP.28</w:t>
        </w:r>
      </w:hyperlink>
      <w:r>
        <w:t>, para. 13.</w:t>
      </w:r>
    </w:p>
  </w:footnote>
  <w:footnote w:id="23">
    <w:p w14:paraId="6A557405" w14:textId="77777777" w:rsidR="00AF4AE0" w:rsidRDefault="00AF4AE0" w:rsidP="00AF4AE0">
      <w:pPr>
        <w:pStyle w:val="FootnoteText"/>
        <w:widowControl w:val="0"/>
      </w:pPr>
      <w:r>
        <w:tab/>
      </w:r>
      <w:r>
        <w:rPr>
          <w:rStyle w:val="FootnoteReference"/>
        </w:rPr>
        <w:footnoteRef/>
      </w:r>
      <w:r>
        <w:tab/>
      </w:r>
      <w:r w:rsidRPr="004930CB">
        <w:t>See Green Climate Fund Board decision B.29/01.</w:t>
      </w:r>
    </w:p>
  </w:footnote>
  <w:footnote w:id="24">
    <w:p w14:paraId="6B50D781" w14:textId="727041FF" w:rsidR="00AF4AE0" w:rsidRDefault="00AF4AE0" w:rsidP="00AF4AE0">
      <w:pPr>
        <w:pStyle w:val="FootnoteText"/>
        <w:widowControl w:val="0"/>
      </w:pPr>
      <w:r>
        <w:tab/>
      </w:r>
      <w:r>
        <w:rPr>
          <w:rStyle w:val="FootnoteReference"/>
        </w:rPr>
        <w:footnoteRef/>
      </w:r>
      <w:r>
        <w:tab/>
      </w:r>
      <w:r w:rsidRPr="007312FF">
        <w:t xml:space="preserve">Contained in </w:t>
      </w:r>
      <w:r>
        <w:t>d</w:t>
      </w:r>
      <w:r w:rsidRPr="003A0D31">
        <w:t xml:space="preserve">ecision </w:t>
      </w:r>
      <w:hyperlink r:id="rId20" w:history="1">
        <w:r w:rsidRPr="00B26B88">
          <w:rPr>
            <w:rStyle w:val="Hyperlink"/>
          </w:rPr>
          <w:t>5/CP.19</w:t>
        </w:r>
      </w:hyperlink>
      <w:r w:rsidRPr="003A0D31">
        <w:t>, annex</w:t>
      </w:r>
      <w:r>
        <w:t>.</w:t>
      </w:r>
    </w:p>
  </w:footnote>
  <w:footnote w:id="25">
    <w:p w14:paraId="17685B17" w14:textId="101583C6" w:rsidR="00AF4AE0" w:rsidRPr="00453B5A" w:rsidRDefault="00AF4AE0" w:rsidP="00AF4AE0">
      <w:pPr>
        <w:pStyle w:val="FootnoteText"/>
        <w:rPr>
          <w:lang w:val="en-US"/>
        </w:rPr>
      </w:pPr>
      <w:r>
        <w:tab/>
      </w:r>
      <w:r>
        <w:rPr>
          <w:rStyle w:val="FootnoteReference"/>
        </w:rPr>
        <w:footnoteRef/>
      </w:r>
      <w:r>
        <w:tab/>
      </w:r>
      <w:hyperlink r:id="rId21" w:history="1">
        <w:r w:rsidRPr="00B26B88">
          <w:rPr>
            <w:rStyle w:val="Hyperlink"/>
          </w:rPr>
          <w:t>FCCC/CP/1996/2</w:t>
        </w:r>
      </w:hyperlink>
      <w:r>
        <w:t>.</w:t>
      </w:r>
    </w:p>
  </w:footnote>
  <w:footnote w:id="26">
    <w:p w14:paraId="197B3223" w14:textId="77777777" w:rsidR="00AF4AE0" w:rsidRDefault="00AF4AE0" w:rsidP="00AF4AE0">
      <w:pPr>
        <w:pStyle w:val="FootnoteText"/>
      </w:pPr>
      <w:r>
        <w:rPr>
          <w:sz w:val="16"/>
          <w:szCs w:val="16"/>
        </w:rPr>
        <w:tab/>
      </w:r>
      <w:r w:rsidRPr="00400859">
        <w:rPr>
          <w:rStyle w:val="FootnoteReference"/>
          <w:szCs w:val="18"/>
        </w:rPr>
        <w:footnoteRef/>
      </w:r>
      <w:r>
        <w:tab/>
      </w:r>
      <w:hyperlink r:id="rId22" w:history="1">
        <w:r w:rsidRPr="002D4B0C">
          <w:rPr>
            <w:rStyle w:val="Hyperlink"/>
            <w:rFonts w:asciiTheme="majorBidi" w:hAnsiTheme="majorBidi" w:cstheme="majorBidi"/>
            <w:szCs w:val="18"/>
          </w:rPr>
          <w:t>https://www4.unfccc.int/sites/submissionsstaging/Pages/Home.aspx</w:t>
        </w:r>
      </w:hyperlink>
      <w:r w:rsidRPr="002D4B0C">
        <w:rPr>
          <w:rFonts w:asciiTheme="majorBidi" w:hAnsiTheme="majorBidi" w:cstheme="majorBidi"/>
          <w:szCs w:val="18"/>
        </w:rPr>
        <w:t>.</w:t>
      </w:r>
    </w:p>
  </w:footnote>
  <w:footnote w:id="27">
    <w:p w14:paraId="5F96650C" w14:textId="0CCEE05A" w:rsidR="00AF4AE0" w:rsidRPr="00AB1FBE" w:rsidRDefault="00AF4AE0" w:rsidP="00AF4AE0">
      <w:pPr>
        <w:pStyle w:val="FootnoteText"/>
        <w:rPr>
          <w:rFonts w:asciiTheme="majorBidi" w:hAnsiTheme="majorBidi" w:cstheme="majorBidi"/>
          <w:sz w:val="16"/>
          <w:szCs w:val="16"/>
        </w:rPr>
      </w:pPr>
      <w:r>
        <w:tab/>
      </w:r>
      <w:r w:rsidRPr="004113E1">
        <w:rPr>
          <w:rStyle w:val="FootnoteReference"/>
          <w:rFonts w:asciiTheme="majorBidi" w:hAnsiTheme="majorBidi" w:cstheme="majorBidi"/>
          <w:szCs w:val="18"/>
        </w:rPr>
        <w:footnoteRef/>
      </w:r>
      <w:r>
        <w:tab/>
      </w:r>
      <w:r w:rsidRPr="00BD5221">
        <w:rPr>
          <w:rFonts w:asciiTheme="majorBidi" w:hAnsiTheme="majorBidi" w:cstheme="majorBidi"/>
          <w:szCs w:val="18"/>
        </w:rPr>
        <w:t xml:space="preserve">In accordance with decision </w:t>
      </w:r>
      <w:hyperlink r:id="rId23" w:history="1">
        <w:r w:rsidRPr="00B26B88">
          <w:rPr>
            <w:rStyle w:val="Hyperlink"/>
            <w:rFonts w:asciiTheme="majorBidi" w:hAnsiTheme="majorBidi" w:cstheme="majorBidi"/>
            <w:szCs w:val="18"/>
          </w:rPr>
          <w:t>1/CP.21</w:t>
        </w:r>
      </w:hyperlink>
      <w:r w:rsidRPr="00BD5221">
        <w:rPr>
          <w:rFonts w:asciiTheme="majorBidi" w:hAnsiTheme="majorBidi" w:cstheme="majorBidi"/>
          <w:szCs w:val="18"/>
        </w:rPr>
        <w:t>, para. 61.</w:t>
      </w:r>
    </w:p>
  </w:footnote>
  <w:footnote w:id="28">
    <w:p w14:paraId="559AC250" w14:textId="68F3E65C" w:rsidR="003C5A56" w:rsidRPr="0034430B" w:rsidRDefault="003C5A56" w:rsidP="003C5A56">
      <w:pPr>
        <w:pStyle w:val="FootnoteText"/>
        <w:widowControl w:val="0"/>
        <w:tabs>
          <w:tab w:val="clear" w:pos="1021"/>
          <w:tab w:val="right" w:pos="1020"/>
        </w:tabs>
        <w:rPr>
          <w:lang w:val="en-US"/>
        </w:rPr>
      </w:pPr>
      <w:r>
        <w:tab/>
      </w:r>
      <w:r>
        <w:rPr>
          <w:rStyle w:val="FootnoteReference"/>
        </w:rPr>
        <w:footnoteRef/>
      </w:r>
      <w:r>
        <w:tab/>
      </w:r>
      <w:r w:rsidRPr="00476031">
        <w:t xml:space="preserve">Contained in </w:t>
      </w:r>
      <w:r>
        <w:t xml:space="preserve">decision </w:t>
      </w:r>
      <w:hyperlink r:id="rId24" w:history="1">
        <w:r w:rsidRPr="00B26B88">
          <w:rPr>
            <w:rStyle w:val="Hyperlink"/>
          </w:rPr>
          <w:t>5/CP.19</w:t>
        </w:r>
      </w:hyperlink>
      <w:r>
        <w:t xml:space="preserve">, annex. </w:t>
      </w:r>
    </w:p>
  </w:footnote>
  <w:footnote w:id="29">
    <w:p w14:paraId="74B69106" w14:textId="18DBB01D" w:rsidR="00674620" w:rsidRPr="005E0BBE" w:rsidRDefault="00674620" w:rsidP="00674620">
      <w:pPr>
        <w:pStyle w:val="FootnoteText"/>
        <w:rPr>
          <w:rFonts w:eastAsia="Malgun Gothic"/>
          <w:lang w:eastAsia="ko-KR"/>
        </w:rPr>
      </w:pPr>
      <w:r w:rsidRPr="005E0BBE">
        <w:rPr>
          <w:rFonts w:eastAsia="Malgun Gothic"/>
          <w:lang w:eastAsia="ko-KR"/>
        </w:rPr>
        <w:tab/>
      </w:r>
      <w:r w:rsidRPr="005E0BBE">
        <w:rPr>
          <w:rStyle w:val="FootnoteReference"/>
        </w:rPr>
        <w:footnoteRef/>
      </w:r>
      <w:r>
        <w:rPr>
          <w:rFonts w:eastAsia="Malgun Gothic"/>
          <w:lang w:eastAsia="ko-KR"/>
        </w:rPr>
        <w:tab/>
      </w:r>
      <w:hyperlink r:id="rId25" w:history="1">
        <w:r w:rsidRPr="00B26B88">
          <w:rPr>
            <w:rStyle w:val="Hyperlink"/>
            <w:rFonts w:eastAsia="Malgun Gothic"/>
            <w:lang w:eastAsia="ko-KR"/>
          </w:rPr>
          <w:t>FCCC/CP/2024/8</w:t>
        </w:r>
      </w:hyperlink>
      <w:r w:rsidRPr="005E0BBE">
        <w:rPr>
          <w:rFonts w:eastAsia="Malgun Gothic"/>
          <w:lang w:eastAsia="ko-KR"/>
        </w:rPr>
        <w:t xml:space="preserve"> and </w:t>
      </w:r>
      <w:hyperlink r:id="rId26" w:history="1">
        <w:r w:rsidRPr="00C5279B">
          <w:rPr>
            <w:rStyle w:val="Hyperlink"/>
            <w:rFonts w:eastAsia="Malgun Gothic"/>
            <w:lang w:eastAsia="ko-KR"/>
          </w:rPr>
          <w:t>Add.1</w:t>
        </w:r>
      </w:hyperlink>
      <w:r w:rsidRPr="005E0BBE">
        <w:rPr>
          <w:rFonts w:eastAsia="Malgun Gothic" w:hint="eastAsia"/>
          <w:lang w:eastAsia="ko-KR"/>
        </w:rPr>
        <w:t>.</w:t>
      </w:r>
    </w:p>
  </w:footnote>
  <w:footnote w:id="30">
    <w:p w14:paraId="1AE69C00" w14:textId="03198DCA" w:rsidR="00674620" w:rsidRPr="009B7941" w:rsidRDefault="00674620" w:rsidP="00674620">
      <w:pPr>
        <w:pStyle w:val="FootnoteText"/>
        <w:widowControl w:val="0"/>
        <w:rPr>
          <w:lang w:val="en-AU"/>
        </w:rPr>
      </w:pPr>
      <w:r>
        <w:tab/>
      </w:r>
      <w:r>
        <w:rPr>
          <w:rStyle w:val="FootnoteReference"/>
        </w:rPr>
        <w:footnoteRef/>
      </w:r>
      <w:r>
        <w:tab/>
      </w:r>
      <w:hyperlink r:id="rId27" w:history="1">
        <w:r w:rsidRPr="00B26B88">
          <w:rPr>
            <w:rStyle w:val="Hyperlink"/>
          </w:rPr>
          <w:t>FCCC/CP/2024/6/Add.5–FCCC/PA/CMA/2024/8/Add.5</w:t>
        </w:r>
      </w:hyperlink>
      <w:r>
        <w:t>.</w:t>
      </w:r>
    </w:p>
  </w:footnote>
  <w:footnote w:id="31">
    <w:p w14:paraId="1BFB798E" w14:textId="5A4435EC" w:rsidR="00674620" w:rsidRPr="005E0BBE" w:rsidRDefault="00674620" w:rsidP="00674620">
      <w:pPr>
        <w:pStyle w:val="FootnoteText"/>
        <w:rPr>
          <w:rFonts w:eastAsia="Malgun Gothic"/>
          <w:lang w:eastAsia="ko-KR"/>
        </w:rPr>
      </w:pPr>
      <w:r w:rsidRPr="005E0BBE">
        <w:rPr>
          <w:rFonts w:eastAsia="Malgun Gothic"/>
          <w:lang w:eastAsia="ko-KR"/>
        </w:rPr>
        <w:tab/>
      </w:r>
      <w:r w:rsidRPr="005E0BBE">
        <w:rPr>
          <w:rStyle w:val="FootnoteReference"/>
        </w:rPr>
        <w:footnoteRef/>
      </w:r>
      <w:r w:rsidRPr="005E0BBE">
        <w:t xml:space="preserve"> </w:t>
      </w:r>
      <w:r w:rsidRPr="005E0BBE">
        <w:rPr>
          <w:rFonts w:eastAsia="Malgun Gothic"/>
          <w:lang w:eastAsia="ko-KR"/>
        </w:rPr>
        <w:tab/>
      </w:r>
      <w:r w:rsidR="00B320E2">
        <w:rPr>
          <w:rFonts w:eastAsia="Malgun Gothic"/>
          <w:lang w:eastAsia="ko-KR"/>
        </w:rPr>
        <w:t xml:space="preserve">See </w:t>
      </w:r>
      <w:r w:rsidRPr="005E0BBE">
        <w:rPr>
          <w:rFonts w:eastAsia="Malgun Gothic"/>
          <w:lang w:eastAsia="ko-KR"/>
        </w:rPr>
        <w:t>Global Environment Facility document SD/PL/02</w:t>
      </w:r>
      <w:r w:rsidRPr="005E0BBE">
        <w:rPr>
          <w:rFonts w:eastAsia="Malgun Gothic" w:hint="eastAsia"/>
          <w:lang w:eastAsia="ko-KR"/>
        </w:rPr>
        <w:t>.</w:t>
      </w:r>
    </w:p>
  </w:footnote>
  <w:footnote w:id="32">
    <w:p w14:paraId="1972EFFD" w14:textId="77777777" w:rsidR="00674620" w:rsidRPr="005E0BBE" w:rsidRDefault="00674620" w:rsidP="00674620">
      <w:pPr>
        <w:pStyle w:val="FootnoteText"/>
        <w:rPr>
          <w:rFonts w:eastAsia="Malgun Gothic"/>
          <w:lang w:eastAsia="ko-KR"/>
        </w:rPr>
      </w:pPr>
      <w:r w:rsidRPr="005E0BBE">
        <w:rPr>
          <w:rFonts w:eastAsia="Malgun Gothic"/>
          <w:lang w:eastAsia="ko-KR"/>
        </w:rPr>
        <w:tab/>
      </w:r>
      <w:r w:rsidRPr="005E0BBE">
        <w:rPr>
          <w:rStyle w:val="FootnoteReference"/>
        </w:rPr>
        <w:footnoteRef/>
      </w:r>
      <w:r w:rsidRPr="005E0BBE">
        <w:rPr>
          <w:rFonts w:eastAsia="Malgun Gothic"/>
          <w:lang w:eastAsia="ko-KR"/>
        </w:rPr>
        <w:tab/>
      </w:r>
      <w:r w:rsidRPr="005E0BBE">
        <w:rPr>
          <w:rFonts w:eastAsia="Malgun Gothic" w:hint="eastAsia"/>
          <w:lang w:eastAsia="ko-KR"/>
        </w:rPr>
        <w:t xml:space="preserve">Contained in </w:t>
      </w:r>
      <w:r>
        <w:rPr>
          <w:rFonts w:eastAsia="Malgun Gothic"/>
          <w:lang w:eastAsia="ko-KR"/>
        </w:rPr>
        <w:t xml:space="preserve">decision </w:t>
      </w:r>
      <w:r w:rsidRPr="005E0BBE">
        <w:rPr>
          <w:rFonts w:eastAsia="Malgun Gothic" w:hint="eastAsia"/>
          <w:lang w:eastAsia="ko-KR"/>
        </w:rPr>
        <w:t>12/CP.2, annex.</w:t>
      </w:r>
    </w:p>
  </w:footnote>
  <w:footnote w:id="33">
    <w:p w14:paraId="696D879D" w14:textId="6E2ABA68" w:rsidR="00674620" w:rsidRPr="00FE22E9" w:rsidRDefault="00674620" w:rsidP="00674620">
      <w:pPr>
        <w:pStyle w:val="FootnoteText"/>
        <w:rPr>
          <w:rFonts w:eastAsia="Malgun Gothic"/>
          <w:lang w:eastAsia="ko-KR"/>
        </w:rPr>
      </w:pPr>
      <w:r>
        <w:rPr>
          <w:rFonts w:eastAsia="Malgun Gothic"/>
          <w:lang w:eastAsia="ko-KR"/>
        </w:rPr>
        <w:tab/>
      </w:r>
      <w:r>
        <w:rPr>
          <w:rStyle w:val="FootnoteReference"/>
        </w:rPr>
        <w:footnoteRef/>
      </w:r>
      <w:r>
        <w:rPr>
          <w:rFonts w:eastAsia="Malgun Gothic"/>
          <w:lang w:eastAsia="ko-KR"/>
        </w:rPr>
        <w:tab/>
      </w:r>
      <w:hyperlink r:id="rId28" w:history="1">
        <w:r w:rsidRPr="00B26B88">
          <w:rPr>
            <w:rStyle w:val="Hyperlink"/>
            <w:rFonts w:eastAsia="Malgun Gothic"/>
            <w:lang w:eastAsia="ko-KR"/>
          </w:rPr>
          <w:t>FCCC/CP/1996/2</w:t>
        </w:r>
      </w:hyperlink>
      <w:r>
        <w:rPr>
          <w:rFonts w:eastAsia="Malgun Gothic" w:hint="eastAsia"/>
          <w:lang w:eastAsia="ko-KR"/>
        </w:rPr>
        <w:t>.</w:t>
      </w:r>
    </w:p>
  </w:footnote>
  <w:footnote w:id="34">
    <w:p w14:paraId="29F86F8C" w14:textId="77777777" w:rsidR="00674620" w:rsidRPr="005E0BBE" w:rsidRDefault="00674620" w:rsidP="00674620">
      <w:pPr>
        <w:pStyle w:val="FootnoteText"/>
      </w:pPr>
      <w:r w:rsidRPr="005E0BBE">
        <w:rPr>
          <w:sz w:val="16"/>
          <w:szCs w:val="16"/>
        </w:rPr>
        <w:tab/>
      </w:r>
      <w:r w:rsidRPr="007C164C">
        <w:rPr>
          <w:rStyle w:val="FootnoteReference"/>
          <w:szCs w:val="18"/>
        </w:rPr>
        <w:footnoteRef/>
      </w:r>
      <w:r w:rsidRPr="005E0BBE">
        <w:tab/>
      </w:r>
      <w:hyperlink r:id="rId29" w:history="1">
        <w:r w:rsidRPr="005E0BBE">
          <w:rPr>
            <w:rStyle w:val="Hyperlink"/>
            <w:rFonts w:asciiTheme="majorBidi" w:hAnsiTheme="majorBidi" w:cstheme="majorBidi"/>
            <w:szCs w:val="18"/>
          </w:rPr>
          <w:t>https://www4.unfccc.int/sites/submissionsstaging/Pages/Home.aspx</w:t>
        </w:r>
      </w:hyperlink>
      <w:r w:rsidRPr="005E0BBE">
        <w:rPr>
          <w:rFonts w:asciiTheme="majorBidi" w:hAnsiTheme="majorBidi" w:cstheme="majorBidi"/>
          <w:szCs w:val="18"/>
        </w:rPr>
        <w:t>.</w:t>
      </w:r>
    </w:p>
  </w:footnote>
  <w:footnote w:id="35">
    <w:p w14:paraId="291FE465" w14:textId="24AFE012" w:rsidR="00674620" w:rsidRPr="005E0BBE" w:rsidRDefault="00674620" w:rsidP="00674620">
      <w:pPr>
        <w:pStyle w:val="FootnoteText"/>
        <w:rPr>
          <w:rFonts w:asciiTheme="majorBidi" w:hAnsiTheme="majorBidi" w:cstheme="majorBidi"/>
          <w:sz w:val="16"/>
          <w:szCs w:val="16"/>
        </w:rPr>
      </w:pPr>
      <w:r w:rsidRPr="005E0BBE">
        <w:tab/>
      </w:r>
      <w:r w:rsidRPr="00EE5F12">
        <w:rPr>
          <w:rStyle w:val="FootnoteReference"/>
          <w:rFonts w:asciiTheme="majorBidi" w:hAnsiTheme="majorBidi" w:cstheme="majorBidi"/>
          <w:szCs w:val="18"/>
        </w:rPr>
        <w:footnoteRef/>
      </w:r>
      <w:r w:rsidRPr="00EE5F12">
        <w:rPr>
          <w:szCs w:val="18"/>
        </w:rPr>
        <w:tab/>
      </w:r>
      <w:r w:rsidRPr="005E0BBE">
        <w:rPr>
          <w:rFonts w:asciiTheme="majorBidi" w:hAnsiTheme="majorBidi" w:cstheme="majorBidi"/>
          <w:szCs w:val="18"/>
        </w:rPr>
        <w:t xml:space="preserve">In accordance with decision </w:t>
      </w:r>
      <w:hyperlink r:id="rId30" w:history="1">
        <w:r w:rsidRPr="00B26B88">
          <w:rPr>
            <w:rStyle w:val="Hyperlink"/>
            <w:rFonts w:asciiTheme="majorBidi" w:hAnsiTheme="majorBidi" w:cstheme="majorBidi"/>
            <w:szCs w:val="18"/>
          </w:rPr>
          <w:t>1/CP.21</w:t>
        </w:r>
      </w:hyperlink>
      <w:r w:rsidRPr="005E0BBE">
        <w:rPr>
          <w:rFonts w:asciiTheme="majorBidi" w:hAnsiTheme="majorBidi" w:cstheme="majorBidi"/>
          <w:szCs w:val="18"/>
        </w:rPr>
        <w:t>, para. 61.</w:t>
      </w:r>
    </w:p>
  </w:footnote>
  <w:footnote w:id="36">
    <w:p w14:paraId="563A6651" w14:textId="271DE45B" w:rsidR="005F7B1E" w:rsidRPr="0044604F" w:rsidRDefault="005F7B1E" w:rsidP="005F7B1E">
      <w:pPr>
        <w:pStyle w:val="FootnoteText"/>
        <w:ind w:left="0" w:firstLine="0"/>
      </w:pPr>
      <w:r>
        <w:tab/>
      </w:r>
      <w:r>
        <w:rPr>
          <w:rStyle w:val="FootnoteReference"/>
        </w:rPr>
        <w:footnoteRef/>
      </w:r>
      <w:r>
        <w:tab/>
      </w:r>
      <w:hyperlink r:id="rId31" w:history="1">
        <w:r w:rsidRPr="00BA0657">
          <w:rPr>
            <w:rStyle w:val="Hyperlink"/>
          </w:rPr>
          <w:t>FCCC/CP/2024/9–FCCC/PA/CMA/2024/13</w:t>
        </w:r>
      </w:hyperlink>
      <w:r>
        <w:t xml:space="preserve"> and </w:t>
      </w:r>
      <w:hyperlink r:id="rId32" w:history="1">
        <w:r w:rsidRPr="00047137">
          <w:rPr>
            <w:rStyle w:val="Hyperlink"/>
          </w:rPr>
          <w:t>Add.1</w:t>
        </w:r>
      </w:hyperlink>
      <w:r>
        <w:t xml:space="preserve">. </w:t>
      </w:r>
    </w:p>
  </w:footnote>
  <w:footnote w:id="37">
    <w:p w14:paraId="197403C6" w14:textId="0E6062AD" w:rsidR="005F7B1E" w:rsidRPr="00332EA4" w:rsidRDefault="005F7B1E" w:rsidP="005F7B1E">
      <w:pPr>
        <w:pStyle w:val="FootnoteText"/>
        <w:widowControl w:val="0"/>
        <w:tabs>
          <w:tab w:val="clear" w:pos="1021"/>
          <w:tab w:val="right" w:pos="1020"/>
        </w:tabs>
        <w:rPr>
          <w:lang w:val="en-US"/>
        </w:rPr>
      </w:pPr>
      <w:r>
        <w:tab/>
      </w:r>
      <w:r>
        <w:rPr>
          <w:rStyle w:val="FootnoteReference"/>
        </w:rPr>
        <w:footnoteRef/>
      </w:r>
      <w:r>
        <w:tab/>
        <w:t xml:space="preserve">Annex I to decisions </w:t>
      </w:r>
      <w:hyperlink r:id="rId33" w:history="1">
        <w:r w:rsidRPr="00B26B88">
          <w:rPr>
            <w:rStyle w:val="Hyperlink"/>
          </w:rPr>
          <w:t>1/CP.28</w:t>
        </w:r>
      </w:hyperlink>
      <w:r>
        <w:t xml:space="preserve"> and </w:t>
      </w:r>
      <w:hyperlink r:id="rId34" w:history="1">
        <w:r w:rsidRPr="00B26B88">
          <w:rPr>
            <w:rStyle w:val="Hyperlink"/>
          </w:rPr>
          <w:t>5/CMA.5</w:t>
        </w:r>
      </w:hyperlink>
      <w:r>
        <w:t xml:space="preserve">. </w:t>
      </w:r>
    </w:p>
  </w:footnote>
  <w:footnote w:id="38">
    <w:p w14:paraId="12C18E50" w14:textId="0FCFC175" w:rsidR="005F7B1E" w:rsidRPr="00B279A4" w:rsidRDefault="005F7B1E" w:rsidP="005F7B1E">
      <w:pPr>
        <w:pStyle w:val="FootnoteText"/>
        <w:widowControl w:val="0"/>
        <w:tabs>
          <w:tab w:val="clear" w:pos="1021"/>
          <w:tab w:val="right" w:pos="1020"/>
        </w:tabs>
        <w:rPr>
          <w:lang w:val="en-US"/>
        </w:rPr>
      </w:pPr>
      <w:r>
        <w:tab/>
      </w:r>
      <w:r>
        <w:rPr>
          <w:rStyle w:val="FootnoteReference"/>
        </w:rPr>
        <w:footnoteRef/>
      </w:r>
      <w:r>
        <w:tab/>
        <w:t xml:space="preserve">Pursuant to paras. 23–24 of decisions </w:t>
      </w:r>
      <w:hyperlink r:id="rId35" w:history="1">
        <w:r w:rsidRPr="00B26B88">
          <w:rPr>
            <w:rStyle w:val="Hyperlink"/>
          </w:rPr>
          <w:t>1/CP.28</w:t>
        </w:r>
      </w:hyperlink>
      <w:r>
        <w:t xml:space="preserve"> and </w:t>
      </w:r>
      <w:hyperlink r:id="rId36" w:history="1">
        <w:r w:rsidRPr="00B26B88">
          <w:rPr>
            <w:rStyle w:val="Hyperlink"/>
          </w:rPr>
          <w:t>5/CMA.5</w:t>
        </w:r>
      </w:hyperlink>
      <w:r>
        <w:t xml:space="preserve">. </w:t>
      </w:r>
    </w:p>
  </w:footnote>
  <w:footnote w:id="39">
    <w:p w14:paraId="267D3C33" w14:textId="7FDE5D2A" w:rsidR="005F7B1E" w:rsidRPr="00124B32" w:rsidRDefault="005F7B1E" w:rsidP="005F7B1E">
      <w:pPr>
        <w:pStyle w:val="FootnoteText"/>
        <w:widowControl w:val="0"/>
        <w:tabs>
          <w:tab w:val="clear" w:pos="1021"/>
          <w:tab w:val="right" w:pos="1020"/>
        </w:tabs>
        <w:rPr>
          <w:lang w:val="en-US"/>
        </w:rPr>
      </w:pPr>
      <w:r>
        <w:tab/>
      </w:r>
      <w:r>
        <w:rPr>
          <w:rStyle w:val="FootnoteReference"/>
        </w:rPr>
        <w:footnoteRef/>
      </w:r>
      <w:r>
        <w:tab/>
        <w:t xml:space="preserve">Board decision B.2/D.10; the workplan is contained in annex VII to Board document FLD/B.2/17. </w:t>
      </w:r>
    </w:p>
  </w:footnote>
  <w:footnote w:id="40">
    <w:p w14:paraId="2D7B3FA7" w14:textId="77777777" w:rsidR="005F7B1E" w:rsidRPr="00817B4E" w:rsidRDefault="005F7B1E" w:rsidP="005F7B1E">
      <w:pPr>
        <w:pStyle w:val="FootnoteText"/>
        <w:widowControl w:val="0"/>
        <w:tabs>
          <w:tab w:val="clear" w:pos="1021"/>
          <w:tab w:val="right" w:pos="1020"/>
        </w:tabs>
        <w:rPr>
          <w:lang w:val="en-US"/>
        </w:rPr>
      </w:pPr>
      <w:r>
        <w:tab/>
      </w:r>
      <w:r>
        <w:rPr>
          <w:rStyle w:val="FootnoteReference"/>
        </w:rPr>
        <w:footnoteRef/>
      </w:r>
      <w:r>
        <w:tab/>
      </w:r>
      <w:hyperlink r:id="rId37" w:history="1">
        <w:r w:rsidRPr="008472EA">
          <w:rPr>
            <w:rStyle w:val="Hyperlink"/>
          </w:rPr>
          <w:t>https://www4.unfccc.int/sites/submissionsstaging/Pages/Home.aspx</w:t>
        </w:r>
      </w:hyperlink>
      <w:r>
        <w:t>.</w:t>
      </w:r>
    </w:p>
  </w:footnote>
  <w:footnote w:id="41">
    <w:p w14:paraId="79463064" w14:textId="0D55A64A" w:rsidR="00882319" w:rsidRPr="001A1E01" w:rsidRDefault="00882319" w:rsidP="00882319">
      <w:pPr>
        <w:pStyle w:val="FootnoteText"/>
        <w:widowControl w:val="0"/>
        <w:tabs>
          <w:tab w:val="clear" w:pos="1021"/>
          <w:tab w:val="right" w:pos="1020"/>
        </w:tabs>
        <w:rPr>
          <w:lang w:val="en-US"/>
        </w:rPr>
      </w:pPr>
      <w:r>
        <w:tab/>
      </w:r>
      <w:r>
        <w:rPr>
          <w:rStyle w:val="FootnoteReference"/>
        </w:rPr>
        <w:footnoteRef/>
      </w:r>
      <w:r>
        <w:tab/>
      </w:r>
      <w:hyperlink r:id="rId38" w:history="1">
        <w:r w:rsidRPr="00B8432A">
          <w:rPr>
            <w:rStyle w:val="Hyperlink"/>
          </w:rPr>
          <w:t>FCCC/CP/2024/6/Add.8</w:t>
        </w:r>
        <w:r w:rsidR="0017397C">
          <w:rPr>
            <w:rStyle w:val="Hyperlink"/>
          </w:rPr>
          <w:t>–</w:t>
        </w:r>
        <w:r w:rsidRPr="00B8432A">
          <w:rPr>
            <w:rStyle w:val="Hyperlink"/>
          </w:rPr>
          <w:t>FCCC/PA/CMA/2024/8/Add.8</w:t>
        </w:r>
      </w:hyperlink>
      <w:r w:rsidRPr="00BA3E5A">
        <w:rPr>
          <w:rStyle w:val="Hyperlink"/>
          <w:color w:val="auto"/>
          <w:u w:val="none"/>
        </w:rPr>
        <w:t>.</w:t>
      </w:r>
      <w:r w:rsidRPr="0031058D">
        <w:t xml:space="preserve"> </w:t>
      </w:r>
    </w:p>
  </w:footnote>
  <w:footnote w:id="42">
    <w:p w14:paraId="14BB626B" w14:textId="4E37022C" w:rsidR="00882319" w:rsidRPr="0031058D" w:rsidRDefault="00882319" w:rsidP="00882319">
      <w:pPr>
        <w:pStyle w:val="FootnoteText"/>
        <w:widowControl w:val="0"/>
        <w:tabs>
          <w:tab w:val="clear" w:pos="1021"/>
          <w:tab w:val="right" w:pos="1020"/>
        </w:tabs>
        <w:rPr>
          <w:lang w:val="en-US"/>
        </w:rPr>
      </w:pPr>
      <w:r>
        <w:tab/>
      </w:r>
      <w:r>
        <w:rPr>
          <w:rStyle w:val="FootnoteReference"/>
        </w:rPr>
        <w:footnoteRef/>
      </w:r>
      <w:r>
        <w:tab/>
      </w:r>
      <w:hyperlink r:id="rId39" w:history="1">
        <w:r w:rsidRPr="00154114">
          <w:rPr>
            <w:rStyle w:val="Hyperlink"/>
          </w:rPr>
          <w:t>FCCC/CP/2024/9</w:t>
        </w:r>
        <w:r w:rsidR="0017397C">
          <w:rPr>
            <w:rStyle w:val="Hyperlink"/>
          </w:rPr>
          <w:t>–</w:t>
        </w:r>
        <w:r w:rsidRPr="00154114">
          <w:rPr>
            <w:rStyle w:val="Hyperlink"/>
          </w:rPr>
          <w:t>FCCC/PA/CMA/2024/13</w:t>
        </w:r>
      </w:hyperlink>
      <w:r w:rsidRPr="00BA3E5A">
        <w:rPr>
          <w:rStyle w:val="Hyperlink"/>
          <w:color w:val="auto"/>
          <w:u w:val="none"/>
        </w:rPr>
        <w:t>.</w:t>
      </w:r>
    </w:p>
  </w:footnote>
  <w:footnote w:id="43">
    <w:p w14:paraId="7CF33460" w14:textId="590E04A8" w:rsidR="00324FBC" w:rsidRPr="00324FBC" w:rsidRDefault="00324FBC" w:rsidP="00324FBC">
      <w:pPr>
        <w:pStyle w:val="FootnoteText"/>
        <w:widowControl w:val="0"/>
        <w:tabs>
          <w:tab w:val="clear" w:pos="1021"/>
          <w:tab w:val="right" w:pos="1020"/>
        </w:tabs>
        <w:rPr>
          <w:lang w:val="en-US"/>
        </w:rPr>
      </w:pPr>
      <w:r>
        <w:tab/>
      </w:r>
      <w:r w:rsidRPr="00A86DC1">
        <w:rPr>
          <w:rStyle w:val="FootnoteReference"/>
        </w:rPr>
        <w:footnoteRef/>
      </w:r>
      <w:r>
        <w:tab/>
      </w:r>
      <w:r w:rsidR="00AA131E">
        <w:t xml:space="preserve">Decision </w:t>
      </w:r>
      <w:hyperlink r:id="rId40" w:history="1">
        <w:r w:rsidR="00AA131E" w:rsidRPr="00B26B88">
          <w:rPr>
            <w:rStyle w:val="Hyperlink"/>
          </w:rPr>
          <w:t>1/CP.28</w:t>
        </w:r>
      </w:hyperlink>
      <w:r w:rsidR="00AA131E">
        <w:t>, annex I</w:t>
      </w:r>
    </w:p>
  </w:footnote>
  <w:footnote w:id="44">
    <w:p w14:paraId="1FB874DD" w14:textId="77777777" w:rsidR="001D5BA7" w:rsidRPr="0052073D" w:rsidRDefault="001D5BA7" w:rsidP="001D5BA7">
      <w:pPr>
        <w:pStyle w:val="FootnoteText"/>
        <w:widowControl w:val="0"/>
        <w:tabs>
          <w:tab w:val="clear" w:pos="1021"/>
          <w:tab w:val="right" w:pos="1020"/>
        </w:tabs>
        <w:rPr>
          <w:lang w:val="en-US"/>
        </w:rPr>
      </w:pPr>
      <w:r>
        <w:tab/>
      </w:r>
      <w:r>
        <w:rPr>
          <w:rStyle w:val="FootnoteReference"/>
        </w:rPr>
        <w:footnoteRef/>
      </w:r>
      <w:r>
        <w:tab/>
        <w:t>Pursuant to para. 13(a) of the Governing Instrument.</w:t>
      </w:r>
    </w:p>
  </w:footnote>
  <w:footnote w:id="45">
    <w:p w14:paraId="02680F9E" w14:textId="77777777" w:rsidR="001D5BA7" w:rsidRPr="0052073D" w:rsidRDefault="001D5BA7" w:rsidP="001D5BA7">
      <w:pPr>
        <w:pStyle w:val="FootnoteText"/>
        <w:widowControl w:val="0"/>
        <w:tabs>
          <w:tab w:val="clear" w:pos="1021"/>
          <w:tab w:val="right" w:pos="1020"/>
        </w:tabs>
        <w:rPr>
          <w:lang w:val="en-US"/>
        </w:rPr>
      </w:pPr>
      <w:r>
        <w:tab/>
      </w:r>
      <w:r>
        <w:rPr>
          <w:rStyle w:val="FootnoteReference"/>
        </w:rPr>
        <w:footnoteRef/>
      </w:r>
      <w:r>
        <w:tab/>
        <w:t>Pursuant to para. 13(c) of the Governing Instrument.</w:t>
      </w:r>
    </w:p>
  </w:footnote>
  <w:footnote w:id="46">
    <w:p w14:paraId="6D2BBEE4" w14:textId="77777777" w:rsidR="001D5BA7" w:rsidRPr="00E169AC" w:rsidRDefault="001D5BA7" w:rsidP="001D5BA7">
      <w:pPr>
        <w:pStyle w:val="FootnoteText"/>
        <w:widowControl w:val="0"/>
        <w:tabs>
          <w:tab w:val="clear" w:pos="1021"/>
          <w:tab w:val="right" w:pos="1020"/>
        </w:tabs>
        <w:rPr>
          <w:lang w:val="en-US"/>
        </w:rPr>
      </w:pPr>
      <w:r>
        <w:tab/>
      </w:r>
      <w:r>
        <w:rPr>
          <w:rStyle w:val="FootnoteReference"/>
        </w:rPr>
        <w:footnoteRef/>
      </w:r>
      <w:r>
        <w:tab/>
        <w:t xml:space="preserve">Pursuant to para. 14 of the Governing Instrument. </w:t>
      </w:r>
    </w:p>
  </w:footnote>
  <w:footnote w:id="47">
    <w:p w14:paraId="42472E43" w14:textId="77777777" w:rsidR="001D5BA7" w:rsidRPr="00FD0818" w:rsidRDefault="001D5BA7" w:rsidP="001D5BA7">
      <w:pPr>
        <w:pStyle w:val="FootnoteText"/>
        <w:widowControl w:val="0"/>
        <w:tabs>
          <w:tab w:val="clear" w:pos="1021"/>
          <w:tab w:val="right" w:pos="1020"/>
        </w:tabs>
        <w:rPr>
          <w:lang w:val="en-US"/>
        </w:rPr>
      </w:pPr>
      <w:r>
        <w:tab/>
      </w:r>
      <w:r>
        <w:rPr>
          <w:rStyle w:val="FootnoteReference"/>
        </w:rPr>
        <w:footnoteRef/>
      </w:r>
      <w:r>
        <w:tab/>
        <w:t>Pursuant to para. 15 of the Governing Instrument.</w:t>
      </w:r>
    </w:p>
  </w:footnote>
  <w:footnote w:id="48">
    <w:p w14:paraId="3FC68D71" w14:textId="77777777" w:rsidR="001D5BA7" w:rsidRPr="008A359A" w:rsidRDefault="001D5BA7" w:rsidP="001D5BA7">
      <w:pPr>
        <w:pStyle w:val="FootnoteText"/>
        <w:widowControl w:val="0"/>
        <w:tabs>
          <w:tab w:val="clear" w:pos="1021"/>
          <w:tab w:val="right" w:pos="1020"/>
        </w:tabs>
        <w:rPr>
          <w:lang w:val="en-US"/>
        </w:rPr>
      </w:pPr>
      <w:r>
        <w:tab/>
      </w:r>
      <w:r>
        <w:rPr>
          <w:rStyle w:val="FootnoteReference"/>
        </w:rPr>
        <w:footnoteRef/>
      </w:r>
      <w:r>
        <w:tab/>
        <w:t xml:space="preserve">Pursuant to para. 56 of the Governing Instrument. </w:t>
      </w:r>
    </w:p>
  </w:footnote>
  <w:footnote w:id="49">
    <w:p w14:paraId="3F2CFE5E" w14:textId="77777777" w:rsidR="001D5BA7" w:rsidRPr="00D7017C" w:rsidRDefault="001D5BA7" w:rsidP="001D5BA7">
      <w:pPr>
        <w:pStyle w:val="FootnoteText"/>
        <w:widowControl w:val="0"/>
        <w:tabs>
          <w:tab w:val="clear" w:pos="1021"/>
          <w:tab w:val="right" w:pos="1020"/>
        </w:tabs>
        <w:rPr>
          <w:lang w:val="en-US"/>
        </w:rPr>
      </w:pPr>
      <w:r>
        <w:tab/>
      </w:r>
      <w:r>
        <w:rPr>
          <w:rStyle w:val="FootnoteReference"/>
        </w:rPr>
        <w:footnoteRef/>
      </w:r>
      <w:r>
        <w:tab/>
        <w:t xml:space="preserve">Pursuant to para. 72 of the Governing Instrument. </w:t>
      </w:r>
    </w:p>
  </w:footnote>
  <w:footnote w:id="50">
    <w:p w14:paraId="3C273F94" w14:textId="77777777" w:rsidR="001D5BA7" w:rsidRDefault="001D5BA7" w:rsidP="001D5BA7">
      <w:pPr>
        <w:pStyle w:val="FootnoteText"/>
        <w:widowControl w:val="0"/>
        <w:tabs>
          <w:tab w:val="clear" w:pos="1021"/>
          <w:tab w:val="right" w:pos="1020"/>
        </w:tabs>
      </w:pPr>
      <w:r>
        <w:tab/>
      </w:r>
      <w:r>
        <w:rPr>
          <w:rStyle w:val="FootnoteReference"/>
        </w:rPr>
        <w:footnoteRef/>
      </w:r>
      <w:r>
        <w:tab/>
        <w:t>Pursuant to para. 73 of the Governing Instrument.</w:t>
      </w:r>
    </w:p>
  </w:footnote>
  <w:footnote w:id="51">
    <w:p w14:paraId="4DCD0CCB" w14:textId="4EACD725" w:rsidR="002F2AA2" w:rsidRPr="007C6196" w:rsidRDefault="002F2AA2" w:rsidP="002F2AA2">
      <w:pPr>
        <w:pStyle w:val="FootnoteText"/>
        <w:widowControl w:val="0"/>
        <w:rPr>
          <w:lang w:val="en-US"/>
        </w:rPr>
      </w:pPr>
      <w:r>
        <w:tab/>
      </w:r>
      <w:r>
        <w:rPr>
          <w:rStyle w:val="FootnoteReference"/>
        </w:rPr>
        <w:footnoteRef/>
      </w:r>
      <w:r>
        <w:tab/>
      </w:r>
      <w:hyperlink r:id="rId41" w:history="1">
        <w:r w:rsidRPr="00B26B88">
          <w:rPr>
            <w:rStyle w:val="Hyperlink"/>
          </w:rPr>
          <w:t>FCCC/SBI/2024/11</w:t>
        </w:r>
      </w:hyperlink>
      <w:r>
        <w:t xml:space="preserve">. </w:t>
      </w:r>
    </w:p>
  </w:footnote>
  <w:footnote w:id="52">
    <w:p w14:paraId="4E709A17" w14:textId="3C3FCBFE" w:rsidR="002F2AA2" w:rsidRPr="00752FD0" w:rsidRDefault="002F2AA2" w:rsidP="002F2AA2">
      <w:pPr>
        <w:pStyle w:val="FootnoteText"/>
        <w:widowControl w:val="0"/>
      </w:pPr>
      <w:r w:rsidRPr="00752FD0">
        <w:tab/>
      </w:r>
      <w:r w:rsidRPr="00752FD0">
        <w:rPr>
          <w:rStyle w:val="FootnoteReference"/>
        </w:rPr>
        <w:footnoteRef/>
      </w:r>
      <w:r w:rsidRPr="00752FD0">
        <w:tab/>
      </w:r>
      <w:hyperlink r:id="rId42" w:history="1">
        <w:r w:rsidRPr="00B26B88">
          <w:rPr>
            <w:rStyle w:val="Hyperlink"/>
          </w:rPr>
          <w:t>FCCC/SBI/2024/INF.6</w:t>
        </w:r>
      </w:hyperlink>
      <w:r w:rsidRPr="00752FD0">
        <w:rPr>
          <w:rStyle w:val="ui-provider"/>
        </w:rPr>
        <w:t>.</w:t>
      </w:r>
      <w:r w:rsidRPr="00752FD0">
        <w:t xml:space="preserve"> </w:t>
      </w:r>
    </w:p>
  </w:footnote>
  <w:footnote w:id="53">
    <w:p w14:paraId="50D45619" w14:textId="353DE6A1" w:rsidR="002F2AA2" w:rsidRPr="00DA11FB" w:rsidRDefault="002F2AA2" w:rsidP="002F2AA2">
      <w:pPr>
        <w:pStyle w:val="FootnoteText"/>
        <w:widowControl w:val="0"/>
        <w:tabs>
          <w:tab w:val="clear" w:pos="1021"/>
          <w:tab w:val="right" w:pos="1020"/>
        </w:tabs>
      </w:pPr>
      <w:r>
        <w:tab/>
      </w:r>
      <w:r>
        <w:rPr>
          <w:rStyle w:val="FootnoteReference"/>
        </w:rPr>
        <w:footnoteRef/>
      </w:r>
      <w:r>
        <w:tab/>
      </w:r>
      <w:hyperlink r:id="rId43" w:history="1">
        <w:r w:rsidRPr="005D0B89">
          <w:rPr>
            <w:rStyle w:val="Hyperlink"/>
          </w:rPr>
          <w:t>FCCC/CP/2013/4</w:t>
        </w:r>
      </w:hyperlink>
      <w:r>
        <w:t xml:space="preserve">, </w:t>
      </w:r>
      <w:hyperlink r:id="rId44" w:history="1">
        <w:r w:rsidRPr="00B823DB">
          <w:rPr>
            <w:rStyle w:val="Hyperlink"/>
          </w:rPr>
          <w:t>FCCC/CP/2014/7</w:t>
        </w:r>
      </w:hyperlink>
      <w:r>
        <w:t xml:space="preserve">, </w:t>
      </w:r>
      <w:hyperlink r:id="rId45" w:history="1">
        <w:r w:rsidRPr="00C8370E">
          <w:rPr>
            <w:rStyle w:val="Hyperlink"/>
          </w:rPr>
          <w:t>FCCC/CP/2015/6</w:t>
        </w:r>
      </w:hyperlink>
      <w:r>
        <w:t xml:space="preserve">, </w:t>
      </w:r>
      <w:hyperlink r:id="rId46" w:history="1">
        <w:r w:rsidRPr="00890522">
          <w:rPr>
            <w:rStyle w:val="Hyperlink"/>
          </w:rPr>
          <w:t>FCCC/CP/2016/4</w:t>
        </w:r>
      </w:hyperlink>
      <w:r>
        <w:t xml:space="preserve">, </w:t>
      </w:r>
      <w:hyperlink r:id="rId47" w:history="1">
        <w:r w:rsidRPr="007918BA">
          <w:rPr>
            <w:rStyle w:val="Hyperlink"/>
          </w:rPr>
          <w:t>FCCC/CP/2017/6</w:t>
        </w:r>
      </w:hyperlink>
      <w:r>
        <w:t xml:space="preserve">, </w:t>
      </w:r>
      <w:hyperlink r:id="rId48" w:history="1">
        <w:r w:rsidRPr="00AF078A">
          <w:rPr>
            <w:rStyle w:val="Hyperlink"/>
          </w:rPr>
          <w:t>FCCC/CP/2018/3</w:t>
        </w:r>
      </w:hyperlink>
      <w:r>
        <w:t xml:space="preserve">, </w:t>
      </w:r>
      <w:hyperlink r:id="rId49" w:history="1">
        <w:r w:rsidRPr="00304E01">
          <w:rPr>
            <w:rStyle w:val="Hyperlink"/>
          </w:rPr>
          <w:t>FCCC/CP/2019/9</w:t>
        </w:r>
      </w:hyperlink>
      <w:r>
        <w:t xml:space="preserve">, </w:t>
      </w:r>
      <w:hyperlink r:id="rId50" w:history="1">
        <w:r w:rsidRPr="00B26B88">
          <w:rPr>
            <w:rStyle w:val="Hyperlink"/>
          </w:rPr>
          <w:t>FCCC/CP/2020/3</w:t>
        </w:r>
      </w:hyperlink>
      <w:r>
        <w:t xml:space="preserve">, </w:t>
      </w:r>
      <w:hyperlink r:id="rId51" w:history="1">
        <w:r w:rsidRPr="00B26B88">
          <w:rPr>
            <w:rStyle w:val="Hyperlink"/>
          </w:rPr>
          <w:t>FCCC/CP/2021/4</w:t>
        </w:r>
      </w:hyperlink>
      <w:r>
        <w:t>,</w:t>
      </w:r>
      <w:r w:rsidRPr="00D14B33">
        <w:t xml:space="preserve"> </w:t>
      </w:r>
      <w:hyperlink r:id="rId52" w:history="1">
        <w:r w:rsidRPr="00B26B88">
          <w:rPr>
            <w:rStyle w:val="Hyperlink"/>
          </w:rPr>
          <w:t>FCCC/CP/2022/3</w:t>
        </w:r>
      </w:hyperlink>
      <w:r>
        <w:t xml:space="preserve">, </w:t>
      </w:r>
      <w:hyperlink r:id="rId53" w:history="1">
        <w:r w:rsidRPr="00B26B88">
          <w:rPr>
            <w:rStyle w:val="Hyperlink"/>
          </w:rPr>
          <w:t>FCCC/CP/2023/4</w:t>
        </w:r>
      </w:hyperlink>
      <w:r>
        <w:t xml:space="preserve"> and </w:t>
      </w:r>
      <w:hyperlink r:id="rId54" w:history="1">
        <w:r w:rsidRPr="00B26B88">
          <w:rPr>
            <w:rStyle w:val="Hyperlink"/>
          </w:rPr>
          <w:t>FCCC/CP/2024/4</w:t>
        </w:r>
      </w:hyperlink>
      <w:r>
        <w:t xml:space="preserve">. See </w:t>
      </w:r>
      <w:hyperlink r:id="rId55" w:history="1">
        <w:r w:rsidRPr="00595F27">
          <w:rPr>
            <w:rStyle w:val="Hyperlink"/>
          </w:rPr>
          <w:t>https://unfccc.int/topics/gender/workstreams/gender-action-plan/gender-balance</w:t>
        </w:r>
      </w:hyperlink>
      <w:r>
        <w:t>.</w:t>
      </w:r>
    </w:p>
  </w:footnote>
  <w:footnote w:id="54">
    <w:p w14:paraId="7CF7CC94" w14:textId="22AF3315" w:rsidR="002F2AA2" w:rsidRPr="000C0579" w:rsidRDefault="002F2AA2" w:rsidP="002F2AA2">
      <w:pPr>
        <w:pStyle w:val="FootnoteText"/>
        <w:widowControl w:val="0"/>
        <w:tabs>
          <w:tab w:val="clear" w:pos="1021"/>
          <w:tab w:val="right" w:pos="1020"/>
        </w:tabs>
        <w:rPr>
          <w:lang w:val="en-US"/>
        </w:rPr>
      </w:pPr>
      <w:r>
        <w:tab/>
      </w:r>
      <w:r>
        <w:rPr>
          <w:rStyle w:val="FootnoteReference"/>
        </w:rPr>
        <w:footnoteRef/>
      </w:r>
      <w:r w:rsidRPr="000C0579">
        <w:rPr>
          <w:lang w:val="en-US"/>
        </w:rPr>
        <w:tab/>
      </w:r>
      <w:hyperlink r:id="rId56" w:history="1">
        <w:r w:rsidRPr="00B26B88">
          <w:rPr>
            <w:rStyle w:val="Hyperlink"/>
            <w:lang w:val="en-US"/>
          </w:rPr>
          <w:t>FCCC/CP/2024/5</w:t>
        </w:r>
      </w:hyperlink>
      <w:r w:rsidRPr="000C0579">
        <w:rPr>
          <w:lang w:val="en-US"/>
        </w:rPr>
        <w:t xml:space="preserve">. </w:t>
      </w:r>
    </w:p>
  </w:footnote>
  <w:footnote w:id="55">
    <w:p w14:paraId="72377342" w14:textId="77777777" w:rsidR="002F2AA2" w:rsidRPr="00DA364C" w:rsidRDefault="002F2AA2" w:rsidP="002F2AA2">
      <w:pPr>
        <w:pStyle w:val="FootnoteText"/>
        <w:widowControl w:val="0"/>
        <w:rPr>
          <w:lang w:val="en-US"/>
        </w:rPr>
      </w:pPr>
      <w:r>
        <w:tab/>
      </w:r>
      <w:r>
        <w:rPr>
          <w:rStyle w:val="FootnoteReference"/>
        </w:rPr>
        <w:footnoteRef/>
      </w:r>
      <w:r>
        <w:tab/>
      </w:r>
      <w:hyperlink r:id="rId57" w:history="1">
        <w:r w:rsidRPr="0004481C">
          <w:rPr>
            <w:rStyle w:val="Hyperlink"/>
            <w:szCs w:val="18"/>
          </w:rPr>
          <w:t>https://www4.unfccc.int/sites/submissionsstaging/Pages/Home.aspx</w:t>
        </w:r>
      </w:hyperlink>
      <w:r w:rsidRPr="0079504C">
        <w:rPr>
          <w:rStyle w:val="Hyperlink"/>
          <w:color w:val="auto"/>
          <w:szCs w:val="18"/>
          <w:u w:val="none"/>
        </w:rPr>
        <w:t>.</w:t>
      </w:r>
      <w:r w:rsidRPr="00595925">
        <w:t xml:space="preserve"> </w:t>
      </w:r>
    </w:p>
  </w:footnote>
  <w:footnote w:id="56">
    <w:p w14:paraId="3DD45066" w14:textId="77777777" w:rsidR="00153B66" w:rsidRPr="00EC1DD2" w:rsidRDefault="00153B66" w:rsidP="00153B66">
      <w:pPr>
        <w:pStyle w:val="FootnoteText"/>
        <w:widowControl w:val="0"/>
        <w:tabs>
          <w:tab w:val="clear" w:pos="1021"/>
          <w:tab w:val="right" w:pos="1020"/>
        </w:tabs>
        <w:rPr>
          <w:rFonts w:eastAsia="MS Mincho"/>
          <w:lang w:eastAsia="ja-JP"/>
        </w:rPr>
      </w:pPr>
      <w:r>
        <w:tab/>
      </w:r>
      <w:r>
        <w:rPr>
          <w:rStyle w:val="FootnoteReference"/>
        </w:rPr>
        <w:footnoteRef/>
      </w:r>
      <w:r>
        <w:tab/>
      </w:r>
      <w:r w:rsidRPr="00F04443">
        <w:t>Nothing in this document prejudices Parties’ views or prejudges outcomes on matters related to the governance of the Warsaw International Mechanism for Loss and Damage associated with Climate Change Impact</w:t>
      </w:r>
      <w:r>
        <w:t>s</w:t>
      </w:r>
      <w:r w:rsidRPr="00F04443">
        <w:t>.</w:t>
      </w:r>
      <w:r>
        <w:t xml:space="preserve"> </w:t>
      </w:r>
    </w:p>
  </w:footnote>
  <w:footnote w:id="57">
    <w:p w14:paraId="1C83E960" w14:textId="234B452A" w:rsidR="00153B66" w:rsidRPr="00764852" w:rsidRDefault="00153B66" w:rsidP="00153B66">
      <w:pPr>
        <w:pStyle w:val="FootnoteText"/>
        <w:widowControl w:val="0"/>
        <w:tabs>
          <w:tab w:val="clear" w:pos="1021"/>
          <w:tab w:val="right" w:pos="1020"/>
        </w:tabs>
        <w:rPr>
          <w:lang w:val="en-US"/>
        </w:rPr>
      </w:pPr>
      <w:r>
        <w:tab/>
      </w:r>
      <w:r>
        <w:rPr>
          <w:rStyle w:val="FootnoteReference"/>
        </w:rPr>
        <w:footnoteRef/>
      </w:r>
      <w:r>
        <w:tab/>
      </w:r>
      <w:hyperlink r:id="rId58" w:history="1">
        <w:r w:rsidRPr="00B26B88">
          <w:rPr>
            <w:rStyle w:val="Hyperlink"/>
          </w:rPr>
          <w:t>FCCC/SB/2024/2</w:t>
        </w:r>
      </w:hyperlink>
      <w:r>
        <w:t xml:space="preserve"> and </w:t>
      </w:r>
      <w:hyperlink r:id="rId59" w:history="1">
        <w:r w:rsidRPr="00731E72">
          <w:rPr>
            <w:rStyle w:val="Hyperlink"/>
          </w:rPr>
          <w:t>Add.1</w:t>
        </w:r>
      </w:hyperlink>
      <w:r>
        <w:t xml:space="preserve"> and </w:t>
      </w:r>
      <w:hyperlink r:id="rId60" w:history="1">
        <w:r w:rsidRPr="008059EA">
          <w:rPr>
            <w:rStyle w:val="Hyperlink"/>
          </w:rPr>
          <w:t>Add.2/Rev.1</w:t>
        </w:r>
      </w:hyperlink>
      <w:r>
        <w:t>.</w:t>
      </w:r>
    </w:p>
  </w:footnote>
  <w:footnote w:id="58">
    <w:p w14:paraId="0B9CBEBA" w14:textId="07D4CE31" w:rsidR="00153B66" w:rsidRPr="00AD31D1" w:rsidRDefault="00153B66" w:rsidP="00153B66">
      <w:pPr>
        <w:pStyle w:val="FootnoteText"/>
        <w:widowControl w:val="0"/>
        <w:tabs>
          <w:tab w:val="clear" w:pos="1021"/>
          <w:tab w:val="right" w:pos="1020"/>
        </w:tabs>
        <w:rPr>
          <w:lang w:val="en-US"/>
        </w:rPr>
      </w:pPr>
      <w:r>
        <w:tab/>
      </w:r>
      <w:r>
        <w:rPr>
          <w:rStyle w:val="FootnoteReference"/>
        </w:rPr>
        <w:footnoteRef/>
      </w:r>
      <w:r>
        <w:tab/>
      </w:r>
      <w:hyperlink r:id="rId61" w:history="1">
        <w:r w:rsidRPr="00B26B88">
          <w:rPr>
            <w:rStyle w:val="Hyperlink"/>
          </w:rPr>
          <w:t>FCCC/SB/2022/2/Add.2</w:t>
        </w:r>
      </w:hyperlink>
      <w:r>
        <w:t>, a</w:t>
      </w:r>
      <w:r w:rsidRPr="00533049">
        <w:t>nnex</w:t>
      </w:r>
      <w:r>
        <w:t xml:space="preserve"> </w:t>
      </w:r>
      <w:r w:rsidRPr="00533049">
        <w:t>I</w:t>
      </w:r>
      <w:r>
        <w:t xml:space="preserve">. </w:t>
      </w:r>
    </w:p>
  </w:footnote>
  <w:footnote w:id="59">
    <w:p w14:paraId="174D978D" w14:textId="2DC267C1" w:rsidR="00153B66" w:rsidRPr="004E72D7" w:rsidRDefault="00153B66" w:rsidP="00153B66">
      <w:pPr>
        <w:pStyle w:val="FootnoteText"/>
        <w:widowControl w:val="0"/>
        <w:rPr>
          <w:lang w:val="en-US"/>
        </w:rPr>
      </w:pPr>
      <w:r>
        <w:tab/>
      </w:r>
      <w:r>
        <w:rPr>
          <w:rStyle w:val="FootnoteReference"/>
        </w:rPr>
        <w:footnoteRef/>
      </w:r>
      <w:r>
        <w:tab/>
      </w:r>
      <w:hyperlink r:id="rId62" w:history="1">
        <w:r w:rsidRPr="00B26B88">
          <w:rPr>
            <w:rStyle w:val="Hyperlink"/>
          </w:rPr>
          <w:t>FCCC/SB/2024/2</w:t>
        </w:r>
      </w:hyperlink>
      <w:r>
        <w:t xml:space="preserve"> and </w:t>
      </w:r>
      <w:hyperlink r:id="rId63" w:history="1">
        <w:r w:rsidRPr="00731E72">
          <w:rPr>
            <w:rStyle w:val="Hyperlink"/>
          </w:rPr>
          <w:t>Add.1</w:t>
        </w:r>
      </w:hyperlink>
      <w:r>
        <w:t xml:space="preserve"> and </w:t>
      </w:r>
      <w:hyperlink r:id="rId64" w:history="1">
        <w:r w:rsidRPr="00731E72">
          <w:rPr>
            <w:rStyle w:val="Hyperlink"/>
          </w:rPr>
          <w:t>Add.2/Rev.1</w:t>
        </w:r>
      </w:hyperlink>
      <w:r>
        <w:t>.</w:t>
      </w:r>
    </w:p>
  </w:footnote>
  <w:footnote w:id="60">
    <w:p w14:paraId="16BBB59F" w14:textId="77777777" w:rsidR="00153B66" w:rsidRPr="0098202B" w:rsidRDefault="00153B66" w:rsidP="00153B66">
      <w:pPr>
        <w:pStyle w:val="FootnoteText"/>
        <w:widowControl w:val="0"/>
        <w:tabs>
          <w:tab w:val="clear" w:pos="1021"/>
          <w:tab w:val="right" w:pos="1020"/>
        </w:tabs>
        <w:rPr>
          <w:rFonts w:eastAsia="MS Mincho"/>
          <w:lang w:eastAsia="ja-JP"/>
        </w:rPr>
      </w:pPr>
      <w:r>
        <w:tab/>
      </w:r>
      <w:r w:rsidRPr="009E642D">
        <w:rPr>
          <w:rStyle w:val="FootnoteReference"/>
        </w:rPr>
        <w:footnoteRef/>
      </w:r>
      <w:r w:rsidRPr="009E642D">
        <w:tab/>
        <w:t>It is noted that discussions on the governance of the Warsaw International Mechanism did not produce an outcome; this is without prejudice to further consideration of this matter.</w:t>
      </w:r>
      <w:r>
        <w:t xml:space="preserve"> </w:t>
      </w:r>
    </w:p>
  </w:footnote>
  <w:footnote w:id="61">
    <w:p w14:paraId="3A334D7C" w14:textId="77777777" w:rsidR="00153B66" w:rsidRPr="00D45964" w:rsidRDefault="00153B66" w:rsidP="00153B66">
      <w:pPr>
        <w:pStyle w:val="FootnoteText"/>
        <w:widowControl w:val="0"/>
        <w:tabs>
          <w:tab w:val="clear" w:pos="1021"/>
          <w:tab w:val="right" w:pos="1020"/>
        </w:tabs>
        <w:rPr>
          <w:lang w:val="en-US"/>
        </w:rPr>
      </w:pPr>
      <w:r>
        <w:tab/>
      </w:r>
      <w:r>
        <w:rPr>
          <w:rStyle w:val="FootnoteReference"/>
        </w:rPr>
        <w:footnoteRef/>
      </w:r>
      <w:r>
        <w:tab/>
        <w:t xml:space="preserve">As footnote 6 above. </w:t>
      </w:r>
    </w:p>
  </w:footnote>
  <w:footnote w:id="62">
    <w:p w14:paraId="2F3FB04C" w14:textId="3AD18BE5" w:rsidR="00F62599" w:rsidRPr="00FD0978" w:rsidRDefault="00F62599" w:rsidP="00F62599">
      <w:pPr>
        <w:pStyle w:val="FootnoteText"/>
        <w:rPr>
          <w:lang w:val="en-US"/>
        </w:rPr>
      </w:pPr>
      <w:r>
        <w:tab/>
      </w:r>
      <w:r w:rsidRPr="00C157FE">
        <w:rPr>
          <w:rStyle w:val="FootnoteReference"/>
          <w:vertAlign w:val="baseline"/>
        </w:rPr>
        <w:t>*</w:t>
      </w:r>
      <w:r>
        <w:tab/>
        <w:t xml:space="preserve">Annex to decision </w:t>
      </w:r>
      <w:hyperlink r:id="rId65" w:history="1">
        <w:r w:rsidR="00894254" w:rsidRPr="00673F16">
          <w:rPr>
            <w:rStyle w:val="Hyperlink"/>
          </w:rPr>
          <w:t>16</w:t>
        </w:r>
        <w:r w:rsidRPr="00673F16">
          <w:rPr>
            <w:rStyle w:val="Hyperlink"/>
          </w:rPr>
          <w:t>/CMA.6</w:t>
        </w:r>
      </w:hyperlink>
      <w:r>
        <w:t>, endorsed by the Conference of the Parties in this decision.</w:t>
      </w:r>
    </w:p>
  </w:footnote>
  <w:footnote w:id="63">
    <w:p w14:paraId="395B1C84" w14:textId="77777777" w:rsidR="00F62599" w:rsidRPr="00995172" w:rsidRDefault="00F62599" w:rsidP="00F62599">
      <w:pPr>
        <w:pStyle w:val="FootnoteText"/>
        <w:rPr>
          <w:lang w:val="en-US"/>
        </w:rPr>
      </w:pPr>
      <w:r w:rsidRPr="00C157FE">
        <w:rPr>
          <w:rStyle w:val="FootnoteReference"/>
          <w:vertAlign w:val="baseline"/>
        </w:rPr>
        <w:tab/>
        <w:t>**</w:t>
      </w:r>
      <w:r>
        <w:tab/>
      </w:r>
      <w:r w:rsidRPr="00995172">
        <w:rPr>
          <w:rStyle w:val="FootnoteReference"/>
          <w:vertAlign w:val="baseline"/>
        </w:rPr>
        <w:t xml:space="preserve">Reproduced </w:t>
      </w:r>
      <w:r>
        <w:t>as adopted by the Advisory Board of the Santiago network at its 3</w:t>
      </w:r>
      <w:r>
        <w:rPr>
          <w:vertAlign w:val="superscript"/>
        </w:rPr>
        <w:t>rd</w:t>
      </w:r>
      <w:r>
        <w:t xml:space="preserve"> meeting, on 6 September 2024, without formal editing.</w:t>
      </w:r>
    </w:p>
  </w:footnote>
  <w:footnote w:id="64">
    <w:p w14:paraId="4B68B738" w14:textId="639C9E6E" w:rsidR="00AA053F" w:rsidRPr="003D3675" w:rsidRDefault="00AA053F" w:rsidP="00AA053F">
      <w:pPr>
        <w:pStyle w:val="FootnoteText"/>
        <w:widowControl w:val="0"/>
        <w:tabs>
          <w:tab w:val="clear" w:pos="1021"/>
          <w:tab w:val="right" w:pos="1020"/>
        </w:tabs>
        <w:rPr>
          <w:lang w:val="en-US"/>
        </w:rPr>
      </w:pPr>
      <w:r>
        <w:tab/>
      </w:r>
      <w:r>
        <w:rPr>
          <w:rStyle w:val="FootnoteReference"/>
        </w:rPr>
        <w:footnoteRef/>
      </w:r>
      <w:r>
        <w:tab/>
      </w:r>
      <w:r w:rsidR="00FF7DE3">
        <w:t>R</w:t>
      </w:r>
      <w:r>
        <w:t xml:space="preserve">eferred to in decision </w:t>
      </w:r>
      <w:hyperlink r:id="rId66" w:history="1">
        <w:r w:rsidRPr="00B26B88">
          <w:rPr>
            <w:rStyle w:val="Hyperlink"/>
          </w:rPr>
          <w:t>1/CMA.5</w:t>
        </w:r>
      </w:hyperlink>
      <w:r>
        <w:t>, para</w:t>
      </w:r>
      <w:r w:rsidR="00EA26FB">
        <w:t>.</w:t>
      </w:r>
      <w:r>
        <w:t xml:space="preserve"> 110. </w:t>
      </w:r>
    </w:p>
  </w:footnote>
  <w:footnote w:id="65">
    <w:p w14:paraId="36168B9A" w14:textId="77777777" w:rsidR="000E5DB4" w:rsidRPr="009A37E6" w:rsidRDefault="000E5DB4" w:rsidP="000E5DB4">
      <w:pPr>
        <w:pStyle w:val="FootnoteText"/>
        <w:widowControl w:val="0"/>
        <w:tabs>
          <w:tab w:val="clear" w:pos="1021"/>
          <w:tab w:val="right" w:pos="1020"/>
        </w:tabs>
        <w:rPr>
          <w:lang w:val="en-US"/>
        </w:rPr>
      </w:pPr>
      <w:r>
        <w:tab/>
      </w:r>
      <w:r>
        <w:rPr>
          <w:rStyle w:val="FootnoteReference"/>
        </w:rPr>
        <w:footnoteRef/>
      </w:r>
      <w:r>
        <w:tab/>
      </w:r>
      <w:r>
        <w:tab/>
        <w:t>A</w:t>
      </w:r>
      <w:r w:rsidRPr="008B38A5">
        <w:t xml:space="preserve">vailable </w:t>
      </w:r>
      <w:r>
        <w:t xml:space="preserve">at </w:t>
      </w:r>
      <w:hyperlink r:id="rId67" w:history="1">
        <w:r w:rsidRPr="008B38A5">
          <w:rPr>
            <w:rStyle w:val="Hyperlink"/>
          </w:rPr>
          <w:t>https://unfccc.int/ttclear/tec/workplan</w:t>
        </w:r>
      </w:hyperlink>
      <w:r>
        <w:t>.</w:t>
      </w:r>
      <w:r w:rsidRPr="009A37E6">
        <w:rPr>
          <w:lang w:val="en-US"/>
        </w:rPr>
        <w:t xml:space="preserve"> </w:t>
      </w:r>
    </w:p>
  </w:footnote>
  <w:footnote w:id="66">
    <w:p w14:paraId="19F675A1" w14:textId="77777777" w:rsidR="000E5DB4" w:rsidRPr="008B38A5" w:rsidRDefault="000E5DB4" w:rsidP="000E5DB4">
      <w:pPr>
        <w:pStyle w:val="FootnoteText"/>
        <w:widowControl w:val="0"/>
        <w:tabs>
          <w:tab w:val="clear" w:pos="1021"/>
          <w:tab w:val="right" w:pos="1020"/>
        </w:tabs>
      </w:pPr>
      <w:r>
        <w:tab/>
      </w:r>
      <w:r>
        <w:rPr>
          <w:rStyle w:val="FootnoteReference"/>
        </w:rPr>
        <w:footnoteRef/>
      </w:r>
      <w:r>
        <w:tab/>
        <w:t>In the areas of</w:t>
      </w:r>
      <w:r w:rsidRPr="000765B6">
        <w:t xml:space="preserve"> national systems of innovation, water–energy–food systems, energy systems, buildings and resilient infrastructure, business and industry, and technology needs assessments.</w:t>
      </w:r>
      <w:r>
        <w:t xml:space="preserve"> </w:t>
      </w:r>
    </w:p>
  </w:footnote>
  <w:footnote w:id="67">
    <w:p w14:paraId="1F0B5D6F" w14:textId="33782887" w:rsidR="000E5DB4" w:rsidRPr="008B38A5" w:rsidRDefault="000E5DB4" w:rsidP="000E5DB4">
      <w:pPr>
        <w:pStyle w:val="FootnoteText"/>
        <w:widowControl w:val="0"/>
        <w:tabs>
          <w:tab w:val="clear" w:pos="1021"/>
          <w:tab w:val="right" w:pos="1020"/>
        </w:tabs>
      </w:pPr>
      <w:r>
        <w:tab/>
      </w:r>
      <w:r>
        <w:rPr>
          <w:rStyle w:val="FootnoteReference"/>
        </w:rPr>
        <w:footnoteRef/>
      </w:r>
      <w:r w:rsidRPr="008B38A5" w:rsidDel="00917B01">
        <w:tab/>
      </w:r>
      <w:r w:rsidRPr="008B38A5">
        <w:t xml:space="preserve">See decision </w:t>
      </w:r>
      <w:hyperlink r:id="rId68" w:history="1">
        <w:r w:rsidRPr="00B26B88">
          <w:rPr>
            <w:rStyle w:val="Hyperlink"/>
          </w:rPr>
          <w:t>1/CP.16</w:t>
        </w:r>
      </w:hyperlink>
      <w:r w:rsidRPr="008B38A5">
        <w:t>, para. 123.</w:t>
      </w:r>
    </w:p>
  </w:footnote>
  <w:footnote w:id="68">
    <w:p w14:paraId="120C2ACB" w14:textId="6156624B" w:rsidR="000E5DB4" w:rsidRPr="008B38A5" w:rsidRDefault="000E5DB4" w:rsidP="000E5DB4">
      <w:pPr>
        <w:pStyle w:val="FootnoteText"/>
        <w:widowControl w:val="0"/>
        <w:tabs>
          <w:tab w:val="clear" w:pos="1021"/>
          <w:tab w:val="right" w:pos="1020"/>
        </w:tabs>
      </w:pPr>
      <w:r>
        <w:tab/>
      </w:r>
      <w:r>
        <w:rPr>
          <w:rStyle w:val="FootnoteReference"/>
        </w:rPr>
        <w:footnoteRef/>
      </w:r>
      <w:r w:rsidRPr="008B38A5">
        <w:tab/>
        <w:t xml:space="preserve">As per decision </w:t>
      </w:r>
      <w:hyperlink r:id="rId69" w:history="1">
        <w:r w:rsidRPr="00B26B88">
          <w:rPr>
            <w:rStyle w:val="Hyperlink"/>
          </w:rPr>
          <w:t>2/CP.17</w:t>
        </w:r>
      </w:hyperlink>
      <w:r w:rsidRPr="008B38A5">
        <w:t>, annex VII, para. 23.</w:t>
      </w:r>
    </w:p>
  </w:footnote>
  <w:footnote w:id="69">
    <w:p w14:paraId="77D25B73" w14:textId="3D3ACB77" w:rsidR="000E5DB4" w:rsidRPr="008B38A5" w:rsidRDefault="000E5DB4" w:rsidP="000E5DB4">
      <w:pPr>
        <w:pStyle w:val="FootnoteText"/>
        <w:widowControl w:val="0"/>
        <w:tabs>
          <w:tab w:val="clear" w:pos="1021"/>
          <w:tab w:val="right" w:pos="1020"/>
        </w:tabs>
      </w:pPr>
      <w:r w:rsidRPr="008B38A5">
        <w:tab/>
      </w:r>
      <w:r>
        <w:rPr>
          <w:rStyle w:val="FootnoteReference"/>
        </w:rPr>
        <w:footnoteRef/>
      </w:r>
      <w:r w:rsidRPr="008B38A5">
        <w:tab/>
        <w:t xml:space="preserve">Contained in documents </w:t>
      </w:r>
      <w:hyperlink r:id="rId70" w:history="1">
        <w:r w:rsidRPr="00BF47B4">
          <w:rPr>
            <w:rStyle w:val="Hyperlink"/>
          </w:rPr>
          <w:t>FCCC/CP/2017/3</w:t>
        </w:r>
      </w:hyperlink>
      <w:r w:rsidRPr="00E4493D">
        <w:t xml:space="preserve"> </w:t>
      </w:r>
      <w:r>
        <w:t xml:space="preserve">and </w:t>
      </w:r>
      <w:hyperlink r:id="rId71" w:history="1">
        <w:r w:rsidRPr="00B26B88">
          <w:rPr>
            <w:rStyle w:val="Hyperlink"/>
          </w:rPr>
          <w:t>FCCC/CP/2021/3</w:t>
        </w:r>
      </w:hyperlink>
      <w:r>
        <w:t xml:space="preserve"> respectively</w:t>
      </w:r>
      <w:r w:rsidRPr="008B38A5">
        <w:t xml:space="preserve">. </w:t>
      </w:r>
    </w:p>
  </w:footnote>
  <w:footnote w:id="70">
    <w:p w14:paraId="5C0B4356" w14:textId="139C733E" w:rsidR="000E5DB4" w:rsidRPr="008B38A5" w:rsidRDefault="000E5DB4" w:rsidP="000E5DB4">
      <w:pPr>
        <w:pStyle w:val="FootnoteText"/>
        <w:widowControl w:val="0"/>
        <w:tabs>
          <w:tab w:val="clear" w:pos="1021"/>
          <w:tab w:val="right" w:pos="1020"/>
        </w:tabs>
      </w:pPr>
      <w:r>
        <w:tab/>
      </w:r>
      <w:r>
        <w:rPr>
          <w:rStyle w:val="FootnoteReference"/>
        </w:rPr>
        <w:footnoteRef/>
      </w:r>
      <w:r>
        <w:tab/>
        <w:t xml:space="preserve">Contained in document </w:t>
      </w:r>
      <w:hyperlink r:id="rId72" w:history="1">
        <w:r w:rsidRPr="00B26B88">
          <w:rPr>
            <w:rStyle w:val="Hyperlink"/>
          </w:rPr>
          <w:t>FCCC/SBI/2022/13</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A3D00" w14:textId="2C0DF692" w:rsidR="001C679A" w:rsidRPr="001C679A" w:rsidRDefault="001C679A" w:rsidP="001C679A">
    <w:pPr>
      <w:pStyle w:val="Header"/>
    </w:pPr>
    <w:r w:rsidRPr="00E00593">
      <w:t>FCCC/CP/2024/1</w:t>
    </w:r>
    <w:r>
      <w:t>1/Add.1</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86262" w14:textId="756F2CC1" w:rsidR="001C679A" w:rsidRPr="001C679A" w:rsidRDefault="001C679A" w:rsidP="001C679A">
    <w:pPr>
      <w:pStyle w:val="Header"/>
      <w:jc w:val="right"/>
    </w:pPr>
    <w:r>
      <w:t>FCCC/CP/2024/11/Add.1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82B06" w14:textId="770A9F6A" w:rsidR="001C679A" w:rsidRPr="001C679A" w:rsidRDefault="001C679A" w:rsidP="001C679A">
    <w:pPr>
      <w:pStyle w:val="Header"/>
    </w:pPr>
    <w:r>
      <w:t>FCCC/CP/2024/11/Add.1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2F7E5" w14:textId="7F87DAF6" w:rsidR="001C679A" w:rsidRPr="001C679A" w:rsidRDefault="001C679A" w:rsidP="001C679A">
    <w:pPr>
      <w:pStyle w:val="Header"/>
      <w:jc w:val="right"/>
    </w:pPr>
    <w:r>
      <w:t>FCCC/CP/2024/11/Add.1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E41C5" w14:textId="5687FE46" w:rsidR="001C679A" w:rsidRPr="001C679A" w:rsidRDefault="001C679A" w:rsidP="001C679A">
    <w:pPr>
      <w:pStyle w:val="Header"/>
    </w:pPr>
    <w:r>
      <w:t>FCCC/CP/2024/11/Add.1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25B3E" w14:textId="3F1155BA" w:rsidR="001C679A" w:rsidRPr="001C679A" w:rsidRDefault="001C679A" w:rsidP="001C679A">
    <w:pPr>
      <w:pStyle w:val="Header"/>
      <w:jc w:val="right"/>
    </w:pPr>
    <w:r>
      <w:t>FCCC/CP/2024/11/Add.1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1FD03" w14:textId="57C73B05" w:rsidR="001C679A" w:rsidRPr="001C679A" w:rsidRDefault="001C679A" w:rsidP="001C679A">
    <w:pPr>
      <w:pStyle w:val="Header"/>
    </w:pPr>
    <w:r>
      <w:t>FCCC/CP/2024/11/Add.1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0F661" w14:textId="351DB4F2" w:rsidR="001C679A" w:rsidRPr="001C679A" w:rsidRDefault="001C679A" w:rsidP="001C679A">
    <w:pPr>
      <w:pStyle w:val="Header"/>
    </w:pPr>
    <w:r>
      <w:t>FCCC/CP/2024/11/Add.1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16765" w14:textId="5092F67C" w:rsidR="001C679A" w:rsidRPr="001C679A" w:rsidRDefault="001C679A" w:rsidP="001C679A">
    <w:pPr>
      <w:pStyle w:val="Header"/>
      <w:jc w:val="right"/>
    </w:pPr>
    <w:r>
      <w:t>FCCC/CP/2024/11/Add.1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DE35B" w14:textId="0C1EFF14" w:rsidR="001C679A" w:rsidRPr="00225274" w:rsidRDefault="00225274" w:rsidP="00225274">
    <w:pPr>
      <w:pStyle w:val="Header"/>
      <w:jc w:val="right"/>
    </w:pPr>
    <w:r>
      <w:t>FCCC/CP/2024/11/Add.1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F2949" w14:textId="6A4DB4CB" w:rsidR="001C679A" w:rsidRPr="001C679A" w:rsidRDefault="001C679A" w:rsidP="001C679A">
    <w:pPr>
      <w:pStyle w:val="Header"/>
    </w:pPr>
    <w:r>
      <w:t>FCCC/CP/2024/11/Add.1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F23A0" w14:textId="531C62B5" w:rsidR="001C679A" w:rsidRPr="001C679A" w:rsidRDefault="001C679A" w:rsidP="001C679A">
    <w:pPr>
      <w:pStyle w:val="Header"/>
      <w:jc w:val="right"/>
    </w:pPr>
    <w:r>
      <w:t>FCCC/CP/2024/11/Add.1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F859C" w14:textId="1272BA96" w:rsidR="001C679A" w:rsidRPr="001C679A" w:rsidRDefault="001C679A" w:rsidP="001C679A">
    <w:pPr>
      <w:pStyle w:val="Header"/>
    </w:pPr>
    <w:r>
      <w:t>FCCC/CP/2024/11/Add.1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D6DCC" w14:textId="2D4C558B" w:rsidR="001C679A" w:rsidRPr="001C679A" w:rsidRDefault="001C679A" w:rsidP="001C679A">
    <w:pPr>
      <w:pStyle w:val="Header"/>
      <w:jc w:val="right"/>
    </w:pPr>
    <w:r>
      <w:t>FCCC/CP/2024/11/Add.1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CFF97" w14:textId="1D552B02" w:rsidR="001C679A" w:rsidRPr="001C679A" w:rsidRDefault="001C679A" w:rsidP="001C679A">
    <w:pPr>
      <w:pStyle w:val="Header"/>
    </w:pPr>
    <w:r>
      <w:t>FCCC/CP/2024/11/Add.1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22E51" w14:textId="4B0C1E90" w:rsidR="001C679A" w:rsidRPr="001C679A" w:rsidRDefault="001C679A" w:rsidP="001C679A">
    <w:pPr>
      <w:pStyle w:val="Header"/>
      <w:jc w:val="right"/>
    </w:pPr>
    <w:r>
      <w:t>FCCC/CP/2024/11/Add.1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72409" w14:textId="422C9D5E" w:rsidR="001C679A" w:rsidRPr="001C679A" w:rsidRDefault="001C679A" w:rsidP="001C679A">
    <w:pPr>
      <w:pStyle w:val="Header"/>
    </w:pPr>
    <w:r>
      <w:t>FCCC/CP/2024/11/Add.1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1F6D58"/>
    <w:multiLevelType w:val="multilevel"/>
    <w:tmpl w:val="F73A0EB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6"/>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4" w15:restartNumberingAfterBreak="0">
    <w:nsid w:val="1023354E"/>
    <w:multiLevelType w:val="multilevel"/>
    <w:tmpl w:val="67861EBE"/>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pStyle w:val="RegH4G"/>
      <w:lvlText w:val="(%4)"/>
      <w:lvlJc w:val="right"/>
      <w:pPr>
        <w:tabs>
          <w:tab w:val="num" w:pos="1134"/>
        </w:tabs>
        <w:ind w:left="1135" w:hanging="284"/>
      </w:pPr>
      <w:rPr>
        <w:rFonts w:ascii="Times New Roman" w:hAnsi="Times New Roman" w:cs="Times New Roman" w:hint="default"/>
        <w:b/>
        <w:i w:val="0"/>
        <w:sz w:val="20"/>
      </w:rPr>
    </w:lvl>
    <w:lvl w:ilvl="4">
      <w:start w:val="1"/>
      <w:numFmt w:val="lowerRoman"/>
      <w:pStyle w:val="RegH5G"/>
      <w:lvlText w:val="(%5)"/>
      <w:lvlJc w:val="right"/>
      <w:pPr>
        <w:tabs>
          <w:tab w:val="num" w:pos="1134"/>
        </w:tabs>
        <w:ind w:left="1135" w:hanging="284"/>
      </w:pPr>
      <w:rPr>
        <w:rFonts w:ascii="Times New Roman" w:hAnsi="Times New Roman" w:hint="default"/>
        <w:b w:val="0"/>
        <w:i/>
      </w:rPr>
    </w:lvl>
    <w:lvl w:ilvl="5">
      <w:start w:val="1"/>
      <w:numFmt w:val="decimal"/>
      <w:lvlRestart w:val="0"/>
      <w:pStyle w:val="RegSingleTxtG"/>
      <w:lvlText w:val="%6."/>
      <w:lvlJc w:val="left"/>
      <w:pPr>
        <w:ind w:left="1134" w:firstLine="0"/>
      </w:pPr>
      <w:rPr>
        <w:rFonts w:hint="default"/>
        <w:i w:val="0"/>
        <w:iCs w:val="0"/>
        <w:sz w:val="20"/>
      </w:rPr>
    </w:lvl>
    <w:lvl w:ilvl="6">
      <w:start w:val="1"/>
      <w:numFmt w:val="lowerLetter"/>
      <w:pStyle w:val="RegSingleTxtG2"/>
      <w:lvlText w:val="(%7)"/>
      <w:lvlJc w:val="left"/>
      <w:pPr>
        <w:tabs>
          <w:tab w:val="num" w:pos="1702"/>
        </w:tabs>
        <w:ind w:left="1134" w:firstLine="567"/>
      </w:pPr>
      <w:rPr>
        <w:rFonts w:hint="default"/>
        <w:b w:val="0"/>
        <w:i w:val="0"/>
        <w:color w:val="auto"/>
        <w:sz w:val="20"/>
        <w:szCs w:val="28"/>
      </w:rPr>
    </w:lvl>
    <w:lvl w:ilvl="7">
      <w:start w:val="1"/>
      <w:numFmt w:val="lowerRoman"/>
      <w:pStyle w:val="RegSingleTxtG3"/>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5" w15:restartNumberingAfterBreak="0">
    <w:nsid w:val="1E7A603A"/>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6"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0"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2083289885">
    <w:abstractNumId w:val="4"/>
  </w:num>
  <w:num w:numId="2" w16cid:durableId="380713491">
    <w:abstractNumId w:val="9"/>
  </w:num>
  <w:num w:numId="3" w16cid:durableId="8259867">
    <w:abstractNumId w:val="7"/>
  </w:num>
  <w:num w:numId="4" w16cid:durableId="1678733448">
    <w:abstractNumId w:val="10"/>
  </w:num>
  <w:num w:numId="5" w16cid:durableId="78605626">
    <w:abstractNumId w:val="1"/>
  </w:num>
  <w:num w:numId="6" w16cid:durableId="2091079493">
    <w:abstractNumId w:val="0"/>
  </w:num>
  <w:num w:numId="7" w16cid:durableId="1511025763">
    <w:abstractNumId w:val="15"/>
  </w:num>
  <w:num w:numId="8" w16cid:durableId="1293829587">
    <w:abstractNumId w:val="9"/>
  </w:num>
  <w:num w:numId="9" w16cid:durableId="11644744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4543160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14638062">
    <w:abstractNumId w:val="4"/>
    <w:lvlOverride w:ilvl="0">
      <w:startOverride w:val="2"/>
    </w:lvlOverride>
    <w:lvlOverride w:ilvl="1">
      <w:startOverride w:val="1"/>
    </w:lvlOverride>
    <w:lvlOverride w:ilvl="2">
      <w:startOverride w:val="1"/>
    </w:lvlOverride>
    <w:lvlOverride w:ilvl="3">
      <w:startOverride w:val="1"/>
    </w:lvlOverride>
    <w:lvlOverride w:ilvl="4">
      <w:startOverride w:val="2"/>
    </w:lvlOverride>
    <w:lvlOverride w:ilvl="5">
      <w:startOverride w:val="3"/>
    </w:lvlOverride>
    <w:lvlOverride w:ilvl="6">
      <w:startOverride w:val="1"/>
    </w:lvlOverride>
    <w:lvlOverride w:ilvl="7">
      <w:startOverride w:val="1"/>
    </w:lvlOverride>
    <w:lvlOverride w:ilvl="8">
      <w:startOverride w:val="1"/>
    </w:lvlOverride>
  </w:num>
  <w:num w:numId="12" w16cid:durableId="7767541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14196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762781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061669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436560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63372879">
    <w:abstractNumId w:val="5"/>
  </w:num>
  <w:num w:numId="18" w16cid:durableId="530342010">
    <w:abstractNumId w:val="3"/>
  </w:num>
  <w:num w:numId="19" w16cid:durableId="73552627">
    <w:abstractNumId w:val="4"/>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2"/>
    </w:lvlOverride>
    <w:lvlOverride w:ilvl="6">
      <w:startOverride w:val="1"/>
    </w:lvlOverride>
    <w:lvlOverride w:ilvl="7">
      <w:startOverride w:val="1"/>
    </w:lvlOverride>
    <w:lvlOverride w:ilvl="8">
      <w:startOverride w:val="1"/>
    </w:lvlOverride>
  </w:num>
  <w:num w:numId="20" w16cid:durableId="136933618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249244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902838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491939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revisionView w:markup="0"/>
  <w:defaultTabStop w:val="567"/>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numRestart w:val="eachSect"/>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I0MDawMDUyNjYwNLZQ0lEKTi0uzszPAykwrAUAis5YVSwAAAA="/>
  </w:docVars>
  <w:rsids>
    <w:rsidRoot w:val="003F6A01"/>
    <w:rsid w:val="00002558"/>
    <w:rsid w:val="0000413D"/>
    <w:rsid w:val="00004A30"/>
    <w:rsid w:val="00004FE9"/>
    <w:rsid w:val="00006072"/>
    <w:rsid w:val="00006219"/>
    <w:rsid w:val="00007089"/>
    <w:rsid w:val="000078E2"/>
    <w:rsid w:val="000155B7"/>
    <w:rsid w:val="000171FF"/>
    <w:rsid w:val="0002139F"/>
    <w:rsid w:val="00021924"/>
    <w:rsid w:val="00021BB6"/>
    <w:rsid w:val="00021D7A"/>
    <w:rsid w:val="0002382B"/>
    <w:rsid w:val="0002542F"/>
    <w:rsid w:val="000257EE"/>
    <w:rsid w:val="00025EFC"/>
    <w:rsid w:val="0002779A"/>
    <w:rsid w:val="00027B47"/>
    <w:rsid w:val="00027F7F"/>
    <w:rsid w:val="0003200E"/>
    <w:rsid w:val="00032199"/>
    <w:rsid w:val="00032DDE"/>
    <w:rsid w:val="000369A8"/>
    <w:rsid w:val="00036E62"/>
    <w:rsid w:val="00037650"/>
    <w:rsid w:val="0003776D"/>
    <w:rsid w:val="00040861"/>
    <w:rsid w:val="000423A6"/>
    <w:rsid w:val="00043DD5"/>
    <w:rsid w:val="00044843"/>
    <w:rsid w:val="00047137"/>
    <w:rsid w:val="0004729B"/>
    <w:rsid w:val="00052463"/>
    <w:rsid w:val="00053EA7"/>
    <w:rsid w:val="000549B7"/>
    <w:rsid w:val="00054CCE"/>
    <w:rsid w:val="000555B3"/>
    <w:rsid w:val="000561BD"/>
    <w:rsid w:val="000610B7"/>
    <w:rsid w:val="00062505"/>
    <w:rsid w:val="0006260C"/>
    <w:rsid w:val="00063E03"/>
    <w:rsid w:val="00065728"/>
    <w:rsid w:val="00071889"/>
    <w:rsid w:val="00074855"/>
    <w:rsid w:val="00074EC5"/>
    <w:rsid w:val="00074FC8"/>
    <w:rsid w:val="00076113"/>
    <w:rsid w:val="0007661C"/>
    <w:rsid w:val="00076E07"/>
    <w:rsid w:val="000773C8"/>
    <w:rsid w:val="00077982"/>
    <w:rsid w:val="00081C44"/>
    <w:rsid w:val="00083647"/>
    <w:rsid w:val="0008756E"/>
    <w:rsid w:val="00087BE9"/>
    <w:rsid w:val="00090016"/>
    <w:rsid w:val="00090A78"/>
    <w:rsid w:val="000913E6"/>
    <w:rsid w:val="00092E29"/>
    <w:rsid w:val="00093044"/>
    <w:rsid w:val="00095275"/>
    <w:rsid w:val="000A11D2"/>
    <w:rsid w:val="000A148B"/>
    <w:rsid w:val="000A399F"/>
    <w:rsid w:val="000A4C99"/>
    <w:rsid w:val="000A566F"/>
    <w:rsid w:val="000A63B3"/>
    <w:rsid w:val="000A708C"/>
    <w:rsid w:val="000A7C2B"/>
    <w:rsid w:val="000B0DBD"/>
    <w:rsid w:val="000B1FD0"/>
    <w:rsid w:val="000B3E8D"/>
    <w:rsid w:val="000B5477"/>
    <w:rsid w:val="000C0E05"/>
    <w:rsid w:val="000C24E3"/>
    <w:rsid w:val="000C26AA"/>
    <w:rsid w:val="000C3976"/>
    <w:rsid w:val="000C4567"/>
    <w:rsid w:val="000C5173"/>
    <w:rsid w:val="000C6B76"/>
    <w:rsid w:val="000C7FAF"/>
    <w:rsid w:val="000D3457"/>
    <w:rsid w:val="000D3692"/>
    <w:rsid w:val="000D3A4F"/>
    <w:rsid w:val="000D5DED"/>
    <w:rsid w:val="000D6922"/>
    <w:rsid w:val="000D693D"/>
    <w:rsid w:val="000D6D4A"/>
    <w:rsid w:val="000D6FB3"/>
    <w:rsid w:val="000D7E5F"/>
    <w:rsid w:val="000E0403"/>
    <w:rsid w:val="000E1211"/>
    <w:rsid w:val="000E266D"/>
    <w:rsid w:val="000E343D"/>
    <w:rsid w:val="000E3829"/>
    <w:rsid w:val="000E3BD5"/>
    <w:rsid w:val="000E47F7"/>
    <w:rsid w:val="000E49E4"/>
    <w:rsid w:val="000E5A58"/>
    <w:rsid w:val="000E5DB4"/>
    <w:rsid w:val="000E6E68"/>
    <w:rsid w:val="000F13AC"/>
    <w:rsid w:val="000F1446"/>
    <w:rsid w:val="000F379C"/>
    <w:rsid w:val="000F3B26"/>
    <w:rsid w:val="000F4528"/>
    <w:rsid w:val="000F5020"/>
    <w:rsid w:val="000F5A79"/>
    <w:rsid w:val="000F5DAC"/>
    <w:rsid w:val="000F67A2"/>
    <w:rsid w:val="001007C9"/>
    <w:rsid w:val="001027C1"/>
    <w:rsid w:val="00103310"/>
    <w:rsid w:val="001046AB"/>
    <w:rsid w:val="00106384"/>
    <w:rsid w:val="0010647A"/>
    <w:rsid w:val="00106625"/>
    <w:rsid w:val="00107536"/>
    <w:rsid w:val="00107B0E"/>
    <w:rsid w:val="00107C32"/>
    <w:rsid w:val="00110410"/>
    <w:rsid w:val="0011157B"/>
    <w:rsid w:val="001118CA"/>
    <w:rsid w:val="001145D1"/>
    <w:rsid w:val="00114B83"/>
    <w:rsid w:val="001160D0"/>
    <w:rsid w:val="001161E5"/>
    <w:rsid w:val="0011781E"/>
    <w:rsid w:val="00120826"/>
    <w:rsid w:val="00120901"/>
    <w:rsid w:val="001209A8"/>
    <w:rsid w:val="00120E84"/>
    <w:rsid w:val="0012180C"/>
    <w:rsid w:val="00123C52"/>
    <w:rsid w:val="00124496"/>
    <w:rsid w:val="001249E7"/>
    <w:rsid w:val="00127311"/>
    <w:rsid w:val="001307FB"/>
    <w:rsid w:val="00131207"/>
    <w:rsid w:val="001328F9"/>
    <w:rsid w:val="001349EC"/>
    <w:rsid w:val="00134F15"/>
    <w:rsid w:val="00135816"/>
    <w:rsid w:val="001364AF"/>
    <w:rsid w:val="00136D61"/>
    <w:rsid w:val="00140066"/>
    <w:rsid w:val="001404D7"/>
    <w:rsid w:val="00140DBD"/>
    <w:rsid w:val="00141710"/>
    <w:rsid w:val="00142A35"/>
    <w:rsid w:val="0014792D"/>
    <w:rsid w:val="00147A6D"/>
    <w:rsid w:val="0015118D"/>
    <w:rsid w:val="00152A6E"/>
    <w:rsid w:val="00153B66"/>
    <w:rsid w:val="00153F7D"/>
    <w:rsid w:val="00154114"/>
    <w:rsid w:val="00154545"/>
    <w:rsid w:val="00154BF4"/>
    <w:rsid w:val="001572F7"/>
    <w:rsid w:val="001600D9"/>
    <w:rsid w:val="00160267"/>
    <w:rsid w:val="00161F3A"/>
    <w:rsid w:val="00162131"/>
    <w:rsid w:val="00162AF2"/>
    <w:rsid w:val="00163E4D"/>
    <w:rsid w:val="0016526E"/>
    <w:rsid w:val="00172CF0"/>
    <w:rsid w:val="001738F1"/>
    <w:rsid w:val="00173965"/>
    <w:rsid w:val="0017397C"/>
    <w:rsid w:val="00174A05"/>
    <w:rsid w:val="00176D28"/>
    <w:rsid w:val="00177074"/>
    <w:rsid w:val="0018053B"/>
    <w:rsid w:val="00180DE6"/>
    <w:rsid w:val="001813AF"/>
    <w:rsid w:val="00181F57"/>
    <w:rsid w:val="00181FDA"/>
    <w:rsid w:val="001824A4"/>
    <w:rsid w:val="00184C03"/>
    <w:rsid w:val="00186A4F"/>
    <w:rsid w:val="00186FF4"/>
    <w:rsid w:val="001906D0"/>
    <w:rsid w:val="001915EF"/>
    <w:rsid w:val="00194301"/>
    <w:rsid w:val="0019430F"/>
    <w:rsid w:val="001945C7"/>
    <w:rsid w:val="00194631"/>
    <w:rsid w:val="00194BFA"/>
    <w:rsid w:val="00194E11"/>
    <w:rsid w:val="00195018"/>
    <w:rsid w:val="0019518B"/>
    <w:rsid w:val="00195FF4"/>
    <w:rsid w:val="00196E77"/>
    <w:rsid w:val="001979EF"/>
    <w:rsid w:val="001A0A3A"/>
    <w:rsid w:val="001A1FC1"/>
    <w:rsid w:val="001A2C76"/>
    <w:rsid w:val="001A3E9A"/>
    <w:rsid w:val="001A594B"/>
    <w:rsid w:val="001A5FE8"/>
    <w:rsid w:val="001A6305"/>
    <w:rsid w:val="001A70E2"/>
    <w:rsid w:val="001B085A"/>
    <w:rsid w:val="001B1483"/>
    <w:rsid w:val="001B386C"/>
    <w:rsid w:val="001B498B"/>
    <w:rsid w:val="001B681C"/>
    <w:rsid w:val="001B69AD"/>
    <w:rsid w:val="001C096E"/>
    <w:rsid w:val="001C1AD8"/>
    <w:rsid w:val="001C319A"/>
    <w:rsid w:val="001C3DE7"/>
    <w:rsid w:val="001C3F2F"/>
    <w:rsid w:val="001C40F0"/>
    <w:rsid w:val="001C4688"/>
    <w:rsid w:val="001C5262"/>
    <w:rsid w:val="001C679A"/>
    <w:rsid w:val="001C743C"/>
    <w:rsid w:val="001C7A16"/>
    <w:rsid w:val="001C7B87"/>
    <w:rsid w:val="001C7E77"/>
    <w:rsid w:val="001D012A"/>
    <w:rsid w:val="001D0F0F"/>
    <w:rsid w:val="001D16B3"/>
    <w:rsid w:val="001D2D7C"/>
    <w:rsid w:val="001D2FD8"/>
    <w:rsid w:val="001D5BA7"/>
    <w:rsid w:val="001D6BA0"/>
    <w:rsid w:val="001D7065"/>
    <w:rsid w:val="001E1B17"/>
    <w:rsid w:val="001E1EFC"/>
    <w:rsid w:val="001E2BCC"/>
    <w:rsid w:val="001E366B"/>
    <w:rsid w:val="001E38E4"/>
    <w:rsid w:val="001E3D20"/>
    <w:rsid w:val="001E5224"/>
    <w:rsid w:val="001E6755"/>
    <w:rsid w:val="001E7D13"/>
    <w:rsid w:val="001F076B"/>
    <w:rsid w:val="001F0C87"/>
    <w:rsid w:val="001F2BBF"/>
    <w:rsid w:val="001F3984"/>
    <w:rsid w:val="001F4312"/>
    <w:rsid w:val="001F4EF5"/>
    <w:rsid w:val="001F5346"/>
    <w:rsid w:val="002008AA"/>
    <w:rsid w:val="002013D4"/>
    <w:rsid w:val="00201B92"/>
    <w:rsid w:val="002025E1"/>
    <w:rsid w:val="00202938"/>
    <w:rsid w:val="00202C1D"/>
    <w:rsid w:val="002037E2"/>
    <w:rsid w:val="002051C6"/>
    <w:rsid w:val="002055ED"/>
    <w:rsid w:val="0020641B"/>
    <w:rsid w:val="00206DA7"/>
    <w:rsid w:val="00207452"/>
    <w:rsid w:val="00211455"/>
    <w:rsid w:val="0021446A"/>
    <w:rsid w:val="00215272"/>
    <w:rsid w:val="00216589"/>
    <w:rsid w:val="00221862"/>
    <w:rsid w:val="00223453"/>
    <w:rsid w:val="00223E6E"/>
    <w:rsid w:val="00224111"/>
    <w:rsid w:val="00224657"/>
    <w:rsid w:val="00224D76"/>
    <w:rsid w:val="00225274"/>
    <w:rsid w:val="00226B53"/>
    <w:rsid w:val="00230D0F"/>
    <w:rsid w:val="00231EAC"/>
    <w:rsid w:val="00231FB5"/>
    <w:rsid w:val="00232479"/>
    <w:rsid w:val="00232EAA"/>
    <w:rsid w:val="00233AA4"/>
    <w:rsid w:val="00234649"/>
    <w:rsid w:val="00235CD6"/>
    <w:rsid w:val="00235CE4"/>
    <w:rsid w:val="0023620C"/>
    <w:rsid w:val="0024447B"/>
    <w:rsid w:val="0024450A"/>
    <w:rsid w:val="00246888"/>
    <w:rsid w:val="00246DE6"/>
    <w:rsid w:val="00247089"/>
    <w:rsid w:val="002473F1"/>
    <w:rsid w:val="00247BF6"/>
    <w:rsid w:val="00250037"/>
    <w:rsid w:val="00250C44"/>
    <w:rsid w:val="00251FF9"/>
    <w:rsid w:val="002530C9"/>
    <w:rsid w:val="00253274"/>
    <w:rsid w:val="00253370"/>
    <w:rsid w:val="00253D17"/>
    <w:rsid w:val="002552DC"/>
    <w:rsid w:val="00256609"/>
    <w:rsid w:val="00256CFB"/>
    <w:rsid w:val="00257AA3"/>
    <w:rsid w:val="00260BFA"/>
    <w:rsid w:val="00263228"/>
    <w:rsid w:val="0026394F"/>
    <w:rsid w:val="00264F17"/>
    <w:rsid w:val="00266D68"/>
    <w:rsid w:val="00267B98"/>
    <w:rsid w:val="00270664"/>
    <w:rsid w:val="002718D7"/>
    <w:rsid w:val="002718FA"/>
    <w:rsid w:val="00272A1F"/>
    <w:rsid w:val="00273E8E"/>
    <w:rsid w:val="0027419E"/>
    <w:rsid w:val="00274655"/>
    <w:rsid w:val="002756FD"/>
    <w:rsid w:val="00276A17"/>
    <w:rsid w:val="00276FE8"/>
    <w:rsid w:val="002776B4"/>
    <w:rsid w:val="002779EB"/>
    <w:rsid w:val="002814D8"/>
    <w:rsid w:val="002823A1"/>
    <w:rsid w:val="0028255E"/>
    <w:rsid w:val="00283275"/>
    <w:rsid w:val="0028535F"/>
    <w:rsid w:val="002859C9"/>
    <w:rsid w:val="00287A6C"/>
    <w:rsid w:val="0029007C"/>
    <w:rsid w:val="00290409"/>
    <w:rsid w:val="00291B96"/>
    <w:rsid w:val="00292DC3"/>
    <w:rsid w:val="0029306F"/>
    <w:rsid w:val="002933A4"/>
    <w:rsid w:val="002954CD"/>
    <w:rsid w:val="00295866"/>
    <w:rsid w:val="00296352"/>
    <w:rsid w:val="0029733B"/>
    <w:rsid w:val="00297C1E"/>
    <w:rsid w:val="002A596A"/>
    <w:rsid w:val="002A7940"/>
    <w:rsid w:val="002A7B52"/>
    <w:rsid w:val="002A7D05"/>
    <w:rsid w:val="002B00DA"/>
    <w:rsid w:val="002B0283"/>
    <w:rsid w:val="002B3984"/>
    <w:rsid w:val="002B446B"/>
    <w:rsid w:val="002B685D"/>
    <w:rsid w:val="002B71EA"/>
    <w:rsid w:val="002B72CE"/>
    <w:rsid w:val="002B7532"/>
    <w:rsid w:val="002C051E"/>
    <w:rsid w:val="002C084C"/>
    <w:rsid w:val="002C11F7"/>
    <w:rsid w:val="002C1E4D"/>
    <w:rsid w:val="002C3336"/>
    <w:rsid w:val="002C3EBB"/>
    <w:rsid w:val="002C52A6"/>
    <w:rsid w:val="002C5632"/>
    <w:rsid w:val="002C7B0F"/>
    <w:rsid w:val="002D154A"/>
    <w:rsid w:val="002D1F6E"/>
    <w:rsid w:val="002D272F"/>
    <w:rsid w:val="002D3018"/>
    <w:rsid w:val="002D5017"/>
    <w:rsid w:val="002D534E"/>
    <w:rsid w:val="002D66A2"/>
    <w:rsid w:val="002D737B"/>
    <w:rsid w:val="002E23D9"/>
    <w:rsid w:val="002E31DD"/>
    <w:rsid w:val="002E3ED8"/>
    <w:rsid w:val="002E40CB"/>
    <w:rsid w:val="002F2306"/>
    <w:rsid w:val="002F2AA2"/>
    <w:rsid w:val="002F304A"/>
    <w:rsid w:val="002F60E8"/>
    <w:rsid w:val="002F6C19"/>
    <w:rsid w:val="002F7B01"/>
    <w:rsid w:val="002F7B22"/>
    <w:rsid w:val="002F7BEC"/>
    <w:rsid w:val="003009DD"/>
    <w:rsid w:val="003012AF"/>
    <w:rsid w:val="0030137A"/>
    <w:rsid w:val="00303D40"/>
    <w:rsid w:val="00304BA1"/>
    <w:rsid w:val="00304E01"/>
    <w:rsid w:val="00306423"/>
    <w:rsid w:val="0030715F"/>
    <w:rsid w:val="00307FC0"/>
    <w:rsid w:val="0031058D"/>
    <w:rsid w:val="0031149B"/>
    <w:rsid w:val="003132EC"/>
    <w:rsid w:val="003147E4"/>
    <w:rsid w:val="003156B3"/>
    <w:rsid w:val="00316BEA"/>
    <w:rsid w:val="00317B8C"/>
    <w:rsid w:val="00320EBB"/>
    <w:rsid w:val="00321A14"/>
    <w:rsid w:val="0032260C"/>
    <w:rsid w:val="003234D7"/>
    <w:rsid w:val="00323813"/>
    <w:rsid w:val="00323DB2"/>
    <w:rsid w:val="00324FBC"/>
    <w:rsid w:val="003250E7"/>
    <w:rsid w:val="00327575"/>
    <w:rsid w:val="00327B89"/>
    <w:rsid w:val="003307F2"/>
    <w:rsid w:val="00332225"/>
    <w:rsid w:val="00332592"/>
    <w:rsid w:val="00333CB7"/>
    <w:rsid w:val="0033496D"/>
    <w:rsid w:val="003354A0"/>
    <w:rsid w:val="00336DC3"/>
    <w:rsid w:val="0034005C"/>
    <w:rsid w:val="00340554"/>
    <w:rsid w:val="00341289"/>
    <w:rsid w:val="003415A2"/>
    <w:rsid w:val="00344AD3"/>
    <w:rsid w:val="00347F89"/>
    <w:rsid w:val="00350710"/>
    <w:rsid w:val="003511AF"/>
    <w:rsid w:val="00351F4F"/>
    <w:rsid w:val="0035513F"/>
    <w:rsid w:val="00355B23"/>
    <w:rsid w:val="00357684"/>
    <w:rsid w:val="003577CF"/>
    <w:rsid w:val="00361821"/>
    <w:rsid w:val="00361A20"/>
    <w:rsid w:val="00361A9D"/>
    <w:rsid w:val="00363B00"/>
    <w:rsid w:val="003643C9"/>
    <w:rsid w:val="00364B85"/>
    <w:rsid w:val="00367230"/>
    <w:rsid w:val="00373689"/>
    <w:rsid w:val="00375582"/>
    <w:rsid w:val="00375F53"/>
    <w:rsid w:val="003762C2"/>
    <w:rsid w:val="00377103"/>
    <w:rsid w:val="00380B51"/>
    <w:rsid w:val="00381632"/>
    <w:rsid w:val="003824C9"/>
    <w:rsid w:val="00383494"/>
    <w:rsid w:val="00383A42"/>
    <w:rsid w:val="00383BA1"/>
    <w:rsid w:val="003847B9"/>
    <w:rsid w:val="00385E56"/>
    <w:rsid w:val="00385F32"/>
    <w:rsid w:val="003975D0"/>
    <w:rsid w:val="003A04B4"/>
    <w:rsid w:val="003A1DDD"/>
    <w:rsid w:val="003A32C9"/>
    <w:rsid w:val="003A4936"/>
    <w:rsid w:val="003A56FD"/>
    <w:rsid w:val="003A5A8A"/>
    <w:rsid w:val="003B07EC"/>
    <w:rsid w:val="003B1229"/>
    <w:rsid w:val="003B2C11"/>
    <w:rsid w:val="003B3C25"/>
    <w:rsid w:val="003B4C6A"/>
    <w:rsid w:val="003B4D23"/>
    <w:rsid w:val="003B64B7"/>
    <w:rsid w:val="003B714F"/>
    <w:rsid w:val="003B755C"/>
    <w:rsid w:val="003C099B"/>
    <w:rsid w:val="003C101A"/>
    <w:rsid w:val="003C215E"/>
    <w:rsid w:val="003C2C11"/>
    <w:rsid w:val="003C32E3"/>
    <w:rsid w:val="003C3854"/>
    <w:rsid w:val="003C5A56"/>
    <w:rsid w:val="003C75B9"/>
    <w:rsid w:val="003D0758"/>
    <w:rsid w:val="003D170E"/>
    <w:rsid w:val="003D1A53"/>
    <w:rsid w:val="003D24D4"/>
    <w:rsid w:val="003D303F"/>
    <w:rsid w:val="003D36AD"/>
    <w:rsid w:val="003D3B00"/>
    <w:rsid w:val="003D5FAA"/>
    <w:rsid w:val="003D6B47"/>
    <w:rsid w:val="003D7AAA"/>
    <w:rsid w:val="003D7F88"/>
    <w:rsid w:val="003E05CD"/>
    <w:rsid w:val="003E3A52"/>
    <w:rsid w:val="003E493C"/>
    <w:rsid w:val="003E5E58"/>
    <w:rsid w:val="003E6051"/>
    <w:rsid w:val="003E67EB"/>
    <w:rsid w:val="003E7842"/>
    <w:rsid w:val="003E7CA8"/>
    <w:rsid w:val="003F0BC6"/>
    <w:rsid w:val="003F1E27"/>
    <w:rsid w:val="003F20C4"/>
    <w:rsid w:val="003F2441"/>
    <w:rsid w:val="003F3102"/>
    <w:rsid w:val="003F3389"/>
    <w:rsid w:val="003F5FEE"/>
    <w:rsid w:val="003F6A01"/>
    <w:rsid w:val="003F7301"/>
    <w:rsid w:val="00400B35"/>
    <w:rsid w:val="004013E6"/>
    <w:rsid w:val="00402C00"/>
    <w:rsid w:val="00403E2E"/>
    <w:rsid w:val="00405060"/>
    <w:rsid w:val="00405AFB"/>
    <w:rsid w:val="004061BF"/>
    <w:rsid w:val="00410508"/>
    <w:rsid w:val="0041069F"/>
    <w:rsid w:val="00410B60"/>
    <w:rsid w:val="0041399F"/>
    <w:rsid w:val="00415A3B"/>
    <w:rsid w:val="00415EFB"/>
    <w:rsid w:val="00417292"/>
    <w:rsid w:val="004175F4"/>
    <w:rsid w:val="00417BAE"/>
    <w:rsid w:val="00417E2D"/>
    <w:rsid w:val="00420744"/>
    <w:rsid w:val="0042076A"/>
    <w:rsid w:val="00420D1C"/>
    <w:rsid w:val="004215DD"/>
    <w:rsid w:val="00422A48"/>
    <w:rsid w:val="00422A55"/>
    <w:rsid w:val="00425613"/>
    <w:rsid w:val="00425D5F"/>
    <w:rsid w:val="0042608B"/>
    <w:rsid w:val="00427DA2"/>
    <w:rsid w:val="00430B30"/>
    <w:rsid w:val="00430E0A"/>
    <w:rsid w:val="00432E80"/>
    <w:rsid w:val="0043729E"/>
    <w:rsid w:val="00437435"/>
    <w:rsid w:val="00440687"/>
    <w:rsid w:val="00440BC2"/>
    <w:rsid w:val="00442AFD"/>
    <w:rsid w:val="00443CD4"/>
    <w:rsid w:val="004450E5"/>
    <w:rsid w:val="00445627"/>
    <w:rsid w:val="00445F22"/>
    <w:rsid w:val="00450E22"/>
    <w:rsid w:val="0045143D"/>
    <w:rsid w:val="0045145C"/>
    <w:rsid w:val="00451C4D"/>
    <w:rsid w:val="00455747"/>
    <w:rsid w:val="00456080"/>
    <w:rsid w:val="0045765B"/>
    <w:rsid w:val="004578AD"/>
    <w:rsid w:val="00460108"/>
    <w:rsid w:val="00460374"/>
    <w:rsid w:val="00460E52"/>
    <w:rsid w:val="00461732"/>
    <w:rsid w:val="00461C8F"/>
    <w:rsid w:val="00462789"/>
    <w:rsid w:val="00464202"/>
    <w:rsid w:val="00464BE9"/>
    <w:rsid w:val="00470275"/>
    <w:rsid w:val="0047185E"/>
    <w:rsid w:val="00472B85"/>
    <w:rsid w:val="004732FC"/>
    <w:rsid w:val="00477328"/>
    <w:rsid w:val="00477880"/>
    <w:rsid w:val="0048082E"/>
    <w:rsid w:val="00480A0E"/>
    <w:rsid w:val="00480ED3"/>
    <w:rsid w:val="004812E6"/>
    <w:rsid w:val="0048196D"/>
    <w:rsid w:val="00484B74"/>
    <w:rsid w:val="0048523B"/>
    <w:rsid w:val="00485971"/>
    <w:rsid w:val="004861C2"/>
    <w:rsid w:val="00487DED"/>
    <w:rsid w:val="004903C5"/>
    <w:rsid w:val="00490900"/>
    <w:rsid w:val="00491E98"/>
    <w:rsid w:val="0049223C"/>
    <w:rsid w:val="004976A7"/>
    <w:rsid w:val="004977C3"/>
    <w:rsid w:val="004A314F"/>
    <w:rsid w:val="004A346E"/>
    <w:rsid w:val="004A36EC"/>
    <w:rsid w:val="004A67DD"/>
    <w:rsid w:val="004A7530"/>
    <w:rsid w:val="004B02E4"/>
    <w:rsid w:val="004B10AE"/>
    <w:rsid w:val="004B1415"/>
    <w:rsid w:val="004B1CDD"/>
    <w:rsid w:val="004B2317"/>
    <w:rsid w:val="004B2869"/>
    <w:rsid w:val="004B487B"/>
    <w:rsid w:val="004B501A"/>
    <w:rsid w:val="004B5140"/>
    <w:rsid w:val="004B6DE3"/>
    <w:rsid w:val="004B7D31"/>
    <w:rsid w:val="004C022A"/>
    <w:rsid w:val="004C1052"/>
    <w:rsid w:val="004C1F3B"/>
    <w:rsid w:val="004C5804"/>
    <w:rsid w:val="004C6702"/>
    <w:rsid w:val="004C7D9A"/>
    <w:rsid w:val="004D0178"/>
    <w:rsid w:val="004D024D"/>
    <w:rsid w:val="004D06E5"/>
    <w:rsid w:val="004D1BD9"/>
    <w:rsid w:val="004D1D32"/>
    <w:rsid w:val="004D1EDF"/>
    <w:rsid w:val="004D26DD"/>
    <w:rsid w:val="004D2A5E"/>
    <w:rsid w:val="004D5DF0"/>
    <w:rsid w:val="004D6E35"/>
    <w:rsid w:val="004D72AF"/>
    <w:rsid w:val="004E1543"/>
    <w:rsid w:val="004E2287"/>
    <w:rsid w:val="004E2455"/>
    <w:rsid w:val="004E3961"/>
    <w:rsid w:val="004E438A"/>
    <w:rsid w:val="004E4B8F"/>
    <w:rsid w:val="004E5A04"/>
    <w:rsid w:val="004E7437"/>
    <w:rsid w:val="004E776D"/>
    <w:rsid w:val="004E77DC"/>
    <w:rsid w:val="004F0917"/>
    <w:rsid w:val="004F0D45"/>
    <w:rsid w:val="004F1A0B"/>
    <w:rsid w:val="004F2BF1"/>
    <w:rsid w:val="004F5FBA"/>
    <w:rsid w:val="004F615A"/>
    <w:rsid w:val="004F6549"/>
    <w:rsid w:val="00500033"/>
    <w:rsid w:val="00502318"/>
    <w:rsid w:val="005030B1"/>
    <w:rsid w:val="00503373"/>
    <w:rsid w:val="00504071"/>
    <w:rsid w:val="00505651"/>
    <w:rsid w:val="00506352"/>
    <w:rsid w:val="005120CF"/>
    <w:rsid w:val="005123C7"/>
    <w:rsid w:val="00512F4E"/>
    <w:rsid w:val="0051452E"/>
    <w:rsid w:val="00516180"/>
    <w:rsid w:val="005204DB"/>
    <w:rsid w:val="00521929"/>
    <w:rsid w:val="00521EFC"/>
    <w:rsid w:val="005255F0"/>
    <w:rsid w:val="0052655E"/>
    <w:rsid w:val="00527112"/>
    <w:rsid w:val="00527573"/>
    <w:rsid w:val="005279BE"/>
    <w:rsid w:val="005316BC"/>
    <w:rsid w:val="005324FA"/>
    <w:rsid w:val="00533AB8"/>
    <w:rsid w:val="005349B0"/>
    <w:rsid w:val="00535685"/>
    <w:rsid w:val="00535B38"/>
    <w:rsid w:val="00536C0E"/>
    <w:rsid w:val="00540C83"/>
    <w:rsid w:val="005416D2"/>
    <w:rsid w:val="00543250"/>
    <w:rsid w:val="00543DFD"/>
    <w:rsid w:val="00543F2E"/>
    <w:rsid w:val="00544139"/>
    <w:rsid w:val="005446DC"/>
    <w:rsid w:val="00544CBD"/>
    <w:rsid w:val="00544EDB"/>
    <w:rsid w:val="00545616"/>
    <w:rsid w:val="005464AA"/>
    <w:rsid w:val="005464BD"/>
    <w:rsid w:val="00546735"/>
    <w:rsid w:val="005474C8"/>
    <w:rsid w:val="00547C2C"/>
    <w:rsid w:val="005549B8"/>
    <w:rsid w:val="005554D1"/>
    <w:rsid w:val="00556333"/>
    <w:rsid w:val="0055700C"/>
    <w:rsid w:val="005574A0"/>
    <w:rsid w:val="0056212D"/>
    <w:rsid w:val="0056250B"/>
    <w:rsid w:val="005627AB"/>
    <w:rsid w:val="005653A9"/>
    <w:rsid w:val="00565AF2"/>
    <w:rsid w:val="0056758F"/>
    <w:rsid w:val="00567A87"/>
    <w:rsid w:val="00570384"/>
    <w:rsid w:val="0057038E"/>
    <w:rsid w:val="005708E1"/>
    <w:rsid w:val="00570DB5"/>
    <w:rsid w:val="00570F55"/>
    <w:rsid w:val="00573130"/>
    <w:rsid w:val="00576132"/>
    <w:rsid w:val="00576F19"/>
    <w:rsid w:val="00577949"/>
    <w:rsid w:val="0058341F"/>
    <w:rsid w:val="005857A1"/>
    <w:rsid w:val="00585806"/>
    <w:rsid w:val="00585DC8"/>
    <w:rsid w:val="005879B0"/>
    <w:rsid w:val="0059193B"/>
    <w:rsid w:val="0059239C"/>
    <w:rsid w:val="005923CA"/>
    <w:rsid w:val="00592405"/>
    <w:rsid w:val="005938A9"/>
    <w:rsid w:val="005945D8"/>
    <w:rsid w:val="005946FF"/>
    <w:rsid w:val="00595925"/>
    <w:rsid w:val="00595FD0"/>
    <w:rsid w:val="005968A9"/>
    <w:rsid w:val="005A0171"/>
    <w:rsid w:val="005A1844"/>
    <w:rsid w:val="005A2059"/>
    <w:rsid w:val="005A30EA"/>
    <w:rsid w:val="005A3292"/>
    <w:rsid w:val="005B1D36"/>
    <w:rsid w:val="005B30F6"/>
    <w:rsid w:val="005B3C64"/>
    <w:rsid w:val="005B45AD"/>
    <w:rsid w:val="005B47F8"/>
    <w:rsid w:val="005B7BB7"/>
    <w:rsid w:val="005C08EC"/>
    <w:rsid w:val="005C1B70"/>
    <w:rsid w:val="005C5FE1"/>
    <w:rsid w:val="005C683F"/>
    <w:rsid w:val="005C6895"/>
    <w:rsid w:val="005C7E3B"/>
    <w:rsid w:val="005D072B"/>
    <w:rsid w:val="005D0B89"/>
    <w:rsid w:val="005D0CD7"/>
    <w:rsid w:val="005D27FB"/>
    <w:rsid w:val="005D3620"/>
    <w:rsid w:val="005D3B8E"/>
    <w:rsid w:val="005D4BA1"/>
    <w:rsid w:val="005D4BF3"/>
    <w:rsid w:val="005D5805"/>
    <w:rsid w:val="005D6020"/>
    <w:rsid w:val="005D6784"/>
    <w:rsid w:val="005D6A47"/>
    <w:rsid w:val="005D6C7A"/>
    <w:rsid w:val="005E0D01"/>
    <w:rsid w:val="005E432D"/>
    <w:rsid w:val="005E4AE6"/>
    <w:rsid w:val="005E5858"/>
    <w:rsid w:val="005E6520"/>
    <w:rsid w:val="005E68F1"/>
    <w:rsid w:val="005E6ED8"/>
    <w:rsid w:val="005F16C2"/>
    <w:rsid w:val="005F4112"/>
    <w:rsid w:val="005F6F4D"/>
    <w:rsid w:val="005F7584"/>
    <w:rsid w:val="005F7B1E"/>
    <w:rsid w:val="006002E5"/>
    <w:rsid w:val="00600AA9"/>
    <w:rsid w:val="00601526"/>
    <w:rsid w:val="0060314F"/>
    <w:rsid w:val="00603700"/>
    <w:rsid w:val="00603D73"/>
    <w:rsid w:val="0060436D"/>
    <w:rsid w:val="00607FCC"/>
    <w:rsid w:val="0061055B"/>
    <w:rsid w:val="0061105F"/>
    <w:rsid w:val="00611549"/>
    <w:rsid w:val="0061173F"/>
    <w:rsid w:val="00611E89"/>
    <w:rsid w:val="00613853"/>
    <w:rsid w:val="00616929"/>
    <w:rsid w:val="00617B57"/>
    <w:rsid w:val="006201D3"/>
    <w:rsid w:val="006222EA"/>
    <w:rsid w:val="00622643"/>
    <w:rsid w:val="00622B9F"/>
    <w:rsid w:val="00622D2E"/>
    <w:rsid w:val="00624D03"/>
    <w:rsid w:val="00631586"/>
    <w:rsid w:val="00631EE2"/>
    <w:rsid w:val="00633BF3"/>
    <w:rsid w:val="00634DBB"/>
    <w:rsid w:val="0063652F"/>
    <w:rsid w:val="0063667C"/>
    <w:rsid w:val="00636BEA"/>
    <w:rsid w:val="006379C7"/>
    <w:rsid w:val="00637B4F"/>
    <w:rsid w:val="006407CC"/>
    <w:rsid w:val="00640F2B"/>
    <w:rsid w:val="00641F29"/>
    <w:rsid w:val="00644BF9"/>
    <w:rsid w:val="006456CE"/>
    <w:rsid w:val="0064579B"/>
    <w:rsid w:val="00650C1E"/>
    <w:rsid w:val="0065176F"/>
    <w:rsid w:val="00651BDB"/>
    <w:rsid w:val="00652309"/>
    <w:rsid w:val="006527FB"/>
    <w:rsid w:val="006539EC"/>
    <w:rsid w:val="0065539D"/>
    <w:rsid w:val="0065588F"/>
    <w:rsid w:val="00655F79"/>
    <w:rsid w:val="00656011"/>
    <w:rsid w:val="00656F62"/>
    <w:rsid w:val="00657E93"/>
    <w:rsid w:val="00660596"/>
    <w:rsid w:val="0066159F"/>
    <w:rsid w:val="00661B2D"/>
    <w:rsid w:val="0066308D"/>
    <w:rsid w:val="00663A47"/>
    <w:rsid w:val="006641ED"/>
    <w:rsid w:val="0066451A"/>
    <w:rsid w:val="00664ABD"/>
    <w:rsid w:val="00664E65"/>
    <w:rsid w:val="0066779B"/>
    <w:rsid w:val="00671981"/>
    <w:rsid w:val="00673F16"/>
    <w:rsid w:val="00674620"/>
    <w:rsid w:val="00675633"/>
    <w:rsid w:val="00676717"/>
    <w:rsid w:val="00676F60"/>
    <w:rsid w:val="006771A4"/>
    <w:rsid w:val="006810D8"/>
    <w:rsid w:val="0068552D"/>
    <w:rsid w:val="00686786"/>
    <w:rsid w:val="006868A8"/>
    <w:rsid w:val="00686BE4"/>
    <w:rsid w:val="00687740"/>
    <w:rsid w:val="00693901"/>
    <w:rsid w:val="00695DAD"/>
    <w:rsid w:val="006973FA"/>
    <w:rsid w:val="00697FA9"/>
    <w:rsid w:val="006A3385"/>
    <w:rsid w:val="006A4B7A"/>
    <w:rsid w:val="006A56FD"/>
    <w:rsid w:val="006A63F7"/>
    <w:rsid w:val="006A6C29"/>
    <w:rsid w:val="006A710B"/>
    <w:rsid w:val="006A75E9"/>
    <w:rsid w:val="006B06DB"/>
    <w:rsid w:val="006B13CC"/>
    <w:rsid w:val="006B2A4E"/>
    <w:rsid w:val="006B2FFC"/>
    <w:rsid w:val="006B34BA"/>
    <w:rsid w:val="006B4C99"/>
    <w:rsid w:val="006B504D"/>
    <w:rsid w:val="006B62F2"/>
    <w:rsid w:val="006B6480"/>
    <w:rsid w:val="006B6D3A"/>
    <w:rsid w:val="006B7185"/>
    <w:rsid w:val="006C30D4"/>
    <w:rsid w:val="006C4D52"/>
    <w:rsid w:val="006C515E"/>
    <w:rsid w:val="006C590B"/>
    <w:rsid w:val="006C593A"/>
    <w:rsid w:val="006C5A79"/>
    <w:rsid w:val="006C6896"/>
    <w:rsid w:val="006C6EF0"/>
    <w:rsid w:val="006C74EF"/>
    <w:rsid w:val="006D0BDC"/>
    <w:rsid w:val="006D0D32"/>
    <w:rsid w:val="006D2E42"/>
    <w:rsid w:val="006D4205"/>
    <w:rsid w:val="006D4298"/>
    <w:rsid w:val="006D507F"/>
    <w:rsid w:val="006D59B8"/>
    <w:rsid w:val="006D5BDC"/>
    <w:rsid w:val="006E01D9"/>
    <w:rsid w:val="006E2336"/>
    <w:rsid w:val="006E3546"/>
    <w:rsid w:val="006E62D7"/>
    <w:rsid w:val="006E6852"/>
    <w:rsid w:val="006E7E67"/>
    <w:rsid w:val="006F11A4"/>
    <w:rsid w:val="006F1BFA"/>
    <w:rsid w:val="006F2373"/>
    <w:rsid w:val="006F29F6"/>
    <w:rsid w:val="006F384A"/>
    <w:rsid w:val="006F4023"/>
    <w:rsid w:val="006F4A87"/>
    <w:rsid w:val="006F51A4"/>
    <w:rsid w:val="00700EEF"/>
    <w:rsid w:val="0070251A"/>
    <w:rsid w:val="00704826"/>
    <w:rsid w:val="00704C4A"/>
    <w:rsid w:val="00705E67"/>
    <w:rsid w:val="00706ACC"/>
    <w:rsid w:val="00710E60"/>
    <w:rsid w:val="007110A2"/>
    <w:rsid w:val="007112BE"/>
    <w:rsid w:val="0071428F"/>
    <w:rsid w:val="007147CF"/>
    <w:rsid w:val="00716853"/>
    <w:rsid w:val="00716D2C"/>
    <w:rsid w:val="00717BC5"/>
    <w:rsid w:val="00717F30"/>
    <w:rsid w:val="00720992"/>
    <w:rsid w:val="0072164C"/>
    <w:rsid w:val="00721FF8"/>
    <w:rsid w:val="00722823"/>
    <w:rsid w:val="00722BAD"/>
    <w:rsid w:val="00723B1A"/>
    <w:rsid w:val="00726562"/>
    <w:rsid w:val="007279CD"/>
    <w:rsid w:val="00731509"/>
    <w:rsid w:val="00731E72"/>
    <w:rsid w:val="00732637"/>
    <w:rsid w:val="007334B2"/>
    <w:rsid w:val="007334C8"/>
    <w:rsid w:val="00733560"/>
    <w:rsid w:val="007345E7"/>
    <w:rsid w:val="0073470C"/>
    <w:rsid w:val="00735239"/>
    <w:rsid w:val="007367AC"/>
    <w:rsid w:val="00737102"/>
    <w:rsid w:val="0073739C"/>
    <w:rsid w:val="00737EDA"/>
    <w:rsid w:val="00740984"/>
    <w:rsid w:val="00741BF7"/>
    <w:rsid w:val="00741FEC"/>
    <w:rsid w:val="00742A49"/>
    <w:rsid w:val="00742F78"/>
    <w:rsid w:val="007444FF"/>
    <w:rsid w:val="00744A66"/>
    <w:rsid w:val="00744D22"/>
    <w:rsid w:val="00746018"/>
    <w:rsid w:val="00750AE3"/>
    <w:rsid w:val="00750CCE"/>
    <w:rsid w:val="00750DB0"/>
    <w:rsid w:val="00752275"/>
    <w:rsid w:val="0075239A"/>
    <w:rsid w:val="00752FEF"/>
    <w:rsid w:val="00754145"/>
    <w:rsid w:val="00754C2D"/>
    <w:rsid w:val="0075556E"/>
    <w:rsid w:val="00755F63"/>
    <w:rsid w:val="00756BC7"/>
    <w:rsid w:val="00756CAC"/>
    <w:rsid w:val="007612BA"/>
    <w:rsid w:val="007626E6"/>
    <w:rsid w:val="007647B2"/>
    <w:rsid w:val="007658FD"/>
    <w:rsid w:val="00765DD3"/>
    <w:rsid w:val="007662FB"/>
    <w:rsid w:val="00770258"/>
    <w:rsid w:val="00771191"/>
    <w:rsid w:val="007712B0"/>
    <w:rsid w:val="0077175D"/>
    <w:rsid w:val="007719B7"/>
    <w:rsid w:val="00771FE6"/>
    <w:rsid w:val="007720A9"/>
    <w:rsid w:val="00774D1B"/>
    <w:rsid w:val="0077540E"/>
    <w:rsid w:val="007760E2"/>
    <w:rsid w:val="00780AEB"/>
    <w:rsid w:val="007817D9"/>
    <w:rsid w:val="00782789"/>
    <w:rsid w:val="00783616"/>
    <w:rsid w:val="007843D0"/>
    <w:rsid w:val="00784B45"/>
    <w:rsid w:val="0078549A"/>
    <w:rsid w:val="007865FF"/>
    <w:rsid w:val="007875CA"/>
    <w:rsid w:val="007918BA"/>
    <w:rsid w:val="007931D0"/>
    <w:rsid w:val="007947E7"/>
    <w:rsid w:val="0079504C"/>
    <w:rsid w:val="007965C4"/>
    <w:rsid w:val="007969E0"/>
    <w:rsid w:val="007A071E"/>
    <w:rsid w:val="007A1751"/>
    <w:rsid w:val="007A31D7"/>
    <w:rsid w:val="007B07E9"/>
    <w:rsid w:val="007B0DFC"/>
    <w:rsid w:val="007B2171"/>
    <w:rsid w:val="007B282F"/>
    <w:rsid w:val="007B2CE5"/>
    <w:rsid w:val="007B43A6"/>
    <w:rsid w:val="007B5957"/>
    <w:rsid w:val="007B64B0"/>
    <w:rsid w:val="007B7B17"/>
    <w:rsid w:val="007C169C"/>
    <w:rsid w:val="007C186F"/>
    <w:rsid w:val="007C23B8"/>
    <w:rsid w:val="007C2453"/>
    <w:rsid w:val="007C2EFB"/>
    <w:rsid w:val="007C4046"/>
    <w:rsid w:val="007C4282"/>
    <w:rsid w:val="007C43B0"/>
    <w:rsid w:val="007C5259"/>
    <w:rsid w:val="007C60C6"/>
    <w:rsid w:val="007C7B58"/>
    <w:rsid w:val="007D0DEF"/>
    <w:rsid w:val="007D1424"/>
    <w:rsid w:val="007D382C"/>
    <w:rsid w:val="007D3A77"/>
    <w:rsid w:val="007D46D9"/>
    <w:rsid w:val="007E01DE"/>
    <w:rsid w:val="007E18D5"/>
    <w:rsid w:val="007E2992"/>
    <w:rsid w:val="007E2A04"/>
    <w:rsid w:val="007E4123"/>
    <w:rsid w:val="007E4210"/>
    <w:rsid w:val="007E49C4"/>
    <w:rsid w:val="007E5A0D"/>
    <w:rsid w:val="007E5C76"/>
    <w:rsid w:val="007F0648"/>
    <w:rsid w:val="007F0748"/>
    <w:rsid w:val="007F0BF6"/>
    <w:rsid w:val="007F0C6B"/>
    <w:rsid w:val="007F11A7"/>
    <w:rsid w:val="007F5855"/>
    <w:rsid w:val="007F5B8F"/>
    <w:rsid w:val="007F6C8A"/>
    <w:rsid w:val="00801FC8"/>
    <w:rsid w:val="00802646"/>
    <w:rsid w:val="00805529"/>
    <w:rsid w:val="008059EA"/>
    <w:rsid w:val="00805B78"/>
    <w:rsid w:val="008071D5"/>
    <w:rsid w:val="008079BD"/>
    <w:rsid w:val="00810726"/>
    <w:rsid w:val="0081743A"/>
    <w:rsid w:val="00820954"/>
    <w:rsid w:val="00820B62"/>
    <w:rsid w:val="00821927"/>
    <w:rsid w:val="00822406"/>
    <w:rsid w:val="00824785"/>
    <w:rsid w:val="00824D92"/>
    <w:rsid w:val="0082630C"/>
    <w:rsid w:val="008263F2"/>
    <w:rsid w:val="00826893"/>
    <w:rsid w:val="00827816"/>
    <w:rsid w:val="008301E7"/>
    <w:rsid w:val="00831076"/>
    <w:rsid w:val="0083172F"/>
    <w:rsid w:val="00833CF0"/>
    <w:rsid w:val="00834E6B"/>
    <w:rsid w:val="00835551"/>
    <w:rsid w:val="008355D2"/>
    <w:rsid w:val="008362C4"/>
    <w:rsid w:val="008370E0"/>
    <w:rsid w:val="0084026C"/>
    <w:rsid w:val="00840611"/>
    <w:rsid w:val="00840B77"/>
    <w:rsid w:val="008419FD"/>
    <w:rsid w:val="00841F6A"/>
    <w:rsid w:val="008421F3"/>
    <w:rsid w:val="00842245"/>
    <w:rsid w:val="0084341D"/>
    <w:rsid w:val="00844977"/>
    <w:rsid w:val="00845317"/>
    <w:rsid w:val="00847A56"/>
    <w:rsid w:val="00850BA0"/>
    <w:rsid w:val="0085480C"/>
    <w:rsid w:val="00854822"/>
    <w:rsid w:val="00854F81"/>
    <w:rsid w:val="0085562A"/>
    <w:rsid w:val="0085606F"/>
    <w:rsid w:val="00856FE7"/>
    <w:rsid w:val="00857A55"/>
    <w:rsid w:val="00857C5E"/>
    <w:rsid w:val="0086015C"/>
    <w:rsid w:val="008636D6"/>
    <w:rsid w:val="00863B98"/>
    <w:rsid w:val="0086636E"/>
    <w:rsid w:val="00871E36"/>
    <w:rsid w:val="008732F5"/>
    <w:rsid w:val="008733E8"/>
    <w:rsid w:val="00873FF2"/>
    <w:rsid w:val="00876FDD"/>
    <w:rsid w:val="008770B1"/>
    <w:rsid w:val="008776DC"/>
    <w:rsid w:val="00877791"/>
    <w:rsid w:val="00880767"/>
    <w:rsid w:val="00880CDB"/>
    <w:rsid w:val="00881792"/>
    <w:rsid w:val="00882319"/>
    <w:rsid w:val="0088373E"/>
    <w:rsid w:val="00885EE0"/>
    <w:rsid w:val="00886240"/>
    <w:rsid w:val="00886C88"/>
    <w:rsid w:val="00887730"/>
    <w:rsid w:val="00890522"/>
    <w:rsid w:val="00890B17"/>
    <w:rsid w:val="00892684"/>
    <w:rsid w:val="00894139"/>
    <w:rsid w:val="00894254"/>
    <w:rsid w:val="0089442E"/>
    <w:rsid w:val="008947F8"/>
    <w:rsid w:val="00894A31"/>
    <w:rsid w:val="00895929"/>
    <w:rsid w:val="008A4815"/>
    <w:rsid w:val="008A5A83"/>
    <w:rsid w:val="008A634D"/>
    <w:rsid w:val="008A70AA"/>
    <w:rsid w:val="008A7864"/>
    <w:rsid w:val="008B0BDE"/>
    <w:rsid w:val="008B11B8"/>
    <w:rsid w:val="008B17FB"/>
    <w:rsid w:val="008B209C"/>
    <w:rsid w:val="008B2230"/>
    <w:rsid w:val="008B3561"/>
    <w:rsid w:val="008B42E1"/>
    <w:rsid w:val="008B4307"/>
    <w:rsid w:val="008B4372"/>
    <w:rsid w:val="008B45C4"/>
    <w:rsid w:val="008B7641"/>
    <w:rsid w:val="008C05BD"/>
    <w:rsid w:val="008C2CD8"/>
    <w:rsid w:val="008C3312"/>
    <w:rsid w:val="008C42B4"/>
    <w:rsid w:val="008C485C"/>
    <w:rsid w:val="008C6284"/>
    <w:rsid w:val="008C7664"/>
    <w:rsid w:val="008C7E4F"/>
    <w:rsid w:val="008D03C9"/>
    <w:rsid w:val="008D089A"/>
    <w:rsid w:val="008D0C04"/>
    <w:rsid w:val="008D1D78"/>
    <w:rsid w:val="008D2969"/>
    <w:rsid w:val="008D3BF2"/>
    <w:rsid w:val="008D3EE8"/>
    <w:rsid w:val="008D4009"/>
    <w:rsid w:val="008D49EA"/>
    <w:rsid w:val="008D7410"/>
    <w:rsid w:val="008D7CC1"/>
    <w:rsid w:val="008E077F"/>
    <w:rsid w:val="008E078E"/>
    <w:rsid w:val="008E0796"/>
    <w:rsid w:val="008E0A63"/>
    <w:rsid w:val="008E0F6D"/>
    <w:rsid w:val="008E2B17"/>
    <w:rsid w:val="008E3619"/>
    <w:rsid w:val="008E4889"/>
    <w:rsid w:val="008E4AAA"/>
    <w:rsid w:val="008E64F0"/>
    <w:rsid w:val="008E6CCA"/>
    <w:rsid w:val="008F0C4F"/>
    <w:rsid w:val="008F0DA9"/>
    <w:rsid w:val="008F2081"/>
    <w:rsid w:val="008F4BA7"/>
    <w:rsid w:val="008F4C57"/>
    <w:rsid w:val="008F6651"/>
    <w:rsid w:val="008F76D7"/>
    <w:rsid w:val="008F7B36"/>
    <w:rsid w:val="00901C66"/>
    <w:rsid w:val="00901F99"/>
    <w:rsid w:val="00902204"/>
    <w:rsid w:val="009030DE"/>
    <w:rsid w:val="009034BB"/>
    <w:rsid w:val="00904503"/>
    <w:rsid w:val="0090543A"/>
    <w:rsid w:val="00906948"/>
    <w:rsid w:val="009110DC"/>
    <w:rsid w:val="0091113E"/>
    <w:rsid w:val="0091119B"/>
    <w:rsid w:val="00912887"/>
    <w:rsid w:val="009137D2"/>
    <w:rsid w:val="009140CE"/>
    <w:rsid w:val="0091558A"/>
    <w:rsid w:val="0091637B"/>
    <w:rsid w:val="00917149"/>
    <w:rsid w:val="00917177"/>
    <w:rsid w:val="00917213"/>
    <w:rsid w:val="00917480"/>
    <w:rsid w:val="009176A4"/>
    <w:rsid w:val="009179D6"/>
    <w:rsid w:val="00917B01"/>
    <w:rsid w:val="00921DB5"/>
    <w:rsid w:val="0092263E"/>
    <w:rsid w:val="00922CFF"/>
    <w:rsid w:val="009230A8"/>
    <w:rsid w:val="009231F6"/>
    <w:rsid w:val="00925084"/>
    <w:rsid w:val="009252FD"/>
    <w:rsid w:val="009262A2"/>
    <w:rsid w:val="00931015"/>
    <w:rsid w:val="00932E6E"/>
    <w:rsid w:val="00933102"/>
    <w:rsid w:val="00933228"/>
    <w:rsid w:val="00935F91"/>
    <w:rsid w:val="0093791E"/>
    <w:rsid w:val="00942753"/>
    <w:rsid w:val="00942C23"/>
    <w:rsid w:val="0094334C"/>
    <w:rsid w:val="00944FA1"/>
    <w:rsid w:val="009451C8"/>
    <w:rsid w:val="0094674B"/>
    <w:rsid w:val="009476D3"/>
    <w:rsid w:val="009535DB"/>
    <w:rsid w:val="00954ED5"/>
    <w:rsid w:val="00957A10"/>
    <w:rsid w:val="00960298"/>
    <w:rsid w:val="009610A5"/>
    <w:rsid w:val="009617EB"/>
    <w:rsid w:val="0096262A"/>
    <w:rsid w:val="00963690"/>
    <w:rsid w:val="0096393B"/>
    <w:rsid w:val="00963EF1"/>
    <w:rsid w:val="009647CF"/>
    <w:rsid w:val="00965737"/>
    <w:rsid w:val="00965F28"/>
    <w:rsid w:val="00967036"/>
    <w:rsid w:val="00967A2D"/>
    <w:rsid w:val="00970F53"/>
    <w:rsid w:val="00971B44"/>
    <w:rsid w:val="0097433B"/>
    <w:rsid w:val="00974A39"/>
    <w:rsid w:val="00975EFE"/>
    <w:rsid w:val="009766B6"/>
    <w:rsid w:val="00980E44"/>
    <w:rsid w:val="009833DF"/>
    <w:rsid w:val="0098392A"/>
    <w:rsid w:val="009929D4"/>
    <w:rsid w:val="009934E2"/>
    <w:rsid w:val="00995C86"/>
    <w:rsid w:val="00996312"/>
    <w:rsid w:val="009979A7"/>
    <w:rsid w:val="009A02AC"/>
    <w:rsid w:val="009A180C"/>
    <w:rsid w:val="009A1C8E"/>
    <w:rsid w:val="009A1EF5"/>
    <w:rsid w:val="009A1EFD"/>
    <w:rsid w:val="009A2813"/>
    <w:rsid w:val="009A2FEC"/>
    <w:rsid w:val="009A33B9"/>
    <w:rsid w:val="009A38FD"/>
    <w:rsid w:val="009A71AA"/>
    <w:rsid w:val="009B064C"/>
    <w:rsid w:val="009B0FB7"/>
    <w:rsid w:val="009B1452"/>
    <w:rsid w:val="009B1CB9"/>
    <w:rsid w:val="009B6667"/>
    <w:rsid w:val="009C0115"/>
    <w:rsid w:val="009C15C9"/>
    <w:rsid w:val="009C22B9"/>
    <w:rsid w:val="009C273E"/>
    <w:rsid w:val="009C41C0"/>
    <w:rsid w:val="009D186B"/>
    <w:rsid w:val="009D3A9F"/>
    <w:rsid w:val="009D44C9"/>
    <w:rsid w:val="009D49A2"/>
    <w:rsid w:val="009D58D3"/>
    <w:rsid w:val="009D6622"/>
    <w:rsid w:val="009D7644"/>
    <w:rsid w:val="009D7985"/>
    <w:rsid w:val="009E15E1"/>
    <w:rsid w:val="009E3F82"/>
    <w:rsid w:val="009E7333"/>
    <w:rsid w:val="009E7AB9"/>
    <w:rsid w:val="009F29D4"/>
    <w:rsid w:val="009F3514"/>
    <w:rsid w:val="009F3A00"/>
    <w:rsid w:val="009F4969"/>
    <w:rsid w:val="009F65C0"/>
    <w:rsid w:val="009F7502"/>
    <w:rsid w:val="009F7619"/>
    <w:rsid w:val="009F7990"/>
    <w:rsid w:val="009F7A41"/>
    <w:rsid w:val="00A00BEE"/>
    <w:rsid w:val="00A029EC"/>
    <w:rsid w:val="00A02E12"/>
    <w:rsid w:val="00A03F6A"/>
    <w:rsid w:val="00A03FED"/>
    <w:rsid w:val="00A04983"/>
    <w:rsid w:val="00A05C5E"/>
    <w:rsid w:val="00A060B4"/>
    <w:rsid w:val="00A0753F"/>
    <w:rsid w:val="00A078E1"/>
    <w:rsid w:val="00A10FFD"/>
    <w:rsid w:val="00A11347"/>
    <w:rsid w:val="00A11818"/>
    <w:rsid w:val="00A15D09"/>
    <w:rsid w:val="00A220CE"/>
    <w:rsid w:val="00A264C6"/>
    <w:rsid w:val="00A30DE3"/>
    <w:rsid w:val="00A31786"/>
    <w:rsid w:val="00A31DAA"/>
    <w:rsid w:val="00A320B8"/>
    <w:rsid w:val="00A32408"/>
    <w:rsid w:val="00A351D4"/>
    <w:rsid w:val="00A35DA3"/>
    <w:rsid w:val="00A36552"/>
    <w:rsid w:val="00A36AAD"/>
    <w:rsid w:val="00A40121"/>
    <w:rsid w:val="00A41204"/>
    <w:rsid w:val="00A41DEF"/>
    <w:rsid w:val="00A4253C"/>
    <w:rsid w:val="00A44734"/>
    <w:rsid w:val="00A46476"/>
    <w:rsid w:val="00A4723F"/>
    <w:rsid w:val="00A477B3"/>
    <w:rsid w:val="00A47AB3"/>
    <w:rsid w:val="00A47DA0"/>
    <w:rsid w:val="00A500BA"/>
    <w:rsid w:val="00A51559"/>
    <w:rsid w:val="00A55AAA"/>
    <w:rsid w:val="00A56C83"/>
    <w:rsid w:val="00A57933"/>
    <w:rsid w:val="00A60427"/>
    <w:rsid w:val="00A620D3"/>
    <w:rsid w:val="00A631E0"/>
    <w:rsid w:val="00A63C00"/>
    <w:rsid w:val="00A6472E"/>
    <w:rsid w:val="00A6486B"/>
    <w:rsid w:val="00A64947"/>
    <w:rsid w:val="00A6634C"/>
    <w:rsid w:val="00A66451"/>
    <w:rsid w:val="00A66460"/>
    <w:rsid w:val="00A67821"/>
    <w:rsid w:val="00A71AF4"/>
    <w:rsid w:val="00A72AC2"/>
    <w:rsid w:val="00A72AC5"/>
    <w:rsid w:val="00A72B5C"/>
    <w:rsid w:val="00A730BB"/>
    <w:rsid w:val="00A73BA9"/>
    <w:rsid w:val="00A75798"/>
    <w:rsid w:val="00A76791"/>
    <w:rsid w:val="00A76849"/>
    <w:rsid w:val="00A77684"/>
    <w:rsid w:val="00A7768C"/>
    <w:rsid w:val="00A77BFF"/>
    <w:rsid w:val="00A81C50"/>
    <w:rsid w:val="00A82896"/>
    <w:rsid w:val="00A85038"/>
    <w:rsid w:val="00A85479"/>
    <w:rsid w:val="00A85889"/>
    <w:rsid w:val="00A864E6"/>
    <w:rsid w:val="00A866D7"/>
    <w:rsid w:val="00A86746"/>
    <w:rsid w:val="00A86B87"/>
    <w:rsid w:val="00A86DC1"/>
    <w:rsid w:val="00A86EF7"/>
    <w:rsid w:val="00A9001C"/>
    <w:rsid w:val="00A91D88"/>
    <w:rsid w:val="00A91E5A"/>
    <w:rsid w:val="00A92023"/>
    <w:rsid w:val="00A92354"/>
    <w:rsid w:val="00A9253F"/>
    <w:rsid w:val="00A92B08"/>
    <w:rsid w:val="00A93499"/>
    <w:rsid w:val="00A93ABC"/>
    <w:rsid w:val="00A9402E"/>
    <w:rsid w:val="00A9494A"/>
    <w:rsid w:val="00A95179"/>
    <w:rsid w:val="00A95958"/>
    <w:rsid w:val="00AA0145"/>
    <w:rsid w:val="00AA053F"/>
    <w:rsid w:val="00AA0FC4"/>
    <w:rsid w:val="00AA131E"/>
    <w:rsid w:val="00AA1FB6"/>
    <w:rsid w:val="00AA3CAD"/>
    <w:rsid w:val="00AA6764"/>
    <w:rsid w:val="00AA737C"/>
    <w:rsid w:val="00AA75CA"/>
    <w:rsid w:val="00AA792F"/>
    <w:rsid w:val="00AA79D8"/>
    <w:rsid w:val="00AB01E5"/>
    <w:rsid w:val="00AB075E"/>
    <w:rsid w:val="00AB1658"/>
    <w:rsid w:val="00AB1B35"/>
    <w:rsid w:val="00AB2E3D"/>
    <w:rsid w:val="00AB4409"/>
    <w:rsid w:val="00AB5C06"/>
    <w:rsid w:val="00AB6A46"/>
    <w:rsid w:val="00AC1F08"/>
    <w:rsid w:val="00AC4F8A"/>
    <w:rsid w:val="00AC66F9"/>
    <w:rsid w:val="00AC6EA4"/>
    <w:rsid w:val="00AD40C4"/>
    <w:rsid w:val="00AD4D69"/>
    <w:rsid w:val="00AD5AF4"/>
    <w:rsid w:val="00AD7DA9"/>
    <w:rsid w:val="00AE03E0"/>
    <w:rsid w:val="00AE2044"/>
    <w:rsid w:val="00AE3B92"/>
    <w:rsid w:val="00AE498D"/>
    <w:rsid w:val="00AE550C"/>
    <w:rsid w:val="00AE664A"/>
    <w:rsid w:val="00AE73B8"/>
    <w:rsid w:val="00AF0515"/>
    <w:rsid w:val="00AF078A"/>
    <w:rsid w:val="00AF1834"/>
    <w:rsid w:val="00AF1F06"/>
    <w:rsid w:val="00AF2F6C"/>
    <w:rsid w:val="00AF3D1C"/>
    <w:rsid w:val="00AF3F4F"/>
    <w:rsid w:val="00AF45B0"/>
    <w:rsid w:val="00AF4AE0"/>
    <w:rsid w:val="00B00785"/>
    <w:rsid w:val="00B029C7"/>
    <w:rsid w:val="00B02A5D"/>
    <w:rsid w:val="00B03244"/>
    <w:rsid w:val="00B03C40"/>
    <w:rsid w:val="00B04114"/>
    <w:rsid w:val="00B04746"/>
    <w:rsid w:val="00B13013"/>
    <w:rsid w:val="00B13218"/>
    <w:rsid w:val="00B13F18"/>
    <w:rsid w:val="00B16A34"/>
    <w:rsid w:val="00B16D08"/>
    <w:rsid w:val="00B17CFA"/>
    <w:rsid w:val="00B210F0"/>
    <w:rsid w:val="00B217B4"/>
    <w:rsid w:val="00B224F9"/>
    <w:rsid w:val="00B22610"/>
    <w:rsid w:val="00B24666"/>
    <w:rsid w:val="00B2560F"/>
    <w:rsid w:val="00B2570C"/>
    <w:rsid w:val="00B26B88"/>
    <w:rsid w:val="00B26CAE"/>
    <w:rsid w:val="00B27F33"/>
    <w:rsid w:val="00B30815"/>
    <w:rsid w:val="00B30A98"/>
    <w:rsid w:val="00B314CC"/>
    <w:rsid w:val="00B320E2"/>
    <w:rsid w:val="00B33E91"/>
    <w:rsid w:val="00B3411F"/>
    <w:rsid w:val="00B34BE4"/>
    <w:rsid w:val="00B35BD1"/>
    <w:rsid w:val="00B37C98"/>
    <w:rsid w:val="00B40093"/>
    <w:rsid w:val="00B43CCA"/>
    <w:rsid w:val="00B4430A"/>
    <w:rsid w:val="00B44597"/>
    <w:rsid w:val="00B45B3F"/>
    <w:rsid w:val="00B465AB"/>
    <w:rsid w:val="00B520DB"/>
    <w:rsid w:val="00B52E86"/>
    <w:rsid w:val="00B54DEB"/>
    <w:rsid w:val="00B608D2"/>
    <w:rsid w:val="00B62A21"/>
    <w:rsid w:val="00B6332E"/>
    <w:rsid w:val="00B64660"/>
    <w:rsid w:val="00B64FBF"/>
    <w:rsid w:val="00B65167"/>
    <w:rsid w:val="00B67031"/>
    <w:rsid w:val="00B674EA"/>
    <w:rsid w:val="00B70C12"/>
    <w:rsid w:val="00B7185B"/>
    <w:rsid w:val="00B71B05"/>
    <w:rsid w:val="00B73209"/>
    <w:rsid w:val="00B73ACE"/>
    <w:rsid w:val="00B74273"/>
    <w:rsid w:val="00B76FD7"/>
    <w:rsid w:val="00B771ED"/>
    <w:rsid w:val="00B77D25"/>
    <w:rsid w:val="00B802D7"/>
    <w:rsid w:val="00B823DB"/>
    <w:rsid w:val="00B828BF"/>
    <w:rsid w:val="00B82BB6"/>
    <w:rsid w:val="00B82F22"/>
    <w:rsid w:val="00B83AD9"/>
    <w:rsid w:val="00B8432A"/>
    <w:rsid w:val="00B85CA8"/>
    <w:rsid w:val="00B865E0"/>
    <w:rsid w:val="00B876D7"/>
    <w:rsid w:val="00B90BC9"/>
    <w:rsid w:val="00B91CC2"/>
    <w:rsid w:val="00B93137"/>
    <w:rsid w:val="00B944FB"/>
    <w:rsid w:val="00B946F3"/>
    <w:rsid w:val="00B955EC"/>
    <w:rsid w:val="00B961E8"/>
    <w:rsid w:val="00BA0582"/>
    <w:rsid w:val="00BA0657"/>
    <w:rsid w:val="00BA0BF9"/>
    <w:rsid w:val="00BA151F"/>
    <w:rsid w:val="00BA3E5A"/>
    <w:rsid w:val="00BA3E89"/>
    <w:rsid w:val="00BA46F0"/>
    <w:rsid w:val="00BA59CB"/>
    <w:rsid w:val="00BA5F8A"/>
    <w:rsid w:val="00BA707B"/>
    <w:rsid w:val="00BA7377"/>
    <w:rsid w:val="00BA7DC5"/>
    <w:rsid w:val="00BB0700"/>
    <w:rsid w:val="00BB0A27"/>
    <w:rsid w:val="00BB2648"/>
    <w:rsid w:val="00BB4988"/>
    <w:rsid w:val="00BB7C56"/>
    <w:rsid w:val="00BB7CEE"/>
    <w:rsid w:val="00BC0D0E"/>
    <w:rsid w:val="00BC1129"/>
    <w:rsid w:val="00BC1C64"/>
    <w:rsid w:val="00BC21A6"/>
    <w:rsid w:val="00BC36B3"/>
    <w:rsid w:val="00BC3AC2"/>
    <w:rsid w:val="00BC43C0"/>
    <w:rsid w:val="00BC5A44"/>
    <w:rsid w:val="00BC6570"/>
    <w:rsid w:val="00BD070E"/>
    <w:rsid w:val="00BD0C10"/>
    <w:rsid w:val="00BD14CA"/>
    <w:rsid w:val="00BD34DB"/>
    <w:rsid w:val="00BD3AE3"/>
    <w:rsid w:val="00BD4436"/>
    <w:rsid w:val="00BD4955"/>
    <w:rsid w:val="00BD49B3"/>
    <w:rsid w:val="00BD5DB4"/>
    <w:rsid w:val="00BD6CAD"/>
    <w:rsid w:val="00BD7715"/>
    <w:rsid w:val="00BD7A87"/>
    <w:rsid w:val="00BE0EAC"/>
    <w:rsid w:val="00BE1EE8"/>
    <w:rsid w:val="00BE2DE5"/>
    <w:rsid w:val="00BE4DFE"/>
    <w:rsid w:val="00BE575E"/>
    <w:rsid w:val="00BE65B7"/>
    <w:rsid w:val="00BE6757"/>
    <w:rsid w:val="00BE76F2"/>
    <w:rsid w:val="00BF0EE6"/>
    <w:rsid w:val="00BF309E"/>
    <w:rsid w:val="00BF45B7"/>
    <w:rsid w:val="00BF47B4"/>
    <w:rsid w:val="00BF4B18"/>
    <w:rsid w:val="00BF5F84"/>
    <w:rsid w:val="00BF7CAB"/>
    <w:rsid w:val="00C0105B"/>
    <w:rsid w:val="00C01FBE"/>
    <w:rsid w:val="00C02C71"/>
    <w:rsid w:val="00C06101"/>
    <w:rsid w:val="00C073F7"/>
    <w:rsid w:val="00C10E93"/>
    <w:rsid w:val="00C120C7"/>
    <w:rsid w:val="00C12D57"/>
    <w:rsid w:val="00C15432"/>
    <w:rsid w:val="00C16295"/>
    <w:rsid w:val="00C200A6"/>
    <w:rsid w:val="00C20DA0"/>
    <w:rsid w:val="00C21A3B"/>
    <w:rsid w:val="00C21BED"/>
    <w:rsid w:val="00C237E3"/>
    <w:rsid w:val="00C238D6"/>
    <w:rsid w:val="00C241F6"/>
    <w:rsid w:val="00C24427"/>
    <w:rsid w:val="00C248D8"/>
    <w:rsid w:val="00C251F3"/>
    <w:rsid w:val="00C266F3"/>
    <w:rsid w:val="00C2671F"/>
    <w:rsid w:val="00C27B1F"/>
    <w:rsid w:val="00C3075C"/>
    <w:rsid w:val="00C32346"/>
    <w:rsid w:val="00C325B6"/>
    <w:rsid w:val="00C33E96"/>
    <w:rsid w:val="00C33F02"/>
    <w:rsid w:val="00C34623"/>
    <w:rsid w:val="00C34B63"/>
    <w:rsid w:val="00C34D9C"/>
    <w:rsid w:val="00C352EB"/>
    <w:rsid w:val="00C3697F"/>
    <w:rsid w:val="00C37C70"/>
    <w:rsid w:val="00C408B5"/>
    <w:rsid w:val="00C40AB2"/>
    <w:rsid w:val="00C413C7"/>
    <w:rsid w:val="00C420C7"/>
    <w:rsid w:val="00C44D50"/>
    <w:rsid w:val="00C44DD4"/>
    <w:rsid w:val="00C45173"/>
    <w:rsid w:val="00C4544A"/>
    <w:rsid w:val="00C5279B"/>
    <w:rsid w:val="00C53A08"/>
    <w:rsid w:val="00C53E68"/>
    <w:rsid w:val="00C54200"/>
    <w:rsid w:val="00C6163D"/>
    <w:rsid w:val="00C631AC"/>
    <w:rsid w:val="00C6567C"/>
    <w:rsid w:val="00C6656E"/>
    <w:rsid w:val="00C666DB"/>
    <w:rsid w:val="00C67050"/>
    <w:rsid w:val="00C70674"/>
    <w:rsid w:val="00C72C22"/>
    <w:rsid w:val="00C72FF4"/>
    <w:rsid w:val="00C737CA"/>
    <w:rsid w:val="00C7667D"/>
    <w:rsid w:val="00C77A2E"/>
    <w:rsid w:val="00C80385"/>
    <w:rsid w:val="00C80E9D"/>
    <w:rsid w:val="00C81C7F"/>
    <w:rsid w:val="00C82D52"/>
    <w:rsid w:val="00C83158"/>
    <w:rsid w:val="00C8370E"/>
    <w:rsid w:val="00C83DFC"/>
    <w:rsid w:val="00C84CED"/>
    <w:rsid w:val="00C85670"/>
    <w:rsid w:val="00C8734E"/>
    <w:rsid w:val="00C87683"/>
    <w:rsid w:val="00C9242A"/>
    <w:rsid w:val="00C9254C"/>
    <w:rsid w:val="00C92592"/>
    <w:rsid w:val="00C93E6E"/>
    <w:rsid w:val="00C94309"/>
    <w:rsid w:val="00C94DFA"/>
    <w:rsid w:val="00C9668D"/>
    <w:rsid w:val="00C970D7"/>
    <w:rsid w:val="00C975CF"/>
    <w:rsid w:val="00CA1D75"/>
    <w:rsid w:val="00CA22E2"/>
    <w:rsid w:val="00CA63DC"/>
    <w:rsid w:val="00CA64BF"/>
    <w:rsid w:val="00CA7918"/>
    <w:rsid w:val="00CA7E68"/>
    <w:rsid w:val="00CA7E96"/>
    <w:rsid w:val="00CB0E99"/>
    <w:rsid w:val="00CB0F75"/>
    <w:rsid w:val="00CB3FFE"/>
    <w:rsid w:val="00CB50A8"/>
    <w:rsid w:val="00CB5ECE"/>
    <w:rsid w:val="00CB6A6E"/>
    <w:rsid w:val="00CB7ED6"/>
    <w:rsid w:val="00CC04AE"/>
    <w:rsid w:val="00CC496B"/>
    <w:rsid w:val="00CC63C4"/>
    <w:rsid w:val="00CC6CD8"/>
    <w:rsid w:val="00CC7923"/>
    <w:rsid w:val="00CC7A9E"/>
    <w:rsid w:val="00CD2376"/>
    <w:rsid w:val="00CD30E2"/>
    <w:rsid w:val="00CD310E"/>
    <w:rsid w:val="00CD41F3"/>
    <w:rsid w:val="00CD4623"/>
    <w:rsid w:val="00CD5538"/>
    <w:rsid w:val="00CD5E9B"/>
    <w:rsid w:val="00CD6E96"/>
    <w:rsid w:val="00CD6F44"/>
    <w:rsid w:val="00CD7578"/>
    <w:rsid w:val="00CE0D71"/>
    <w:rsid w:val="00CE3836"/>
    <w:rsid w:val="00CE3E5B"/>
    <w:rsid w:val="00CE4B2C"/>
    <w:rsid w:val="00CE535A"/>
    <w:rsid w:val="00CF07DD"/>
    <w:rsid w:val="00CF0A1D"/>
    <w:rsid w:val="00CF170E"/>
    <w:rsid w:val="00CF1FC6"/>
    <w:rsid w:val="00CF31BB"/>
    <w:rsid w:val="00CF3297"/>
    <w:rsid w:val="00CF3733"/>
    <w:rsid w:val="00CF5B4A"/>
    <w:rsid w:val="00CF5E23"/>
    <w:rsid w:val="00CF5EC4"/>
    <w:rsid w:val="00D01EC6"/>
    <w:rsid w:val="00D02807"/>
    <w:rsid w:val="00D02E98"/>
    <w:rsid w:val="00D039CB"/>
    <w:rsid w:val="00D054E7"/>
    <w:rsid w:val="00D06886"/>
    <w:rsid w:val="00D06D6B"/>
    <w:rsid w:val="00D06FC0"/>
    <w:rsid w:val="00D07E3E"/>
    <w:rsid w:val="00D10569"/>
    <w:rsid w:val="00D10CC0"/>
    <w:rsid w:val="00D11D6B"/>
    <w:rsid w:val="00D11FDC"/>
    <w:rsid w:val="00D124FC"/>
    <w:rsid w:val="00D136DA"/>
    <w:rsid w:val="00D13EE2"/>
    <w:rsid w:val="00D1446B"/>
    <w:rsid w:val="00D149EF"/>
    <w:rsid w:val="00D14C72"/>
    <w:rsid w:val="00D209C7"/>
    <w:rsid w:val="00D21910"/>
    <w:rsid w:val="00D22BCE"/>
    <w:rsid w:val="00D23B59"/>
    <w:rsid w:val="00D25099"/>
    <w:rsid w:val="00D302B3"/>
    <w:rsid w:val="00D30532"/>
    <w:rsid w:val="00D33395"/>
    <w:rsid w:val="00D3426A"/>
    <w:rsid w:val="00D34857"/>
    <w:rsid w:val="00D351E8"/>
    <w:rsid w:val="00D35384"/>
    <w:rsid w:val="00D36871"/>
    <w:rsid w:val="00D41489"/>
    <w:rsid w:val="00D4175C"/>
    <w:rsid w:val="00D43089"/>
    <w:rsid w:val="00D44A37"/>
    <w:rsid w:val="00D463CF"/>
    <w:rsid w:val="00D50990"/>
    <w:rsid w:val="00D50E2F"/>
    <w:rsid w:val="00D52338"/>
    <w:rsid w:val="00D537A4"/>
    <w:rsid w:val="00D54D60"/>
    <w:rsid w:val="00D56153"/>
    <w:rsid w:val="00D574F2"/>
    <w:rsid w:val="00D60487"/>
    <w:rsid w:val="00D6075F"/>
    <w:rsid w:val="00D60C79"/>
    <w:rsid w:val="00D61765"/>
    <w:rsid w:val="00D6462F"/>
    <w:rsid w:val="00D64B72"/>
    <w:rsid w:val="00D66D03"/>
    <w:rsid w:val="00D70894"/>
    <w:rsid w:val="00D72C16"/>
    <w:rsid w:val="00D74206"/>
    <w:rsid w:val="00D756F9"/>
    <w:rsid w:val="00D75814"/>
    <w:rsid w:val="00D7598E"/>
    <w:rsid w:val="00D75A52"/>
    <w:rsid w:val="00D76F9E"/>
    <w:rsid w:val="00D814FD"/>
    <w:rsid w:val="00D822B9"/>
    <w:rsid w:val="00D82631"/>
    <w:rsid w:val="00D82AC1"/>
    <w:rsid w:val="00D832A3"/>
    <w:rsid w:val="00D857B5"/>
    <w:rsid w:val="00D85EA8"/>
    <w:rsid w:val="00D87844"/>
    <w:rsid w:val="00D87C8B"/>
    <w:rsid w:val="00D9154F"/>
    <w:rsid w:val="00D917C9"/>
    <w:rsid w:val="00D94CD8"/>
    <w:rsid w:val="00D94FDF"/>
    <w:rsid w:val="00D96472"/>
    <w:rsid w:val="00D97990"/>
    <w:rsid w:val="00D97FBC"/>
    <w:rsid w:val="00DA0633"/>
    <w:rsid w:val="00DA17BB"/>
    <w:rsid w:val="00DA24DF"/>
    <w:rsid w:val="00DA31E9"/>
    <w:rsid w:val="00DA5A75"/>
    <w:rsid w:val="00DA6A25"/>
    <w:rsid w:val="00DA6E66"/>
    <w:rsid w:val="00DB0A75"/>
    <w:rsid w:val="00DB0E98"/>
    <w:rsid w:val="00DB2054"/>
    <w:rsid w:val="00DB3143"/>
    <w:rsid w:val="00DB41D1"/>
    <w:rsid w:val="00DB511D"/>
    <w:rsid w:val="00DB53A4"/>
    <w:rsid w:val="00DB7EA6"/>
    <w:rsid w:val="00DC2B59"/>
    <w:rsid w:val="00DC313B"/>
    <w:rsid w:val="00DC4D8F"/>
    <w:rsid w:val="00DC4FA5"/>
    <w:rsid w:val="00DC4FD4"/>
    <w:rsid w:val="00DC5AFE"/>
    <w:rsid w:val="00DC6D9A"/>
    <w:rsid w:val="00DC7E47"/>
    <w:rsid w:val="00DD332C"/>
    <w:rsid w:val="00DD75FC"/>
    <w:rsid w:val="00DE0F91"/>
    <w:rsid w:val="00DE1189"/>
    <w:rsid w:val="00DE2BF4"/>
    <w:rsid w:val="00DE3228"/>
    <w:rsid w:val="00DE35B4"/>
    <w:rsid w:val="00DE4928"/>
    <w:rsid w:val="00DE4A7C"/>
    <w:rsid w:val="00DE7C95"/>
    <w:rsid w:val="00DF3075"/>
    <w:rsid w:val="00DF3D0A"/>
    <w:rsid w:val="00DF5A58"/>
    <w:rsid w:val="00E00593"/>
    <w:rsid w:val="00E019FD"/>
    <w:rsid w:val="00E0329D"/>
    <w:rsid w:val="00E03424"/>
    <w:rsid w:val="00E03ED0"/>
    <w:rsid w:val="00E04752"/>
    <w:rsid w:val="00E1099E"/>
    <w:rsid w:val="00E10A1A"/>
    <w:rsid w:val="00E10FB8"/>
    <w:rsid w:val="00E12938"/>
    <w:rsid w:val="00E16933"/>
    <w:rsid w:val="00E17BB7"/>
    <w:rsid w:val="00E17C8D"/>
    <w:rsid w:val="00E20792"/>
    <w:rsid w:val="00E21A8F"/>
    <w:rsid w:val="00E21DBF"/>
    <w:rsid w:val="00E22D7F"/>
    <w:rsid w:val="00E253F3"/>
    <w:rsid w:val="00E25CAD"/>
    <w:rsid w:val="00E26A18"/>
    <w:rsid w:val="00E26BE6"/>
    <w:rsid w:val="00E27140"/>
    <w:rsid w:val="00E3181D"/>
    <w:rsid w:val="00E32AE6"/>
    <w:rsid w:val="00E33BDC"/>
    <w:rsid w:val="00E346DE"/>
    <w:rsid w:val="00E34EE4"/>
    <w:rsid w:val="00E35CAA"/>
    <w:rsid w:val="00E37CB8"/>
    <w:rsid w:val="00E4082B"/>
    <w:rsid w:val="00E418C0"/>
    <w:rsid w:val="00E42000"/>
    <w:rsid w:val="00E42933"/>
    <w:rsid w:val="00E42EA9"/>
    <w:rsid w:val="00E43076"/>
    <w:rsid w:val="00E434C7"/>
    <w:rsid w:val="00E466BB"/>
    <w:rsid w:val="00E476AE"/>
    <w:rsid w:val="00E50AEE"/>
    <w:rsid w:val="00E53533"/>
    <w:rsid w:val="00E55A87"/>
    <w:rsid w:val="00E569BC"/>
    <w:rsid w:val="00E57B62"/>
    <w:rsid w:val="00E6392A"/>
    <w:rsid w:val="00E64C8E"/>
    <w:rsid w:val="00E6595A"/>
    <w:rsid w:val="00E6745C"/>
    <w:rsid w:val="00E6745D"/>
    <w:rsid w:val="00E7000B"/>
    <w:rsid w:val="00E702C1"/>
    <w:rsid w:val="00E70AD7"/>
    <w:rsid w:val="00E731A7"/>
    <w:rsid w:val="00E738F6"/>
    <w:rsid w:val="00E759A9"/>
    <w:rsid w:val="00E75D67"/>
    <w:rsid w:val="00E81B02"/>
    <w:rsid w:val="00E83BD5"/>
    <w:rsid w:val="00E83EEA"/>
    <w:rsid w:val="00E8410C"/>
    <w:rsid w:val="00E847EA"/>
    <w:rsid w:val="00E85D4E"/>
    <w:rsid w:val="00E86125"/>
    <w:rsid w:val="00E86C47"/>
    <w:rsid w:val="00E87FC3"/>
    <w:rsid w:val="00E90266"/>
    <w:rsid w:val="00E9150B"/>
    <w:rsid w:val="00E91D48"/>
    <w:rsid w:val="00E930F3"/>
    <w:rsid w:val="00E95138"/>
    <w:rsid w:val="00E967CB"/>
    <w:rsid w:val="00EA0A20"/>
    <w:rsid w:val="00EA1029"/>
    <w:rsid w:val="00EA1040"/>
    <w:rsid w:val="00EA1889"/>
    <w:rsid w:val="00EA2634"/>
    <w:rsid w:val="00EA26FB"/>
    <w:rsid w:val="00EA3D09"/>
    <w:rsid w:val="00EA56E5"/>
    <w:rsid w:val="00EA5F63"/>
    <w:rsid w:val="00EA6D58"/>
    <w:rsid w:val="00EA6EDA"/>
    <w:rsid w:val="00EB0442"/>
    <w:rsid w:val="00EB1254"/>
    <w:rsid w:val="00EB4096"/>
    <w:rsid w:val="00EB5BB3"/>
    <w:rsid w:val="00EC0C6E"/>
    <w:rsid w:val="00EC1E2B"/>
    <w:rsid w:val="00EC3A3D"/>
    <w:rsid w:val="00EC3B1D"/>
    <w:rsid w:val="00EC3BBD"/>
    <w:rsid w:val="00EC62DF"/>
    <w:rsid w:val="00EC7CEC"/>
    <w:rsid w:val="00EC7DA3"/>
    <w:rsid w:val="00ED12C3"/>
    <w:rsid w:val="00ED1CDE"/>
    <w:rsid w:val="00ED2F8E"/>
    <w:rsid w:val="00ED318C"/>
    <w:rsid w:val="00ED64CC"/>
    <w:rsid w:val="00ED6951"/>
    <w:rsid w:val="00EE0357"/>
    <w:rsid w:val="00EE15AF"/>
    <w:rsid w:val="00EE233F"/>
    <w:rsid w:val="00EE25C4"/>
    <w:rsid w:val="00EE2DC5"/>
    <w:rsid w:val="00EE379D"/>
    <w:rsid w:val="00EE4C98"/>
    <w:rsid w:val="00EE5B73"/>
    <w:rsid w:val="00EE5FEE"/>
    <w:rsid w:val="00EE6B1D"/>
    <w:rsid w:val="00EE7958"/>
    <w:rsid w:val="00EE7AE5"/>
    <w:rsid w:val="00EF04A2"/>
    <w:rsid w:val="00EF05B9"/>
    <w:rsid w:val="00EF28C1"/>
    <w:rsid w:val="00EF3D5F"/>
    <w:rsid w:val="00EF4682"/>
    <w:rsid w:val="00EF5B2C"/>
    <w:rsid w:val="00EF600F"/>
    <w:rsid w:val="00EF6F93"/>
    <w:rsid w:val="00F00F0F"/>
    <w:rsid w:val="00F0343C"/>
    <w:rsid w:val="00F03595"/>
    <w:rsid w:val="00F03FF8"/>
    <w:rsid w:val="00F05422"/>
    <w:rsid w:val="00F07970"/>
    <w:rsid w:val="00F12D8F"/>
    <w:rsid w:val="00F131EB"/>
    <w:rsid w:val="00F1380E"/>
    <w:rsid w:val="00F1390B"/>
    <w:rsid w:val="00F139D2"/>
    <w:rsid w:val="00F145F1"/>
    <w:rsid w:val="00F204B3"/>
    <w:rsid w:val="00F21EE8"/>
    <w:rsid w:val="00F23C71"/>
    <w:rsid w:val="00F24327"/>
    <w:rsid w:val="00F257E9"/>
    <w:rsid w:val="00F3124B"/>
    <w:rsid w:val="00F32582"/>
    <w:rsid w:val="00F325D3"/>
    <w:rsid w:val="00F32F89"/>
    <w:rsid w:val="00F3393A"/>
    <w:rsid w:val="00F36846"/>
    <w:rsid w:val="00F37248"/>
    <w:rsid w:val="00F37AEA"/>
    <w:rsid w:val="00F37EA5"/>
    <w:rsid w:val="00F4062B"/>
    <w:rsid w:val="00F422BB"/>
    <w:rsid w:val="00F43434"/>
    <w:rsid w:val="00F44C6A"/>
    <w:rsid w:val="00F45622"/>
    <w:rsid w:val="00F4766F"/>
    <w:rsid w:val="00F516A8"/>
    <w:rsid w:val="00F51990"/>
    <w:rsid w:val="00F530B7"/>
    <w:rsid w:val="00F532DB"/>
    <w:rsid w:val="00F54067"/>
    <w:rsid w:val="00F54973"/>
    <w:rsid w:val="00F5595C"/>
    <w:rsid w:val="00F55BA0"/>
    <w:rsid w:val="00F57135"/>
    <w:rsid w:val="00F574E6"/>
    <w:rsid w:val="00F576A9"/>
    <w:rsid w:val="00F60469"/>
    <w:rsid w:val="00F62419"/>
    <w:rsid w:val="00F62599"/>
    <w:rsid w:val="00F6504F"/>
    <w:rsid w:val="00F650DD"/>
    <w:rsid w:val="00F6546F"/>
    <w:rsid w:val="00F71266"/>
    <w:rsid w:val="00F71D7E"/>
    <w:rsid w:val="00F71FB8"/>
    <w:rsid w:val="00F7259E"/>
    <w:rsid w:val="00F73317"/>
    <w:rsid w:val="00F73B1E"/>
    <w:rsid w:val="00F74E04"/>
    <w:rsid w:val="00F805CB"/>
    <w:rsid w:val="00F819FA"/>
    <w:rsid w:val="00F82445"/>
    <w:rsid w:val="00F8711A"/>
    <w:rsid w:val="00F87228"/>
    <w:rsid w:val="00F87883"/>
    <w:rsid w:val="00F87B82"/>
    <w:rsid w:val="00F903C3"/>
    <w:rsid w:val="00F917D5"/>
    <w:rsid w:val="00F92A5B"/>
    <w:rsid w:val="00F93E30"/>
    <w:rsid w:val="00F94779"/>
    <w:rsid w:val="00F94AB5"/>
    <w:rsid w:val="00F954FE"/>
    <w:rsid w:val="00F9629C"/>
    <w:rsid w:val="00F968ED"/>
    <w:rsid w:val="00FA1A46"/>
    <w:rsid w:val="00FA2B3E"/>
    <w:rsid w:val="00FA3CE0"/>
    <w:rsid w:val="00FA4306"/>
    <w:rsid w:val="00FA72A3"/>
    <w:rsid w:val="00FB3781"/>
    <w:rsid w:val="00FB3FA3"/>
    <w:rsid w:val="00FB70AF"/>
    <w:rsid w:val="00FC024D"/>
    <w:rsid w:val="00FC06B5"/>
    <w:rsid w:val="00FC1618"/>
    <w:rsid w:val="00FC18AB"/>
    <w:rsid w:val="00FC191E"/>
    <w:rsid w:val="00FC1BB8"/>
    <w:rsid w:val="00FC3502"/>
    <w:rsid w:val="00FC386E"/>
    <w:rsid w:val="00FC3E05"/>
    <w:rsid w:val="00FC4148"/>
    <w:rsid w:val="00FC5DA9"/>
    <w:rsid w:val="00FC6D0C"/>
    <w:rsid w:val="00FC74BF"/>
    <w:rsid w:val="00FC7AD7"/>
    <w:rsid w:val="00FC7B0B"/>
    <w:rsid w:val="00FD1D7B"/>
    <w:rsid w:val="00FD25EF"/>
    <w:rsid w:val="00FD2F3E"/>
    <w:rsid w:val="00FD3B5A"/>
    <w:rsid w:val="00FD3F57"/>
    <w:rsid w:val="00FD4BA4"/>
    <w:rsid w:val="00FD54E4"/>
    <w:rsid w:val="00FD7553"/>
    <w:rsid w:val="00FE11D1"/>
    <w:rsid w:val="00FE176E"/>
    <w:rsid w:val="00FE177D"/>
    <w:rsid w:val="00FE28C1"/>
    <w:rsid w:val="00FE3B06"/>
    <w:rsid w:val="00FE447E"/>
    <w:rsid w:val="00FE4BDC"/>
    <w:rsid w:val="00FE59A0"/>
    <w:rsid w:val="00FE622D"/>
    <w:rsid w:val="00FE7456"/>
    <w:rsid w:val="00FE746E"/>
    <w:rsid w:val="00FF194A"/>
    <w:rsid w:val="00FF21B8"/>
    <w:rsid w:val="00FF240A"/>
    <w:rsid w:val="00FF2545"/>
    <w:rsid w:val="00FF2D2B"/>
    <w:rsid w:val="00FF3BBA"/>
    <w:rsid w:val="00FF48C6"/>
    <w:rsid w:val="00FF563C"/>
    <w:rsid w:val="00FF5CF1"/>
    <w:rsid w:val="00FF5D33"/>
    <w:rsid w:val="00FF74E6"/>
    <w:rsid w:val="00FF7DE3"/>
    <w:rsid w:val="0CB522DD"/>
    <w:rsid w:val="0E0C61AC"/>
    <w:rsid w:val="18BCF783"/>
    <w:rsid w:val="233792CC"/>
    <w:rsid w:val="26EAD2B5"/>
    <w:rsid w:val="2EAA85E8"/>
    <w:rsid w:val="3040A950"/>
    <w:rsid w:val="38FAF1E7"/>
    <w:rsid w:val="410F409F"/>
    <w:rsid w:val="44FD02FF"/>
    <w:rsid w:val="6253AF17"/>
    <w:rsid w:val="6E391C5C"/>
    <w:rsid w:val="7A72F54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D03766"/>
  <w15:docId w15:val="{12B5CBEA-8D01-4C85-BA1E-2B837C2B1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7C95"/>
    <w:pPr>
      <w:suppressAutoHyphens/>
      <w:spacing w:line="240" w:lineRule="atLeast"/>
    </w:pPr>
    <w:rPr>
      <w:rFonts w:eastAsia="SimSun"/>
      <w:lang w:val="en-GB" w:eastAsia="zh-CN"/>
    </w:rPr>
  </w:style>
  <w:style w:type="paragraph" w:styleId="Heading1">
    <w:name w:val="heading 1"/>
    <w:aliases w:val="Table_G"/>
    <w:basedOn w:val="Normal"/>
    <w:next w:val="AnnoH23G"/>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FA1A46"/>
    <w:pPr>
      <w:numPr>
        <w:numId w:val="6"/>
      </w:numPr>
      <w:spacing w:after="120"/>
      <w:ind w:right="1134"/>
      <w:jc w:val="both"/>
    </w:pPr>
  </w:style>
  <w:style w:type="paragraph" w:customStyle="1" w:styleId="Bullet2G">
    <w:name w:val="_Bullet 2_G"/>
    <w:basedOn w:val="Normal"/>
    <w:rsid w:val="00FA1A46"/>
    <w:pPr>
      <w:numPr>
        <w:numId w:val="7"/>
      </w:numPr>
      <w:spacing w:after="120"/>
      <w:ind w:right="1134"/>
      <w:jc w:val="both"/>
    </w:pPr>
  </w:style>
  <w:style w:type="paragraph" w:customStyle="1" w:styleId="AnnoHCHG">
    <w:name w:val="Anno _ H_CH_G"/>
    <w:basedOn w:val="Normal"/>
    <w:next w:val="AnnoH1G"/>
    <w:rsid w:val="00FA1A46"/>
    <w:pPr>
      <w:keepNext/>
      <w:keepLines/>
      <w:numPr>
        <w:numId w:val="8"/>
      </w:numPr>
      <w:spacing w:before="360" w:after="240" w:line="300" w:lineRule="exact"/>
      <w:ind w:right="1134"/>
    </w:pPr>
    <w:rPr>
      <w:b/>
      <w:sz w:val="28"/>
    </w:rPr>
  </w:style>
  <w:style w:type="paragraph" w:customStyle="1" w:styleId="AnnoH1G">
    <w:name w:val="Anno_ H_1_G"/>
    <w:basedOn w:val="Normal"/>
    <w:next w:val="AnnoH23G"/>
    <w:autoRedefine/>
    <w:rsid w:val="00FA1A46"/>
    <w:pPr>
      <w:keepNext/>
      <w:keepLines/>
      <w:numPr>
        <w:ilvl w:val="1"/>
        <w:numId w:val="8"/>
      </w:numPr>
      <w:spacing w:before="360" w:after="240" w:line="270" w:lineRule="exact"/>
      <w:ind w:right="1134"/>
    </w:pPr>
    <w:rPr>
      <w:b/>
      <w:sz w:val="24"/>
    </w:rPr>
  </w:style>
  <w:style w:type="paragraph" w:customStyle="1" w:styleId="AnnoH23G">
    <w:name w:val="Anno_ H_2/3_G"/>
    <w:basedOn w:val="Normal"/>
    <w:next w:val="AnnoSingleTxtG"/>
    <w:autoRedefine/>
    <w:rsid w:val="00FA1A46"/>
    <w:pPr>
      <w:keepNext/>
      <w:keepLines/>
      <w:numPr>
        <w:ilvl w:val="2"/>
        <w:numId w:val="8"/>
      </w:numPr>
      <w:spacing w:before="240" w:after="120" w:line="240" w:lineRule="exact"/>
      <w:ind w:right="1134"/>
    </w:pPr>
    <w:rPr>
      <w:u w:val="single"/>
    </w:rPr>
  </w:style>
  <w:style w:type="paragraph" w:customStyle="1" w:styleId="AnnoSingleTxtG">
    <w:name w:val="Anno_ Single Txt_G"/>
    <w:basedOn w:val="Normal"/>
    <w:rsid w:val="00FA1A46"/>
    <w:pPr>
      <w:numPr>
        <w:ilvl w:val="3"/>
        <w:numId w:val="8"/>
      </w:numPr>
      <w:spacing w:after="120"/>
      <w:ind w:right="1134"/>
      <w:jc w:val="both"/>
    </w:pPr>
  </w:style>
  <w:style w:type="character" w:styleId="FootnoteReference">
    <w:name w:val="footnote reference"/>
    <w:aliases w:val="4_G,16 Point,Superscript 6 Point,Ref,de nota al pie,E FNZ,-E Fußnotenzeichen,Footnote#,ftref,Superscript 6 Point + 11 pt,Appel note de bas de page,Car Car Char Car Char Car Car Char Car Char Char,fr,SUPERS,Char Char Char Char Car Char"/>
    <w:link w:val="BVIfnrChar"/>
    <w:qFormat/>
    <w:rsid w:val="00FA1A46"/>
    <w:rPr>
      <w:rFonts w:ascii="Times New Roman" w:hAnsi="Times New Roman"/>
      <w:sz w:val="18"/>
      <w:vertAlign w:val="superscript"/>
    </w:rPr>
  </w:style>
  <w:style w:type="character" w:styleId="EndnoteReference">
    <w:name w:val="endnote reference"/>
    <w:aliases w:val="1_G"/>
    <w:rsid w:val="001A6305"/>
    <w:rPr>
      <w:rFonts w:ascii="Times New Roman" w:hAnsi="Times New Roman"/>
      <w:i/>
      <w:sz w:val="18"/>
      <w:vertAlign w:val="superscript"/>
    </w:rPr>
  </w:style>
  <w:style w:type="paragraph" w:styleId="EndnoteText">
    <w:name w:val="endnote text"/>
    <w:aliases w:val="2_G"/>
    <w:basedOn w:val="FootnoteText"/>
    <w:rsid w:val="00A6472E"/>
    <w:rPr>
      <w:i/>
    </w:rPr>
  </w:style>
  <w:style w:type="paragraph" w:styleId="FootnoteText">
    <w:name w:val="footnote text"/>
    <w:aliases w:val="5_G,Geneva 9,Font: Geneva 9,Boston 10,f,fn,Footnotes,Footnote ak,Char,footnote text,Footnote Text Char1 Char,Footnote Text Char Char Char,Footnote Text Char1 Char Char Char,Footnote Text Char Char Char Char Char,E Fußn,Char Char Char Char"/>
    <w:basedOn w:val="Normal"/>
    <w:link w:val="FootnoteTextChar"/>
    <w:qFormat/>
    <w:rsid w:val="00FA1A46"/>
    <w:pPr>
      <w:tabs>
        <w:tab w:val="right" w:pos="1021"/>
      </w:tabs>
      <w:spacing w:line="220" w:lineRule="exact"/>
      <w:ind w:left="1134" w:right="1134" w:hanging="1134"/>
    </w:pPr>
    <w:rPr>
      <w:sz w:val="18"/>
    </w:rPr>
  </w:style>
  <w:style w:type="paragraph" w:styleId="Footer">
    <w:name w:val="footer"/>
    <w:aliases w:val="3_G"/>
    <w:basedOn w:val="Normal"/>
    <w:rsid w:val="00FA1A46"/>
    <w:rPr>
      <w:sz w:val="16"/>
    </w:rPr>
  </w:style>
  <w:style w:type="paragraph" w:customStyle="1" w:styleId="FootnoteTable">
    <w:name w:val="Footnote Table"/>
    <w:basedOn w:val="Normal"/>
    <w:rsid w:val="004B02E4"/>
    <w:pPr>
      <w:spacing w:before="60" w:line="220" w:lineRule="atLeast"/>
      <w:contextualSpacing/>
      <w:jc w:val="both"/>
    </w:pPr>
    <w:rPr>
      <w:sz w:val="18"/>
    </w:rPr>
  </w:style>
  <w:style w:type="paragraph" w:styleId="Header">
    <w:name w:val="header"/>
    <w:aliases w:val="6_G"/>
    <w:basedOn w:val="Normal"/>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qFormat/>
    <w:rsid w:val="00FA1A46"/>
    <w:pPr>
      <w:keepNext/>
      <w:keepLines/>
      <w:numPr>
        <w:numId w:val="1"/>
      </w:numPr>
      <w:spacing w:before="360" w:after="240" w:line="300" w:lineRule="exact"/>
      <w:ind w:right="1134"/>
    </w:pPr>
    <w:rPr>
      <w:b/>
      <w:sz w:val="28"/>
    </w:rPr>
  </w:style>
  <w:style w:type="paragraph" w:customStyle="1" w:styleId="RegH1G">
    <w:name w:val="Reg_H_1_G"/>
    <w:basedOn w:val="Normal"/>
    <w:next w:val="RegH23G"/>
    <w:qFormat/>
    <w:rsid w:val="00FA1A46"/>
    <w:pPr>
      <w:keepNext/>
      <w:keepLines/>
      <w:numPr>
        <w:ilvl w:val="1"/>
        <w:numId w:val="1"/>
      </w:numPr>
      <w:spacing w:before="360" w:after="240" w:line="270" w:lineRule="exact"/>
      <w:ind w:right="1134"/>
    </w:pPr>
    <w:rPr>
      <w:b/>
      <w:sz w:val="24"/>
    </w:rPr>
  </w:style>
  <w:style w:type="paragraph" w:customStyle="1" w:styleId="RegH23G">
    <w:name w:val="Reg_H_2/3_G"/>
    <w:basedOn w:val="Normal"/>
    <w:next w:val="RegH4G"/>
    <w:qFormat/>
    <w:rsid w:val="00FA1A46"/>
    <w:pPr>
      <w:keepNext/>
      <w:keepLines/>
      <w:numPr>
        <w:ilvl w:val="2"/>
        <w:numId w:val="1"/>
      </w:numPr>
      <w:spacing w:before="240" w:after="120" w:line="240" w:lineRule="exact"/>
      <w:ind w:right="1134"/>
    </w:pPr>
    <w:rPr>
      <w:b/>
    </w:rPr>
  </w:style>
  <w:style w:type="paragraph" w:customStyle="1" w:styleId="RegSingleTxtG">
    <w:name w:val="Reg_Single Txt_G"/>
    <w:basedOn w:val="Normal"/>
    <w:link w:val="RegSingleTxtGChar"/>
    <w:qFormat/>
    <w:rsid w:val="00FA1A46"/>
    <w:pPr>
      <w:numPr>
        <w:ilvl w:val="5"/>
        <w:numId w:val="1"/>
      </w:numPr>
      <w:tabs>
        <w:tab w:val="left" w:pos="1701"/>
      </w:tabs>
      <w:spacing w:after="120"/>
      <w:ind w:right="1134"/>
      <w:jc w:val="both"/>
    </w:pPr>
  </w:style>
  <w:style w:type="paragraph" w:styleId="TOC1">
    <w:name w:val="toc 1"/>
    <w:basedOn w:val="Normal"/>
    <w:next w:val="Normal"/>
    <w:autoRedefine/>
    <w:rsid w:val="00BA59CB"/>
    <w:pPr>
      <w:tabs>
        <w:tab w:val="right" w:pos="851"/>
        <w:tab w:val="left" w:pos="1134"/>
        <w:tab w:val="left" w:pos="1559"/>
        <w:tab w:val="left" w:pos="1985"/>
        <w:tab w:val="right" w:leader="dot" w:pos="8930"/>
        <w:tab w:val="right" w:pos="9639"/>
      </w:tabs>
      <w:spacing w:after="120"/>
      <w:ind w:left="1985" w:hanging="1985"/>
    </w:pPr>
    <w:rPr>
      <w:noProof/>
    </w:rPr>
  </w:style>
  <w:style w:type="paragraph" w:styleId="TOC2">
    <w:name w:val="toc 2"/>
    <w:basedOn w:val="Normal"/>
    <w:next w:val="Normal"/>
    <w:autoRedefine/>
    <w:uiPriority w:val="39"/>
    <w:rsid w:val="00F36846"/>
    <w:pPr>
      <w:tabs>
        <w:tab w:val="right" w:pos="851"/>
        <w:tab w:val="left" w:pos="1134"/>
        <w:tab w:val="left" w:pos="1559"/>
        <w:tab w:val="left" w:pos="1985"/>
        <w:tab w:val="center" w:leader="dot" w:pos="8930"/>
        <w:tab w:val="right" w:pos="9639"/>
      </w:tabs>
      <w:spacing w:after="120"/>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basedOn w:val="Normal"/>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pPr>
      <w:numPr>
        <w:ilvl w:val="3"/>
      </w:numPr>
    </w:pPr>
  </w:style>
  <w:style w:type="paragraph" w:customStyle="1" w:styleId="RegH5G">
    <w:name w:val="Reg_H_5_G"/>
    <w:basedOn w:val="RegH4G"/>
    <w:qFormat/>
    <w:rsid w:val="00FA1A46"/>
    <w:pPr>
      <w:numPr>
        <w:ilvl w:val="4"/>
      </w:numPr>
    </w:pPr>
    <w:rPr>
      <w:b w:val="0"/>
      <w:i/>
    </w:rPr>
  </w:style>
  <w:style w:type="paragraph" w:customStyle="1" w:styleId="TableFootnote">
    <w:name w:val="TableFootnote"/>
    <w:basedOn w:val="FootnoteTable"/>
    <w:qFormat/>
    <w:rsid w:val="00FA1A46"/>
    <w:pPr>
      <w:ind w:left="1134" w:right="1134" w:firstLine="170"/>
      <w:jc w:val="left"/>
    </w:pPr>
  </w:style>
  <w:style w:type="paragraph" w:customStyle="1" w:styleId="RegSingleTxtG2">
    <w:name w:val="Reg_Single Txt_G2"/>
    <w:basedOn w:val="RegSingleTxtG"/>
    <w:qFormat/>
    <w:rsid w:val="00FA1A46"/>
    <w:pPr>
      <w:numPr>
        <w:ilvl w:val="6"/>
      </w:numPr>
      <w:tabs>
        <w:tab w:val="clear" w:pos="1702"/>
      </w:tabs>
    </w:pPr>
  </w:style>
  <w:style w:type="paragraph" w:customStyle="1" w:styleId="RegSingleTxtG3">
    <w:name w:val="Reg_Single Txt_G3"/>
    <w:basedOn w:val="RegSingleTxtG"/>
    <w:qFormat/>
    <w:rsid w:val="00FA1A46"/>
    <w:pPr>
      <w:numPr>
        <w:ilvl w:val="7"/>
      </w:numPr>
    </w:pPr>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semiHidden/>
    <w:unhideWhenUsed/>
    <w:rsid w:val="00FA1A46"/>
    <w:pPr>
      <w:ind w:left="600"/>
    </w:pPr>
  </w:style>
  <w:style w:type="paragraph" w:styleId="TOC5">
    <w:name w:val="toc 5"/>
    <w:basedOn w:val="Normal"/>
    <w:next w:val="Normal"/>
    <w:autoRedefine/>
    <w:semiHidden/>
    <w:unhideWhenUsed/>
    <w:rsid w:val="00FA1A46"/>
    <w:pPr>
      <w:ind w:left="800"/>
    </w:pPr>
  </w:style>
  <w:style w:type="paragraph" w:styleId="TOC6">
    <w:name w:val="toc 6"/>
    <w:basedOn w:val="Normal"/>
    <w:next w:val="Normal"/>
    <w:autoRedefine/>
    <w:semiHidden/>
    <w:unhideWhenUsed/>
    <w:rsid w:val="00FA1A46"/>
    <w:pPr>
      <w:ind w:left="1000"/>
    </w:pPr>
  </w:style>
  <w:style w:type="paragraph" w:styleId="TOC7">
    <w:name w:val="toc 7"/>
    <w:basedOn w:val="Normal"/>
    <w:next w:val="Normal"/>
    <w:autoRedefine/>
    <w:semiHidden/>
    <w:unhideWhenUsed/>
    <w:rsid w:val="00FA1A46"/>
    <w:pPr>
      <w:ind w:left="1200"/>
    </w:pPr>
  </w:style>
  <w:style w:type="paragraph" w:styleId="TOC8">
    <w:name w:val="toc 8"/>
    <w:basedOn w:val="Normal"/>
    <w:next w:val="Normal"/>
    <w:autoRedefine/>
    <w:semiHidden/>
    <w:unhideWhenUsed/>
    <w:rsid w:val="00FA1A46"/>
    <w:pPr>
      <w:ind w:left="1400"/>
    </w:pPr>
  </w:style>
  <w:style w:type="paragraph" w:styleId="TOC9">
    <w:name w:val="toc 9"/>
    <w:basedOn w:val="Normal"/>
    <w:next w:val="Normal"/>
    <w:autoRedefine/>
    <w:semiHidden/>
    <w:unhideWhenUsed/>
    <w:rsid w:val="00FA1A46"/>
    <w:pPr>
      <w:ind w:left="1600"/>
    </w:pPr>
  </w:style>
  <w:style w:type="paragraph" w:customStyle="1" w:styleId="FC1">
    <w:name w:val="FC1"/>
    <w:basedOn w:val="RegSingleTxtG"/>
    <w:qFormat/>
    <w:rsid w:val="00FA1A46"/>
    <w:pPr>
      <w:numPr>
        <w:ilvl w:val="0"/>
        <w:numId w:val="0"/>
      </w:numPr>
      <w:ind w:left="1134"/>
      <w:jc w:val="left"/>
    </w:pPr>
  </w:style>
  <w:style w:type="paragraph" w:customStyle="1" w:styleId="SourcesFootnote">
    <w:name w:val="SourcesFootnote"/>
    <w:basedOn w:val="TableFootnote"/>
    <w:qFormat/>
    <w:rsid w:val="00FA1A46"/>
    <w:rPr>
      <w:i/>
    </w:rPr>
  </w:style>
  <w:style w:type="paragraph" w:customStyle="1" w:styleId="FC2">
    <w:name w:val="FC2"/>
    <w:basedOn w:val="FC1"/>
    <w:qFormat/>
    <w:rsid w:val="00FA1A46"/>
    <w:pPr>
      <w:keepNext/>
    </w:pPr>
  </w:style>
  <w:style w:type="numbering" w:customStyle="1" w:styleId="FCCCBoxfootnote">
    <w:name w:val="FCCC_Box_footnote"/>
    <w:uiPriority w:val="99"/>
    <w:rsid w:val="00E50AEE"/>
    <w:pPr>
      <w:numPr>
        <w:numId w:val="3"/>
      </w:numPr>
    </w:pPr>
  </w:style>
  <w:style w:type="numbering" w:customStyle="1" w:styleId="FCCCTextboxfootnote">
    <w:name w:val="FCCC Textbox footnote"/>
    <w:uiPriority w:val="99"/>
    <w:rsid w:val="00FC386E"/>
    <w:pPr>
      <w:numPr>
        <w:numId w:val="4"/>
      </w:numPr>
    </w:pPr>
  </w:style>
  <w:style w:type="numbering" w:customStyle="1" w:styleId="FigureFootnote">
    <w:name w:val="Figure Footnote"/>
    <w:uiPriority w:val="99"/>
    <w:rsid w:val="00FE622D"/>
    <w:pPr>
      <w:numPr>
        <w:numId w:val="5"/>
      </w:numPr>
    </w:pPr>
  </w:style>
  <w:style w:type="table" w:styleId="TableGrid">
    <w:name w:val="Table Grid"/>
    <w:basedOn w:val="TableNormal"/>
    <w:rsid w:val="00384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EndnoteReference1GNotItalic">
    <w:name w:val="Style Endnote Reference1_G + Not Italic"/>
    <w:basedOn w:val="EndnoteReference"/>
    <w:rsid w:val="001C3F2F"/>
    <w:rPr>
      <w:rFonts w:ascii="Times New Roman" w:hAnsi="Times New Roman"/>
      <w:i/>
      <w:sz w:val="18"/>
      <w:vertAlign w:val="superscript"/>
    </w:rPr>
  </w:style>
  <w:style w:type="paragraph" w:customStyle="1" w:styleId="AgendaItemHeading">
    <w:name w:val="AgendaItemHeading"/>
    <w:basedOn w:val="Normal"/>
    <w:qFormat/>
    <w:rsid w:val="00656011"/>
    <w:pPr>
      <w:ind w:left="-105"/>
    </w:pPr>
    <w:rPr>
      <w:bCs/>
    </w:rPr>
  </w:style>
  <w:style w:type="paragraph" w:customStyle="1" w:styleId="BodyHeading">
    <w:name w:val="BodyHeading"/>
    <w:basedOn w:val="Normal"/>
    <w:qFormat/>
    <w:rsid w:val="00656011"/>
    <w:pPr>
      <w:spacing w:before="120"/>
      <w:ind w:left="-105"/>
    </w:pPr>
    <w:rPr>
      <w:b/>
      <w:sz w:val="24"/>
      <w:szCs w:val="24"/>
    </w:rPr>
  </w:style>
  <w:style w:type="paragraph" w:customStyle="1" w:styleId="MainTitle">
    <w:name w:val="MainTitle"/>
    <w:basedOn w:val="HChG"/>
    <w:qFormat/>
    <w:rsid w:val="00DB53A4"/>
  </w:style>
  <w:style w:type="paragraph" w:customStyle="1" w:styleId="MainSubTitle">
    <w:name w:val="MainSubTitle"/>
    <w:basedOn w:val="H1G"/>
    <w:qFormat/>
    <w:rsid w:val="00DB53A4"/>
  </w:style>
  <w:style w:type="paragraph" w:customStyle="1" w:styleId="AddendumSubTitle">
    <w:name w:val="AddendumSubTitle"/>
    <w:basedOn w:val="H1G"/>
    <w:qFormat/>
    <w:rsid w:val="00731509"/>
  </w:style>
  <w:style w:type="paragraph" w:customStyle="1" w:styleId="AddendumTitle">
    <w:name w:val="AddendumTitle"/>
    <w:basedOn w:val="H1G"/>
    <w:qFormat/>
    <w:rsid w:val="00DB53A4"/>
  </w:style>
  <w:style w:type="character" w:styleId="CommentReference">
    <w:name w:val="annotation reference"/>
    <w:basedOn w:val="DefaultParagraphFont"/>
    <w:semiHidden/>
    <w:unhideWhenUsed/>
    <w:rsid w:val="003F6A01"/>
    <w:rPr>
      <w:sz w:val="16"/>
      <w:szCs w:val="16"/>
    </w:rPr>
  </w:style>
  <w:style w:type="paragraph" w:styleId="CommentText">
    <w:name w:val="annotation text"/>
    <w:basedOn w:val="Normal"/>
    <w:link w:val="CommentTextChar"/>
    <w:unhideWhenUsed/>
    <w:rsid w:val="003F6A01"/>
    <w:pPr>
      <w:spacing w:line="240" w:lineRule="auto"/>
    </w:pPr>
  </w:style>
  <w:style w:type="character" w:customStyle="1" w:styleId="CommentTextChar">
    <w:name w:val="Comment Text Char"/>
    <w:basedOn w:val="DefaultParagraphFont"/>
    <w:link w:val="CommentText"/>
    <w:rsid w:val="003F6A01"/>
    <w:rPr>
      <w:rFonts w:eastAsia="SimSun"/>
      <w:lang w:val="en-GB" w:eastAsia="zh-CN"/>
    </w:rPr>
  </w:style>
  <w:style w:type="character" w:styleId="Hyperlink">
    <w:name w:val="Hyperlink"/>
    <w:basedOn w:val="DefaultParagraphFont"/>
    <w:unhideWhenUsed/>
    <w:rsid w:val="00032199"/>
    <w:rPr>
      <w:color w:val="0000FF"/>
      <w:u w:val="single"/>
    </w:rPr>
  </w:style>
  <w:style w:type="character" w:customStyle="1" w:styleId="FootnoteTextChar">
    <w:name w:val="Footnote Text Char"/>
    <w:aliases w:val="5_G Char,Geneva 9 Char,Font: Geneva 9 Char,Boston 10 Char,f Char,fn Char,Footnotes Char,Footnote ak Char,Char Char,footnote text Char,Footnote Text Char1 Char Char,Footnote Text Char Char Char Char,E Fußn Char,Char Char Char Char Char"/>
    <w:link w:val="FootnoteText"/>
    <w:qFormat/>
    <w:locked/>
    <w:rsid w:val="00032199"/>
    <w:rPr>
      <w:rFonts w:eastAsia="SimSun"/>
      <w:sz w:val="18"/>
      <w:lang w:val="en-GB" w:eastAsia="zh-CN"/>
    </w:rPr>
  </w:style>
  <w:style w:type="character" w:customStyle="1" w:styleId="HChGChar">
    <w:name w:val="_ H _Ch_G Char"/>
    <w:link w:val="HChG"/>
    <w:rsid w:val="00032199"/>
    <w:rPr>
      <w:rFonts w:eastAsia="SimSun"/>
      <w:b/>
      <w:sz w:val="28"/>
      <w:lang w:val="en-GB" w:eastAsia="zh-CN"/>
    </w:rPr>
  </w:style>
  <w:style w:type="paragraph" w:customStyle="1" w:styleId="BVIfnrChar">
    <w:name w:val="BVI fnr Char"/>
    <w:aliases w:val=" BVI fnr Car Car Char,BVI fnr Car Char, BVI fnr Car Car Car Car Char Char,BVI fnr Car Car Char,BVI fnr Car Car Car Car Char, BVI fnr Car Char, BVI fnr Car Car Car Char, BVI fnr Car Car Car Car Car Char,BVI fnr Car Car Car Char"/>
    <w:basedOn w:val="Normal"/>
    <w:link w:val="FootnoteReference"/>
    <w:rsid w:val="00032199"/>
    <w:pPr>
      <w:suppressAutoHyphens w:val="0"/>
      <w:spacing w:after="160" w:line="240" w:lineRule="exact"/>
    </w:pPr>
    <w:rPr>
      <w:rFonts w:eastAsia="Times New Roman"/>
      <w:sz w:val="18"/>
      <w:vertAlign w:val="superscript"/>
      <w:lang w:val="en-US" w:eastAsia="en-US"/>
    </w:rPr>
  </w:style>
  <w:style w:type="character" w:customStyle="1" w:styleId="RegSingleTxtGChar">
    <w:name w:val="Reg_Single Txt_G Char"/>
    <w:basedOn w:val="DefaultParagraphFont"/>
    <w:link w:val="RegSingleTxtG"/>
    <w:rsid w:val="00705E67"/>
    <w:rPr>
      <w:rFonts w:eastAsia="SimSun"/>
      <w:lang w:val="en-GB" w:eastAsia="zh-CN"/>
    </w:rPr>
  </w:style>
  <w:style w:type="paragraph" w:customStyle="1" w:styleId="Cornernotation">
    <w:name w:val="Corner notation"/>
    <w:basedOn w:val="Normal"/>
    <w:qFormat/>
    <w:rsid w:val="00AF4AE0"/>
    <w:pPr>
      <w:spacing w:before="120"/>
      <w:ind w:left="-105"/>
    </w:pPr>
    <w:rPr>
      <w:b/>
      <w:sz w:val="24"/>
      <w:szCs w:val="24"/>
    </w:rPr>
  </w:style>
  <w:style w:type="paragraph" w:customStyle="1" w:styleId="FootnotesymbolCarZchn">
    <w:name w:val="Footnote symbol Car Zchn"/>
    <w:aliases w:val="Footnote Car Zchn,Times 10 Point Car Zchn,Exposant 3 Point Car Zchn,Footnote Reference Superscript Car Zchn,Char Char Char Char Char Car Zchn,BVI fnr Car Zchn,SUPERS Car Zchn, Char Char Char Char Char Car Zchn, BVI fnr Car Zchn"/>
    <w:basedOn w:val="Normal"/>
    <w:rsid w:val="002F2AA2"/>
    <w:pPr>
      <w:suppressAutoHyphens w:val="0"/>
      <w:spacing w:after="160" w:line="240" w:lineRule="exact"/>
      <w:jc w:val="both"/>
    </w:pPr>
    <w:rPr>
      <w:rFonts w:eastAsia="Times New Roman"/>
      <w:sz w:val="18"/>
      <w:vertAlign w:val="superscript"/>
      <w:lang w:val="en-US" w:eastAsia="en-US"/>
    </w:rPr>
  </w:style>
  <w:style w:type="character" w:customStyle="1" w:styleId="ui-provider">
    <w:name w:val="ui-provider"/>
    <w:basedOn w:val="DefaultParagraphFont"/>
    <w:rsid w:val="002F2AA2"/>
  </w:style>
  <w:style w:type="character" w:styleId="Strong">
    <w:name w:val="Strong"/>
    <w:basedOn w:val="DefaultParagraphFont"/>
    <w:uiPriority w:val="22"/>
    <w:qFormat/>
    <w:rsid w:val="00153B66"/>
    <w:rPr>
      <w:b/>
      <w:bCs/>
    </w:rPr>
  </w:style>
  <w:style w:type="character" w:styleId="UnresolvedMention">
    <w:name w:val="Unresolved Mention"/>
    <w:basedOn w:val="DefaultParagraphFont"/>
    <w:uiPriority w:val="99"/>
    <w:unhideWhenUsed/>
    <w:rsid w:val="00B26B88"/>
    <w:rPr>
      <w:color w:val="605E5C"/>
      <w:shd w:val="clear" w:color="auto" w:fill="E1DFDD"/>
    </w:rPr>
  </w:style>
  <w:style w:type="character" w:styleId="FollowedHyperlink">
    <w:name w:val="FollowedHyperlink"/>
    <w:basedOn w:val="DefaultParagraphFont"/>
    <w:semiHidden/>
    <w:unhideWhenUsed/>
    <w:rsid w:val="00BB2648"/>
    <w:rPr>
      <w:color w:val="800080" w:themeColor="followedHyperlink"/>
      <w:u w:val="single"/>
    </w:rPr>
  </w:style>
  <w:style w:type="paragraph" w:styleId="Revision">
    <w:name w:val="Revision"/>
    <w:hidden/>
    <w:uiPriority w:val="99"/>
    <w:semiHidden/>
    <w:rsid w:val="006B2A4E"/>
    <w:rPr>
      <w:rFonts w:eastAsia="SimSun"/>
      <w:lang w:val="en-GB" w:eastAsia="zh-CN"/>
    </w:rPr>
  </w:style>
  <w:style w:type="paragraph" w:styleId="CommentSubject">
    <w:name w:val="annotation subject"/>
    <w:basedOn w:val="CommentText"/>
    <w:next w:val="CommentText"/>
    <w:link w:val="CommentSubjectChar"/>
    <w:semiHidden/>
    <w:unhideWhenUsed/>
    <w:rsid w:val="007110A2"/>
    <w:rPr>
      <w:b/>
      <w:bCs/>
    </w:rPr>
  </w:style>
  <w:style w:type="character" w:customStyle="1" w:styleId="CommentSubjectChar">
    <w:name w:val="Comment Subject Char"/>
    <w:basedOn w:val="CommentTextChar"/>
    <w:link w:val="CommentSubject"/>
    <w:semiHidden/>
    <w:rsid w:val="007110A2"/>
    <w:rPr>
      <w:rFonts w:eastAsia="SimSun"/>
      <w:b/>
      <w:bCs/>
      <w:lang w:val="en-GB" w:eastAsia="zh-CN"/>
    </w:rPr>
  </w:style>
  <w:style w:type="character" w:styleId="Mention">
    <w:name w:val="Mention"/>
    <w:basedOn w:val="DefaultParagraphFont"/>
    <w:uiPriority w:val="99"/>
    <w:unhideWhenUsed/>
    <w:rsid w:val="00543F2E"/>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unfccc.int/documents/637067" TargetMode="External"/><Relationship Id="rId21" Type="http://schemas.openxmlformats.org/officeDocument/2006/relationships/hyperlink" Target="https://unfccc.int/documents/9673" TargetMode="External"/><Relationship Id="rId42" Type="http://schemas.openxmlformats.org/officeDocument/2006/relationships/hyperlink" Target="https://unfccc.int/documents/8612" TargetMode="External"/><Relationship Id="rId63" Type="http://schemas.openxmlformats.org/officeDocument/2006/relationships/hyperlink" Target="https://unfccc.int/documents/644938" TargetMode="External"/><Relationship Id="rId84" Type="http://schemas.openxmlformats.org/officeDocument/2006/relationships/header" Target="header8.xml"/><Relationship Id="rId138" Type="http://schemas.openxmlformats.org/officeDocument/2006/relationships/hyperlink" Target="https://unfccc.int/documents/626561" TargetMode="External"/><Relationship Id="rId159" Type="http://schemas.openxmlformats.org/officeDocument/2006/relationships/hyperlink" Target="https://unfccc.int/documents/210476" TargetMode="External"/><Relationship Id="rId107" Type="http://schemas.openxmlformats.org/officeDocument/2006/relationships/hyperlink" Target="https://unfccc.int/documents/626561" TargetMode="External"/><Relationship Id="rId11" Type="http://schemas.openxmlformats.org/officeDocument/2006/relationships/endnotes" Target="endnotes.xml"/><Relationship Id="rId32" Type="http://schemas.openxmlformats.org/officeDocument/2006/relationships/header" Target="header2.xml"/><Relationship Id="rId53" Type="http://schemas.openxmlformats.org/officeDocument/2006/relationships/hyperlink" Target="https://unfccc.int/documents/626571" TargetMode="External"/><Relationship Id="rId74" Type="http://schemas.openxmlformats.org/officeDocument/2006/relationships/hyperlink" Target="https://unfccc.int/documents/637067" TargetMode="External"/><Relationship Id="rId128" Type="http://schemas.openxmlformats.org/officeDocument/2006/relationships/hyperlink" Target="https://unfccc.int/documents/210471" TargetMode="External"/><Relationship Id="rId149" Type="http://schemas.openxmlformats.org/officeDocument/2006/relationships/hyperlink" Target="https://unfccc.int/documents/626561" TargetMode="External"/><Relationship Id="rId5" Type="http://schemas.openxmlformats.org/officeDocument/2006/relationships/customXml" Target="../customXml/item5.xml"/><Relationship Id="rId95" Type="http://schemas.openxmlformats.org/officeDocument/2006/relationships/hyperlink" Target="https://unfccc.int/documents/637067" TargetMode="External"/><Relationship Id="rId160" Type="http://schemas.openxmlformats.org/officeDocument/2006/relationships/hyperlink" Target="https://unfccc.int/documents/460954" TargetMode="External"/><Relationship Id="rId22" Type="http://schemas.openxmlformats.org/officeDocument/2006/relationships/hyperlink" Target="https://unfccc.int/documents/65126" TargetMode="External"/><Relationship Id="rId43" Type="http://schemas.openxmlformats.org/officeDocument/2006/relationships/hyperlink" Target="https://unfccc.int/documents/9098" TargetMode="External"/><Relationship Id="rId64" Type="http://schemas.openxmlformats.org/officeDocument/2006/relationships/hyperlink" Target="https://unfccc.int/documents/637067" TargetMode="External"/><Relationship Id="rId118" Type="http://schemas.openxmlformats.org/officeDocument/2006/relationships/hyperlink" Target="https://unfccc.int/documents/637073" TargetMode="External"/><Relationship Id="rId139" Type="http://schemas.openxmlformats.org/officeDocument/2006/relationships/hyperlink" Target="https://unfccc.int/documents/637074" TargetMode="External"/><Relationship Id="rId85" Type="http://schemas.openxmlformats.org/officeDocument/2006/relationships/footer" Target="footer7.xml"/><Relationship Id="rId150" Type="http://schemas.openxmlformats.org/officeDocument/2006/relationships/header" Target="header15.xml"/><Relationship Id="rId12" Type="http://schemas.openxmlformats.org/officeDocument/2006/relationships/image" Target="media/image1.wmf"/><Relationship Id="rId17" Type="http://schemas.openxmlformats.org/officeDocument/2006/relationships/hyperlink" Target="https://unfccc.int/documents/8106" TargetMode="External"/><Relationship Id="rId33" Type="http://schemas.openxmlformats.org/officeDocument/2006/relationships/footer" Target="footer1.xml"/><Relationship Id="rId38" Type="http://schemas.openxmlformats.org/officeDocument/2006/relationships/hyperlink" Target="https://unfccc.int/documents/7109" TargetMode="External"/><Relationship Id="rId59" Type="http://schemas.openxmlformats.org/officeDocument/2006/relationships/header" Target="header3.xml"/><Relationship Id="rId103" Type="http://schemas.openxmlformats.org/officeDocument/2006/relationships/header" Target="header9.xml"/><Relationship Id="rId108" Type="http://schemas.openxmlformats.org/officeDocument/2006/relationships/hyperlink" Target="https://unfccc.int/documents/626569" TargetMode="External"/><Relationship Id="rId124" Type="http://schemas.openxmlformats.org/officeDocument/2006/relationships/hyperlink" Target="https://unfccc.int/documents/8613" TargetMode="External"/><Relationship Id="rId129" Type="http://schemas.openxmlformats.org/officeDocument/2006/relationships/hyperlink" Target="https://unfccc.int/documents/460955" TargetMode="External"/><Relationship Id="rId54" Type="http://schemas.openxmlformats.org/officeDocument/2006/relationships/hyperlink" Target="https://unfccc.int/documents/637067" TargetMode="External"/><Relationship Id="rId70" Type="http://schemas.openxmlformats.org/officeDocument/2006/relationships/footer" Target="footer5.xml"/><Relationship Id="rId75" Type="http://schemas.openxmlformats.org/officeDocument/2006/relationships/hyperlink" Target="https://unfccc.int/documents/637073" TargetMode="External"/><Relationship Id="rId91" Type="http://schemas.openxmlformats.org/officeDocument/2006/relationships/hyperlink" Target="https://unfccc.int/documents/626561" TargetMode="External"/><Relationship Id="rId96" Type="http://schemas.openxmlformats.org/officeDocument/2006/relationships/hyperlink" Target="https://unfccc.int/documents/637073" TargetMode="External"/><Relationship Id="rId140" Type="http://schemas.openxmlformats.org/officeDocument/2006/relationships/hyperlink" Target="https://unfccc.int/documents/637067" TargetMode="External"/><Relationship Id="rId145" Type="http://schemas.openxmlformats.org/officeDocument/2006/relationships/header" Target="header14.xml"/><Relationship Id="rId161" Type="http://schemas.openxmlformats.org/officeDocument/2006/relationships/hyperlink" Target="https://unfccc.int/documents/626563" TargetMode="External"/><Relationship Id="rId166" Type="http://schemas.openxmlformats.org/officeDocument/2006/relationships/footer" Target="footer17.xml"/><Relationship Id="rId1" Type="http://schemas.openxmlformats.org/officeDocument/2006/relationships/customXml" Target="../customXml/item1.xml"/><Relationship Id="rId6" Type="http://schemas.openxmlformats.org/officeDocument/2006/relationships/numbering" Target="numbering.xml"/><Relationship Id="rId23" Type="http://schemas.openxmlformats.org/officeDocument/2006/relationships/hyperlink" Target="https://unfccc.int/documents/193360" TargetMode="External"/><Relationship Id="rId28" Type="http://schemas.openxmlformats.org/officeDocument/2006/relationships/hyperlink" Target="https://unfccc.int/documents/6527" TargetMode="External"/><Relationship Id="rId49" Type="http://schemas.openxmlformats.org/officeDocument/2006/relationships/hyperlink" Target="https://unfccc.int/documents/460954" TargetMode="External"/><Relationship Id="rId114" Type="http://schemas.openxmlformats.org/officeDocument/2006/relationships/hyperlink" Target="https://unfccc.int/documents/637073" TargetMode="External"/><Relationship Id="rId119" Type="http://schemas.openxmlformats.org/officeDocument/2006/relationships/hyperlink" Target="https://unfccc.int/documents/637067" TargetMode="External"/><Relationship Id="rId44" Type="http://schemas.openxmlformats.org/officeDocument/2006/relationships/hyperlink" Target="https://unfccc.int/documents/9673" TargetMode="External"/><Relationship Id="rId60" Type="http://schemas.openxmlformats.org/officeDocument/2006/relationships/header" Target="header4.xml"/><Relationship Id="rId65" Type="http://schemas.openxmlformats.org/officeDocument/2006/relationships/hyperlink" Target="https://unfccc.int/documents/637073" TargetMode="External"/><Relationship Id="rId81" Type="http://schemas.openxmlformats.org/officeDocument/2006/relationships/hyperlink" Target="https://unfccc.int/documents/637067" TargetMode="External"/><Relationship Id="rId86" Type="http://schemas.openxmlformats.org/officeDocument/2006/relationships/footer" Target="footer8.xml"/><Relationship Id="rId130" Type="http://schemas.openxmlformats.org/officeDocument/2006/relationships/hyperlink" Target="https://unfccc.int/documents/626564" TargetMode="External"/><Relationship Id="rId135" Type="http://schemas.openxmlformats.org/officeDocument/2006/relationships/footer" Target="footer12.xml"/><Relationship Id="rId151" Type="http://schemas.openxmlformats.org/officeDocument/2006/relationships/footer" Target="footer15.xml"/><Relationship Id="rId156" Type="http://schemas.openxmlformats.org/officeDocument/2006/relationships/hyperlink" Target="https://unfccc.int/documents/65127" TargetMode="External"/><Relationship Id="rId13" Type="http://schemas.openxmlformats.org/officeDocument/2006/relationships/image" Target="media/image2.png"/><Relationship Id="rId18" Type="http://schemas.openxmlformats.org/officeDocument/2006/relationships/hyperlink" Target="https://unfccc.int/documents/8612" TargetMode="External"/><Relationship Id="rId39" Type="http://schemas.openxmlformats.org/officeDocument/2006/relationships/hyperlink" Target="https://unfccc.int/documents/7643" TargetMode="External"/><Relationship Id="rId109" Type="http://schemas.openxmlformats.org/officeDocument/2006/relationships/hyperlink" Target="https://unfccc.int/documents/637067" TargetMode="External"/><Relationship Id="rId34" Type="http://schemas.openxmlformats.org/officeDocument/2006/relationships/footer" Target="footer2.xml"/><Relationship Id="rId50" Type="http://schemas.openxmlformats.org/officeDocument/2006/relationships/hyperlink" Target="https://unfccc.int/documents/626563" TargetMode="External"/><Relationship Id="rId55" Type="http://schemas.openxmlformats.org/officeDocument/2006/relationships/hyperlink" Target="https://unfccc.int/documents/637074" TargetMode="External"/><Relationship Id="rId76" Type="http://schemas.openxmlformats.org/officeDocument/2006/relationships/hyperlink" Target="https://unfccc.int/documents/637067" TargetMode="External"/><Relationship Id="rId97" Type="http://schemas.openxmlformats.org/officeDocument/2006/relationships/hyperlink" Target="https://unfccc.int/documents/637067" TargetMode="External"/><Relationship Id="rId104" Type="http://schemas.openxmlformats.org/officeDocument/2006/relationships/header" Target="header10.xml"/><Relationship Id="rId120" Type="http://schemas.openxmlformats.org/officeDocument/2006/relationships/hyperlink" Target="https://unfccc.int/documents/637073" TargetMode="External"/><Relationship Id="rId125" Type="http://schemas.openxmlformats.org/officeDocument/2006/relationships/hyperlink" Target="https://unfccc.int/documents/9097" TargetMode="External"/><Relationship Id="rId141" Type="http://schemas.openxmlformats.org/officeDocument/2006/relationships/hyperlink" Target="https://unfccc.int/documents/626571" TargetMode="External"/><Relationship Id="rId146" Type="http://schemas.openxmlformats.org/officeDocument/2006/relationships/footer" Target="footer13.xml"/><Relationship Id="rId167" Type="http://schemas.openxmlformats.org/officeDocument/2006/relationships/fontTable" Target="fontTable.xml"/><Relationship Id="rId7" Type="http://schemas.openxmlformats.org/officeDocument/2006/relationships/styles" Target="styles.xml"/><Relationship Id="rId71" Type="http://schemas.openxmlformats.org/officeDocument/2006/relationships/footer" Target="footer6.xml"/><Relationship Id="rId92" Type="http://schemas.openxmlformats.org/officeDocument/2006/relationships/hyperlink" Target="https://unfccc.int/documents/626569" TargetMode="External"/><Relationship Id="rId162" Type="http://schemas.openxmlformats.org/officeDocument/2006/relationships/hyperlink" Target="https://unfccc.int/documents/637067" TargetMode="External"/><Relationship Id="rId2" Type="http://schemas.openxmlformats.org/officeDocument/2006/relationships/customXml" Target="../customXml/item2.xml"/><Relationship Id="rId29" Type="http://schemas.openxmlformats.org/officeDocument/2006/relationships/hyperlink" Target="https://unfccc.int/documents/9097" TargetMode="External"/><Relationship Id="rId24" Type="http://schemas.openxmlformats.org/officeDocument/2006/relationships/hyperlink" Target="https://unfccc.int/documents/460954" TargetMode="External"/><Relationship Id="rId40" Type="http://schemas.openxmlformats.org/officeDocument/2006/relationships/hyperlink" Target="https://unfccc.int/documents/8106" TargetMode="External"/><Relationship Id="rId45" Type="http://schemas.openxmlformats.org/officeDocument/2006/relationships/hyperlink" Target="https://unfccc.int/documents/65126" TargetMode="External"/><Relationship Id="rId66" Type="http://schemas.openxmlformats.org/officeDocument/2006/relationships/hyperlink" Target="https://unfccc.int/documents/626563" TargetMode="External"/><Relationship Id="rId87" Type="http://schemas.openxmlformats.org/officeDocument/2006/relationships/hyperlink" Target="https://unfccc.int/documents/626561" TargetMode="External"/><Relationship Id="rId110" Type="http://schemas.openxmlformats.org/officeDocument/2006/relationships/hyperlink" Target="https://unfccc.int/documents/637073" TargetMode="External"/><Relationship Id="rId115" Type="http://schemas.openxmlformats.org/officeDocument/2006/relationships/hyperlink" Target="https://unfccc.int/documents/637067" TargetMode="External"/><Relationship Id="rId131" Type="http://schemas.openxmlformats.org/officeDocument/2006/relationships/hyperlink" Target="https://unfccc.int/documents/637071" TargetMode="External"/><Relationship Id="rId136" Type="http://schemas.openxmlformats.org/officeDocument/2006/relationships/hyperlink" Target="https://unfccc.int/documents/644944" TargetMode="External"/><Relationship Id="rId157" Type="http://schemas.openxmlformats.org/officeDocument/2006/relationships/hyperlink" Target="https://unfccc.int/documents/193361" TargetMode="External"/><Relationship Id="rId61" Type="http://schemas.openxmlformats.org/officeDocument/2006/relationships/footer" Target="footer3.xml"/><Relationship Id="rId82" Type="http://schemas.openxmlformats.org/officeDocument/2006/relationships/hyperlink" Target="https://unfccc.int/documents/637073" TargetMode="External"/><Relationship Id="rId152" Type="http://schemas.openxmlformats.org/officeDocument/2006/relationships/hyperlink" Target="https://unfccc.int/documents/7109" TargetMode="External"/><Relationship Id="rId19" Type="http://schemas.openxmlformats.org/officeDocument/2006/relationships/hyperlink" Target="https://unfccc.int/documents/9097" TargetMode="External"/><Relationship Id="rId14" Type="http://schemas.openxmlformats.org/officeDocument/2006/relationships/hyperlink" Target="https://unfccc.int/documents/6527" TargetMode="External"/><Relationship Id="rId30" Type="http://schemas.openxmlformats.org/officeDocument/2006/relationships/hyperlink" Target="https://unfccc.int/documents/65126" TargetMode="External"/><Relationship Id="rId35" Type="http://schemas.openxmlformats.org/officeDocument/2006/relationships/hyperlink" Target="https://unfccc.int/documents/1030" TargetMode="External"/><Relationship Id="rId56" Type="http://schemas.openxmlformats.org/officeDocument/2006/relationships/hyperlink" Target="https://unfccc.int/documents/644938" TargetMode="External"/><Relationship Id="rId77" Type="http://schemas.openxmlformats.org/officeDocument/2006/relationships/hyperlink" Target="https://unfccc.int/documents/637073" TargetMode="External"/><Relationship Id="rId100" Type="http://schemas.openxmlformats.org/officeDocument/2006/relationships/hyperlink" Target="https://unfccc.int/documents/637073" TargetMode="External"/><Relationship Id="rId105" Type="http://schemas.openxmlformats.org/officeDocument/2006/relationships/footer" Target="footer9.xml"/><Relationship Id="rId126" Type="http://schemas.openxmlformats.org/officeDocument/2006/relationships/hyperlink" Target="https://unfccc.int/documents/9674" TargetMode="External"/><Relationship Id="rId147" Type="http://schemas.openxmlformats.org/officeDocument/2006/relationships/footer" Target="footer14.xml"/><Relationship Id="rId168"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yperlink" Target="https://unfccc.int/documents/210477" TargetMode="External"/><Relationship Id="rId72" Type="http://schemas.openxmlformats.org/officeDocument/2006/relationships/hyperlink" Target="https://unfccc.int/documents/626561" TargetMode="External"/><Relationship Id="rId93" Type="http://schemas.openxmlformats.org/officeDocument/2006/relationships/hyperlink" Target="https://unfccc.int/documents/637067" TargetMode="External"/><Relationship Id="rId98" Type="http://schemas.openxmlformats.org/officeDocument/2006/relationships/hyperlink" Target="https://unfccc.int/documents/637073" TargetMode="External"/><Relationship Id="rId121" Type="http://schemas.openxmlformats.org/officeDocument/2006/relationships/hyperlink" Target="https://unfccc.int/documents/2521" TargetMode="External"/><Relationship Id="rId142" Type="http://schemas.openxmlformats.org/officeDocument/2006/relationships/hyperlink" Target="https://unfccc.int/documents/626561" TargetMode="External"/><Relationship Id="rId163" Type="http://schemas.openxmlformats.org/officeDocument/2006/relationships/header" Target="header16.xml"/><Relationship Id="rId3" Type="http://schemas.openxmlformats.org/officeDocument/2006/relationships/customXml" Target="../customXml/item3.xml"/><Relationship Id="rId25" Type="http://schemas.openxmlformats.org/officeDocument/2006/relationships/hyperlink" Target="https://unfccc.int/documents/460954" TargetMode="External"/><Relationship Id="rId46" Type="http://schemas.openxmlformats.org/officeDocument/2006/relationships/hyperlink" Target="https://unfccc.int/documents/65126" TargetMode="External"/><Relationship Id="rId67" Type="http://schemas.openxmlformats.org/officeDocument/2006/relationships/hyperlink" Target="https://unfccc.int/documents/644938" TargetMode="External"/><Relationship Id="rId116" Type="http://schemas.openxmlformats.org/officeDocument/2006/relationships/hyperlink" Target="https://unfccc.int/documents/637073" TargetMode="External"/><Relationship Id="rId137" Type="http://schemas.openxmlformats.org/officeDocument/2006/relationships/hyperlink" Target="https://unfccc.int/documents/626571" TargetMode="External"/><Relationship Id="rId158" Type="http://schemas.openxmlformats.org/officeDocument/2006/relationships/hyperlink" Target="https://unfccc.int/documents/193361" TargetMode="External"/><Relationship Id="rId20" Type="http://schemas.openxmlformats.org/officeDocument/2006/relationships/hyperlink" Target="https://unfccc.int/documents/9098" TargetMode="External"/><Relationship Id="rId41" Type="http://schemas.openxmlformats.org/officeDocument/2006/relationships/hyperlink" Target="https://unfccc.int/documents/8106" TargetMode="External"/><Relationship Id="rId62" Type="http://schemas.openxmlformats.org/officeDocument/2006/relationships/footer" Target="footer4.xml"/><Relationship Id="rId83" Type="http://schemas.openxmlformats.org/officeDocument/2006/relationships/header" Target="header7.xml"/><Relationship Id="rId88" Type="http://schemas.openxmlformats.org/officeDocument/2006/relationships/hyperlink" Target="https://unfccc.int/documents/626569" TargetMode="External"/><Relationship Id="rId111" Type="http://schemas.openxmlformats.org/officeDocument/2006/relationships/hyperlink" Target="https://unfccc.int/documents/626561" TargetMode="External"/><Relationship Id="rId132" Type="http://schemas.openxmlformats.org/officeDocument/2006/relationships/header" Target="header11.xml"/><Relationship Id="rId153" Type="http://schemas.openxmlformats.org/officeDocument/2006/relationships/hyperlink" Target="https://unfccc.int/documents/9097" TargetMode="External"/><Relationship Id="rId15" Type="http://schemas.openxmlformats.org/officeDocument/2006/relationships/hyperlink" Target="https://unfccc.int/documents/7109" TargetMode="External"/><Relationship Id="rId36" Type="http://schemas.openxmlformats.org/officeDocument/2006/relationships/hyperlink" Target="https://unfccc.int/documents/1304" TargetMode="External"/><Relationship Id="rId57" Type="http://schemas.openxmlformats.org/officeDocument/2006/relationships/hyperlink" Target="https://unfccc.int/documents/7109" TargetMode="External"/><Relationship Id="rId106" Type="http://schemas.openxmlformats.org/officeDocument/2006/relationships/footer" Target="footer10.xml"/><Relationship Id="rId127" Type="http://schemas.openxmlformats.org/officeDocument/2006/relationships/hyperlink" Target="https://unfccc.int/documents/65126" TargetMode="External"/><Relationship Id="rId10" Type="http://schemas.openxmlformats.org/officeDocument/2006/relationships/footnotes" Target="footnotes.xml"/><Relationship Id="rId31" Type="http://schemas.openxmlformats.org/officeDocument/2006/relationships/header" Target="header1.xml"/><Relationship Id="rId52" Type="http://schemas.openxmlformats.org/officeDocument/2006/relationships/hyperlink" Target="https://unfccc.int/documents/460952" TargetMode="External"/><Relationship Id="rId73" Type="http://schemas.openxmlformats.org/officeDocument/2006/relationships/hyperlink" Target="https://unfccc.int/documents/626569" TargetMode="External"/><Relationship Id="rId78" Type="http://schemas.openxmlformats.org/officeDocument/2006/relationships/hyperlink" Target="https://unfccc.int/documents/637067" TargetMode="External"/><Relationship Id="rId94" Type="http://schemas.openxmlformats.org/officeDocument/2006/relationships/hyperlink" Target="https://unfccc.int/documents/637073" TargetMode="External"/><Relationship Id="rId99" Type="http://schemas.openxmlformats.org/officeDocument/2006/relationships/hyperlink" Target="https://unfccc.int/documents/637067" TargetMode="External"/><Relationship Id="rId101" Type="http://schemas.openxmlformats.org/officeDocument/2006/relationships/hyperlink" Target="https://unfccc.int/documents/637067" TargetMode="External"/><Relationship Id="rId122" Type="http://schemas.openxmlformats.org/officeDocument/2006/relationships/hyperlink" Target="https://unfccc.int/documents/6527" TargetMode="External"/><Relationship Id="rId143" Type="http://schemas.openxmlformats.org/officeDocument/2006/relationships/hyperlink" Target="https://unfccc.int/documents/626571" TargetMode="External"/><Relationship Id="rId148" Type="http://schemas.openxmlformats.org/officeDocument/2006/relationships/hyperlink" Target="https://unfccc.int/documents/5568" TargetMode="External"/><Relationship Id="rId164" Type="http://schemas.openxmlformats.org/officeDocument/2006/relationships/header" Target="header17.xml"/><Relationship Id="rId4" Type="http://schemas.openxmlformats.org/officeDocument/2006/relationships/customXml" Target="../customXml/item4.xml"/><Relationship Id="rId9" Type="http://schemas.openxmlformats.org/officeDocument/2006/relationships/webSettings" Target="webSettings.xml"/><Relationship Id="rId26" Type="http://schemas.openxmlformats.org/officeDocument/2006/relationships/hyperlink" Target="https://unfccc.int/documents/626563" TargetMode="External"/><Relationship Id="rId47" Type="http://schemas.openxmlformats.org/officeDocument/2006/relationships/hyperlink" Target="https://unfccc.int/documents/193360" TargetMode="External"/><Relationship Id="rId68" Type="http://schemas.openxmlformats.org/officeDocument/2006/relationships/header" Target="header5.xml"/><Relationship Id="rId89" Type="http://schemas.openxmlformats.org/officeDocument/2006/relationships/hyperlink" Target="https://unfccc.int/documents/637067" TargetMode="External"/><Relationship Id="rId112" Type="http://schemas.openxmlformats.org/officeDocument/2006/relationships/hyperlink" Target="https://unfccc.int/documents/626569" TargetMode="External"/><Relationship Id="rId133" Type="http://schemas.openxmlformats.org/officeDocument/2006/relationships/header" Target="header12.xml"/><Relationship Id="rId154" Type="http://schemas.openxmlformats.org/officeDocument/2006/relationships/hyperlink" Target="https://unfccc.int/documents/9674" TargetMode="External"/><Relationship Id="rId16" Type="http://schemas.openxmlformats.org/officeDocument/2006/relationships/hyperlink" Target="https://unfccc.int/documents/7643" TargetMode="External"/><Relationship Id="rId37" Type="http://schemas.openxmlformats.org/officeDocument/2006/relationships/hyperlink" Target="https://unfccc.int/documents/6527" TargetMode="External"/><Relationship Id="rId58" Type="http://schemas.openxmlformats.org/officeDocument/2006/relationships/hyperlink" Target="https://unfccc.int/documents/6527" TargetMode="External"/><Relationship Id="rId79" Type="http://schemas.openxmlformats.org/officeDocument/2006/relationships/hyperlink" Target="https://unfccc.int/documents/637073" TargetMode="External"/><Relationship Id="rId102" Type="http://schemas.openxmlformats.org/officeDocument/2006/relationships/hyperlink" Target="https://unfccc.int/documents/637073" TargetMode="External"/><Relationship Id="rId123" Type="http://schemas.openxmlformats.org/officeDocument/2006/relationships/hyperlink" Target="https://unfccc.int/documents/7645" TargetMode="External"/><Relationship Id="rId144" Type="http://schemas.openxmlformats.org/officeDocument/2006/relationships/header" Target="header13.xml"/><Relationship Id="rId90" Type="http://schemas.openxmlformats.org/officeDocument/2006/relationships/hyperlink" Target="https://unfccc.int/documents/637073" TargetMode="External"/><Relationship Id="rId165" Type="http://schemas.openxmlformats.org/officeDocument/2006/relationships/footer" Target="footer16.xml"/><Relationship Id="rId27" Type="http://schemas.openxmlformats.org/officeDocument/2006/relationships/hyperlink" Target="https://unfccc.int/documents/637067" TargetMode="External"/><Relationship Id="rId48" Type="http://schemas.openxmlformats.org/officeDocument/2006/relationships/hyperlink" Target="https://unfccc.int/documents/210476" TargetMode="External"/><Relationship Id="rId69" Type="http://schemas.openxmlformats.org/officeDocument/2006/relationships/header" Target="header6.xml"/><Relationship Id="rId113" Type="http://schemas.openxmlformats.org/officeDocument/2006/relationships/hyperlink" Target="https://unfccc.int/documents/637067" TargetMode="External"/><Relationship Id="rId134" Type="http://schemas.openxmlformats.org/officeDocument/2006/relationships/footer" Target="footer11.xml"/><Relationship Id="rId80" Type="http://schemas.openxmlformats.org/officeDocument/2006/relationships/hyperlink" Target="https://unfccc.int/documents/641397" TargetMode="External"/><Relationship Id="rId155" Type="http://schemas.openxmlformats.org/officeDocument/2006/relationships/hyperlink" Target="https://unfccc.int/documents/9674"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s://unfccc.int/documents/641870" TargetMode="External"/><Relationship Id="rId21" Type="http://schemas.openxmlformats.org/officeDocument/2006/relationships/hyperlink" Target="https://unfccc.int/documents/65780" TargetMode="External"/><Relationship Id="rId42" Type="http://schemas.openxmlformats.org/officeDocument/2006/relationships/hyperlink" Target="https://unfccc.int/documents/639404" TargetMode="External"/><Relationship Id="rId47" Type="http://schemas.openxmlformats.org/officeDocument/2006/relationships/hyperlink" Target="https://unfccc.int/documents/28208" TargetMode="External"/><Relationship Id="rId63" Type="http://schemas.openxmlformats.org/officeDocument/2006/relationships/hyperlink" Target="https://unfccc.int/documents/641794" TargetMode="External"/><Relationship Id="rId68" Type="http://schemas.openxmlformats.org/officeDocument/2006/relationships/hyperlink" Target="https://unfccc.int/documents/6527" TargetMode="External"/><Relationship Id="rId7" Type="http://schemas.openxmlformats.org/officeDocument/2006/relationships/hyperlink" Target="https://unfccc.int/topics/climate-finance/workstreams/needs-report" TargetMode="External"/><Relationship Id="rId71" Type="http://schemas.openxmlformats.org/officeDocument/2006/relationships/hyperlink" Target="https://unfccc.int/documents/302658" TargetMode="External"/><Relationship Id="rId2" Type="http://schemas.openxmlformats.org/officeDocument/2006/relationships/hyperlink" Target="https://unfccc.int/documents/641041" TargetMode="External"/><Relationship Id="rId16" Type="http://schemas.openxmlformats.org/officeDocument/2006/relationships/hyperlink" Target="https://unfccc.int/documents/641871" TargetMode="External"/><Relationship Id="rId29" Type="http://schemas.openxmlformats.org/officeDocument/2006/relationships/hyperlink" Target="https://www4.unfccc.int/sites/submissionsstaging/Pages/Home.aspx" TargetMode="External"/><Relationship Id="rId11" Type="http://schemas.openxmlformats.org/officeDocument/2006/relationships/hyperlink" Target="https://unfccc.int/documents/8106" TargetMode="External"/><Relationship Id="rId24" Type="http://schemas.openxmlformats.org/officeDocument/2006/relationships/hyperlink" Target="https://unfccc.int/documents/8106" TargetMode="External"/><Relationship Id="rId32" Type="http://schemas.openxmlformats.org/officeDocument/2006/relationships/hyperlink" Target="https://unfccc.int/documents/641785" TargetMode="External"/><Relationship Id="rId37" Type="http://schemas.openxmlformats.org/officeDocument/2006/relationships/hyperlink" Target="https://www4.unfccc.int/sites/submissionsstaging/Pages/Home.aspx" TargetMode="External"/><Relationship Id="rId40" Type="http://schemas.openxmlformats.org/officeDocument/2006/relationships/hyperlink" Target="https://unfccc.int/documents/637067" TargetMode="External"/><Relationship Id="rId45" Type="http://schemas.openxmlformats.org/officeDocument/2006/relationships/hyperlink" Target="https://unfccc.int/documents/8862" TargetMode="External"/><Relationship Id="rId53" Type="http://schemas.openxmlformats.org/officeDocument/2006/relationships/hyperlink" Target="https://unfccc.int/documents/631338" TargetMode="External"/><Relationship Id="rId58" Type="http://schemas.openxmlformats.org/officeDocument/2006/relationships/hyperlink" Target="https://unfccc.int/documents/640605" TargetMode="External"/><Relationship Id="rId66" Type="http://schemas.openxmlformats.org/officeDocument/2006/relationships/hyperlink" Target="https://unfccc.int/documents/637073" TargetMode="External"/><Relationship Id="rId5" Type="http://schemas.openxmlformats.org/officeDocument/2006/relationships/hyperlink" Target="https://unfccc.int/topics/climate-finance/resources/biennial-assessment-and-overview-of-climate-finance-flows" TargetMode="External"/><Relationship Id="rId61" Type="http://schemas.openxmlformats.org/officeDocument/2006/relationships/hyperlink" Target="https://unfccc.int/documents/620153" TargetMode="External"/><Relationship Id="rId19" Type="http://schemas.openxmlformats.org/officeDocument/2006/relationships/hyperlink" Target="https://unfccc.int/documents/637067" TargetMode="External"/><Relationship Id="rId14" Type="http://schemas.openxmlformats.org/officeDocument/2006/relationships/hyperlink" Target="https://unfccc.int/documents/637067" TargetMode="External"/><Relationship Id="rId22" Type="http://schemas.openxmlformats.org/officeDocument/2006/relationships/hyperlink" Target="https://www4.unfccc.int/sites/submissionsstaging/Pages/Home.aspx" TargetMode="External"/><Relationship Id="rId27" Type="http://schemas.openxmlformats.org/officeDocument/2006/relationships/hyperlink" Target="https://unfccc.int/documents/641149" TargetMode="External"/><Relationship Id="rId30" Type="http://schemas.openxmlformats.org/officeDocument/2006/relationships/hyperlink" Target="https://unfccc.int/documents/9097" TargetMode="External"/><Relationship Id="rId35" Type="http://schemas.openxmlformats.org/officeDocument/2006/relationships/hyperlink" Target="https://unfccc.int/documents/637067" TargetMode="External"/><Relationship Id="rId43" Type="http://schemas.openxmlformats.org/officeDocument/2006/relationships/hyperlink" Target="https://unfccc.int/documents/7892" TargetMode="External"/><Relationship Id="rId48" Type="http://schemas.openxmlformats.org/officeDocument/2006/relationships/hyperlink" Target="https://unfccc.int/documents/182457" TargetMode="External"/><Relationship Id="rId56" Type="http://schemas.openxmlformats.org/officeDocument/2006/relationships/hyperlink" Target="https://unfccc.int/documents/640613" TargetMode="External"/><Relationship Id="rId64" Type="http://schemas.openxmlformats.org/officeDocument/2006/relationships/hyperlink" Target="https://unfccc.int/documents/644148" TargetMode="External"/><Relationship Id="rId69" Type="http://schemas.openxmlformats.org/officeDocument/2006/relationships/hyperlink" Target="https://unfccc.int/documents/7109" TargetMode="External"/><Relationship Id="rId8" Type="http://schemas.openxmlformats.org/officeDocument/2006/relationships/hyperlink" Target="https://unfccc.int/documents/641151" TargetMode="External"/><Relationship Id="rId51" Type="http://schemas.openxmlformats.org/officeDocument/2006/relationships/hyperlink" Target="https://unfccc.int/documents/302672" TargetMode="External"/><Relationship Id="rId72" Type="http://schemas.openxmlformats.org/officeDocument/2006/relationships/hyperlink" Target="https://unfccc.int/documents/611561" TargetMode="External"/><Relationship Id="rId3" Type="http://schemas.openxmlformats.org/officeDocument/2006/relationships/hyperlink" Target="https://unfccc.int/documents/641042" TargetMode="External"/><Relationship Id="rId12" Type="http://schemas.openxmlformats.org/officeDocument/2006/relationships/hyperlink" Target="https://unfccc.int/documents/641149" TargetMode="External"/><Relationship Id="rId17" Type="http://schemas.openxmlformats.org/officeDocument/2006/relationships/hyperlink" Target="https://unfccc.int/documents/7109" TargetMode="External"/><Relationship Id="rId25" Type="http://schemas.openxmlformats.org/officeDocument/2006/relationships/hyperlink" Target="https://unfccc.int/documents/640962" TargetMode="External"/><Relationship Id="rId33" Type="http://schemas.openxmlformats.org/officeDocument/2006/relationships/hyperlink" Target="https://unfccc.int/documents/637067" TargetMode="External"/><Relationship Id="rId38" Type="http://schemas.openxmlformats.org/officeDocument/2006/relationships/hyperlink" Target="https://unfccc.int/documents/641046" TargetMode="External"/><Relationship Id="rId46" Type="http://schemas.openxmlformats.org/officeDocument/2006/relationships/hyperlink" Target="https://unfccc.int/documents/9412" TargetMode="External"/><Relationship Id="rId59" Type="http://schemas.openxmlformats.org/officeDocument/2006/relationships/hyperlink" Target="https://unfccc.int/documents/641794" TargetMode="External"/><Relationship Id="rId67" Type="http://schemas.openxmlformats.org/officeDocument/2006/relationships/hyperlink" Target="https://unfccc.int/ttclear/tec/workplan" TargetMode="External"/><Relationship Id="rId20" Type="http://schemas.openxmlformats.org/officeDocument/2006/relationships/hyperlink" Target="https://unfccc.int/documents/8106" TargetMode="External"/><Relationship Id="rId41" Type="http://schemas.openxmlformats.org/officeDocument/2006/relationships/hyperlink" Target="https://unfccc.int/documents/638589" TargetMode="External"/><Relationship Id="rId54" Type="http://schemas.openxmlformats.org/officeDocument/2006/relationships/hyperlink" Target="https://unfccc.int/documents/640697" TargetMode="External"/><Relationship Id="rId62" Type="http://schemas.openxmlformats.org/officeDocument/2006/relationships/hyperlink" Target="https://unfccc.int/documents/640605" TargetMode="External"/><Relationship Id="rId70" Type="http://schemas.openxmlformats.org/officeDocument/2006/relationships/hyperlink" Target="https://unfccc.int/documents/28205" TargetMode="External"/><Relationship Id="rId1" Type="http://schemas.openxmlformats.org/officeDocument/2006/relationships/hyperlink" Target="https://unfccc.int/process-and-meetings/bodies/constituted-bodies/standing-committee-on-finance-scf/progress-report" TargetMode="External"/><Relationship Id="rId6" Type="http://schemas.openxmlformats.org/officeDocument/2006/relationships/hyperlink" Target="https://unfccc.int/documents/641050" TargetMode="External"/><Relationship Id="rId15" Type="http://schemas.openxmlformats.org/officeDocument/2006/relationships/hyperlink" Target="https://unfccc.int/documents/640967" TargetMode="External"/><Relationship Id="rId23" Type="http://schemas.openxmlformats.org/officeDocument/2006/relationships/hyperlink" Target="https://unfccc.int/documents/9097" TargetMode="External"/><Relationship Id="rId28" Type="http://schemas.openxmlformats.org/officeDocument/2006/relationships/hyperlink" Target="https://unfccc.int/documents/65780" TargetMode="External"/><Relationship Id="rId36" Type="http://schemas.openxmlformats.org/officeDocument/2006/relationships/hyperlink" Target="https://unfccc.int/documents/637073" TargetMode="External"/><Relationship Id="rId49" Type="http://schemas.openxmlformats.org/officeDocument/2006/relationships/hyperlink" Target="https://unfccc.int/documents/200110" TargetMode="External"/><Relationship Id="rId57" Type="http://schemas.openxmlformats.org/officeDocument/2006/relationships/hyperlink" Target="https://www4.unfccc.int/sites/submissionsstaging/Pages/Home.aspx" TargetMode="External"/><Relationship Id="rId10" Type="http://schemas.openxmlformats.org/officeDocument/2006/relationships/hyperlink" Target="https://unfccc.int/documents/641150" TargetMode="External"/><Relationship Id="rId31" Type="http://schemas.openxmlformats.org/officeDocument/2006/relationships/hyperlink" Target="https://unfccc.int/documents/641397" TargetMode="External"/><Relationship Id="rId44" Type="http://schemas.openxmlformats.org/officeDocument/2006/relationships/hyperlink" Target="https://unfccc.int/documents/8424" TargetMode="External"/><Relationship Id="rId52" Type="http://schemas.openxmlformats.org/officeDocument/2006/relationships/hyperlink" Target="https://unfccc.int/documents/611303" TargetMode="External"/><Relationship Id="rId60" Type="http://schemas.openxmlformats.org/officeDocument/2006/relationships/hyperlink" Target="https://unfccc.int/documents/644148" TargetMode="External"/><Relationship Id="rId65" Type="http://schemas.openxmlformats.org/officeDocument/2006/relationships/hyperlink" Target="https://unfccc.int/documents/644944" TargetMode="External"/><Relationship Id="rId4" Type="http://schemas.openxmlformats.org/officeDocument/2006/relationships/hyperlink" Target="https://unfccc.int/documents/641042" TargetMode="External"/><Relationship Id="rId9" Type="http://schemas.openxmlformats.org/officeDocument/2006/relationships/hyperlink" Target="https://unfccc.int/sites/default/files/resource/Common_Practices_Technical_Report.pdf" TargetMode="External"/><Relationship Id="rId13" Type="http://schemas.openxmlformats.org/officeDocument/2006/relationships/hyperlink" Target="https://unfccc.int/documents/626563" TargetMode="External"/><Relationship Id="rId18" Type="http://schemas.openxmlformats.org/officeDocument/2006/relationships/hyperlink" Target="https://unfccc.int/documents/641149" TargetMode="External"/><Relationship Id="rId39" Type="http://schemas.openxmlformats.org/officeDocument/2006/relationships/hyperlink" Target="https://unfccc.int/documents/641397" TargetMode="External"/><Relationship Id="rId34" Type="http://schemas.openxmlformats.org/officeDocument/2006/relationships/hyperlink" Target="https://unfccc.int/documents/637073" TargetMode="External"/><Relationship Id="rId50" Type="http://schemas.openxmlformats.org/officeDocument/2006/relationships/hyperlink" Target="https://unfccc.int/documents/254399" TargetMode="External"/><Relationship Id="rId55" Type="http://schemas.openxmlformats.org/officeDocument/2006/relationships/hyperlink" Target="https://unfccc.int/topics/gender/workstreams/gender-action-plan/gender-bala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3B27815B4C26448A2AC74C6D94E050B" ma:contentTypeVersion="8" ma:contentTypeDescription="Create a new document." ma:contentTypeScope="" ma:versionID="6ffa0712ecd82cce7b1239dd2070572f">
  <xsd:schema xmlns:xsd="http://www.w3.org/2001/XMLSchema" xmlns:xs="http://www.w3.org/2001/XMLSchema" xmlns:p="http://schemas.microsoft.com/office/2006/metadata/properties" xmlns:ns2="4dd5ddbf-e371-4d30-9213-f0ad543fb2ce" xmlns:ns3="21fd8bfc-cd85-4899-a616-986da4216f81" targetNamespace="http://schemas.microsoft.com/office/2006/metadata/properties" ma:root="true" ma:fieldsID="c076c663aa839f0e018f231316d189b8" ns2:_="" ns3:_="">
    <xsd:import namespace="4dd5ddbf-e371-4d30-9213-f0ad543fb2ce"/>
    <xsd:import namespace="21fd8bfc-cd85-4899-a616-986da4216f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d5ddbf-e371-4d30-9213-f0ad543fb2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1fd8bfc-cd85-4899-a616-986da4216f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9d8c265a-5436-43a7-80c1-713d2827ffde" ContentTypeId="0x0101" PreviousValue="fals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34AC7-5C63-48E6-A9B5-0C88769E8D38}">
  <ds:schemaRefs>
    <ds:schemaRef ds:uri="http://schemas.microsoft.com/sharepoint/v3/contenttype/forms"/>
  </ds:schemaRefs>
</ds:datastoreItem>
</file>

<file path=customXml/itemProps2.xml><?xml version="1.0" encoding="utf-8"?>
<ds:datastoreItem xmlns:ds="http://schemas.openxmlformats.org/officeDocument/2006/customXml" ds:itemID="{ADC407D4-6B33-4A9E-BFBB-2645B1CB5A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d5ddbf-e371-4d30-9213-f0ad543fb2ce"/>
    <ds:schemaRef ds:uri="21fd8bfc-cd85-4899-a616-986da4216f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426F01-4F29-47D5-A770-B72DC3D9A296}">
  <ds:schemaRefs>
    <ds:schemaRef ds:uri="Microsoft.SharePoint.Taxonomy.ContentTypeSync"/>
  </ds:schemaRefs>
</ds:datastoreItem>
</file>

<file path=customXml/itemProps4.xml><?xml version="1.0" encoding="utf-8"?>
<ds:datastoreItem xmlns:ds="http://schemas.openxmlformats.org/officeDocument/2006/customXml" ds:itemID="{A7566FCD-B244-4C63-8A3E-FB7CC6B94401}">
  <ds:schemaRefs>
    <ds:schemaRef ds:uri="http://schemas.openxmlformats.org/package/2006/metadata/core-properties"/>
    <ds:schemaRef ds:uri="http://schemas.microsoft.com/office/2006/metadata/properties"/>
    <ds:schemaRef ds:uri="http://www.w3.org/XML/1998/namespace"/>
    <ds:schemaRef ds:uri="http://schemas.microsoft.com/office/2006/documentManagement/types"/>
    <ds:schemaRef ds:uri="http://purl.org/dc/elements/1.1/"/>
    <ds:schemaRef ds:uri="http://purl.org/dc/dcmitype/"/>
    <ds:schemaRef ds:uri="http://schemas.microsoft.com/office/infopath/2007/PartnerControls"/>
    <ds:schemaRef ds:uri="21fd8bfc-cd85-4899-a616-986da4216f81"/>
    <ds:schemaRef ds:uri="4dd5ddbf-e371-4d30-9213-f0ad543fb2ce"/>
    <ds:schemaRef ds:uri="http://purl.org/dc/terms/"/>
  </ds:schemaRefs>
</ds:datastoreItem>
</file>

<file path=customXml/itemProps5.xml><?xml version="1.0" encoding="utf-8"?>
<ds:datastoreItem xmlns:ds="http://schemas.openxmlformats.org/officeDocument/2006/customXml" ds:itemID="{578656E9-91E6-42F3-B922-D2291B890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FCCC.dotm</Template>
  <TotalTime>1</TotalTime>
  <Pages>35</Pages>
  <Words>13576</Words>
  <Characters>77386</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Report of the Conference of the Parties on its twenty-ninth session. Addendum</vt:lpstr>
    </vt:vector>
  </TitlesOfParts>
  <Company>UNFCCC</Company>
  <LinksUpToDate>false</LinksUpToDate>
  <CharactersWithSpaces>90781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Conference of the Parties on its twenty-ninth session. Addendum</dc:title>
  <dc:subject/>
  <dc:creator>unfccc</dc:creator>
  <cp:keywords/>
  <dc:description>Updated for COP28</dc:description>
  <cp:lastModifiedBy>Corinne Loeschner</cp:lastModifiedBy>
  <cp:revision>5</cp:revision>
  <cp:lastPrinted>2022-09-19T18:19:00Z</cp:lastPrinted>
  <dcterms:created xsi:type="dcterms:W3CDTF">2025-03-27T14:40:00Z</dcterms:created>
  <dcterms:modified xsi:type="dcterms:W3CDTF">2025-04-01T07:59:00Z</dcterms:modified>
  <cp:category>UNFCCC Template 2023</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v.September2022</vt:lpwstr>
  </property>
  <property fmtid="{D5CDD505-2E9C-101B-9397-08002B2CF9AE}" pid="3" name="originalCreationDate">
    <vt:lpwstr>4/4/2024 15:24:08</vt:lpwstr>
  </property>
  <property fmtid="{D5CDD505-2E9C-101B-9397-08002B2CF9AE}" pid="4" name="ContentTypeId">
    <vt:lpwstr>0x01010093B27815B4C26448A2AC74C6D94E050B</vt:lpwstr>
  </property>
  <property fmtid="{D5CDD505-2E9C-101B-9397-08002B2CF9AE}" pid="5" name="_dlc_DocIdItemGuid">
    <vt:lpwstr>30708aa3-2546-4c75-b45f-4424ff966399</vt:lpwstr>
  </property>
  <property fmtid="{D5CDD505-2E9C-101B-9397-08002B2CF9AE}" pid="6" name="fccc_body">
    <vt:lpwstr>10;#Conference of the Parties (COP)|c73e7bf0-e1b5-41ee-ac74-00f3478c6be0</vt:lpwstr>
  </property>
  <property fmtid="{D5CDD505-2E9C-101B-9397-08002B2CF9AE}" pid="7" name="MediaServiceImageTags">
    <vt:lpwstr/>
  </property>
  <property fmtid="{D5CDD505-2E9C-101B-9397-08002B2CF9AE}" pid="8" name="kb2e315405fe407aa7f85ff4a1d5bcda">
    <vt:lpwstr/>
  </property>
  <property fmtid="{D5CDD505-2E9C-101B-9397-08002B2CF9AE}" pid="9" name="fccc_substantive_topic">
    <vt:lpwstr>46;#Sessional proceedings|ff7bdb8c-f4ee-4fbb-ab88-7747669b7746</vt:lpwstr>
  </property>
  <property fmtid="{D5CDD505-2E9C-101B-9397-08002B2CF9AE}" pid="10" name="fccc_Keywords">
    <vt:lpwstr>47;#Sessional proceedings|ff7bdb8c-f4ee-4fbb-ab88-7747669b7746</vt:lpwstr>
  </property>
  <property fmtid="{D5CDD505-2E9C-101B-9397-08002B2CF9AE}" pid="11" name="fccc_session">
    <vt:lpwstr>830;#COP 29|37bf7d15-9d11-4404-9011-961675a06d52</vt:lpwstr>
  </property>
  <property fmtid="{D5CDD505-2E9C-101B-9397-08002B2CF9AE}" pid="12" name="LinkedUNFCCCDocumentTracker">
    <vt:lpwstr>6952</vt:lpwstr>
  </property>
  <property fmtid="{D5CDD505-2E9C-101B-9397-08002B2CF9AE}" pid="13" name="Web_x0020_doc_x0020_type">
    <vt:lpwstr/>
  </property>
  <property fmtid="{D5CDD505-2E9C-101B-9397-08002B2CF9AE}" pid="14" name="Document_x0020_Group">
    <vt:lpwstr/>
  </property>
  <property fmtid="{D5CDD505-2E9C-101B-9397-08002B2CF9AE}" pid="15" name="Conference">
    <vt:lpwstr/>
  </property>
  <property fmtid="{D5CDD505-2E9C-101B-9397-08002B2CF9AE}" pid="16" name="mc8c0c91454a4efc97cb5a2e90a99718">
    <vt:lpwstr/>
  </property>
  <property fmtid="{D5CDD505-2E9C-101B-9397-08002B2CF9AE}" pid="17" name="Corporate author">
    <vt:lpwstr/>
  </property>
  <property fmtid="{D5CDD505-2E9C-101B-9397-08002B2CF9AE}" pid="18" name="Agenda Item">
    <vt:lpwstr/>
  </property>
  <property fmtid="{D5CDD505-2E9C-101B-9397-08002B2CF9AE}" pid="19" name="Web doc type">
    <vt:lpwstr/>
  </property>
  <property fmtid="{D5CDD505-2E9C-101B-9397-08002B2CF9AE}" pid="20" name="Document Group">
    <vt:lpwstr/>
  </property>
  <property fmtid="{D5CDD505-2E9C-101B-9397-08002B2CF9AE}" pid="21" name="Embargo">
    <vt:lpwstr>No</vt:lpwstr>
  </property>
  <property fmtid="{D5CDD505-2E9C-101B-9397-08002B2CF9AE}" pid="22" name="lcf76f155ced4ddcb4097134ff3c332f">
    <vt:lpwstr/>
  </property>
  <property fmtid="{D5CDD505-2E9C-101B-9397-08002B2CF9AE}" pid="23" name="docSymbol1">
    <vt:lpwstr>FCCC/CP/2024/11/Add.1</vt:lpwstr>
  </property>
  <property fmtid="{D5CDD505-2E9C-101B-9397-08002B2CF9AE}" pid="24" name="docSymbol2">
    <vt:lpwstr/>
  </property>
  <property fmtid="{D5CDD505-2E9C-101B-9397-08002B2CF9AE}" pid="25" name="Corporate_x0020_author">
    <vt:lpwstr/>
  </property>
</Properties>
</file>