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7CFB316F" w14:textId="77777777" w:rsidTr="004634C3">
        <w:trPr>
          <w:cantSplit/>
          <w:trHeight w:hRule="exact" w:val="1134"/>
        </w:trPr>
        <w:tc>
          <w:tcPr>
            <w:tcW w:w="1242" w:type="dxa"/>
            <w:vAlign w:val="bottom"/>
          </w:tcPr>
          <w:p w14:paraId="6F2E0533" w14:textId="5264E817" w:rsidR="002D66A2" w:rsidRPr="003F5FEE" w:rsidRDefault="002D66A2" w:rsidP="004634C3">
            <w:r>
              <w:rPr>
                <w:noProof/>
                <w:lang w:val="en-US" w:eastAsia="en-US"/>
              </w:rPr>
              <w:drawing>
                <wp:inline distT="0" distB="0" distL="0" distR="0" wp14:anchorId="3694D843" wp14:editId="0739603B">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38A66BE" w14:textId="77777777" w:rsidR="002D66A2" w:rsidRPr="00A86746" w:rsidRDefault="002D66A2" w:rsidP="004634C3">
            <w:pPr>
              <w:ind w:left="113"/>
              <w:rPr>
                <w:sz w:val="28"/>
                <w:szCs w:val="28"/>
              </w:rPr>
            </w:pPr>
            <w:r w:rsidRPr="00A86746">
              <w:rPr>
                <w:sz w:val="28"/>
                <w:szCs w:val="28"/>
              </w:rPr>
              <w:t>United Nations</w:t>
            </w:r>
          </w:p>
        </w:tc>
        <w:tc>
          <w:tcPr>
            <w:tcW w:w="5845" w:type="dxa"/>
            <w:gridSpan w:val="3"/>
            <w:vAlign w:val="bottom"/>
          </w:tcPr>
          <w:p w14:paraId="7F94728B" w14:textId="010FD551" w:rsidR="002D66A2" w:rsidRPr="00E56563" w:rsidRDefault="00E56563" w:rsidP="00E56563">
            <w:pPr>
              <w:jc w:val="right"/>
            </w:pPr>
            <w:r w:rsidRPr="00FF21B4">
              <w:rPr>
                <w:sz w:val="40"/>
              </w:rPr>
              <w:t>FCCC</w:t>
            </w:r>
            <w:r w:rsidRPr="00FF21B4">
              <w:t>/CP/2024/1</w:t>
            </w:r>
            <w:r>
              <w:t>1/Add.2</w:t>
            </w:r>
          </w:p>
        </w:tc>
      </w:tr>
      <w:tr w:rsidR="002D66A2" w14:paraId="06B76353" w14:textId="77777777" w:rsidTr="004634C3">
        <w:trPr>
          <w:cantSplit/>
          <w:trHeight w:hRule="exact" w:val="2552"/>
        </w:trPr>
        <w:tc>
          <w:tcPr>
            <w:tcW w:w="4511" w:type="dxa"/>
            <w:gridSpan w:val="3"/>
          </w:tcPr>
          <w:p w14:paraId="4BA461BD" w14:textId="77777777" w:rsidR="002D66A2" w:rsidRPr="003F5FEE" w:rsidRDefault="002D66A2" w:rsidP="004634C3">
            <w:r>
              <w:rPr>
                <w:noProof/>
                <w:lang w:val="en-US" w:eastAsia="en-US"/>
              </w:rPr>
              <w:drawing>
                <wp:anchor distT="0" distB="0" distL="114300" distR="114300" simplePos="0" relativeHeight="251658240" behindDoc="1" locked="0" layoutInCell="1" allowOverlap="1" wp14:anchorId="3F2D5B66" wp14:editId="7B93BCDD">
                  <wp:simplePos x="0" y="0"/>
                  <wp:positionH relativeFrom="column">
                    <wp:posOffset>-2540</wp:posOffset>
                  </wp:positionH>
                  <wp:positionV relativeFrom="paragraph">
                    <wp:posOffset>1270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68CDC" w14:textId="77777777" w:rsidR="002D66A2" w:rsidRDefault="002D66A2" w:rsidP="004634C3"/>
          <w:p w14:paraId="1736A5F9" w14:textId="77777777" w:rsidR="002D66A2" w:rsidRPr="003F5FEE" w:rsidRDefault="002D66A2" w:rsidP="004634C3"/>
        </w:tc>
        <w:tc>
          <w:tcPr>
            <w:tcW w:w="2293" w:type="dxa"/>
          </w:tcPr>
          <w:p w14:paraId="2689F0F7" w14:textId="77777777" w:rsidR="002D66A2" w:rsidRPr="003F5FEE" w:rsidRDefault="002D66A2" w:rsidP="004634C3"/>
        </w:tc>
        <w:tc>
          <w:tcPr>
            <w:tcW w:w="2835" w:type="dxa"/>
          </w:tcPr>
          <w:p w14:paraId="6DBEBDAE" w14:textId="77777777" w:rsidR="0027292C" w:rsidRDefault="00E56563" w:rsidP="00E56563">
            <w:pPr>
              <w:spacing w:before="240" w:line="240" w:lineRule="exact"/>
              <w:ind w:left="143"/>
            </w:pPr>
            <w:r>
              <w:t>Distr.: General</w:t>
            </w:r>
          </w:p>
          <w:p w14:paraId="60F45522" w14:textId="4A64CD57" w:rsidR="00E56563" w:rsidRDefault="00CC78B3" w:rsidP="00E56563">
            <w:pPr>
              <w:spacing w:line="240" w:lineRule="exact"/>
              <w:ind w:left="143"/>
            </w:pPr>
            <w:r>
              <w:t>2</w:t>
            </w:r>
            <w:r w:rsidR="00C80937">
              <w:t>7</w:t>
            </w:r>
            <w:r>
              <w:t xml:space="preserve"> March</w:t>
            </w:r>
            <w:r w:rsidR="00E56563">
              <w:t xml:space="preserve"> 202</w:t>
            </w:r>
            <w:r w:rsidR="00290630">
              <w:t>5</w:t>
            </w:r>
          </w:p>
          <w:p w14:paraId="0BDCE548" w14:textId="77777777" w:rsidR="00E56563" w:rsidRDefault="00E56563" w:rsidP="00E56563">
            <w:pPr>
              <w:spacing w:line="240" w:lineRule="exact"/>
              <w:ind w:left="143"/>
            </w:pPr>
          </w:p>
          <w:p w14:paraId="14EDED5A" w14:textId="3454B2D4" w:rsidR="00E56563" w:rsidRPr="00E0470D" w:rsidRDefault="00E56563" w:rsidP="00E56563">
            <w:pPr>
              <w:spacing w:line="240" w:lineRule="exact"/>
              <w:ind w:left="143"/>
            </w:pPr>
            <w:r>
              <w:t>Original: English</w:t>
            </w:r>
          </w:p>
        </w:tc>
      </w:tr>
    </w:tbl>
    <w:p w14:paraId="0ED489C7" w14:textId="5B247036" w:rsidR="003F6A01" w:rsidRDefault="009647CF" w:rsidP="003F6A01">
      <w:pPr>
        <w:spacing w:before="120"/>
        <w:rPr>
          <w:b/>
          <w:sz w:val="24"/>
          <w:szCs w:val="24"/>
        </w:rPr>
      </w:pPr>
      <w:r>
        <w:rPr>
          <w:b/>
          <w:sz w:val="24"/>
          <w:szCs w:val="24"/>
        </w:rPr>
        <w:t>Conference of the Parties</w:t>
      </w:r>
    </w:p>
    <w:p w14:paraId="0AB6453A" w14:textId="6EB1B1F7" w:rsidR="003F6A01" w:rsidRDefault="003F6A01" w:rsidP="00804401">
      <w:pPr>
        <w:pStyle w:val="RegHChG"/>
        <w:numPr>
          <w:ilvl w:val="0"/>
          <w:numId w:val="0"/>
        </w:numPr>
        <w:ind w:left="1135" w:hanging="454"/>
      </w:pPr>
      <w:r>
        <w:t>R</w:t>
      </w:r>
      <w:r w:rsidRPr="00DE51A7">
        <w:t xml:space="preserve">eport of the </w:t>
      </w:r>
      <w:r w:rsidR="009647CF" w:rsidRPr="000E2599">
        <w:rPr>
          <w:bCs/>
          <w:szCs w:val="28"/>
        </w:rPr>
        <w:t>Conference of the Parties</w:t>
      </w:r>
      <w:r w:rsidR="009647CF">
        <w:t xml:space="preserve"> </w:t>
      </w:r>
      <w:r>
        <w:t>o</w:t>
      </w:r>
      <w:r w:rsidRPr="00DE51A7">
        <w:t xml:space="preserve">n its </w:t>
      </w:r>
      <w:r w:rsidR="009647CF">
        <w:t xml:space="preserve">twenty-ninth </w:t>
      </w:r>
      <w:r>
        <w:t>session, held in Baku from 11 to</w:t>
      </w:r>
      <w:r w:rsidR="009647CF">
        <w:t xml:space="preserve"> </w:t>
      </w:r>
      <w:r w:rsidR="00AB456B">
        <w:t>24</w:t>
      </w:r>
      <w:r>
        <w:t xml:space="preserve"> November 2024</w:t>
      </w:r>
    </w:p>
    <w:p w14:paraId="1500F331" w14:textId="77777777" w:rsidR="00A037DC" w:rsidRPr="00AB18D9" w:rsidRDefault="00A037DC" w:rsidP="00A037DC">
      <w:pPr>
        <w:pStyle w:val="H1G"/>
        <w:ind w:firstLine="0"/>
        <w:rPr>
          <w:szCs w:val="18"/>
        </w:rPr>
      </w:pPr>
      <w:bookmarkStart w:id="0" w:name="_Toc120701103"/>
      <w:bookmarkStart w:id="1" w:name="_Toc161208024"/>
      <w:r w:rsidRPr="00A7629D">
        <w:t>Addendum</w:t>
      </w:r>
      <w:bookmarkEnd w:id="0"/>
      <w:bookmarkEnd w:id="1"/>
    </w:p>
    <w:p w14:paraId="0D8A82D0" w14:textId="0E1920A9" w:rsidR="003F6A01" w:rsidRDefault="00A037DC" w:rsidP="00804401">
      <w:pPr>
        <w:pStyle w:val="RegH1G"/>
        <w:numPr>
          <w:ilvl w:val="0"/>
          <w:numId w:val="0"/>
        </w:numPr>
        <w:ind w:left="1135" w:hanging="454"/>
      </w:pPr>
      <w:bookmarkStart w:id="2" w:name="_Toc161208025"/>
      <w:r>
        <w:t xml:space="preserve">Part </w:t>
      </w:r>
      <w:r w:rsidR="00DD2644">
        <w:t>two</w:t>
      </w:r>
      <w:r>
        <w:t>: Action taken by the Conference of the Parties at its twenty</w:t>
      </w:r>
      <w:r>
        <w:noBreakHyphen/>
        <w:t>ninth session</w:t>
      </w:r>
      <w:bookmarkEnd w:id="2"/>
    </w:p>
    <w:p w14:paraId="15C916A5" w14:textId="724D41F4" w:rsidR="003F6A01" w:rsidRDefault="006E67D4" w:rsidP="006E67D4">
      <w:pPr>
        <w:spacing w:after="120"/>
        <w:rPr>
          <w:sz w:val="28"/>
        </w:rPr>
      </w:pPr>
      <w:r>
        <w:rPr>
          <w:sz w:val="28"/>
        </w:rPr>
        <w:t>Contents</w:t>
      </w:r>
    </w:p>
    <w:p w14:paraId="3704EA86" w14:textId="541EF899" w:rsidR="00BC5F04" w:rsidRPr="00F4062B" w:rsidRDefault="00BC5F04" w:rsidP="00804401">
      <w:pPr>
        <w:pStyle w:val="RegHChG"/>
        <w:numPr>
          <w:ilvl w:val="0"/>
          <w:numId w:val="0"/>
        </w:numPr>
        <w:ind w:left="1135" w:hanging="454"/>
        <w:rPr>
          <w:i/>
          <w:sz w:val="18"/>
        </w:rPr>
      </w:pPr>
      <w:r w:rsidRPr="00F4062B">
        <w:t>Decisions adopted by the Conference of the Parties</w:t>
      </w:r>
    </w:p>
    <w:p w14:paraId="52A5E2CE" w14:textId="77777777" w:rsidR="00BC5F04" w:rsidRDefault="00BC5F04" w:rsidP="00BC5F04">
      <w:pPr>
        <w:tabs>
          <w:tab w:val="right" w:pos="9638"/>
        </w:tabs>
        <w:spacing w:after="120"/>
        <w:ind w:left="1134"/>
        <w:rPr>
          <w:i/>
          <w:sz w:val="18"/>
        </w:rPr>
      </w:pPr>
      <w:r>
        <w:rPr>
          <w:i/>
          <w:sz w:val="18"/>
        </w:rPr>
        <w:t>Decision</w:t>
      </w:r>
      <w:r>
        <w:rPr>
          <w:i/>
          <w:sz w:val="18"/>
        </w:rPr>
        <w:tab/>
        <w:t>Page</w:t>
      </w:r>
    </w:p>
    <w:p w14:paraId="6B5E10FA" w14:textId="47A6A46F" w:rsidR="00CD6CF3" w:rsidRDefault="00033E85" w:rsidP="00FD6763">
      <w:pPr>
        <w:pStyle w:val="TOC1"/>
      </w:pPr>
      <w:r>
        <w:tab/>
      </w:r>
      <w:r>
        <w:tab/>
      </w:r>
      <w:hyperlink w:anchor="CP11" w:history="1">
        <w:r w:rsidR="00BC5F04" w:rsidRPr="00CD7F1E">
          <w:rPr>
            <w:rStyle w:val="Hyperlink"/>
          </w:rPr>
          <w:t>1</w:t>
        </w:r>
        <w:r w:rsidR="00B06802" w:rsidRPr="00CD7F1E">
          <w:rPr>
            <w:rStyle w:val="Hyperlink"/>
          </w:rPr>
          <w:t>1</w:t>
        </w:r>
        <w:r w:rsidR="00BC5F04" w:rsidRPr="00CD7F1E">
          <w:rPr>
            <w:rStyle w:val="Hyperlink"/>
          </w:rPr>
          <w:t>/CP.29</w:t>
        </w:r>
      </w:hyperlink>
      <w:r w:rsidR="00BC5F04">
        <w:tab/>
      </w:r>
      <w:r w:rsidR="00B06802" w:rsidRPr="00B87E64">
        <w:rPr>
          <w:spacing w:val="-2"/>
        </w:rPr>
        <w:t xml:space="preserve">Terms of reference for the fifth comprehensive review of the implementation of the </w:t>
      </w:r>
      <w:r w:rsidR="00B06802">
        <w:t>framework for capacity-building in developing countries under the Convention</w:t>
      </w:r>
      <w:r w:rsidR="00BC5F04">
        <w:tab/>
      </w:r>
      <w:r>
        <w:tab/>
      </w:r>
      <w:r w:rsidR="008708F4">
        <w:t>2</w:t>
      </w:r>
    </w:p>
    <w:p w14:paraId="6A711517" w14:textId="4E35F578" w:rsidR="007948EC" w:rsidRDefault="00CD6CF3" w:rsidP="00FD6763">
      <w:pPr>
        <w:pStyle w:val="TOC1"/>
      </w:pPr>
      <w:r>
        <w:tab/>
      </w:r>
      <w:r>
        <w:tab/>
      </w:r>
      <w:hyperlink w:anchor="CP12" w:history="1">
        <w:r w:rsidR="00B06802" w:rsidRPr="00CD7F1E">
          <w:rPr>
            <w:rStyle w:val="Hyperlink"/>
          </w:rPr>
          <w:t>12/CP.29</w:t>
        </w:r>
      </w:hyperlink>
      <w:r w:rsidR="00B06802">
        <w:tab/>
      </w:r>
      <w:r w:rsidR="000E4290">
        <w:t>Second review of the Paris Committee on Capacity-building</w:t>
      </w:r>
      <w:r w:rsidR="000E4290">
        <w:tab/>
      </w:r>
      <w:r>
        <w:tab/>
      </w:r>
      <w:r w:rsidR="008708F4">
        <w:t>5</w:t>
      </w:r>
    </w:p>
    <w:p w14:paraId="46DC59E9" w14:textId="5F933539" w:rsidR="007948EC" w:rsidRDefault="007948EC" w:rsidP="00FD6763">
      <w:pPr>
        <w:pStyle w:val="TOC1"/>
      </w:pPr>
      <w:r>
        <w:tab/>
      </w:r>
      <w:r>
        <w:tab/>
      </w:r>
      <w:hyperlink w:anchor="CP13" w:history="1">
        <w:r w:rsidR="000E4290" w:rsidRPr="00CD7F1E">
          <w:rPr>
            <w:rStyle w:val="Hyperlink"/>
          </w:rPr>
          <w:t>13/CP.29</w:t>
        </w:r>
      </w:hyperlink>
      <w:r w:rsidR="000E4290">
        <w:tab/>
      </w:r>
      <w:r w:rsidR="004C6D5F">
        <w:t>Annual technical progress report of the Paris Committee on Capacity-building for</w:t>
      </w:r>
      <w:r w:rsidR="006D1950">
        <w:t xml:space="preserve"> </w:t>
      </w:r>
      <w:r w:rsidR="006D1950">
        <w:br/>
      </w:r>
      <w:r w:rsidR="004C6D5F">
        <w:t>2024</w:t>
      </w:r>
      <w:r w:rsidR="004C6D5F">
        <w:tab/>
      </w:r>
      <w:r w:rsidR="00FD6763">
        <w:tab/>
      </w:r>
      <w:r w:rsidR="008708F4">
        <w:t>9</w:t>
      </w:r>
    </w:p>
    <w:p w14:paraId="23BA149B" w14:textId="5BBAF420" w:rsidR="00966102" w:rsidRDefault="007948EC" w:rsidP="00FD6763">
      <w:pPr>
        <w:pStyle w:val="TOC1"/>
      </w:pPr>
      <w:r>
        <w:tab/>
      </w:r>
      <w:r>
        <w:tab/>
      </w:r>
      <w:hyperlink w:anchor="CP14" w:history="1">
        <w:r w:rsidR="004C6D5F" w:rsidRPr="00CD7F1E">
          <w:rPr>
            <w:rStyle w:val="Hyperlink"/>
          </w:rPr>
          <w:t>14/CP.29</w:t>
        </w:r>
      </w:hyperlink>
      <w:r w:rsidR="00532736">
        <w:tab/>
        <w:t>Local Communities and Indigenous People</w:t>
      </w:r>
      <w:r w:rsidR="008D7B7F">
        <w:t>s</w:t>
      </w:r>
      <w:r w:rsidR="00532736">
        <w:t xml:space="preserve"> Platform</w:t>
      </w:r>
      <w:r w:rsidR="00532736">
        <w:tab/>
      </w:r>
      <w:r>
        <w:tab/>
      </w:r>
      <w:r w:rsidR="00CC0FE3">
        <w:t>1</w:t>
      </w:r>
      <w:r w:rsidR="008708F4">
        <w:t>1</w:t>
      </w:r>
    </w:p>
    <w:p w14:paraId="06A2329D" w14:textId="5F2A3089" w:rsidR="00693DB9" w:rsidRDefault="00966102" w:rsidP="00FD6763">
      <w:pPr>
        <w:pStyle w:val="TOC1"/>
      </w:pPr>
      <w:r>
        <w:tab/>
      </w:r>
      <w:r>
        <w:tab/>
      </w:r>
      <w:hyperlink w:anchor="CP15" w:history="1">
        <w:r w:rsidR="00532736" w:rsidRPr="00CD7F1E">
          <w:rPr>
            <w:rStyle w:val="Hyperlink"/>
          </w:rPr>
          <w:t>15/CP.29</w:t>
        </w:r>
      </w:hyperlink>
      <w:r w:rsidR="00532736">
        <w:tab/>
      </w:r>
      <w:r w:rsidR="0001275B">
        <w:t>Matters relating to the least developed countries</w:t>
      </w:r>
      <w:r w:rsidR="0001275B">
        <w:tab/>
      </w:r>
      <w:r>
        <w:tab/>
      </w:r>
      <w:r w:rsidR="00CC0FE3">
        <w:t>1</w:t>
      </w:r>
      <w:r w:rsidR="001C7691">
        <w:t>4</w:t>
      </w:r>
    </w:p>
    <w:p w14:paraId="2DF19F7D" w14:textId="7094DB6C" w:rsidR="00693DB9" w:rsidRDefault="00693DB9" w:rsidP="00FD6763">
      <w:pPr>
        <w:pStyle w:val="TOC1"/>
      </w:pPr>
      <w:r>
        <w:tab/>
      </w:r>
      <w:r>
        <w:tab/>
      </w:r>
      <w:hyperlink w:anchor="CP16" w:history="1">
        <w:r w:rsidR="0001275B" w:rsidRPr="00CD7F1E">
          <w:rPr>
            <w:rStyle w:val="Hyperlink"/>
          </w:rPr>
          <w:t>16/CP.29</w:t>
        </w:r>
      </w:hyperlink>
      <w:r w:rsidR="0001275B">
        <w:tab/>
      </w:r>
      <w:r w:rsidR="00AC1FFD">
        <w:t>Matters relat</w:t>
      </w:r>
      <w:r w:rsidR="004711D7">
        <w:t>ing</w:t>
      </w:r>
      <w:r w:rsidR="00CD6CF3">
        <w:t xml:space="preserve"> </w:t>
      </w:r>
      <w:r w:rsidR="00AC1FFD">
        <w:t>to the impacts of the implementation of response measures</w:t>
      </w:r>
      <w:r w:rsidR="00AC1FFD">
        <w:tab/>
      </w:r>
      <w:r>
        <w:tab/>
      </w:r>
      <w:r w:rsidR="00CC0FE3">
        <w:t>1</w:t>
      </w:r>
      <w:r w:rsidR="001C7691">
        <w:t>6</w:t>
      </w:r>
    </w:p>
    <w:p w14:paraId="3CD8DBF7" w14:textId="76D97C1B" w:rsidR="004468F6" w:rsidRDefault="00693DB9" w:rsidP="00FD6763">
      <w:pPr>
        <w:pStyle w:val="TOC1"/>
      </w:pPr>
      <w:r>
        <w:tab/>
      </w:r>
      <w:r>
        <w:tab/>
      </w:r>
      <w:hyperlink w:anchor="CP17" w:history="1">
        <w:r w:rsidR="00AC1FFD" w:rsidRPr="00CD7F1E">
          <w:rPr>
            <w:rStyle w:val="Hyperlink"/>
          </w:rPr>
          <w:t>17/CP.29</w:t>
        </w:r>
      </w:hyperlink>
      <w:r w:rsidR="00AC1FFD">
        <w:tab/>
      </w:r>
      <w:r w:rsidR="00897071">
        <w:t>Climate high-level champions</w:t>
      </w:r>
      <w:r w:rsidR="00897071">
        <w:tab/>
      </w:r>
      <w:r>
        <w:tab/>
      </w:r>
      <w:r w:rsidR="00CC0FE3">
        <w:t>2</w:t>
      </w:r>
      <w:r w:rsidR="001C7691">
        <w:t>3</w:t>
      </w:r>
    </w:p>
    <w:p w14:paraId="2D819FC2" w14:textId="3B3D66C8" w:rsidR="004468F6" w:rsidRDefault="004468F6" w:rsidP="00FD6763">
      <w:pPr>
        <w:pStyle w:val="TOC1"/>
      </w:pPr>
      <w:r>
        <w:tab/>
      </w:r>
      <w:r>
        <w:tab/>
      </w:r>
      <w:hyperlink w:anchor="CP18" w:history="1">
        <w:r w:rsidR="00897071" w:rsidRPr="00CD7F1E">
          <w:rPr>
            <w:rStyle w:val="Hyperlink"/>
          </w:rPr>
          <w:t>18/CP.29</w:t>
        </w:r>
      </w:hyperlink>
      <w:r w:rsidR="00897071">
        <w:tab/>
      </w:r>
      <w:r w:rsidR="00331C43">
        <w:t>Periodic review of the long-term global goal under the Convention and of overall</w:t>
      </w:r>
      <w:r w:rsidR="006D1950">
        <w:t xml:space="preserve"> </w:t>
      </w:r>
      <w:r w:rsidR="006D1950">
        <w:br/>
      </w:r>
      <w:r w:rsidR="00331C43">
        <w:t>progress towards achieving it</w:t>
      </w:r>
      <w:r w:rsidR="00F13426">
        <w:tab/>
      </w:r>
      <w:r>
        <w:tab/>
      </w:r>
      <w:r w:rsidR="00CC0FE3">
        <w:t>2</w:t>
      </w:r>
      <w:r w:rsidR="007A5E3D">
        <w:t>4</w:t>
      </w:r>
    </w:p>
    <w:p w14:paraId="78A7D976" w14:textId="02588F35" w:rsidR="004468F6" w:rsidRDefault="004468F6" w:rsidP="00FD6763">
      <w:pPr>
        <w:pStyle w:val="TOC1"/>
      </w:pPr>
      <w:r>
        <w:tab/>
      </w:r>
      <w:r>
        <w:tab/>
      </w:r>
      <w:hyperlink w:anchor="CP19" w:history="1">
        <w:r w:rsidR="00F13426" w:rsidRPr="00CD7F1E">
          <w:rPr>
            <w:rStyle w:val="Hyperlink"/>
          </w:rPr>
          <w:t>19/CP.29</w:t>
        </w:r>
      </w:hyperlink>
      <w:r w:rsidR="00AE5295">
        <w:tab/>
        <w:t>Dates and venues of future sessions</w:t>
      </w:r>
      <w:r w:rsidR="00AE5295">
        <w:tab/>
      </w:r>
      <w:r>
        <w:tab/>
      </w:r>
      <w:r w:rsidR="00CC0FE3">
        <w:t>2</w:t>
      </w:r>
      <w:r w:rsidR="007A5E3D">
        <w:t>5</w:t>
      </w:r>
    </w:p>
    <w:p w14:paraId="68A55169" w14:textId="6CEAA94B" w:rsidR="004468F6" w:rsidRDefault="004468F6" w:rsidP="00FD6763">
      <w:pPr>
        <w:pStyle w:val="TOC1"/>
      </w:pPr>
      <w:r>
        <w:tab/>
      </w:r>
      <w:r>
        <w:tab/>
      </w:r>
      <w:hyperlink w:anchor="CP20" w:history="1">
        <w:r w:rsidR="00AE5295" w:rsidRPr="00CD7F1E">
          <w:rPr>
            <w:rStyle w:val="Hyperlink"/>
          </w:rPr>
          <w:t>20/CP.29</w:t>
        </w:r>
      </w:hyperlink>
      <w:r w:rsidR="00AE5295">
        <w:tab/>
      </w:r>
      <w:r w:rsidR="00BC43EA">
        <w:t>Administrative, financial and institutional matters</w:t>
      </w:r>
      <w:r w:rsidR="00BC43EA">
        <w:tab/>
      </w:r>
      <w:r>
        <w:tab/>
      </w:r>
      <w:r w:rsidR="00CC0FE3">
        <w:t>2</w:t>
      </w:r>
      <w:r w:rsidR="007A5E3D">
        <w:t>7</w:t>
      </w:r>
    </w:p>
    <w:p w14:paraId="4810E69E" w14:textId="4B51AD42" w:rsidR="00BC43EA" w:rsidRDefault="004468F6" w:rsidP="00FD6763">
      <w:pPr>
        <w:pStyle w:val="TOC1"/>
      </w:pPr>
      <w:r>
        <w:tab/>
      </w:r>
      <w:r>
        <w:tab/>
      </w:r>
      <w:hyperlink w:anchor="CP21" w:history="1">
        <w:r w:rsidR="00BC43EA" w:rsidRPr="00CD7F1E">
          <w:rPr>
            <w:rStyle w:val="Hyperlink"/>
          </w:rPr>
          <w:t>21/CP.29</w:t>
        </w:r>
      </w:hyperlink>
      <w:r w:rsidR="00BC43EA">
        <w:tab/>
        <w:t>Administrative, financial and institutional matters</w:t>
      </w:r>
      <w:r w:rsidR="00BC43EA">
        <w:tab/>
      </w:r>
      <w:r>
        <w:tab/>
      </w:r>
      <w:r w:rsidR="00990A21">
        <w:t>29</w:t>
      </w:r>
    </w:p>
    <w:p w14:paraId="5BFE9029" w14:textId="4FF8EB0B" w:rsidR="00381721" w:rsidRDefault="00381721" w:rsidP="00BC5F04">
      <w:pPr>
        <w:tabs>
          <w:tab w:val="right" w:pos="850"/>
          <w:tab w:val="left" w:pos="1134"/>
          <w:tab w:val="left" w:pos="1559"/>
          <w:tab w:val="left" w:pos="2268"/>
          <w:tab w:val="center" w:leader="dot" w:pos="9638"/>
        </w:tabs>
        <w:spacing w:after="120"/>
        <w:ind w:left="1134"/>
        <w:rPr>
          <w:i/>
          <w:sz w:val="18"/>
        </w:rPr>
      </w:pPr>
      <w:r>
        <w:rPr>
          <w:i/>
          <w:sz w:val="18"/>
        </w:rPr>
        <w:t>Resolution</w:t>
      </w:r>
    </w:p>
    <w:p w14:paraId="7E7F03C7" w14:textId="73FC5882" w:rsidR="00381721" w:rsidRPr="00381721" w:rsidRDefault="004468F6" w:rsidP="00FD6763">
      <w:pPr>
        <w:pStyle w:val="TOC1"/>
      </w:pPr>
      <w:r>
        <w:tab/>
      </w:r>
      <w:r>
        <w:tab/>
      </w:r>
      <w:hyperlink w:anchor="res1" w:history="1">
        <w:r w:rsidR="00381721" w:rsidRPr="00CD7F1E">
          <w:rPr>
            <w:rStyle w:val="Hyperlink"/>
            <w:iCs/>
            <w:szCs w:val="22"/>
          </w:rPr>
          <w:t>1/CP.29</w:t>
        </w:r>
      </w:hyperlink>
      <w:r w:rsidR="00381721" w:rsidRPr="00F43517">
        <w:tab/>
      </w:r>
      <w:r w:rsidR="00482899" w:rsidRPr="00F43517">
        <w:t>Expression of gratitude to the Government of the Republic of Azerbaijan and the</w:t>
      </w:r>
      <w:r w:rsidR="006D1950">
        <w:t xml:space="preserve"> </w:t>
      </w:r>
      <w:r w:rsidR="006D1950">
        <w:br/>
      </w:r>
      <w:r w:rsidR="00482899" w:rsidRPr="00F43517">
        <w:t>people</w:t>
      </w:r>
      <w:r>
        <w:t xml:space="preserve"> </w:t>
      </w:r>
      <w:r w:rsidR="00482899" w:rsidRPr="00F43517">
        <w:t>of the city of Baku</w:t>
      </w:r>
      <w:r w:rsidR="005E6925" w:rsidRPr="00F43517">
        <w:tab/>
      </w:r>
      <w:r>
        <w:tab/>
      </w:r>
      <w:r w:rsidR="00CC0FE3" w:rsidRPr="00F43517">
        <w:t>3</w:t>
      </w:r>
      <w:r w:rsidR="00990A21">
        <w:t>0</w:t>
      </w:r>
    </w:p>
    <w:p w14:paraId="208BF4B2" w14:textId="77777777" w:rsidR="006E67D4" w:rsidRPr="006E67D4" w:rsidRDefault="006E67D4" w:rsidP="006E67D4">
      <w:pPr>
        <w:tabs>
          <w:tab w:val="right" w:pos="850"/>
          <w:tab w:val="left" w:pos="1134"/>
          <w:tab w:val="left" w:pos="1559"/>
          <w:tab w:val="left" w:pos="1984"/>
          <w:tab w:val="center" w:leader="dot" w:pos="8929"/>
          <w:tab w:val="right" w:pos="9638"/>
        </w:tabs>
        <w:spacing w:after="120"/>
      </w:pPr>
    </w:p>
    <w:p w14:paraId="28C8C591" w14:textId="2ED26C15" w:rsidR="003F6A01" w:rsidRDefault="003F6A01" w:rsidP="00A733A2">
      <w:pPr>
        <w:suppressAutoHyphens w:val="0"/>
        <w:spacing w:line="240" w:lineRule="auto"/>
      </w:pPr>
      <w:r>
        <w:br w:type="page"/>
      </w:r>
    </w:p>
    <w:p w14:paraId="5B7D7338" w14:textId="01AE108E" w:rsidR="001B3F60" w:rsidRDefault="001B3F60" w:rsidP="00804401">
      <w:pPr>
        <w:pStyle w:val="RegHChG"/>
        <w:numPr>
          <w:ilvl w:val="0"/>
          <w:numId w:val="0"/>
        </w:numPr>
        <w:ind w:left="1135" w:hanging="454"/>
      </w:pPr>
      <w:bookmarkStart w:id="3" w:name="CP11"/>
      <w:r>
        <w:lastRenderedPageBreak/>
        <w:t xml:space="preserve">Decision </w:t>
      </w:r>
      <w:r w:rsidR="00DD2644">
        <w:t>11/CP.29</w:t>
      </w:r>
    </w:p>
    <w:bookmarkEnd w:id="3"/>
    <w:p w14:paraId="1117BB4C" w14:textId="77777777" w:rsidR="00114013" w:rsidRDefault="00114013" w:rsidP="00114013">
      <w:pPr>
        <w:pStyle w:val="MainTitle"/>
        <w:ind w:firstLine="0"/>
      </w:pPr>
      <w:r w:rsidRPr="00153B85">
        <w:t>Terms of reference for the fifth comprehensive review of the implementation of the framework for capacity-building in developing countries under the Convention</w:t>
      </w:r>
    </w:p>
    <w:p w14:paraId="56791A8A" w14:textId="77777777" w:rsidR="00114013" w:rsidRPr="00D82B61" w:rsidRDefault="00114013" w:rsidP="00114013">
      <w:pPr>
        <w:pStyle w:val="RegSingleTxtG"/>
        <w:numPr>
          <w:ilvl w:val="0"/>
          <w:numId w:val="0"/>
        </w:numPr>
        <w:ind w:left="1134"/>
        <w:rPr>
          <w:i/>
          <w:spacing w:val="-2"/>
        </w:rPr>
      </w:pPr>
      <w:r>
        <w:tab/>
      </w:r>
      <w:r w:rsidRPr="00DE699B">
        <w:rPr>
          <w:i/>
          <w:iCs/>
        </w:rPr>
        <w:t>The</w:t>
      </w:r>
      <w:r w:rsidRPr="00DE699B">
        <w:rPr>
          <w:i/>
          <w:iCs/>
          <w:spacing w:val="-4"/>
        </w:rPr>
        <w:t xml:space="preserve"> </w:t>
      </w:r>
      <w:r w:rsidRPr="00DE699B">
        <w:rPr>
          <w:i/>
          <w:iCs/>
        </w:rPr>
        <w:t>Conference</w:t>
      </w:r>
      <w:r w:rsidRPr="00DE699B">
        <w:rPr>
          <w:i/>
          <w:iCs/>
          <w:spacing w:val="-3"/>
        </w:rPr>
        <w:t xml:space="preserve"> </w:t>
      </w:r>
      <w:r w:rsidRPr="00DE699B">
        <w:rPr>
          <w:i/>
          <w:iCs/>
        </w:rPr>
        <w:t>of</w:t>
      </w:r>
      <w:r w:rsidRPr="00DE699B">
        <w:rPr>
          <w:i/>
          <w:iCs/>
          <w:spacing w:val="-4"/>
        </w:rPr>
        <w:t xml:space="preserve"> </w:t>
      </w:r>
      <w:r w:rsidRPr="00DE699B">
        <w:rPr>
          <w:i/>
          <w:iCs/>
        </w:rPr>
        <w:t>the</w:t>
      </w:r>
      <w:r w:rsidRPr="00DE699B">
        <w:rPr>
          <w:i/>
          <w:iCs/>
          <w:spacing w:val="-3"/>
        </w:rPr>
        <w:t xml:space="preserve"> </w:t>
      </w:r>
      <w:r w:rsidRPr="00DE699B">
        <w:rPr>
          <w:i/>
          <w:iCs/>
          <w:spacing w:val="-2"/>
        </w:rPr>
        <w:t>Parties</w:t>
      </w:r>
      <w:r w:rsidRPr="00961DB2">
        <w:rPr>
          <w:iCs/>
          <w:spacing w:val="-2"/>
        </w:rPr>
        <w:t>,</w:t>
      </w:r>
    </w:p>
    <w:p w14:paraId="7EFC085B" w14:textId="2D322038" w:rsidR="00114013" w:rsidRPr="00D82B61" w:rsidRDefault="00114013" w:rsidP="00114013">
      <w:pPr>
        <w:pStyle w:val="RegSingleTxtG"/>
        <w:numPr>
          <w:ilvl w:val="0"/>
          <w:numId w:val="0"/>
        </w:numPr>
        <w:rPr>
          <w:i/>
        </w:rPr>
      </w:pPr>
      <w:r>
        <w:tab/>
      </w:r>
      <w:r>
        <w:tab/>
      </w:r>
      <w:r w:rsidRPr="00D82B61">
        <w:rPr>
          <w:i/>
        </w:rPr>
        <w:t xml:space="preserve">Recalling </w:t>
      </w:r>
      <w:r w:rsidRPr="00961DB2">
        <w:rPr>
          <w:iCs/>
        </w:rPr>
        <w:t xml:space="preserve">decisions </w:t>
      </w:r>
      <w:hyperlink r:id="rId14" w:history="1">
        <w:r w:rsidRPr="00303C6A">
          <w:rPr>
            <w:rStyle w:val="Hyperlink"/>
            <w:iCs/>
          </w:rPr>
          <w:t>2/CP.7</w:t>
        </w:r>
      </w:hyperlink>
      <w:r w:rsidRPr="00961DB2">
        <w:rPr>
          <w:iCs/>
        </w:rPr>
        <w:t xml:space="preserve"> and </w:t>
      </w:r>
      <w:hyperlink r:id="rId15" w:history="1">
        <w:r w:rsidRPr="00303C6A">
          <w:rPr>
            <w:rStyle w:val="Hyperlink"/>
            <w:iCs/>
          </w:rPr>
          <w:t>1/CP.21</w:t>
        </w:r>
      </w:hyperlink>
      <w:r w:rsidRPr="00961DB2">
        <w:rPr>
          <w:iCs/>
        </w:rPr>
        <w:t>,</w:t>
      </w:r>
    </w:p>
    <w:p w14:paraId="25D97E4D" w14:textId="16EAC9B6" w:rsidR="00114013" w:rsidRPr="002D00B8" w:rsidRDefault="00804401" w:rsidP="00804401">
      <w:pPr>
        <w:pStyle w:val="RegSingleTxtG"/>
        <w:numPr>
          <w:ilvl w:val="0"/>
          <w:numId w:val="0"/>
        </w:numPr>
        <w:ind w:left="1134"/>
        <w:rPr>
          <w:rStyle w:val="ui-provider"/>
        </w:rPr>
      </w:pPr>
      <w:r w:rsidRPr="002D00B8">
        <w:rPr>
          <w:rStyle w:val="ui-provider"/>
          <w:bCs/>
        </w:rPr>
        <w:t>1.</w:t>
      </w:r>
      <w:r w:rsidRPr="002D00B8">
        <w:rPr>
          <w:rStyle w:val="ui-provider"/>
          <w:bCs/>
        </w:rPr>
        <w:tab/>
      </w:r>
      <w:r w:rsidR="00114013" w:rsidRPr="000F0236">
        <w:rPr>
          <w:rStyle w:val="ui-provider"/>
          <w:i/>
          <w:iCs/>
        </w:rPr>
        <w:t>Reaffirms</w:t>
      </w:r>
      <w:r w:rsidR="00114013" w:rsidRPr="002D00B8">
        <w:rPr>
          <w:rStyle w:val="ui-provider"/>
        </w:rPr>
        <w:t xml:space="preserve"> its decision to conduct the </w:t>
      </w:r>
      <w:r w:rsidR="00114013" w:rsidRPr="00153B85">
        <w:t>fifth comprehensive review of the implementation of the framework for capacity-building in developing countries</w:t>
      </w:r>
      <w:r w:rsidR="00114013" w:rsidRPr="00060315">
        <w:t xml:space="preserve"> </w:t>
      </w:r>
      <w:r w:rsidR="00114013">
        <w:t xml:space="preserve">established under decision </w:t>
      </w:r>
      <w:hyperlink r:id="rId16" w:history="1">
        <w:r w:rsidR="00114013" w:rsidRPr="00303C6A">
          <w:rPr>
            <w:rStyle w:val="Hyperlink"/>
          </w:rPr>
          <w:t>2/CP.7</w:t>
        </w:r>
      </w:hyperlink>
      <w:r w:rsidR="00114013" w:rsidRPr="00153B85">
        <w:t xml:space="preserve"> under the Convention</w:t>
      </w:r>
      <w:r w:rsidR="00114013">
        <w:rPr>
          <w:rStyle w:val="ui-provider"/>
        </w:rPr>
        <w:t>;</w:t>
      </w:r>
      <w:r w:rsidR="00114013">
        <w:rPr>
          <w:rStyle w:val="FootnoteReference"/>
        </w:rPr>
        <w:footnoteReference w:id="2"/>
      </w:r>
    </w:p>
    <w:p w14:paraId="23CF1189" w14:textId="209533A3" w:rsidR="00114013" w:rsidRDefault="00804401" w:rsidP="00804401">
      <w:pPr>
        <w:pStyle w:val="RegSingleTxtG"/>
        <w:numPr>
          <w:ilvl w:val="0"/>
          <w:numId w:val="0"/>
        </w:numPr>
        <w:ind w:left="1134"/>
        <w:rPr>
          <w:rStyle w:val="ui-provider"/>
        </w:rPr>
      </w:pPr>
      <w:r>
        <w:rPr>
          <w:rStyle w:val="ui-provider"/>
          <w:bCs/>
        </w:rPr>
        <w:t>2.</w:t>
      </w:r>
      <w:r>
        <w:rPr>
          <w:rStyle w:val="ui-provider"/>
          <w:bCs/>
        </w:rPr>
        <w:tab/>
      </w:r>
      <w:r w:rsidR="00114013" w:rsidRPr="00B04002">
        <w:rPr>
          <w:rStyle w:val="ui-provider"/>
          <w:i/>
          <w:iCs/>
        </w:rPr>
        <w:t>Adopts</w:t>
      </w:r>
      <w:r w:rsidR="00114013" w:rsidRPr="002D00B8">
        <w:rPr>
          <w:rStyle w:val="ui-provider"/>
        </w:rPr>
        <w:t xml:space="preserve"> the terms of reference for the </w:t>
      </w:r>
      <w:r w:rsidR="00114013" w:rsidRPr="00153B85">
        <w:t>fifth comprehensive review of the implementation of the framework for capacity-building in developing countries under the Convention</w:t>
      </w:r>
      <w:r w:rsidR="00114013" w:rsidRPr="002D00B8">
        <w:rPr>
          <w:rStyle w:val="ui-provider"/>
        </w:rPr>
        <w:t>,</w:t>
      </w:r>
      <w:r w:rsidR="00114013">
        <w:rPr>
          <w:rStyle w:val="FootnoteReference"/>
        </w:rPr>
        <w:footnoteReference w:id="3"/>
      </w:r>
      <w:r w:rsidR="00114013" w:rsidRPr="002D00B8">
        <w:rPr>
          <w:rStyle w:val="ui-provider"/>
        </w:rPr>
        <w:t xml:space="preserve"> </w:t>
      </w:r>
      <w:r w:rsidR="00114013">
        <w:rPr>
          <w:rStyle w:val="ui-provider"/>
        </w:rPr>
        <w:t xml:space="preserve">as </w:t>
      </w:r>
      <w:r w:rsidR="00114013" w:rsidRPr="002D00B8">
        <w:rPr>
          <w:rStyle w:val="ui-provider"/>
        </w:rPr>
        <w:t>contained in the annex;</w:t>
      </w:r>
    </w:p>
    <w:p w14:paraId="59E08C22" w14:textId="6F801AE8" w:rsidR="00114013" w:rsidRDefault="00804401" w:rsidP="00804401">
      <w:pPr>
        <w:pStyle w:val="RegSingleTxtG"/>
        <w:numPr>
          <w:ilvl w:val="0"/>
          <w:numId w:val="0"/>
        </w:numPr>
        <w:ind w:left="1134"/>
        <w:rPr>
          <w:rStyle w:val="ui-provider"/>
        </w:rPr>
      </w:pPr>
      <w:bookmarkStart w:id="4" w:name="_Ref168828235"/>
      <w:r>
        <w:rPr>
          <w:rStyle w:val="ui-provider"/>
          <w:bCs/>
        </w:rPr>
        <w:t>3.</w:t>
      </w:r>
      <w:r>
        <w:rPr>
          <w:rStyle w:val="ui-provider"/>
          <w:bCs/>
        </w:rPr>
        <w:tab/>
      </w:r>
      <w:r w:rsidR="00114013" w:rsidRPr="00B04002">
        <w:rPr>
          <w:rStyle w:val="ui-provider"/>
          <w:i/>
          <w:iCs/>
        </w:rPr>
        <w:t>Invites</w:t>
      </w:r>
      <w:r w:rsidR="00114013" w:rsidRPr="00184C11">
        <w:rPr>
          <w:rStyle w:val="ui-provider"/>
        </w:rPr>
        <w:t xml:space="preserve"> Parties, constituted bodies </w:t>
      </w:r>
      <w:r w:rsidR="00114013">
        <w:rPr>
          <w:rStyle w:val="ui-provider"/>
        </w:rPr>
        <w:t>under</w:t>
      </w:r>
      <w:r w:rsidR="00114013" w:rsidRPr="00184C11">
        <w:rPr>
          <w:rStyle w:val="ui-provider"/>
        </w:rPr>
        <w:t xml:space="preserve"> the Convention, the operating entities of the Financial Mechanism, representatives of relevant processes under the Convention and </w:t>
      </w:r>
      <w:r w:rsidR="00114013">
        <w:rPr>
          <w:rStyle w:val="ui-provider"/>
        </w:rPr>
        <w:t xml:space="preserve">other </w:t>
      </w:r>
      <w:r w:rsidR="00114013" w:rsidRPr="00184C11">
        <w:rPr>
          <w:rStyle w:val="ui-provider"/>
        </w:rPr>
        <w:t>non-Party stakeholders to submit via the submission portal</w:t>
      </w:r>
      <w:r w:rsidR="00114013">
        <w:rPr>
          <w:rStyle w:val="FootnoteReference"/>
        </w:rPr>
        <w:footnoteReference w:id="4"/>
      </w:r>
      <w:r w:rsidR="00114013" w:rsidRPr="00184C11">
        <w:rPr>
          <w:rStyle w:val="ui-provider"/>
        </w:rPr>
        <w:t xml:space="preserve"> by 2</w:t>
      </w:r>
      <w:r w:rsidR="00114013">
        <w:rPr>
          <w:rStyle w:val="ui-provider"/>
        </w:rPr>
        <w:t>8</w:t>
      </w:r>
      <w:r w:rsidR="00114013" w:rsidRPr="00184C11">
        <w:rPr>
          <w:rStyle w:val="ui-provider"/>
        </w:rPr>
        <w:t xml:space="preserve"> February 202</w:t>
      </w:r>
      <w:r w:rsidR="00114013">
        <w:rPr>
          <w:rStyle w:val="ui-provider"/>
        </w:rPr>
        <w:t>5</w:t>
      </w:r>
      <w:r w:rsidR="00114013" w:rsidRPr="00184C11">
        <w:rPr>
          <w:rStyle w:val="ui-provider"/>
        </w:rPr>
        <w:t xml:space="preserve"> views on the </w:t>
      </w:r>
      <w:r w:rsidR="00114013" w:rsidRPr="00153B85">
        <w:t>fifth comprehensive review of the implementation of the framework for capacity-building in developing countries</w:t>
      </w:r>
      <w:r w:rsidR="00114013" w:rsidRPr="00184C11">
        <w:rPr>
          <w:rStyle w:val="ui-provider"/>
        </w:rPr>
        <w:t xml:space="preserve"> </w:t>
      </w:r>
      <w:r w:rsidR="00114013">
        <w:rPr>
          <w:rStyle w:val="ui-provider"/>
        </w:rPr>
        <w:t xml:space="preserve">based </w:t>
      </w:r>
      <w:r w:rsidR="00114013" w:rsidRPr="00184C11">
        <w:rPr>
          <w:rStyle w:val="ui-provider"/>
        </w:rPr>
        <w:t>on the terms of reference contained in the annex</w:t>
      </w:r>
      <w:r w:rsidR="00114013">
        <w:rPr>
          <w:rStyle w:val="ui-provider"/>
        </w:rPr>
        <w:t>;</w:t>
      </w:r>
      <w:bookmarkEnd w:id="4"/>
    </w:p>
    <w:p w14:paraId="166CEC9D" w14:textId="75C3B192" w:rsidR="00114013" w:rsidRDefault="00804401" w:rsidP="00804401">
      <w:pPr>
        <w:pStyle w:val="RegSingleTxtG"/>
        <w:numPr>
          <w:ilvl w:val="0"/>
          <w:numId w:val="0"/>
        </w:numPr>
        <w:ind w:left="1134"/>
        <w:rPr>
          <w:rStyle w:val="ui-provider"/>
        </w:rPr>
      </w:pPr>
      <w:bookmarkStart w:id="5" w:name="_Ref168828249"/>
      <w:r>
        <w:rPr>
          <w:rStyle w:val="ui-provider"/>
          <w:bCs/>
        </w:rPr>
        <w:t>4.</w:t>
      </w:r>
      <w:r>
        <w:rPr>
          <w:rStyle w:val="ui-provider"/>
          <w:bCs/>
        </w:rPr>
        <w:tab/>
      </w:r>
      <w:r w:rsidR="00114013" w:rsidRPr="00B04002">
        <w:rPr>
          <w:rStyle w:val="ui-provider"/>
          <w:i/>
          <w:iCs/>
        </w:rPr>
        <w:t>Requests</w:t>
      </w:r>
      <w:r w:rsidR="00114013" w:rsidRPr="00721147">
        <w:rPr>
          <w:rStyle w:val="ui-provider"/>
        </w:rPr>
        <w:t xml:space="preserve"> the secretariat to prepare a </w:t>
      </w:r>
      <w:r w:rsidR="00114013">
        <w:rPr>
          <w:rStyle w:val="ui-provider"/>
        </w:rPr>
        <w:t>technical</w:t>
      </w:r>
      <w:r w:rsidR="00114013" w:rsidRPr="00721147">
        <w:rPr>
          <w:rStyle w:val="ui-provider"/>
        </w:rPr>
        <w:t xml:space="preserve"> report</w:t>
      </w:r>
      <w:r w:rsidR="00114013">
        <w:rPr>
          <w:rStyle w:val="ui-provider"/>
        </w:rPr>
        <w:t>, based</w:t>
      </w:r>
      <w:r w:rsidR="00114013" w:rsidRPr="00721147">
        <w:rPr>
          <w:rStyle w:val="ui-provider"/>
        </w:rPr>
        <w:t xml:space="preserve"> on the submissions referred to in paragraph </w:t>
      </w:r>
      <w:r w:rsidR="00114013">
        <w:rPr>
          <w:rStyle w:val="ui-provider"/>
          <w:cs/>
        </w:rPr>
        <w:t>‎</w:t>
      </w:r>
      <w:r w:rsidR="00114013">
        <w:rPr>
          <w:rStyle w:val="ui-provider"/>
        </w:rPr>
        <w:t xml:space="preserve">3 above and the information sources referred to in </w:t>
      </w:r>
      <w:r w:rsidR="00114013" w:rsidRPr="0A300B5B">
        <w:rPr>
          <w:rStyle w:val="ui-provider"/>
        </w:rPr>
        <w:t xml:space="preserve">paragraph </w:t>
      </w:r>
      <w:r w:rsidR="00114013">
        <w:rPr>
          <w:rStyle w:val="ui-provider"/>
        </w:rPr>
        <w:t xml:space="preserve">5 </w:t>
      </w:r>
      <w:r w:rsidR="00114013" w:rsidRPr="0A300B5B">
        <w:rPr>
          <w:rStyle w:val="ui-provider"/>
        </w:rPr>
        <w:t xml:space="preserve">of </w:t>
      </w:r>
      <w:r w:rsidR="00114013" w:rsidRPr="00184C11">
        <w:rPr>
          <w:rStyle w:val="ui-provider"/>
        </w:rPr>
        <w:t xml:space="preserve">the </w:t>
      </w:r>
      <w:r w:rsidR="00114013">
        <w:rPr>
          <w:rStyle w:val="ui-provider"/>
        </w:rPr>
        <w:t>annex,</w:t>
      </w:r>
      <w:r w:rsidR="00114013" w:rsidRPr="00721147">
        <w:rPr>
          <w:rStyle w:val="ui-provider"/>
        </w:rPr>
        <w:t xml:space="preserve"> for consideration by the Subsidiary Body for Implementation at its </w:t>
      </w:r>
      <w:r w:rsidR="00114013">
        <w:rPr>
          <w:rStyle w:val="ui-provider"/>
        </w:rPr>
        <w:t>sixty-second</w:t>
      </w:r>
      <w:r w:rsidR="00114013" w:rsidRPr="00721147">
        <w:rPr>
          <w:rStyle w:val="ui-provider"/>
        </w:rPr>
        <w:t xml:space="preserve"> session</w:t>
      </w:r>
      <w:r w:rsidR="00114013">
        <w:rPr>
          <w:rStyle w:val="ui-provider"/>
        </w:rPr>
        <w:t xml:space="preserve"> (</w:t>
      </w:r>
      <w:r w:rsidR="00114013" w:rsidRPr="0A300B5B">
        <w:rPr>
          <w:rStyle w:val="ui-provider"/>
        </w:rPr>
        <w:t xml:space="preserve">June </w:t>
      </w:r>
      <w:r w:rsidR="00114013">
        <w:rPr>
          <w:rStyle w:val="ui-provider"/>
        </w:rPr>
        <w:t>2025)</w:t>
      </w:r>
      <w:r w:rsidR="00114013" w:rsidRPr="00721147">
        <w:rPr>
          <w:rStyle w:val="ui-provider"/>
        </w:rPr>
        <w:t>;</w:t>
      </w:r>
      <w:bookmarkEnd w:id="5"/>
    </w:p>
    <w:p w14:paraId="5655FEE7" w14:textId="420C87D4" w:rsidR="00114013" w:rsidRDefault="00804401" w:rsidP="00804401">
      <w:pPr>
        <w:pStyle w:val="RegSingleTxtG"/>
        <w:numPr>
          <w:ilvl w:val="0"/>
          <w:numId w:val="0"/>
        </w:numPr>
        <w:ind w:left="1134"/>
      </w:pPr>
      <w:r>
        <w:rPr>
          <w:bCs/>
        </w:rPr>
        <w:t>5.</w:t>
      </w:r>
      <w:r>
        <w:rPr>
          <w:bCs/>
        </w:rPr>
        <w:tab/>
      </w:r>
      <w:r w:rsidR="00114013">
        <w:rPr>
          <w:rStyle w:val="ui-provider"/>
          <w:i/>
          <w:iCs/>
        </w:rPr>
        <w:t>Also requests</w:t>
      </w:r>
      <w:r w:rsidR="00114013">
        <w:rPr>
          <w:rStyle w:val="ui-provider"/>
        </w:rPr>
        <w:t xml:space="preserve"> the Subsidiary Body for Implementation, at its </w:t>
      </w:r>
      <w:r w:rsidR="00114013" w:rsidRPr="0A300B5B">
        <w:rPr>
          <w:rStyle w:val="ui-provider"/>
        </w:rPr>
        <w:t>sixty-second</w:t>
      </w:r>
      <w:r w:rsidR="00114013">
        <w:rPr>
          <w:rStyle w:val="ui-provider"/>
        </w:rPr>
        <w:t xml:space="preserve"> session, to initiate the </w:t>
      </w:r>
      <w:r w:rsidR="00114013" w:rsidRPr="00153B85">
        <w:t>fifth comprehensive review of the implementation of the framework for capacity-building in developing countries</w:t>
      </w:r>
      <w:r w:rsidR="00114013">
        <w:t xml:space="preserve">, in accordance with the terms of reference contained in the annex, taking into account the submissions referred to in paragraph </w:t>
      </w:r>
      <w:r w:rsidR="00114013">
        <w:rPr>
          <w:cs/>
        </w:rPr>
        <w:t>‎</w:t>
      </w:r>
      <w:r w:rsidR="00114013">
        <w:t xml:space="preserve">3 above and the technical report referred to in paragraph </w:t>
      </w:r>
      <w:r w:rsidR="00114013">
        <w:rPr>
          <w:cs/>
        </w:rPr>
        <w:t>‎</w:t>
      </w:r>
      <w:r w:rsidR="00114013">
        <w:t>4 above;</w:t>
      </w:r>
    </w:p>
    <w:p w14:paraId="49D1D7E1" w14:textId="1CFD7209" w:rsidR="00114013" w:rsidRDefault="00804401" w:rsidP="00804401">
      <w:pPr>
        <w:pStyle w:val="RegSingleTxtG"/>
        <w:numPr>
          <w:ilvl w:val="0"/>
          <w:numId w:val="0"/>
        </w:numPr>
        <w:ind w:left="1134"/>
      </w:pPr>
      <w:r>
        <w:rPr>
          <w:bCs/>
        </w:rPr>
        <w:t>6.</w:t>
      </w:r>
      <w:r>
        <w:rPr>
          <w:bCs/>
        </w:rPr>
        <w:tab/>
      </w:r>
      <w:r w:rsidR="00114013" w:rsidRPr="00114013">
        <w:rPr>
          <w:rStyle w:val="ui-provider"/>
          <w:i/>
          <w:iCs/>
        </w:rPr>
        <w:t>Further requests</w:t>
      </w:r>
      <w:r w:rsidR="00114013" w:rsidRPr="004B61EF">
        <w:rPr>
          <w:rStyle w:val="ui-provider"/>
        </w:rPr>
        <w:t xml:space="preserve"> the Subsidiary Body for Implementation to complete its work on </w:t>
      </w:r>
      <w:r w:rsidR="00114013" w:rsidRPr="002D00B8">
        <w:rPr>
          <w:rStyle w:val="ui-provider"/>
        </w:rPr>
        <w:t xml:space="preserve">the </w:t>
      </w:r>
      <w:r w:rsidR="00114013" w:rsidRPr="00153B85">
        <w:t>fifth comprehensive review of the implementation of the framework for capacity-building in developing countries under the Convention</w:t>
      </w:r>
      <w:r w:rsidR="00114013" w:rsidRPr="004B61EF">
        <w:rPr>
          <w:rStyle w:val="ui-provider"/>
        </w:rPr>
        <w:t xml:space="preserve"> at its sixty-</w:t>
      </w:r>
      <w:r w:rsidR="00114013">
        <w:rPr>
          <w:rStyle w:val="ui-provider"/>
        </w:rPr>
        <w:t>third</w:t>
      </w:r>
      <w:r w:rsidR="00114013" w:rsidRPr="004B61EF">
        <w:rPr>
          <w:rStyle w:val="ui-provider"/>
        </w:rPr>
        <w:t xml:space="preserve"> session (</w:t>
      </w:r>
      <w:r w:rsidR="00114013" w:rsidRPr="0A300B5B">
        <w:rPr>
          <w:rStyle w:val="ui-provider"/>
        </w:rPr>
        <w:t xml:space="preserve">November </w:t>
      </w:r>
      <w:r w:rsidR="00114013" w:rsidRPr="004B61EF">
        <w:rPr>
          <w:rStyle w:val="ui-provider"/>
        </w:rPr>
        <w:t>202</w:t>
      </w:r>
      <w:r w:rsidR="00114013">
        <w:rPr>
          <w:rStyle w:val="ui-provider"/>
        </w:rPr>
        <w:t>5</w:t>
      </w:r>
      <w:r w:rsidR="00114013" w:rsidRPr="004B61EF">
        <w:rPr>
          <w:rStyle w:val="ui-provider"/>
        </w:rPr>
        <w:t>) with a view to recommending a draft decision on the matter for consideration and adoption by the</w:t>
      </w:r>
      <w:r w:rsidR="00114013">
        <w:rPr>
          <w:rStyle w:val="ui-provider"/>
        </w:rPr>
        <w:t xml:space="preserve"> </w:t>
      </w:r>
      <w:r w:rsidR="00114013" w:rsidRPr="004B61EF">
        <w:rPr>
          <w:rStyle w:val="ui-provider"/>
        </w:rPr>
        <w:t>Conference of the Parties at its t</w:t>
      </w:r>
      <w:r w:rsidR="00114013">
        <w:rPr>
          <w:rStyle w:val="ui-provider"/>
        </w:rPr>
        <w:t>hirtieth</w:t>
      </w:r>
      <w:r w:rsidR="00114013" w:rsidRPr="004B61EF">
        <w:rPr>
          <w:rStyle w:val="ui-provider"/>
        </w:rPr>
        <w:t xml:space="preserve"> session (</w:t>
      </w:r>
      <w:r w:rsidR="00114013">
        <w:rPr>
          <w:rStyle w:val="ui-provider"/>
        </w:rPr>
        <w:t xml:space="preserve">November </w:t>
      </w:r>
      <w:r w:rsidR="00114013" w:rsidRPr="004B61EF">
        <w:rPr>
          <w:rStyle w:val="ui-provider"/>
        </w:rPr>
        <w:t>202</w:t>
      </w:r>
      <w:r w:rsidR="00114013">
        <w:rPr>
          <w:rStyle w:val="ui-provider"/>
        </w:rPr>
        <w:t>5</w:t>
      </w:r>
      <w:r w:rsidR="00114013" w:rsidRPr="004B61EF">
        <w:rPr>
          <w:rStyle w:val="ui-provider"/>
        </w:rPr>
        <w:t>)</w:t>
      </w:r>
      <w:r w:rsidR="00114013">
        <w:rPr>
          <w:rStyle w:val="ui-provider"/>
        </w:rPr>
        <w:t>.</w:t>
      </w:r>
    </w:p>
    <w:p w14:paraId="66090ACC" w14:textId="77777777" w:rsidR="00237B28" w:rsidRDefault="00237B28" w:rsidP="00DD66EB">
      <w:pPr>
        <w:pStyle w:val="HChG"/>
        <w:spacing w:before="0"/>
        <w:sectPr w:rsidR="00237B28" w:rsidSect="00E56563">
          <w:headerReference w:type="even" r:id="rId17"/>
          <w:headerReference w:type="default" r:id="rId18"/>
          <w:footerReference w:type="even" r:id="rId19"/>
          <w:footerReference w:type="default" r:id="rId20"/>
          <w:footnotePr>
            <w:numRestart w:val="eachSect"/>
          </w:footnotePr>
          <w:type w:val="continuous"/>
          <w:pgSz w:w="11906" w:h="16838" w:code="9"/>
          <w:pgMar w:top="1417" w:right="1134" w:bottom="1134" w:left="1134" w:header="850" w:footer="567" w:gutter="0"/>
          <w:cols w:space="708"/>
          <w:titlePg/>
          <w:docGrid w:linePitch="360"/>
        </w:sectPr>
      </w:pPr>
    </w:p>
    <w:p w14:paraId="5FFB69EE" w14:textId="77777777" w:rsidR="00DD66EB" w:rsidRDefault="00DD66EB" w:rsidP="00DD66EB">
      <w:pPr>
        <w:pStyle w:val="HChG"/>
        <w:spacing w:before="0"/>
      </w:pPr>
      <w:r>
        <w:lastRenderedPageBreak/>
        <w:t>Annex</w:t>
      </w:r>
    </w:p>
    <w:p w14:paraId="4B1BBF68" w14:textId="77777777" w:rsidR="00DD66EB" w:rsidRDefault="00DD66EB" w:rsidP="00DD66EB">
      <w:pPr>
        <w:pStyle w:val="HChG"/>
        <w:tabs>
          <w:tab w:val="clear" w:pos="851"/>
        </w:tabs>
        <w:ind w:firstLine="0"/>
      </w:pPr>
      <w:r>
        <w:t>Terms of reference for the fifth comprehensive review of the implementation of the framework for capacity-building in developing countries under the Convention</w:t>
      </w:r>
    </w:p>
    <w:p w14:paraId="028AD180" w14:textId="7EEB1E7C" w:rsidR="00DD66EB" w:rsidRDefault="00804401" w:rsidP="00804401">
      <w:pPr>
        <w:pStyle w:val="RegHChG"/>
        <w:numPr>
          <w:ilvl w:val="0"/>
          <w:numId w:val="0"/>
        </w:numPr>
        <w:tabs>
          <w:tab w:val="left" w:pos="1135"/>
        </w:tabs>
        <w:ind w:left="1135" w:hanging="454"/>
        <w:rPr>
          <w:rStyle w:val="ui-provider"/>
        </w:rPr>
      </w:pPr>
      <w:r>
        <w:rPr>
          <w:rStyle w:val="ui-provider"/>
        </w:rPr>
        <w:t>I.</w:t>
      </w:r>
      <w:r>
        <w:rPr>
          <w:rStyle w:val="ui-provider"/>
        </w:rPr>
        <w:tab/>
      </w:r>
      <w:r w:rsidR="00DD66EB">
        <w:rPr>
          <w:rStyle w:val="ui-provider"/>
        </w:rPr>
        <w:t>Mandate</w:t>
      </w:r>
    </w:p>
    <w:p w14:paraId="2293D160" w14:textId="3095D3CD" w:rsidR="00DD66EB" w:rsidRPr="00497418" w:rsidRDefault="00804401" w:rsidP="00804401">
      <w:pPr>
        <w:pStyle w:val="RegSingleTxtG"/>
        <w:numPr>
          <w:ilvl w:val="0"/>
          <w:numId w:val="0"/>
        </w:numPr>
        <w:ind w:left="1134"/>
        <w:rPr>
          <w:rStyle w:val="ui-provider"/>
          <w:b/>
          <w:bCs/>
          <w:sz w:val="28"/>
          <w:szCs w:val="28"/>
        </w:rPr>
      </w:pPr>
      <w:r w:rsidRPr="00497418">
        <w:rPr>
          <w:rStyle w:val="ui-provider"/>
          <w:bCs/>
          <w:szCs w:val="28"/>
        </w:rPr>
        <w:t>1.</w:t>
      </w:r>
      <w:r w:rsidRPr="00497418">
        <w:rPr>
          <w:rStyle w:val="ui-provider"/>
          <w:bCs/>
          <w:szCs w:val="28"/>
        </w:rPr>
        <w:tab/>
      </w:r>
      <w:r w:rsidR="00DD66EB" w:rsidRPr="005B6AC0">
        <w:t xml:space="preserve">At its twenty-fifth session, the </w:t>
      </w:r>
      <w:r w:rsidR="00DD66EB" w:rsidRPr="00D864DD">
        <w:t>Conference of the Parties</w:t>
      </w:r>
      <w:r w:rsidR="00DD66EB" w:rsidRPr="005B6AC0">
        <w:t xml:space="preserve"> </w:t>
      </w:r>
      <w:r w:rsidR="00DD66EB" w:rsidRPr="00D864DD">
        <w:t>request</w:t>
      </w:r>
      <w:r w:rsidR="00DD66EB">
        <w:t>ed</w:t>
      </w:r>
      <w:r w:rsidR="00DD66EB" w:rsidRPr="005B6AC0">
        <w:t xml:space="preserve"> the Subsidiary </w:t>
      </w:r>
      <w:r w:rsidR="00DD66EB">
        <w:t xml:space="preserve">Body </w:t>
      </w:r>
      <w:r w:rsidR="00DD66EB" w:rsidRPr="005B6AC0">
        <w:t>for Implementation</w:t>
      </w:r>
      <w:r w:rsidR="00DD66EB">
        <w:t xml:space="preserve"> (SBI),</w:t>
      </w:r>
      <w:r w:rsidR="00DD66EB" w:rsidRPr="00D864DD">
        <w:t xml:space="preserve"> at its sixt</w:t>
      </w:r>
      <w:r w:rsidR="00DD66EB">
        <w:t>ieth</w:t>
      </w:r>
      <w:r w:rsidR="00DD66EB" w:rsidRPr="00D864DD">
        <w:t xml:space="preserve"> session</w:t>
      </w:r>
      <w:r w:rsidR="00DD66EB">
        <w:t>,</w:t>
      </w:r>
      <w:r w:rsidR="00DD66EB" w:rsidRPr="00D864DD">
        <w:t xml:space="preserve"> </w:t>
      </w:r>
      <w:r w:rsidR="00DD66EB" w:rsidRPr="005B6AC0">
        <w:t xml:space="preserve">to initiate </w:t>
      </w:r>
      <w:r w:rsidR="00DD66EB">
        <w:t xml:space="preserve">the development of </w:t>
      </w:r>
      <w:r w:rsidR="00DD66EB" w:rsidRPr="00D864DD">
        <w:t xml:space="preserve">the </w:t>
      </w:r>
      <w:r w:rsidR="00DD66EB">
        <w:t xml:space="preserve">terms of reference for </w:t>
      </w:r>
      <w:r w:rsidR="00DD66EB" w:rsidRPr="005B6AC0">
        <w:t xml:space="preserve">the fifth comprehensive review of the implementation of the </w:t>
      </w:r>
      <w:r w:rsidR="00DD66EB">
        <w:t xml:space="preserve">framework for </w:t>
      </w:r>
      <w:r w:rsidR="00DD66EB" w:rsidRPr="005B6AC0">
        <w:t xml:space="preserve">capacity-building </w:t>
      </w:r>
      <w:r w:rsidR="00DD66EB">
        <w:t xml:space="preserve">in developing countries established under decision </w:t>
      </w:r>
      <w:hyperlink r:id="rId21" w:history="1">
        <w:r w:rsidR="00DD66EB" w:rsidRPr="00303C6A">
          <w:rPr>
            <w:rStyle w:val="Hyperlink"/>
          </w:rPr>
          <w:t>2/CP.7</w:t>
        </w:r>
      </w:hyperlink>
      <w:r w:rsidR="00DD66EB">
        <w:t xml:space="preserve"> </w:t>
      </w:r>
      <w:r w:rsidR="00DD66EB" w:rsidRPr="005B6AC0">
        <w:t xml:space="preserve">under the Convention </w:t>
      </w:r>
      <w:r w:rsidR="00DD66EB" w:rsidRPr="00F328C9">
        <w:t xml:space="preserve">for consideration and adoption by the Conference of the Parties at its </w:t>
      </w:r>
      <w:r w:rsidR="00DD66EB">
        <w:t>twenty</w:t>
      </w:r>
      <w:r w:rsidR="00DD66EB">
        <w:noBreakHyphen/>
        <w:t>ninth</w:t>
      </w:r>
      <w:r w:rsidR="00DD66EB" w:rsidRPr="00F328C9">
        <w:t xml:space="preserve"> session</w:t>
      </w:r>
      <w:r w:rsidR="00DD66EB" w:rsidRPr="008E341F">
        <w:t>.</w:t>
      </w:r>
      <w:r w:rsidR="00DD66EB" w:rsidRPr="00186B46">
        <w:rPr>
          <w:rStyle w:val="FootnoteReference"/>
        </w:rPr>
        <w:footnoteReference w:id="5"/>
      </w:r>
    </w:p>
    <w:p w14:paraId="1BD41A5C" w14:textId="1B4B3DFD" w:rsidR="00DD66EB" w:rsidRDefault="00804401" w:rsidP="00804401">
      <w:pPr>
        <w:pStyle w:val="RegHChG"/>
        <w:numPr>
          <w:ilvl w:val="0"/>
          <w:numId w:val="0"/>
        </w:numPr>
        <w:tabs>
          <w:tab w:val="left" w:pos="1135"/>
        </w:tabs>
        <w:ind w:left="1135" w:hanging="454"/>
      </w:pPr>
      <w:r>
        <w:t>II.</w:t>
      </w:r>
      <w:r>
        <w:tab/>
      </w:r>
      <w:r w:rsidR="00DD66EB">
        <w:t>Objective</w:t>
      </w:r>
    </w:p>
    <w:p w14:paraId="3303F4AB" w14:textId="2ADDD543" w:rsidR="00DD66EB" w:rsidRPr="00EA253D" w:rsidRDefault="00804401" w:rsidP="00804401">
      <w:pPr>
        <w:pStyle w:val="RegSingleTxtG"/>
        <w:numPr>
          <w:ilvl w:val="0"/>
          <w:numId w:val="0"/>
        </w:numPr>
        <w:ind w:left="1134"/>
      </w:pPr>
      <w:r w:rsidRPr="00EA253D">
        <w:rPr>
          <w:bCs/>
        </w:rPr>
        <w:t>2.</w:t>
      </w:r>
      <w:r w:rsidRPr="00EA253D">
        <w:rPr>
          <w:bCs/>
        </w:rPr>
        <w:tab/>
      </w:r>
      <w:r w:rsidR="00DD66EB" w:rsidRPr="0066181E">
        <w:rPr>
          <w:lang w:val="en-US"/>
        </w:rPr>
        <w:t>The objective of the fifth comprehensive review of the implementation of the framework for capacity-building in developing countries under the Convention is to take stock of the progress in and assess the effectiveness and efficiency of the implementation of the framework in developing countries under the Convention taking into account recent developments under the Convention.</w:t>
      </w:r>
    </w:p>
    <w:p w14:paraId="39CE1545" w14:textId="531A167F" w:rsidR="00DD66EB" w:rsidRPr="00CF520F" w:rsidRDefault="00804401" w:rsidP="00804401">
      <w:pPr>
        <w:pStyle w:val="RegHChG"/>
        <w:numPr>
          <w:ilvl w:val="0"/>
          <w:numId w:val="0"/>
        </w:numPr>
        <w:tabs>
          <w:tab w:val="left" w:pos="1135"/>
        </w:tabs>
        <w:ind w:left="1135" w:hanging="454"/>
        <w:rPr>
          <w:rStyle w:val="ui-provider"/>
        </w:rPr>
      </w:pPr>
      <w:r w:rsidRPr="00CF520F">
        <w:rPr>
          <w:rStyle w:val="ui-provider"/>
        </w:rPr>
        <w:t>III.</w:t>
      </w:r>
      <w:r w:rsidRPr="00CF520F">
        <w:rPr>
          <w:rStyle w:val="ui-provider"/>
        </w:rPr>
        <w:tab/>
      </w:r>
      <w:r w:rsidR="00DD66EB" w:rsidRPr="00CF520F">
        <w:rPr>
          <w:rStyle w:val="ui-provider"/>
        </w:rPr>
        <w:t>Review elements</w:t>
      </w:r>
    </w:p>
    <w:p w14:paraId="3212C70B" w14:textId="2E1E150B" w:rsidR="00DD66EB" w:rsidRDefault="00804401" w:rsidP="00804401">
      <w:pPr>
        <w:pStyle w:val="RegSingleTxtG"/>
        <w:numPr>
          <w:ilvl w:val="0"/>
          <w:numId w:val="0"/>
        </w:numPr>
        <w:ind w:left="1134"/>
        <w:rPr>
          <w:lang w:val="en-US"/>
        </w:rPr>
      </w:pPr>
      <w:r>
        <w:rPr>
          <w:bCs/>
          <w:lang w:val="en-US"/>
        </w:rPr>
        <w:t>3.</w:t>
      </w:r>
      <w:r>
        <w:rPr>
          <w:bCs/>
          <w:lang w:val="en-US"/>
        </w:rPr>
        <w:tab/>
      </w:r>
      <w:r w:rsidR="00DD66EB">
        <w:t>The review elements are as follows:</w:t>
      </w:r>
    </w:p>
    <w:p w14:paraId="156AB5B5" w14:textId="088D41B3" w:rsidR="00DD66EB" w:rsidRPr="00170270" w:rsidRDefault="00804401" w:rsidP="00804401">
      <w:pPr>
        <w:pStyle w:val="RegSingleTxtG2"/>
        <w:numPr>
          <w:ilvl w:val="0"/>
          <w:numId w:val="0"/>
        </w:numPr>
        <w:ind w:left="1134" w:firstLine="567"/>
        <w:rPr>
          <w:lang w:val="en-US"/>
        </w:rPr>
      </w:pPr>
      <w:r w:rsidRPr="00170270">
        <w:rPr>
          <w:szCs w:val="28"/>
          <w:lang w:val="en-US"/>
        </w:rPr>
        <w:t>(a)</w:t>
      </w:r>
      <w:r w:rsidRPr="00170270">
        <w:rPr>
          <w:szCs w:val="28"/>
          <w:lang w:val="en-US"/>
        </w:rPr>
        <w:tab/>
      </w:r>
      <w:r w:rsidR="00DD66EB" w:rsidRPr="00170270">
        <w:rPr>
          <w:lang w:val="en-US"/>
        </w:rPr>
        <w:t>To take stock of progress in and assess the effectiveness of the implementation of the framework for capacity-building in developing countries under the Convention</w:t>
      </w:r>
      <w:r w:rsidR="00DD66EB">
        <w:rPr>
          <w:lang w:val="en-US"/>
        </w:rPr>
        <w:t>;</w:t>
      </w:r>
    </w:p>
    <w:p w14:paraId="39C9A9E2" w14:textId="6443652C" w:rsidR="00DD66EB" w:rsidRPr="00170270" w:rsidRDefault="00804401" w:rsidP="00804401">
      <w:pPr>
        <w:pStyle w:val="RegSingleTxtG2"/>
        <w:numPr>
          <w:ilvl w:val="0"/>
          <w:numId w:val="0"/>
        </w:numPr>
        <w:ind w:left="1134" w:firstLine="567"/>
        <w:rPr>
          <w:lang w:val="en-US"/>
        </w:rPr>
      </w:pPr>
      <w:r w:rsidRPr="00170270">
        <w:rPr>
          <w:szCs w:val="28"/>
          <w:lang w:val="en-US"/>
        </w:rPr>
        <w:t>(b)</w:t>
      </w:r>
      <w:r w:rsidRPr="00170270">
        <w:rPr>
          <w:szCs w:val="28"/>
          <w:lang w:val="en-US"/>
        </w:rPr>
        <w:tab/>
      </w:r>
      <w:r w:rsidR="00DD66EB" w:rsidRPr="00170270">
        <w:rPr>
          <w:lang w:val="en-US"/>
        </w:rPr>
        <w:t>To examine possible capacity gaps and challenges in addressing the implementation of priority areas</w:t>
      </w:r>
      <w:r w:rsidR="00DD66EB">
        <w:rPr>
          <w:rStyle w:val="FootnoteReference"/>
          <w:lang w:val="en-US"/>
        </w:rPr>
        <w:footnoteReference w:id="6"/>
      </w:r>
      <w:r w:rsidR="00DD66EB" w:rsidRPr="00170270">
        <w:rPr>
          <w:lang w:val="en-US"/>
        </w:rPr>
        <w:t xml:space="preserve"> as contained in the framework for capacity-building in developing countries under the Convention</w:t>
      </w:r>
      <w:r w:rsidR="00DD66EB">
        <w:rPr>
          <w:lang w:val="en-US"/>
        </w:rPr>
        <w:t>,</w:t>
      </w:r>
      <w:r w:rsidR="00DD66EB" w:rsidRPr="00170270">
        <w:rPr>
          <w:lang w:val="en-US"/>
        </w:rPr>
        <w:t xml:space="preserve"> taking into account emerging needs and priorities for capacity-building</w:t>
      </w:r>
      <w:r w:rsidR="00DD66EB">
        <w:rPr>
          <w:lang w:val="en-US"/>
        </w:rPr>
        <w:t>;</w:t>
      </w:r>
    </w:p>
    <w:p w14:paraId="088727BC" w14:textId="76382DD6" w:rsidR="00DD66EB" w:rsidRPr="00170270" w:rsidRDefault="00804401" w:rsidP="00804401">
      <w:pPr>
        <w:pStyle w:val="RegSingleTxtG2"/>
        <w:numPr>
          <w:ilvl w:val="0"/>
          <w:numId w:val="0"/>
        </w:numPr>
        <w:ind w:left="1134" w:firstLine="567"/>
        <w:rPr>
          <w:lang w:val="en-US"/>
        </w:rPr>
      </w:pPr>
      <w:r w:rsidRPr="00170270">
        <w:rPr>
          <w:szCs w:val="28"/>
          <w:lang w:val="en-US"/>
        </w:rPr>
        <w:t>(c)</w:t>
      </w:r>
      <w:r w:rsidRPr="00170270">
        <w:rPr>
          <w:szCs w:val="28"/>
          <w:lang w:val="en-US"/>
        </w:rPr>
        <w:tab/>
      </w:r>
      <w:r w:rsidR="00DD66EB" w:rsidRPr="00170270">
        <w:rPr>
          <w:lang w:val="en-US"/>
        </w:rPr>
        <w:t>To identify lessons learned and best practices in the implementation of the framework for capacity-building in developing countries under the Convention and explore ways to further enhance the implementation of capacity-building activities</w:t>
      </w:r>
      <w:r w:rsidR="00DD66EB">
        <w:rPr>
          <w:lang w:val="en-US"/>
        </w:rPr>
        <w:t>;</w:t>
      </w:r>
    </w:p>
    <w:p w14:paraId="440C089A" w14:textId="613981DF" w:rsidR="00DD66EB" w:rsidRPr="00C42E17" w:rsidRDefault="00804401" w:rsidP="00804401">
      <w:pPr>
        <w:pStyle w:val="RegSingleTxtG2"/>
        <w:numPr>
          <w:ilvl w:val="0"/>
          <w:numId w:val="0"/>
        </w:numPr>
        <w:ind w:left="1134" w:firstLine="567"/>
        <w:rPr>
          <w:w w:val="105"/>
          <w:lang w:val="en-US"/>
        </w:rPr>
      </w:pPr>
      <w:r w:rsidRPr="00C42E17">
        <w:rPr>
          <w:w w:val="105"/>
          <w:szCs w:val="28"/>
          <w:lang w:val="en-US"/>
        </w:rPr>
        <w:t>(d)</w:t>
      </w:r>
      <w:r w:rsidRPr="00C42E17">
        <w:rPr>
          <w:w w:val="105"/>
          <w:szCs w:val="28"/>
          <w:lang w:val="en-US"/>
        </w:rPr>
        <w:tab/>
      </w:r>
      <w:r w:rsidR="00DD66EB">
        <w:rPr>
          <w:lang w:val="en-US"/>
        </w:rPr>
        <w:t>To r</w:t>
      </w:r>
      <w:r w:rsidR="00DD66EB" w:rsidRPr="25FEB792">
        <w:rPr>
          <w:lang w:val="en-US"/>
        </w:rPr>
        <w:t>ecommend</w:t>
      </w:r>
      <w:r w:rsidR="00DD66EB">
        <w:rPr>
          <w:lang w:val="en-US"/>
        </w:rPr>
        <w:t xml:space="preserve"> </w:t>
      </w:r>
      <w:r w:rsidR="00DD66EB" w:rsidRPr="25FEB792">
        <w:rPr>
          <w:lang w:val="en-US"/>
        </w:rPr>
        <w:t xml:space="preserve">ways </w:t>
      </w:r>
      <w:r w:rsidR="00DD66EB" w:rsidRPr="00170270">
        <w:rPr>
          <w:lang w:val="en-US"/>
        </w:rPr>
        <w:t>and means to increase the effectiveness and efficiency of the implementation of the framework for capacity-building in developing countries under the Convention, taking into account recent developments in capacity-building under the Convention and the need for coherence and avoiding duplication in institutional arrangements related to capacity-building.</w:t>
      </w:r>
    </w:p>
    <w:p w14:paraId="1CB2C35B" w14:textId="6FE5E2C5" w:rsidR="00DD66EB" w:rsidRDefault="00804401" w:rsidP="00804401">
      <w:pPr>
        <w:pStyle w:val="RegHChG"/>
        <w:numPr>
          <w:ilvl w:val="0"/>
          <w:numId w:val="0"/>
        </w:numPr>
        <w:tabs>
          <w:tab w:val="left" w:pos="1135"/>
        </w:tabs>
        <w:ind w:left="1135" w:hanging="454"/>
        <w:rPr>
          <w:w w:val="105"/>
          <w:lang w:val="en-US"/>
        </w:rPr>
      </w:pPr>
      <w:r>
        <w:rPr>
          <w:w w:val="105"/>
          <w:lang w:val="en-US"/>
        </w:rPr>
        <w:t>IV.</w:t>
      </w:r>
      <w:r>
        <w:rPr>
          <w:w w:val="105"/>
          <w:lang w:val="en-US"/>
        </w:rPr>
        <w:tab/>
      </w:r>
      <w:r w:rsidR="00DD66EB">
        <w:rPr>
          <w:w w:val="105"/>
          <w:lang w:val="en-US"/>
        </w:rPr>
        <w:t>Modalities of work</w:t>
      </w:r>
    </w:p>
    <w:p w14:paraId="10FD3182" w14:textId="11F7F104" w:rsidR="00DD66EB" w:rsidRPr="00170270" w:rsidRDefault="00804401" w:rsidP="00804401">
      <w:pPr>
        <w:pStyle w:val="RegSingleTxtG"/>
        <w:numPr>
          <w:ilvl w:val="0"/>
          <w:numId w:val="0"/>
        </w:numPr>
        <w:ind w:left="1134"/>
        <w:rPr>
          <w:lang w:val="en-US"/>
        </w:rPr>
      </w:pPr>
      <w:r w:rsidRPr="00170270">
        <w:rPr>
          <w:bCs/>
          <w:lang w:val="en-US"/>
        </w:rPr>
        <w:t>4.</w:t>
      </w:r>
      <w:r w:rsidRPr="00170270">
        <w:rPr>
          <w:bCs/>
          <w:lang w:val="en-US"/>
        </w:rPr>
        <w:tab/>
      </w:r>
      <w:r w:rsidR="00DD66EB" w:rsidRPr="0B3254DB">
        <w:rPr>
          <w:lang w:val="en-US"/>
        </w:rPr>
        <w:t xml:space="preserve">The fifth comprehensive review of the implementation of the framework for capacity-building in developing countries under the Convention should draw upon the relevant reports prepared by the secretariat for consideration at SBI 62 </w:t>
      </w:r>
      <w:r w:rsidR="00144E47" w:rsidRPr="0B3254DB">
        <w:rPr>
          <w:lang w:val="en-US"/>
        </w:rPr>
        <w:t xml:space="preserve">(June 2025) </w:t>
      </w:r>
      <w:r w:rsidR="00DD66EB" w:rsidRPr="0B3254DB">
        <w:rPr>
          <w:lang w:val="en-US"/>
        </w:rPr>
        <w:t>and any additional relevant information contained in the information sources listed in chapter V below, and take into account the objective and review elements in chapters II and III above respectively.</w:t>
      </w:r>
    </w:p>
    <w:p w14:paraId="5C610B96" w14:textId="6EB0DC15" w:rsidR="00DD66EB" w:rsidRPr="000E0412" w:rsidRDefault="00804401" w:rsidP="00804401">
      <w:pPr>
        <w:pStyle w:val="RegHChG"/>
        <w:numPr>
          <w:ilvl w:val="0"/>
          <w:numId w:val="0"/>
        </w:numPr>
        <w:tabs>
          <w:tab w:val="left" w:pos="1135"/>
        </w:tabs>
        <w:ind w:left="1135" w:hanging="454"/>
        <w:rPr>
          <w:lang w:val="en-US"/>
        </w:rPr>
      </w:pPr>
      <w:r w:rsidRPr="000E0412">
        <w:rPr>
          <w:lang w:val="en-US"/>
        </w:rPr>
        <w:lastRenderedPageBreak/>
        <w:t>V.</w:t>
      </w:r>
      <w:r w:rsidRPr="000E0412">
        <w:rPr>
          <w:lang w:val="en-US"/>
        </w:rPr>
        <w:tab/>
      </w:r>
      <w:r w:rsidR="00DD66EB">
        <w:rPr>
          <w:lang w:val="en-US"/>
        </w:rPr>
        <w:t>Information sources</w:t>
      </w:r>
    </w:p>
    <w:p w14:paraId="12065EA6" w14:textId="575EE62B" w:rsidR="00DD66EB" w:rsidRPr="00170270" w:rsidRDefault="00804401" w:rsidP="00804401">
      <w:pPr>
        <w:pStyle w:val="RegSingleTxtG"/>
        <w:numPr>
          <w:ilvl w:val="0"/>
          <w:numId w:val="0"/>
        </w:numPr>
        <w:ind w:left="1134"/>
        <w:rPr>
          <w:lang w:val="en-US"/>
        </w:rPr>
      </w:pPr>
      <w:bookmarkStart w:id="6" w:name="_Ref169000020"/>
      <w:r w:rsidRPr="00170270">
        <w:rPr>
          <w:bCs/>
          <w:lang w:val="en-US"/>
        </w:rPr>
        <w:t>5.</w:t>
      </w:r>
      <w:r w:rsidRPr="00170270">
        <w:rPr>
          <w:bCs/>
          <w:lang w:val="en-US"/>
        </w:rPr>
        <w:tab/>
      </w:r>
      <w:r w:rsidR="00DD66EB" w:rsidRPr="415DC2EF">
        <w:rPr>
          <w:lang w:val="en-US"/>
        </w:rPr>
        <w:t>Information sources that could be drawn o</w:t>
      </w:r>
      <w:r w:rsidR="00DD66EB">
        <w:rPr>
          <w:lang w:val="en-US"/>
        </w:rPr>
        <w:t>n</w:t>
      </w:r>
      <w:r w:rsidR="00DD66EB" w:rsidRPr="415DC2EF">
        <w:rPr>
          <w:lang w:val="en-US"/>
        </w:rPr>
        <w:t xml:space="preserve"> in the fifth comprehensive review of the implementation of the framework for capacity-building in developing countries under the Convention are, inter alia:</w:t>
      </w:r>
      <w:bookmarkEnd w:id="6"/>
    </w:p>
    <w:p w14:paraId="1969C206" w14:textId="6895D6D0" w:rsidR="00DD66EB" w:rsidRPr="00170270" w:rsidRDefault="00804401" w:rsidP="00804401">
      <w:pPr>
        <w:pStyle w:val="RegSingleTxtG2"/>
        <w:numPr>
          <w:ilvl w:val="0"/>
          <w:numId w:val="0"/>
        </w:numPr>
        <w:ind w:left="1134" w:firstLine="567"/>
        <w:rPr>
          <w:lang w:val="en-US"/>
        </w:rPr>
      </w:pPr>
      <w:r w:rsidRPr="00170270">
        <w:rPr>
          <w:szCs w:val="28"/>
          <w:lang w:val="en-US"/>
        </w:rPr>
        <w:t>(a)</w:t>
      </w:r>
      <w:r w:rsidRPr="00170270">
        <w:rPr>
          <w:szCs w:val="28"/>
          <w:lang w:val="en-US"/>
        </w:rPr>
        <w:tab/>
      </w:r>
      <w:r w:rsidR="00DD66EB" w:rsidRPr="00170270">
        <w:rPr>
          <w:lang w:val="en-US"/>
        </w:rPr>
        <w:t>Submissions from Parties and observers;</w:t>
      </w:r>
    </w:p>
    <w:p w14:paraId="0945311B" w14:textId="3D365634" w:rsidR="00DD66EB" w:rsidRPr="00170270" w:rsidRDefault="00804401" w:rsidP="00804401">
      <w:pPr>
        <w:pStyle w:val="RegSingleTxtG2"/>
        <w:numPr>
          <w:ilvl w:val="0"/>
          <w:numId w:val="0"/>
        </w:numPr>
        <w:ind w:left="1134" w:firstLine="567"/>
        <w:rPr>
          <w:lang w:val="en-US"/>
        </w:rPr>
      </w:pPr>
      <w:r w:rsidRPr="00170270">
        <w:rPr>
          <w:szCs w:val="28"/>
          <w:lang w:val="en-US"/>
        </w:rPr>
        <w:t>(b)</w:t>
      </w:r>
      <w:r w:rsidRPr="00170270">
        <w:rPr>
          <w:szCs w:val="28"/>
          <w:lang w:val="en-US"/>
        </w:rPr>
        <w:tab/>
      </w:r>
      <w:r w:rsidR="00DD66EB" w:rsidRPr="0EEA7347">
        <w:rPr>
          <w:lang w:val="en-US"/>
        </w:rPr>
        <w:t>Findings from the previous comprehensive reviews of the implementation of the framework for capacity-building in developing countries;</w:t>
      </w:r>
    </w:p>
    <w:p w14:paraId="3E7992E1" w14:textId="189C3F55" w:rsidR="00DD66EB" w:rsidRPr="00170270" w:rsidRDefault="00804401" w:rsidP="00804401">
      <w:pPr>
        <w:pStyle w:val="RegSingleTxtG2"/>
        <w:numPr>
          <w:ilvl w:val="0"/>
          <w:numId w:val="0"/>
        </w:numPr>
        <w:ind w:left="1134" w:firstLine="567"/>
        <w:rPr>
          <w:lang w:val="en-US"/>
        </w:rPr>
      </w:pPr>
      <w:r w:rsidRPr="00170270">
        <w:rPr>
          <w:szCs w:val="28"/>
          <w:lang w:val="en-US"/>
        </w:rPr>
        <w:t>(c)</w:t>
      </w:r>
      <w:r w:rsidRPr="00170270">
        <w:rPr>
          <w:szCs w:val="28"/>
          <w:lang w:val="en-US"/>
        </w:rPr>
        <w:tab/>
      </w:r>
      <w:r w:rsidR="00DD66EB" w:rsidRPr="00170270">
        <w:rPr>
          <w:lang w:val="en-US"/>
        </w:rPr>
        <w:t>Annual synthesis reports on the implementation of the framework for capacity-building in developing countries prepared by the secretariat;</w:t>
      </w:r>
    </w:p>
    <w:p w14:paraId="590492CF" w14:textId="5FCB62DA" w:rsidR="00DD66EB" w:rsidRPr="00170270" w:rsidRDefault="00804401" w:rsidP="00804401">
      <w:pPr>
        <w:pStyle w:val="RegSingleTxtG2"/>
        <w:numPr>
          <w:ilvl w:val="0"/>
          <w:numId w:val="0"/>
        </w:numPr>
        <w:ind w:left="1134" w:firstLine="567"/>
        <w:rPr>
          <w:lang w:val="en-US"/>
        </w:rPr>
      </w:pPr>
      <w:r w:rsidRPr="00170270">
        <w:rPr>
          <w:szCs w:val="28"/>
          <w:lang w:val="en-US"/>
        </w:rPr>
        <w:t>(d)</w:t>
      </w:r>
      <w:r w:rsidRPr="00170270">
        <w:rPr>
          <w:szCs w:val="28"/>
          <w:lang w:val="en-US"/>
        </w:rPr>
        <w:tab/>
      </w:r>
      <w:r w:rsidR="00DD66EB" w:rsidRPr="00170270">
        <w:rPr>
          <w:lang w:val="en-US"/>
        </w:rPr>
        <w:t>National reports submitted by Parties under the Convention, as applicable;</w:t>
      </w:r>
    </w:p>
    <w:p w14:paraId="1F80FD92" w14:textId="57BBEEF7" w:rsidR="00DD66EB" w:rsidRPr="00170270" w:rsidRDefault="00804401" w:rsidP="00804401">
      <w:pPr>
        <w:pStyle w:val="RegSingleTxtG2"/>
        <w:numPr>
          <w:ilvl w:val="0"/>
          <w:numId w:val="0"/>
        </w:numPr>
        <w:ind w:left="1134" w:firstLine="567"/>
        <w:rPr>
          <w:lang w:val="en-US"/>
        </w:rPr>
      </w:pPr>
      <w:r w:rsidRPr="00170270">
        <w:rPr>
          <w:szCs w:val="28"/>
          <w:lang w:val="en-US"/>
        </w:rPr>
        <w:t>(e)</w:t>
      </w:r>
      <w:r w:rsidRPr="00170270">
        <w:rPr>
          <w:szCs w:val="28"/>
          <w:lang w:val="en-US"/>
        </w:rPr>
        <w:tab/>
      </w:r>
      <w:r w:rsidR="00DD66EB" w:rsidRPr="415DC2EF">
        <w:rPr>
          <w:lang w:val="en-US"/>
        </w:rPr>
        <w:t>Annual reports of the operating entities of the Financial Mechanism;</w:t>
      </w:r>
    </w:p>
    <w:p w14:paraId="328C92DF" w14:textId="28336BD1" w:rsidR="00DD66EB" w:rsidRPr="00170270" w:rsidRDefault="00804401" w:rsidP="00804401">
      <w:pPr>
        <w:pStyle w:val="RegSingleTxtG2"/>
        <w:numPr>
          <w:ilvl w:val="0"/>
          <w:numId w:val="0"/>
        </w:numPr>
        <w:ind w:left="1134" w:firstLine="567"/>
        <w:rPr>
          <w:lang w:val="en-US"/>
        </w:rPr>
      </w:pPr>
      <w:r w:rsidRPr="00170270">
        <w:rPr>
          <w:szCs w:val="28"/>
          <w:lang w:val="en-US"/>
        </w:rPr>
        <w:t>(f)</w:t>
      </w:r>
      <w:r w:rsidRPr="00170270">
        <w:rPr>
          <w:szCs w:val="28"/>
          <w:lang w:val="en-US"/>
        </w:rPr>
        <w:tab/>
      </w:r>
      <w:r w:rsidR="00DD66EB" w:rsidRPr="00170270">
        <w:rPr>
          <w:lang w:val="en-US"/>
        </w:rPr>
        <w:t>Summary reports on the meetings of the Durban Forum;</w:t>
      </w:r>
    </w:p>
    <w:p w14:paraId="55EB3DC4" w14:textId="3FBBF1AE" w:rsidR="00DD66EB" w:rsidRPr="00170270" w:rsidRDefault="00804401" w:rsidP="00804401">
      <w:pPr>
        <w:pStyle w:val="RegSingleTxtG2"/>
        <w:numPr>
          <w:ilvl w:val="0"/>
          <w:numId w:val="0"/>
        </w:numPr>
        <w:ind w:left="1134" w:firstLine="567"/>
        <w:rPr>
          <w:lang w:val="en-US"/>
        </w:rPr>
      </w:pPr>
      <w:r w:rsidRPr="00170270">
        <w:rPr>
          <w:szCs w:val="28"/>
          <w:lang w:val="en-US"/>
        </w:rPr>
        <w:t>(g)</w:t>
      </w:r>
      <w:r w:rsidRPr="00170270">
        <w:rPr>
          <w:szCs w:val="28"/>
          <w:lang w:val="en-US"/>
        </w:rPr>
        <w:tab/>
      </w:r>
      <w:r w:rsidR="00DD66EB" w:rsidRPr="0EEA7347">
        <w:rPr>
          <w:lang w:val="en-US"/>
        </w:rPr>
        <w:t>Annual technical progress reports of the Paris Committee on Capacity-building;</w:t>
      </w:r>
    </w:p>
    <w:p w14:paraId="3CAD705B" w14:textId="4BD83026" w:rsidR="00DD66EB" w:rsidRPr="00170270" w:rsidRDefault="00804401" w:rsidP="00804401">
      <w:pPr>
        <w:pStyle w:val="RegSingleTxtG2"/>
        <w:numPr>
          <w:ilvl w:val="0"/>
          <w:numId w:val="0"/>
        </w:numPr>
        <w:ind w:left="1134" w:firstLine="567"/>
        <w:rPr>
          <w:lang w:val="en-US"/>
        </w:rPr>
      </w:pPr>
      <w:r w:rsidRPr="00170270">
        <w:rPr>
          <w:szCs w:val="28"/>
          <w:lang w:val="en-US"/>
        </w:rPr>
        <w:t>(h)</w:t>
      </w:r>
      <w:r w:rsidRPr="00170270">
        <w:rPr>
          <w:szCs w:val="28"/>
          <w:lang w:val="en-US"/>
        </w:rPr>
        <w:tab/>
      </w:r>
      <w:r w:rsidR="00DD66EB" w:rsidRPr="00170270">
        <w:rPr>
          <w:lang w:val="en-US"/>
        </w:rPr>
        <w:t xml:space="preserve">Reports of relevant bodies </w:t>
      </w:r>
      <w:r w:rsidR="00DD66EB" w:rsidRPr="0E3FA74F">
        <w:rPr>
          <w:lang w:val="en-US"/>
        </w:rPr>
        <w:t>serving</w:t>
      </w:r>
      <w:r w:rsidR="00DD66EB" w:rsidRPr="00170270">
        <w:rPr>
          <w:lang w:val="en-US"/>
        </w:rPr>
        <w:t xml:space="preserve"> the Convention;</w:t>
      </w:r>
    </w:p>
    <w:p w14:paraId="31995D30" w14:textId="689C3633" w:rsidR="00DD66EB" w:rsidRDefault="00804401" w:rsidP="00804401">
      <w:pPr>
        <w:pStyle w:val="RegSingleTxtG2"/>
        <w:numPr>
          <w:ilvl w:val="0"/>
          <w:numId w:val="0"/>
        </w:numPr>
        <w:ind w:left="1134" w:firstLine="567"/>
        <w:rPr>
          <w:lang w:val="en-US"/>
        </w:rPr>
      </w:pPr>
      <w:r>
        <w:rPr>
          <w:szCs w:val="28"/>
          <w:lang w:val="en-US"/>
        </w:rPr>
        <w:t>(i)</w:t>
      </w:r>
      <w:r>
        <w:rPr>
          <w:szCs w:val="28"/>
          <w:lang w:val="en-US"/>
        </w:rPr>
        <w:tab/>
      </w:r>
      <w:r w:rsidR="00DD66EB" w:rsidRPr="0EEA7347">
        <w:rPr>
          <w:lang w:val="en-US"/>
        </w:rPr>
        <w:t>Views expressed by Parties during SBI 62 and 63</w:t>
      </w:r>
      <w:r w:rsidR="00DD66EB">
        <w:rPr>
          <w:lang w:val="en-US"/>
        </w:rPr>
        <w:t xml:space="preserve"> (November 2025)</w:t>
      </w:r>
      <w:r w:rsidR="00DD66EB" w:rsidRPr="0EEA7347">
        <w:rPr>
          <w:lang w:val="en-US"/>
        </w:rPr>
        <w:t>;</w:t>
      </w:r>
    </w:p>
    <w:p w14:paraId="2F4BFC5D" w14:textId="39E6DC3F" w:rsidR="00B60741" w:rsidRDefault="00804401" w:rsidP="00804401">
      <w:pPr>
        <w:pStyle w:val="RegSingleTxtG2"/>
        <w:numPr>
          <w:ilvl w:val="0"/>
          <w:numId w:val="0"/>
        </w:numPr>
        <w:ind w:left="1134" w:firstLine="567"/>
        <w:rPr>
          <w:lang w:val="en-US"/>
        </w:rPr>
      </w:pPr>
      <w:r>
        <w:rPr>
          <w:szCs w:val="28"/>
          <w:lang w:val="en-US"/>
        </w:rPr>
        <w:t>(j)</w:t>
      </w:r>
      <w:r>
        <w:rPr>
          <w:szCs w:val="28"/>
          <w:lang w:val="en-US"/>
        </w:rPr>
        <w:tab/>
      </w:r>
      <w:r w:rsidR="00DD66EB" w:rsidRPr="00DD66EB">
        <w:rPr>
          <w:lang w:val="en-US"/>
        </w:rPr>
        <w:t>Other relevant documents prepared by the secretariat.</w:t>
      </w:r>
    </w:p>
    <w:p w14:paraId="37FC043B" w14:textId="613F4371" w:rsidR="00B25FFA" w:rsidRPr="00B25FFA" w:rsidRDefault="009207B5" w:rsidP="00B25FFA">
      <w:pPr>
        <w:pStyle w:val="RegSingleTxtG2"/>
        <w:numPr>
          <w:ilvl w:val="0"/>
          <w:numId w:val="0"/>
        </w:numPr>
        <w:spacing w:after="0"/>
        <w:ind w:left="1701"/>
        <w:jc w:val="right"/>
        <w:rPr>
          <w:i/>
          <w:iCs/>
          <w:lang w:val="en-US"/>
        </w:rPr>
      </w:pPr>
      <w:r>
        <w:rPr>
          <w:i/>
          <w:iCs/>
          <w:lang w:val="en-US"/>
        </w:rPr>
        <w:t>5</w:t>
      </w:r>
      <w:r w:rsidRPr="009207B5">
        <w:rPr>
          <w:i/>
          <w:iCs/>
          <w:vertAlign w:val="superscript"/>
          <w:lang w:val="en-US"/>
        </w:rPr>
        <w:t>th</w:t>
      </w:r>
      <w:r>
        <w:rPr>
          <w:i/>
          <w:iCs/>
          <w:lang w:val="en-US"/>
        </w:rPr>
        <w:t xml:space="preserve"> </w:t>
      </w:r>
      <w:r w:rsidR="00B25FFA" w:rsidRPr="00B25FFA">
        <w:rPr>
          <w:i/>
          <w:iCs/>
          <w:lang w:val="en-US"/>
        </w:rPr>
        <w:t>plenary meeting</w:t>
      </w:r>
    </w:p>
    <w:p w14:paraId="609F9DB1" w14:textId="3F51912C" w:rsidR="00B25FFA" w:rsidRPr="00B25FFA" w:rsidRDefault="009207B5" w:rsidP="00B25FFA">
      <w:pPr>
        <w:pStyle w:val="RegSingleTxtG2"/>
        <w:numPr>
          <w:ilvl w:val="0"/>
          <w:numId w:val="0"/>
        </w:numPr>
        <w:spacing w:after="0"/>
        <w:ind w:left="1701"/>
        <w:jc w:val="right"/>
        <w:rPr>
          <w:i/>
          <w:iCs/>
          <w:lang w:val="en-US"/>
        </w:rPr>
      </w:pPr>
      <w:r>
        <w:rPr>
          <w:i/>
          <w:iCs/>
          <w:lang w:val="en-US"/>
        </w:rPr>
        <w:t>18</w:t>
      </w:r>
      <w:r w:rsidR="00B25FFA" w:rsidRPr="00B25FFA">
        <w:rPr>
          <w:i/>
          <w:iCs/>
          <w:lang w:val="en-US"/>
        </w:rPr>
        <w:t xml:space="preserve"> November 2024</w:t>
      </w:r>
    </w:p>
    <w:p w14:paraId="18BFCB26" w14:textId="77777777" w:rsidR="00B25FFA" w:rsidRDefault="00B25FFA" w:rsidP="00804401">
      <w:pPr>
        <w:pStyle w:val="RegHChG"/>
        <w:numPr>
          <w:ilvl w:val="0"/>
          <w:numId w:val="0"/>
        </w:numPr>
        <w:ind w:left="1135" w:hanging="454"/>
      </w:pPr>
    </w:p>
    <w:p w14:paraId="10E1209D" w14:textId="77777777" w:rsidR="00B25FFA" w:rsidRDefault="00B25FFA" w:rsidP="00804401">
      <w:pPr>
        <w:pStyle w:val="RegHChG"/>
        <w:numPr>
          <w:ilvl w:val="0"/>
          <w:numId w:val="0"/>
        </w:numPr>
        <w:ind w:left="1135" w:hanging="454"/>
        <w:sectPr w:rsidR="00B25FFA" w:rsidSect="00E56563">
          <w:headerReference w:type="even" r:id="rId2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p>
    <w:p w14:paraId="54A63AD9" w14:textId="0CDB173C" w:rsidR="00B25FFA" w:rsidRDefault="00B25FFA" w:rsidP="00804401">
      <w:pPr>
        <w:pStyle w:val="RegHChG"/>
        <w:numPr>
          <w:ilvl w:val="0"/>
          <w:numId w:val="0"/>
        </w:numPr>
        <w:ind w:left="1135" w:hanging="454"/>
      </w:pPr>
      <w:bookmarkStart w:id="7" w:name="CP12"/>
      <w:r>
        <w:lastRenderedPageBreak/>
        <w:t>Decision 12/CP.29</w:t>
      </w:r>
    </w:p>
    <w:bookmarkEnd w:id="7"/>
    <w:p w14:paraId="2B0C9068" w14:textId="77777777" w:rsidR="00243B3A" w:rsidRDefault="00243B3A" w:rsidP="00804401">
      <w:pPr>
        <w:pStyle w:val="RegHChG"/>
        <w:numPr>
          <w:ilvl w:val="0"/>
          <w:numId w:val="0"/>
        </w:numPr>
        <w:ind w:left="1135" w:hanging="454"/>
      </w:pPr>
      <w:r w:rsidRPr="006D5196">
        <w:t>Second</w:t>
      </w:r>
      <w:r>
        <w:t xml:space="preserve"> review</w:t>
      </w:r>
      <w:r>
        <w:rPr>
          <w:spacing w:val="-10"/>
        </w:rPr>
        <w:t xml:space="preserve"> </w:t>
      </w:r>
      <w:r>
        <w:t>of</w:t>
      </w:r>
      <w:r>
        <w:rPr>
          <w:spacing w:val="-4"/>
        </w:rPr>
        <w:t xml:space="preserve"> </w:t>
      </w:r>
      <w:r>
        <w:t>the</w:t>
      </w:r>
      <w:r>
        <w:rPr>
          <w:spacing w:val="-5"/>
        </w:rPr>
        <w:t xml:space="preserve"> </w:t>
      </w:r>
      <w:r>
        <w:t>Paris</w:t>
      </w:r>
      <w:r>
        <w:rPr>
          <w:spacing w:val="-8"/>
        </w:rPr>
        <w:t xml:space="preserve"> </w:t>
      </w:r>
      <w:r>
        <w:t>Committee</w:t>
      </w:r>
      <w:r>
        <w:rPr>
          <w:spacing w:val="-1"/>
        </w:rPr>
        <w:t xml:space="preserve"> </w:t>
      </w:r>
      <w:r>
        <w:t>on</w:t>
      </w:r>
      <w:r>
        <w:rPr>
          <w:spacing w:val="-5"/>
        </w:rPr>
        <w:t xml:space="preserve"> </w:t>
      </w:r>
      <w:r>
        <w:t>Capacity-</w:t>
      </w:r>
      <w:r>
        <w:rPr>
          <w:spacing w:val="-2"/>
        </w:rPr>
        <w:t>building</w:t>
      </w:r>
    </w:p>
    <w:p w14:paraId="1C0CB31C" w14:textId="77777777" w:rsidR="00243B3A" w:rsidRDefault="00243B3A" w:rsidP="00243B3A">
      <w:pPr>
        <w:pStyle w:val="RegSingleTxtG"/>
        <w:numPr>
          <w:ilvl w:val="0"/>
          <w:numId w:val="0"/>
        </w:numPr>
        <w:ind w:left="1134"/>
        <w:rPr>
          <w:i/>
          <w:iCs/>
        </w:rPr>
      </w:pPr>
      <w:r>
        <w:tab/>
      </w:r>
      <w:r>
        <w:rPr>
          <w:i/>
          <w:iCs/>
        </w:rPr>
        <w:t>The Conference of the Parties</w:t>
      </w:r>
      <w:r w:rsidRPr="001B1B9F">
        <w:t>,</w:t>
      </w:r>
    </w:p>
    <w:p w14:paraId="2E3FFE08" w14:textId="661B78A2" w:rsidR="00243B3A" w:rsidRDefault="00243B3A" w:rsidP="00243B3A">
      <w:pPr>
        <w:pStyle w:val="RegSingleTxtG"/>
        <w:numPr>
          <w:ilvl w:val="0"/>
          <w:numId w:val="0"/>
        </w:numPr>
        <w:ind w:left="1134"/>
      </w:pPr>
      <w:r>
        <w:rPr>
          <w:i/>
          <w:iCs/>
        </w:rPr>
        <w:tab/>
      </w:r>
      <w:r w:rsidRPr="006F78CF">
        <w:rPr>
          <w:i/>
          <w:iCs/>
        </w:rPr>
        <w:t>Recalling</w:t>
      </w:r>
      <w:r>
        <w:t xml:space="preserve"> decisions </w:t>
      </w:r>
      <w:hyperlink r:id="rId26" w:history="1">
        <w:r w:rsidRPr="00303C6A">
          <w:rPr>
            <w:rStyle w:val="Hyperlink"/>
          </w:rPr>
          <w:t>1/CP.21</w:t>
        </w:r>
      </w:hyperlink>
      <w:r>
        <w:t xml:space="preserve">, </w:t>
      </w:r>
      <w:hyperlink r:id="rId27" w:history="1">
        <w:r w:rsidRPr="00303C6A">
          <w:rPr>
            <w:rStyle w:val="Hyperlink"/>
          </w:rPr>
          <w:t>9/CP.25</w:t>
        </w:r>
      </w:hyperlink>
      <w:r>
        <w:t xml:space="preserve">, </w:t>
      </w:r>
      <w:hyperlink r:id="rId28" w:history="1">
        <w:r w:rsidRPr="00303C6A">
          <w:rPr>
            <w:rStyle w:val="Hyperlink"/>
          </w:rPr>
          <w:t>3/CMA.2</w:t>
        </w:r>
      </w:hyperlink>
      <w:r>
        <w:t xml:space="preserve">, </w:t>
      </w:r>
      <w:hyperlink r:id="rId29" w:history="1">
        <w:r w:rsidRPr="00303C6A">
          <w:rPr>
            <w:rStyle w:val="Hyperlink"/>
          </w:rPr>
          <w:t>18/CMA.3</w:t>
        </w:r>
      </w:hyperlink>
      <w:r>
        <w:t xml:space="preserve"> and </w:t>
      </w:r>
      <w:hyperlink r:id="rId30" w:history="1">
        <w:r w:rsidRPr="00303C6A">
          <w:rPr>
            <w:rStyle w:val="Hyperlink"/>
          </w:rPr>
          <w:t>21/CMA.4</w:t>
        </w:r>
      </w:hyperlink>
      <w:r>
        <w:rPr>
          <w:spacing w:val="-2"/>
        </w:rPr>
        <w:t xml:space="preserve">, </w:t>
      </w:r>
    </w:p>
    <w:p w14:paraId="68014FF9" w14:textId="12D614C1" w:rsidR="00243B3A" w:rsidRPr="006F6757" w:rsidRDefault="00804401" w:rsidP="00804401">
      <w:pPr>
        <w:pStyle w:val="RegSingleTxtG"/>
        <w:numPr>
          <w:ilvl w:val="0"/>
          <w:numId w:val="0"/>
        </w:numPr>
        <w:ind w:left="1134"/>
      </w:pPr>
      <w:bookmarkStart w:id="8" w:name="_Hlk169000291"/>
      <w:r w:rsidRPr="006F6757">
        <w:rPr>
          <w:bCs/>
        </w:rPr>
        <w:t>1.</w:t>
      </w:r>
      <w:r w:rsidRPr="006F6757">
        <w:rPr>
          <w:bCs/>
        </w:rPr>
        <w:tab/>
      </w:r>
      <w:r w:rsidR="00243B3A" w:rsidRPr="00243B3A">
        <w:rPr>
          <w:i/>
          <w:iCs/>
        </w:rPr>
        <w:t>Recalls</w:t>
      </w:r>
      <w:r w:rsidR="00243B3A" w:rsidRPr="006F6757">
        <w:t xml:space="preserve"> </w:t>
      </w:r>
      <w:r w:rsidR="00243B3A" w:rsidRPr="00243B3A">
        <w:rPr>
          <w:rFonts w:eastAsia="Times New Roman"/>
          <w:lang w:eastAsia="en-US"/>
        </w:rPr>
        <w:t xml:space="preserve">that the Paris Committee on Capacity-building was established in decision </w:t>
      </w:r>
      <w:hyperlink r:id="rId31" w:history="1">
        <w:r w:rsidR="00243B3A" w:rsidRPr="00303C6A">
          <w:rPr>
            <w:rStyle w:val="Hyperlink"/>
            <w:rFonts w:eastAsia="Times New Roman"/>
            <w:lang w:eastAsia="en-US"/>
          </w:rPr>
          <w:t>1/CP.21</w:t>
        </w:r>
      </w:hyperlink>
      <w:r w:rsidR="00243B3A" w:rsidRPr="00243B3A">
        <w:rPr>
          <w:rFonts w:eastAsia="Times New Roman"/>
          <w:lang w:eastAsia="en-US"/>
        </w:rPr>
        <w:t xml:space="preserve"> with the aim of addressing gaps and needs, both current and emerging, in implementing capacity-building in developing country Parties and further enhancing capacity-building efforts, including with regard to coherence and coordination of capacity-building activities under the Convention</w:t>
      </w:r>
      <w:r w:rsidR="00243B3A" w:rsidRPr="006F6757">
        <w:t>;</w:t>
      </w:r>
    </w:p>
    <w:bookmarkEnd w:id="8"/>
    <w:p w14:paraId="1565DFD9" w14:textId="3006E042" w:rsidR="00243B3A" w:rsidRPr="006F6757" w:rsidRDefault="00804401" w:rsidP="00804401">
      <w:pPr>
        <w:pStyle w:val="RegSingleTxtG"/>
        <w:numPr>
          <w:ilvl w:val="0"/>
          <w:numId w:val="0"/>
        </w:numPr>
        <w:ind w:left="1134"/>
      </w:pPr>
      <w:r w:rsidRPr="006F6757">
        <w:rPr>
          <w:bCs/>
        </w:rPr>
        <w:t>2.</w:t>
      </w:r>
      <w:r w:rsidRPr="006F6757">
        <w:rPr>
          <w:bCs/>
        </w:rPr>
        <w:tab/>
      </w:r>
      <w:r w:rsidR="00243B3A" w:rsidRPr="006F6757">
        <w:rPr>
          <w:i/>
          <w:iCs/>
        </w:rPr>
        <w:t>Welcomes</w:t>
      </w:r>
      <w:r w:rsidR="00243B3A" w:rsidRPr="006F6757">
        <w:t xml:space="preserve"> </w:t>
      </w:r>
      <w:r w:rsidR="00243B3A" w:rsidRPr="001E3A02">
        <w:rPr>
          <w:rFonts w:eastAsia="Times New Roman"/>
          <w:lang w:eastAsia="en-US"/>
        </w:rPr>
        <w:t>the annual technical progress reports of the Paris Committee on Capacity-building for 2020, 2021, 2022 and 2023</w:t>
      </w:r>
      <w:r w:rsidR="00243B3A" w:rsidRPr="006F6757">
        <w:rPr>
          <w:rStyle w:val="FootnoteReference"/>
        </w:rPr>
        <w:footnoteReference w:id="7"/>
      </w:r>
      <w:r w:rsidR="00243B3A" w:rsidRPr="006F6757">
        <w:rPr>
          <w:spacing w:val="-10"/>
        </w:rPr>
        <w:t xml:space="preserve"> </w:t>
      </w:r>
      <w:r w:rsidR="00243B3A" w:rsidRPr="001E3A02">
        <w:rPr>
          <w:rFonts w:eastAsia="Times New Roman"/>
          <w:lang w:eastAsia="en-US"/>
        </w:rPr>
        <w:t xml:space="preserve">and </w:t>
      </w:r>
      <w:r w:rsidR="00243B3A" w:rsidRPr="001E3A02">
        <w:rPr>
          <w:rFonts w:eastAsia="Times New Roman"/>
          <w:i/>
          <w:iCs/>
          <w:lang w:eastAsia="en-US"/>
        </w:rPr>
        <w:t>takes note</w:t>
      </w:r>
      <w:r w:rsidR="00243B3A" w:rsidRPr="001E3A02">
        <w:rPr>
          <w:rFonts w:eastAsia="Times New Roman"/>
          <w:lang w:eastAsia="en-US"/>
        </w:rPr>
        <w:t xml:space="preserve"> of the recommendations contained therein</w:t>
      </w:r>
      <w:r w:rsidR="00243B3A" w:rsidRPr="006F6757">
        <w:t>;</w:t>
      </w:r>
    </w:p>
    <w:p w14:paraId="004939E3" w14:textId="19E63834" w:rsidR="00243B3A" w:rsidRPr="006F6757" w:rsidRDefault="00804401" w:rsidP="00804401">
      <w:pPr>
        <w:pStyle w:val="RegSingleTxtG"/>
        <w:numPr>
          <w:ilvl w:val="0"/>
          <w:numId w:val="0"/>
        </w:numPr>
        <w:ind w:left="1134"/>
      </w:pPr>
      <w:r w:rsidRPr="006F6757">
        <w:rPr>
          <w:bCs/>
        </w:rPr>
        <w:t>3.</w:t>
      </w:r>
      <w:r w:rsidRPr="006F6757">
        <w:rPr>
          <w:bCs/>
        </w:rPr>
        <w:tab/>
      </w:r>
      <w:r w:rsidR="00243B3A" w:rsidRPr="006F6757">
        <w:rPr>
          <w:i/>
          <w:iCs/>
        </w:rPr>
        <w:t>Reaffirms</w:t>
      </w:r>
      <w:r w:rsidR="00243B3A" w:rsidRPr="006F6757">
        <w:rPr>
          <w:spacing w:val="-1"/>
        </w:rPr>
        <w:t xml:space="preserve"> </w:t>
      </w:r>
      <w:r w:rsidR="00243B3A" w:rsidRPr="001E3A02">
        <w:rPr>
          <w:rFonts w:eastAsia="Times New Roman"/>
          <w:lang w:eastAsia="en-US"/>
        </w:rPr>
        <w:t>the need to further promote efficiencies and avoid duplication of efforts in the implementation of capacity-building activities under and outside the Convention and the Paris Agreement;</w:t>
      </w:r>
    </w:p>
    <w:p w14:paraId="143E79D5" w14:textId="69D48B05" w:rsidR="00243B3A" w:rsidRPr="006F6757" w:rsidRDefault="00804401" w:rsidP="00804401">
      <w:pPr>
        <w:pStyle w:val="RegSingleTxtG"/>
        <w:numPr>
          <w:ilvl w:val="0"/>
          <w:numId w:val="0"/>
        </w:numPr>
        <w:ind w:left="1134"/>
      </w:pPr>
      <w:r w:rsidRPr="006F6757">
        <w:rPr>
          <w:bCs/>
        </w:rPr>
        <w:t>4.</w:t>
      </w:r>
      <w:r w:rsidRPr="006F6757">
        <w:rPr>
          <w:bCs/>
        </w:rPr>
        <w:tab/>
      </w:r>
      <w:r w:rsidR="00243B3A" w:rsidRPr="006F6757">
        <w:rPr>
          <w:i/>
          <w:iCs/>
        </w:rPr>
        <w:t>Welcomes</w:t>
      </w:r>
      <w:r w:rsidR="00243B3A" w:rsidRPr="006F6757">
        <w:t xml:space="preserve"> </w:t>
      </w:r>
      <w:r w:rsidR="00243B3A" w:rsidRPr="001E3A02">
        <w:rPr>
          <w:rFonts w:eastAsia="Times New Roman"/>
          <w:lang w:eastAsia="en-US"/>
        </w:rPr>
        <w:t>the synthesis report on the second review of the Paris Committee on Capacity-building</w:t>
      </w:r>
      <w:r w:rsidR="00243B3A" w:rsidRPr="006F6757">
        <w:t>;</w:t>
      </w:r>
      <w:r w:rsidR="00243B3A" w:rsidRPr="006F6757">
        <w:rPr>
          <w:rStyle w:val="FootnoteReference"/>
        </w:rPr>
        <w:footnoteReference w:id="8"/>
      </w:r>
    </w:p>
    <w:p w14:paraId="3BD494FB" w14:textId="395415C9" w:rsidR="00243B3A" w:rsidRPr="001E3A02" w:rsidRDefault="00804401" w:rsidP="00804401">
      <w:pPr>
        <w:pStyle w:val="RegSingleTxtG"/>
        <w:numPr>
          <w:ilvl w:val="0"/>
          <w:numId w:val="0"/>
        </w:numPr>
        <w:ind w:left="1134"/>
        <w:rPr>
          <w:rFonts w:eastAsia="Times New Roman"/>
          <w:lang w:eastAsia="en-US"/>
        </w:rPr>
      </w:pPr>
      <w:r w:rsidRPr="001E3A02">
        <w:rPr>
          <w:rFonts w:eastAsia="Times New Roman"/>
          <w:bCs/>
          <w:lang w:eastAsia="en-US"/>
        </w:rPr>
        <w:t>5.</w:t>
      </w:r>
      <w:r w:rsidRPr="001E3A02">
        <w:rPr>
          <w:rFonts w:eastAsia="Times New Roman"/>
          <w:bCs/>
          <w:lang w:eastAsia="en-US"/>
        </w:rPr>
        <w:tab/>
      </w:r>
      <w:r w:rsidR="00243B3A" w:rsidRPr="006F6757">
        <w:rPr>
          <w:i/>
          <w:iCs/>
        </w:rPr>
        <w:t xml:space="preserve">Recognizes </w:t>
      </w:r>
      <w:r w:rsidR="00243B3A" w:rsidRPr="001E3A02">
        <w:rPr>
          <w:rFonts w:eastAsia="Times New Roman"/>
          <w:lang w:eastAsia="en-US"/>
        </w:rPr>
        <w:t>that the following priority areas determined in the first review of the Paris Committee on Capacity-building</w:t>
      </w:r>
      <w:r w:rsidR="00243B3A" w:rsidRPr="006F6757">
        <w:rPr>
          <w:rStyle w:val="FootnoteReference"/>
        </w:rPr>
        <w:footnoteReference w:id="9"/>
      </w:r>
      <w:r w:rsidR="00243B3A" w:rsidRPr="006F6757">
        <w:t xml:space="preserve"> </w:t>
      </w:r>
      <w:r w:rsidR="00243B3A" w:rsidRPr="001E3A02">
        <w:rPr>
          <w:rFonts w:eastAsia="Times New Roman"/>
          <w:lang w:eastAsia="en-US"/>
        </w:rPr>
        <w:t>have helped to focus and guide the work of the Committee, thereby avoiding duplication of efforts in the implementation of capacity-building activities and providing guidance on its operations, planning and implementation of work, and reporting:</w:t>
      </w:r>
    </w:p>
    <w:p w14:paraId="656436A8" w14:textId="65098584" w:rsidR="00243B3A" w:rsidRPr="001E3A02" w:rsidRDefault="00804401" w:rsidP="00804401">
      <w:pPr>
        <w:pStyle w:val="RegSingleTxtG2"/>
        <w:numPr>
          <w:ilvl w:val="0"/>
          <w:numId w:val="0"/>
        </w:numPr>
        <w:ind w:left="1134" w:firstLine="567"/>
        <w:rPr>
          <w:rFonts w:eastAsia="Times New Roman"/>
          <w:lang w:eastAsia="en-US"/>
        </w:rPr>
      </w:pPr>
      <w:r w:rsidRPr="001E3A02">
        <w:rPr>
          <w:rFonts w:eastAsia="Times New Roman"/>
          <w:szCs w:val="28"/>
          <w:lang w:eastAsia="en-US"/>
        </w:rPr>
        <w:t>(a)</w:t>
      </w:r>
      <w:r w:rsidRPr="001E3A02">
        <w:rPr>
          <w:rFonts w:eastAsia="Times New Roman"/>
          <w:szCs w:val="28"/>
          <w:lang w:eastAsia="en-US"/>
        </w:rPr>
        <w:tab/>
      </w:r>
      <w:r w:rsidR="00243B3A" w:rsidRPr="001E3A02">
        <w:rPr>
          <w:rFonts w:eastAsia="Times New Roman"/>
          <w:lang w:eastAsia="en-US"/>
        </w:rPr>
        <w:t>Enhancing coherence and coordination of capacity-building under the Convention with a focus on avoiding duplication of efforts, including through collaboration with bodies under and outside the Convention that engage in activities related to capacity- building, as appropriate and in accordance with their respective mandates;</w:t>
      </w:r>
    </w:p>
    <w:p w14:paraId="5091B667" w14:textId="076FBF46" w:rsidR="00243B3A" w:rsidRPr="001E3A02" w:rsidRDefault="00804401" w:rsidP="00804401">
      <w:pPr>
        <w:pStyle w:val="RegSingleTxtG2"/>
        <w:numPr>
          <w:ilvl w:val="0"/>
          <w:numId w:val="0"/>
        </w:numPr>
        <w:ind w:left="1134" w:firstLine="567"/>
        <w:rPr>
          <w:rFonts w:eastAsia="Times New Roman"/>
          <w:lang w:eastAsia="en-US"/>
        </w:rPr>
      </w:pPr>
      <w:r w:rsidRPr="001E3A02">
        <w:rPr>
          <w:rFonts w:eastAsia="Times New Roman"/>
          <w:szCs w:val="28"/>
          <w:lang w:eastAsia="en-US"/>
        </w:rPr>
        <w:t>(b)</w:t>
      </w:r>
      <w:r w:rsidRPr="001E3A02">
        <w:rPr>
          <w:rFonts w:eastAsia="Times New Roman"/>
          <w:szCs w:val="28"/>
          <w:lang w:eastAsia="en-US"/>
        </w:rPr>
        <w:tab/>
      </w:r>
      <w:r w:rsidR="00243B3A" w:rsidRPr="001E3A02">
        <w:rPr>
          <w:rFonts w:eastAsia="Times New Roman"/>
          <w:lang w:eastAsia="en-US"/>
        </w:rPr>
        <w:t>Identifying capacity gaps and needs, both current and emerging, and recommending ways to address them;</w:t>
      </w:r>
    </w:p>
    <w:p w14:paraId="010F726D" w14:textId="03CA6ACC" w:rsidR="00243B3A" w:rsidRPr="001E3A02" w:rsidRDefault="00804401" w:rsidP="00804401">
      <w:pPr>
        <w:pStyle w:val="RegSingleTxtG2"/>
        <w:numPr>
          <w:ilvl w:val="0"/>
          <w:numId w:val="0"/>
        </w:numPr>
        <w:ind w:left="1134" w:firstLine="567"/>
        <w:rPr>
          <w:rFonts w:eastAsia="Times New Roman"/>
          <w:lang w:eastAsia="en-US"/>
        </w:rPr>
      </w:pPr>
      <w:r w:rsidRPr="001E3A02">
        <w:rPr>
          <w:rFonts w:eastAsia="Times New Roman"/>
          <w:szCs w:val="28"/>
          <w:lang w:eastAsia="en-US"/>
        </w:rPr>
        <w:t>(c)</w:t>
      </w:r>
      <w:r w:rsidRPr="001E3A02">
        <w:rPr>
          <w:rFonts w:eastAsia="Times New Roman"/>
          <w:szCs w:val="28"/>
          <w:lang w:eastAsia="en-US"/>
        </w:rPr>
        <w:tab/>
      </w:r>
      <w:r w:rsidR="00243B3A" w:rsidRPr="001E3A02">
        <w:rPr>
          <w:rFonts w:eastAsia="Times New Roman"/>
          <w:lang w:eastAsia="en-US"/>
        </w:rPr>
        <w:t xml:space="preserve">Promoting awareness-raising, knowledge- and information-sharing and stakeholder engagement with bodies and relevant actors under and outside the Convention, as appropriate and in accordance with their respective mandates; </w:t>
      </w:r>
    </w:p>
    <w:p w14:paraId="48A56D61" w14:textId="1FAE7BA7" w:rsidR="00243B3A" w:rsidRDefault="00804401" w:rsidP="00804401">
      <w:pPr>
        <w:pStyle w:val="RegSingleTxtG"/>
        <w:numPr>
          <w:ilvl w:val="0"/>
          <w:numId w:val="0"/>
        </w:numPr>
        <w:ind w:left="1134"/>
      </w:pPr>
      <w:r>
        <w:rPr>
          <w:bCs/>
        </w:rPr>
        <w:t>6.</w:t>
      </w:r>
      <w:r>
        <w:rPr>
          <w:bCs/>
        </w:rPr>
        <w:tab/>
      </w:r>
      <w:r w:rsidR="00243B3A" w:rsidRPr="006F6757">
        <w:rPr>
          <w:i/>
          <w:iCs/>
        </w:rPr>
        <w:t>Welcomes</w:t>
      </w:r>
      <w:r w:rsidR="00243B3A" w:rsidRPr="006F6757">
        <w:t xml:space="preserve"> </w:t>
      </w:r>
      <w:r w:rsidR="00243B3A" w:rsidRPr="001E3A02">
        <w:rPr>
          <w:rFonts w:eastAsia="Times New Roman"/>
          <w:lang w:eastAsia="en-US"/>
        </w:rPr>
        <w:t>the progress of the Paris Committee on Capacity-building in implementing its workplan for 2021–2024</w:t>
      </w:r>
      <w:r w:rsidR="00F47B51">
        <w:rPr>
          <w:rStyle w:val="FootnoteReference"/>
          <w:rFonts w:eastAsia="Times New Roman"/>
          <w:lang w:eastAsia="en-US"/>
        </w:rPr>
        <w:footnoteReference w:id="10"/>
      </w:r>
      <w:r w:rsidR="00243B3A" w:rsidRPr="001E3A02">
        <w:rPr>
          <w:rFonts w:eastAsia="Times New Roman"/>
          <w:lang w:eastAsia="en-US"/>
        </w:rPr>
        <w:t xml:space="preserve"> in accordance with its priority areas</w:t>
      </w:r>
      <w:r w:rsidR="00243B3A" w:rsidRPr="006F6757">
        <w:t>;</w:t>
      </w:r>
    </w:p>
    <w:p w14:paraId="0D61FB68" w14:textId="49C4D865" w:rsidR="00243B3A" w:rsidRPr="006F6757" w:rsidRDefault="00804401" w:rsidP="00804401">
      <w:pPr>
        <w:pStyle w:val="RegSingleTxtG"/>
        <w:numPr>
          <w:ilvl w:val="0"/>
          <w:numId w:val="0"/>
        </w:numPr>
        <w:ind w:left="1134"/>
      </w:pPr>
      <w:r w:rsidRPr="006F6757">
        <w:rPr>
          <w:bCs/>
        </w:rPr>
        <w:t>7.</w:t>
      </w:r>
      <w:r w:rsidRPr="006F6757">
        <w:rPr>
          <w:bCs/>
        </w:rPr>
        <w:tab/>
      </w:r>
      <w:r w:rsidR="00243B3A">
        <w:rPr>
          <w:i/>
          <w:iCs/>
        </w:rPr>
        <w:t>Also</w:t>
      </w:r>
      <w:r w:rsidR="00243B3A" w:rsidRPr="006F6757">
        <w:rPr>
          <w:i/>
          <w:iCs/>
        </w:rPr>
        <w:t xml:space="preserve"> welcomes</w:t>
      </w:r>
      <w:r w:rsidR="00243B3A" w:rsidRPr="006F6757">
        <w:t xml:space="preserve"> </w:t>
      </w:r>
      <w:r w:rsidR="00243B3A" w:rsidRPr="001E3A02">
        <w:rPr>
          <w:rFonts w:eastAsia="Times New Roman"/>
          <w:lang w:eastAsia="en-US"/>
        </w:rPr>
        <w:t>the activities undertaken under the priority areas referred to in paragraph 5 above, including the work under the informal coordination group for capacity-building under the Convention and the Paris Agreement, such as the publication of its six e</w:t>
      </w:r>
      <w:r w:rsidR="00243B3A">
        <w:rPr>
          <w:rFonts w:eastAsia="Times New Roman"/>
          <w:lang w:eastAsia="en-US"/>
        </w:rPr>
        <w:noBreakHyphen/>
      </w:r>
      <w:r w:rsidR="00243B3A" w:rsidRPr="001E3A02">
        <w:rPr>
          <w:rFonts w:eastAsia="Times New Roman"/>
          <w:lang w:eastAsia="en-US"/>
        </w:rPr>
        <w:t>booklets; the PCCB Network; and the</w:t>
      </w:r>
      <w:r w:rsidR="00243B3A" w:rsidRPr="006F6757">
        <w:t xml:space="preserve"> 3</w:t>
      </w:r>
      <w:r w:rsidR="00243B3A" w:rsidRPr="006F6757">
        <w:rPr>
          <w:vertAlign w:val="superscript"/>
        </w:rPr>
        <w:t>rd</w:t>
      </w:r>
      <w:r w:rsidR="00243B3A">
        <w:t>, 4</w:t>
      </w:r>
      <w:r w:rsidR="00243B3A" w:rsidRPr="00FC58AF">
        <w:rPr>
          <w:vertAlign w:val="superscript"/>
        </w:rPr>
        <w:t>th</w:t>
      </w:r>
      <w:r w:rsidR="00243B3A">
        <w:t>, 5</w:t>
      </w:r>
      <w:r w:rsidR="00243B3A" w:rsidRPr="00FC58AF">
        <w:rPr>
          <w:vertAlign w:val="superscript"/>
        </w:rPr>
        <w:t>th</w:t>
      </w:r>
      <w:r w:rsidR="00243B3A">
        <w:t xml:space="preserve"> and </w:t>
      </w:r>
      <w:r w:rsidR="00243B3A" w:rsidRPr="006F6757">
        <w:t>6</w:t>
      </w:r>
      <w:r w:rsidR="00243B3A" w:rsidRPr="006F6757">
        <w:rPr>
          <w:vertAlign w:val="superscript"/>
        </w:rPr>
        <w:t>th</w:t>
      </w:r>
      <w:r w:rsidR="00243B3A" w:rsidRPr="006F6757">
        <w:t xml:space="preserve"> </w:t>
      </w:r>
      <w:r w:rsidR="00243B3A" w:rsidRPr="001E3A02">
        <w:rPr>
          <w:rFonts w:eastAsia="Times New Roman"/>
          <w:lang w:eastAsia="en-US"/>
        </w:rPr>
        <w:t>Capacity-building Hubs</w:t>
      </w:r>
      <w:r w:rsidR="00243B3A">
        <w:rPr>
          <w:rFonts w:eastAsia="Times New Roman"/>
          <w:lang w:eastAsia="en-US"/>
        </w:rPr>
        <w:t>;</w:t>
      </w:r>
      <w:r w:rsidR="00243B3A" w:rsidRPr="001E3A02">
        <w:rPr>
          <w:rFonts w:eastAsia="Times New Roman"/>
          <w:lang w:eastAsia="en-US"/>
        </w:rPr>
        <w:t xml:space="preserve"> and the work relating to the PCCB toolkit for assessing capacity gaps and needs in implementing the Paris Agreement</w:t>
      </w:r>
      <w:r w:rsidR="00243B3A" w:rsidRPr="006F6757">
        <w:t>;</w:t>
      </w:r>
    </w:p>
    <w:p w14:paraId="02F68992" w14:textId="57113255" w:rsidR="00243B3A" w:rsidRPr="001E3A02" w:rsidRDefault="00804401" w:rsidP="00804401">
      <w:pPr>
        <w:pStyle w:val="RegSingleTxtG"/>
        <w:numPr>
          <w:ilvl w:val="0"/>
          <w:numId w:val="0"/>
        </w:numPr>
        <w:ind w:left="1134"/>
        <w:rPr>
          <w:rFonts w:eastAsia="Times New Roman"/>
          <w:lang w:eastAsia="en-US"/>
        </w:rPr>
      </w:pPr>
      <w:r w:rsidRPr="001E3A02">
        <w:rPr>
          <w:rFonts w:eastAsia="Times New Roman"/>
          <w:bCs/>
          <w:lang w:eastAsia="en-US"/>
        </w:rPr>
        <w:t>8.</w:t>
      </w:r>
      <w:r w:rsidRPr="001E3A02">
        <w:rPr>
          <w:rFonts w:eastAsia="Times New Roman"/>
          <w:bCs/>
          <w:lang w:eastAsia="en-US"/>
        </w:rPr>
        <w:tab/>
      </w:r>
      <w:r w:rsidR="00243B3A" w:rsidRPr="006F6757">
        <w:rPr>
          <w:i/>
          <w:iCs/>
        </w:rPr>
        <w:t xml:space="preserve">Decides </w:t>
      </w:r>
      <w:r w:rsidR="00243B3A" w:rsidRPr="001E3A02">
        <w:rPr>
          <w:rFonts w:eastAsia="Times New Roman"/>
          <w:lang w:eastAsia="en-US"/>
        </w:rPr>
        <w:t>that the work of the Paris Committee on Capacity-building shall be guided by the priority areas set out in the annex;</w:t>
      </w:r>
    </w:p>
    <w:p w14:paraId="47084FC6" w14:textId="31EC7354" w:rsidR="00243B3A" w:rsidRDefault="00804401" w:rsidP="00804401">
      <w:pPr>
        <w:pStyle w:val="RegSingleTxtG"/>
        <w:numPr>
          <w:ilvl w:val="0"/>
          <w:numId w:val="0"/>
        </w:numPr>
        <w:ind w:left="1134"/>
      </w:pPr>
      <w:r>
        <w:rPr>
          <w:bCs/>
        </w:rPr>
        <w:t>9.</w:t>
      </w:r>
      <w:r>
        <w:rPr>
          <w:bCs/>
        </w:rPr>
        <w:tab/>
      </w:r>
      <w:r w:rsidR="00243B3A" w:rsidRPr="006F6757">
        <w:rPr>
          <w:i/>
          <w:iCs/>
        </w:rPr>
        <w:t>Also decides</w:t>
      </w:r>
      <w:r w:rsidR="00243B3A" w:rsidRPr="006F6757">
        <w:t xml:space="preserve"> </w:t>
      </w:r>
      <w:r w:rsidR="00243B3A" w:rsidRPr="001E3A02">
        <w:rPr>
          <w:rFonts w:eastAsia="Times New Roman"/>
          <w:lang w:eastAsia="en-US"/>
        </w:rPr>
        <w:t>that, going forward and subject to the availability of resources, the Paris Committee on Capacity-building shall conduct the activities set out in the annex in accordance with the priority areas referred to therein</w:t>
      </w:r>
      <w:r w:rsidR="00243B3A">
        <w:rPr>
          <w:rFonts w:hint="cs"/>
          <w:cs/>
        </w:rPr>
        <w:t>;</w:t>
      </w:r>
    </w:p>
    <w:p w14:paraId="24E93F71" w14:textId="1E3D54D7" w:rsidR="00243B3A" w:rsidRPr="00345A4A" w:rsidRDefault="00804401" w:rsidP="00804401">
      <w:pPr>
        <w:pStyle w:val="RegSingleTxtG"/>
        <w:numPr>
          <w:ilvl w:val="0"/>
          <w:numId w:val="0"/>
        </w:numPr>
        <w:ind w:left="1134"/>
      </w:pPr>
      <w:r w:rsidRPr="00345A4A">
        <w:rPr>
          <w:bCs/>
        </w:rPr>
        <w:lastRenderedPageBreak/>
        <w:t>10.</w:t>
      </w:r>
      <w:r w:rsidRPr="00345A4A">
        <w:rPr>
          <w:bCs/>
        </w:rPr>
        <w:tab/>
      </w:r>
      <w:r w:rsidR="00243B3A">
        <w:rPr>
          <w:i/>
          <w:iCs/>
        </w:rPr>
        <w:t xml:space="preserve">Further decides </w:t>
      </w:r>
      <w:r w:rsidR="00243B3A" w:rsidRPr="001E3A02">
        <w:rPr>
          <w:rFonts w:eastAsia="Times New Roman"/>
          <w:lang w:eastAsia="en-US"/>
        </w:rPr>
        <w:t>that the Paris Committee on Capacity-building shall work on any additional activities that may be assigned to it by the Conference of the Parties within its mandate, subject to the availability of resources</w:t>
      </w:r>
      <w:r w:rsidR="00243B3A" w:rsidRPr="005C4668">
        <w:t>;</w:t>
      </w:r>
    </w:p>
    <w:p w14:paraId="23339ABC" w14:textId="05BF7D7A" w:rsidR="00243B3A" w:rsidRPr="000A75A0" w:rsidRDefault="00804401" w:rsidP="00804401">
      <w:pPr>
        <w:pStyle w:val="RegSingleTxtG"/>
        <w:numPr>
          <w:ilvl w:val="0"/>
          <w:numId w:val="0"/>
        </w:numPr>
        <w:ind w:left="1134"/>
      </w:pPr>
      <w:r w:rsidRPr="000A75A0">
        <w:rPr>
          <w:bCs/>
        </w:rPr>
        <w:t>11.</w:t>
      </w:r>
      <w:r w:rsidRPr="000A75A0">
        <w:rPr>
          <w:bCs/>
        </w:rPr>
        <w:tab/>
      </w:r>
      <w:r w:rsidR="00243B3A">
        <w:rPr>
          <w:i/>
          <w:iCs/>
        </w:rPr>
        <w:t>D</w:t>
      </w:r>
      <w:r w:rsidR="00243B3A" w:rsidRPr="006F6757">
        <w:rPr>
          <w:i/>
          <w:iCs/>
        </w:rPr>
        <w:t>ecides</w:t>
      </w:r>
      <w:r w:rsidR="00243B3A" w:rsidRPr="006F6757">
        <w:t xml:space="preserve"> </w:t>
      </w:r>
      <w:r w:rsidR="00243B3A" w:rsidRPr="001E3A02">
        <w:rPr>
          <w:rFonts w:eastAsia="Times New Roman"/>
          <w:lang w:eastAsia="en-US"/>
        </w:rPr>
        <w:t>to extend the Paris Committee on Capacity-building for five years and to review its progress and need for extension at the thirty-fourth session of the Conference of the Parties (</w:t>
      </w:r>
      <w:r w:rsidR="00252BE1">
        <w:rPr>
          <w:rFonts w:eastAsia="Times New Roman"/>
          <w:lang w:eastAsia="en-US"/>
        </w:rPr>
        <w:t xml:space="preserve">November </w:t>
      </w:r>
      <w:r w:rsidR="00243B3A" w:rsidRPr="001E3A02">
        <w:rPr>
          <w:rFonts w:eastAsia="Times New Roman"/>
          <w:lang w:eastAsia="en-US"/>
        </w:rPr>
        <w:t>2029);</w:t>
      </w:r>
    </w:p>
    <w:p w14:paraId="0DC3D91E" w14:textId="629192F4" w:rsidR="00243B3A" w:rsidRDefault="00804401" w:rsidP="00804401">
      <w:pPr>
        <w:pStyle w:val="RegSingleTxtG"/>
        <w:numPr>
          <w:ilvl w:val="0"/>
          <w:numId w:val="0"/>
        </w:numPr>
        <w:ind w:left="1134"/>
      </w:pPr>
      <w:r>
        <w:rPr>
          <w:bCs/>
        </w:rPr>
        <w:t>12.</w:t>
      </w:r>
      <w:r>
        <w:rPr>
          <w:bCs/>
        </w:rPr>
        <w:tab/>
      </w:r>
      <w:r w:rsidR="00243B3A" w:rsidRPr="006F6757">
        <w:rPr>
          <w:i/>
          <w:iCs/>
        </w:rPr>
        <w:t>Requests</w:t>
      </w:r>
      <w:r w:rsidR="00243B3A" w:rsidRPr="006F6757">
        <w:rPr>
          <w:spacing w:val="-5"/>
        </w:rPr>
        <w:t xml:space="preserve"> </w:t>
      </w:r>
      <w:r w:rsidR="00243B3A" w:rsidRPr="001E3A02">
        <w:rPr>
          <w:rFonts w:eastAsia="Times New Roman"/>
          <w:lang w:eastAsia="en-US"/>
        </w:rPr>
        <w:t>the Subsidiary Body for Implementation to initiate at its sixty-eighth session (</w:t>
      </w:r>
      <w:r w:rsidR="00252BE1">
        <w:rPr>
          <w:rFonts w:eastAsia="Times New Roman"/>
          <w:lang w:eastAsia="en-US"/>
        </w:rPr>
        <w:t xml:space="preserve">June </w:t>
      </w:r>
      <w:r w:rsidR="00243B3A" w:rsidRPr="001E3A02">
        <w:rPr>
          <w:rFonts w:eastAsia="Times New Roman"/>
          <w:lang w:eastAsia="en-US"/>
        </w:rPr>
        <w:t xml:space="preserve">2028) the preparation of the terms of reference for the third review of the Paris Committee on Capacity-building with a view to recommending a </w:t>
      </w:r>
      <w:r w:rsidR="00B6693C">
        <w:rPr>
          <w:rFonts w:eastAsia="Times New Roman"/>
          <w:lang w:eastAsia="en-US"/>
        </w:rPr>
        <w:t xml:space="preserve">draft </w:t>
      </w:r>
      <w:r w:rsidR="00243B3A" w:rsidRPr="001E3A02">
        <w:rPr>
          <w:rFonts w:eastAsia="Times New Roman"/>
          <w:lang w:eastAsia="en-US"/>
        </w:rPr>
        <w:t>decision for consideration and adoption by the Conference of the Parties at its thirty-third session (</w:t>
      </w:r>
      <w:r w:rsidR="00252BE1">
        <w:rPr>
          <w:rFonts w:eastAsia="Times New Roman"/>
          <w:lang w:eastAsia="en-US"/>
        </w:rPr>
        <w:t xml:space="preserve">November </w:t>
      </w:r>
      <w:r w:rsidR="00243B3A" w:rsidRPr="001E3A02">
        <w:rPr>
          <w:rFonts w:eastAsia="Times New Roman"/>
          <w:lang w:eastAsia="en-US"/>
        </w:rPr>
        <w:t>2028);</w:t>
      </w:r>
    </w:p>
    <w:p w14:paraId="2D6D1DEE" w14:textId="13D4B788" w:rsidR="00243B3A" w:rsidRDefault="00804401" w:rsidP="00804401">
      <w:pPr>
        <w:pStyle w:val="RegSingleTxtG"/>
        <w:numPr>
          <w:ilvl w:val="0"/>
          <w:numId w:val="0"/>
        </w:numPr>
        <w:ind w:left="1134"/>
      </w:pPr>
      <w:r>
        <w:rPr>
          <w:bCs/>
        </w:rPr>
        <w:t>13.</w:t>
      </w:r>
      <w:r>
        <w:rPr>
          <w:bCs/>
        </w:rPr>
        <w:tab/>
      </w:r>
      <w:r w:rsidR="00243B3A" w:rsidRPr="006F6757">
        <w:rPr>
          <w:i/>
          <w:iCs/>
        </w:rPr>
        <w:t>Also requests</w:t>
      </w:r>
      <w:r w:rsidR="00243B3A" w:rsidRPr="006F6757">
        <w:rPr>
          <w:spacing w:val="-11"/>
        </w:rPr>
        <w:t xml:space="preserve"> </w:t>
      </w:r>
      <w:r w:rsidR="00243B3A" w:rsidRPr="001E3A02">
        <w:rPr>
          <w:rFonts w:eastAsia="Times New Roman"/>
          <w:lang w:eastAsia="en-US"/>
        </w:rPr>
        <w:t>the Paris Committee on Capacity-building, at its 9</w:t>
      </w:r>
      <w:r w:rsidR="00243B3A" w:rsidRPr="00046D64">
        <w:rPr>
          <w:rFonts w:eastAsia="Times New Roman"/>
          <w:vertAlign w:val="superscript"/>
          <w:lang w:eastAsia="en-US"/>
        </w:rPr>
        <w:t>th</w:t>
      </w:r>
      <w:r w:rsidR="00243B3A" w:rsidRPr="001E3A02">
        <w:rPr>
          <w:rFonts w:eastAsia="Times New Roman"/>
          <w:lang w:eastAsia="en-US"/>
        </w:rPr>
        <w:t xml:space="preserve"> meeting, to develop a workplan for the period of its extension on the basis of the priority areas and activities set out in the annex for consideration by the Conference of the Parties at its thirtieth session (November 2025);</w:t>
      </w:r>
    </w:p>
    <w:p w14:paraId="4E21F89F" w14:textId="23EB4577" w:rsidR="00243B3A" w:rsidRPr="006F6757" w:rsidRDefault="00804401" w:rsidP="00804401">
      <w:pPr>
        <w:pStyle w:val="RegSingleTxtG"/>
        <w:numPr>
          <w:ilvl w:val="0"/>
          <w:numId w:val="0"/>
        </w:numPr>
        <w:ind w:left="1134"/>
        <w:rPr>
          <w:color w:val="1D1B11"/>
        </w:rPr>
      </w:pPr>
      <w:r w:rsidRPr="006F6757">
        <w:rPr>
          <w:bCs/>
          <w:color w:val="1D1B11"/>
        </w:rPr>
        <w:t>14.</w:t>
      </w:r>
      <w:r w:rsidRPr="006F6757">
        <w:rPr>
          <w:bCs/>
          <w:color w:val="1D1B11"/>
        </w:rPr>
        <w:tab/>
      </w:r>
      <w:r w:rsidR="00243B3A" w:rsidRPr="006F6757">
        <w:rPr>
          <w:i/>
          <w:iCs/>
        </w:rPr>
        <w:t>Further requests</w:t>
      </w:r>
      <w:r w:rsidR="00243B3A" w:rsidRPr="006F6757">
        <w:t xml:space="preserve"> </w:t>
      </w:r>
      <w:r w:rsidR="00243B3A" w:rsidRPr="001E3A02">
        <w:rPr>
          <w:rFonts w:eastAsia="Times New Roman"/>
          <w:lang w:eastAsia="en-US"/>
        </w:rPr>
        <w:t>that</w:t>
      </w:r>
      <w:r w:rsidR="00243B3A" w:rsidRPr="006F6757">
        <w:t xml:space="preserve"> the workplan referred to in paragraph </w:t>
      </w:r>
      <w:r w:rsidR="00243B3A" w:rsidRPr="001E3A02">
        <w:rPr>
          <w:cs/>
        </w:rPr>
        <w:t>‎</w:t>
      </w:r>
      <w:r w:rsidR="00243B3A" w:rsidRPr="001E3A02">
        <w:t>13 above</w:t>
      </w:r>
      <w:r w:rsidR="00243B3A" w:rsidRPr="006F6757">
        <w:t xml:space="preserve"> include core elements such as priority areas, activities, deliverables, timelines and expected results in relation to the priority areas referred to in </w:t>
      </w:r>
      <w:r w:rsidR="00243B3A">
        <w:t>the annex</w:t>
      </w:r>
      <w:r w:rsidR="00243B3A" w:rsidRPr="006F6757">
        <w:t>;</w:t>
      </w:r>
    </w:p>
    <w:p w14:paraId="084BB858" w14:textId="47946B75" w:rsidR="00243B3A" w:rsidRDefault="00804401" w:rsidP="00804401">
      <w:pPr>
        <w:pStyle w:val="RegSingleTxtG"/>
        <w:numPr>
          <w:ilvl w:val="0"/>
          <w:numId w:val="0"/>
        </w:numPr>
        <w:ind w:left="1134"/>
      </w:pPr>
      <w:r>
        <w:rPr>
          <w:bCs/>
        </w:rPr>
        <w:t>15.</w:t>
      </w:r>
      <w:r>
        <w:rPr>
          <w:bCs/>
        </w:rPr>
        <w:tab/>
      </w:r>
      <w:r w:rsidR="00243B3A" w:rsidRPr="006F6757">
        <w:rPr>
          <w:i/>
          <w:iCs/>
        </w:rPr>
        <w:t>Requests</w:t>
      </w:r>
      <w:r w:rsidR="00243B3A" w:rsidRPr="006F6757">
        <w:t xml:space="preserve"> the Paris Committee on Capacity-building to report on the expected work under its workplan and on the progress, outcomes, impacts and effectiveness of the activities in its workplan in its annual technical progress report;</w:t>
      </w:r>
    </w:p>
    <w:p w14:paraId="03652DD0" w14:textId="63301B4E" w:rsidR="00243B3A" w:rsidRDefault="00804401" w:rsidP="00804401">
      <w:pPr>
        <w:pStyle w:val="RegSingleTxtG"/>
        <w:numPr>
          <w:ilvl w:val="0"/>
          <w:numId w:val="0"/>
        </w:numPr>
        <w:ind w:left="1134"/>
      </w:pPr>
      <w:r>
        <w:rPr>
          <w:bCs/>
        </w:rPr>
        <w:t>16.</w:t>
      </w:r>
      <w:r>
        <w:rPr>
          <w:bCs/>
        </w:rPr>
        <w:tab/>
      </w:r>
      <w:r w:rsidR="00243B3A">
        <w:rPr>
          <w:i/>
          <w:iCs/>
        </w:rPr>
        <w:t>Also requests</w:t>
      </w:r>
      <w:r w:rsidR="00243B3A">
        <w:t xml:space="preserve"> the Paris Committee on Capacity-building to extend its current workplan until a new workplan is agreed;</w:t>
      </w:r>
    </w:p>
    <w:p w14:paraId="414CE44C" w14:textId="7183AA7B" w:rsidR="00243B3A" w:rsidRDefault="00804401" w:rsidP="00804401">
      <w:pPr>
        <w:pStyle w:val="RegSingleTxtG"/>
        <w:numPr>
          <w:ilvl w:val="0"/>
          <w:numId w:val="0"/>
        </w:numPr>
        <w:ind w:left="1134"/>
      </w:pPr>
      <w:r>
        <w:rPr>
          <w:bCs/>
        </w:rPr>
        <w:t>17.</w:t>
      </w:r>
      <w:r>
        <w:rPr>
          <w:bCs/>
        </w:rPr>
        <w:tab/>
      </w:r>
      <w:r w:rsidR="00243B3A" w:rsidRPr="00243B3A">
        <w:rPr>
          <w:i/>
          <w:iCs/>
        </w:rPr>
        <w:t xml:space="preserve">Invites </w:t>
      </w:r>
      <w:r w:rsidR="00243B3A" w:rsidRPr="00A53E93">
        <w:t>Parties and relevant institutions, as appropriate, to provide support and resources to the Paris Committee on Capacity-building for implementing its workplan in the light of the aim</w:t>
      </w:r>
      <w:r w:rsidR="00243B3A">
        <w:rPr>
          <w:rStyle w:val="FootnoteReference"/>
        </w:rPr>
        <w:footnoteReference w:id="11"/>
      </w:r>
      <w:r w:rsidR="00243B3A" w:rsidRPr="00EA10A9">
        <w:t xml:space="preserve"> of the Committee</w:t>
      </w:r>
      <w:r w:rsidR="00243B3A">
        <w:t>.</w:t>
      </w:r>
    </w:p>
    <w:p w14:paraId="0C66663C" w14:textId="77777777" w:rsidR="00D47B8F" w:rsidRDefault="00D47B8F" w:rsidP="005924A9">
      <w:pPr>
        <w:pStyle w:val="HChG"/>
        <w:spacing w:before="0"/>
        <w:sectPr w:rsidR="00D47B8F" w:rsidSect="00E56563">
          <w:headerReference w:type="even" r:id="rId32"/>
          <w:headerReference w:type="default" r:id="rId33"/>
          <w:footerReference w:type="even" r:id="rId34"/>
          <w:footerReference w:type="default" r:id="rId35"/>
          <w:footnotePr>
            <w:numRestart w:val="eachSect"/>
          </w:footnotePr>
          <w:pgSz w:w="11906" w:h="16838" w:code="9"/>
          <w:pgMar w:top="1417" w:right="1134" w:bottom="1134" w:left="1134" w:header="850" w:footer="567" w:gutter="0"/>
          <w:cols w:space="708"/>
          <w:docGrid w:linePitch="360"/>
        </w:sectPr>
      </w:pPr>
    </w:p>
    <w:p w14:paraId="063E3997" w14:textId="77777777" w:rsidR="005924A9" w:rsidRDefault="005924A9" w:rsidP="005924A9">
      <w:pPr>
        <w:pStyle w:val="HChG"/>
        <w:spacing w:before="0"/>
      </w:pPr>
      <w:r>
        <w:lastRenderedPageBreak/>
        <w:t>Annex</w:t>
      </w:r>
    </w:p>
    <w:p w14:paraId="1C340BF5" w14:textId="77777777" w:rsidR="005924A9" w:rsidRDefault="005924A9" w:rsidP="005924A9">
      <w:pPr>
        <w:pStyle w:val="HChG"/>
        <w:tabs>
          <w:tab w:val="clear" w:pos="851"/>
        </w:tabs>
        <w:ind w:firstLine="0"/>
      </w:pPr>
      <w:r w:rsidRPr="001E3A02">
        <w:t xml:space="preserve">Priority </w:t>
      </w:r>
      <w:r>
        <w:t>areas and a</w:t>
      </w:r>
      <w:r w:rsidRPr="007B11A5">
        <w:t>ctivities of the Paris Committee on Capacity-building</w:t>
      </w:r>
    </w:p>
    <w:p w14:paraId="13BB6F07" w14:textId="785BB6E0" w:rsidR="005924A9" w:rsidRDefault="00804401" w:rsidP="00804401">
      <w:pPr>
        <w:pStyle w:val="RegSingleTxtG"/>
        <w:numPr>
          <w:ilvl w:val="0"/>
          <w:numId w:val="0"/>
        </w:numPr>
        <w:ind w:left="1134"/>
      </w:pPr>
      <w:r>
        <w:rPr>
          <w:bCs/>
        </w:rPr>
        <w:t>1.</w:t>
      </w:r>
      <w:r>
        <w:rPr>
          <w:bCs/>
        </w:rPr>
        <w:tab/>
      </w:r>
      <w:r w:rsidR="005924A9">
        <w:t>Priority area (a): enhancing coherence and coordination of capacity-building under the Convention and the Paris Agreement with a focus on avoiding duplication of efforts, including through collaboration with bodies under and outside the Convention and the Paris Agreement that engage in activities related to capacity-building, as appropriate and in accordance with their respective mandates:</w:t>
      </w:r>
    </w:p>
    <w:p w14:paraId="189F1BCA" w14:textId="06CCC2D9" w:rsidR="005924A9" w:rsidRDefault="00804401" w:rsidP="00804401">
      <w:pPr>
        <w:pStyle w:val="RegSingleTxtG2"/>
        <w:numPr>
          <w:ilvl w:val="0"/>
          <w:numId w:val="0"/>
        </w:numPr>
        <w:ind w:left="1134" w:firstLine="567"/>
      </w:pPr>
      <w:r>
        <w:rPr>
          <w:szCs w:val="28"/>
        </w:rPr>
        <w:t>(a)</w:t>
      </w:r>
      <w:r>
        <w:rPr>
          <w:szCs w:val="28"/>
        </w:rPr>
        <w:tab/>
      </w:r>
      <w:r w:rsidR="005924A9">
        <w:t xml:space="preserve">Collating and reviewing current and planned capacity-building work of constituted bodies established under the Convention and the Paris Agreement that implement capacity-building activities in order to provide an overview of capacity-building activities, particularly by regularly convening </w:t>
      </w:r>
      <w:r w:rsidR="005924A9" w:rsidRPr="001E3A02">
        <w:t xml:space="preserve">meetings of </w:t>
      </w:r>
      <w:r w:rsidR="005924A9">
        <w:t>the informal coordination group for capacity-building</w:t>
      </w:r>
      <w:r w:rsidR="005924A9" w:rsidRPr="001E3A02">
        <w:t xml:space="preserve"> under the Convention and the Paris Agreement</w:t>
      </w:r>
      <w:r w:rsidR="005924A9">
        <w:t>, and regularly sharing this information with the constituted bodies;</w:t>
      </w:r>
    </w:p>
    <w:p w14:paraId="2AF9C95C" w14:textId="418AD9A7" w:rsidR="005924A9" w:rsidRDefault="00804401" w:rsidP="00804401">
      <w:pPr>
        <w:pStyle w:val="RegSingleTxtG2"/>
        <w:numPr>
          <w:ilvl w:val="0"/>
          <w:numId w:val="0"/>
        </w:numPr>
        <w:ind w:left="1134" w:firstLine="567"/>
      </w:pPr>
      <w:r>
        <w:rPr>
          <w:szCs w:val="28"/>
        </w:rPr>
        <w:t>(b)</w:t>
      </w:r>
      <w:r>
        <w:rPr>
          <w:szCs w:val="28"/>
        </w:rPr>
        <w:tab/>
      </w:r>
      <w:r w:rsidR="005924A9">
        <w:t>Providing recommendations to Parties on how to improve coherence and coordination of capacity-building and avoid duplication of efforts;</w:t>
      </w:r>
    </w:p>
    <w:p w14:paraId="4BAE9202" w14:textId="4E417DFB" w:rsidR="005924A9" w:rsidRDefault="00804401" w:rsidP="00804401">
      <w:pPr>
        <w:pStyle w:val="RegSingleTxtG2"/>
        <w:numPr>
          <w:ilvl w:val="0"/>
          <w:numId w:val="0"/>
        </w:numPr>
        <w:ind w:left="1134" w:firstLine="567"/>
      </w:pPr>
      <w:r>
        <w:rPr>
          <w:szCs w:val="28"/>
        </w:rPr>
        <w:t>(c)</w:t>
      </w:r>
      <w:r>
        <w:rPr>
          <w:szCs w:val="28"/>
        </w:rPr>
        <w:tab/>
      </w:r>
      <w:r w:rsidR="005924A9">
        <w:t>Liaising and engaging with bodies under and outside the Convention and the Paris Agreement that are engaged in implementing capacity-building activities, particularly by coordinating the PCCB Network of interested stakeholders engaged in climate-related capacity-building, with a view to sharing information on good practices, connecting experts and peers across sectors and regions, and contributing to the work of the Paris Committee on Capacity-building in fulfilling its mandate.</w:t>
      </w:r>
    </w:p>
    <w:p w14:paraId="03242A6D" w14:textId="2EA6C0DC" w:rsidR="005924A9" w:rsidRDefault="00804401" w:rsidP="00804401">
      <w:pPr>
        <w:pStyle w:val="RegSingleTxtG"/>
        <w:numPr>
          <w:ilvl w:val="0"/>
          <w:numId w:val="0"/>
        </w:numPr>
        <w:ind w:left="1134"/>
      </w:pPr>
      <w:r>
        <w:rPr>
          <w:bCs/>
        </w:rPr>
        <w:t>2.</w:t>
      </w:r>
      <w:r>
        <w:rPr>
          <w:bCs/>
        </w:rPr>
        <w:tab/>
      </w:r>
      <w:r w:rsidR="005924A9">
        <w:t>Priority</w:t>
      </w:r>
      <w:r w:rsidR="005924A9" w:rsidRPr="001E3A02">
        <w:t xml:space="preserve"> </w:t>
      </w:r>
      <w:r w:rsidR="005924A9">
        <w:t>area</w:t>
      </w:r>
      <w:r w:rsidR="005924A9" w:rsidRPr="001E3A02">
        <w:t xml:space="preserve"> </w:t>
      </w:r>
      <w:r w:rsidR="005924A9">
        <w:t>(b):</w:t>
      </w:r>
      <w:r w:rsidR="005924A9" w:rsidRPr="001E3A02">
        <w:t xml:space="preserve"> </w:t>
      </w:r>
      <w:r w:rsidR="005924A9">
        <w:t>identifying</w:t>
      </w:r>
      <w:r w:rsidR="005924A9" w:rsidRPr="001E3A02">
        <w:t xml:space="preserve"> </w:t>
      </w:r>
      <w:r w:rsidR="005924A9">
        <w:t>capacity</w:t>
      </w:r>
      <w:r w:rsidR="005924A9" w:rsidRPr="001E3A02">
        <w:t xml:space="preserve"> </w:t>
      </w:r>
      <w:r w:rsidR="005924A9">
        <w:t>gaps</w:t>
      </w:r>
      <w:r w:rsidR="005924A9" w:rsidRPr="001E3A02">
        <w:t xml:space="preserve"> </w:t>
      </w:r>
      <w:r w:rsidR="005924A9">
        <w:t>and</w:t>
      </w:r>
      <w:r w:rsidR="005924A9" w:rsidRPr="001E3A02">
        <w:t xml:space="preserve"> </w:t>
      </w:r>
      <w:r w:rsidR="005924A9">
        <w:t>needs,</w:t>
      </w:r>
      <w:r w:rsidR="005924A9" w:rsidRPr="001E3A02">
        <w:t xml:space="preserve"> </w:t>
      </w:r>
      <w:r w:rsidR="005924A9">
        <w:t>both</w:t>
      </w:r>
      <w:r w:rsidR="005924A9" w:rsidRPr="001E3A02">
        <w:t xml:space="preserve"> </w:t>
      </w:r>
      <w:r w:rsidR="005924A9">
        <w:t>current</w:t>
      </w:r>
      <w:r w:rsidR="005924A9" w:rsidRPr="001E3A02">
        <w:t xml:space="preserve"> </w:t>
      </w:r>
      <w:r w:rsidR="005924A9">
        <w:t>and</w:t>
      </w:r>
      <w:r w:rsidR="005924A9" w:rsidRPr="001E3A02">
        <w:t xml:space="preserve"> </w:t>
      </w:r>
      <w:r w:rsidR="005924A9">
        <w:t>emerging,</w:t>
      </w:r>
      <w:r w:rsidR="005924A9" w:rsidRPr="001E3A02">
        <w:t xml:space="preserve"> </w:t>
      </w:r>
      <w:r w:rsidR="005924A9">
        <w:t>and recommending ways to address them:</w:t>
      </w:r>
    </w:p>
    <w:p w14:paraId="1D7C46F4" w14:textId="7EB98816" w:rsidR="005924A9" w:rsidRDefault="00804401" w:rsidP="00804401">
      <w:pPr>
        <w:pStyle w:val="RegSingleTxtG2"/>
        <w:numPr>
          <w:ilvl w:val="0"/>
          <w:numId w:val="0"/>
        </w:numPr>
        <w:ind w:left="1134" w:firstLine="567"/>
      </w:pPr>
      <w:r>
        <w:rPr>
          <w:szCs w:val="28"/>
        </w:rPr>
        <w:t>(a)</w:t>
      </w:r>
      <w:r>
        <w:rPr>
          <w:szCs w:val="28"/>
        </w:rPr>
        <w:tab/>
      </w:r>
      <w:r w:rsidR="005924A9">
        <w:t>Interacting with other constituted bodies, particularly through the informal coordination group for capacity-building</w:t>
      </w:r>
      <w:r w:rsidR="005924A9" w:rsidRPr="001E3A02">
        <w:t xml:space="preserve"> under the Convention and the Paris Agreement</w:t>
      </w:r>
      <w:r w:rsidR="005924A9">
        <w:t>, to allow the Paris Committee on Capacity-building</w:t>
      </w:r>
      <w:r w:rsidR="005924A9" w:rsidRPr="001E3A02">
        <w:t xml:space="preserve"> </w:t>
      </w:r>
      <w:r w:rsidR="005924A9">
        <w:t>to</w:t>
      </w:r>
      <w:r w:rsidR="005924A9" w:rsidRPr="001E3A02">
        <w:t xml:space="preserve"> </w:t>
      </w:r>
      <w:r w:rsidR="005924A9">
        <w:t>gather</w:t>
      </w:r>
      <w:r w:rsidR="005924A9" w:rsidRPr="001E3A02">
        <w:t xml:space="preserve"> </w:t>
      </w:r>
      <w:r w:rsidR="005924A9">
        <w:t>information</w:t>
      </w:r>
      <w:r w:rsidR="005924A9" w:rsidRPr="001E3A02">
        <w:t xml:space="preserve"> </w:t>
      </w:r>
      <w:r w:rsidR="005924A9">
        <w:t>on</w:t>
      </w:r>
      <w:r w:rsidR="005924A9" w:rsidRPr="001E3A02">
        <w:t xml:space="preserve"> </w:t>
      </w:r>
      <w:r w:rsidR="005924A9">
        <w:t>what</w:t>
      </w:r>
      <w:r w:rsidR="005924A9" w:rsidRPr="001E3A02">
        <w:t xml:space="preserve"> </w:t>
      </w:r>
      <w:r w:rsidR="005924A9">
        <w:t>they</w:t>
      </w:r>
      <w:r w:rsidR="005924A9" w:rsidRPr="001E3A02">
        <w:t xml:space="preserve"> </w:t>
      </w:r>
      <w:r w:rsidR="005924A9">
        <w:t>are</w:t>
      </w:r>
      <w:r w:rsidR="005924A9" w:rsidRPr="001E3A02">
        <w:t xml:space="preserve"> </w:t>
      </w:r>
      <w:r w:rsidR="005924A9">
        <w:t>doing</w:t>
      </w:r>
      <w:r w:rsidR="005924A9" w:rsidRPr="001E3A02">
        <w:t xml:space="preserve"> </w:t>
      </w:r>
      <w:r w:rsidR="005924A9">
        <w:t>to</w:t>
      </w:r>
      <w:r w:rsidR="005924A9" w:rsidRPr="001E3A02">
        <w:t xml:space="preserve"> </w:t>
      </w:r>
      <w:r w:rsidR="005924A9">
        <w:t>address</w:t>
      </w:r>
      <w:r w:rsidR="005924A9" w:rsidRPr="001E3A02">
        <w:t xml:space="preserve"> </w:t>
      </w:r>
      <w:r w:rsidR="005924A9">
        <w:t>capacity</w:t>
      </w:r>
      <w:r w:rsidR="005924A9" w:rsidRPr="001E3A02">
        <w:t xml:space="preserve"> </w:t>
      </w:r>
      <w:r w:rsidR="005924A9">
        <w:t>gaps</w:t>
      </w:r>
      <w:r w:rsidR="005924A9" w:rsidRPr="001E3A02">
        <w:t xml:space="preserve"> </w:t>
      </w:r>
      <w:r w:rsidR="005924A9">
        <w:t>and needs in areas relevant to their mandates to provide input to their work, as appropriate;</w:t>
      </w:r>
    </w:p>
    <w:p w14:paraId="43BAD0B1" w14:textId="0C7BA6C5" w:rsidR="005924A9" w:rsidRDefault="00804401" w:rsidP="00804401">
      <w:pPr>
        <w:pStyle w:val="RegSingleTxtG2"/>
        <w:numPr>
          <w:ilvl w:val="0"/>
          <w:numId w:val="0"/>
        </w:numPr>
        <w:ind w:left="1134" w:firstLine="567"/>
      </w:pPr>
      <w:r>
        <w:rPr>
          <w:szCs w:val="28"/>
        </w:rPr>
        <w:t>(b)</w:t>
      </w:r>
      <w:r>
        <w:rPr>
          <w:szCs w:val="28"/>
        </w:rPr>
        <w:tab/>
      </w:r>
      <w:r w:rsidR="005924A9">
        <w:t>Continuing efforts to gather and promote the development and dissemination of tools and methodologies for implementing capacity-building activities, in particular through the capacity-building portal;</w:t>
      </w:r>
      <w:r w:rsidR="005924A9">
        <w:rPr>
          <w:rStyle w:val="FootnoteReference"/>
        </w:rPr>
        <w:footnoteReference w:id="12"/>
      </w:r>
    </w:p>
    <w:p w14:paraId="70E4DCCE" w14:textId="6B3C89B4" w:rsidR="005924A9" w:rsidRDefault="00804401" w:rsidP="00804401">
      <w:pPr>
        <w:pStyle w:val="RegSingleTxtG2"/>
        <w:numPr>
          <w:ilvl w:val="0"/>
          <w:numId w:val="0"/>
        </w:numPr>
        <w:ind w:left="1134" w:firstLine="567"/>
      </w:pPr>
      <w:r>
        <w:rPr>
          <w:szCs w:val="28"/>
        </w:rPr>
        <w:t>(c)</w:t>
      </w:r>
      <w:r>
        <w:rPr>
          <w:szCs w:val="28"/>
        </w:rPr>
        <w:tab/>
      </w:r>
      <w:r w:rsidR="005924A9">
        <w:t>Collating, reviewing and sharing information on experience, good practices and lessons learned related to enhancing the ownership of developing countries of building and maintaining capacity, and providing recommendations in this regard.</w:t>
      </w:r>
    </w:p>
    <w:p w14:paraId="16F7C81E" w14:textId="3F56425C" w:rsidR="005924A9" w:rsidRDefault="00804401" w:rsidP="00804401">
      <w:pPr>
        <w:pStyle w:val="RegSingleTxtG"/>
        <w:numPr>
          <w:ilvl w:val="0"/>
          <w:numId w:val="0"/>
        </w:numPr>
        <w:ind w:left="1134"/>
      </w:pPr>
      <w:r>
        <w:rPr>
          <w:bCs/>
        </w:rPr>
        <w:t>3.</w:t>
      </w:r>
      <w:r>
        <w:rPr>
          <w:bCs/>
        </w:rPr>
        <w:tab/>
      </w:r>
      <w:r w:rsidR="005924A9" w:rsidRPr="001E3A02">
        <w:t xml:space="preserve">Priority area (c): promoting awareness-raising, knowledge- and information-sharing and </w:t>
      </w:r>
      <w:r w:rsidR="005924A9">
        <w:t>stakeholder</w:t>
      </w:r>
      <w:r w:rsidR="005924A9" w:rsidRPr="001E3A02">
        <w:t xml:space="preserve"> </w:t>
      </w:r>
      <w:r w:rsidR="005924A9">
        <w:t>engagement</w:t>
      </w:r>
      <w:r w:rsidR="005924A9" w:rsidRPr="001E3A02">
        <w:t xml:space="preserve"> </w:t>
      </w:r>
      <w:r w:rsidR="005924A9">
        <w:t>with</w:t>
      </w:r>
      <w:r w:rsidR="005924A9" w:rsidRPr="001E3A02">
        <w:t xml:space="preserve"> </w:t>
      </w:r>
      <w:r w:rsidR="005924A9">
        <w:t>bodies</w:t>
      </w:r>
      <w:r w:rsidR="005924A9" w:rsidRPr="001E3A02">
        <w:t xml:space="preserve"> </w:t>
      </w:r>
      <w:r w:rsidR="005924A9">
        <w:t>and</w:t>
      </w:r>
      <w:r w:rsidR="005924A9" w:rsidRPr="001E3A02">
        <w:t xml:space="preserve"> </w:t>
      </w:r>
      <w:r w:rsidR="005924A9">
        <w:t>relevant</w:t>
      </w:r>
      <w:r w:rsidR="005924A9" w:rsidRPr="001E3A02">
        <w:t xml:space="preserve"> </w:t>
      </w:r>
      <w:r w:rsidR="005924A9">
        <w:t>actors</w:t>
      </w:r>
      <w:r w:rsidR="005924A9" w:rsidRPr="001E3A02">
        <w:t xml:space="preserve"> </w:t>
      </w:r>
      <w:r w:rsidR="005924A9">
        <w:t>under</w:t>
      </w:r>
      <w:r w:rsidR="005924A9" w:rsidRPr="001E3A02">
        <w:t xml:space="preserve"> </w:t>
      </w:r>
      <w:r w:rsidR="005924A9">
        <w:t>and</w:t>
      </w:r>
      <w:r w:rsidR="005924A9" w:rsidRPr="001E3A02">
        <w:t xml:space="preserve"> </w:t>
      </w:r>
      <w:r w:rsidR="005924A9">
        <w:t>outside</w:t>
      </w:r>
      <w:r w:rsidR="005924A9" w:rsidRPr="001E3A02">
        <w:t xml:space="preserve"> </w:t>
      </w:r>
      <w:r w:rsidR="005924A9">
        <w:t>the</w:t>
      </w:r>
      <w:r w:rsidR="005924A9" w:rsidRPr="001E3A02">
        <w:t xml:space="preserve"> </w:t>
      </w:r>
      <w:r w:rsidR="005924A9">
        <w:t>Convention and the Paris Agreement,</w:t>
      </w:r>
      <w:r w:rsidR="005924A9" w:rsidRPr="001E3A02">
        <w:t xml:space="preserve"> </w:t>
      </w:r>
      <w:r w:rsidR="005924A9">
        <w:t>as appropriate and in accordance with their respective mandates:</w:t>
      </w:r>
    </w:p>
    <w:p w14:paraId="3AC4F559" w14:textId="3479CA65" w:rsidR="005924A9" w:rsidRDefault="00804401" w:rsidP="00804401">
      <w:pPr>
        <w:pStyle w:val="RegSingleTxtG2"/>
        <w:numPr>
          <w:ilvl w:val="0"/>
          <w:numId w:val="0"/>
        </w:numPr>
        <w:ind w:left="1134" w:firstLine="567"/>
      </w:pPr>
      <w:r>
        <w:rPr>
          <w:szCs w:val="28"/>
        </w:rPr>
        <w:t>(a)</w:t>
      </w:r>
      <w:r>
        <w:rPr>
          <w:szCs w:val="28"/>
        </w:rPr>
        <w:tab/>
      </w:r>
      <w:r w:rsidR="005924A9">
        <w:t>Collecting</w:t>
      </w:r>
      <w:r w:rsidR="005924A9" w:rsidRPr="001E3A02">
        <w:t xml:space="preserve"> </w:t>
      </w:r>
      <w:r w:rsidR="005924A9">
        <w:t>information</w:t>
      </w:r>
      <w:r w:rsidR="005924A9" w:rsidRPr="001E3A02">
        <w:t xml:space="preserve"> </w:t>
      </w:r>
      <w:r w:rsidR="005924A9">
        <w:t>from</w:t>
      </w:r>
      <w:r w:rsidR="005924A9" w:rsidRPr="001E3A02">
        <w:t xml:space="preserve"> </w:t>
      </w:r>
      <w:r w:rsidR="005924A9">
        <w:t>relevant</w:t>
      </w:r>
      <w:r w:rsidR="005924A9" w:rsidRPr="001E3A02">
        <w:t xml:space="preserve"> </w:t>
      </w:r>
      <w:r w:rsidR="005924A9">
        <w:t>sources,</w:t>
      </w:r>
      <w:r w:rsidR="005924A9" w:rsidRPr="001E3A02">
        <w:t xml:space="preserve"> </w:t>
      </w:r>
      <w:r w:rsidR="005924A9">
        <w:t>including</w:t>
      </w:r>
      <w:r w:rsidR="005924A9" w:rsidRPr="001E3A02">
        <w:t xml:space="preserve"> </w:t>
      </w:r>
      <w:r w:rsidR="005924A9">
        <w:t>the</w:t>
      </w:r>
      <w:r w:rsidR="005924A9" w:rsidRPr="001E3A02">
        <w:t xml:space="preserve"> </w:t>
      </w:r>
      <w:r w:rsidR="005924A9">
        <w:t>Durban</w:t>
      </w:r>
      <w:r w:rsidR="005924A9" w:rsidRPr="001E3A02">
        <w:t xml:space="preserve"> </w:t>
      </w:r>
      <w:r w:rsidR="005924A9">
        <w:t>Forum and the informal coordination group for capacity-building</w:t>
      </w:r>
      <w:r w:rsidR="005924A9" w:rsidRPr="001E3A02">
        <w:t xml:space="preserve"> under the Convention and the Paris Agreement</w:t>
      </w:r>
      <w:r w:rsidR="005924A9">
        <w:t>,</w:t>
      </w:r>
      <w:r w:rsidR="005924A9" w:rsidRPr="001E3A02">
        <w:t xml:space="preserve"> </w:t>
      </w:r>
      <w:r w:rsidR="005924A9">
        <w:t>on good practices, experience and lessons learned related to capacity-building, and disseminating this information, including via the capacity-building portal, with the aim of addressing gaps and needs related to implementing capacity-building;</w:t>
      </w:r>
    </w:p>
    <w:p w14:paraId="310537FE" w14:textId="2AFC84A7" w:rsidR="005924A9" w:rsidRDefault="00804401" w:rsidP="00804401">
      <w:pPr>
        <w:pStyle w:val="RegSingleTxtG2"/>
        <w:numPr>
          <w:ilvl w:val="0"/>
          <w:numId w:val="0"/>
        </w:numPr>
        <w:ind w:left="1134" w:firstLine="567"/>
      </w:pPr>
      <w:r>
        <w:rPr>
          <w:szCs w:val="28"/>
        </w:rPr>
        <w:t>(b)</w:t>
      </w:r>
      <w:r>
        <w:rPr>
          <w:szCs w:val="28"/>
        </w:rPr>
        <w:tab/>
      </w:r>
      <w:r w:rsidR="005924A9">
        <w:t>Providing</w:t>
      </w:r>
      <w:r w:rsidR="005924A9" w:rsidRPr="001E3A02">
        <w:t xml:space="preserve"> </w:t>
      </w:r>
      <w:r w:rsidR="005924A9">
        <w:t>recommendations</w:t>
      </w:r>
      <w:r w:rsidR="005924A9" w:rsidRPr="001E3A02">
        <w:t xml:space="preserve"> </w:t>
      </w:r>
      <w:r w:rsidR="005924A9">
        <w:t>to</w:t>
      </w:r>
      <w:r w:rsidR="005924A9" w:rsidRPr="001E3A02">
        <w:t xml:space="preserve"> </w:t>
      </w:r>
      <w:r w:rsidR="005924A9">
        <w:t>Parties</w:t>
      </w:r>
      <w:r w:rsidR="005924A9" w:rsidRPr="001E3A02">
        <w:t xml:space="preserve"> on:</w:t>
      </w:r>
    </w:p>
    <w:p w14:paraId="3041CAE4" w14:textId="256190CB" w:rsidR="005924A9" w:rsidRDefault="00804401" w:rsidP="00804401">
      <w:pPr>
        <w:pStyle w:val="RegSingleTxtG3"/>
        <w:numPr>
          <w:ilvl w:val="0"/>
          <w:numId w:val="0"/>
        </w:numPr>
        <w:ind w:left="1701"/>
      </w:pPr>
      <w:r>
        <w:t>(i)</w:t>
      </w:r>
      <w:r>
        <w:tab/>
      </w:r>
      <w:r w:rsidR="005924A9">
        <w:t>Enhancing</w:t>
      </w:r>
      <w:r w:rsidR="005924A9" w:rsidRPr="001E3A02">
        <w:t xml:space="preserve"> </w:t>
      </w:r>
      <w:r w:rsidR="005924A9">
        <w:t>the</w:t>
      </w:r>
      <w:r w:rsidR="005924A9" w:rsidRPr="001E3A02">
        <w:t xml:space="preserve"> </w:t>
      </w:r>
      <w:r w:rsidR="005924A9">
        <w:t>sharing</w:t>
      </w:r>
      <w:r w:rsidR="005924A9" w:rsidRPr="001E3A02">
        <w:t xml:space="preserve"> </w:t>
      </w:r>
      <w:r w:rsidR="005924A9">
        <w:t>of</w:t>
      </w:r>
      <w:r w:rsidR="005924A9" w:rsidRPr="001E3A02">
        <w:t xml:space="preserve"> </w:t>
      </w:r>
      <w:r w:rsidR="005924A9">
        <w:t>good</w:t>
      </w:r>
      <w:r w:rsidR="005924A9" w:rsidRPr="001E3A02">
        <w:t xml:space="preserve"> </w:t>
      </w:r>
      <w:r w:rsidR="005924A9">
        <w:t>practices,</w:t>
      </w:r>
      <w:r w:rsidR="005924A9" w:rsidRPr="001E3A02">
        <w:t xml:space="preserve"> </w:t>
      </w:r>
      <w:r w:rsidR="005924A9">
        <w:t>experience</w:t>
      </w:r>
      <w:r w:rsidR="005924A9" w:rsidRPr="001E3A02">
        <w:t xml:space="preserve"> </w:t>
      </w:r>
      <w:r w:rsidR="005924A9">
        <w:t>and</w:t>
      </w:r>
      <w:r w:rsidR="005924A9" w:rsidRPr="001E3A02">
        <w:t xml:space="preserve"> </w:t>
      </w:r>
      <w:r w:rsidR="005924A9">
        <w:t>lessons</w:t>
      </w:r>
      <w:r w:rsidR="005924A9" w:rsidRPr="001E3A02">
        <w:t xml:space="preserve"> </w:t>
      </w:r>
      <w:r w:rsidR="005924A9">
        <w:t>learned related</w:t>
      </w:r>
      <w:r w:rsidR="005924A9" w:rsidRPr="001E3A02">
        <w:t xml:space="preserve"> </w:t>
      </w:r>
      <w:r w:rsidR="005924A9">
        <w:t>to</w:t>
      </w:r>
      <w:r w:rsidR="005924A9" w:rsidRPr="001E3A02">
        <w:t xml:space="preserve"> </w:t>
      </w:r>
      <w:r w:rsidR="005924A9">
        <w:t>capacity-building</w:t>
      </w:r>
      <w:r w:rsidR="005924A9" w:rsidRPr="001E3A02">
        <w:t xml:space="preserve"> </w:t>
      </w:r>
      <w:r w:rsidR="005924A9">
        <w:t>among</w:t>
      </w:r>
      <w:r w:rsidR="005924A9" w:rsidRPr="001E3A02">
        <w:t xml:space="preserve"> </w:t>
      </w:r>
      <w:r w:rsidR="005924A9">
        <w:t>relevant</w:t>
      </w:r>
      <w:r w:rsidR="005924A9" w:rsidRPr="001E3A02">
        <w:t xml:space="preserve"> </w:t>
      </w:r>
      <w:r w:rsidR="005924A9">
        <w:t>bodies</w:t>
      </w:r>
      <w:r w:rsidR="005924A9" w:rsidRPr="001E3A02">
        <w:t xml:space="preserve"> </w:t>
      </w:r>
      <w:r w:rsidR="005924A9">
        <w:t>under</w:t>
      </w:r>
      <w:r w:rsidR="005924A9" w:rsidRPr="001E3A02">
        <w:t xml:space="preserve"> </w:t>
      </w:r>
      <w:r w:rsidR="005924A9">
        <w:t>and</w:t>
      </w:r>
      <w:r w:rsidR="005924A9" w:rsidRPr="001E3A02">
        <w:t xml:space="preserve"> </w:t>
      </w:r>
      <w:r w:rsidR="005924A9">
        <w:t>outside</w:t>
      </w:r>
      <w:r w:rsidR="005924A9" w:rsidRPr="001E3A02">
        <w:t xml:space="preserve"> </w:t>
      </w:r>
      <w:r w:rsidR="005924A9">
        <w:t>the</w:t>
      </w:r>
      <w:r w:rsidR="005924A9" w:rsidRPr="001E3A02">
        <w:t xml:space="preserve"> </w:t>
      </w:r>
      <w:r w:rsidR="005924A9">
        <w:t xml:space="preserve">Convention </w:t>
      </w:r>
      <w:r w:rsidR="005924A9">
        <w:lastRenderedPageBreak/>
        <w:t>and the Paris Agreement,</w:t>
      </w:r>
      <w:r w:rsidR="005924A9" w:rsidRPr="001E3A02">
        <w:t xml:space="preserve"> </w:t>
      </w:r>
      <w:r w:rsidR="005924A9">
        <w:t>as appropriate and in accordance with their respective mandates;</w:t>
      </w:r>
    </w:p>
    <w:p w14:paraId="67114878" w14:textId="5B4C9E4B" w:rsidR="005924A9" w:rsidRDefault="00804401" w:rsidP="00804401">
      <w:pPr>
        <w:pStyle w:val="RegSingleTxtG3"/>
        <w:numPr>
          <w:ilvl w:val="0"/>
          <w:numId w:val="0"/>
        </w:numPr>
        <w:ind w:left="1701"/>
      </w:pPr>
      <w:r>
        <w:t>(ii)</w:t>
      </w:r>
      <w:r>
        <w:tab/>
      </w:r>
      <w:r w:rsidR="005924A9">
        <w:t>Potential</w:t>
      </w:r>
      <w:r w:rsidR="005924A9" w:rsidRPr="001E3A02">
        <w:t xml:space="preserve"> </w:t>
      </w:r>
      <w:r w:rsidR="005924A9">
        <w:t>areas</w:t>
      </w:r>
      <w:r w:rsidR="005924A9" w:rsidRPr="001E3A02">
        <w:t xml:space="preserve"> </w:t>
      </w:r>
      <w:r w:rsidR="005924A9">
        <w:t>of</w:t>
      </w:r>
      <w:r w:rsidR="005924A9" w:rsidRPr="001E3A02">
        <w:t xml:space="preserve"> </w:t>
      </w:r>
      <w:r w:rsidR="005924A9">
        <w:t>collaborative</w:t>
      </w:r>
      <w:r w:rsidR="005924A9" w:rsidRPr="001E3A02">
        <w:t xml:space="preserve"> </w:t>
      </w:r>
      <w:r w:rsidR="005924A9">
        <w:t>work</w:t>
      </w:r>
      <w:r w:rsidR="005924A9" w:rsidRPr="001E3A02">
        <w:t xml:space="preserve"> </w:t>
      </w:r>
      <w:r w:rsidR="005924A9">
        <w:t>with</w:t>
      </w:r>
      <w:r w:rsidR="005924A9" w:rsidRPr="001E3A02">
        <w:t xml:space="preserve"> </w:t>
      </w:r>
      <w:r w:rsidR="005924A9">
        <w:t>those</w:t>
      </w:r>
      <w:r w:rsidR="005924A9" w:rsidRPr="001E3A02">
        <w:t xml:space="preserve"> </w:t>
      </w:r>
      <w:r w:rsidR="005924A9">
        <w:t>bodies</w:t>
      </w:r>
      <w:r w:rsidR="005924A9" w:rsidRPr="001E3A02">
        <w:t xml:space="preserve"> </w:t>
      </w:r>
      <w:r w:rsidR="005924A9">
        <w:t>whose</w:t>
      </w:r>
      <w:r w:rsidR="005924A9" w:rsidRPr="001E3A02">
        <w:t xml:space="preserve"> </w:t>
      </w:r>
      <w:r w:rsidR="005924A9">
        <w:t>work</w:t>
      </w:r>
      <w:r w:rsidR="005924A9" w:rsidRPr="001E3A02">
        <w:t xml:space="preserve"> </w:t>
      </w:r>
      <w:r w:rsidR="005924A9">
        <w:t>is</w:t>
      </w:r>
      <w:r w:rsidR="005924A9" w:rsidRPr="001E3A02">
        <w:t xml:space="preserve"> </w:t>
      </w:r>
      <w:r w:rsidR="005924A9">
        <w:t>relevant to</w:t>
      </w:r>
      <w:r w:rsidR="005924A9" w:rsidRPr="001E3A02">
        <w:t xml:space="preserve"> </w:t>
      </w:r>
      <w:r w:rsidR="005924A9">
        <w:t>the</w:t>
      </w:r>
      <w:r w:rsidR="005924A9" w:rsidRPr="001E3A02">
        <w:t xml:space="preserve"> </w:t>
      </w:r>
      <w:r w:rsidR="005924A9">
        <w:t>Paris</w:t>
      </w:r>
      <w:r w:rsidR="005924A9" w:rsidRPr="001E3A02">
        <w:t xml:space="preserve"> </w:t>
      </w:r>
      <w:r w:rsidR="005924A9">
        <w:t>Committee</w:t>
      </w:r>
      <w:r w:rsidR="005924A9" w:rsidRPr="001E3A02">
        <w:t xml:space="preserve"> </w:t>
      </w:r>
      <w:r w:rsidR="005924A9">
        <w:t>on</w:t>
      </w:r>
      <w:r w:rsidR="005924A9" w:rsidRPr="001E3A02">
        <w:t xml:space="preserve"> </w:t>
      </w:r>
      <w:r w:rsidR="005924A9">
        <w:t>Capacity-building</w:t>
      </w:r>
      <w:r w:rsidR="005924A9" w:rsidRPr="001E3A02">
        <w:t xml:space="preserve"> </w:t>
      </w:r>
      <w:r w:rsidR="005924A9">
        <w:t>and</w:t>
      </w:r>
      <w:r w:rsidR="005924A9" w:rsidRPr="001E3A02">
        <w:t xml:space="preserve"> </w:t>
      </w:r>
      <w:r w:rsidR="005924A9">
        <w:t>its</w:t>
      </w:r>
      <w:r w:rsidR="005924A9" w:rsidRPr="001E3A02">
        <w:t xml:space="preserve"> </w:t>
      </w:r>
      <w:r w:rsidR="005924A9">
        <w:t>workplan,</w:t>
      </w:r>
      <w:r w:rsidR="005924A9" w:rsidRPr="001E3A02">
        <w:t xml:space="preserve"> as appropriate and in accordance within their respective mandates;</w:t>
      </w:r>
    </w:p>
    <w:p w14:paraId="1D1613EA" w14:textId="68854247" w:rsidR="005924A9" w:rsidRDefault="00804401" w:rsidP="00804401">
      <w:pPr>
        <w:pStyle w:val="RegSingleTxtG3"/>
        <w:numPr>
          <w:ilvl w:val="0"/>
          <w:numId w:val="0"/>
        </w:numPr>
        <w:ind w:left="1701"/>
      </w:pPr>
      <w:r>
        <w:t>(iii)</w:t>
      </w:r>
      <w:r>
        <w:tab/>
      </w:r>
      <w:r w:rsidR="005924A9">
        <w:t>How</w:t>
      </w:r>
      <w:r w:rsidR="005924A9" w:rsidRPr="001E3A02">
        <w:t xml:space="preserve"> </w:t>
      </w:r>
      <w:r w:rsidR="005924A9">
        <w:t>information</w:t>
      </w:r>
      <w:r w:rsidR="005924A9" w:rsidRPr="001E3A02">
        <w:t xml:space="preserve"> </w:t>
      </w:r>
      <w:r w:rsidR="005924A9">
        <w:t>from</w:t>
      </w:r>
      <w:r w:rsidR="005924A9" w:rsidRPr="001E3A02">
        <w:t xml:space="preserve"> </w:t>
      </w:r>
      <w:r w:rsidR="005924A9">
        <w:t>the</w:t>
      </w:r>
      <w:r w:rsidR="005924A9" w:rsidRPr="001E3A02">
        <w:t xml:space="preserve"> </w:t>
      </w:r>
      <w:r w:rsidR="005924A9">
        <w:t>Durban Forum</w:t>
      </w:r>
      <w:r w:rsidR="005924A9" w:rsidRPr="001E3A02">
        <w:t xml:space="preserve"> </w:t>
      </w:r>
      <w:r w:rsidR="005924A9">
        <w:t>can</w:t>
      </w:r>
      <w:r w:rsidR="005924A9" w:rsidRPr="001E3A02">
        <w:t xml:space="preserve"> </w:t>
      </w:r>
      <w:r w:rsidR="005924A9">
        <w:t>be</w:t>
      </w:r>
      <w:r w:rsidR="005924A9" w:rsidRPr="001E3A02">
        <w:t xml:space="preserve"> </w:t>
      </w:r>
      <w:r w:rsidR="005924A9">
        <w:t>utilized</w:t>
      </w:r>
      <w:r w:rsidR="005924A9" w:rsidRPr="001E3A02">
        <w:t xml:space="preserve"> </w:t>
      </w:r>
      <w:r w:rsidR="005924A9">
        <w:t>by</w:t>
      </w:r>
      <w:r w:rsidR="005924A9" w:rsidRPr="001E3A02">
        <w:t xml:space="preserve"> </w:t>
      </w:r>
      <w:r w:rsidR="005924A9">
        <w:t>bodies</w:t>
      </w:r>
      <w:r w:rsidR="005924A9" w:rsidRPr="001E3A02">
        <w:t xml:space="preserve"> </w:t>
      </w:r>
      <w:r w:rsidR="005924A9">
        <w:t>under</w:t>
      </w:r>
      <w:r w:rsidR="005924A9" w:rsidRPr="001E3A02">
        <w:t xml:space="preserve"> </w:t>
      </w:r>
      <w:r w:rsidR="005924A9">
        <w:t>and outside the Convention and the Paris Agreement;</w:t>
      </w:r>
    </w:p>
    <w:p w14:paraId="32597705" w14:textId="0A39DAA2" w:rsidR="009D17B6" w:rsidRDefault="00804401" w:rsidP="00804401">
      <w:pPr>
        <w:pStyle w:val="RegSingleTxtG2"/>
        <w:numPr>
          <w:ilvl w:val="0"/>
          <w:numId w:val="0"/>
        </w:numPr>
        <w:ind w:left="1134" w:firstLine="567"/>
      </w:pPr>
      <w:r>
        <w:rPr>
          <w:szCs w:val="28"/>
        </w:rPr>
        <w:t>(c)</w:t>
      </w:r>
      <w:r>
        <w:rPr>
          <w:szCs w:val="28"/>
        </w:rPr>
        <w:tab/>
      </w:r>
      <w:r w:rsidR="005924A9">
        <w:t>Organizing</w:t>
      </w:r>
      <w:r w:rsidR="005924A9" w:rsidRPr="001E3A02">
        <w:t xml:space="preserve"> </w:t>
      </w:r>
      <w:r w:rsidR="005924A9">
        <w:t>the</w:t>
      </w:r>
      <w:r w:rsidR="005924A9" w:rsidRPr="001E3A02">
        <w:t xml:space="preserve"> </w:t>
      </w:r>
      <w:r w:rsidR="005924A9">
        <w:t>annual</w:t>
      </w:r>
      <w:r w:rsidR="005924A9" w:rsidRPr="001E3A02">
        <w:t xml:space="preserve"> </w:t>
      </w:r>
      <w:r w:rsidR="005924A9">
        <w:t>Capacity-building</w:t>
      </w:r>
      <w:r w:rsidR="005924A9" w:rsidRPr="001E3A02">
        <w:t xml:space="preserve"> </w:t>
      </w:r>
      <w:r w:rsidR="005924A9">
        <w:t>Hub</w:t>
      </w:r>
      <w:r w:rsidR="005924A9" w:rsidRPr="001E3A02">
        <w:t xml:space="preserve"> </w:t>
      </w:r>
      <w:r w:rsidR="00C760FA">
        <w:t xml:space="preserve">held </w:t>
      </w:r>
      <w:r w:rsidR="005924A9">
        <w:t>at</w:t>
      </w:r>
      <w:r w:rsidR="005924A9" w:rsidRPr="001E3A02">
        <w:t xml:space="preserve"> </w:t>
      </w:r>
      <w:r w:rsidR="005924A9">
        <w:t>the</w:t>
      </w:r>
      <w:r w:rsidR="005924A9" w:rsidRPr="001E3A02">
        <w:t xml:space="preserve"> </w:t>
      </w:r>
      <w:r w:rsidR="005924A9">
        <w:t>sessions</w:t>
      </w:r>
      <w:r w:rsidR="005924A9" w:rsidRPr="001E3A02">
        <w:t xml:space="preserve"> </w:t>
      </w:r>
      <w:r w:rsidR="005924A9">
        <w:t>of</w:t>
      </w:r>
      <w:r w:rsidR="005924A9" w:rsidRPr="001E3A02">
        <w:t xml:space="preserve"> </w:t>
      </w:r>
      <w:r w:rsidR="005924A9">
        <w:t>the</w:t>
      </w:r>
      <w:r w:rsidR="005924A9" w:rsidRPr="001E3A02">
        <w:t xml:space="preserve"> </w:t>
      </w:r>
      <w:r w:rsidR="005924A9">
        <w:t>Conference of the Parties and the Conference of the Parties serving as the meeting of the Parties to the Paris Agreement;</w:t>
      </w:r>
    </w:p>
    <w:p w14:paraId="33DC41A1" w14:textId="27267A98" w:rsidR="00D4370A" w:rsidRDefault="00804401" w:rsidP="00804401">
      <w:pPr>
        <w:pStyle w:val="RegSingleTxtG2"/>
        <w:numPr>
          <w:ilvl w:val="0"/>
          <w:numId w:val="0"/>
        </w:numPr>
        <w:ind w:left="1134" w:firstLine="567"/>
      </w:pPr>
      <w:r>
        <w:rPr>
          <w:szCs w:val="28"/>
        </w:rPr>
        <w:t>(d)</w:t>
      </w:r>
      <w:r>
        <w:rPr>
          <w:szCs w:val="28"/>
        </w:rPr>
        <w:tab/>
      </w:r>
      <w:r w:rsidR="005924A9">
        <w:t>Promoting strategic stakeholder engagement through, inter alia, targeted outreach activities as set out in the workplan to foster exchange on capacity-building at the national and regional level, including through regional climate weeks, as appropriate, and subject to the availability of resources.</w:t>
      </w:r>
    </w:p>
    <w:p w14:paraId="199AB2D0" w14:textId="32D737C2" w:rsidR="006562A0" w:rsidRPr="006562A0" w:rsidRDefault="0021751A" w:rsidP="006562A0">
      <w:pPr>
        <w:pStyle w:val="RegSingleTxtG2"/>
        <w:numPr>
          <w:ilvl w:val="0"/>
          <w:numId w:val="0"/>
        </w:numPr>
        <w:spacing w:after="0"/>
        <w:ind w:left="1701"/>
        <w:jc w:val="right"/>
        <w:rPr>
          <w:i/>
          <w:iCs/>
        </w:rPr>
      </w:pPr>
      <w:r>
        <w:rPr>
          <w:i/>
          <w:iCs/>
        </w:rPr>
        <w:t>5</w:t>
      </w:r>
      <w:r w:rsidRPr="0021751A">
        <w:rPr>
          <w:i/>
          <w:iCs/>
          <w:vertAlign w:val="superscript"/>
        </w:rPr>
        <w:t>th</w:t>
      </w:r>
      <w:r>
        <w:rPr>
          <w:i/>
          <w:iCs/>
        </w:rPr>
        <w:t xml:space="preserve"> </w:t>
      </w:r>
      <w:r w:rsidR="006562A0" w:rsidRPr="006562A0">
        <w:rPr>
          <w:i/>
          <w:iCs/>
        </w:rPr>
        <w:t>plenary meeting</w:t>
      </w:r>
    </w:p>
    <w:p w14:paraId="0AA74314" w14:textId="3E2EC42B" w:rsidR="006562A0" w:rsidRPr="006562A0" w:rsidRDefault="0021751A" w:rsidP="006562A0">
      <w:pPr>
        <w:pStyle w:val="RegSingleTxtG2"/>
        <w:numPr>
          <w:ilvl w:val="0"/>
          <w:numId w:val="0"/>
        </w:numPr>
        <w:spacing w:after="0"/>
        <w:ind w:left="1701"/>
        <w:jc w:val="right"/>
        <w:rPr>
          <w:i/>
          <w:iCs/>
        </w:rPr>
      </w:pPr>
      <w:r>
        <w:rPr>
          <w:i/>
          <w:iCs/>
        </w:rPr>
        <w:t>18</w:t>
      </w:r>
      <w:r w:rsidR="006562A0" w:rsidRPr="006562A0">
        <w:rPr>
          <w:i/>
          <w:iCs/>
        </w:rPr>
        <w:t xml:space="preserve"> November 2024</w:t>
      </w:r>
    </w:p>
    <w:p w14:paraId="31BA68FB" w14:textId="77777777" w:rsidR="006562A0" w:rsidRDefault="006562A0" w:rsidP="00804401">
      <w:pPr>
        <w:pStyle w:val="RegHChG"/>
        <w:numPr>
          <w:ilvl w:val="0"/>
          <w:numId w:val="0"/>
        </w:numPr>
        <w:ind w:left="1135" w:hanging="454"/>
      </w:pPr>
    </w:p>
    <w:p w14:paraId="575A2EB0" w14:textId="42613B23" w:rsidR="006562A0" w:rsidRDefault="00804401" w:rsidP="00804401">
      <w:pPr>
        <w:pStyle w:val="RegHChG"/>
        <w:numPr>
          <w:ilvl w:val="0"/>
          <w:numId w:val="0"/>
        </w:numPr>
        <w:tabs>
          <w:tab w:val="left" w:pos="1135"/>
        </w:tabs>
        <w:ind w:left="1135" w:hanging="454"/>
        <w:sectPr w:rsidR="006562A0" w:rsidSect="00E56563">
          <w:headerReference w:type="even" r:id="rId36"/>
          <w:headerReference w:type="default" r:id="rId37"/>
          <w:footerReference w:type="even" r:id="rId38"/>
          <w:footerReference w:type="default" r:id="rId39"/>
          <w:footnotePr>
            <w:numRestart w:val="eachSect"/>
          </w:footnotePr>
          <w:pgSz w:w="11906" w:h="16838" w:code="9"/>
          <w:pgMar w:top="1417" w:right="1134" w:bottom="1134" w:left="1134" w:header="850" w:footer="567" w:gutter="0"/>
          <w:cols w:space="708"/>
          <w:docGrid w:linePitch="360"/>
        </w:sectPr>
      </w:pPr>
      <w:r>
        <w:t>I.</w:t>
      </w:r>
      <w:r>
        <w:tab/>
      </w:r>
    </w:p>
    <w:p w14:paraId="2338B744" w14:textId="3CC4F926" w:rsidR="006562A0" w:rsidRDefault="006562A0" w:rsidP="00804401">
      <w:pPr>
        <w:pStyle w:val="RegHChG"/>
        <w:numPr>
          <w:ilvl w:val="0"/>
          <w:numId w:val="0"/>
        </w:numPr>
        <w:ind w:left="1135" w:hanging="454"/>
      </w:pPr>
      <w:bookmarkStart w:id="9" w:name="CP13"/>
      <w:r>
        <w:lastRenderedPageBreak/>
        <w:t>Decision 13/CP.29</w:t>
      </w:r>
    </w:p>
    <w:bookmarkEnd w:id="9"/>
    <w:p w14:paraId="3D2632D0" w14:textId="77777777" w:rsidR="00C3172F" w:rsidRPr="00E43E5D" w:rsidRDefault="00C3172F" w:rsidP="00804401">
      <w:pPr>
        <w:pStyle w:val="RegHChG"/>
        <w:numPr>
          <w:ilvl w:val="0"/>
          <w:numId w:val="0"/>
        </w:numPr>
        <w:ind w:left="1135" w:hanging="454"/>
      </w:pPr>
      <w:r>
        <w:t>Annual technical progress report of</w:t>
      </w:r>
      <w:r w:rsidRPr="00E43E5D">
        <w:t xml:space="preserve"> </w:t>
      </w:r>
      <w:r>
        <w:t>the</w:t>
      </w:r>
      <w:r w:rsidRPr="00E43E5D">
        <w:t xml:space="preserve"> </w:t>
      </w:r>
      <w:r>
        <w:t>Paris</w:t>
      </w:r>
      <w:r w:rsidRPr="00E43E5D">
        <w:t xml:space="preserve"> </w:t>
      </w:r>
      <w:r>
        <w:t>Committee</w:t>
      </w:r>
      <w:r w:rsidRPr="00E43E5D">
        <w:t xml:space="preserve"> </w:t>
      </w:r>
      <w:r>
        <w:t>on</w:t>
      </w:r>
      <w:r w:rsidRPr="00E43E5D">
        <w:t xml:space="preserve"> </w:t>
      </w:r>
      <w:r>
        <w:t>Capacity-</w:t>
      </w:r>
      <w:r w:rsidRPr="00E43E5D">
        <w:t>building for 2024</w:t>
      </w:r>
    </w:p>
    <w:p w14:paraId="7D7833BE" w14:textId="77777777" w:rsidR="00C3172F" w:rsidRDefault="00C3172F" w:rsidP="00C3172F">
      <w:pPr>
        <w:pStyle w:val="RegSingleTxtG"/>
        <w:numPr>
          <w:ilvl w:val="0"/>
          <w:numId w:val="0"/>
        </w:numPr>
        <w:ind w:left="1134"/>
        <w:rPr>
          <w:i/>
          <w:iCs/>
        </w:rPr>
      </w:pPr>
      <w:r>
        <w:rPr>
          <w:i/>
          <w:iCs/>
        </w:rPr>
        <w:tab/>
      </w:r>
      <w:r w:rsidRPr="006519D3">
        <w:rPr>
          <w:i/>
          <w:iCs/>
        </w:rPr>
        <w:t xml:space="preserve">The </w:t>
      </w:r>
      <w:r>
        <w:rPr>
          <w:i/>
          <w:iCs/>
        </w:rPr>
        <w:t>C</w:t>
      </w:r>
      <w:r w:rsidRPr="006519D3">
        <w:rPr>
          <w:i/>
          <w:iCs/>
        </w:rPr>
        <w:t>onference of the Parties</w:t>
      </w:r>
      <w:r w:rsidRPr="003D5335">
        <w:t>,</w:t>
      </w:r>
      <w:r w:rsidRPr="006519D3">
        <w:rPr>
          <w:i/>
          <w:iCs/>
        </w:rPr>
        <w:t xml:space="preserve"> </w:t>
      </w:r>
    </w:p>
    <w:p w14:paraId="07660C98" w14:textId="306DCF9F" w:rsidR="00C3172F" w:rsidRDefault="00C3172F" w:rsidP="00C3172F">
      <w:pPr>
        <w:pStyle w:val="RegSingleTxtG"/>
        <w:numPr>
          <w:ilvl w:val="0"/>
          <w:numId w:val="0"/>
        </w:numPr>
        <w:ind w:left="1134"/>
      </w:pPr>
      <w:r>
        <w:rPr>
          <w:i/>
          <w:iCs/>
        </w:rPr>
        <w:tab/>
      </w:r>
      <w:r w:rsidRPr="003D5335">
        <w:rPr>
          <w:i/>
          <w:iCs/>
        </w:rPr>
        <w:t>Recalling</w:t>
      </w:r>
      <w:r>
        <w:t xml:space="preserve"> decisions </w:t>
      </w:r>
      <w:hyperlink r:id="rId40" w:history="1">
        <w:r w:rsidRPr="00303C6A">
          <w:rPr>
            <w:rStyle w:val="Hyperlink"/>
          </w:rPr>
          <w:t>2/CP.17</w:t>
        </w:r>
      </w:hyperlink>
      <w:r>
        <w:t xml:space="preserve">, </w:t>
      </w:r>
      <w:hyperlink r:id="rId41" w:history="1">
        <w:r w:rsidRPr="00303C6A">
          <w:rPr>
            <w:rStyle w:val="Hyperlink"/>
          </w:rPr>
          <w:t>1/CP.21</w:t>
        </w:r>
      </w:hyperlink>
      <w:r>
        <w:t xml:space="preserve">, </w:t>
      </w:r>
      <w:hyperlink r:id="rId42" w:history="1">
        <w:r w:rsidRPr="00303C6A">
          <w:rPr>
            <w:rStyle w:val="Hyperlink"/>
          </w:rPr>
          <w:t>2/CP.22</w:t>
        </w:r>
      </w:hyperlink>
      <w:r>
        <w:t xml:space="preserve">, </w:t>
      </w:r>
      <w:hyperlink r:id="rId43" w:history="1">
        <w:r w:rsidRPr="00303C6A">
          <w:rPr>
            <w:rStyle w:val="Hyperlink"/>
          </w:rPr>
          <w:t>16/CP.22</w:t>
        </w:r>
      </w:hyperlink>
      <w:r>
        <w:t xml:space="preserve">, </w:t>
      </w:r>
      <w:hyperlink r:id="rId44" w:history="1">
        <w:r w:rsidRPr="00303C6A">
          <w:rPr>
            <w:rStyle w:val="Hyperlink"/>
          </w:rPr>
          <w:t>16/CP.23</w:t>
        </w:r>
      </w:hyperlink>
      <w:r>
        <w:t xml:space="preserve">, </w:t>
      </w:r>
      <w:hyperlink r:id="rId45" w:history="1">
        <w:r w:rsidRPr="00303C6A">
          <w:rPr>
            <w:rStyle w:val="Hyperlink"/>
          </w:rPr>
          <w:t>15/CP.24</w:t>
        </w:r>
      </w:hyperlink>
      <w:r>
        <w:t xml:space="preserve">, </w:t>
      </w:r>
      <w:hyperlink r:id="rId46" w:history="1">
        <w:r w:rsidRPr="00303C6A">
          <w:rPr>
            <w:rStyle w:val="Hyperlink"/>
          </w:rPr>
          <w:t>8/CP.25</w:t>
        </w:r>
      </w:hyperlink>
      <w:r>
        <w:t xml:space="preserve">, </w:t>
      </w:r>
      <w:hyperlink r:id="rId47" w:history="1">
        <w:r w:rsidRPr="00303C6A">
          <w:rPr>
            <w:rStyle w:val="Hyperlink"/>
          </w:rPr>
          <w:t>12/CP.26</w:t>
        </w:r>
      </w:hyperlink>
      <w:r>
        <w:t xml:space="preserve">, </w:t>
      </w:r>
      <w:hyperlink r:id="rId48" w:history="1">
        <w:r w:rsidRPr="00303C6A">
          <w:rPr>
            <w:rStyle w:val="Hyperlink"/>
          </w:rPr>
          <w:t>19/CP.27</w:t>
        </w:r>
      </w:hyperlink>
      <w:r>
        <w:t xml:space="preserve"> and </w:t>
      </w:r>
      <w:hyperlink r:id="rId49" w:history="1">
        <w:r w:rsidRPr="00303C6A">
          <w:rPr>
            <w:rStyle w:val="Hyperlink"/>
          </w:rPr>
          <w:t>11/CP.28</w:t>
        </w:r>
      </w:hyperlink>
      <w:r>
        <w:t>,</w:t>
      </w:r>
    </w:p>
    <w:p w14:paraId="70FDCD67" w14:textId="590F7DFD" w:rsidR="00C3172F" w:rsidRPr="00764CD1" w:rsidRDefault="00804401" w:rsidP="00804401">
      <w:pPr>
        <w:pStyle w:val="RegSingleTxtG"/>
        <w:numPr>
          <w:ilvl w:val="0"/>
          <w:numId w:val="0"/>
        </w:numPr>
        <w:ind w:left="1134"/>
      </w:pPr>
      <w:bookmarkStart w:id="10" w:name="_Hlk175047401"/>
      <w:bookmarkStart w:id="11" w:name="_Hlk175047381"/>
      <w:r w:rsidRPr="00764CD1">
        <w:rPr>
          <w:bCs/>
        </w:rPr>
        <w:t>1.</w:t>
      </w:r>
      <w:r w:rsidRPr="00764CD1">
        <w:rPr>
          <w:bCs/>
        </w:rPr>
        <w:tab/>
      </w:r>
      <w:r w:rsidR="00C3172F" w:rsidRPr="000155A9">
        <w:rPr>
          <w:i/>
          <w:iCs/>
        </w:rPr>
        <w:t>Takes note</w:t>
      </w:r>
      <w:r w:rsidR="00C3172F">
        <w:t xml:space="preserve"> of decision </w:t>
      </w:r>
      <w:hyperlink r:id="rId50" w:history="1">
        <w:r w:rsidR="00D02EFE" w:rsidRPr="0072440B">
          <w:rPr>
            <w:rStyle w:val="Hyperlink"/>
          </w:rPr>
          <w:t>12</w:t>
        </w:r>
        <w:r w:rsidR="00C3172F" w:rsidRPr="0072440B">
          <w:rPr>
            <w:rStyle w:val="Hyperlink"/>
          </w:rPr>
          <w:t>/CP.29</w:t>
        </w:r>
      </w:hyperlink>
      <w:r w:rsidR="00C3172F">
        <w:t>;</w:t>
      </w:r>
    </w:p>
    <w:p w14:paraId="53BDCC5F" w14:textId="6CC83E6B" w:rsidR="00C3172F" w:rsidRDefault="00804401" w:rsidP="00804401">
      <w:pPr>
        <w:pStyle w:val="RegSingleTxtG"/>
        <w:numPr>
          <w:ilvl w:val="0"/>
          <w:numId w:val="0"/>
        </w:numPr>
        <w:ind w:left="1134"/>
      </w:pPr>
      <w:r>
        <w:rPr>
          <w:bCs/>
        </w:rPr>
        <w:t>2.</w:t>
      </w:r>
      <w:r>
        <w:rPr>
          <w:bCs/>
        </w:rPr>
        <w:tab/>
      </w:r>
      <w:r w:rsidR="00C3172F" w:rsidRPr="00404843">
        <w:rPr>
          <w:i/>
          <w:iCs/>
        </w:rPr>
        <w:t>Welcomes</w:t>
      </w:r>
      <w:r w:rsidR="00C3172F" w:rsidRPr="00B00269">
        <w:t xml:space="preserve"> the annual technical progress report of the Paris Committee on Capacity</w:t>
      </w:r>
      <w:r w:rsidR="00C3172F">
        <w:noBreakHyphen/>
      </w:r>
      <w:r w:rsidR="00C3172F" w:rsidRPr="00B00269">
        <w:t xml:space="preserve">building for </w:t>
      </w:r>
      <w:r w:rsidR="00C3172F">
        <w:t>2024</w:t>
      </w:r>
      <w:r w:rsidR="00C3172F">
        <w:rPr>
          <w:rStyle w:val="FootnoteReference"/>
        </w:rPr>
        <w:footnoteReference w:id="13"/>
      </w:r>
      <w:r w:rsidR="00C3172F">
        <w:t xml:space="preserve"> </w:t>
      </w:r>
      <w:r w:rsidR="00C3172F" w:rsidRPr="00B00269">
        <w:t xml:space="preserve">and </w:t>
      </w:r>
      <w:r w:rsidR="00C3172F" w:rsidRPr="003D5335">
        <w:rPr>
          <w:i/>
          <w:iCs/>
        </w:rPr>
        <w:t>takes note</w:t>
      </w:r>
      <w:r w:rsidR="00C3172F" w:rsidRPr="00B00269">
        <w:t xml:space="preserve"> of the recommendations therein;</w:t>
      </w:r>
    </w:p>
    <w:p w14:paraId="33563E57" w14:textId="5BA1E482" w:rsidR="00C3172F" w:rsidRDefault="00804401" w:rsidP="00804401">
      <w:pPr>
        <w:pStyle w:val="RegSingleTxtG"/>
        <w:numPr>
          <w:ilvl w:val="0"/>
          <w:numId w:val="0"/>
        </w:numPr>
        <w:ind w:left="1134"/>
        <w:rPr>
          <w:lang w:val="en-US"/>
        </w:rPr>
      </w:pPr>
      <w:bookmarkStart w:id="12" w:name="_Hlk175047420"/>
      <w:bookmarkEnd w:id="10"/>
      <w:r>
        <w:rPr>
          <w:bCs/>
          <w:lang w:val="en-US"/>
        </w:rPr>
        <w:t>3.</w:t>
      </w:r>
      <w:r>
        <w:rPr>
          <w:bCs/>
          <w:lang w:val="en-US"/>
        </w:rPr>
        <w:tab/>
      </w:r>
      <w:r w:rsidR="00C3172F" w:rsidRPr="00057BEF">
        <w:rPr>
          <w:i/>
          <w:iCs/>
          <w:lang w:val="en-US"/>
        </w:rPr>
        <w:t xml:space="preserve">Invites </w:t>
      </w:r>
      <w:r w:rsidR="00C3172F" w:rsidRPr="00057BEF">
        <w:rPr>
          <w:lang w:val="en-US"/>
        </w:rPr>
        <w:t>Parties, as appropriate, the ope</w:t>
      </w:r>
      <w:r w:rsidR="00C3172F">
        <w:rPr>
          <w:lang w:val="en-US"/>
        </w:rPr>
        <w:t>rating entities of the Financial Mechanism, the constituted bodies under the Convention, United Nations organizations, observers and other stakeholders to consider the recommendations referred to in paragraph 1 above and to take any necessary action, as appropriate and in accordance with their mandates;</w:t>
      </w:r>
    </w:p>
    <w:bookmarkEnd w:id="12"/>
    <w:p w14:paraId="0EA263AE" w14:textId="68B0A474" w:rsidR="00C3172F" w:rsidRPr="00522928" w:rsidRDefault="00804401" w:rsidP="00804401">
      <w:pPr>
        <w:pStyle w:val="RegSingleTxtG"/>
        <w:numPr>
          <w:ilvl w:val="0"/>
          <w:numId w:val="0"/>
        </w:numPr>
        <w:ind w:left="1134"/>
        <w:rPr>
          <w:i/>
          <w:iCs/>
          <w:lang w:val="en-US"/>
        </w:rPr>
      </w:pPr>
      <w:r w:rsidRPr="00522928">
        <w:rPr>
          <w:bCs/>
          <w:lang w:val="en-US"/>
        </w:rPr>
        <w:t>4.</w:t>
      </w:r>
      <w:r w:rsidRPr="00522928">
        <w:rPr>
          <w:bCs/>
          <w:lang w:val="en-US"/>
        </w:rPr>
        <w:tab/>
      </w:r>
      <w:r w:rsidR="00C3172F" w:rsidRPr="00522928">
        <w:rPr>
          <w:i/>
          <w:iCs/>
          <w:lang w:val="en-US"/>
        </w:rPr>
        <w:t xml:space="preserve">Acknowledges </w:t>
      </w:r>
      <w:r w:rsidR="00C3172F" w:rsidRPr="00522928">
        <w:rPr>
          <w:lang w:val="en-US"/>
        </w:rPr>
        <w:t xml:space="preserve">the progress of the Paris Committee on Capacity-building in </w:t>
      </w:r>
      <w:r w:rsidR="00C3172F">
        <w:rPr>
          <w:lang w:val="en-US"/>
        </w:rPr>
        <w:t>delivering on its mandate to address gaps and needs, both current and emerging, in implementing capacity-building in developing country Parties and further enhancing capacity-building efforts;</w:t>
      </w:r>
    </w:p>
    <w:p w14:paraId="06D6B60C" w14:textId="4A66E6CA" w:rsidR="00C3172F" w:rsidRPr="006A1C4D" w:rsidRDefault="00804401" w:rsidP="00804401">
      <w:pPr>
        <w:pStyle w:val="RegSingleTxtG"/>
        <w:numPr>
          <w:ilvl w:val="0"/>
          <w:numId w:val="0"/>
        </w:numPr>
        <w:ind w:left="1134"/>
        <w:rPr>
          <w:i/>
          <w:iCs/>
          <w:lang w:val="en-US"/>
        </w:rPr>
      </w:pPr>
      <w:r w:rsidRPr="006A1C4D">
        <w:rPr>
          <w:bCs/>
          <w:lang w:val="en-US"/>
        </w:rPr>
        <w:t>5.</w:t>
      </w:r>
      <w:r w:rsidRPr="006A1C4D">
        <w:rPr>
          <w:bCs/>
          <w:lang w:val="en-US"/>
        </w:rPr>
        <w:tab/>
      </w:r>
      <w:r w:rsidR="00C3172F">
        <w:rPr>
          <w:i/>
          <w:iCs/>
          <w:lang w:val="en-US"/>
        </w:rPr>
        <w:t xml:space="preserve">Also </w:t>
      </w:r>
      <w:r w:rsidR="00C3172F" w:rsidRPr="7F1B292C">
        <w:rPr>
          <w:i/>
          <w:iCs/>
          <w:lang w:val="en-US"/>
        </w:rPr>
        <w:t>acknowledges</w:t>
      </w:r>
      <w:r w:rsidR="00C3172F">
        <w:rPr>
          <w:i/>
          <w:iCs/>
          <w:lang w:val="en-US"/>
        </w:rPr>
        <w:t xml:space="preserve"> </w:t>
      </w:r>
      <w:r w:rsidR="00C3172F">
        <w:rPr>
          <w:lang w:val="en-US"/>
        </w:rPr>
        <w:t>the work of the Paris Committee on Capacity-building in relation to enhancing coherence and coordination of capacity-building activities under the Convention, including its collaboration with other constituted bodies and stakeholders in this regard;</w:t>
      </w:r>
      <w:r w:rsidR="00C3172F">
        <w:rPr>
          <w:rStyle w:val="FootnoteReference"/>
          <w:lang w:val="en-US"/>
        </w:rPr>
        <w:footnoteReference w:id="14"/>
      </w:r>
    </w:p>
    <w:p w14:paraId="7612A7CC" w14:textId="1F9FA418" w:rsidR="00C3172F" w:rsidRPr="001B54C7" w:rsidRDefault="00804401" w:rsidP="00804401">
      <w:pPr>
        <w:pStyle w:val="RegSingleTxtG"/>
        <w:numPr>
          <w:ilvl w:val="0"/>
          <w:numId w:val="0"/>
        </w:numPr>
        <w:ind w:left="1134"/>
        <w:rPr>
          <w:i/>
          <w:iCs/>
          <w:lang w:val="en-US"/>
        </w:rPr>
      </w:pPr>
      <w:r w:rsidRPr="001B54C7">
        <w:rPr>
          <w:bCs/>
          <w:lang w:val="en-US"/>
        </w:rPr>
        <w:t>6.</w:t>
      </w:r>
      <w:r w:rsidRPr="001B54C7">
        <w:rPr>
          <w:bCs/>
          <w:lang w:val="en-US"/>
        </w:rPr>
        <w:tab/>
      </w:r>
      <w:r w:rsidR="00C3172F" w:rsidRPr="0033597C">
        <w:rPr>
          <w:i/>
          <w:iCs/>
          <w:lang w:val="en-US"/>
        </w:rPr>
        <w:t>Welcomes</w:t>
      </w:r>
      <w:r w:rsidR="00C3172F" w:rsidRPr="0033597C">
        <w:rPr>
          <w:lang w:val="en-US"/>
        </w:rPr>
        <w:t xml:space="preserve"> the </w:t>
      </w:r>
      <w:r w:rsidR="00C3172F">
        <w:t>completion of the activities under</w:t>
      </w:r>
      <w:r w:rsidR="00C3172F" w:rsidRPr="0033597C">
        <w:rPr>
          <w:lang w:val="en-US"/>
        </w:rPr>
        <w:t xml:space="preserve"> the workplan of the Paris Committee on Capacity-building for 2021–2024</w:t>
      </w:r>
      <w:r w:rsidR="00C3172F">
        <w:rPr>
          <w:lang w:val="en-US"/>
        </w:rPr>
        <w:t>,</w:t>
      </w:r>
      <w:r w:rsidR="00C3172F">
        <w:rPr>
          <w:rStyle w:val="FootnoteReference"/>
          <w:lang w:val="en-US"/>
        </w:rPr>
        <w:footnoteReference w:id="15"/>
      </w:r>
      <w:r w:rsidR="00C3172F" w:rsidRPr="0033597C">
        <w:rPr>
          <w:lang w:val="en-US"/>
        </w:rPr>
        <w:t xml:space="preserve"> which is based on the priority areas and activities </w:t>
      </w:r>
      <w:r w:rsidR="00C3172F">
        <w:rPr>
          <w:lang w:val="en-US"/>
        </w:rPr>
        <w:t>set out</w:t>
      </w:r>
      <w:r w:rsidR="00C3172F" w:rsidRPr="0033597C">
        <w:rPr>
          <w:lang w:val="en-US"/>
        </w:rPr>
        <w:t xml:space="preserve"> in the annex to decision </w:t>
      </w:r>
      <w:hyperlink r:id="rId51" w:history="1">
        <w:r w:rsidR="00C3172F" w:rsidRPr="00303C6A">
          <w:rPr>
            <w:rStyle w:val="Hyperlink"/>
            <w:lang w:val="en-US"/>
          </w:rPr>
          <w:t>9/CP.25</w:t>
        </w:r>
      </w:hyperlink>
      <w:r w:rsidR="00C3172F">
        <w:rPr>
          <w:lang w:val="en-US"/>
        </w:rPr>
        <w:t>;</w:t>
      </w:r>
    </w:p>
    <w:p w14:paraId="44BC3B37" w14:textId="2A9B3727" w:rsidR="00C3172F" w:rsidRDefault="00804401" w:rsidP="00804401">
      <w:pPr>
        <w:pStyle w:val="RegSingleTxtG"/>
        <w:numPr>
          <w:ilvl w:val="0"/>
          <w:numId w:val="0"/>
        </w:numPr>
        <w:ind w:left="1134"/>
        <w:rPr>
          <w:lang w:val="en-US"/>
        </w:rPr>
      </w:pPr>
      <w:r>
        <w:rPr>
          <w:bCs/>
          <w:lang w:val="en-US"/>
        </w:rPr>
        <w:t>7.</w:t>
      </w:r>
      <w:r>
        <w:rPr>
          <w:bCs/>
          <w:lang w:val="en-US"/>
        </w:rPr>
        <w:tab/>
      </w:r>
      <w:r w:rsidR="00C3172F">
        <w:rPr>
          <w:i/>
          <w:iCs/>
          <w:lang w:val="en-US"/>
        </w:rPr>
        <w:t>Also welcomes</w:t>
      </w:r>
      <w:r w:rsidR="00C3172F">
        <w:rPr>
          <w:lang w:val="en-US"/>
        </w:rPr>
        <w:t xml:space="preserve"> the continued collaboration of the Paris Committee on Capacity building with Parties and non-Party stakeholders on capacity-building for climate action, as well as on addressing cross-cutting matters, including </w:t>
      </w:r>
      <w:r w:rsidR="00C3172F" w:rsidRPr="1EDECE6B">
        <w:rPr>
          <w:lang w:val="en-US"/>
        </w:rPr>
        <w:t xml:space="preserve">those related to </w:t>
      </w:r>
      <w:r w:rsidR="00C3172F">
        <w:rPr>
          <w:lang w:val="en-US"/>
        </w:rPr>
        <w:t>human rights, gender-responsiveness, youth, Action for Climate Empowerment, Indigenous Peoples’ knowledge and local communities, such as through the PCCB Network, the informal coordination group for capacity-building under the Convention and the Paris Agreement, the Durban Forum on capacity-building, the Capacity-building Hub and social media outreach;</w:t>
      </w:r>
    </w:p>
    <w:p w14:paraId="04387B6F" w14:textId="5D79F43A" w:rsidR="00C3172F" w:rsidRDefault="00804401" w:rsidP="00804401">
      <w:pPr>
        <w:pStyle w:val="RegSingleTxtG"/>
        <w:numPr>
          <w:ilvl w:val="0"/>
          <w:numId w:val="0"/>
        </w:numPr>
        <w:ind w:left="1134"/>
        <w:rPr>
          <w:lang w:val="en-US"/>
        </w:rPr>
      </w:pPr>
      <w:r>
        <w:rPr>
          <w:bCs/>
          <w:lang w:val="en-US"/>
        </w:rPr>
        <w:t>8.</w:t>
      </w:r>
      <w:r>
        <w:rPr>
          <w:bCs/>
          <w:lang w:val="en-US"/>
        </w:rPr>
        <w:tab/>
      </w:r>
      <w:r w:rsidR="00C3172F" w:rsidRPr="003D0697">
        <w:rPr>
          <w:i/>
          <w:iCs/>
          <w:lang w:val="en-US"/>
        </w:rPr>
        <w:t>Acknowledges</w:t>
      </w:r>
      <w:r w:rsidR="00C3172F" w:rsidRPr="003D0697">
        <w:rPr>
          <w:lang w:val="en-US"/>
        </w:rPr>
        <w:t xml:space="preserve"> the contribution of the Paris Committee on Capacity-building </w:t>
      </w:r>
      <w:r w:rsidR="00C3172F" w:rsidRPr="363B0D34">
        <w:rPr>
          <w:lang w:val="en-US"/>
        </w:rPr>
        <w:t>to</w:t>
      </w:r>
      <w:r w:rsidR="00C3172F" w:rsidRPr="003D0697">
        <w:rPr>
          <w:lang w:val="en-US"/>
        </w:rPr>
        <w:t xml:space="preserve"> the organization of the </w:t>
      </w:r>
      <w:r w:rsidR="00C3172F" w:rsidRPr="48EB6AC9">
        <w:rPr>
          <w:lang w:val="en-US"/>
        </w:rPr>
        <w:t>6</w:t>
      </w:r>
      <w:r w:rsidR="00C3172F" w:rsidRPr="48EB6AC9">
        <w:rPr>
          <w:vertAlign w:val="superscript"/>
          <w:lang w:val="en-US"/>
        </w:rPr>
        <w:t>th</w:t>
      </w:r>
      <w:r w:rsidR="00C3172F" w:rsidRPr="003D0697">
        <w:rPr>
          <w:lang w:val="en-US"/>
        </w:rPr>
        <w:t xml:space="preserve"> Capacity-building Hub, </w:t>
      </w:r>
      <w:r w:rsidR="00C3172F" w:rsidRPr="363B0D34">
        <w:rPr>
          <w:lang w:val="en-US"/>
        </w:rPr>
        <w:t>which took place in conjunction with this</w:t>
      </w:r>
      <w:r w:rsidR="00C3172F" w:rsidRPr="003D0697">
        <w:rPr>
          <w:lang w:val="en-US"/>
        </w:rPr>
        <w:t xml:space="preserve"> session as </w:t>
      </w:r>
      <w:r w:rsidR="00C3172F">
        <w:rPr>
          <w:lang w:val="en-US"/>
        </w:rPr>
        <w:t xml:space="preserve">a </w:t>
      </w:r>
      <w:r w:rsidR="00C3172F" w:rsidRPr="003D0697">
        <w:rPr>
          <w:lang w:val="en-US"/>
        </w:rPr>
        <w:t xml:space="preserve">crucial platform for enabling effective climate action, </w:t>
      </w:r>
      <w:r w:rsidR="00C3172F" w:rsidRPr="363B0D34">
        <w:rPr>
          <w:lang w:val="en-US"/>
        </w:rPr>
        <w:t>bringing together</w:t>
      </w:r>
      <w:r w:rsidR="00C3172F" w:rsidRPr="003D0697">
        <w:rPr>
          <w:lang w:val="en-US"/>
        </w:rPr>
        <w:t xml:space="preserve"> stakeholders and facilitating collaboration, knowledge exchange and peer-to-peer learning</w:t>
      </w:r>
      <w:r w:rsidR="00C3172F" w:rsidRPr="363B0D34">
        <w:rPr>
          <w:lang w:val="en-US"/>
        </w:rPr>
        <w:t xml:space="preserve"> with a view to addressing</w:t>
      </w:r>
      <w:r w:rsidR="00C3172F" w:rsidRPr="003D0697">
        <w:rPr>
          <w:lang w:val="en-US"/>
        </w:rPr>
        <w:t xml:space="preserve"> developing country capacity gaps and needs, and </w:t>
      </w:r>
      <w:r w:rsidR="00C3172F" w:rsidRPr="003D0697">
        <w:rPr>
          <w:i/>
          <w:iCs/>
          <w:lang w:val="en-US"/>
        </w:rPr>
        <w:t>requests</w:t>
      </w:r>
      <w:r w:rsidR="00C3172F" w:rsidRPr="7A00129A">
        <w:rPr>
          <w:i/>
          <w:iCs/>
          <w:lang w:val="en-US"/>
        </w:rPr>
        <w:t xml:space="preserve"> </w:t>
      </w:r>
      <w:r w:rsidR="00C3172F" w:rsidRPr="003D0697">
        <w:rPr>
          <w:lang w:val="en-US"/>
        </w:rPr>
        <w:t xml:space="preserve">the secretariat, under the guidance of the Committee, to organize </w:t>
      </w:r>
      <w:r w:rsidR="00C3172F">
        <w:rPr>
          <w:lang w:val="en-US"/>
        </w:rPr>
        <w:t>the 7</w:t>
      </w:r>
      <w:r w:rsidR="00C3172F" w:rsidRPr="00575EA2">
        <w:rPr>
          <w:vertAlign w:val="superscript"/>
          <w:lang w:val="en-US"/>
        </w:rPr>
        <w:t>th</w:t>
      </w:r>
      <w:r w:rsidR="00C3172F">
        <w:rPr>
          <w:lang w:val="en-US"/>
        </w:rPr>
        <w:t xml:space="preserve"> </w:t>
      </w:r>
      <w:r w:rsidR="00C3172F" w:rsidRPr="003D0697">
        <w:rPr>
          <w:lang w:val="en-US"/>
        </w:rPr>
        <w:t xml:space="preserve">Capacity-building Hub, </w:t>
      </w:r>
      <w:r w:rsidR="00C3172F" w:rsidRPr="363B0D34">
        <w:rPr>
          <w:lang w:val="en-US"/>
        </w:rPr>
        <w:t xml:space="preserve">to be held </w:t>
      </w:r>
      <w:r w:rsidR="00C3172F">
        <w:rPr>
          <w:lang w:val="en-US"/>
        </w:rPr>
        <w:t>at</w:t>
      </w:r>
      <w:r w:rsidR="00C3172F" w:rsidRPr="003D0697">
        <w:rPr>
          <w:lang w:val="en-US"/>
        </w:rPr>
        <w:t xml:space="preserve"> the</w:t>
      </w:r>
      <w:r w:rsidR="00C3172F">
        <w:rPr>
          <w:lang w:val="en-US"/>
        </w:rPr>
        <w:t xml:space="preserve"> United Nations Climate Change</w:t>
      </w:r>
      <w:r w:rsidR="00C3172F" w:rsidRPr="003D0697">
        <w:rPr>
          <w:lang w:val="en-US"/>
        </w:rPr>
        <w:t xml:space="preserve"> Conference </w:t>
      </w:r>
      <w:r w:rsidR="00C3172F">
        <w:rPr>
          <w:lang w:val="en-US"/>
        </w:rPr>
        <w:t xml:space="preserve">in </w:t>
      </w:r>
      <w:r w:rsidR="00C3172F" w:rsidRPr="363B0D34">
        <w:rPr>
          <w:lang w:val="en-US"/>
        </w:rPr>
        <w:t>November 2025;</w:t>
      </w:r>
    </w:p>
    <w:p w14:paraId="05E40B9F" w14:textId="2115D430" w:rsidR="00C3172F" w:rsidRPr="00A13404" w:rsidRDefault="00804401" w:rsidP="00804401">
      <w:pPr>
        <w:pStyle w:val="RegSingleTxtG"/>
        <w:numPr>
          <w:ilvl w:val="0"/>
          <w:numId w:val="0"/>
        </w:numPr>
        <w:ind w:left="1134"/>
        <w:rPr>
          <w:rStyle w:val="ui-provider"/>
          <w:lang w:val="en-US"/>
        </w:rPr>
      </w:pPr>
      <w:r w:rsidRPr="00A13404">
        <w:rPr>
          <w:rStyle w:val="ui-provider"/>
          <w:bCs/>
          <w:lang w:val="en-US"/>
        </w:rPr>
        <w:t>9.</w:t>
      </w:r>
      <w:r w:rsidRPr="00A13404">
        <w:rPr>
          <w:rStyle w:val="ui-provider"/>
          <w:bCs/>
          <w:lang w:val="en-US"/>
        </w:rPr>
        <w:tab/>
      </w:r>
      <w:r w:rsidR="00C3172F">
        <w:rPr>
          <w:i/>
          <w:iCs/>
          <w:lang w:val="en-US"/>
        </w:rPr>
        <w:t>Takes note</w:t>
      </w:r>
      <w:r w:rsidR="00C3172F">
        <w:rPr>
          <w:lang w:val="en-US"/>
        </w:rPr>
        <w:t xml:space="preserve"> of the 2025 focus area of the Paris Committee on Capacity-building, namely </w:t>
      </w:r>
      <w:r w:rsidR="00C3172F">
        <w:rPr>
          <w:rStyle w:val="ui-provider"/>
        </w:rPr>
        <w:t xml:space="preserve">capacity-building for designing holistic investment strategies, bankable projects and stakeholder engagement aimed </w:t>
      </w:r>
      <w:r w:rsidR="00C3172F" w:rsidRPr="0786285F">
        <w:rPr>
          <w:rStyle w:val="ui-provider"/>
        </w:rPr>
        <w:t>at</w:t>
      </w:r>
      <w:r w:rsidR="00C3172F">
        <w:rPr>
          <w:rStyle w:val="ui-provider"/>
        </w:rPr>
        <w:t xml:space="preserve"> strengthening the implementation of </w:t>
      </w:r>
      <w:r w:rsidR="00C3172F" w:rsidRPr="00115076">
        <w:rPr>
          <w:color w:val="000000"/>
        </w:rPr>
        <w:t>nationally determined contribution</w:t>
      </w:r>
      <w:r w:rsidR="00C3172F">
        <w:rPr>
          <w:color w:val="000000"/>
        </w:rPr>
        <w:t>s</w:t>
      </w:r>
      <w:r w:rsidR="00C3172F">
        <w:rPr>
          <w:rStyle w:val="ui-provider"/>
        </w:rPr>
        <w:t xml:space="preserve"> and </w:t>
      </w:r>
      <w:r w:rsidR="00C3172F" w:rsidRPr="00115076">
        <w:rPr>
          <w:color w:val="000000"/>
        </w:rPr>
        <w:t>national adaptation plan</w:t>
      </w:r>
      <w:r w:rsidR="00C3172F">
        <w:rPr>
          <w:color w:val="000000"/>
        </w:rPr>
        <w:t>s</w:t>
      </w:r>
      <w:r w:rsidR="00C3172F">
        <w:rPr>
          <w:rStyle w:val="ui-provider"/>
        </w:rPr>
        <w:t xml:space="preserve"> in developing countries</w:t>
      </w:r>
      <w:r w:rsidR="00C3172F" w:rsidRPr="0786285F">
        <w:rPr>
          <w:rStyle w:val="ui-provider"/>
        </w:rPr>
        <w:t xml:space="preserve">, </w:t>
      </w:r>
      <w:r w:rsidR="00C3172F">
        <w:rPr>
          <w:rStyle w:val="ui-provider"/>
        </w:rPr>
        <w:t xml:space="preserve">as </w:t>
      </w:r>
      <w:r w:rsidR="00C3172F" w:rsidRPr="0786285F">
        <w:rPr>
          <w:rStyle w:val="ui-provider"/>
        </w:rPr>
        <w:t xml:space="preserve">agreed on by the Committee </w:t>
      </w:r>
      <w:r w:rsidR="00C3172F">
        <w:rPr>
          <w:rStyle w:val="ui-provider"/>
        </w:rPr>
        <w:t>intersessionally</w:t>
      </w:r>
      <w:r w:rsidR="00C3172F" w:rsidRPr="0786285F">
        <w:rPr>
          <w:rStyle w:val="ui-provider"/>
        </w:rPr>
        <w:t xml:space="preserve"> based on inputs received at its 8</w:t>
      </w:r>
      <w:r w:rsidR="00C3172F" w:rsidRPr="0786285F">
        <w:rPr>
          <w:rStyle w:val="ui-provider"/>
          <w:vertAlign w:val="superscript"/>
        </w:rPr>
        <w:t>th</w:t>
      </w:r>
      <w:r w:rsidR="00C3172F" w:rsidRPr="0786285F">
        <w:rPr>
          <w:rStyle w:val="ui-provider"/>
        </w:rPr>
        <w:t xml:space="preserve"> meeting;</w:t>
      </w:r>
      <w:r w:rsidR="00C3172F">
        <w:rPr>
          <w:rStyle w:val="FootnoteReference"/>
        </w:rPr>
        <w:footnoteReference w:id="16"/>
      </w:r>
    </w:p>
    <w:p w14:paraId="189E9261" w14:textId="4CA640EE" w:rsidR="00C3172F" w:rsidRPr="00A13404" w:rsidRDefault="00804401" w:rsidP="00804401">
      <w:pPr>
        <w:pStyle w:val="RegSingleTxtG"/>
        <w:numPr>
          <w:ilvl w:val="0"/>
          <w:numId w:val="0"/>
        </w:numPr>
        <w:ind w:left="1134"/>
        <w:rPr>
          <w:rStyle w:val="ui-provider"/>
          <w:lang w:val="en-US"/>
        </w:rPr>
      </w:pPr>
      <w:r w:rsidRPr="00A13404">
        <w:rPr>
          <w:rStyle w:val="ui-provider"/>
          <w:bCs/>
          <w:lang w:val="en-US"/>
        </w:rPr>
        <w:t>10.</w:t>
      </w:r>
      <w:r w:rsidRPr="00A13404">
        <w:rPr>
          <w:rStyle w:val="ui-provider"/>
          <w:bCs/>
          <w:lang w:val="en-US"/>
        </w:rPr>
        <w:tab/>
      </w:r>
      <w:r w:rsidR="00C3172F" w:rsidRPr="00FC2D58">
        <w:rPr>
          <w:i/>
          <w:iCs/>
          <w:lang w:val="en-US"/>
        </w:rPr>
        <w:t xml:space="preserve">Notes </w:t>
      </w:r>
      <w:r w:rsidR="00C3172F" w:rsidRPr="00FC2D58">
        <w:rPr>
          <w:lang w:val="en-US"/>
        </w:rPr>
        <w:t>that capacity gaps and needs pertaining to implement</w:t>
      </w:r>
      <w:r w:rsidR="00C3172F">
        <w:rPr>
          <w:lang w:val="en-US"/>
        </w:rPr>
        <w:t>ing</w:t>
      </w:r>
      <w:r w:rsidR="00C3172F" w:rsidRPr="00FC2D58">
        <w:rPr>
          <w:lang w:val="en-US"/>
        </w:rPr>
        <w:t xml:space="preserve"> the </w:t>
      </w:r>
      <w:r w:rsidR="00C3172F">
        <w:rPr>
          <w:lang w:val="en-US"/>
        </w:rPr>
        <w:t xml:space="preserve">Convention </w:t>
      </w:r>
      <w:r w:rsidR="00C3172F" w:rsidRPr="00FC2D58">
        <w:rPr>
          <w:lang w:val="en-US"/>
        </w:rPr>
        <w:t>still exist in developing countries</w:t>
      </w:r>
      <w:r w:rsidR="00C3172F">
        <w:rPr>
          <w:lang w:val="en-US"/>
        </w:rPr>
        <w:t>;</w:t>
      </w:r>
    </w:p>
    <w:p w14:paraId="28EDDBE8" w14:textId="0D9C9FAC" w:rsidR="007D2948" w:rsidRPr="007D2948" w:rsidRDefault="00804401" w:rsidP="00804401">
      <w:pPr>
        <w:pStyle w:val="RegSingleTxtG"/>
        <w:numPr>
          <w:ilvl w:val="0"/>
          <w:numId w:val="0"/>
        </w:numPr>
        <w:ind w:left="1134"/>
        <w:rPr>
          <w:rStyle w:val="ui-provider"/>
          <w:lang w:val="en-US"/>
        </w:rPr>
      </w:pPr>
      <w:r w:rsidRPr="007D2948">
        <w:rPr>
          <w:rStyle w:val="ui-provider"/>
          <w:bCs/>
          <w:lang w:val="en-US"/>
        </w:rPr>
        <w:lastRenderedPageBreak/>
        <w:t>11.</w:t>
      </w:r>
      <w:r w:rsidRPr="007D2948">
        <w:rPr>
          <w:rStyle w:val="ui-provider"/>
          <w:bCs/>
          <w:lang w:val="en-US"/>
        </w:rPr>
        <w:tab/>
      </w:r>
      <w:r w:rsidR="00C3172F">
        <w:rPr>
          <w:i/>
          <w:iCs/>
          <w:lang w:val="en-US"/>
        </w:rPr>
        <w:t>Invites</w:t>
      </w:r>
      <w:bookmarkEnd w:id="11"/>
      <w:r w:rsidR="00C3172F">
        <w:rPr>
          <w:lang w:val="en-US"/>
        </w:rPr>
        <w:t xml:space="preserve"> </w:t>
      </w:r>
      <w:r w:rsidR="00C3172F">
        <w:rPr>
          <w:rStyle w:val="ui-provider"/>
        </w:rPr>
        <w:t>Parties and relevant institutions, as appropriate, to provide support and resources to the Paris Committee on Capacity-building for implementing its activities;</w:t>
      </w:r>
    </w:p>
    <w:p w14:paraId="62464732" w14:textId="1D3ECF1F" w:rsidR="00C3172F" w:rsidRPr="007D2948" w:rsidRDefault="00804401" w:rsidP="00804401">
      <w:pPr>
        <w:pStyle w:val="RegSingleTxtG"/>
        <w:numPr>
          <w:ilvl w:val="0"/>
          <w:numId w:val="0"/>
        </w:numPr>
        <w:ind w:left="1134"/>
        <w:rPr>
          <w:rStyle w:val="ui-provider"/>
          <w:lang w:val="en-US"/>
        </w:rPr>
      </w:pPr>
      <w:r w:rsidRPr="007D2948">
        <w:rPr>
          <w:rStyle w:val="ui-provider"/>
          <w:bCs/>
          <w:lang w:val="en-US"/>
        </w:rPr>
        <w:t>12.</w:t>
      </w:r>
      <w:r w:rsidRPr="007D2948">
        <w:rPr>
          <w:rStyle w:val="ui-provider"/>
          <w:bCs/>
          <w:lang w:val="en-US"/>
        </w:rPr>
        <w:tab/>
      </w:r>
      <w:r w:rsidR="00C3172F" w:rsidRPr="007D2948">
        <w:rPr>
          <w:rStyle w:val="ui-provider"/>
          <w:i/>
          <w:iCs/>
        </w:rPr>
        <w:t>Requests</w:t>
      </w:r>
      <w:r w:rsidR="00C3172F" w:rsidRPr="00C944B1">
        <w:rPr>
          <w:rStyle w:val="ui-provider"/>
        </w:rPr>
        <w:t xml:space="preserve"> that the </w:t>
      </w:r>
      <w:r w:rsidR="00C3172F" w:rsidRPr="63CDCA8E">
        <w:rPr>
          <w:rStyle w:val="ui-provider"/>
        </w:rPr>
        <w:t>action</w:t>
      </w:r>
      <w:r w:rsidR="00D37772">
        <w:rPr>
          <w:rStyle w:val="ui-provider"/>
        </w:rPr>
        <w:t>s</w:t>
      </w:r>
      <w:r w:rsidR="00C3172F" w:rsidRPr="00C944B1">
        <w:rPr>
          <w:rStyle w:val="ui-provider"/>
        </w:rPr>
        <w:t xml:space="preserve"> of the secretariat called for in this decision be undertaken subject to the availability of financial resources</w:t>
      </w:r>
      <w:r w:rsidR="00C3172F">
        <w:rPr>
          <w:rStyle w:val="ui-provider"/>
        </w:rPr>
        <w:t>.</w:t>
      </w:r>
    </w:p>
    <w:p w14:paraId="2F13D201" w14:textId="0F9FDA04" w:rsidR="007D2948" w:rsidRDefault="0021751A" w:rsidP="007D2948">
      <w:pPr>
        <w:pStyle w:val="RegSingleTxtG"/>
        <w:numPr>
          <w:ilvl w:val="0"/>
          <w:numId w:val="0"/>
        </w:numPr>
        <w:spacing w:after="0"/>
        <w:ind w:left="1134"/>
        <w:jc w:val="right"/>
        <w:rPr>
          <w:rStyle w:val="ui-provider"/>
          <w:i/>
          <w:iCs/>
        </w:rPr>
      </w:pPr>
      <w:r>
        <w:rPr>
          <w:rStyle w:val="ui-provider"/>
          <w:i/>
          <w:iCs/>
        </w:rPr>
        <w:t>5</w:t>
      </w:r>
      <w:r w:rsidRPr="0021751A">
        <w:rPr>
          <w:rStyle w:val="ui-provider"/>
          <w:i/>
          <w:iCs/>
          <w:vertAlign w:val="superscript"/>
        </w:rPr>
        <w:t>th</w:t>
      </w:r>
      <w:r>
        <w:rPr>
          <w:rStyle w:val="ui-provider"/>
          <w:i/>
          <w:iCs/>
        </w:rPr>
        <w:t xml:space="preserve"> </w:t>
      </w:r>
      <w:r w:rsidR="007D2948">
        <w:rPr>
          <w:rStyle w:val="ui-provider"/>
          <w:i/>
          <w:iCs/>
        </w:rPr>
        <w:t>plenary meeting</w:t>
      </w:r>
    </w:p>
    <w:p w14:paraId="637A91CE" w14:textId="0BEF3642" w:rsidR="007D2948" w:rsidRPr="007D2948" w:rsidRDefault="0021751A" w:rsidP="007D2948">
      <w:pPr>
        <w:pStyle w:val="RegSingleTxtG"/>
        <w:numPr>
          <w:ilvl w:val="0"/>
          <w:numId w:val="0"/>
        </w:numPr>
        <w:spacing w:after="0"/>
        <w:ind w:left="1134"/>
        <w:jc w:val="right"/>
        <w:rPr>
          <w:lang w:val="en-US"/>
        </w:rPr>
      </w:pPr>
      <w:r>
        <w:rPr>
          <w:rStyle w:val="ui-provider"/>
          <w:i/>
          <w:iCs/>
        </w:rPr>
        <w:t>18</w:t>
      </w:r>
      <w:r w:rsidR="007D2948">
        <w:rPr>
          <w:rStyle w:val="ui-provider"/>
          <w:i/>
          <w:iCs/>
        </w:rPr>
        <w:t xml:space="preserve"> November 202</w:t>
      </w:r>
      <w:r>
        <w:rPr>
          <w:rStyle w:val="ui-provider"/>
          <w:i/>
          <w:iCs/>
        </w:rPr>
        <w:t>4</w:t>
      </w:r>
    </w:p>
    <w:p w14:paraId="05A274BD" w14:textId="77777777" w:rsidR="00340072" w:rsidRDefault="00340072" w:rsidP="00804401">
      <w:pPr>
        <w:pStyle w:val="RegHChG"/>
        <w:numPr>
          <w:ilvl w:val="0"/>
          <w:numId w:val="0"/>
        </w:numPr>
        <w:ind w:left="1135" w:hanging="454"/>
      </w:pPr>
    </w:p>
    <w:p w14:paraId="44653A3F" w14:textId="5564F604" w:rsidR="00340072" w:rsidRDefault="00804401" w:rsidP="00804401">
      <w:pPr>
        <w:pStyle w:val="RegHChG"/>
        <w:numPr>
          <w:ilvl w:val="0"/>
          <w:numId w:val="0"/>
        </w:numPr>
        <w:tabs>
          <w:tab w:val="left" w:pos="1135"/>
        </w:tabs>
        <w:ind w:left="1135" w:hanging="454"/>
        <w:sectPr w:rsidR="00340072" w:rsidSect="00E56563">
          <w:headerReference w:type="even" r:id="rId52"/>
          <w:headerReference w:type="default" r:id="rId53"/>
          <w:footerReference w:type="even" r:id="rId54"/>
          <w:footerReference w:type="default" r:id="rId55"/>
          <w:footnotePr>
            <w:numRestart w:val="eachSect"/>
          </w:footnotePr>
          <w:pgSz w:w="11906" w:h="16838" w:code="9"/>
          <w:pgMar w:top="1417" w:right="1134" w:bottom="1134" w:left="1134" w:header="850" w:footer="567" w:gutter="0"/>
          <w:cols w:space="708"/>
          <w:docGrid w:linePitch="360"/>
        </w:sectPr>
      </w:pPr>
      <w:r>
        <w:t>I.</w:t>
      </w:r>
      <w:r>
        <w:tab/>
      </w:r>
    </w:p>
    <w:p w14:paraId="0D9584D3" w14:textId="0587A287" w:rsidR="00340072" w:rsidRDefault="00340072" w:rsidP="00804401">
      <w:pPr>
        <w:pStyle w:val="RegHChG"/>
        <w:numPr>
          <w:ilvl w:val="0"/>
          <w:numId w:val="0"/>
        </w:numPr>
        <w:ind w:left="1135" w:hanging="454"/>
      </w:pPr>
      <w:bookmarkStart w:id="13" w:name="CP14"/>
      <w:r>
        <w:lastRenderedPageBreak/>
        <w:t>Decision 14/CP.29</w:t>
      </w:r>
    </w:p>
    <w:bookmarkEnd w:id="13"/>
    <w:p w14:paraId="45E682EC" w14:textId="77777777" w:rsidR="005D6AF6" w:rsidRPr="00177E41" w:rsidRDefault="005D6AF6" w:rsidP="005D6AF6">
      <w:pPr>
        <w:pStyle w:val="HChG"/>
        <w:ind w:firstLine="0"/>
      </w:pPr>
      <w:r w:rsidRPr="00177E41">
        <w:rPr>
          <w:rStyle w:val="normaltextrun"/>
        </w:rPr>
        <w:t>Local Communities and Indigenous Peoples Platform</w:t>
      </w:r>
      <w:r w:rsidRPr="00177E41">
        <w:rPr>
          <w:rStyle w:val="eop"/>
        </w:rPr>
        <w:t> </w:t>
      </w:r>
    </w:p>
    <w:p w14:paraId="37395F11" w14:textId="77777777" w:rsidR="005D6AF6" w:rsidRPr="007118B4" w:rsidRDefault="005D6AF6" w:rsidP="005D6AF6">
      <w:pPr>
        <w:pStyle w:val="RegSingleTxtG"/>
        <w:numPr>
          <w:ilvl w:val="0"/>
          <w:numId w:val="0"/>
        </w:numPr>
        <w:ind w:left="1134"/>
      </w:pPr>
      <w:r>
        <w:tab/>
      </w:r>
      <w:r w:rsidRPr="00F8445C">
        <w:rPr>
          <w:i/>
          <w:iCs/>
        </w:rPr>
        <w:t>The Conference of the Parties</w:t>
      </w:r>
      <w:r w:rsidRPr="007118B4">
        <w:t>,</w:t>
      </w:r>
    </w:p>
    <w:p w14:paraId="2F00E605" w14:textId="0E0F385F" w:rsidR="005D6AF6" w:rsidRPr="007118B4" w:rsidRDefault="005D6AF6" w:rsidP="005D6AF6">
      <w:pPr>
        <w:pStyle w:val="RegSingleTxtG"/>
        <w:numPr>
          <w:ilvl w:val="0"/>
          <w:numId w:val="0"/>
        </w:numPr>
        <w:ind w:left="1134"/>
      </w:pPr>
      <w:r>
        <w:rPr>
          <w:i/>
        </w:rPr>
        <w:tab/>
      </w:r>
      <w:r w:rsidRPr="007118B4">
        <w:rPr>
          <w:i/>
        </w:rPr>
        <w:t>Recalling</w:t>
      </w:r>
      <w:r w:rsidRPr="007118B4">
        <w:t xml:space="preserve"> decisions </w:t>
      </w:r>
      <w:hyperlink r:id="rId56" w:history="1">
        <w:r w:rsidRPr="00303C6A">
          <w:rPr>
            <w:rStyle w:val="Hyperlink"/>
          </w:rPr>
          <w:t>1/CP.21</w:t>
        </w:r>
      </w:hyperlink>
      <w:r w:rsidRPr="007118B4">
        <w:t xml:space="preserve">, </w:t>
      </w:r>
      <w:hyperlink r:id="rId57" w:history="1">
        <w:r w:rsidRPr="00303C6A">
          <w:rPr>
            <w:rStyle w:val="Hyperlink"/>
          </w:rPr>
          <w:t>2/CP.23</w:t>
        </w:r>
      </w:hyperlink>
      <w:r w:rsidRPr="007118B4">
        <w:t xml:space="preserve">, </w:t>
      </w:r>
      <w:hyperlink r:id="rId58" w:history="1">
        <w:r w:rsidRPr="00303C6A">
          <w:rPr>
            <w:rStyle w:val="Hyperlink"/>
          </w:rPr>
          <w:t>2/CP.24</w:t>
        </w:r>
      </w:hyperlink>
      <w:r w:rsidRPr="007118B4">
        <w:t xml:space="preserve"> and </w:t>
      </w:r>
      <w:hyperlink r:id="rId59" w:history="1">
        <w:r w:rsidRPr="00303C6A">
          <w:rPr>
            <w:rStyle w:val="Hyperlink"/>
          </w:rPr>
          <w:t>16/CP.26</w:t>
        </w:r>
      </w:hyperlink>
      <w:r w:rsidRPr="007118B4">
        <w:t xml:space="preserve">, </w:t>
      </w:r>
    </w:p>
    <w:p w14:paraId="5085154C" w14:textId="77777777" w:rsidR="005D6AF6" w:rsidRPr="007118B4" w:rsidRDefault="005D6AF6" w:rsidP="005D6AF6">
      <w:pPr>
        <w:pStyle w:val="RegSingleTxtG"/>
        <w:numPr>
          <w:ilvl w:val="0"/>
          <w:numId w:val="0"/>
        </w:numPr>
        <w:ind w:left="1134"/>
        <w:rPr>
          <w:lang w:val="en-US"/>
        </w:rPr>
      </w:pPr>
      <w:r>
        <w:rPr>
          <w:i/>
          <w:iCs/>
        </w:rPr>
        <w:tab/>
      </w:r>
      <w:r w:rsidRPr="007118B4">
        <w:rPr>
          <w:i/>
          <w:iCs/>
          <w:lang w:val="en-US"/>
        </w:rPr>
        <w:t xml:space="preserve">Also recalling </w:t>
      </w:r>
      <w:r w:rsidRPr="007118B4">
        <w:rPr>
          <w:lang w:val="en-US"/>
        </w:rPr>
        <w:t>the Paris Agreement and the United Nations Declaration on the Rights of Indigenous Peoples,</w:t>
      </w:r>
    </w:p>
    <w:p w14:paraId="1C8EE964" w14:textId="77777777" w:rsidR="005D6AF6" w:rsidRPr="007118B4" w:rsidRDefault="005D6AF6" w:rsidP="005D6AF6">
      <w:pPr>
        <w:pStyle w:val="RegSingleTxtG"/>
        <w:numPr>
          <w:ilvl w:val="0"/>
          <w:numId w:val="0"/>
        </w:numPr>
        <w:ind w:left="1134"/>
        <w:rPr>
          <w:iCs/>
          <w:lang w:val="en-US"/>
        </w:rPr>
      </w:pPr>
      <w:r>
        <w:rPr>
          <w:i/>
          <w:iCs/>
          <w:lang w:val="en-US"/>
        </w:rPr>
        <w:tab/>
      </w:r>
      <w:r w:rsidRPr="007118B4">
        <w:rPr>
          <w:i/>
          <w:iCs/>
          <w:lang w:val="en-US"/>
        </w:rPr>
        <w:t>Acknowledging</w:t>
      </w:r>
      <w:r w:rsidRPr="007118B4">
        <w:rPr>
          <w:iCs/>
          <w:lang w:val="en-US"/>
        </w:rPr>
        <w:t xml:space="preserve"> the role and contributions of Indigenous Peoples and of local communities in nature stewardship and climate leadership, as well as the disproportionate effects of climate change on Indigenous Peoples and on local </w:t>
      </w:r>
      <w:r w:rsidRPr="00DB74E2">
        <w:rPr>
          <w:iCs/>
        </w:rPr>
        <w:t>communities</w:t>
      </w:r>
      <w:r>
        <w:rPr>
          <w:iCs/>
          <w:lang w:val="en-US"/>
        </w:rPr>
        <w:t>,</w:t>
      </w:r>
    </w:p>
    <w:p w14:paraId="319C6092" w14:textId="77777777" w:rsidR="005D6AF6" w:rsidRPr="00F1108E" w:rsidRDefault="005D6AF6" w:rsidP="005D6AF6">
      <w:pPr>
        <w:pStyle w:val="RegSingleTxtG"/>
        <w:numPr>
          <w:ilvl w:val="0"/>
          <w:numId w:val="0"/>
        </w:numPr>
        <w:ind w:left="1134"/>
        <w:rPr>
          <w:lang w:val="en-US"/>
        </w:rPr>
      </w:pPr>
      <w:r>
        <w:rPr>
          <w:i/>
          <w:lang w:val="en-US"/>
        </w:rPr>
        <w:tab/>
        <w:t>Also a</w:t>
      </w:r>
      <w:r w:rsidRPr="007118B4">
        <w:rPr>
          <w:i/>
          <w:lang w:val="en-US"/>
        </w:rPr>
        <w:t>cknowledging</w:t>
      </w:r>
      <w:r w:rsidRPr="007118B4">
        <w:rPr>
          <w:lang w:val="en-US"/>
        </w:rPr>
        <w:t xml:space="preserve"> that climate change is a common concern of humankind</w:t>
      </w:r>
      <w:r>
        <w:rPr>
          <w:lang w:val="en-US"/>
        </w:rPr>
        <w:t xml:space="preserve"> and that</w:t>
      </w:r>
      <w:r w:rsidRPr="007118B4">
        <w:rPr>
          <w:lang w:val="en-US"/>
        </w:rPr>
        <w:t xml:space="preserve"> Parties should, when taking action to address climate change, respect, promote and consider their respective obligations on human rights, the right to a clean, healthy and sustainable environment, the right to health, the rights of Indigenous Peoples, local communities, migrants, children, persons with disabilities and people in vulnerable situations</w:t>
      </w:r>
      <w:r>
        <w:rPr>
          <w:lang w:val="en-US"/>
        </w:rPr>
        <w:t>,</w:t>
      </w:r>
      <w:r w:rsidRPr="007118B4">
        <w:rPr>
          <w:lang w:val="en-US"/>
        </w:rPr>
        <w:t xml:space="preserve"> and the right to development, as well as </w:t>
      </w:r>
      <w:r w:rsidRPr="00DB74E2">
        <w:rPr>
          <w:iCs/>
        </w:rPr>
        <w:t>gender</w:t>
      </w:r>
      <w:r w:rsidRPr="007118B4">
        <w:rPr>
          <w:lang w:val="en-US"/>
        </w:rPr>
        <w:t xml:space="preserve"> equality, empowerment of women and intergenerational equity,</w:t>
      </w:r>
    </w:p>
    <w:p w14:paraId="57318034" w14:textId="77777777" w:rsidR="005D6AF6" w:rsidRPr="007118B4" w:rsidRDefault="005D6AF6" w:rsidP="005D6AF6">
      <w:pPr>
        <w:pStyle w:val="RegSingleTxtG"/>
        <w:numPr>
          <w:ilvl w:val="0"/>
          <w:numId w:val="0"/>
        </w:numPr>
        <w:ind w:left="1134"/>
      </w:pPr>
      <w:r>
        <w:rPr>
          <w:i/>
          <w:iCs/>
        </w:rPr>
        <w:tab/>
      </w:r>
      <w:r w:rsidRPr="007118B4">
        <w:rPr>
          <w:i/>
          <w:iCs/>
        </w:rPr>
        <w:t>Noting</w:t>
      </w:r>
      <w:r w:rsidRPr="007118B4">
        <w:rPr>
          <w:iCs/>
        </w:rPr>
        <w:t xml:space="preserve"> the importance of ensuring the integrity of all ecosystems, including oceans, and the protection of biodiversity, recognized by some cultures as Mother Earth, and</w:t>
      </w:r>
      <w:r w:rsidRPr="001318BA">
        <w:rPr>
          <w:i/>
        </w:rPr>
        <w:t xml:space="preserve"> </w:t>
      </w:r>
      <w:r>
        <w:rPr>
          <w:i/>
        </w:rPr>
        <w:t xml:space="preserve">also </w:t>
      </w:r>
      <w:r w:rsidRPr="001318BA">
        <w:rPr>
          <w:i/>
        </w:rPr>
        <w:t>noting</w:t>
      </w:r>
      <w:r w:rsidRPr="007118B4">
        <w:rPr>
          <w:iCs/>
        </w:rPr>
        <w:t xml:space="preserve"> the importance for some of the concept of </w:t>
      </w:r>
      <w:r>
        <w:rPr>
          <w:iCs/>
        </w:rPr>
        <w:t>‘</w:t>
      </w:r>
      <w:r w:rsidRPr="007118B4">
        <w:rPr>
          <w:iCs/>
        </w:rPr>
        <w:t>climate justice</w:t>
      </w:r>
      <w:r>
        <w:rPr>
          <w:iCs/>
        </w:rPr>
        <w:t>’</w:t>
      </w:r>
      <w:r w:rsidRPr="007118B4">
        <w:rPr>
          <w:iCs/>
        </w:rPr>
        <w:t>, when taking action to address climate change</w:t>
      </w:r>
      <w:r>
        <w:rPr>
          <w:iCs/>
        </w:rPr>
        <w:t>,</w:t>
      </w:r>
    </w:p>
    <w:p w14:paraId="21102974" w14:textId="77777777" w:rsidR="005D6AF6" w:rsidRPr="007118B4" w:rsidRDefault="005D6AF6" w:rsidP="005D6AF6">
      <w:pPr>
        <w:pStyle w:val="RegSingleTxtG"/>
        <w:numPr>
          <w:ilvl w:val="0"/>
          <w:numId w:val="0"/>
        </w:numPr>
        <w:ind w:left="1134"/>
      </w:pPr>
      <w:r>
        <w:rPr>
          <w:i/>
          <w:iCs/>
        </w:rPr>
        <w:tab/>
      </w:r>
      <w:r w:rsidRPr="007118B4">
        <w:rPr>
          <w:i/>
          <w:iCs/>
        </w:rPr>
        <w:t xml:space="preserve">Recognizing </w:t>
      </w:r>
      <w:r w:rsidRPr="007118B4">
        <w:rPr>
          <w:iCs/>
        </w:rPr>
        <w:t>that the knowledge systems of Indigenous Peoples are diverse and an integral part of their identities, values, spiritualities and worldviews, and that local knowledge and value systems are also diverse and dependent on</w:t>
      </w:r>
      <w:r>
        <w:rPr>
          <w:iCs/>
        </w:rPr>
        <w:t xml:space="preserve"> the contexts of</w:t>
      </w:r>
      <w:r w:rsidRPr="007118B4">
        <w:rPr>
          <w:iCs/>
        </w:rPr>
        <w:t xml:space="preserve"> local communities</w:t>
      </w:r>
      <w:r>
        <w:rPr>
          <w:iCs/>
        </w:rPr>
        <w:t>,</w:t>
      </w:r>
    </w:p>
    <w:p w14:paraId="04130376" w14:textId="7AA62992" w:rsidR="005D6AF6" w:rsidRPr="00F1108E" w:rsidRDefault="005D6AF6" w:rsidP="005D6AF6">
      <w:pPr>
        <w:pStyle w:val="RegSingleTxtG"/>
        <w:numPr>
          <w:ilvl w:val="0"/>
          <w:numId w:val="0"/>
        </w:numPr>
        <w:ind w:left="1134"/>
        <w:rPr>
          <w:iCs/>
        </w:rPr>
      </w:pPr>
      <w:r>
        <w:rPr>
          <w:i/>
          <w:iCs/>
        </w:rPr>
        <w:tab/>
      </w:r>
      <w:r w:rsidRPr="007118B4">
        <w:rPr>
          <w:i/>
          <w:iCs/>
        </w:rPr>
        <w:t>Recalling</w:t>
      </w:r>
      <w:r w:rsidRPr="007118B4">
        <w:rPr>
          <w:iCs/>
        </w:rPr>
        <w:t xml:space="preserve"> decision </w:t>
      </w:r>
      <w:hyperlink r:id="rId60" w:history="1">
        <w:r w:rsidRPr="00303C6A">
          <w:rPr>
            <w:rStyle w:val="Hyperlink"/>
            <w:iCs/>
          </w:rPr>
          <w:t>1/CMA.5</w:t>
        </w:r>
      </w:hyperlink>
      <w:r w:rsidRPr="007118B4">
        <w:rPr>
          <w:iCs/>
        </w:rPr>
        <w:t>, wh</w:t>
      </w:r>
      <w:r>
        <w:rPr>
          <w:iCs/>
        </w:rPr>
        <w:t>ereby,</w:t>
      </w:r>
      <w:r w:rsidRPr="007118B4">
        <w:rPr>
          <w:iCs/>
        </w:rPr>
        <w:t xml:space="preserve"> inter alia</w:t>
      </w:r>
      <w:r>
        <w:rPr>
          <w:iCs/>
        </w:rPr>
        <w:t>, it was</w:t>
      </w:r>
      <w:r w:rsidRPr="007118B4">
        <w:rPr>
          <w:iCs/>
        </w:rPr>
        <w:t xml:space="preserve"> reaffirmed that sustainable and just solutions to the climate crisis must be founded on meaningful and effective social dialogue and participation of all stakeholders, including Indigenous Peoples and local communities, and noted that the global transition to low emission</w:t>
      </w:r>
      <w:r>
        <w:rPr>
          <w:iCs/>
        </w:rPr>
        <w:t>s</w:t>
      </w:r>
      <w:r w:rsidRPr="007118B4">
        <w:rPr>
          <w:iCs/>
        </w:rPr>
        <w:t xml:space="preserve"> and climate</w:t>
      </w:r>
      <w:r>
        <w:rPr>
          <w:iCs/>
        </w:rPr>
        <w:t>-</w:t>
      </w:r>
      <w:r w:rsidRPr="007118B4">
        <w:rPr>
          <w:iCs/>
        </w:rPr>
        <w:t xml:space="preserve">resilient development provides opportunities and challenges </w:t>
      </w:r>
      <w:r>
        <w:rPr>
          <w:iCs/>
        </w:rPr>
        <w:t xml:space="preserve">for </w:t>
      </w:r>
      <w:r w:rsidRPr="007118B4">
        <w:rPr>
          <w:iCs/>
        </w:rPr>
        <w:t>sustainable development and poverty eradication, and the implementation of integrated, multi-sectoral solutions</w:t>
      </w:r>
      <w:r>
        <w:rPr>
          <w:iCs/>
        </w:rPr>
        <w:t>,</w:t>
      </w:r>
      <w:r w:rsidRPr="007118B4">
        <w:rPr>
          <w:iCs/>
        </w:rPr>
        <w:t xml:space="preserve"> building on the best available science as well as Indigenous Peoples</w:t>
      </w:r>
      <w:r>
        <w:rPr>
          <w:iCs/>
        </w:rPr>
        <w:t>’</w:t>
      </w:r>
      <w:r w:rsidRPr="007118B4">
        <w:rPr>
          <w:iCs/>
        </w:rPr>
        <w:t xml:space="preserve"> knowledge and local knowledge systems</w:t>
      </w:r>
      <w:r w:rsidRPr="007F2FB5" w:rsidDel="003A1CC8">
        <w:rPr>
          <w:iCs/>
        </w:rPr>
        <w:t xml:space="preserve"> </w:t>
      </w:r>
      <w:r>
        <w:rPr>
          <w:iCs/>
        </w:rPr>
        <w:t>was</w:t>
      </w:r>
      <w:r w:rsidRPr="007118B4">
        <w:rPr>
          <w:iCs/>
        </w:rPr>
        <w:t xml:space="preserve"> </w:t>
      </w:r>
      <w:r w:rsidRPr="007118B4" w:rsidDel="003A1CC8">
        <w:rPr>
          <w:iCs/>
        </w:rPr>
        <w:t>encouraged</w:t>
      </w:r>
      <w:r w:rsidRPr="007118B4">
        <w:rPr>
          <w:iCs/>
        </w:rPr>
        <w:t xml:space="preserve">, and </w:t>
      </w:r>
      <w:r>
        <w:rPr>
          <w:iCs/>
        </w:rPr>
        <w:t xml:space="preserve">the </w:t>
      </w:r>
      <w:r w:rsidRPr="007118B4">
        <w:rPr>
          <w:iCs/>
        </w:rPr>
        <w:t>role of the Local Communities and Indigenous Peoples Platform in strengthening the capacity of Indigenous Peoples and of local communities to effectively engage in the intergovernmental process under the Paris Agreement</w:t>
      </w:r>
      <w:r w:rsidRPr="00C120DA" w:rsidDel="002B0665">
        <w:rPr>
          <w:iCs/>
        </w:rPr>
        <w:t xml:space="preserve"> </w:t>
      </w:r>
      <w:r>
        <w:rPr>
          <w:iCs/>
        </w:rPr>
        <w:t xml:space="preserve">was </w:t>
      </w:r>
      <w:r w:rsidRPr="007118B4" w:rsidDel="002B0665">
        <w:rPr>
          <w:iCs/>
        </w:rPr>
        <w:t>recognized</w:t>
      </w:r>
      <w:r>
        <w:rPr>
          <w:iCs/>
        </w:rPr>
        <w:t>,</w:t>
      </w:r>
    </w:p>
    <w:p w14:paraId="687881CF" w14:textId="3E4E1ABF" w:rsidR="005D6AF6" w:rsidRPr="007118B4" w:rsidRDefault="00804401" w:rsidP="00804401">
      <w:pPr>
        <w:pStyle w:val="RegSingleTxtG"/>
        <w:numPr>
          <w:ilvl w:val="0"/>
          <w:numId w:val="0"/>
        </w:numPr>
        <w:spacing w:before="120"/>
        <w:ind w:left="1134" w:right="1133"/>
      </w:pPr>
      <w:r w:rsidRPr="007118B4">
        <w:rPr>
          <w:bCs/>
        </w:rPr>
        <w:t>1.</w:t>
      </w:r>
      <w:r w:rsidRPr="007118B4">
        <w:rPr>
          <w:bCs/>
        </w:rPr>
        <w:tab/>
      </w:r>
      <w:r w:rsidR="005D6AF6" w:rsidRPr="005D6AF6">
        <w:rPr>
          <w:i/>
          <w:iCs/>
        </w:rPr>
        <w:t xml:space="preserve">Welcomes </w:t>
      </w:r>
      <w:r w:rsidR="005D6AF6" w:rsidRPr="007118B4">
        <w:t>the progress of the Facilitative Working Group of the Local Communities and Indigenous Peoples Platform in facilitating implementation of the functions of the Platform</w:t>
      </w:r>
      <w:r w:rsidR="005D6AF6">
        <w:t>;</w:t>
      </w:r>
      <w:r w:rsidR="005D6AF6">
        <w:rPr>
          <w:rStyle w:val="FootnoteReference"/>
        </w:rPr>
        <w:footnoteReference w:id="17"/>
      </w:r>
    </w:p>
    <w:p w14:paraId="7218C806" w14:textId="73AC9146" w:rsidR="005D6AF6" w:rsidRDefault="00804401" w:rsidP="00804401">
      <w:pPr>
        <w:pStyle w:val="RegSingleTxtG"/>
        <w:numPr>
          <w:ilvl w:val="0"/>
          <w:numId w:val="0"/>
        </w:numPr>
        <w:ind w:left="1134" w:right="1133"/>
      </w:pPr>
      <w:bookmarkStart w:id="14" w:name="_Ref167126413"/>
      <w:r>
        <w:rPr>
          <w:bCs/>
        </w:rPr>
        <w:t>2.</w:t>
      </w:r>
      <w:r>
        <w:rPr>
          <w:bCs/>
        </w:rPr>
        <w:tab/>
      </w:r>
      <w:r w:rsidR="005D6AF6">
        <w:rPr>
          <w:i/>
          <w:iCs/>
        </w:rPr>
        <w:t>Also w</w:t>
      </w:r>
      <w:r w:rsidR="005D6AF6" w:rsidRPr="00B728EC">
        <w:rPr>
          <w:i/>
          <w:iCs/>
        </w:rPr>
        <w:t xml:space="preserve">elcomes </w:t>
      </w:r>
      <w:r w:rsidR="005D6AF6" w:rsidRPr="000B7EC5">
        <w:t>the report of the Facilitative Working Group</w:t>
      </w:r>
      <w:r w:rsidR="005D6AF6">
        <w:t>,</w:t>
      </w:r>
      <w:r w:rsidR="005D6AF6">
        <w:rPr>
          <w:rStyle w:val="FootnoteReference"/>
        </w:rPr>
        <w:footnoteReference w:id="18"/>
      </w:r>
      <w:r w:rsidR="005D6AF6">
        <w:t xml:space="preserve"> including the draft workplan of the Local Communities and Indigenous Peoples Platform for 2025–2027 contained therein;</w:t>
      </w:r>
      <w:bookmarkEnd w:id="14"/>
    </w:p>
    <w:p w14:paraId="3BBE889D" w14:textId="729C5D1A" w:rsidR="005D6AF6" w:rsidRPr="007118B4" w:rsidRDefault="00804401" w:rsidP="00804401">
      <w:pPr>
        <w:pStyle w:val="RegSingleTxtG"/>
        <w:numPr>
          <w:ilvl w:val="0"/>
          <w:numId w:val="0"/>
        </w:numPr>
        <w:ind w:left="1134" w:right="1133"/>
      </w:pPr>
      <w:r w:rsidRPr="007118B4">
        <w:rPr>
          <w:bCs/>
        </w:rPr>
        <w:t>3.</w:t>
      </w:r>
      <w:r w:rsidRPr="007118B4">
        <w:rPr>
          <w:bCs/>
        </w:rPr>
        <w:tab/>
      </w:r>
      <w:r w:rsidR="005D6AF6" w:rsidRPr="007118B4">
        <w:rPr>
          <w:i/>
          <w:iCs/>
        </w:rPr>
        <w:t xml:space="preserve">Decides </w:t>
      </w:r>
      <w:r w:rsidR="005D6AF6" w:rsidRPr="007118B4">
        <w:t>to continue the mandate of the Facilitative Working Group;</w:t>
      </w:r>
    </w:p>
    <w:p w14:paraId="178BC162" w14:textId="3C10FBE5" w:rsidR="005D6AF6" w:rsidRPr="007118B4" w:rsidRDefault="00804401" w:rsidP="00804401">
      <w:pPr>
        <w:pStyle w:val="RegSingleTxtG"/>
        <w:numPr>
          <w:ilvl w:val="0"/>
          <w:numId w:val="0"/>
        </w:numPr>
        <w:ind w:left="1134" w:right="1133"/>
      </w:pPr>
      <w:r w:rsidRPr="007118B4">
        <w:rPr>
          <w:bCs/>
        </w:rPr>
        <w:t>4.</w:t>
      </w:r>
      <w:r w:rsidRPr="007118B4">
        <w:rPr>
          <w:bCs/>
        </w:rPr>
        <w:tab/>
      </w:r>
      <w:r w:rsidR="005D6AF6" w:rsidRPr="007118B4">
        <w:rPr>
          <w:i/>
          <w:iCs/>
        </w:rPr>
        <w:t>Notes with appreciation</w:t>
      </w:r>
      <w:r w:rsidR="005D6AF6" w:rsidRPr="007118B4">
        <w:t xml:space="preserve"> the financial support provided, including by the Governments of Australia, Canada, Finland and Norway, for implementing the functions of the Local Communities and Indigenous Peoples Platform;</w:t>
      </w:r>
    </w:p>
    <w:p w14:paraId="678697FA" w14:textId="3D3BD96D" w:rsidR="005D6AF6" w:rsidRPr="007118B4" w:rsidRDefault="00804401" w:rsidP="00804401">
      <w:pPr>
        <w:pStyle w:val="RegSingleTxtG"/>
        <w:numPr>
          <w:ilvl w:val="0"/>
          <w:numId w:val="0"/>
        </w:numPr>
        <w:ind w:left="1134" w:right="1133"/>
      </w:pPr>
      <w:r w:rsidRPr="007118B4">
        <w:rPr>
          <w:bCs/>
        </w:rPr>
        <w:t>5.</w:t>
      </w:r>
      <w:r w:rsidRPr="007118B4">
        <w:rPr>
          <w:bCs/>
        </w:rPr>
        <w:tab/>
      </w:r>
      <w:r w:rsidR="005D6AF6" w:rsidRPr="007118B4">
        <w:rPr>
          <w:i/>
          <w:iCs/>
        </w:rPr>
        <w:t>Expresses appreciation</w:t>
      </w:r>
      <w:r w:rsidR="005D6AF6" w:rsidRPr="007118B4">
        <w:t xml:space="preserve"> to </w:t>
      </w:r>
      <w:r w:rsidR="005D6AF6">
        <w:t xml:space="preserve">the Government of </w:t>
      </w:r>
      <w:r w:rsidR="005D6AF6" w:rsidRPr="007118B4">
        <w:t xml:space="preserve">Chad for hosting the biregional gathering for the Asia and Africa regions and to </w:t>
      </w:r>
      <w:r w:rsidR="005D6AF6">
        <w:t xml:space="preserve">the Governments of </w:t>
      </w:r>
      <w:r w:rsidR="005D6AF6" w:rsidRPr="007118B4">
        <w:t xml:space="preserve">Australia and Norway </w:t>
      </w:r>
      <w:r w:rsidR="005D6AF6" w:rsidRPr="007118B4">
        <w:lastRenderedPageBreak/>
        <w:t>for hosting the regional gatherings for the Pacific and Arctic regions respectively under the workplan of the Local Communities and Indigenous Peoples Platform for 2022–2024;</w:t>
      </w:r>
    </w:p>
    <w:p w14:paraId="318147AF" w14:textId="5EA363E3" w:rsidR="005D6AF6" w:rsidRPr="007118B4" w:rsidRDefault="00804401" w:rsidP="00804401">
      <w:pPr>
        <w:pStyle w:val="RegSingleTxtG"/>
        <w:numPr>
          <w:ilvl w:val="0"/>
          <w:numId w:val="0"/>
        </w:numPr>
        <w:ind w:left="1134" w:right="1133"/>
      </w:pPr>
      <w:r w:rsidRPr="007118B4">
        <w:rPr>
          <w:bCs/>
        </w:rPr>
        <w:t>6.</w:t>
      </w:r>
      <w:r w:rsidRPr="007118B4">
        <w:rPr>
          <w:bCs/>
        </w:rPr>
        <w:tab/>
      </w:r>
      <w:r w:rsidR="005D6AF6" w:rsidRPr="007118B4">
        <w:rPr>
          <w:i/>
          <w:iCs/>
        </w:rPr>
        <w:t xml:space="preserve">Recognizes </w:t>
      </w:r>
      <w:r w:rsidR="005D6AF6" w:rsidRPr="007118B4">
        <w:t>the important role of the Local Communities and Indigenous Peoples Platform and its Facilitative Working Group in bringing together Parties, Indigenous Peoples</w:t>
      </w:r>
      <w:r w:rsidR="00086011">
        <w:t xml:space="preserve"> </w:t>
      </w:r>
      <w:r w:rsidR="005D6AF6" w:rsidRPr="007118B4">
        <w:t>and local communities to work towards achieving the objective of the Convention and the goals of the Paris Agreement;</w:t>
      </w:r>
    </w:p>
    <w:p w14:paraId="47A7D3B3" w14:textId="63A8D294" w:rsidR="005D6AF6" w:rsidRPr="007118B4" w:rsidRDefault="00804401" w:rsidP="00804401">
      <w:pPr>
        <w:pStyle w:val="RegSingleTxtG"/>
        <w:numPr>
          <w:ilvl w:val="0"/>
          <w:numId w:val="0"/>
        </w:numPr>
        <w:ind w:left="1134" w:right="1133"/>
      </w:pPr>
      <w:r w:rsidRPr="007118B4">
        <w:rPr>
          <w:bCs/>
        </w:rPr>
        <w:t>7.</w:t>
      </w:r>
      <w:r w:rsidRPr="007118B4">
        <w:rPr>
          <w:bCs/>
        </w:rPr>
        <w:tab/>
      </w:r>
      <w:r w:rsidR="005D6AF6" w:rsidRPr="007118B4">
        <w:rPr>
          <w:i/>
          <w:iCs/>
        </w:rPr>
        <w:t xml:space="preserve">Notes </w:t>
      </w:r>
      <w:r w:rsidR="005D6AF6" w:rsidRPr="007118B4">
        <w:t>the challenges and recommendations outlined in the report referred to in paragraph</w:t>
      </w:r>
      <w:r w:rsidR="005D6AF6">
        <w:t xml:space="preserve"> 2 above</w:t>
      </w:r>
      <w:r w:rsidR="005D6AF6" w:rsidRPr="007118B4">
        <w:t xml:space="preserve"> in relation to facilitating the enhanced engagement of Indigenous Peoples and of local communities under the </w:t>
      </w:r>
      <w:r w:rsidR="005D6AF6">
        <w:t>Convention</w:t>
      </w:r>
      <w:r w:rsidR="005D6AF6" w:rsidRPr="007118B4">
        <w:t xml:space="preserve"> and</w:t>
      </w:r>
      <w:r w:rsidR="005D6AF6">
        <w:t xml:space="preserve"> the</w:t>
      </w:r>
      <w:r w:rsidR="005D6AF6" w:rsidRPr="007118B4">
        <w:t xml:space="preserve"> Paris Agreement;</w:t>
      </w:r>
    </w:p>
    <w:p w14:paraId="0C714CAD" w14:textId="04F26F69" w:rsidR="005D6AF6" w:rsidRPr="007118B4" w:rsidRDefault="00804401" w:rsidP="00804401">
      <w:pPr>
        <w:pStyle w:val="RegSingleTxtG"/>
        <w:numPr>
          <w:ilvl w:val="0"/>
          <w:numId w:val="0"/>
        </w:numPr>
        <w:ind w:left="1134" w:right="1133"/>
      </w:pPr>
      <w:r w:rsidRPr="007118B4">
        <w:rPr>
          <w:bCs/>
        </w:rPr>
        <w:t>8.</w:t>
      </w:r>
      <w:r w:rsidRPr="007118B4">
        <w:rPr>
          <w:bCs/>
        </w:rPr>
        <w:tab/>
      </w:r>
      <w:r w:rsidR="005D6AF6" w:rsidRPr="007118B4">
        <w:rPr>
          <w:i/>
          <w:iCs/>
        </w:rPr>
        <w:t xml:space="preserve">Encourages </w:t>
      </w:r>
      <w:r w:rsidR="005D6AF6" w:rsidRPr="007118B4">
        <w:t xml:space="preserve">Parties, Indigenous Peoples as well as local communities to actively engage </w:t>
      </w:r>
      <w:r w:rsidR="005D6AF6">
        <w:t>under</w:t>
      </w:r>
      <w:r w:rsidR="005D6AF6" w:rsidRPr="007118B4">
        <w:t xml:space="preserve"> the Local Communities and Indigenous Peoples Platform, including</w:t>
      </w:r>
      <w:r w:rsidR="005D6AF6">
        <w:t xml:space="preserve"> by engaging in</w:t>
      </w:r>
      <w:r w:rsidR="005D6AF6" w:rsidRPr="007118B4">
        <w:t xml:space="preserve"> the meetings of the Facilitative Working Group;</w:t>
      </w:r>
    </w:p>
    <w:p w14:paraId="719749BC" w14:textId="3D085D5C" w:rsidR="005D6AF6" w:rsidRPr="007118B4" w:rsidRDefault="00804401" w:rsidP="00804401">
      <w:pPr>
        <w:pStyle w:val="RegSingleTxtG"/>
        <w:numPr>
          <w:ilvl w:val="0"/>
          <w:numId w:val="0"/>
        </w:numPr>
        <w:ind w:left="1134" w:right="1133"/>
      </w:pPr>
      <w:r w:rsidRPr="007118B4">
        <w:rPr>
          <w:bCs/>
        </w:rPr>
        <w:t>9.</w:t>
      </w:r>
      <w:r w:rsidRPr="007118B4">
        <w:rPr>
          <w:bCs/>
        </w:rPr>
        <w:tab/>
      </w:r>
      <w:r w:rsidR="005D6AF6" w:rsidRPr="007118B4">
        <w:rPr>
          <w:i/>
          <w:iCs/>
        </w:rPr>
        <w:t>Request</w:t>
      </w:r>
      <w:r w:rsidR="005D6AF6">
        <w:rPr>
          <w:i/>
          <w:iCs/>
        </w:rPr>
        <w:t>s</w:t>
      </w:r>
      <w:r w:rsidR="005D6AF6" w:rsidRPr="007118B4">
        <w:rPr>
          <w:i/>
          <w:iCs/>
        </w:rPr>
        <w:t xml:space="preserve"> </w:t>
      </w:r>
      <w:r w:rsidR="005D6AF6" w:rsidRPr="007118B4">
        <w:t>the secretariat</w:t>
      </w:r>
      <w:r w:rsidR="005D6AF6" w:rsidRPr="007118B4">
        <w:rPr>
          <w:i/>
          <w:iCs/>
        </w:rPr>
        <w:t xml:space="preserve"> </w:t>
      </w:r>
      <w:r w:rsidR="005D6AF6" w:rsidRPr="007118B4">
        <w:t xml:space="preserve">to explore ways </w:t>
      </w:r>
      <w:r w:rsidR="005D6AF6">
        <w:t>to enable</w:t>
      </w:r>
      <w:r w:rsidR="005D6AF6" w:rsidRPr="007118B4">
        <w:t xml:space="preserve"> members of the Facilitative Working Group, especially members serving as representatives of Indigenous Peoples organizations, </w:t>
      </w:r>
      <w:r w:rsidR="005D6AF6">
        <w:t>to</w:t>
      </w:r>
      <w:r w:rsidR="005D6AF6" w:rsidRPr="007118B4">
        <w:t xml:space="preserve"> participate in sessions of the subsidiary bodies and the Conference of the Parties when performing specific tasks in their capacity as members of the Facilitative Working Group;</w:t>
      </w:r>
    </w:p>
    <w:p w14:paraId="53F496AD" w14:textId="77B6DB4F" w:rsidR="005D6AF6" w:rsidRPr="007118B4" w:rsidRDefault="00804401" w:rsidP="00804401">
      <w:pPr>
        <w:pStyle w:val="RegSingleTxtG"/>
        <w:numPr>
          <w:ilvl w:val="0"/>
          <w:numId w:val="0"/>
        </w:numPr>
        <w:ind w:left="1134" w:right="1133"/>
      </w:pPr>
      <w:r w:rsidRPr="007118B4">
        <w:rPr>
          <w:bCs/>
        </w:rPr>
        <w:t>10.</w:t>
      </w:r>
      <w:r w:rsidRPr="007118B4">
        <w:rPr>
          <w:bCs/>
        </w:rPr>
        <w:tab/>
      </w:r>
      <w:r w:rsidR="005D6AF6">
        <w:rPr>
          <w:i/>
          <w:iCs/>
        </w:rPr>
        <w:t>Also r</w:t>
      </w:r>
      <w:r w:rsidR="005D6AF6" w:rsidRPr="007118B4">
        <w:rPr>
          <w:i/>
          <w:iCs/>
        </w:rPr>
        <w:t>equest</w:t>
      </w:r>
      <w:r w:rsidR="005D6AF6">
        <w:rPr>
          <w:i/>
          <w:iCs/>
        </w:rPr>
        <w:t>s</w:t>
      </w:r>
      <w:r w:rsidR="005D6AF6" w:rsidRPr="007118B4">
        <w:t xml:space="preserve"> the secretariat to </w:t>
      </w:r>
      <w:r w:rsidR="005D6AF6">
        <w:t>explore possible</w:t>
      </w:r>
      <w:r w:rsidR="005D6AF6" w:rsidRPr="007118B4">
        <w:t xml:space="preserve"> arrangements for simultaneous interpretation in the official languages of the United Nations that correspond to the actual language requirements of the members and contributors present at meetings of the Facilitative Working Group and in mandated events under the Local Communities and Indigenous Peoples Platform and</w:t>
      </w:r>
      <w:r w:rsidR="005D6AF6" w:rsidRPr="00FE3B6F">
        <w:rPr>
          <w:i/>
          <w:iCs/>
        </w:rPr>
        <w:t xml:space="preserve"> </w:t>
      </w:r>
      <w:r w:rsidR="005D6AF6" w:rsidRPr="007118B4">
        <w:t xml:space="preserve">to explore and inform </w:t>
      </w:r>
      <w:r w:rsidR="005D6AF6">
        <w:t xml:space="preserve">the Facilitative Working Group at its meetings </w:t>
      </w:r>
      <w:r w:rsidR="005D6AF6" w:rsidRPr="007118B4">
        <w:t xml:space="preserve">on options </w:t>
      </w:r>
      <w:r w:rsidR="005D6AF6">
        <w:t>for</w:t>
      </w:r>
      <w:r w:rsidR="005D6AF6" w:rsidRPr="007118B4">
        <w:t xml:space="preserve"> furthering language support</w:t>
      </w:r>
      <w:r w:rsidR="005D6AF6">
        <w:t xml:space="preserve"> at such meetings and events</w:t>
      </w:r>
      <w:r w:rsidR="005D6AF6" w:rsidRPr="007118B4">
        <w:t xml:space="preserve"> </w:t>
      </w:r>
      <w:r w:rsidR="005D6AF6">
        <w:t>to enable</w:t>
      </w:r>
      <w:r w:rsidR="005D6AF6" w:rsidRPr="007118B4">
        <w:t xml:space="preserve"> full participation </w:t>
      </w:r>
      <w:r w:rsidR="005D6AF6">
        <w:t xml:space="preserve">therein </w:t>
      </w:r>
      <w:r w:rsidR="005D6AF6" w:rsidRPr="007118B4">
        <w:t xml:space="preserve">in additional </w:t>
      </w:r>
      <w:r w:rsidR="005D6AF6">
        <w:t>relevant languages, as appropriate</w:t>
      </w:r>
      <w:r w:rsidR="005D6AF6" w:rsidRPr="007118B4">
        <w:t>;</w:t>
      </w:r>
    </w:p>
    <w:p w14:paraId="69453B8B" w14:textId="48802922" w:rsidR="005D6AF6" w:rsidRPr="007118B4" w:rsidRDefault="00804401" w:rsidP="00804401">
      <w:pPr>
        <w:pStyle w:val="RegSingleTxtG"/>
        <w:numPr>
          <w:ilvl w:val="0"/>
          <w:numId w:val="0"/>
        </w:numPr>
        <w:ind w:left="1134" w:right="1133"/>
        <w:rPr>
          <w:rStyle w:val="ui-provider"/>
        </w:rPr>
      </w:pPr>
      <w:r w:rsidRPr="007118B4">
        <w:rPr>
          <w:rStyle w:val="ui-provider"/>
          <w:bCs/>
        </w:rPr>
        <w:t>11.</w:t>
      </w:r>
      <w:r w:rsidRPr="007118B4">
        <w:rPr>
          <w:rStyle w:val="ui-provider"/>
          <w:bCs/>
        </w:rPr>
        <w:tab/>
      </w:r>
      <w:r w:rsidR="005D6AF6" w:rsidRPr="00067A1C">
        <w:rPr>
          <w:rStyle w:val="ui-provider"/>
          <w:i/>
        </w:rPr>
        <w:t>Invites</w:t>
      </w:r>
      <w:r w:rsidR="005D6AF6" w:rsidRPr="007118B4">
        <w:rPr>
          <w:rStyle w:val="ui-provider"/>
        </w:rPr>
        <w:t xml:space="preserve"> Parties that wish to do so to provide simultaneous interpretation into languages other than </w:t>
      </w:r>
      <w:r w:rsidR="005D6AF6">
        <w:rPr>
          <w:rStyle w:val="ui-provider"/>
        </w:rPr>
        <w:t>the</w:t>
      </w:r>
      <w:r w:rsidR="005D6AF6" w:rsidRPr="007118B4">
        <w:rPr>
          <w:rStyle w:val="ui-provider"/>
        </w:rPr>
        <w:t xml:space="preserve"> official language</w:t>
      </w:r>
      <w:r w:rsidR="005D6AF6">
        <w:rPr>
          <w:rStyle w:val="ui-provider"/>
        </w:rPr>
        <w:t>s</w:t>
      </w:r>
      <w:r w:rsidR="005D6AF6" w:rsidRPr="007118B4">
        <w:rPr>
          <w:rStyle w:val="ui-provider"/>
        </w:rPr>
        <w:t xml:space="preserve"> of the United Nations </w:t>
      </w:r>
      <w:r w:rsidR="005D6AF6">
        <w:t>at meetings of the Facilitative Working Group and mandated events under the Local Communities and Indigenous Peoples Platform</w:t>
      </w:r>
      <w:r w:rsidR="005D6AF6">
        <w:rPr>
          <w:rStyle w:val="ui-provider"/>
        </w:rPr>
        <w:t xml:space="preserve"> </w:t>
      </w:r>
      <w:r w:rsidR="005D6AF6" w:rsidRPr="007118B4">
        <w:rPr>
          <w:rStyle w:val="ui-provider"/>
        </w:rPr>
        <w:t xml:space="preserve">and </w:t>
      </w:r>
      <w:r w:rsidR="005D6AF6" w:rsidRPr="00067A1C">
        <w:rPr>
          <w:rStyle w:val="ui-provider"/>
          <w:i/>
        </w:rPr>
        <w:t>requests</w:t>
      </w:r>
      <w:r w:rsidR="005D6AF6" w:rsidRPr="007118B4">
        <w:rPr>
          <w:rStyle w:val="ui-provider"/>
        </w:rPr>
        <w:t xml:space="preserve"> the secretariat, where possible, to make any necessary arrangements </w:t>
      </w:r>
      <w:r w:rsidR="005D6AF6">
        <w:rPr>
          <w:rStyle w:val="ui-provider"/>
        </w:rPr>
        <w:t>f</w:t>
      </w:r>
      <w:r w:rsidR="005D6AF6" w:rsidRPr="007118B4">
        <w:rPr>
          <w:rStyle w:val="ui-provider"/>
        </w:rPr>
        <w:t>o</w:t>
      </w:r>
      <w:r w:rsidR="005D6AF6">
        <w:rPr>
          <w:rStyle w:val="ui-provider"/>
        </w:rPr>
        <w:t>r</w:t>
      </w:r>
      <w:r w:rsidR="005D6AF6" w:rsidRPr="007118B4">
        <w:rPr>
          <w:rStyle w:val="ui-provider"/>
        </w:rPr>
        <w:t xml:space="preserve"> accommodat</w:t>
      </w:r>
      <w:r w:rsidR="005D6AF6">
        <w:rPr>
          <w:rStyle w:val="ui-provider"/>
        </w:rPr>
        <w:t>ing</w:t>
      </w:r>
      <w:r w:rsidR="005D6AF6" w:rsidRPr="007118B4">
        <w:rPr>
          <w:rStyle w:val="ui-provider"/>
        </w:rPr>
        <w:t xml:space="preserve"> such</w:t>
      </w:r>
      <w:r w:rsidR="005D6AF6">
        <w:rPr>
          <w:rStyle w:val="ui-provider"/>
        </w:rPr>
        <w:t xml:space="preserve"> additional </w:t>
      </w:r>
      <w:r w:rsidR="005D6AF6" w:rsidRPr="007118B4">
        <w:rPr>
          <w:rStyle w:val="ui-provider"/>
        </w:rPr>
        <w:t>simultaneous interpretation;</w:t>
      </w:r>
    </w:p>
    <w:p w14:paraId="200A3564" w14:textId="1397FAE0" w:rsidR="005D6AF6" w:rsidRPr="007118B4" w:rsidRDefault="00804401" w:rsidP="00804401">
      <w:pPr>
        <w:pStyle w:val="RegSingleTxtG"/>
        <w:numPr>
          <w:ilvl w:val="0"/>
          <w:numId w:val="0"/>
        </w:numPr>
        <w:ind w:left="1134" w:right="1133"/>
      </w:pPr>
      <w:r w:rsidRPr="007118B4">
        <w:rPr>
          <w:bCs/>
        </w:rPr>
        <w:t>12.</w:t>
      </w:r>
      <w:r w:rsidRPr="007118B4">
        <w:rPr>
          <w:bCs/>
        </w:rPr>
        <w:tab/>
      </w:r>
      <w:r w:rsidR="005D6AF6" w:rsidRPr="007118B4">
        <w:rPr>
          <w:i/>
          <w:iCs/>
        </w:rPr>
        <w:t xml:space="preserve">Recognizes </w:t>
      </w:r>
      <w:r w:rsidR="005D6AF6" w:rsidRPr="007118B4">
        <w:t xml:space="preserve">the importance of institutional knowledge and continuity in the efforts of the Facilitative Working Group to further operationalize the </w:t>
      </w:r>
      <w:r w:rsidR="005D6AF6">
        <w:t xml:space="preserve">Local Communities and Indigenous Peoples </w:t>
      </w:r>
      <w:r w:rsidR="005D6AF6" w:rsidRPr="007118B4">
        <w:t>Platform and facilitate implementation of the functions of the Platform;</w:t>
      </w:r>
    </w:p>
    <w:p w14:paraId="42AEF467" w14:textId="725DCD40" w:rsidR="005D6AF6" w:rsidRPr="007118B4" w:rsidRDefault="00804401" w:rsidP="00804401">
      <w:pPr>
        <w:pStyle w:val="RegSingleTxtG"/>
        <w:numPr>
          <w:ilvl w:val="0"/>
          <w:numId w:val="0"/>
        </w:numPr>
        <w:ind w:left="1134" w:right="1133"/>
      </w:pPr>
      <w:r w:rsidRPr="007118B4">
        <w:rPr>
          <w:bCs/>
        </w:rPr>
        <w:t>13.</w:t>
      </w:r>
      <w:r w:rsidRPr="007118B4">
        <w:rPr>
          <w:bCs/>
        </w:rPr>
        <w:tab/>
      </w:r>
      <w:r w:rsidR="005D6AF6" w:rsidRPr="007118B4">
        <w:rPr>
          <w:i/>
          <w:iCs/>
        </w:rPr>
        <w:t xml:space="preserve">Decides </w:t>
      </w:r>
      <w:r w:rsidR="005D6AF6" w:rsidRPr="007118B4">
        <w:t>that, of the representatives who will be appointed as members of the Facilitative Working Group with a term beginning in June 2025,</w:t>
      </w:r>
      <w:r w:rsidR="005D6AF6" w:rsidRPr="007118B4">
        <w:rPr>
          <w:i/>
          <w:iCs/>
        </w:rPr>
        <w:t xml:space="preserve"> </w:t>
      </w:r>
      <w:r w:rsidR="005D6AF6" w:rsidRPr="007118B4">
        <w:t xml:space="preserve">three Party representatives and three representatives from Indigenous Peoples organizations shall serve for a term of two years instead of three years, after which time all representatives shall serve for a term of three years in accordance with decision </w:t>
      </w:r>
      <w:hyperlink r:id="rId61" w:history="1">
        <w:r w:rsidR="005D6AF6" w:rsidRPr="00303C6A">
          <w:rPr>
            <w:rStyle w:val="Hyperlink"/>
          </w:rPr>
          <w:t>2/CP.24</w:t>
        </w:r>
      </w:hyperlink>
      <w:r w:rsidR="005D6AF6" w:rsidRPr="007118B4">
        <w:t>;</w:t>
      </w:r>
    </w:p>
    <w:p w14:paraId="4CE2DA4D" w14:textId="2A71FF59" w:rsidR="005D6AF6" w:rsidRPr="007118B4" w:rsidRDefault="00804401" w:rsidP="00804401">
      <w:pPr>
        <w:pStyle w:val="RegSingleTxtG"/>
        <w:numPr>
          <w:ilvl w:val="0"/>
          <w:numId w:val="0"/>
        </w:numPr>
        <w:ind w:left="1134" w:right="1133"/>
      </w:pPr>
      <w:r w:rsidRPr="007118B4">
        <w:rPr>
          <w:bCs/>
        </w:rPr>
        <w:t>14.</w:t>
      </w:r>
      <w:r w:rsidRPr="007118B4">
        <w:rPr>
          <w:bCs/>
        </w:rPr>
        <w:tab/>
      </w:r>
      <w:r w:rsidR="005D6AF6" w:rsidRPr="007118B4">
        <w:rPr>
          <w:i/>
          <w:iCs/>
        </w:rPr>
        <w:t xml:space="preserve">Invites </w:t>
      </w:r>
      <w:r w:rsidR="005D6AF6" w:rsidRPr="007118B4">
        <w:t xml:space="preserve">the Facilitative Working Group to decide which Party representatives and which representatives </w:t>
      </w:r>
      <w:r w:rsidR="005D6AF6">
        <w:t>from</w:t>
      </w:r>
      <w:r w:rsidR="005D6AF6" w:rsidRPr="007118B4">
        <w:t xml:space="preserve"> Indigenous Peoples organizations shall serve for </w:t>
      </w:r>
      <w:r w:rsidR="005D6AF6">
        <w:t xml:space="preserve">a </w:t>
      </w:r>
      <w:r w:rsidR="005D6AF6" w:rsidRPr="007118B4">
        <w:t>term of two years, as referred to in para</w:t>
      </w:r>
      <w:r w:rsidR="005D6AF6">
        <w:t>graph</w:t>
      </w:r>
      <w:r w:rsidR="005D6AF6" w:rsidRPr="007118B4">
        <w:t xml:space="preserve"> 1</w:t>
      </w:r>
      <w:r w:rsidR="005D6AF6">
        <w:t>3</w:t>
      </w:r>
      <w:r w:rsidR="005D6AF6" w:rsidRPr="007118B4">
        <w:t xml:space="preserve"> above, in a manner that ensures geographical and gender balance;</w:t>
      </w:r>
    </w:p>
    <w:p w14:paraId="35DD8F5E" w14:textId="495A5B6B" w:rsidR="005D6AF6" w:rsidRPr="007118B4" w:rsidRDefault="00804401" w:rsidP="00804401">
      <w:pPr>
        <w:pStyle w:val="RegSingleTxtG"/>
        <w:numPr>
          <w:ilvl w:val="0"/>
          <w:numId w:val="0"/>
        </w:numPr>
        <w:ind w:left="1134" w:right="1133"/>
      </w:pPr>
      <w:r w:rsidRPr="007118B4">
        <w:rPr>
          <w:bCs/>
        </w:rPr>
        <w:t>15.</w:t>
      </w:r>
      <w:r w:rsidRPr="007118B4">
        <w:rPr>
          <w:bCs/>
        </w:rPr>
        <w:tab/>
      </w:r>
      <w:r w:rsidR="005D6AF6" w:rsidRPr="007118B4">
        <w:rPr>
          <w:i/>
          <w:iCs/>
        </w:rPr>
        <w:t xml:space="preserve">Notes </w:t>
      </w:r>
      <w:r w:rsidR="005D6AF6" w:rsidRPr="00DE6CBA">
        <w:rPr>
          <w:i/>
          <w:iCs/>
        </w:rPr>
        <w:t>with appreciation</w:t>
      </w:r>
      <w:r w:rsidR="005D6AF6" w:rsidRPr="007118B4">
        <w:t xml:space="preserve"> that activities and mandated events</w:t>
      </w:r>
      <w:r w:rsidR="005D6AF6">
        <w:t xml:space="preserve"> under the Local Communities and Indigenous Peoples Platform</w:t>
      </w:r>
      <w:r w:rsidR="005D6AF6" w:rsidRPr="007118B4">
        <w:t xml:space="preserve">, </w:t>
      </w:r>
      <w:r w:rsidR="005D6AF6">
        <w:t>as well as</w:t>
      </w:r>
      <w:r w:rsidR="005D6AF6" w:rsidRPr="007118B4">
        <w:t xml:space="preserve"> meetings of the Facilitative Working Group, remain open to and inclusive of local communities and a wide range of Platform contributors, </w:t>
      </w:r>
      <w:r w:rsidR="005D6AF6" w:rsidRPr="006B44C6">
        <w:rPr>
          <w:i/>
          <w:iCs/>
        </w:rPr>
        <w:t>encourages</w:t>
      </w:r>
      <w:r w:rsidR="005D6AF6" w:rsidRPr="007118B4">
        <w:t xml:space="preserve"> Parties</w:t>
      </w:r>
      <w:r w:rsidR="005D6AF6">
        <w:t xml:space="preserve"> and</w:t>
      </w:r>
      <w:r w:rsidR="005D6AF6" w:rsidRPr="007118B4">
        <w:t xml:space="preserve"> relevant constituted bodies, in particular the </w:t>
      </w:r>
      <w:r w:rsidR="005D6AF6" w:rsidRPr="0040297B">
        <w:t>Facilitative Working Group</w:t>
      </w:r>
      <w:r w:rsidR="005D6AF6" w:rsidRPr="007118B4">
        <w:t xml:space="preserve">, and </w:t>
      </w:r>
      <w:r w:rsidR="005D6AF6">
        <w:t xml:space="preserve">representatives of </w:t>
      </w:r>
      <w:r w:rsidR="005D6AF6" w:rsidRPr="007118B4">
        <w:t xml:space="preserve">workstreams </w:t>
      </w:r>
      <w:r w:rsidR="005D6AF6">
        <w:t xml:space="preserve">under the Convention and the Paris Agreement </w:t>
      </w:r>
      <w:r w:rsidR="005D6AF6" w:rsidRPr="007118B4">
        <w:t xml:space="preserve">to consider ways to further engage local communities and </w:t>
      </w:r>
      <w:r w:rsidR="005D6AF6" w:rsidRPr="007118B4">
        <w:rPr>
          <w:i/>
          <w:iCs/>
        </w:rPr>
        <w:t>invites</w:t>
      </w:r>
      <w:r w:rsidR="005D6AF6" w:rsidRPr="007118B4">
        <w:t xml:space="preserve"> the incoming Presidency of </w:t>
      </w:r>
      <w:r w:rsidR="005D6AF6">
        <w:t>the thirtieth</w:t>
      </w:r>
      <w:r w:rsidR="005D6AF6" w:rsidRPr="007118B4">
        <w:t xml:space="preserve"> session of the Conference of </w:t>
      </w:r>
      <w:r w:rsidR="005D6AF6">
        <w:t xml:space="preserve">the </w:t>
      </w:r>
      <w:r w:rsidR="005D6AF6" w:rsidRPr="007118B4">
        <w:t>Parties</w:t>
      </w:r>
      <w:r w:rsidR="005D6AF6">
        <w:t xml:space="preserve"> (November 2025)</w:t>
      </w:r>
      <w:r w:rsidR="005D6AF6" w:rsidRPr="007118B4">
        <w:t xml:space="preserve"> to convene in conjunction with th</w:t>
      </w:r>
      <w:r w:rsidR="005D6AF6">
        <w:t>at</w:t>
      </w:r>
      <w:r w:rsidR="005D6AF6" w:rsidRPr="007118B4">
        <w:t xml:space="preserve"> session a thematic workshop and relevant dialogues in line with the activities included in the workplan</w:t>
      </w:r>
      <w:r w:rsidR="005D6AF6">
        <w:t xml:space="preserve"> of the Local Communities and Indigenous Peoples Platform</w:t>
      </w:r>
      <w:r w:rsidR="005D6AF6" w:rsidRPr="007118B4">
        <w:t>;</w:t>
      </w:r>
    </w:p>
    <w:p w14:paraId="0FD1E95C" w14:textId="10CAA64C" w:rsidR="005D6AF6" w:rsidRPr="007118B4" w:rsidRDefault="00804401" w:rsidP="00804401">
      <w:pPr>
        <w:pStyle w:val="RegSingleTxtG"/>
        <w:numPr>
          <w:ilvl w:val="0"/>
          <w:numId w:val="0"/>
        </w:numPr>
        <w:ind w:left="1134" w:right="1133"/>
      </w:pPr>
      <w:r w:rsidRPr="007118B4">
        <w:rPr>
          <w:bCs/>
        </w:rPr>
        <w:t>16.</w:t>
      </w:r>
      <w:r w:rsidRPr="007118B4">
        <w:rPr>
          <w:bCs/>
        </w:rPr>
        <w:tab/>
      </w:r>
      <w:r w:rsidR="005D6AF6" w:rsidRPr="007118B4">
        <w:rPr>
          <w:i/>
          <w:iCs/>
        </w:rPr>
        <w:t xml:space="preserve">Also invites </w:t>
      </w:r>
      <w:r w:rsidR="005D6AF6" w:rsidRPr="007118B4">
        <w:t xml:space="preserve">Parties, </w:t>
      </w:r>
      <w:r w:rsidR="005D6AF6">
        <w:t>relevant</w:t>
      </w:r>
      <w:r w:rsidR="005D6AF6" w:rsidRPr="007118B4">
        <w:t xml:space="preserve"> constituted bodies</w:t>
      </w:r>
      <w:r w:rsidR="005D6AF6">
        <w:t xml:space="preserve"> and</w:t>
      </w:r>
      <w:r w:rsidR="005D6AF6" w:rsidRPr="007118B4">
        <w:t xml:space="preserve"> representatives of work programmes under the Convention and the Paris Agreement and other stakeholders, including regional entities, to take into account the challenges and recommendations related </w:t>
      </w:r>
      <w:r w:rsidR="005D6AF6" w:rsidRPr="007118B4">
        <w:lastRenderedPageBreak/>
        <w:t xml:space="preserve">to enhancing the engagement of Indigenous Peoples and of local communities under the </w:t>
      </w:r>
      <w:r w:rsidR="005D6AF6">
        <w:t>Convention</w:t>
      </w:r>
      <w:r w:rsidR="005D6AF6" w:rsidRPr="007118B4">
        <w:t xml:space="preserve"> and </w:t>
      </w:r>
      <w:r w:rsidR="005D6AF6">
        <w:t xml:space="preserve">the </w:t>
      </w:r>
      <w:r w:rsidR="005D6AF6" w:rsidRPr="007118B4">
        <w:t xml:space="preserve">Paris Agreement </w:t>
      </w:r>
      <w:r w:rsidR="005D6AF6">
        <w:t xml:space="preserve">as </w:t>
      </w:r>
      <w:r w:rsidR="005D6AF6" w:rsidRPr="007118B4">
        <w:t>detailed in the report referred to in paragraph 2 above;</w:t>
      </w:r>
    </w:p>
    <w:p w14:paraId="02F22A98" w14:textId="16D1FC59" w:rsidR="005D6AF6" w:rsidRPr="007118B4" w:rsidRDefault="00804401" w:rsidP="00804401">
      <w:pPr>
        <w:pStyle w:val="RegSingleTxtG"/>
        <w:numPr>
          <w:ilvl w:val="0"/>
          <w:numId w:val="0"/>
        </w:numPr>
        <w:ind w:left="1134" w:right="1133"/>
      </w:pPr>
      <w:r w:rsidRPr="007118B4">
        <w:rPr>
          <w:bCs/>
        </w:rPr>
        <w:t>17.</w:t>
      </w:r>
      <w:r w:rsidRPr="007118B4">
        <w:rPr>
          <w:bCs/>
        </w:rPr>
        <w:tab/>
      </w:r>
      <w:r w:rsidR="005D6AF6" w:rsidRPr="00F1108E">
        <w:rPr>
          <w:i/>
          <w:iCs/>
        </w:rPr>
        <w:t xml:space="preserve">Requests </w:t>
      </w:r>
      <w:r w:rsidR="005D6AF6" w:rsidRPr="007118B4">
        <w:t xml:space="preserve">the Facilitative Working Group to report on </w:t>
      </w:r>
      <w:r w:rsidR="005D6AF6">
        <w:t>the</w:t>
      </w:r>
      <w:r w:rsidR="005D6AF6" w:rsidRPr="007118B4">
        <w:t xml:space="preserve"> outcomes</w:t>
      </w:r>
      <w:r w:rsidR="005D6AF6">
        <w:t xml:space="preserve"> of its work</w:t>
      </w:r>
      <w:r w:rsidR="005D6AF6" w:rsidRPr="007118B4">
        <w:t>, including the activities under the workplan for 2025–2027</w:t>
      </w:r>
      <w:r w:rsidR="005D6AF6">
        <w:t>,</w:t>
      </w:r>
      <w:r w:rsidR="005D6AF6" w:rsidRPr="007118B4">
        <w:t xml:space="preserve"> </w:t>
      </w:r>
      <w:r w:rsidR="005D6AF6">
        <w:t xml:space="preserve">to </w:t>
      </w:r>
      <w:r w:rsidR="005D6AF6" w:rsidRPr="007118B4">
        <w:t xml:space="preserve">consider and, as appropriate, propose recommendations relating to the scope and functions of the </w:t>
      </w:r>
      <w:r w:rsidR="005D6AF6">
        <w:t>P</w:t>
      </w:r>
      <w:r w:rsidR="005D6AF6" w:rsidRPr="007118B4">
        <w:t xml:space="preserve">latform and </w:t>
      </w:r>
      <w:r w:rsidR="005D6AF6">
        <w:t xml:space="preserve">to prepare a </w:t>
      </w:r>
      <w:r w:rsidR="005D6AF6" w:rsidRPr="007118B4">
        <w:t>draft</w:t>
      </w:r>
      <w:r w:rsidR="005D6AF6" w:rsidRPr="007118B4" w:rsidDel="003B6AED">
        <w:t xml:space="preserve"> </w:t>
      </w:r>
      <w:r w:rsidR="005D6AF6" w:rsidRPr="007118B4">
        <w:t xml:space="preserve">workplan </w:t>
      </w:r>
      <w:r w:rsidR="005D6AF6">
        <w:t>f</w:t>
      </w:r>
      <w:r w:rsidR="005D6AF6" w:rsidRPr="007118B4">
        <w:t>o</w:t>
      </w:r>
      <w:r w:rsidR="005D6AF6">
        <w:t>r</w:t>
      </w:r>
      <w:r w:rsidR="005D6AF6" w:rsidRPr="007118B4">
        <w:t xml:space="preserve"> the Local Communities and Indigenous Peoples Platform for 2028–2031 for consideration by the Conference of the Parties at its thirty-second session (</w:t>
      </w:r>
      <w:r w:rsidR="005D6AF6">
        <w:t xml:space="preserve">November </w:t>
      </w:r>
      <w:r w:rsidR="005D6AF6" w:rsidRPr="007118B4">
        <w:t>2027) through the Subsidiary Body for Scientific and Technological Advice at its sixty-sixth session (June 2027);</w:t>
      </w:r>
    </w:p>
    <w:p w14:paraId="1F58B73A" w14:textId="79BB0594" w:rsidR="005D6AF6" w:rsidRPr="007118B4" w:rsidRDefault="00804401" w:rsidP="00804401">
      <w:pPr>
        <w:pStyle w:val="RegSingleTxtG"/>
        <w:numPr>
          <w:ilvl w:val="0"/>
          <w:numId w:val="0"/>
        </w:numPr>
        <w:ind w:left="1134" w:right="1133"/>
      </w:pPr>
      <w:r w:rsidRPr="007118B4">
        <w:rPr>
          <w:bCs/>
        </w:rPr>
        <w:t>18.</w:t>
      </w:r>
      <w:r w:rsidRPr="007118B4">
        <w:rPr>
          <w:bCs/>
        </w:rPr>
        <w:tab/>
      </w:r>
      <w:r w:rsidR="005D6AF6" w:rsidRPr="007118B4">
        <w:rPr>
          <w:i/>
          <w:iCs/>
        </w:rPr>
        <w:t xml:space="preserve">Decides </w:t>
      </w:r>
      <w:r w:rsidR="005D6AF6" w:rsidRPr="007118B4">
        <w:t>t</w:t>
      </w:r>
      <w:r w:rsidR="005D6AF6">
        <w:t xml:space="preserve">hat </w:t>
      </w:r>
      <w:r w:rsidR="005D6AF6" w:rsidRPr="007118B4">
        <w:t xml:space="preserve">the next review of the Facilitative Working Group will take place in 2027 and </w:t>
      </w:r>
      <w:r w:rsidR="005D6AF6" w:rsidRPr="007118B4">
        <w:rPr>
          <w:i/>
          <w:iCs/>
        </w:rPr>
        <w:t>requests</w:t>
      </w:r>
      <w:r w:rsidR="005D6AF6" w:rsidRPr="007118B4">
        <w:t xml:space="preserve"> </w:t>
      </w:r>
      <w:r w:rsidR="005D6AF6" w:rsidRPr="007118B4">
        <w:rPr>
          <w:color w:val="000000"/>
        </w:rPr>
        <w:t>the Subsidiary Body for Scientific and Technological Advice to conduct the review</w:t>
      </w:r>
      <w:r w:rsidR="005D6AF6">
        <w:rPr>
          <w:color w:val="000000"/>
        </w:rPr>
        <w:t xml:space="preserve"> at its sixty-sixth session</w:t>
      </w:r>
      <w:r w:rsidR="005D6AF6" w:rsidRPr="007118B4">
        <w:rPr>
          <w:color w:val="000000"/>
        </w:rPr>
        <w:t xml:space="preserve"> </w:t>
      </w:r>
      <w:r w:rsidR="005D6AF6" w:rsidRPr="007118B4">
        <w:t xml:space="preserve">with a view to the Conference of the Parties adopting a decision </w:t>
      </w:r>
      <w:r w:rsidR="005D6AF6">
        <w:t>there</w:t>
      </w:r>
      <w:r w:rsidR="005D6AF6" w:rsidRPr="007118B4">
        <w:t xml:space="preserve">on at its thirty-second session; </w:t>
      </w:r>
    </w:p>
    <w:p w14:paraId="2979F3C8" w14:textId="2E9087EB" w:rsidR="005D6AF6" w:rsidRPr="007118B4" w:rsidRDefault="00804401" w:rsidP="00804401">
      <w:pPr>
        <w:pStyle w:val="RegSingleTxtG"/>
        <w:numPr>
          <w:ilvl w:val="0"/>
          <w:numId w:val="0"/>
        </w:numPr>
        <w:ind w:left="1134" w:right="1133"/>
        <w:rPr>
          <w:lang w:val="en-US"/>
        </w:rPr>
      </w:pPr>
      <w:r w:rsidRPr="007118B4">
        <w:rPr>
          <w:bCs/>
          <w:lang w:val="en-US"/>
        </w:rPr>
        <w:t>19.</w:t>
      </w:r>
      <w:r w:rsidRPr="007118B4">
        <w:rPr>
          <w:bCs/>
          <w:lang w:val="en-US"/>
        </w:rPr>
        <w:tab/>
      </w:r>
      <w:r w:rsidR="005D6AF6" w:rsidRPr="007118B4">
        <w:rPr>
          <w:i/>
          <w:iCs/>
          <w:lang w:val="en-US"/>
        </w:rPr>
        <w:t xml:space="preserve">Invites </w:t>
      </w:r>
      <w:r w:rsidR="005D6AF6" w:rsidRPr="007118B4">
        <w:rPr>
          <w:lang w:val="en-US"/>
        </w:rPr>
        <w:t>Parties, Indigenous Peoples, local communities and stakeholders to submi</w:t>
      </w:r>
      <w:r w:rsidR="005D6AF6">
        <w:rPr>
          <w:lang w:val="en-US"/>
        </w:rPr>
        <w:t>t via the submission portal</w:t>
      </w:r>
      <w:r w:rsidR="005D6AF6">
        <w:rPr>
          <w:rStyle w:val="FootnoteReference"/>
          <w:lang w:val="en-US"/>
        </w:rPr>
        <w:footnoteReference w:id="19"/>
      </w:r>
      <w:r w:rsidR="005D6AF6" w:rsidRPr="007118B4">
        <w:rPr>
          <w:lang w:val="en-US"/>
        </w:rPr>
        <w:t xml:space="preserve"> by 30 September 2026 </w:t>
      </w:r>
      <w:r w:rsidR="005D6AF6">
        <w:rPr>
          <w:lang w:val="en-US"/>
        </w:rPr>
        <w:t xml:space="preserve">views </w:t>
      </w:r>
      <w:r w:rsidR="005D6AF6" w:rsidRPr="007118B4">
        <w:rPr>
          <w:lang w:val="en-US"/>
        </w:rPr>
        <w:t xml:space="preserve">on activities and thematic focuses for the workplan of the Local Communities and Indigenous Peoples Platform for </w:t>
      </w:r>
      <w:r w:rsidR="005D6AF6" w:rsidRPr="007118B4">
        <w:t>2028–2031</w:t>
      </w:r>
      <w:r w:rsidR="005D6AF6" w:rsidRPr="007118B4">
        <w:rPr>
          <w:lang w:val="en-US"/>
        </w:rPr>
        <w:t xml:space="preserve"> for consideration by the Facilitative Working Group </w:t>
      </w:r>
      <w:r w:rsidR="005D6AF6">
        <w:rPr>
          <w:lang w:val="en-US"/>
        </w:rPr>
        <w:t>at its 16</w:t>
      </w:r>
      <w:r w:rsidR="005D6AF6" w:rsidRPr="0088499F">
        <w:rPr>
          <w:vertAlign w:val="superscript"/>
          <w:lang w:val="en-US"/>
        </w:rPr>
        <w:t>th</w:t>
      </w:r>
      <w:r w:rsidR="005D6AF6">
        <w:rPr>
          <w:lang w:val="en-US"/>
        </w:rPr>
        <w:t xml:space="preserve"> meeting, to be held </w:t>
      </w:r>
      <w:r w:rsidR="005D6AF6" w:rsidRPr="007118B4">
        <w:rPr>
          <w:lang w:val="en-US"/>
        </w:rPr>
        <w:t xml:space="preserve">in 2026, and </w:t>
      </w:r>
      <w:r w:rsidR="005D6AF6">
        <w:rPr>
          <w:lang w:val="en-US"/>
        </w:rPr>
        <w:t>to</w:t>
      </w:r>
      <w:r w:rsidR="005D6AF6" w:rsidRPr="007118B4">
        <w:rPr>
          <w:lang w:val="en-US"/>
        </w:rPr>
        <w:t xml:space="preserve"> submit </w:t>
      </w:r>
      <w:r w:rsidR="005D6AF6">
        <w:rPr>
          <w:lang w:val="en-US"/>
        </w:rPr>
        <w:t xml:space="preserve">via the submission portal by 1 November 2026 </w:t>
      </w:r>
      <w:r w:rsidR="005D6AF6" w:rsidRPr="007118B4">
        <w:rPr>
          <w:lang w:val="en-US"/>
        </w:rPr>
        <w:t xml:space="preserve">views on the impact of work under the Local Communities and Indigenous Peoples Platform, </w:t>
      </w:r>
      <w:r w:rsidR="005D6AF6">
        <w:rPr>
          <w:lang w:val="en-US"/>
        </w:rPr>
        <w:t xml:space="preserve">which will </w:t>
      </w:r>
      <w:r w:rsidR="005D6AF6" w:rsidRPr="007118B4">
        <w:rPr>
          <w:lang w:val="en-US"/>
        </w:rPr>
        <w:t>serv</w:t>
      </w:r>
      <w:r w:rsidR="005D6AF6">
        <w:rPr>
          <w:lang w:val="en-US"/>
        </w:rPr>
        <w:t>e</w:t>
      </w:r>
      <w:r w:rsidR="005D6AF6" w:rsidRPr="007118B4">
        <w:rPr>
          <w:lang w:val="en-US"/>
        </w:rPr>
        <w:t xml:space="preserve"> as input to the review of the Facilitative Working Group in 2027;</w:t>
      </w:r>
    </w:p>
    <w:p w14:paraId="468A039E" w14:textId="534238F9" w:rsidR="005D6AF6" w:rsidRPr="007118B4" w:rsidRDefault="00804401" w:rsidP="00804401">
      <w:pPr>
        <w:pStyle w:val="RegSingleTxtG"/>
        <w:numPr>
          <w:ilvl w:val="0"/>
          <w:numId w:val="0"/>
        </w:numPr>
        <w:ind w:left="1134" w:right="1133"/>
      </w:pPr>
      <w:r w:rsidRPr="007118B4">
        <w:rPr>
          <w:bCs/>
        </w:rPr>
        <w:t>20.</w:t>
      </w:r>
      <w:r w:rsidRPr="007118B4">
        <w:rPr>
          <w:bCs/>
        </w:rPr>
        <w:tab/>
      </w:r>
      <w:r w:rsidR="005D6AF6" w:rsidRPr="007118B4">
        <w:rPr>
          <w:i/>
          <w:iCs/>
        </w:rPr>
        <w:t xml:space="preserve">Encourages </w:t>
      </w:r>
      <w:r w:rsidR="005D6AF6" w:rsidRPr="007118B4">
        <w:t xml:space="preserve">Parties, </w:t>
      </w:r>
      <w:r w:rsidR="005D6AF6">
        <w:t xml:space="preserve">relevant </w:t>
      </w:r>
      <w:r w:rsidR="005D6AF6" w:rsidRPr="007118B4">
        <w:t>constituted bodies</w:t>
      </w:r>
      <w:r w:rsidR="005D6AF6">
        <w:t xml:space="preserve"> and</w:t>
      </w:r>
      <w:r w:rsidR="005D6AF6" w:rsidRPr="007118B4">
        <w:t xml:space="preserve"> representatives of work programmes under the </w:t>
      </w:r>
      <w:r w:rsidR="005D6AF6">
        <w:t>Convention</w:t>
      </w:r>
      <w:r w:rsidR="005D6AF6" w:rsidRPr="007118B4">
        <w:t xml:space="preserve"> and the Paris Agreement and other stakeholders to actively collaborate with the Facilitative Working Group;</w:t>
      </w:r>
    </w:p>
    <w:p w14:paraId="37B99493" w14:textId="473B914E" w:rsidR="005D6AF6" w:rsidRPr="000B7EC5" w:rsidRDefault="00804401" w:rsidP="00804401">
      <w:pPr>
        <w:pStyle w:val="RegSingleTxtG"/>
        <w:numPr>
          <w:ilvl w:val="0"/>
          <w:numId w:val="0"/>
        </w:numPr>
        <w:ind w:left="1134" w:right="1133"/>
      </w:pPr>
      <w:r w:rsidRPr="000B7EC5">
        <w:rPr>
          <w:bCs/>
        </w:rPr>
        <w:t>21.</w:t>
      </w:r>
      <w:r w:rsidRPr="000B7EC5">
        <w:rPr>
          <w:bCs/>
        </w:rPr>
        <w:tab/>
      </w:r>
      <w:r w:rsidR="005D6AF6" w:rsidRPr="000B7EC5">
        <w:rPr>
          <w:i/>
          <w:iCs/>
        </w:rPr>
        <w:t>Invites</w:t>
      </w:r>
      <w:r w:rsidR="005D6AF6" w:rsidRPr="000B7EC5">
        <w:t xml:space="preserve"> </w:t>
      </w:r>
      <w:r w:rsidR="005D6AF6">
        <w:t>interested</w:t>
      </w:r>
      <w:r w:rsidR="005D6AF6" w:rsidRPr="000B7EC5">
        <w:t xml:space="preserve"> Parties and organizations to provide financial support for the implementation of the functions of the Local Communities and Indigenous Peoples Platform;</w:t>
      </w:r>
    </w:p>
    <w:p w14:paraId="65858C83" w14:textId="70249A2D" w:rsidR="005D6AF6" w:rsidRPr="000B7EC5" w:rsidRDefault="00804401" w:rsidP="00804401">
      <w:pPr>
        <w:pStyle w:val="RegSingleTxtG"/>
        <w:numPr>
          <w:ilvl w:val="0"/>
          <w:numId w:val="0"/>
        </w:numPr>
        <w:ind w:left="1134" w:right="1133"/>
      </w:pPr>
      <w:r w:rsidRPr="000B7EC5">
        <w:rPr>
          <w:bCs/>
        </w:rPr>
        <w:t>22.</w:t>
      </w:r>
      <w:r w:rsidRPr="000B7EC5">
        <w:rPr>
          <w:bCs/>
        </w:rPr>
        <w:tab/>
      </w:r>
      <w:r w:rsidR="005D6AF6" w:rsidRPr="000B7EC5">
        <w:rPr>
          <w:i/>
          <w:iCs/>
        </w:rPr>
        <w:t xml:space="preserve">Requests </w:t>
      </w:r>
      <w:r w:rsidR="005D6AF6" w:rsidRPr="000B7EC5">
        <w:t>the secretariat to continue to support and facilitate the work of the Facilitative Working Group;</w:t>
      </w:r>
    </w:p>
    <w:p w14:paraId="4190DBAE" w14:textId="63C74EBD" w:rsidR="009A0D96" w:rsidRDefault="00804401" w:rsidP="00804401">
      <w:pPr>
        <w:pStyle w:val="RegSingleTxtG"/>
        <w:numPr>
          <w:ilvl w:val="0"/>
          <w:numId w:val="0"/>
        </w:numPr>
        <w:ind w:left="1134" w:right="1133"/>
      </w:pPr>
      <w:r>
        <w:rPr>
          <w:bCs/>
        </w:rPr>
        <w:t>23.</w:t>
      </w:r>
      <w:r>
        <w:rPr>
          <w:bCs/>
        </w:rPr>
        <w:tab/>
      </w:r>
      <w:r w:rsidR="005D6AF6" w:rsidRPr="000B7EC5">
        <w:rPr>
          <w:i/>
          <w:iCs/>
        </w:rPr>
        <w:t xml:space="preserve">Takes note </w:t>
      </w:r>
      <w:r w:rsidR="005D6AF6" w:rsidRPr="000B7EC5">
        <w:t xml:space="preserve">of the estimated budgetary implications of the activities to be undertaken by the secretariat referred to in </w:t>
      </w:r>
      <w:r w:rsidR="005D6AF6">
        <w:t xml:space="preserve">paragraphs 2, </w:t>
      </w:r>
      <w:r w:rsidR="005D6AF6" w:rsidRPr="007118B4">
        <w:t>1</w:t>
      </w:r>
      <w:r w:rsidR="005D6AF6">
        <w:t>0</w:t>
      </w:r>
      <w:r w:rsidR="005D6AF6" w:rsidRPr="007118B4">
        <w:t xml:space="preserve"> and 1</w:t>
      </w:r>
      <w:r w:rsidR="005D6AF6">
        <w:t>1 above</w:t>
      </w:r>
      <w:r w:rsidR="005D6AF6" w:rsidRPr="000B7EC5">
        <w:t>;</w:t>
      </w:r>
    </w:p>
    <w:p w14:paraId="5B0E1272" w14:textId="7BCF88FD" w:rsidR="005D6AF6" w:rsidRDefault="00804401" w:rsidP="00804401">
      <w:pPr>
        <w:pStyle w:val="RegSingleTxtG"/>
        <w:numPr>
          <w:ilvl w:val="0"/>
          <w:numId w:val="0"/>
        </w:numPr>
        <w:ind w:left="1134" w:right="1133"/>
      </w:pPr>
      <w:r>
        <w:rPr>
          <w:bCs/>
        </w:rPr>
        <w:t>24.</w:t>
      </w:r>
      <w:r>
        <w:rPr>
          <w:bCs/>
        </w:rPr>
        <w:tab/>
      </w:r>
      <w:r w:rsidR="005D6AF6" w:rsidRPr="009A0D96">
        <w:rPr>
          <w:i/>
          <w:iCs/>
        </w:rPr>
        <w:t>Requests</w:t>
      </w:r>
      <w:r w:rsidR="005D6AF6" w:rsidRPr="000B7EC5">
        <w:t xml:space="preserve"> that the actions of the secretariat called for in this decision be undertaken subject to the availability of financial resources.</w:t>
      </w:r>
    </w:p>
    <w:p w14:paraId="0EFD139B" w14:textId="23419E9A" w:rsidR="009A0D96" w:rsidRDefault="00EF2944" w:rsidP="009A0D96">
      <w:pPr>
        <w:pStyle w:val="RegSingleTxtG"/>
        <w:numPr>
          <w:ilvl w:val="0"/>
          <w:numId w:val="0"/>
        </w:numPr>
        <w:spacing w:after="0"/>
        <w:ind w:left="1134"/>
        <w:jc w:val="right"/>
        <w:rPr>
          <w:i/>
          <w:iCs/>
        </w:rPr>
      </w:pPr>
      <w:r>
        <w:rPr>
          <w:i/>
          <w:iCs/>
        </w:rPr>
        <w:t>5</w:t>
      </w:r>
      <w:r w:rsidRPr="00EF2944">
        <w:rPr>
          <w:i/>
          <w:iCs/>
          <w:vertAlign w:val="superscript"/>
        </w:rPr>
        <w:t>th</w:t>
      </w:r>
      <w:r>
        <w:rPr>
          <w:i/>
          <w:iCs/>
        </w:rPr>
        <w:t xml:space="preserve"> </w:t>
      </w:r>
      <w:r w:rsidR="009A0D96">
        <w:rPr>
          <w:i/>
          <w:iCs/>
        </w:rPr>
        <w:t>plenary meeting</w:t>
      </w:r>
    </w:p>
    <w:p w14:paraId="1A834469" w14:textId="19DE7990" w:rsidR="009A0D96" w:rsidRDefault="00EF2944" w:rsidP="009A0D96">
      <w:pPr>
        <w:pStyle w:val="RegSingleTxtG"/>
        <w:numPr>
          <w:ilvl w:val="0"/>
          <w:numId w:val="0"/>
        </w:numPr>
        <w:spacing w:after="0"/>
        <w:ind w:left="1134"/>
        <w:jc w:val="right"/>
      </w:pPr>
      <w:r>
        <w:rPr>
          <w:i/>
          <w:iCs/>
        </w:rPr>
        <w:t>18</w:t>
      </w:r>
      <w:r w:rsidR="009A0D96">
        <w:rPr>
          <w:i/>
          <w:iCs/>
        </w:rPr>
        <w:t xml:space="preserve"> November 2024</w:t>
      </w:r>
    </w:p>
    <w:p w14:paraId="4E7693F4" w14:textId="77777777" w:rsidR="009A0D96" w:rsidRDefault="009A0D96" w:rsidP="00804401">
      <w:pPr>
        <w:pStyle w:val="RegHChG"/>
        <w:numPr>
          <w:ilvl w:val="0"/>
          <w:numId w:val="0"/>
        </w:numPr>
        <w:ind w:left="1135" w:hanging="454"/>
      </w:pPr>
    </w:p>
    <w:p w14:paraId="3616D97F" w14:textId="0C498713" w:rsidR="009A0D96" w:rsidRDefault="00804401" w:rsidP="00804401">
      <w:pPr>
        <w:pStyle w:val="RegHChG"/>
        <w:numPr>
          <w:ilvl w:val="0"/>
          <w:numId w:val="0"/>
        </w:numPr>
        <w:tabs>
          <w:tab w:val="left" w:pos="1135"/>
        </w:tabs>
        <w:ind w:left="1135" w:hanging="454"/>
        <w:sectPr w:rsidR="009A0D96" w:rsidSect="00E56563">
          <w:headerReference w:type="even" r:id="rId62"/>
          <w:headerReference w:type="default" r:id="rId63"/>
          <w:footerReference w:type="even" r:id="rId64"/>
          <w:footerReference w:type="default" r:id="rId65"/>
          <w:footnotePr>
            <w:numRestart w:val="eachSect"/>
          </w:footnotePr>
          <w:pgSz w:w="11906" w:h="16838" w:code="9"/>
          <w:pgMar w:top="1417" w:right="1134" w:bottom="1134" w:left="1134" w:header="850" w:footer="567" w:gutter="0"/>
          <w:cols w:space="708"/>
          <w:docGrid w:linePitch="360"/>
        </w:sectPr>
      </w:pPr>
      <w:r>
        <w:t>I.</w:t>
      </w:r>
      <w:r>
        <w:tab/>
      </w:r>
    </w:p>
    <w:p w14:paraId="14E2838C" w14:textId="6A2AD38E" w:rsidR="00465BF7" w:rsidRDefault="00465BF7" w:rsidP="00804401">
      <w:pPr>
        <w:pStyle w:val="RegHChG"/>
        <w:numPr>
          <w:ilvl w:val="0"/>
          <w:numId w:val="0"/>
        </w:numPr>
        <w:ind w:left="1135" w:hanging="454"/>
      </w:pPr>
      <w:bookmarkStart w:id="15" w:name="CP15"/>
      <w:r>
        <w:lastRenderedPageBreak/>
        <w:t>Decision 15/CP.29</w:t>
      </w:r>
    </w:p>
    <w:bookmarkEnd w:id="15"/>
    <w:p w14:paraId="0FA70991" w14:textId="77777777" w:rsidR="002621F0" w:rsidRDefault="002621F0" w:rsidP="00804401">
      <w:pPr>
        <w:pStyle w:val="RegHChG"/>
        <w:numPr>
          <w:ilvl w:val="0"/>
          <w:numId w:val="0"/>
        </w:numPr>
        <w:ind w:left="1135" w:hanging="454"/>
      </w:pPr>
      <w:r>
        <w:t>Matters relating to the least developed countries</w:t>
      </w:r>
    </w:p>
    <w:p w14:paraId="1626B734" w14:textId="77777777" w:rsidR="002621F0" w:rsidRDefault="002621F0" w:rsidP="002621F0">
      <w:pPr>
        <w:pStyle w:val="RegSingleTxtG"/>
        <w:numPr>
          <w:ilvl w:val="0"/>
          <w:numId w:val="0"/>
        </w:numPr>
        <w:spacing w:before="120"/>
        <w:ind w:left="1134"/>
      </w:pPr>
      <w:r>
        <w:rPr>
          <w:i/>
          <w:iCs/>
        </w:rPr>
        <w:tab/>
      </w:r>
      <w:r w:rsidRPr="0008541D">
        <w:rPr>
          <w:i/>
          <w:iCs/>
        </w:rPr>
        <w:t xml:space="preserve">The </w:t>
      </w:r>
      <w:r w:rsidRPr="00077C92">
        <w:rPr>
          <w:i/>
          <w:iCs/>
        </w:rPr>
        <w:t>Conference of the Parties</w:t>
      </w:r>
      <w:r>
        <w:t>,</w:t>
      </w:r>
    </w:p>
    <w:p w14:paraId="664F00DB" w14:textId="7B0CD7C6" w:rsidR="002621F0" w:rsidRDefault="002621F0" w:rsidP="002621F0">
      <w:pPr>
        <w:pStyle w:val="RegSingleTxtG"/>
        <w:numPr>
          <w:ilvl w:val="0"/>
          <w:numId w:val="0"/>
        </w:numPr>
        <w:spacing w:before="120"/>
        <w:ind w:left="1134"/>
      </w:pPr>
      <w:r>
        <w:rPr>
          <w:i/>
          <w:iCs/>
        </w:rPr>
        <w:tab/>
      </w:r>
      <w:r w:rsidRPr="000A0C43">
        <w:rPr>
          <w:i/>
          <w:iCs/>
        </w:rPr>
        <w:t>Recalling</w:t>
      </w:r>
      <w:r>
        <w:t xml:space="preserve"> decisions </w:t>
      </w:r>
      <w:hyperlink r:id="rId66" w:history="1">
        <w:r w:rsidRPr="00303C6A">
          <w:rPr>
            <w:rStyle w:val="Hyperlink"/>
          </w:rPr>
          <w:t>5/CP.7</w:t>
        </w:r>
      </w:hyperlink>
      <w:r>
        <w:t xml:space="preserve">, </w:t>
      </w:r>
      <w:hyperlink r:id="rId67" w:history="1">
        <w:r w:rsidRPr="00303C6A">
          <w:rPr>
            <w:rStyle w:val="Hyperlink"/>
          </w:rPr>
          <w:t>29/CP.7</w:t>
        </w:r>
      </w:hyperlink>
      <w:r>
        <w:t xml:space="preserve">, </w:t>
      </w:r>
      <w:hyperlink r:id="rId68" w:history="1">
        <w:r w:rsidRPr="00303C6A">
          <w:rPr>
            <w:rStyle w:val="Hyperlink"/>
          </w:rPr>
          <w:t>7/CP.9</w:t>
        </w:r>
      </w:hyperlink>
      <w:r>
        <w:t xml:space="preserve">, </w:t>
      </w:r>
      <w:hyperlink r:id="rId69" w:history="1">
        <w:r w:rsidRPr="00303C6A">
          <w:rPr>
            <w:rStyle w:val="Hyperlink"/>
          </w:rPr>
          <w:t>4/CP.10</w:t>
        </w:r>
      </w:hyperlink>
      <w:r>
        <w:t xml:space="preserve">, </w:t>
      </w:r>
      <w:hyperlink r:id="rId70" w:history="1">
        <w:r w:rsidRPr="00303C6A">
          <w:rPr>
            <w:rStyle w:val="Hyperlink"/>
          </w:rPr>
          <w:t>4/CP.11</w:t>
        </w:r>
      </w:hyperlink>
      <w:r>
        <w:t xml:space="preserve">, </w:t>
      </w:r>
      <w:hyperlink r:id="rId71" w:history="1">
        <w:r w:rsidRPr="00303C6A">
          <w:rPr>
            <w:rStyle w:val="Hyperlink"/>
          </w:rPr>
          <w:t>8/CP.13</w:t>
        </w:r>
      </w:hyperlink>
      <w:r>
        <w:t xml:space="preserve">, </w:t>
      </w:r>
      <w:hyperlink r:id="rId72" w:history="1">
        <w:r w:rsidRPr="00303C6A">
          <w:rPr>
            <w:rStyle w:val="Hyperlink"/>
          </w:rPr>
          <w:t>6/CP.16</w:t>
        </w:r>
      </w:hyperlink>
      <w:r>
        <w:t xml:space="preserve">, </w:t>
      </w:r>
      <w:hyperlink r:id="rId73" w:history="1">
        <w:r w:rsidRPr="00303C6A">
          <w:rPr>
            <w:rStyle w:val="Hyperlink"/>
          </w:rPr>
          <w:t>5/CP.17</w:t>
        </w:r>
      </w:hyperlink>
      <w:r>
        <w:t xml:space="preserve">, </w:t>
      </w:r>
      <w:hyperlink r:id="rId74" w:history="1">
        <w:r w:rsidRPr="00303C6A">
          <w:rPr>
            <w:rStyle w:val="Hyperlink"/>
          </w:rPr>
          <w:t>12/CP.18</w:t>
        </w:r>
      </w:hyperlink>
      <w:r>
        <w:t xml:space="preserve">, </w:t>
      </w:r>
      <w:hyperlink r:id="rId75" w:history="1">
        <w:r w:rsidRPr="00303C6A">
          <w:rPr>
            <w:rStyle w:val="Hyperlink"/>
          </w:rPr>
          <w:t>3/CP.20</w:t>
        </w:r>
      </w:hyperlink>
      <w:r>
        <w:t xml:space="preserve">, </w:t>
      </w:r>
      <w:hyperlink r:id="rId76" w:history="1">
        <w:r w:rsidRPr="00303C6A">
          <w:rPr>
            <w:rStyle w:val="Hyperlink"/>
          </w:rPr>
          <w:t>1/CP.21</w:t>
        </w:r>
      </w:hyperlink>
      <w:r>
        <w:t xml:space="preserve">, </w:t>
      </w:r>
      <w:hyperlink r:id="rId77" w:history="1">
        <w:r w:rsidRPr="00303C6A">
          <w:rPr>
            <w:rStyle w:val="Hyperlink"/>
          </w:rPr>
          <w:t>19/CP.21</w:t>
        </w:r>
      </w:hyperlink>
      <w:r>
        <w:t xml:space="preserve">, </w:t>
      </w:r>
      <w:hyperlink r:id="rId78" w:history="1">
        <w:r w:rsidRPr="00303C6A">
          <w:rPr>
            <w:rStyle w:val="Hyperlink"/>
          </w:rPr>
          <w:t>16/CP.24</w:t>
        </w:r>
      </w:hyperlink>
      <w:r>
        <w:t xml:space="preserve">, </w:t>
      </w:r>
      <w:hyperlink r:id="rId79" w:history="1">
        <w:r w:rsidRPr="00303C6A">
          <w:rPr>
            <w:rStyle w:val="Hyperlink"/>
          </w:rPr>
          <w:t>7/CP.25</w:t>
        </w:r>
      </w:hyperlink>
      <w:r>
        <w:t xml:space="preserve">, </w:t>
      </w:r>
      <w:hyperlink r:id="rId80" w:history="1">
        <w:r w:rsidRPr="00303C6A">
          <w:rPr>
            <w:rStyle w:val="Hyperlink"/>
          </w:rPr>
          <w:t>15/CP.26</w:t>
        </w:r>
      </w:hyperlink>
      <w:r>
        <w:t xml:space="preserve">, </w:t>
      </w:r>
      <w:hyperlink r:id="rId81" w:history="1">
        <w:r w:rsidRPr="00303C6A">
          <w:rPr>
            <w:rStyle w:val="Hyperlink"/>
          </w:rPr>
          <w:t>10/CP.27</w:t>
        </w:r>
      </w:hyperlink>
      <w:r>
        <w:t xml:space="preserve">, </w:t>
      </w:r>
      <w:hyperlink r:id="rId82" w:history="1">
        <w:r w:rsidRPr="00303C6A">
          <w:rPr>
            <w:rStyle w:val="Hyperlink"/>
          </w:rPr>
          <w:t>11/CMA.1</w:t>
        </w:r>
      </w:hyperlink>
      <w:r w:rsidRPr="00FB6902">
        <w:t xml:space="preserve">, </w:t>
      </w:r>
      <w:hyperlink r:id="rId83" w:history="1">
        <w:r w:rsidRPr="00303C6A">
          <w:rPr>
            <w:rStyle w:val="Hyperlink"/>
          </w:rPr>
          <w:t>19/CMA.1</w:t>
        </w:r>
      </w:hyperlink>
      <w:r w:rsidRPr="00077C92">
        <w:rPr>
          <w:i/>
          <w:iCs/>
        </w:rPr>
        <w:t xml:space="preserve"> </w:t>
      </w:r>
      <w:r>
        <w:t xml:space="preserve">and </w:t>
      </w:r>
      <w:hyperlink r:id="rId84" w:history="1">
        <w:r w:rsidRPr="00303C6A">
          <w:rPr>
            <w:rStyle w:val="Hyperlink"/>
          </w:rPr>
          <w:t>1/CMA.5</w:t>
        </w:r>
      </w:hyperlink>
      <w:r>
        <w:t>,</w:t>
      </w:r>
    </w:p>
    <w:p w14:paraId="7FE0CFE2" w14:textId="77777777" w:rsidR="002621F0" w:rsidRDefault="002621F0" w:rsidP="002621F0">
      <w:pPr>
        <w:pStyle w:val="RegSingleTxtG"/>
        <w:numPr>
          <w:ilvl w:val="0"/>
          <w:numId w:val="0"/>
        </w:numPr>
        <w:spacing w:before="120"/>
        <w:ind w:left="1134"/>
      </w:pPr>
      <w:r>
        <w:rPr>
          <w:i/>
          <w:iCs/>
        </w:rPr>
        <w:tab/>
        <w:t xml:space="preserve">Recognizing </w:t>
      </w:r>
      <w:r>
        <w:t>the specific needs and special situations of the least developed countries under Article 4, paragraph 9, of the Convention,</w:t>
      </w:r>
    </w:p>
    <w:p w14:paraId="6E941ABE" w14:textId="77777777" w:rsidR="002621F0" w:rsidRPr="00A57A17" w:rsidRDefault="002621F0" w:rsidP="002621F0">
      <w:pPr>
        <w:pStyle w:val="RegSingleTxtG"/>
        <w:numPr>
          <w:ilvl w:val="0"/>
          <w:numId w:val="0"/>
        </w:numPr>
        <w:spacing w:before="120"/>
        <w:ind w:left="1134"/>
      </w:pPr>
      <w:r>
        <w:rPr>
          <w:i/>
          <w:iCs/>
        </w:rPr>
        <w:tab/>
      </w:r>
      <w:r w:rsidRPr="009D6F13">
        <w:rPr>
          <w:i/>
          <w:iCs/>
        </w:rPr>
        <w:t>Welcoming</w:t>
      </w:r>
      <w:r w:rsidRPr="009D6F13">
        <w:t xml:space="preserve"> the </w:t>
      </w:r>
      <w:r>
        <w:t xml:space="preserve">active </w:t>
      </w:r>
      <w:r w:rsidRPr="009D6F13">
        <w:t>role</w:t>
      </w:r>
      <w:r>
        <w:t xml:space="preserve"> played by</w:t>
      </w:r>
      <w:r w:rsidRPr="009D6F13">
        <w:t xml:space="preserve"> </w:t>
      </w:r>
      <w:r>
        <w:t xml:space="preserve">Indigenous Peoples and local communities and </w:t>
      </w:r>
      <w:r w:rsidRPr="009D6F13">
        <w:t>diverse stakeholders,</w:t>
      </w:r>
      <w:r>
        <w:t xml:space="preserve"> including </w:t>
      </w:r>
      <w:r w:rsidRPr="009D6F13">
        <w:t>women</w:t>
      </w:r>
      <w:r>
        <w:t xml:space="preserve"> and</w:t>
      </w:r>
      <w:r w:rsidRPr="009D6F13">
        <w:t xml:space="preserve"> youth</w:t>
      </w:r>
      <w:r>
        <w:t>,</w:t>
      </w:r>
      <w:r w:rsidRPr="009D6F13">
        <w:t xml:space="preserve"> in </w:t>
      </w:r>
      <w:r w:rsidRPr="00CC2FE4">
        <w:t xml:space="preserve">national adaptation plan </w:t>
      </w:r>
      <w:r>
        <w:t xml:space="preserve">related </w:t>
      </w:r>
      <w:r w:rsidRPr="00CC2FE4">
        <w:t>efforts</w:t>
      </w:r>
      <w:r w:rsidRPr="009D6F13">
        <w:t>,</w:t>
      </w:r>
    </w:p>
    <w:p w14:paraId="42D2DECA" w14:textId="77777777" w:rsidR="002621F0" w:rsidRDefault="002621F0" w:rsidP="002621F0">
      <w:pPr>
        <w:pStyle w:val="RegSingleTxtG"/>
        <w:numPr>
          <w:ilvl w:val="0"/>
          <w:numId w:val="0"/>
        </w:numPr>
        <w:ind w:left="1134"/>
        <w:rPr>
          <w:rStyle w:val="ui-provider"/>
        </w:rPr>
      </w:pPr>
      <w:r>
        <w:rPr>
          <w:rStyle w:val="ui-provider"/>
          <w:i/>
          <w:iCs/>
        </w:rPr>
        <w:tab/>
        <w:t>Noting</w:t>
      </w:r>
      <w:r>
        <w:rPr>
          <w:rStyle w:val="ui-provider"/>
        </w:rPr>
        <w:t xml:space="preserve"> the challenges faced by the least developed countries in preparing and submitting national adaptation plans, and t</w:t>
      </w:r>
      <w:r>
        <w:t>he complexities and delays encountered by them, and the challenges they face in developing proposals and accessing financial support for implementing national adaptation plans</w:t>
      </w:r>
      <w:r>
        <w:rPr>
          <w:rStyle w:val="ui-provider"/>
        </w:rPr>
        <w:t xml:space="preserve">, </w:t>
      </w:r>
    </w:p>
    <w:p w14:paraId="2EB9B749" w14:textId="77777777" w:rsidR="002621F0" w:rsidRDefault="002621F0" w:rsidP="002621F0">
      <w:pPr>
        <w:pStyle w:val="RegSingleTxtG"/>
        <w:numPr>
          <w:ilvl w:val="0"/>
          <w:numId w:val="0"/>
        </w:numPr>
        <w:ind w:left="1134"/>
      </w:pPr>
      <w:r>
        <w:rPr>
          <w:rStyle w:val="ui-provider"/>
          <w:i/>
          <w:iCs/>
        </w:rPr>
        <w:tab/>
        <w:t>Recognizing</w:t>
      </w:r>
      <w:r>
        <w:rPr>
          <w:rStyle w:val="ui-provider"/>
        </w:rPr>
        <w:t xml:space="preserve"> the need for new, enhanced efforts to ensure that the least developed countries have in place national adaptation plans by 2025 and have progressed in implementing them by 2030,</w:t>
      </w:r>
      <w:r>
        <w:rPr>
          <w:rStyle w:val="FootnoteReference"/>
        </w:rPr>
        <w:footnoteReference w:id="20"/>
      </w:r>
    </w:p>
    <w:p w14:paraId="25B9456F" w14:textId="77777777" w:rsidR="002621F0" w:rsidRDefault="002621F0" w:rsidP="002621F0">
      <w:pPr>
        <w:pStyle w:val="RegSingleTxtG"/>
        <w:numPr>
          <w:ilvl w:val="0"/>
          <w:numId w:val="0"/>
        </w:numPr>
        <w:spacing w:before="120"/>
        <w:ind w:left="1134"/>
      </w:pPr>
      <w:r>
        <w:rPr>
          <w:i/>
          <w:iCs/>
        </w:rPr>
        <w:tab/>
        <w:t>Noting</w:t>
      </w:r>
      <w:r>
        <w:t xml:space="preserve"> that key challenges faced by the least developed countries in the process of accrediting direct access entities include limited institutional, financial and technical capacity for initiating that process and for developing project proposals for accessing funding from the Green Climate Fund,</w:t>
      </w:r>
    </w:p>
    <w:p w14:paraId="4FA98BF7" w14:textId="3BDF9AFC" w:rsidR="002621F0" w:rsidRDefault="00804401" w:rsidP="00804401">
      <w:pPr>
        <w:pStyle w:val="RegSingleTxtG"/>
        <w:numPr>
          <w:ilvl w:val="0"/>
          <w:numId w:val="0"/>
        </w:numPr>
        <w:ind w:left="1134"/>
      </w:pPr>
      <w:r>
        <w:rPr>
          <w:bCs/>
        </w:rPr>
        <w:t>1.</w:t>
      </w:r>
      <w:r>
        <w:rPr>
          <w:bCs/>
        </w:rPr>
        <w:tab/>
      </w:r>
      <w:r w:rsidR="002621F0" w:rsidRPr="002621F0">
        <w:rPr>
          <w:i/>
          <w:iCs/>
        </w:rPr>
        <w:t>Welcomes</w:t>
      </w:r>
      <w:r w:rsidR="002621F0">
        <w:t xml:space="preserve"> the efforts of the Least Developed Countries Expert Group in supporting the least developed countries in formulating national adaptation plans and its progress in updating the technical guidelines for the formulation and implementation of national adaptation plans;</w:t>
      </w:r>
    </w:p>
    <w:p w14:paraId="366B5800" w14:textId="54A0E78B" w:rsidR="002621F0" w:rsidRDefault="00804401" w:rsidP="00804401">
      <w:pPr>
        <w:pStyle w:val="RegSingleTxtG"/>
        <w:numPr>
          <w:ilvl w:val="0"/>
          <w:numId w:val="0"/>
        </w:numPr>
        <w:ind w:left="1134"/>
      </w:pPr>
      <w:bookmarkStart w:id="16" w:name="_Hlk182653963"/>
      <w:r>
        <w:rPr>
          <w:bCs/>
        </w:rPr>
        <w:t>2.</w:t>
      </w:r>
      <w:r>
        <w:rPr>
          <w:bCs/>
        </w:rPr>
        <w:tab/>
      </w:r>
      <w:r w:rsidR="002621F0" w:rsidRPr="00DD4855">
        <w:rPr>
          <w:i/>
          <w:iCs/>
        </w:rPr>
        <w:t xml:space="preserve">Underscores </w:t>
      </w:r>
      <w:r w:rsidR="002621F0" w:rsidRPr="005B3AED">
        <w:t>the importance of prompt approval and disbursement of funding for readiness projects by the Green Climate Fund for the formulation of national adaptation plans;</w:t>
      </w:r>
      <w:bookmarkEnd w:id="16"/>
    </w:p>
    <w:p w14:paraId="4F1BC699" w14:textId="502FCB8E" w:rsidR="002621F0" w:rsidRPr="00037811" w:rsidRDefault="00804401" w:rsidP="00804401">
      <w:pPr>
        <w:pStyle w:val="RegSingleTxtG"/>
        <w:numPr>
          <w:ilvl w:val="0"/>
          <w:numId w:val="0"/>
        </w:numPr>
        <w:ind w:left="1134"/>
      </w:pPr>
      <w:r w:rsidRPr="00037811">
        <w:rPr>
          <w:bCs/>
        </w:rPr>
        <w:t>3.</w:t>
      </w:r>
      <w:r w:rsidRPr="00037811">
        <w:rPr>
          <w:bCs/>
        </w:rPr>
        <w:tab/>
      </w:r>
      <w:r w:rsidR="002621F0" w:rsidRPr="009E157C">
        <w:rPr>
          <w:i/>
          <w:iCs/>
        </w:rPr>
        <w:t xml:space="preserve">Welcomes </w:t>
      </w:r>
      <w:r w:rsidR="002621F0" w:rsidRPr="005B3AED">
        <w:t>the new strateg</w:t>
      </w:r>
      <w:r w:rsidR="002621F0">
        <w:t>y</w:t>
      </w:r>
      <w:r w:rsidR="002621F0" w:rsidRPr="005B3AED">
        <w:t xml:space="preserve"> and modalities of the revised Readiness and Preparatory Support Programme of the Green Climate Fund</w:t>
      </w:r>
      <w:r w:rsidR="002621F0">
        <w:t>;</w:t>
      </w:r>
      <w:r w:rsidR="002621F0">
        <w:rPr>
          <w:rStyle w:val="FootnoteReference"/>
        </w:rPr>
        <w:footnoteReference w:id="21"/>
      </w:r>
    </w:p>
    <w:p w14:paraId="779ECA2C" w14:textId="515F4D92" w:rsidR="002621F0" w:rsidRDefault="00804401" w:rsidP="00804401">
      <w:pPr>
        <w:pStyle w:val="RegSingleTxtG"/>
        <w:numPr>
          <w:ilvl w:val="0"/>
          <w:numId w:val="0"/>
        </w:numPr>
        <w:spacing w:before="120"/>
        <w:ind w:left="1134"/>
      </w:pPr>
      <w:r>
        <w:rPr>
          <w:bCs/>
        </w:rPr>
        <w:t>4.</w:t>
      </w:r>
      <w:r>
        <w:rPr>
          <w:bCs/>
        </w:rPr>
        <w:tab/>
      </w:r>
      <w:r w:rsidR="002621F0">
        <w:rPr>
          <w:i/>
          <w:iCs/>
        </w:rPr>
        <w:t xml:space="preserve">Requests </w:t>
      </w:r>
      <w:r w:rsidR="002621F0" w:rsidRPr="00495310">
        <w:t>the Least Developed Countries Expert Group, in collaboration with the Green Climate Fund</w:t>
      </w:r>
      <w:r w:rsidR="002621F0">
        <w:t xml:space="preserve"> secretariat</w:t>
      </w:r>
      <w:r w:rsidR="002621F0" w:rsidRPr="00495310">
        <w:t xml:space="preserve">, to </w:t>
      </w:r>
      <w:r w:rsidR="002621F0">
        <w:t>continue to raise awareness among the least developed countries of the accreditation process for direct access entities and to support the least developed countries in developing a workplan for completing this process;</w:t>
      </w:r>
    </w:p>
    <w:p w14:paraId="21BEFE16" w14:textId="63CD2DB4" w:rsidR="002621F0" w:rsidRDefault="00804401" w:rsidP="00804401">
      <w:pPr>
        <w:pStyle w:val="RegSingleTxtG"/>
        <w:numPr>
          <w:ilvl w:val="0"/>
          <w:numId w:val="0"/>
        </w:numPr>
        <w:spacing w:before="120"/>
        <w:ind w:left="1134"/>
      </w:pPr>
      <w:r>
        <w:rPr>
          <w:bCs/>
        </w:rPr>
        <w:t>5.</w:t>
      </w:r>
      <w:r>
        <w:rPr>
          <w:bCs/>
        </w:rPr>
        <w:tab/>
      </w:r>
      <w:r w:rsidR="002621F0">
        <w:rPr>
          <w:i/>
          <w:iCs/>
        </w:rPr>
        <w:t>Also r</w:t>
      </w:r>
      <w:r w:rsidR="002621F0" w:rsidRPr="008237CE">
        <w:rPr>
          <w:i/>
          <w:iCs/>
        </w:rPr>
        <w:t xml:space="preserve">equests </w:t>
      </w:r>
      <w:r w:rsidR="002621F0" w:rsidRPr="008237CE">
        <w:t xml:space="preserve">the Least Developed Countries Expert Group to hold </w:t>
      </w:r>
      <w:r w:rsidR="002621F0">
        <w:t>its</w:t>
      </w:r>
      <w:r w:rsidR="002621F0" w:rsidRPr="008237CE">
        <w:t xml:space="preserve"> </w:t>
      </w:r>
      <w:r w:rsidR="002621F0">
        <w:t>national adaptation plan</w:t>
      </w:r>
      <w:r w:rsidR="002621F0" w:rsidRPr="008237CE">
        <w:t xml:space="preserve"> writing workshops </w:t>
      </w:r>
      <w:r w:rsidR="002621F0">
        <w:t>that are planned for 2025 for supporting the least developed countries in completing national adaptation plans for submission and pursuing implementation of the policies, projects and programmes identified therein</w:t>
      </w:r>
      <w:r w:rsidR="002621F0" w:rsidRPr="008237CE">
        <w:t xml:space="preserve"> as early as possible in that year, subject to the availability of resources</w:t>
      </w:r>
      <w:r w:rsidR="002621F0">
        <w:t>;</w:t>
      </w:r>
    </w:p>
    <w:p w14:paraId="37264E76" w14:textId="1D7670AC" w:rsidR="002621F0" w:rsidRPr="00067A1C" w:rsidRDefault="00804401" w:rsidP="00804401">
      <w:pPr>
        <w:pStyle w:val="RegSingleTxtG"/>
        <w:numPr>
          <w:ilvl w:val="0"/>
          <w:numId w:val="0"/>
        </w:numPr>
        <w:spacing w:before="120"/>
        <w:ind w:left="1134"/>
      </w:pPr>
      <w:r w:rsidRPr="00067A1C">
        <w:rPr>
          <w:bCs/>
        </w:rPr>
        <w:t>6.</w:t>
      </w:r>
      <w:r w:rsidRPr="00067A1C">
        <w:rPr>
          <w:bCs/>
        </w:rPr>
        <w:tab/>
      </w:r>
      <w:r w:rsidR="002621F0" w:rsidRPr="00067A1C">
        <w:rPr>
          <w:i/>
          <w:iCs/>
        </w:rPr>
        <w:t>Encourages</w:t>
      </w:r>
      <w:r w:rsidR="002621F0" w:rsidRPr="00067A1C">
        <w:t xml:space="preserve"> the Least Developed Countries Expert Group to regularly invite the Green Climate Fund direct access entities of the least developed countries to participate in the national adaptation plan writing workshops referred to in paragraph 5 above with a view to enhancing their understanding of and building their capacity to complete the accreditation process;</w:t>
      </w:r>
    </w:p>
    <w:p w14:paraId="539CCEBF" w14:textId="19A30152" w:rsidR="002621F0" w:rsidRDefault="00804401" w:rsidP="00804401">
      <w:pPr>
        <w:pStyle w:val="RegSingleTxtG"/>
        <w:numPr>
          <w:ilvl w:val="0"/>
          <w:numId w:val="0"/>
        </w:numPr>
        <w:ind w:left="1134"/>
      </w:pPr>
      <w:r>
        <w:rPr>
          <w:bCs/>
        </w:rPr>
        <w:lastRenderedPageBreak/>
        <w:t>7.</w:t>
      </w:r>
      <w:r>
        <w:rPr>
          <w:bCs/>
        </w:rPr>
        <w:tab/>
      </w:r>
      <w:r w:rsidR="002621F0" w:rsidRPr="00011E65">
        <w:rPr>
          <w:i/>
          <w:iCs/>
        </w:rPr>
        <w:t>Welcomes</w:t>
      </w:r>
      <w:r w:rsidR="002621F0">
        <w:t xml:space="preserve"> Parties’ submission of national adaptation plans</w:t>
      </w:r>
      <w:r w:rsidR="002621F0">
        <w:rPr>
          <w:rStyle w:val="FootnoteReference"/>
        </w:rPr>
        <w:footnoteReference w:id="22"/>
      </w:r>
      <w:r w:rsidR="002621F0">
        <w:t xml:space="preserve"> and </w:t>
      </w:r>
      <w:r w:rsidR="002621F0" w:rsidRPr="00011E65">
        <w:rPr>
          <w:i/>
          <w:iCs/>
        </w:rPr>
        <w:t>invites</w:t>
      </w:r>
      <w:r w:rsidR="002621F0">
        <w:t xml:space="preserve"> Parties that have not done so to submit national adaptation plans and relevant strategies, including to facilitate sharing of experience, tools and approaches in relation to formulating and implementing national adaptation plans; </w:t>
      </w:r>
    </w:p>
    <w:p w14:paraId="41B452F9" w14:textId="31656366" w:rsidR="002621F0" w:rsidRDefault="00804401" w:rsidP="00804401">
      <w:pPr>
        <w:pStyle w:val="RegSingleTxtG"/>
        <w:numPr>
          <w:ilvl w:val="0"/>
          <w:numId w:val="0"/>
        </w:numPr>
        <w:ind w:left="1134"/>
      </w:pPr>
      <w:r>
        <w:rPr>
          <w:bCs/>
        </w:rPr>
        <w:t>8.</w:t>
      </w:r>
      <w:r>
        <w:rPr>
          <w:bCs/>
        </w:rPr>
        <w:tab/>
      </w:r>
      <w:r w:rsidR="007226FC">
        <w:rPr>
          <w:i/>
          <w:iCs/>
        </w:rPr>
        <w:t>Also i</w:t>
      </w:r>
      <w:r w:rsidR="002621F0" w:rsidRPr="00D55D19">
        <w:rPr>
          <w:i/>
          <w:iCs/>
        </w:rPr>
        <w:t>nvites</w:t>
      </w:r>
      <w:r w:rsidR="002621F0" w:rsidRPr="000B0B93">
        <w:t xml:space="preserve"> United Nations organizations, specialized agencies and other relevant organizations, as well as bilateral and multilateral agencies, to support the implementation of national adaptation plans in </w:t>
      </w:r>
      <w:r w:rsidR="002621F0">
        <w:t xml:space="preserve">the </w:t>
      </w:r>
      <w:r w:rsidR="002621F0" w:rsidRPr="000B0B93">
        <w:t>least developed countries</w:t>
      </w:r>
      <w:r w:rsidR="002621F0">
        <w:t>,</w:t>
      </w:r>
      <w:r w:rsidR="002621F0" w:rsidRPr="000B0B93">
        <w:t xml:space="preserve"> </w:t>
      </w:r>
      <w:r w:rsidR="002621F0">
        <w:t xml:space="preserve">drawing on the work of, and where appropriate in consultation with, the Least Developed Countries Expert Group, </w:t>
      </w:r>
      <w:r w:rsidR="002621F0" w:rsidRPr="000B0B93">
        <w:t xml:space="preserve">and, where possible, to consider establishing programmes for </w:t>
      </w:r>
      <w:r w:rsidR="002621F0">
        <w:t xml:space="preserve">supporting </w:t>
      </w:r>
      <w:r w:rsidR="002621F0" w:rsidRPr="000B0B93">
        <w:t>the implementation of national adaptation plans</w:t>
      </w:r>
      <w:r w:rsidR="002621F0">
        <w:t>,</w:t>
      </w:r>
      <w:r w:rsidR="002621F0" w:rsidRPr="000B0B93">
        <w:t xml:space="preserve"> within their mandates, as appropriate, which could facilitate the provision of </w:t>
      </w:r>
      <w:r w:rsidR="002621F0">
        <w:t xml:space="preserve">relevant </w:t>
      </w:r>
      <w:r w:rsidR="002621F0" w:rsidRPr="000B0B93">
        <w:t xml:space="preserve">financial and technical support to the least developed countries and the achievement of the goals </w:t>
      </w:r>
      <w:r w:rsidR="002621F0">
        <w:t>referred to in paragraph 59 of</w:t>
      </w:r>
      <w:r w:rsidR="002621F0" w:rsidRPr="000B0B93">
        <w:t xml:space="preserve"> decision </w:t>
      </w:r>
      <w:hyperlink r:id="rId85" w:history="1">
        <w:r w:rsidR="002621F0" w:rsidRPr="00303C6A">
          <w:rPr>
            <w:rStyle w:val="Hyperlink"/>
          </w:rPr>
          <w:t>1/CMA.5</w:t>
        </w:r>
      </w:hyperlink>
      <w:r w:rsidR="002621F0">
        <w:t>;</w:t>
      </w:r>
    </w:p>
    <w:p w14:paraId="3DDFEF47" w14:textId="0049FC6C" w:rsidR="002621F0" w:rsidRDefault="00804401" w:rsidP="00804401">
      <w:pPr>
        <w:pStyle w:val="RegSingleTxtG"/>
        <w:numPr>
          <w:ilvl w:val="0"/>
          <w:numId w:val="0"/>
        </w:numPr>
        <w:ind w:left="1134"/>
      </w:pPr>
      <w:r>
        <w:rPr>
          <w:bCs/>
        </w:rPr>
        <w:t>9.</w:t>
      </w:r>
      <w:r>
        <w:rPr>
          <w:bCs/>
        </w:rPr>
        <w:tab/>
      </w:r>
      <w:r w:rsidR="002621F0" w:rsidRPr="00BB4508">
        <w:rPr>
          <w:i/>
          <w:iCs/>
        </w:rPr>
        <w:t xml:space="preserve">Decides </w:t>
      </w:r>
      <w:r w:rsidR="002621F0">
        <w:t>to conduct, in parallel with the Conference of the Parties serving as the meeting of the Parties to the Paris Agreement,</w:t>
      </w:r>
      <w:r w:rsidR="002621F0" w:rsidRPr="00BB4508">
        <w:t xml:space="preserve"> the stocktake of the work of the Least Developed Countries Expert Group aimed at reviewing, at the midway point before the next review of the mandate of the Group, its progress and terms of reference</w:t>
      </w:r>
      <w:r w:rsidR="002621F0">
        <w:t>;</w:t>
      </w:r>
      <w:r w:rsidR="002621F0" w:rsidRPr="00BB4508">
        <w:rPr>
          <w:rStyle w:val="FootnoteReference"/>
        </w:rPr>
        <w:footnoteReference w:id="23"/>
      </w:r>
    </w:p>
    <w:p w14:paraId="52EB41F2" w14:textId="458E546F" w:rsidR="002621F0" w:rsidRDefault="00804401" w:rsidP="00804401">
      <w:pPr>
        <w:pStyle w:val="RegSingleTxtG"/>
        <w:numPr>
          <w:ilvl w:val="0"/>
          <w:numId w:val="0"/>
        </w:numPr>
        <w:ind w:left="1134"/>
      </w:pPr>
      <w:r>
        <w:rPr>
          <w:bCs/>
        </w:rPr>
        <w:t>10.</w:t>
      </w:r>
      <w:r>
        <w:rPr>
          <w:bCs/>
        </w:rPr>
        <w:tab/>
      </w:r>
      <w:r w:rsidR="002621F0" w:rsidRPr="006E66C5">
        <w:rPr>
          <w:i/>
          <w:iCs/>
        </w:rPr>
        <w:t>Invites</w:t>
      </w:r>
      <w:r w:rsidR="002621F0">
        <w:t xml:space="preserve"> Parties and relevant organizations to continue providing resources for supporting implementation of the Least Developed Countries Expert Group work programme;</w:t>
      </w:r>
    </w:p>
    <w:p w14:paraId="5EDB62E5" w14:textId="73D8219C" w:rsidR="002621F0" w:rsidRDefault="00804401" w:rsidP="00804401">
      <w:pPr>
        <w:pStyle w:val="RegSingleTxtG"/>
        <w:numPr>
          <w:ilvl w:val="0"/>
          <w:numId w:val="0"/>
        </w:numPr>
        <w:ind w:left="1134"/>
      </w:pPr>
      <w:r>
        <w:rPr>
          <w:bCs/>
        </w:rPr>
        <w:t>11.</w:t>
      </w:r>
      <w:r>
        <w:rPr>
          <w:bCs/>
        </w:rPr>
        <w:tab/>
      </w:r>
      <w:r w:rsidR="002621F0" w:rsidRPr="00281B3C">
        <w:rPr>
          <w:i/>
          <w:iCs/>
        </w:rPr>
        <w:t>Takes note</w:t>
      </w:r>
      <w:r w:rsidR="002621F0" w:rsidRPr="00281B3C">
        <w:t xml:space="preserve"> of the estimated budgetary implications of the activities to be undertaken by the secretariat referred to in paragraph </w:t>
      </w:r>
      <w:r w:rsidR="002621F0">
        <w:t>5</w:t>
      </w:r>
      <w:r w:rsidR="002621F0" w:rsidRPr="00281B3C">
        <w:t xml:space="preserve"> above;</w:t>
      </w:r>
    </w:p>
    <w:p w14:paraId="030FC938" w14:textId="68BE9E9F" w:rsidR="002621F0" w:rsidRDefault="00804401" w:rsidP="00804401">
      <w:pPr>
        <w:pStyle w:val="RegSingleTxtG"/>
        <w:numPr>
          <w:ilvl w:val="0"/>
          <w:numId w:val="0"/>
        </w:numPr>
        <w:ind w:left="1134"/>
      </w:pPr>
      <w:r>
        <w:rPr>
          <w:bCs/>
        </w:rPr>
        <w:t>12.</w:t>
      </w:r>
      <w:r>
        <w:rPr>
          <w:bCs/>
        </w:rPr>
        <w:tab/>
      </w:r>
      <w:r w:rsidR="002621F0" w:rsidRPr="002621F0">
        <w:rPr>
          <w:i/>
          <w:iCs/>
        </w:rPr>
        <w:t>Requests</w:t>
      </w:r>
      <w:r w:rsidR="002621F0">
        <w:t xml:space="preserve"> that the actions of the secretariat called for in this decision be undertaken subject to the availability of financial resources.</w:t>
      </w:r>
    </w:p>
    <w:p w14:paraId="0F70E470" w14:textId="2EBF2F66" w:rsidR="002621F0" w:rsidRDefault="00FA71A9" w:rsidP="002621F0">
      <w:pPr>
        <w:pStyle w:val="RegSingleTxtG"/>
        <w:numPr>
          <w:ilvl w:val="0"/>
          <w:numId w:val="0"/>
        </w:numPr>
        <w:spacing w:after="0"/>
        <w:ind w:left="1134"/>
        <w:jc w:val="right"/>
        <w:rPr>
          <w:i/>
          <w:iCs/>
        </w:rPr>
      </w:pPr>
      <w:r>
        <w:rPr>
          <w:i/>
          <w:iCs/>
        </w:rPr>
        <w:t>5</w:t>
      </w:r>
      <w:r w:rsidRPr="00FA71A9">
        <w:rPr>
          <w:i/>
          <w:iCs/>
          <w:vertAlign w:val="superscript"/>
        </w:rPr>
        <w:t>th</w:t>
      </w:r>
      <w:r>
        <w:rPr>
          <w:i/>
          <w:iCs/>
        </w:rPr>
        <w:t xml:space="preserve"> </w:t>
      </w:r>
      <w:r w:rsidR="002621F0">
        <w:rPr>
          <w:i/>
          <w:iCs/>
        </w:rPr>
        <w:t>plenary meeting</w:t>
      </w:r>
    </w:p>
    <w:p w14:paraId="533A3C2A" w14:textId="60D8D1C0" w:rsidR="002621F0" w:rsidRDefault="00FA71A9" w:rsidP="002621F0">
      <w:pPr>
        <w:pStyle w:val="RegSingleTxtG"/>
        <w:numPr>
          <w:ilvl w:val="0"/>
          <w:numId w:val="0"/>
        </w:numPr>
        <w:spacing w:after="0"/>
        <w:ind w:left="1134"/>
        <w:jc w:val="right"/>
      </w:pPr>
      <w:r>
        <w:rPr>
          <w:i/>
          <w:iCs/>
        </w:rPr>
        <w:t>18</w:t>
      </w:r>
      <w:r w:rsidR="002621F0">
        <w:rPr>
          <w:i/>
          <w:iCs/>
        </w:rPr>
        <w:t xml:space="preserve"> November 2024</w:t>
      </w:r>
    </w:p>
    <w:p w14:paraId="508FC302" w14:textId="77777777" w:rsidR="002621F0" w:rsidRDefault="002621F0" w:rsidP="00804401">
      <w:pPr>
        <w:pStyle w:val="RegHChG"/>
        <w:numPr>
          <w:ilvl w:val="0"/>
          <w:numId w:val="0"/>
        </w:numPr>
        <w:ind w:left="1135" w:hanging="454"/>
      </w:pPr>
    </w:p>
    <w:p w14:paraId="5AE0E00F" w14:textId="423790E6" w:rsidR="000E182B" w:rsidRDefault="00804401" w:rsidP="00804401">
      <w:pPr>
        <w:pStyle w:val="RegHChG"/>
        <w:numPr>
          <w:ilvl w:val="0"/>
          <w:numId w:val="0"/>
        </w:numPr>
        <w:tabs>
          <w:tab w:val="left" w:pos="1135"/>
        </w:tabs>
        <w:ind w:left="1135" w:hanging="454"/>
        <w:sectPr w:rsidR="000E182B" w:rsidSect="00E56563">
          <w:headerReference w:type="even" r:id="rId86"/>
          <w:headerReference w:type="default" r:id="rId87"/>
          <w:footerReference w:type="even" r:id="rId88"/>
          <w:footerReference w:type="default" r:id="rId89"/>
          <w:footnotePr>
            <w:numRestart w:val="eachSect"/>
          </w:footnotePr>
          <w:pgSz w:w="11906" w:h="16838" w:code="9"/>
          <w:pgMar w:top="1417" w:right="1134" w:bottom="1134" w:left="1134" w:header="850" w:footer="567" w:gutter="0"/>
          <w:cols w:space="708"/>
          <w:docGrid w:linePitch="360"/>
        </w:sectPr>
      </w:pPr>
      <w:r>
        <w:t>I.</w:t>
      </w:r>
      <w:r>
        <w:tab/>
      </w:r>
    </w:p>
    <w:p w14:paraId="78DFC301" w14:textId="1576D27E" w:rsidR="001E677B" w:rsidRDefault="001E677B" w:rsidP="00804401">
      <w:pPr>
        <w:pStyle w:val="RegHChG"/>
        <w:numPr>
          <w:ilvl w:val="0"/>
          <w:numId w:val="0"/>
        </w:numPr>
        <w:ind w:left="1135" w:hanging="454"/>
      </w:pPr>
      <w:bookmarkStart w:id="17" w:name="CP16"/>
      <w:r>
        <w:lastRenderedPageBreak/>
        <w:t>Decision 16/CP.29</w:t>
      </w:r>
    </w:p>
    <w:bookmarkEnd w:id="17"/>
    <w:p w14:paraId="4EE444E3" w14:textId="50868DA3" w:rsidR="00D06C47" w:rsidRPr="00A96DC7" w:rsidRDefault="00D06C47" w:rsidP="00D06C47">
      <w:pPr>
        <w:pStyle w:val="HChG"/>
        <w:ind w:firstLine="0"/>
      </w:pPr>
      <w:r>
        <w:t>Matters relat</w:t>
      </w:r>
      <w:r w:rsidR="007D5726">
        <w:t>ing</w:t>
      </w:r>
      <w:r>
        <w:t xml:space="preserve"> to the impacts of the implementation of response measures</w:t>
      </w:r>
    </w:p>
    <w:p w14:paraId="26338591" w14:textId="77777777" w:rsidR="00D06C47" w:rsidRDefault="00D06C47" w:rsidP="00D06C47">
      <w:pPr>
        <w:pStyle w:val="RegSingleTxtG"/>
        <w:numPr>
          <w:ilvl w:val="0"/>
          <w:numId w:val="0"/>
        </w:numPr>
        <w:ind w:left="1134"/>
      </w:pPr>
      <w:r>
        <w:rPr>
          <w:i/>
          <w:iCs/>
        </w:rPr>
        <w:tab/>
      </w:r>
      <w:r w:rsidRPr="00743023">
        <w:rPr>
          <w:i/>
          <w:iCs/>
        </w:rPr>
        <w:t>The Conference of the Parties, the Conference of the Parties serving as the meeting of the Parties to the Kyoto Protocol and the Conference of the Parties serving as the meeting of the Parties to the Paris Agreement</w:t>
      </w:r>
      <w:r>
        <w:t>,</w:t>
      </w:r>
    </w:p>
    <w:p w14:paraId="2197E1FF" w14:textId="77777777" w:rsidR="00D06C47" w:rsidRPr="000A3486" w:rsidRDefault="00D06C47" w:rsidP="00D06C47">
      <w:pPr>
        <w:pStyle w:val="RegSingleTxtG"/>
        <w:numPr>
          <w:ilvl w:val="0"/>
          <w:numId w:val="0"/>
        </w:numPr>
        <w:ind w:left="1134"/>
        <w:rPr>
          <w:i/>
          <w:iCs/>
        </w:rPr>
      </w:pPr>
      <w:r>
        <w:rPr>
          <w:i/>
          <w:iCs/>
        </w:rPr>
        <w:tab/>
      </w:r>
      <w:r w:rsidRPr="000A3486">
        <w:rPr>
          <w:i/>
          <w:iCs/>
        </w:rPr>
        <w:t xml:space="preserve">Recalling </w:t>
      </w:r>
      <w:r w:rsidRPr="00D10D20">
        <w:t>Article 4 of the Convention,</w:t>
      </w:r>
    </w:p>
    <w:p w14:paraId="5AC5B0B4" w14:textId="77777777" w:rsidR="00D06C47" w:rsidRPr="000A3486" w:rsidRDefault="00D06C47" w:rsidP="00D06C47">
      <w:pPr>
        <w:pStyle w:val="RegSingleTxtG"/>
        <w:numPr>
          <w:ilvl w:val="0"/>
          <w:numId w:val="0"/>
        </w:numPr>
        <w:ind w:left="1134"/>
        <w:rPr>
          <w:i/>
          <w:iCs/>
        </w:rPr>
      </w:pPr>
      <w:r>
        <w:rPr>
          <w:i/>
          <w:iCs/>
        </w:rPr>
        <w:tab/>
      </w:r>
      <w:r w:rsidRPr="000A3486">
        <w:rPr>
          <w:i/>
          <w:iCs/>
        </w:rPr>
        <w:t xml:space="preserve">Also recalling </w:t>
      </w:r>
      <w:r w:rsidRPr="00D10D20">
        <w:t>Article 2 and Article 3, paragraph 14, of the Kyoto Protocol,</w:t>
      </w:r>
    </w:p>
    <w:p w14:paraId="6D18C4A7" w14:textId="77777777" w:rsidR="00D06C47" w:rsidRDefault="00D06C47" w:rsidP="00D06C47">
      <w:pPr>
        <w:pStyle w:val="RegSingleTxtG"/>
        <w:numPr>
          <w:ilvl w:val="0"/>
          <w:numId w:val="0"/>
        </w:numPr>
        <w:ind w:left="1134"/>
      </w:pPr>
      <w:r>
        <w:rPr>
          <w:i/>
          <w:iCs/>
        </w:rPr>
        <w:tab/>
      </w:r>
      <w:r w:rsidRPr="000A3486">
        <w:rPr>
          <w:i/>
          <w:iCs/>
        </w:rPr>
        <w:t xml:space="preserve">Reaffirming </w:t>
      </w:r>
      <w:r w:rsidRPr="00D10D20">
        <w:t>Article 4, paragraph 15, of the Paris Agreement,</w:t>
      </w:r>
    </w:p>
    <w:p w14:paraId="6A3D1DA5" w14:textId="0BEDE731" w:rsidR="00D06C47" w:rsidRDefault="00D06C47" w:rsidP="00D06C47">
      <w:pPr>
        <w:pStyle w:val="RegSingleTxtG"/>
        <w:numPr>
          <w:ilvl w:val="0"/>
          <w:numId w:val="0"/>
        </w:numPr>
        <w:ind w:left="1134"/>
      </w:pPr>
      <w:r>
        <w:tab/>
      </w:r>
      <w:r w:rsidRPr="00072ADB">
        <w:rPr>
          <w:i/>
          <w:iCs/>
        </w:rPr>
        <w:t>Recalling</w:t>
      </w:r>
      <w:r w:rsidRPr="00072ADB">
        <w:t xml:space="preserve"> decisions </w:t>
      </w:r>
      <w:hyperlink r:id="rId90" w:history="1">
        <w:r w:rsidRPr="00303C6A">
          <w:rPr>
            <w:rStyle w:val="Hyperlink"/>
          </w:rPr>
          <w:t>1/CP.21</w:t>
        </w:r>
      </w:hyperlink>
      <w:r w:rsidRPr="00072ADB">
        <w:t xml:space="preserve">, </w:t>
      </w:r>
      <w:hyperlink r:id="rId91" w:history="1">
        <w:r w:rsidRPr="00303C6A">
          <w:rPr>
            <w:rStyle w:val="Hyperlink"/>
          </w:rPr>
          <w:t>7/CP.24</w:t>
        </w:r>
      </w:hyperlink>
      <w:r w:rsidRPr="00072ADB">
        <w:t xml:space="preserve">, </w:t>
      </w:r>
      <w:hyperlink r:id="rId92" w:history="1">
        <w:r w:rsidRPr="00303C6A">
          <w:rPr>
            <w:rStyle w:val="Hyperlink"/>
          </w:rPr>
          <w:t>4/CP.25</w:t>
        </w:r>
      </w:hyperlink>
      <w:r w:rsidRPr="00072ADB">
        <w:t xml:space="preserve">, </w:t>
      </w:r>
      <w:hyperlink r:id="rId93" w:history="1">
        <w:r w:rsidRPr="00303C6A">
          <w:rPr>
            <w:rStyle w:val="Hyperlink"/>
          </w:rPr>
          <w:t>19/CP.26</w:t>
        </w:r>
      </w:hyperlink>
      <w:r w:rsidRPr="00072ADB">
        <w:t xml:space="preserve">, </w:t>
      </w:r>
      <w:hyperlink r:id="rId94" w:history="1">
        <w:r w:rsidRPr="00303C6A">
          <w:rPr>
            <w:rStyle w:val="Hyperlink"/>
          </w:rPr>
          <w:t>20/CP.27</w:t>
        </w:r>
      </w:hyperlink>
      <w:r w:rsidRPr="00072ADB">
        <w:t xml:space="preserve">, </w:t>
      </w:r>
      <w:hyperlink r:id="rId95" w:history="1">
        <w:r w:rsidRPr="00303C6A">
          <w:rPr>
            <w:rStyle w:val="Hyperlink"/>
          </w:rPr>
          <w:t>13/CP.28</w:t>
        </w:r>
      </w:hyperlink>
      <w:r w:rsidRPr="00072ADB">
        <w:t xml:space="preserve">, </w:t>
      </w:r>
      <w:hyperlink r:id="rId96" w:history="1">
        <w:r w:rsidRPr="00303C6A">
          <w:rPr>
            <w:rStyle w:val="Hyperlink"/>
          </w:rPr>
          <w:t>3/CMP.14</w:t>
        </w:r>
      </w:hyperlink>
      <w:r w:rsidRPr="00072ADB">
        <w:t xml:space="preserve">, </w:t>
      </w:r>
      <w:hyperlink r:id="rId97" w:history="1">
        <w:r w:rsidRPr="00303C6A">
          <w:rPr>
            <w:rStyle w:val="Hyperlink"/>
          </w:rPr>
          <w:t>4/CMP.15</w:t>
        </w:r>
      </w:hyperlink>
      <w:r w:rsidRPr="00072ADB">
        <w:t xml:space="preserve">, </w:t>
      </w:r>
      <w:hyperlink r:id="rId98" w:history="1">
        <w:r w:rsidRPr="00303C6A">
          <w:rPr>
            <w:rStyle w:val="Hyperlink"/>
          </w:rPr>
          <w:t>7/CMP.16</w:t>
        </w:r>
      </w:hyperlink>
      <w:r w:rsidRPr="00072ADB">
        <w:t xml:space="preserve">, </w:t>
      </w:r>
      <w:hyperlink r:id="rId99" w:history="1">
        <w:r w:rsidRPr="00303C6A">
          <w:rPr>
            <w:rStyle w:val="Hyperlink"/>
          </w:rPr>
          <w:t>7/CMP.17</w:t>
        </w:r>
      </w:hyperlink>
      <w:r w:rsidRPr="00072ADB">
        <w:t xml:space="preserve">, </w:t>
      </w:r>
      <w:hyperlink r:id="rId100" w:history="1">
        <w:r w:rsidRPr="00303C6A">
          <w:rPr>
            <w:rStyle w:val="Hyperlink"/>
          </w:rPr>
          <w:t>4/CMP.18</w:t>
        </w:r>
      </w:hyperlink>
      <w:r w:rsidRPr="00072ADB">
        <w:t xml:space="preserve">, </w:t>
      </w:r>
      <w:hyperlink r:id="rId101" w:history="1">
        <w:r w:rsidRPr="00303C6A">
          <w:rPr>
            <w:rStyle w:val="Hyperlink"/>
          </w:rPr>
          <w:t>7/CMA.1</w:t>
        </w:r>
      </w:hyperlink>
      <w:r w:rsidRPr="00072ADB">
        <w:t xml:space="preserve">, </w:t>
      </w:r>
      <w:hyperlink r:id="rId102" w:history="1">
        <w:r w:rsidRPr="00303C6A">
          <w:rPr>
            <w:rStyle w:val="Hyperlink"/>
          </w:rPr>
          <w:t>4/CMA.2</w:t>
        </w:r>
      </w:hyperlink>
      <w:r w:rsidRPr="00072ADB">
        <w:t xml:space="preserve">, </w:t>
      </w:r>
      <w:hyperlink r:id="rId103" w:history="1">
        <w:r w:rsidRPr="00303C6A">
          <w:rPr>
            <w:rStyle w:val="Hyperlink"/>
          </w:rPr>
          <w:t>23/CMA.3</w:t>
        </w:r>
      </w:hyperlink>
      <w:r w:rsidRPr="00072ADB">
        <w:t xml:space="preserve">, </w:t>
      </w:r>
      <w:hyperlink r:id="rId104" w:history="1">
        <w:r w:rsidRPr="00303C6A">
          <w:rPr>
            <w:rStyle w:val="Hyperlink"/>
          </w:rPr>
          <w:t>23/CMA.4</w:t>
        </w:r>
      </w:hyperlink>
      <w:r>
        <w:t xml:space="preserve"> </w:t>
      </w:r>
      <w:r w:rsidRPr="00072ADB">
        <w:t xml:space="preserve">and </w:t>
      </w:r>
      <w:hyperlink r:id="rId105" w:history="1">
        <w:r w:rsidRPr="00303C6A">
          <w:rPr>
            <w:rStyle w:val="Hyperlink"/>
          </w:rPr>
          <w:t>19/CMA.5</w:t>
        </w:r>
      </w:hyperlink>
      <w:r>
        <w:t>,</w:t>
      </w:r>
    </w:p>
    <w:p w14:paraId="45A74132" w14:textId="69BD4360" w:rsidR="00D06C47" w:rsidRDefault="00D06C47" w:rsidP="00D06C47">
      <w:pPr>
        <w:pStyle w:val="RegSingleTxtG"/>
        <w:numPr>
          <w:ilvl w:val="0"/>
          <w:numId w:val="0"/>
        </w:numPr>
        <w:ind w:left="1134"/>
        <w:rPr>
          <w:rFonts w:asciiTheme="majorBidi" w:hAnsiTheme="majorBidi" w:cstheme="majorBidi"/>
        </w:rPr>
      </w:pPr>
      <w:r>
        <w:rPr>
          <w:i/>
          <w:iCs/>
        </w:rPr>
        <w:tab/>
      </w:r>
      <w:r>
        <w:rPr>
          <w:rFonts w:asciiTheme="majorBidi" w:hAnsiTheme="majorBidi" w:cstheme="majorBidi"/>
          <w:i/>
          <w:iCs/>
        </w:rPr>
        <w:tab/>
        <w:t>Also r</w:t>
      </w:r>
      <w:r w:rsidRPr="0059378E">
        <w:rPr>
          <w:rFonts w:asciiTheme="majorBidi" w:hAnsiTheme="majorBidi" w:cstheme="majorBidi"/>
          <w:i/>
          <w:iCs/>
        </w:rPr>
        <w:t>ecall</w:t>
      </w:r>
      <w:r>
        <w:rPr>
          <w:rFonts w:asciiTheme="majorBidi" w:hAnsiTheme="majorBidi" w:cstheme="majorBidi"/>
          <w:i/>
          <w:iCs/>
        </w:rPr>
        <w:t>ing</w:t>
      </w:r>
      <w:r w:rsidRPr="0059378E">
        <w:rPr>
          <w:rFonts w:asciiTheme="majorBidi" w:hAnsiTheme="majorBidi" w:cstheme="majorBidi"/>
          <w:i/>
          <w:iCs/>
        </w:rPr>
        <w:t xml:space="preserve"> </w:t>
      </w:r>
      <w:r w:rsidRPr="00E74CA3">
        <w:rPr>
          <w:rFonts w:asciiTheme="majorBidi" w:hAnsiTheme="majorBidi" w:cstheme="majorBidi"/>
        </w:rPr>
        <w:t>decision</w:t>
      </w:r>
      <w:r>
        <w:rPr>
          <w:rFonts w:asciiTheme="majorBidi" w:hAnsiTheme="majorBidi" w:cstheme="majorBidi"/>
          <w:i/>
          <w:iCs/>
        </w:rPr>
        <w:t xml:space="preserve"> </w:t>
      </w:r>
      <w:hyperlink r:id="rId106" w:history="1">
        <w:r w:rsidRPr="00303C6A">
          <w:rPr>
            <w:rStyle w:val="Hyperlink"/>
            <w:rFonts w:asciiTheme="majorBidi" w:hAnsiTheme="majorBidi" w:cstheme="majorBidi"/>
          </w:rPr>
          <w:t>1/CMA.5</w:t>
        </w:r>
      </w:hyperlink>
      <w:r w:rsidRPr="00E74CA3">
        <w:rPr>
          <w:rFonts w:asciiTheme="majorBidi" w:hAnsiTheme="majorBidi" w:cstheme="majorBidi"/>
        </w:rPr>
        <w:t xml:space="preserve">, paragraph 136, and </w:t>
      </w:r>
      <w:r>
        <w:rPr>
          <w:rFonts w:asciiTheme="majorBidi" w:hAnsiTheme="majorBidi" w:cstheme="majorBidi"/>
        </w:rPr>
        <w:t xml:space="preserve">decision </w:t>
      </w:r>
      <w:hyperlink r:id="rId107" w:history="1">
        <w:r w:rsidRPr="00303C6A">
          <w:rPr>
            <w:rStyle w:val="Hyperlink"/>
            <w:rFonts w:asciiTheme="majorBidi" w:hAnsiTheme="majorBidi" w:cstheme="majorBidi"/>
          </w:rPr>
          <w:t>19/CMA.5</w:t>
        </w:r>
      </w:hyperlink>
      <w:r w:rsidRPr="00E74CA3">
        <w:rPr>
          <w:rFonts w:asciiTheme="majorBidi" w:hAnsiTheme="majorBidi" w:cstheme="majorBidi"/>
        </w:rPr>
        <w:t xml:space="preserve">, annex I, paragraph 1(f), </w:t>
      </w:r>
      <w:r>
        <w:rPr>
          <w:rFonts w:asciiTheme="majorBidi" w:hAnsiTheme="majorBidi" w:cstheme="majorBidi"/>
        </w:rPr>
        <w:t xml:space="preserve">which </w:t>
      </w:r>
      <w:r w:rsidRPr="00E74CA3">
        <w:rPr>
          <w:rFonts w:asciiTheme="majorBidi" w:hAnsiTheme="majorBidi" w:cstheme="majorBidi"/>
        </w:rPr>
        <w:t>highligh</w:t>
      </w:r>
      <w:r>
        <w:rPr>
          <w:rFonts w:asciiTheme="majorBidi" w:hAnsiTheme="majorBidi" w:cstheme="majorBidi"/>
        </w:rPr>
        <w:t>t</w:t>
      </w:r>
      <w:r w:rsidRPr="00E74CA3">
        <w:rPr>
          <w:rFonts w:asciiTheme="majorBidi" w:hAnsiTheme="majorBidi" w:cstheme="majorBidi"/>
        </w:rPr>
        <w:t xml:space="preserve"> the importance of promoting action to minimize the adverse impacts and maximize the positive impacts of the implementation of response measures</w:t>
      </w:r>
      <w:r>
        <w:rPr>
          <w:rFonts w:asciiTheme="majorBidi" w:hAnsiTheme="majorBidi" w:cstheme="majorBidi"/>
        </w:rPr>
        <w:t>,</w:t>
      </w:r>
    </w:p>
    <w:p w14:paraId="3C7CF77A" w14:textId="00E3E793" w:rsidR="00D06C47" w:rsidRDefault="00804401" w:rsidP="00804401">
      <w:pPr>
        <w:pStyle w:val="RegSingleTxtG"/>
        <w:numPr>
          <w:ilvl w:val="0"/>
          <w:numId w:val="0"/>
        </w:numPr>
        <w:ind w:left="1134"/>
      </w:pPr>
      <w:r>
        <w:rPr>
          <w:bCs/>
        </w:rPr>
        <w:t>1.</w:t>
      </w:r>
      <w:r>
        <w:rPr>
          <w:bCs/>
        </w:rPr>
        <w:tab/>
      </w:r>
      <w:r w:rsidR="00D06C47" w:rsidRPr="00D06C47">
        <w:rPr>
          <w:i/>
          <w:iCs/>
        </w:rPr>
        <w:tab/>
        <w:t>Express</w:t>
      </w:r>
      <w:r w:rsidR="00D06C47" w:rsidRPr="00A4729C">
        <w:t xml:space="preserve"> </w:t>
      </w:r>
      <w:r w:rsidR="00D06C47" w:rsidRPr="00D06C47">
        <w:rPr>
          <w:i/>
          <w:iCs/>
        </w:rPr>
        <w:t>appreciation</w:t>
      </w:r>
      <w:r w:rsidR="00D06C47">
        <w:t xml:space="preserve"> to the Government of Ghana for hosting the first global dialogue on the impacts of the implementation of response measures, held from 9 to 10 September 2024 in Accra;</w:t>
      </w:r>
    </w:p>
    <w:p w14:paraId="212ED4C5" w14:textId="5301A355" w:rsidR="00D06C47" w:rsidRDefault="00804401" w:rsidP="00804401">
      <w:pPr>
        <w:pStyle w:val="RegSingleTxtG"/>
        <w:numPr>
          <w:ilvl w:val="0"/>
          <w:numId w:val="0"/>
        </w:numPr>
        <w:ind w:left="1134"/>
      </w:pPr>
      <w:r>
        <w:rPr>
          <w:bCs/>
        </w:rPr>
        <w:t>2.</w:t>
      </w:r>
      <w:r>
        <w:rPr>
          <w:bCs/>
        </w:rPr>
        <w:tab/>
      </w:r>
      <w:r w:rsidR="00D06C47" w:rsidRPr="00743023">
        <w:rPr>
          <w:i/>
          <w:iCs/>
        </w:rPr>
        <w:t>Also express appreciation</w:t>
      </w:r>
      <w:r w:rsidR="00D06C47">
        <w:t xml:space="preserve"> to the United Nations Development Programme for supporting the organization of the global dialogue; the Chairs of the subsidiary bodies and the secretariat for organizing the dialogue; the experts and facilitators who contributed to the event; and the Parties and observers that participated;</w:t>
      </w:r>
    </w:p>
    <w:p w14:paraId="1CA54E0E" w14:textId="2D55E367" w:rsidR="00D06C47" w:rsidRDefault="00804401" w:rsidP="00804401">
      <w:pPr>
        <w:pStyle w:val="RegSingleTxtG"/>
        <w:numPr>
          <w:ilvl w:val="0"/>
          <w:numId w:val="0"/>
        </w:numPr>
        <w:ind w:left="1134"/>
      </w:pPr>
      <w:r>
        <w:rPr>
          <w:bCs/>
        </w:rPr>
        <w:t>3.</w:t>
      </w:r>
      <w:r>
        <w:rPr>
          <w:bCs/>
        </w:rPr>
        <w:tab/>
      </w:r>
      <w:r w:rsidR="00D06C47" w:rsidRPr="0028426A">
        <w:rPr>
          <w:i/>
          <w:iCs/>
        </w:rPr>
        <w:t>Acknowledge</w:t>
      </w:r>
      <w:r w:rsidR="00D06C47">
        <w:t xml:space="preserve"> the report on the global dialogue</w:t>
      </w:r>
      <w:r w:rsidR="00D06C47">
        <w:rPr>
          <w:rStyle w:val="FootnoteReference"/>
        </w:rPr>
        <w:footnoteReference w:id="24"/>
      </w:r>
      <w:r w:rsidR="00D06C47">
        <w:t xml:space="preserve"> prepared by the secretariat, </w:t>
      </w:r>
      <w:r w:rsidR="00D06C47" w:rsidRPr="0028426A">
        <w:rPr>
          <w:rFonts w:asciiTheme="majorBidi" w:hAnsiTheme="majorBidi" w:cstheme="majorBidi"/>
        </w:rPr>
        <w:t>recognizing that it is not an exhaustive account thereof</w:t>
      </w:r>
      <w:r w:rsidR="00D06C47">
        <w:t>;</w:t>
      </w:r>
    </w:p>
    <w:p w14:paraId="0CB02350" w14:textId="77777777" w:rsidR="00D06C47" w:rsidRDefault="00D06C47" w:rsidP="00D06C47">
      <w:pPr>
        <w:pStyle w:val="RegSingleTxtG"/>
        <w:numPr>
          <w:ilvl w:val="0"/>
          <w:numId w:val="0"/>
        </w:numPr>
        <w:ind w:left="1134"/>
      </w:pPr>
      <w:r>
        <w:t>4.</w:t>
      </w:r>
      <w:r>
        <w:tab/>
      </w:r>
      <w:r>
        <w:tab/>
      </w:r>
      <w:r>
        <w:rPr>
          <w:i/>
          <w:iCs/>
        </w:rPr>
        <w:t>Welcome</w:t>
      </w:r>
      <w:r>
        <w:t xml:space="preserve"> the annual report of the </w:t>
      </w:r>
      <w:r w:rsidRPr="00743023">
        <w:t xml:space="preserve">Katowice Committee </w:t>
      </w:r>
      <w:r>
        <w:t>of Experts on the Impacts of the Implementation of Response Measures</w:t>
      </w:r>
      <w:r w:rsidRPr="00743023">
        <w:t xml:space="preserve"> </w:t>
      </w:r>
      <w:r>
        <w:t>for 2024,</w:t>
      </w:r>
      <w:r>
        <w:rPr>
          <w:rStyle w:val="FootnoteReference"/>
        </w:rPr>
        <w:footnoteReference w:id="25"/>
      </w:r>
      <w:r>
        <w:t xml:space="preserve"> </w:t>
      </w:r>
      <w:r w:rsidRPr="009F4425">
        <w:rPr>
          <w:i/>
          <w:iCs/>
        </w:rPr>
        <w:t>adopt</w:t>
      </w:r>
      <w:r>
        <w:t xml:space="preserve"> the updated rules of procedure contained therein and </w:t>
      </w:r>
      <w:r w:rsidRPr="0007620E">
        <w:rPr>
          <w:i/>
          <w:iCs/>
        </w:rPr>
        <w:t>also adopt</w:t>
      </w:r>
      <w:r>
        <w:t xml:space="preserve"> the recommendations forwarded by the forum on the impact of the implementation of response measures contained in sections I–II below, which pertain to activities 6</w:t>
      </w:r>
      <w:r>
        <w:rPr>
          <w:rStyle w:val="FootnoteReference"/>
        </w:rPr>
        <w:footnoteReference w:id="26"/>
      </w:r>
      <w:r w:rsidRPr="003F47BF">
        <w:t xml:space="preserve"> </w:t>
      </w:r>
      <w:r>
        <w:t>and 10</w:t>
      </w:r>
      <w:r>
        <w:rPr>
          <w:rStyle w:val="FootnoteReference"/>
        </w:rPr>
        <w:footnoteReference w:id="27"/>
      </w:r>
      <w:r>
        <w:t xml:space="preserve"> of the workplan of the forum and its Katowice Committee on Impacts;</w:t>
      </w:r>
      <w:r>
        <w:rPr>
          <w:rStyle w:val="FootnoteReference"/>
        </w:rPr>
        <w:footnoteReference w:id="28"/>
      </w:r>
    </w:p>
    <w:p w14:paraId="5C477EB1" w14:textId="752BD34B" w:rsidR="00D06C47" w:rsidRDefault="00804401" w:rsidP="00804401">
      <w:pPr>
        <w:pStyle w:val="RegSingleTxtG"/>
        <w:numPr>
          <w:ilvl w:val="0"/>
          <w:numId w:val="0"/>
        </w:numPr>
        <w:ind w:left="1134"/>
      </w:pPr>
      <w:r>
        <w:rPr>
          <w:bCs/>
        </w:rPr>
        <w:t>5.</w:t>
      </w:r>
      <w:r>
        <w:rPr>
          <w:bCs/>
        </w:rPr>
        <w:tab/>
      </w:r>
      <w:r w:rsidR="00D06C47">
        <w:rPr>
          <w:i/>
          <w:iCs/>
        </w:rPr>
        <w:t>Further a</w:t>
      </w:r>
      <w:r w:rsidR="00D06C47" w:rsidRPr="00FB17FC">
        <w:rPr>
          <w:i/>
          <w:iCs/>
        </w:rPr>
        <w:t>dopt</w:t>
      </w:r>
      <w:r w:rsidR="00D06C47">
        <w:t xml:space="preserve"> the workplan of the forum and its Katowice Committee on Impacts for 2026–2030, as contained in the annex;</w:t>
      </w:r>
    </w:p>
    <w:p w14:paraId="3DD422D8" w14:textId="386426A8" w:rsidR="00D06C47" w:rsidRDefault="00804401" w:rsidP="00804401">
      <w:pPr>
        <w:pStyle w:val="RegSingleTxtG"/>
        <w:numPr>
          <w:ilvl w:val="0"/>
          <w:numId w:val="0"/>
        </w:numPr>
        <w:ind w:left="1134"/>
      </w:pPr>
      <w:r>
        <w:rPr>
          <w:bCs/>
        </w:rPr>
        <w:t>6.</w:t>
      </w:r>
      <w:r>
        <w:rPr>
          <w:bCs/>
        </w:rPr>
        <w:tab/>
      </w:r>
      <w:r w:rsidR="00D06C47" w:rsidRPr="005143D6">
        <w:rPr>
          <w:i/>
          <w:iCs/>
        </w:rPr>
        <w:t>Request</w:t>
      </w:r>
      <w:r w:rsidR="00D06C47">
        <w:t xml:space="preserve"> the Katowice Committee on Impacts to prepare and include in its annual report for 2025 a timeline and modalities for its implementation of each activity in the workplan referred to in paragraph 5 above;</w:t>
      </w:r>
    </w:p>
    <w:p w14:paraId="0E498A72" w14:textId="4EF8C32B" w:rsidR="00D06C47" w:rsidRDefault="00804401" w:rsidP="00804401">
      <w:pPr>
        <w:pStyle w:val="RegSingleTxtG"/>
        <w:numPr>
          <w:ilvl w:val="0"/>
          <w:numId w:val="0"/>
        </w:numPr>
        <w:ind w:left="1134"/>
      </w:pPr>
      <w:r>
        <w:rPr>
          <w:bCs/>
        </w:rPr>
        <w:t>7.</w:t>
      </w:r>
      <w:r>
        <w:rPr>
          <w:bCs/>
        </w:rPr>
        <w:tab/>
      </w:r>
      <w:r w:rsidR="00D06C47">
        <w:rPr>
          <w:i/>
          <w:iCs/>
        </w:rPr>
        <w:t>Also r</w:t>
      </w:r>
      <w:r w:rsidR="00D06C47" w:rsidRPr="005143D6">
        <w:rPr>
          <w:i/>
          <w:iCs/>
        </w:rPr>
        <w:t>equest</w:t>
      </w:r>
      <w:r w:rsidR="00D06C47">
        <w:t xml:space="preserve"> the forum to incorporate into its annual workplan the consideration of matters of process and substantive matters related to the work of the Katowice Committee on Impacts at the sessions of the governing bodies on the basis of the annual report of the Katowice Committee on Impacts;</w:t>
      </w:r>
    </w:p>
    <w:p w14:paraId="3650DFF4" w14:textId="52101B6B" w:rsidR="00D06C47" w:rsidRDefault="00804401" w:rsidP="00804401">
      <w:pPr>
        <w:pStyle w:val="RegSingleTxtG"/>
        <w:numPr>
          <w:ilvl w:val="0"/>
          <w:numId w:val="0"/>
        </w:numPr>
        <w:ind w:left="1134"/>
      </w:pPr>
      <w:r>
        <w:rPr>
          <w:bCs/>
        </w:rPr>
        <w:lastRenderedPageBreak/>
        <w:t>8.</w:t>
      </w:r>
      <w:r>
        <w:rPr>
          <w:bCs/>
        </w:rPr>
        <w:tab/>
      </w:r>
      <w:r w:rsidR="00D06C47" w:rsidRPr="002B2399">
        <w:rPr>
          <w:i/>
          <w:iCs/>
        </w:rPr>
        <w:t>Further request</w:t>
      </w:r>
      <w:r w:rsidR="00D06C47">
        <w:t xml:space="preserve"> the secretariat to support the implementation of the workplan referred to in paragraph 5 above;</w:t>
      </w:r>
    </w:p>
    <w:p w14:paraId="57AC5161" w14:textId="0ED665E8" w:rsidR="00D06C47" w:rsidRDefault="00804401" w:rsidP="00804401">
      <w:pPr>
        <w:pStyle w:val="RegSingleTxtG"/>
        <w:numPr>
          <w:ilvl w:val="0"/>
          <w:numId w:val="0"/>
        </w:numPr>
        <w:ind w:left="1134"/>
      </w:pPr>
      <w:r>
        <w:rPr>
          <w:bCs/>
        </w:rPr>
        <w:t>9.</w:t>
      </w:r>
      <w:r>
        <w:rPr>
          <w:bCs/>
        </w:rPr>
        <w:tab/>
      </w:r>
      <w:r w:rsidR="00D06C47" w:rsidRPr="004B0F31">
        <w:rPr>
          <w:i/>
          <w:iCs/>
        </w:rPr>
        <w:t>Take note</w:t>
      </w:r>
      <w:r w:rsidR="00D06C47">
        <w:t xml:space="preserve"> of the estimated budgetary implications of the activities to be undertaken by the secretariat referred to in paragraphs 5–8 above</w:t>
      </w:r>
      <w:r w:rsidR="00D949BE">
        <w:t xml:space="preserve"> and</w:t>
      </w:r>
      <w:r w:rsidR="00E973E6">
        <w:t xml:space="preserve"> 16 below</w:t>
      </w:r>
      <w:r w:rsidR="00D06C47">
        <w:t>;</w:t>
      </w:r>
    </w:p>
    <w:p w14:paraId="08BAE9DB" w14:textId="7A64F9F7" w:rsidR="00D06C47" w:rsidRDefault="00804401" w:rsidP="00804401">
      <w:pPr>
        <w:pStyle w:val="RegSingleTxtG"/>
        <w:numPr>
          <w:ilvl w:val="0"/>
          <w:numId w:val="0"/>
        </w:numPr>
        <w:ind w:left="1134"/>
      </w:pPr>
      <w:r>
        <w:rPr>
          <w:bCs/>
        </w:rPr>
        <w:t>10.</w:t>
      </w:r>
      <w:r>
        <w:rPr>
          <w:bCs/>
        </w:rPr>
        <w:tab/>
      </w:r>
      <w:r w:rsidR="00D06C47" w:rsidRPr="004B0F31">
        <w:rPr>
          <w:i/>
          <w:iCs/>
        </w:rPr>
        <w:t>Request</w:t>
      </w:r>
      <w:r w:rsidR="00D06C47">
        <w:t xml:space="preserve"> that the actions of the secretariat called for in this decision be undertaken subject to the availability of financial resources;</w:t>
      </w:r>
    </w:p>
    <w:p w14:paraId="05AA3474" w14:textId="5852C539" w:rsidR="00D06C47" w:rsidRPr="007831C5" w:rsidRDefault="00804401" w:rsidP="00804401">
      <w:pPr>
        <w:pStyle w:val="RegHChG"/>
        <w:numPr>
          <w:ilvl w:val="0"/>
          <w:numId w:val="0"/>
        </w:numPr>
        <w:tabs>
          <w:tab w:val="left" w:pos="1135"/>
        </w:tabs>
        <w:ind w:left="1135" w:hanging="454"/>
      </w:pPr>
      <w:bookmarkStart w:id="18" w:name="_Toc184133529"/>
      <w:r w:rsidRPr="007831C5">
        <w:t>I.</w:t>
      </w:r>
      <w:r w:rsidRPr="007831C5">
        <w:tab/>
      </w:r>
      <w:r w:rsidR="00D06C47">
        <w:t>A</w:t>
      </w:r>
      <w:r w:rsidR="00D06C47" w:rsidRPr="003F47BF">
        <w:t>ctivit</w:t>
      </w:r>
      <w:r w:rsidR="00D06C47">
        <w:t>y</w:t>
      </w:r>
      <w:r w:rsidR="00D06C47" w:rsidRPr="003F47BF">
        <w:t xml:space="preserve"> </w:t>
      </w:r>
      <w:r w:rsidR="00D06C47">
        <w:t>6</w:t>
      </w:r>
      <w:r w:rsidR="00D06C47" w:rsidRPr="00452FA9">
        <w:rPr>
          <w:rStyle w:val="FootnoteReference"/>
          <w:sz w:val="24"/>
          <w:szCs w:val="24"/>
        </w:rPr>
        <w:footnoteReference w:id="29"/>
      </w:r>
      <w:r w:rsidR="00D06C47" w:rsidRPr="003F47BF">
        <w:t xml:space="preserve"> of the workplan</w:t>
      </w:r>
      <w:bookmarkEnd w:id="18"/>
    </w:p>
    <w:p w14:paraId="6DAAFAF6" w14:textId="3AC5FB9F" w:rsidR="00D06C47" w:rsidRPr="00563CF5" w:rsidRDefault="00804401" w:rsidP="00804401">
      <w:pPr>
        <w:pStyle w:val="RegSingleTxtG"/>
        <w:numPr>
          <w:ilvl w:val="0"/>
          <w:numId w:val="0"/>
        </w:numPr>
        <w:ind w:left="1134"/>
      </w:pPr>
      <w:r w:rsidRPr="00563CF5">
        <w:rPr>
          <w:bCs/>
        </w:rPr>
        <w:t>11.</w:t>
      </w:r>
      <w:r w:rsidRPr="00563CF5">
        <w:rPr>
          <w:bCs/>
        </w:rPr>
        <w:tab/>
      </w:r>
      <w:r w:rsidR="00D06C47" w:rsidRPr="001E2487">
        <w:rPr>
          <w:i/>
          <w:iCs/>
        </w:rPr>
        <w:t>Recognize</w:t>
      </w:r>
      <w:r w:rsidR="00D06C47" w:rsidRPr="00563CF5">
        <w:t xml:space="preserve"> the variety of existing just transition frameworks, guidelines and tools;</w:t>
      </w:r>
    </w:p>
    <w:p w14:paraId="536AB1BE" w14:textId="54DCEEE7" w:rsidR="00D06C47" w:rsidRPr="00563CF5" w:rsidRDefault="00804401" w:rsidP="00804401">
      <w:pPr>
        <w:pStyle w:val="RegSingleTxtG"/>
        <w:numPr>
          <w:ilvl w:val="0"/>
          <w:numId w:val="0"/>
        </w:numPr>
        <w:ind w:left="1134"/>
      </w:pPr>
      <w:r w:rsidRPr="00563CF5">
        <w:rPr>
          <w:bCs/>
        </w:rPr>
        <w:t>12.</w:t>
      </w:r>
      <w:r w:rsidRPr="00563CF5">
        <w:rPr>
          <w:bCs/>
        </w:rPr>
        <w:tab/>
      </w:r>
      <w:r w:rsidR="00D06C47">
        <w:rPr>
          <w:i/>
          <w:iCs/>
        </w:rPr>
        <w:t>Also r</w:t>
      </w:r>
      <w:r w:rsidR="00D06C47" w:rsidRPr="001E2487">
        <w:rPr>
          <w:i/>
          <w:iCs/>
        </w:rPr>
        <w:t>ecognize</w:t>
      </w:r>
      <w:r w:rsidR="00D06C47" w:rsidRPr="00563CF5">
        <w:t xml:space="preserve"> the importance of data availability, institutional and human capacity, and legal and regulatory frameworks, particularly for developing countries;</w:t>
      </w:r>
    </w:p>
    <w:p w14:paraId="3F31A1F6" w14:textId="0B8DAAC5" w:rsidR="00D06C47" w:rsidRDefault="00804401" w:rsidP="00804401">
      <w:pPr>
        <w:pStyle w:val="RegSingleTxtG"/>
        <w:numPr>
          <w:ilvl w:val="0"/>
          <w:numId w:val="0"/>
        </w:numPr>
        <w:ind w:left="1134"/>
      </w:pPr>
      <w:r>
        <w:rPr>
          <w:bCs/>
        </w:rPr>
        <w:t>13.</w:t>
      </w:r>
      <w:r>
        <w:rPr>
          <w:bCs/>
        </w:rPr>
        <w:tab/>
      </w:r>
      <w:r w:rsidR="00D06C47" w:rsidRPr="001E2487">
        <w:rPr>
          <w:i/>
          <w:iCs/>
        </w:rPr>
        <w:t>Encourage</w:t>
      </w:r>
      <w:r w:rsidR="00D06C47" w:rsidRPr="00563CF5">
        <w:t xml:space="preserve"> Parties to integrate just transition of the workforce and the creation of decent work and quality jobs into the development and implementation of their nationally determined contributions;</w:t>
      </w:r>
    </w:p>
    <w:p w14:paraId="6E1F2F55" w14:textId="6C18B968" w:rsidR="00D06C47" w:rsidRPr="007831C5" w:rsidRDefault="00804401" w:rsidP="00804401">
      <w:pPr>
        <w:pStyle w:val="RegHChG"/>
        <w:numPr>
          <w:ilvl w:val="0"/>
          <w:numId w:val="0"/>
        </w:numPr>
        <w:tabs>
          <w:tab w:val="left" w:pos="1135"/>
        </w:tabs>
        <w:ind w:left="1135" w:hanging="454"/>
      </w:pPr>
      <w:bookmarkStart w:id="19" w:name="_Toc184133530"/>
      <w:r w:rsidRPr="007831C5">
        <w:t>II.</w:t>
      </w:r>
      <w:r w:rsidRPr="007831C5">
        <w:tab/>
      </w:r>
      <w:r w:rsidR="00D06C47">
        <w:t>A</w:t>
      </w:r>
      <w:r w:rsidR="00D06C47" w:rsidRPr="003F47BF">
        <w:t>ctivit</w:t>
      </w:r>
      <w:r w:rsidR="00D06C47">
        <w:t>y</w:t>
      </w:r>
      <w:r w:rsidR="00D06C47" w:rsidRPr="003F47BF">
        <w:t xml:space="preserve"> </w:t>
      </w:r>
      <w:r w:rsidR="00D06C47">
        <w:t>10</w:t>
      </w:r>
      <w:r w:rsidR="00D06C47" w:rsidRPr="00452FA9">
        <w:rPr>
          <w:rStyle w:val="FootnoteReference"/>
          <w:sz w:val="24"/>
          <w:szCs w:val="24"/>
        </w:rPr>
        <w:footnoteReference w:id="30"/>
      </w:r>
      <w:r w:rsidR="00D06C47" w:rsidRPr="003F47BF">
        <w:t xml:space="preserve"> of the workplan</w:t>
      </w:r>
      <w:bookmarkEnd w:id="19"/>
    </w:p>
    <w:p w14:paraId="3D67CF55" w14:textId="0E18E513" w:rsidR="00D06C47" w:rsidRPr="00563CF5" w:rsidRDefault="00804401" w:rsidP="00804401">
      <w:pPr>
        <w:pStyle w:val="RegSingleTxtG"/>
        <w:numPr>
          <w:ilvl w:val="0"/>
          <w:numId w:val="0"/>
        </w:numPr>
        <w:ind w:left="1134"/>
      </w:pPr>
      <w:r w:rsidRPr="00563CF5">
        <w:rPr>
          <w:bCs/>
        </w:rPr>
        <w:t>14.</w:t>
      </w:r>
      <w:r w:rsidRPr="00563CF5">
        <w:rPr>
          <w:bCs/>
        </w:rPr>
        <w:tab/>
      </w:r>
      <w:r w:rsidR="00D06C47" w:rsidRPr="001E2487">
        <w:rPr>
          <w:i/>
          <w:iCs/>
        </w:rPr>
        <w:t>Encourage</w:t>
      </w:r>
      <w:r w:rsidR="00D06C47">
        <w:t xml:space="preserve"> </w:t>
      </w:r>
      <w:r w:rsidR="00D06C47" w:rsidRPr="00563CF5">
        <w:t>Parties to report on the social and economic consequences of response measures</w:t>
      </w:r>
      <w:r w:rsidR="00D06C47">
        <w:t xml:space="preserve">, in line with paragraph 90 of decision </w:t>
      </w:r>
      <w:hyperlink r:id="rId108" w:history="1">
        <w:r w:rsidR="00D06C47" w:rsidRPr="00303C6A">
          <w:rPr>
            <w:rStyle w:val="Hyperlink"/>
          </w:rPr>
          <w:t>18/CMA.1</w:t>
        </w:r>
      </w:hyperlink>
      <w:r w:rsidR="00D06C47">
        <w:t xml:space="preserve">, </w:t>
      </w:r>
      <w:r w:rsidR="00D06C47" w:rsidRPr="00563CF5">
        <w:t>in both a qualitative and a quantitative manner;</w:t>
      </w:r>
    </w:p>
    <w:p w14:paraId="1DAD4F0C" w14:textId="314062BE" w:rsidR="00D06C47" w:rsidRDefault="00804401" w:rsidP="00804401">
      <w:pPr>
        <w:pStyle w:val="RegSingleTxtG"/>
        <w:numPr>
          <w:ilvl w:val="0"/>
          <w:numId w:val="0"/>
        </w:numPr>
        <w:ind w:left="1134"/>
      </w:pPr>
      <w:r>
        <w:rPr>
          <w:bCs/>
        </w:rPr>
        <w:t>15.</w:t>
      </w:r>
      <w:r>
        <w:rPr>
          <w:bCs/>
        </w:rPr>
        <w:tab/>
      </w:r>
      <w:r w:rsidR="00D06C47">
        <w:rPr>
          <w:i/>
          <w:iCs/>
        </w:rPr>
        <w:t>Also e</w:t>
      </w:r>
      <w:r w:rsidR="00D06C47" w:rsidRPr="001E2487">
        <w:rPr>
          <w:i/>
          <w:iCs/>
        </w:rPr>
        <w:t>ncourage</w:t>
      </w:r>
      <w:r w:rsidR="00D06C47" w:rsidRPr="00563CF5">
        <w:t xml:space="preserve"> Parties that have already reported on the social and economic consequences of response measures to continue and enhance such reporting in both a qualitative and a quantitative manner;</w:t>
      </w:r>
    </w:p>
    <w:p w14:paraId="79A1C181" w14:textId="245A24BE" w:rsidR="00D06C47" w:rsidRDefault="00804401" w:rsidP="00804401">
      <w:pPr>
        <w:pStyle w:val="RegSingleTxtG"/>
        <w:numPr>
          <w:ilvl w:val="0"/>
          <w:numId w:val="0"/>
        </w:numPr>
        <w:ind w:left="1134"/>
      </w:pPr>
      <w:r>
        <w:rPr>
          <w:bCs/>
        </w:rPr>
        <w:t>16.</w:t>
      </w:r>
      <w:r>
        <w:rPr>
          <w:bCs/>
        </w:rPr>
        <w:tab/>
      </w:r>
      <w:r w:rsidR="00D06C47" w:rsidRPr="00D06C47">
        <w:rPr>
          <w:i/>
          <w:iCs/>
        </w:rPr>
        <w:t>Request</w:t>
      </w:r>
      <w:r w:rsidR="00D06C47" w:rsidRPr="00563CF5">
        <w:t xml:space="preserve"> the secretariat to prepare a synthesis report on the information on response measures reported by Parties in the</w:t>
      </w:r>
      <w:r w:rsidR="00BE69BF">
        <w:t>ir</w:t>
      </w:r>
      <w:r w:rsidR="00D06C47" w:rsidRPr="00563CF5">
        <w:t xml:space="preserve"> biennial transparency reports and present it to the </w:t>
      </w:r>
      <w:r w:rsidR="00D06C47">
        <w:t xml:space="preserve">Katowice Committee on Impacts </w:t>
      </w:r>
      <w:r w:rsidR="00D06C47" w:rsidRPr="00563CF5">
        <w:t>at its 13</w:t>
      </w:r>
      <w:r w:rsidR="00D06C47" w:rsidRPr="00D06C47">
        <w:rPr>
          <w:vertAlign w:val="superscript"/>
        </w:rPr>
        <w:t>th</w:t>
      </w:r>
      <w:r w:rsidR="00D06C47" w:rsidRPr="00563CF5">
        <w:t xml:space="preserve"> meeting.</w:t>
      </w:r>
    </w:p>
    <w:p w14:paraId="66063600" w14:textId="4581EC7C" w:rsidR="00D06C47" w:rsidRDefault="00804401" w:rsidP="00804401">
      <w:pPr>
        <w:pStyle w:val="RegHChG"/>
        <w:numPr>
          <w:ilvl w:val="0"/>
          <w:numId w:val="0"/>
        </w:numPr>
        <w:tabs>
          <w:tab w:val="left" w:pos="1135"/>
        </w:tabs>
        <w:ind w:left="1135" w:hanging="454"/>
      </w:pPr>
      <w:r>
        <w:t>III.</w:t>
      </w:r>
      <w:r>
        <w:tab/>
      </w:r>
      <w:r w:rsidR="00D06C47">
        <w:br w:type="page"/>
      </w:r>
    </w:p>
    <w:p w14:paraId="7C3CEB89" w14:textId="77777777" w:rsidR="00353786" w:rsidRDefault="00353786" w:rsidP="00804401">
      <w:pPr>
        <w:pStyle w:val="RegHChG"/>
        <w:numPr>
          <w:ilvl w:val="0"/>
          <w:numId w:val="0"/>
        </w:numPr>
        <w:ind w:left="1135" w:hanging="454"/>
        <w:sectPr w:rsidR="00353786" w:rsidSect="00E56563">
          <w:headerReference w:type="even" r:id="rId109"/>
          <w:headerReference w:type="default" r:id="rId110"/>
          <w:footerReference w:type="even" r:id="rId111"/>
          <w:footerReference w:type="default" r:id="rId112"/>
          <w:footnotePr>
            <w:numRestart w:val="eachSect"/>
          </w:footnotePr>
          <w:pgSz w:w="11906" w:h="16838" w:code="9"/>
          <w:pgMar w:top="1417" w:right="1134" w:bottom="1134" w:left="1134" w:header="850" w:footer="567" w:gutter="0"/>
          <w:cols w:space="708"/>
          <w:docGrid w:linePitch="360"/>
        </w:sectPr>
      </w:pPr>
    </w:p>
    <w:p w14:paraId="66E7F360" w14:textId="77777777" w:rsidR="004272BE" w:rsidRDefault="004272BE" w:rsidP="004272BE">
      <w:pPr>
        <w:pStyle w:val="HChG"/>
        <w:spacing w:before="0"/>
      </w:pPr>
      <w:r>
        <w:lastRenderedPageBreak/>
        <w:t xml:space="preserve">Annex </w:t>
      </w:r>
    </w:p>
    <w:p w14:paraId="6B7086C9" w14:textId="77777777" w:rsidR="004272BE" w:rsidRDefault="004272BE" w:rsidP="007E5708">
      <w:pPr>
        <w:pStyle w:val="HChG"/>
        <w:tabs>
          <w:tab w:val="clear" w:pos="851"/>
        </w:tabs>
        <w:ind w:right="395" w:firstLine="0"/>
      </w:pPr>
      <w:r w:rsidRPr="002728E8">
        <w:t>Workplan of the forum on the impact of the implementation of response measures and its Katowice Committee of Experts on the Impacts of the Implementation of Response Measures for 2026–2030</w:t>
      </w:r>
    </w:p>
    <w:tbl>
      <w:tblPr>
        <w:tblStyle w:val="TableGrid"/>
        <w:tblW w:w="1389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
        <w:gridCol w:w="5591"/>
        <w:gridCol w:w="1620"/>
        <w:gridCol w:w="3670"/>
        <w:gridCol w:w="1991"/>
      </w:tblGrid>
      <w:tr w:rsidR="004272BE" w:rsidRPr="009C5902" w14:paraId="13DB3E53" w14:textId="77777777" w:rsidTr="004634C3">
        <w:trPr>
          <w:tblHeader/>
        </w:trPr>
        <w:tc>
          <w:tcPr>
            <w:tcW w:w="1020" w:type="dxa"/>
            <w:tcBorders>
              <w:top w:val="single" w:sz="4" w:space="0" w:color="auto"/>
              <w:bottom w:val="single" w:sz="12" w:space="0" w:color="auto"/>
            </w:tcBorders>
            <w:shd w:val="clear" w:color="auto" w:fill="auto"/>
            <w:vAlign w:val="bottom"/>
          </w:tcPr>
          <w:p w14:paraId="56EFAFD9" w14:textId="77777777" w:rsidR="004272BE" w:rsidRPr="009C5902" w:rsidRDefault="004272BE" w:rsidP="004634C3">
            <w:pPr>
              <w:spacing w:before="40" w:after="40" w:line="180" w:lineRule="exact"/>
              <w:rPr>
                <w:rFonts w:asciiTheme="majorBidi" w:hAnsiTheme="majorBidi" w:cstheme="majorBidi"/>
                <w:i/>
                <w:iCs/>
                <w:sz w:val="16"/>
                <w:szCs w:val="16"/>
              </w:rPr>
            </w:pPr>
            <w:r w:rsidRPr="009C5902">
              <w:rPr>
                <w:rFonts w:asciiTheme="majorBidi" w:hAnsiTheme="majorBidi" w:cstheme="majorBidi"/>
                <w:i/>
                <w:iCs/>
                <w:sz w:val="16"/>
                <w:szCs w:val="16"/>
              </w:rPr>
              <w:t>Activity number</w:t>
            </w:r>
          </w:p>
        </w:tc>
        <w:tc>
          <w:tcPr>
            <w:tcW w:w="5591" w:type="dxa"/>
            <w:tcBorders>
              <w:top w:val="single" w:sz="4" w:space="0" w:color="auto"/>
              <w:bottom w:val="single" w:sz="12" w:space="0" w:color="auto"/>
            </w:tcBorders>
            <w:shd w:val="clear" w:color="auto" w:fill="auto"/>
            <w:vAlign w:val="bottom"/>
          </w:tcPr>
          <w:p w14:paraId="443A0826" w14:textId="77777777" w:rsidR="004272BE" w:rsidRPr="009C5902" w:rsidRDefault="004272BE" w:rsidP="004634C3">
            <w:pPr>
              <w:spacing w:before="40" w:after="40" w:line="180" w:lineRule="exact"/>
              <w:rPr>
                <w:rFonts w:asciiTheme="majorBidi" w:hAnsiTheme="majorBidi" w:cstheme="majorBidi"/>
                <w:i/>
                <w:iCs/>
                <w:sz w:val="16"/>
                <w:szCs w:val="16"/>
              </w:rPr>
            </w:pPr>
            <w:r w:rsidRPr="009C5902">
              <w:rPr>
                <w:rFonts w:asciiTheme="majorBidi" w:hAnsiTheme="majorBidi" w:cstheme="majorBidi"/>
                <w:i/>
                <w:iCs/>
                <w:sz w:val="16"/>
                <w:szCs w:val="16"/>
              </w:rPr>
              <w:t>Activity</w:t>
            </w:r>
          </w:p>
        </w:tc>
        <w:tc>
          <w:tcPr>
            <w:tcW w:w="1620" w:type="dxa"/>
            <w:tcBorders>
              <w:top w:val="single" w:sz="4" w:space="0" w:color="auto"/>
              <w:bottom w:val="single" w:sz="12" w:space="0" w:color="auto"/>
            </w:tcBorders>
            <w:shd w:val="clear" w:color="auto" w:fill="auto"/>
            <w:vAlign w:val="bottom"/>
          </w:tcPr>
          <w:p w14:paraId="01577E5D" w14:textId="77777777" w:rsidR="004272BE" w:rsidRPr="009C5902" w:rsidRDefault="004272BE" w:rsidP="004634C3">
            <w:pPr>
              <w:spacing w:before="40" w:after="40" w:line="180" w:lineRule="exact"/>
              <w:rPr>
                <w:rFonts w:asciiTheme="majorBidi" w:hAnsiTheme="majorBidi" w:cstheme="majorBidi"/>
                <w:i/>
                <w:iCs/>
                <w:sz w:val="16"/>
                <w:szCs w:val="16"/>
              </w:rPr>
            </w:pPr>
            <w:r w:rsidRPr="009C5902">
              <w:rPr>
                <w:rFonts w:asciiTheme="majorBidi" w:hAnsiTheme="majorBidi" w:cstheme="majorBidi"/>
                <w:i/>
                <w:iCs/>
                <w:sz w:val="16"/>
                <w:szCs w:val="16"/>
              </w:rPr>
              <w:t>Responsible actor</w:t>
            </w:r>
          </w:p>
        </w:tc>
        <w:tc>
          <w:tcPr>
            <w:tcW w:w="3670" w:type="dxa"/>
            <w:tcBorders>
              <w:top w:val="single" w:sz="4" w:space="0" w:color="auto"/>
              <w:bottom w:val="single" w:sz="12" w:space="0" w:color="auto"/>
            </w:tcBorders>
            <w:shd w:val="clear" w:color="auto" w:fill="auto"/>
            <w:vAlign w:val="bottom"/>
          </w:tcPr>
          <w:p w14:paraId="1497601F" w14:textId="77777777" w:rsidR="004272BE" w:rsidRPr="009C5902" w:rsidRDefault="004272BE" w:rsidP="004634C3">
            <w:pPr>
              <w:spacing w:before="40" w:after="40" w:line="180" w:lineRule="exact"/>
              <w:rPr>
                <w:rFonts w:asciiTheme="majorBidi" w:hAnsiTheme="majorBidi" w:cstheme="majorBidi"/>
                <w:i/>
                <w:iCs/>
                <w:sz w:val="16"/>
                <w:szCs w:val="16"/>
              </w:rPr>
            </w:pPr>
            <w:r w:rsidRPr="009C5902">
              <w:rPr>
                <w:rFonts w:asciiTheme="majorBidi" w:hAnsiTheme="majorBidi" w:cstheme="majorBidi"/>
                <w:i/>
                <w:iCs/>
                <w:sz w:val="16"/>
                <w:szCs w:val="16"/>
              </w:rPr>
              <w:t xml:space="preserve">Timeline and </w:t>
            </w:r>
            <w:r w:rsidRPr="0027290C">
              <w:rPr>
                <w:rFonts w:asciiTheme="majorBidi" w:hAnsiTheme="majorBidi" w:cstheme="majorBidi"/>
                <w:i/>
                <w:iCs/>
                <w:sz w:val="16"/>
                <w:szCs w:val="16"/>
              </w:rPr>
              <w:t>modalities</w:t>
            </w:r>
            <w:r w:rsidRPr="009C5902">
              <w:rPr>
                <w:rFonts w:asciiTheme="majorBidi" w:hAnsiTheme="majorBidi" w:cstheme="majorBidi"/>
                <w:i/>
                <w:iCs/>
                <w:sz w:val="16"/>
                <w:szCs w:val="16"/>
              </w:rPr>
              <w:t xml:space="preserve"> for implementation</w:t>
            </w:r>
            <w:r w:rsidRPr="001A61CC">
              <w:rPr>
                <w:rStyle w:val="EndnoteReference"/>
                <w:rFonts w:cstheme="majorBidi"/>
                <w:szCs w:val="16"/>
              </w:rPr>
              <w:endnoteReference w:id="2"/>
            </w:r>
          </w:p>
        </w:tc>
        <w:tc>
          <w:tcPr>
            <w:tcW w:w="1991" w:type="dxa"/>
            <w:tcBorders>
              <w:top w:val="single" w:sz="4" w:space="0" w:color="auto"/>
              <w:bottom w:val="single" w:sz="12" w:space="0" w:color="auto"/>
            </w:tcBorders>
            <w:shd w:val="clear" w:color="auto" w:fill="auto"/>
            <w:vAlign w:val="bottom"/>
          </w:tcPr>
          <w:p w14:paraId="0E4F50CB" w14:textId="77777777" w:rsidR="004272BE" w:rsidRPr="009C5902" w:rsidRDefault="004272BE" w:rsidP="004634C3">
            <w:pPr>
              <w:spacing w:before="40" w:after="40" w:line="180" w:lineRule="exact"/>
              <w:rPr>
                <w:rFonts w:asciiTheme="majorBidi" w:hAnsiTheme="majorBidi" w:cstheme="majorBidi"/>
                <w:i/>
                <w:iCs/>
                <w:sz w:val="16"/>
                <w:szCs w:val="16"/>
              </w:rPr>
            </w:pPr>
            <w:r w:rsidRPr="009C5902">
              <w:rPr>
                <w:rFonts w:asciiTheme="majorBidi" w:hAnsiTheme="majorBidi" w:cstheme="majorBidi"/>
                <w:i/>
                <w:iCs/>
                <w:sz w:val="16"/>
                <w:szCs w:val="16"/>
              </w:rPr>
              <w:t>Outputs</w:t>
            </w:r>
          </w:p>
        </w:tc>
      </w:tr>
      <w:tr w:rsidR="004272BE" w:rsidRPr="009C5902" w14:paraId="3424ABD9" w14:textId="77777777" w:rsidTr="004634C3">
        <w:trPr>
          <w:trHeight w:val="623"/>
        </w:trPr>
        <w:tc>
          <w:tcPr>
            <w:tcW w:w="1020" w:type="dxa"/>
            <w:tcBorders>
              <w:top w:val="single" w:sz="12" w:space="0" w:color="auto"/>
            </w:tcBorders>
          </w:tcPr>
          <w:p w14:paraId="5CF2A551" w14:textId="77777777" w:rsidR="004272BE" w:rsidRPr="009C5902" w:rsidRDefault="004272BE" w:rsidP="004634C3">
            <w:pPr>
              <w:spacing w:before="40" w:after="80" w:line="220" w:lineRule="exact"/>
            </w:pPr>
            <w:r w:rsidRPr="009C5902">
              <w:t>1</w:t>
            </w:r>
          </w:p>
        </w:tc>
        <w:tc>
          <w:tcPr>
            <w:tcW w:w="5591" w:type="dxa"/>
            <w:tcBorders>
              <w:top w:val="single" w:sz="12" w:space="0" w:color="auto"/>
            </w:tcBorders>
          </w:tcPr>
          <w:p w14:paraId="63BD0E98" w14:textId="388F7B24" w:rsidR="004272BE" w:rsidRPr="009C5902" w:rsidRDefault="002D5D8B" w:rsidP="004634C3">
            <w:pPr>
              <w:spacing w:before="40" w:after="80" w:line="220" w:lineRule="exact"/>
            </w:pPr>
            <w:r>
              <w:t>Consider</w:t>
            </w:r>
            <w:r w:rsidR="004272BE" w:rsidRPr="009C5902">
              <w:t xml:space="preserve"> the KCI annual report (para. 5(j) of annex I to decisions </w:t>
            </w:r>
            <w:hyperlink r:id="rId113" w:history="1">
              <w:r w:rsidR="004272BE" w:rsidRPr="00303C6A">
                <w:rPr>
                  <w:rStyle w:val="Hyperlink"/>
                </w:rPr>
                <w:t>13/CP.28</w:t>
              </w:r>
            </w:hyperlink>
            <w:r w:rsidR="004272BE" w:rsidRPr="009C5902">
              <w:t xml:space="preserve">, </w:t>
            </w:r>
            <w:hyperlink r:id="rId114" w:history="1">
              <w:r w:rsidR="004272BE" w:rsidRPr="00303C6A">
                <w:rPr>
                  <w:rStyle w:val="Hyperlink"/>
                </w:rPr>
                <w:t>4/CMP.18</w:t>
              </w:r>
            </w:hyperlink>
            <w:r w:rsidR="004272BE" w:rsidRPr="009C5902">
              <w:t xml:space="preserve"> and </w:t>
            </w:r>
            <w:hyperlink r:id="rId115" w:history="1">
              <w:r w:rsidR="004272BE" w:rsidRPr="00303C6A">
                <w:rPr>
                  <w:rStyle w:val="Hyperlink"/>
                </w:rPr>
                <w:t>19/CMA.5</w:t>
              </w:r>
            </w:hyperlink>
            <w:r w:rsidR="004272BE" w:rsidRPr="009C5902">
              <w:t>)</w:t>
            </w:r>
          </w:p>
        </w:tc>
        <w:tc>
          <w:tcPr>
            <w:tcW w:w="1620" w:type="dxa"/>
            <w:tcBorders>
              <w:top w:val="single" w:sz="12" w:space="0" w:color="auto"/>
            </w:tcBorders>
          </w:tcPr>
          <w:p w14:paraId="66E5D09B" w14:textId="77777777" w:rsidR="004272BE" w:rsidRPr="009C5902" w:rsidRDefault="004272BE" w:rsidP="004634C3">
            <w:pPr>
              <w:spacing w:before="40" w:after="80" w:line="220" w:lineRule="exact"/>
            </w:pPr>
            <w:r w:rsidRPr="009C5902">
              <w:t>Forum</w:t>
            </w:r>
          </w:p>
          <w:p w14:paraId="1980C006" w14:textId="77777777" w:rsidR="004272BE" w:rsidRPr="009C5902" w:rsidRDefault="004272BE" w:rsidP="004634C3">
            <w:pPr>
              <w:spacing w:before="40" w:after="80" w:line="220" w:lineRule="exact"/>
            </w:pPr>
            <w:r w:rsidRPr="009C5902">
              <w:t>KCI</w:t>
            </w:r>
          </w:p>
        </w:tc>
        <w:tc>
          <w:tcPr>
            <w:tcW w:w="3670" w:type="dxa"/>
            <w:tcBorders>
              <w:top w:val="single" w:sz="12" w:space="0" w:color="auto"/>
            </w:tcBorders>
          </w:tcPr>
          <w:p w14:paraId="7B53675D" w14:textId="77777777" w:rsidR="004272BE" w:rsidRPr="009C5902" w:rsidRDefault="004272BE" w:rsidP="004634C3">
            <w:pPr>
              <w:spacing w:before="40" w:after="80" w:line="220" w:lineRule="exact"/>
            </w:pPr>
            <w:r>
              <w:t>–</w:t>
            </w:r>
          </w:p>
        </w:tc>
        <w:tc>
          <w:tcPr>
            <w:tcW w:w="1991" w:type="dxa"/>
            <w:tcBorders>
              <w:top w:val="single" w:sz="12" w:space="0" w:color="auto"/>
            </w:tcBorders>
          </w:tcPr>
          <w:p w14:paraId="49B15C09" w14:textId="77777777" w:rsidR="004272BE" w:rsidRPr="009C5902" w:rsidRDefault="004272BE" w:rsidP="004634C3">
            <w:pPr>
              <w:spacing w:before="40" w:after="80" w:line="220" w:lineRule="exact"/>
            </w:pPr>
            <w:r>
              <w:t>–</w:t>
            </w:r>
          </w:p>
        </w:tc>
      </w:tr>
      <w:tr w:rsidR="004272BE" w:rsidRPr="009C5902" w14:paraId="57148B00" w14:textId="77777777" w:rsidTr="004634C3">
        <w:tc>
          <w:tcPr>
            <w:tcW w:w="1020" w:type="dxa"/>
          </w:tcPr>
          <w:p w14:paraId="7DE170DB" w14:textId="77777777" w:rsidR="004272BE" w:rsidRPr="009C5902" w:rsidRDefault="004272BE" w:rsidP="004634C3">
            <w:pPr>
              <w:spacing w:before="40" w:after="80" w:line="220" w:lineRule="exact"/>
            </w:pPr>
            <w:r w:rsidRPr="009C5902">
              <w:t>2</w:t>
            </w:r>
          </w:p>
        </w:tc>
        <w:tc>
          <w:tcPr>
            <w:tcW w:w="5591" w:type="dxa"/>
          </w:tcPr>
          <w:p w14:paraId="4CB37745" w14:textId="32E50F48" w:rsidR="004272BE" w:rsidRPr="009C5902" w:rsidRDefault="004272BE" w:rsidP="004634C3">
            <w:pPr>
              <w:spacing w:before="40" w:after="80" w:line="220" w:lineRule="exact"/>
            </w:pPr>
            <w:r w:rsidRPr="009C5902">
              <w:t>Prepar</w:t>
            </w:r>
            <w:r w:rsidRPr="009C5902" w:rsidDel="007D079B">
              <w:t>e</w:t>
            </w:r>
            <w:r w:rsidRPr="009C5902">
              <w:t xml:space="preserve"> information for the technical assessment component of the global stocktake related to the impacts of the implementation of response measures with the process outline</w:t>
            </w:r>
            <w:r w:rsidR="000C3FF8">
              <w:t>d</w:t>
            </w:r>
            <w:r w:rsidRPr="009C5902">
              <w:t xml:space="preserve"> in </w:t>
            </w:r>
            <w:r w:rsidR="00926334">
              <w:t>paragraphs 12–</w:t>
            </w:r>
            <w:r w:rsidR="00823848">
              <w:t xml:space="preserve">13 </w:t>
            </w:r>
            <w:r w:rsidR="00926334">
              <w:t xml:space="preserve">of </w:t>
            </w:r>
            <w:r w:rsidRPr="009C5902">
              <w:t xml:space="preserve">decision </w:t>
            </w:r>
            <w:hyperlink r:id="rId116" w:history="1">
              <w:r w:rsidRPr="00303C6A">
                <w:rPr>
                  <w:rStyle w:val="Hyperlink"/>
                </w:rPr>
                <w:t>23/CMA.3</w:t>
              </w:r>
            </w:hyperlink>
            <w:r w:rsidRPr="009C5902">
              <w:t xml:space="preserve"> (</w:t>
            </w:r>
            <w:r w:rsidRPr="009C5902" w:rsidDel="00926334">
              <w:t xml:space="preserve">paras. </w:t>
            </w:r>
            <w:r w:rsidR="00926334" w:rsidRPr="009C5902">
              <w:t>8 and 24</w:t>
            </w:r>
            <w:r w:rsidR="00926334">
              <w:t xml:space="preserve"> of </w:t>
            </w:r>
            <w:r w:rsidRPr="009C5902">
              <w:t xml:space="preserve">decision </w:t>
            </w:r>
            <w:hyperlink r:id="rId117" w:history="1">
              <w:r w:rsidRPr="00303C6A">
                <w:rPr>
                  <w:rStyle w:val="Hyperlink"/>
                </w:rPr>
                <w:t>19/CMA.1</w:t>
              </w:r>
            </w:hyperlink>
            <w:r w:rsidRPr="009C5902">
              <w:t>)</w:t>
            </w:r>
          </w:p>
        </w:tc>
        <w:tc>
          <w:tcPr>
            <w:tcW w:w="1620" w:type="dxa"/>
          </w:tcPr>
          <w:p w14:paraId="1BF379B2" w14:textId="77777777" w:rsidR="004272BE" w:rsidRPr="009C5902" w:rsidRDefault="004272BE" w:rsidP="004634C3">
            <w:pPr>
              <w:spacing w:before="40" w:after="80" w:line="220" w:lineRule="exact"/>
            </w:pPr>
            <w:r w:rsidRPr="009C5902">
              <w:t>Forum</w:t>
            </w:r>
          </w:p>
          <w:p w14:paraId="66905D28" w14:textId="77777777" w:rsidR="004272BE" w:rsidRPr="009C5902" w:rsidRDefault="004272BE" w:rsidP="004634C3">
            <w:pPr>
              <w:spacing w:before="40" w:after="80" w:line="220" w:lineRule="exact"/>
            </w:pPr>
            <w:r w:rsidRPr="009C5902">
              <w:t>KCI</w:t>
            </w:r>
          </w:p>
        </w:tc>
        <w:tc>
          <w:tcPr>
            <w:tcW w:w="3670" w:type="dxa"/>
          </w:tcPr>
          <w:p w14:paraId="4B52A9E9" w14:textId="77777777" w:rsidR="004272BE" w:rsidRPr="009C5902" w:rsidRDefault="004272BE" w:rsidP="004634C3">
            <w:pPr>
              <w:spacing w:before="40" w:after="80" w:line="220" w:lineRule="exact"/>
            </w:pPr>
            <w:r>
              <w:t>–</w:t>
            </w:r>
          </w:p>
        </w:tc>
        <w:tc>
          <w:tcPr>
            <w:tcW w:w="1991" w:type="dxa"/>
          </w:tcPr>
          <w:p w14:paraId="3D4D3C71" w14:textId="77777777" w:rsidR="004272BE" w:rsidRPr="009C5902" w:rsidRDefault="004272BE" w:rsidP="004634C3">
            <w:pPr>
              <w:spacing w:before="40" w:after="80" w:line="220" w:lineRule="exact"/>
            </w:pPr>
            <w:r>
              <w:t>–</w:t>
            </w:r>
          </w:p>
        </w:tc>
      </w:tr>
      <w:tr w:rsidR="004272BE" w:rsidRPr="009C5902" w14:paraId="1A7D9643" w14:textId="77777777" w:rsidTr="004634C3">
        <w:tc>
          <w:tcPr>
            <w:tcW w:w="1020" w:type="dxa"/>
          </w:tcPr>
          <w:p w14:paraId="4A255192" w14:textId="77777777" w:rsidR="004272BE" w:rsidRPr="009C5902" w:rsidRDefault="004272BE" w:rsidP="004634C3">
            <w:pPr>
              <w:spacing w:before="40" w:after="80" w:line="220" w:lineRule="exact"/>
            </w:pPr>
            <w:r w:rsidRPr="009C5902">
              <w:t>3</w:t>
            </w:r>
          </w:p>
        </w:tc>
        <w:tc>
          <w:tcPr>
            <w:tcW w:w="5591" w:type="dxa"/>
          </w:tcPr>
          <w:p w14:paraId="14B72E53" w14:textId="13BF4CDA" w:rsidR="004272BE" w:rsidRPr="009C5902" w:rsidRDefault="002D5D8B" w:rsidP="004634C3">
            <w:pPr>
              <w:spacing w:before="40" w:after="80" w:line="220" w:lineRule="exact"/>
              <w:ind w:left="23"/>
            </w:pPr>
            <w:r>
              <w:t>Conduct r</w:t>
            </w:r>
            <w:r w:rsidR="004272BE" w:rsidRPr="009C5902">
              <w:t xml:space="preserve">eview of the functions, work programme and modalities of the forum and its KCI every five years, starting at SB 69 (November 2028) (para. 6 of decisions </w:t>
            </w:r>
            <w:hyperlink r:id="rId118" w:history="1">
              <w:r w:rsidR="004272BE" w:rsidRPr="00303C6A">
                <w:rPr>
                  <w:rStyle w:val="Hyperlink"/>
                </w:rPr>
                <w:t>13/CP.28</w:t>
              </w:r>
            </w:hyperlink>
            <w:r w:rsidR="004272BE" w:rsidRPr="009C5902">
              <w:t xml:space="preserve">, </w:t>
            </w:r>
            <w:hyperlink r:id="rId119" w:history="1">
              <w:r w:rsidR="004272BE" w:rsidRPr="00303C6A">
                <w:rPr>
                  <w:rStyle w:val="Hyperlink"/>
                </w:rPr>
                <w:t>4/CMP.18</w:t>
              </w:r>
            </w:hyperlink>
            <w:r w:rsidR="004272BE" w:rsidRPr="009C5902">
              <w:t xml:space="preserve"> and </w:t>
            </w:r>
            <w:hyperlink r:id="rId120" w:history="1">
              <w:r w:rsidR="004272BE" w:rsidRPr="00303C6A">
                <w:rPr>
                  <w:rStyle w:val="Hyperlink"/>
                </w:rPr>
                <w:t>19/CMA.5</w:t>
              </w:r>
            </w:hyperlink>
            <w:r w:rsidR="004272BE" w:rsidRPr="009C5902">
              <w:t>)</w:t>
            </w:r>
          </w:p>
        </w:tc>
        <w:tc>
          <w:tcPr>
            <w:tcW w:w="1620" w:type="dxa"/>
          </w:tcPr>
          <w:p w14:paraId="5278E94A" w14:textId="77777777" w:rsidR="004272BE" w:rsidRPr="009C5902" w:rsidRDefault="004272BE" w:rsidP="004634C3">
            <w:pPr>
              <w:spacing w:before="40" w:after="80" w:line="220" w:lineRule="exact"/>
            </w:pPr>
            <w:r w:rsidRPr="009C5902">
              <w:t>Forum</w:t>
            </w:r>
          </w:p>
          <w:p w14:paraId="039A8C23" w14:textId="77777777" w:rsidR="004272BE" w:rsidRPr="009C5902" w:rsidRDefault="004272BE" w:rsidP="004634C3">
            <w:pPr>
              <w:spacing w:before="40" w:after="80" w:line="220" w:lineRule="exact"/>
            </w:pPr>
            <w:r w:rsidRPr="009C5902">
              <w:t>KCI</w:t>
            </w:r>
          </w:p>
        </w:tc>
        <w:tc>
          <w:tcPr>
            <w:tcW w:w="3670" w:type="dxa"/>
          </w:tcPr>
          <w:p w14:paraId="5AFEBC6E" w14:textId="77777777" w:rsidR="004272BE" w:rsidRPr="009C5902" w:rsidRDefault="004272BE" w:rsidP="004634C3">
            <w:pPr>
              <w:spacing w:before="40" w:after="80" w:line="220" w:lineRule="exact"/>
              <w:ind w:left="23"/>
            </w:pPr>
            <w:r>
              <w:t>–</w:t>
            </w:r>
          </w:p>
        </w:tc>
        <w:tc>
          <w:tcPr>
            <w:tcW w:w="1991" w:type="dxa"/>
          </w:tcPr>
          <w:p w14:paraId="798FBE1F" w14:textId="77777777" w:rsidR="004272BE" w:rsidRPr="009C5902" w:rsidRDefault="004272BE" w:rsidP="004634C3">
            <w:pPr>
              <w:spacing w:before="40" w:after="80" w:line="220" w:lineRule="exact"/>
              <w:ind w:left="23"/>
            </w:pPr>
            <w:r>
              <w:t>–</w:t>
            </w:r>
          </w:p>
        </w:tc>
      </w:tr>
      <w:tr w:rsidR="004272BE" w:rsidRPr="009C5902" w14:paraId="1E54CDEF" w14:textId="77777777" w:rsidTr="004634C3">
        <w:tc>
          <w:tcPr>
            <w:tcW w:w="1020" w:type="dxa"/>
          </w:tcPr>
          <w:p w14:paraId="5EFA4A80" w14:textId="77777777" w:rsidR="004272BE" w:rsidRPr="009C5902" w:rsidRDefault="004272BE" w:rsidP="004634C3">
            <w:pPr>
              <w:spacing w:before="40" w:after="80" w:line="220" w:lineRule="exact"/>
            </w:pPr>
            <w:r w:rsidRPr="009C5902">
              <w:t>4</w:t>
            </w:r>
          </w:p>
        </w:tc>
        <w:tc>
          <w:tcPr>
            <w:tcW w:w="5591" w:type="dxa"/>
          </w:tcPr>
          <w:p w14:paraId="4308F940" w14:textId="78882E27" w:rsidR="004272BE" w:rsidRPr="009C5902" w:rsidRDefault="002D5D8B" w:rsidP="004634C3">
            <w:pPr>
              <w:spacing w:before="40" w:after="80" w:line="220" w:lineRule="exact"/>
              <w:ind w:left="23"/>
            </w:pPr>
            <w:r>
              <w:t>Conduct m</w:t>
            </w:r>
            <w:r w:rsidR="004272BE" w:rsidRPr="009C5902">
              <w:t>idterm review of this workplan, starting at SB 68 (June 2028) and to be concluded no later than SB 69</w:t>
            </w:r>
          </w:p>
        </w:tc>
        <w:tc>
          <w:tcPr>
            <w:tcW w:w="1620" w:type="dxa"/>
          </w:tcPr>
          <w:p w14:paraId="4A4EE38B" w14:textId="77777777" w:rsidR="004272BE" w:rsidRPr="009C5902" w:rsidRDefault="004272BE" w:rsidP="004634C3">
            <w:pPr>
              <w:spacing w:before="40" w:after="80" w:line="220" w:lineRule="exact"/>
            </w:pPr>
            <w:r w:rsidRPr="009C5902">
              <w:t>Forum</w:t>
            </w:r>
          </w:p>
          <w:p w14:paraId="4F7C166C" w14:textId="77777777" w:rsidR="004272BE" w:rsidRPr="009C5902" w:rsidRDefault="004272BE" w:rsidP="004634C3">
            <w:pPr>
              <w:spacing w:before="40" w:after="80" w:line="220" w:lineRule="exact"/>
            </w:pPr>
            <w:r w:rsidRPr="009C5902">
              <w:t>KCI</w:t>
            </w:r>
          </w:p>
        </w:tc>
        <w:tc>
          <w:tcPr>
            <w:tcW w:w="3670" w:type="dxa"/>
          </w:tcPr>
          <w:p w14:paraId="66751FA6" w14:textId="77777777" w:rsidR="004272BE" w:rsidRPr="009C5902" w:rsidRDefault="004272BE" w:rsidP="004634C3">
            <w:pPr>
              <w:spacing w:before="40" w:after="80" w:line="220" w:lineRule="exact"/>
              <w:ind w:left="23"/>
            </w:pPr>
            <w:r>
              <w:t>–</w:t>
            </w:r>
          </w:p>
        </w:tc>
        <w:tc>
          <w:tcPr>
            <w:tcW w:w="1991" w:type="dxa"/>
          </w:tcPr>
          <w:p w14:paraId="364C0B28" w14:textId="77777777" w:rsidR="004272BE" w:rsidRPr="009C5902" w:rsidRDefault="004272BE" w:rsidP="004634C3">
            <w:pPr>
              <w:spacing w:before="40" w:after="80" w:line="220" w:lineRule="exact"/>
              <w:ind w:left="23"/>
            </w:pPr>
            <w:r>
              <w:t>–</w:t>
            </w:r>
          </w:p>
        </w:tc>
      </w:tr>
      <w:tr w:rsidR="004272BE" w:rsidRPr="009C5902" w14:paraId="632C1D64" w14:textId="77777777" w:rsidTr="004634C3">
        <w:trPr>
          <w:trHeight w:val="130"/>
        </w:trPr>
        <w:tc>
          <w:tcPr>
            <w:tcW w:w="1020" w:type="dxa"/>
          </w:tcPr>
          <w:p w14:paraId="366CF97B" w14:textId="77777777" w:rsidR="004272BE" w:rsidRPr="009C5902" w:rsidRDefault="004272BE" w:rsidP="004634C3">
            <w:pPr>
              <w:spacing w:before="40" w:after="80" w:line="220" w:lineRule="exact"/>
            </w:pPr>
            <w:r w:rsidRPr="009C5902">
              <w:t>5</w:t>
            </w:r>
          </w:p>
        </w:tc>
        <w:tc>
          <w:tcPr>
            <w:tcW w:w="5591" w:type="dxa"/>
          </w:tcPr>
          <w:p w14:paraId="0DABAB3E" w14:textId="77777777" w:rsidR="004272BE" w:rsidRPr="009C5902" w:rsidRDefault="004272BE" w:rsidP="004634C3">
            <w:pPr>
              <w:spacing w:before="40" w:after="80" w:line="220" w:lineRule="exact"/>
            </w:pPr>
            <w:r w:rsidRPr="009C5902">
              <w:t>Assess and analyse the impacts, including socioeconomic impacts, of response measures to be implemented in order to achieve all outcomes of the global stocktake and different net zero scenarios and pathways</w:t>
            </w:r>
          </w:p>
        </w:tc>
        <w:tc>
          <w:tcPr>
            <w:tcW w:w="1620" w:type="dxa"/>
          </w:tcPr>
          <w:p w14:paraId="0DD52EE9" w14:textId="77777777" w:rsidR="004272BE" w:rsidRPr="009C5902" w:rsidRDefault="004272BE" w:rsidP="004634C3">
            <w:pPr>
              <w:spacing w:before="40" w:after="80" w:line="220" w:lineRule="exact"/>
            </w:pPr>
            <w:r w:rsidRPr="009C5902">
              <w:t>Forum</w:t>
            </w:r>
          </w:p>
          <w:p w14:paraId="46755BC3" w14:textId="77777777" w:rsidR="004272BE" w:rsidRPr="009C5902" w:rsidRDefault="004272BE" w:rsidP="004634C3">
            <w:pPr>
              <w:spacing w:before="40" w:after="80" w:line="220" w:lineRule="exact"/>
            </w:pPr>
            <w:r w:rsidRPr="009C5902">
              <w:t>KCI</w:t>
            </w:r>
          </w:p>
        </w:tc>
        <w:tc>
          <w:tcPr>
            <w:tcW w:w="3670" w:type="dxa"/>
          </w:tcPr>
          <w:p w14:paraId="1F4E2DBF" w14:textId="77777777" w:rsidR="004272BE" w:rsidRPr="009C5902" w:rsidRDefault="004272BE" w:rsidP="004634C3">
            <w:pPr>
              <w:spacing w:before="40" w:after="80" w:line="220" w:lineRule="exact"/>
              <w:rPr>
                <w:rFonts w:cstheme="minorHAnsi"/>
              </w:rPr>
            </w:pPr>
            <w:r w:rsidRPr="009C5902">
              <w:rPr>
                <w:rFonts w:cstheme="minorHAnsi"/>
              </w:rPr>
              <w:t>(a) Building awareness and enhancing information-sharing through the exchange and sharing of experience and best practices</w:t>
            </w:r>
          </w:p>
          <w:p w14:paraId="153DAD10" w14:textId="77777777" w:rsidR="004272BE" w:rsidRPr="009C5902" w:rsidRDefault="004272BE" w:rsidP="004634C3">
            <w:pPr>
              <w:spacing w:before="40" w:after="80" w:line="220" w:lineRule="exact"/>
              <w:rPr>
                <w:rFonts w:cstheme="minorHAnsi"/>
              </w:rPr>
            </w:pPr>
            <w:r w:rsidRPr="009C5902">
              <w:rPr>
                <w:rFonts w:cstheme="minorHAnsi"/>
              </w:rPr>
              <w:t>(b) Preparing technical papers</w:t>
            </w:r>
            <w:r w:rsidRPr="009C5902">
              <w:t>;</w:t>
            </w:r>
            <w:r w:rsidRPr="009C5902">
              <w:rPr>
                <w:rFonts w:cstheme="minorHAnsi"/>
              </w:rPr>
              <w:t xml:space="preserve"> national, regional and sector-specific case studies</w:t>
            </w:r>
            <w:r w:rsidRPr="009C5902">
              <w:t>;</w:t>
            </w:r>
            <w:r w:rsidRPr="009C5902">
              <w:rPr>
                <w:rFonts w:cstheme="minorHAnsi"/>
              </w:rPr>
              <w:t xml:space="preserve"> concrete examples</w:t>
            </w:r>
            <w:r w:rsidRPr="009C5902">
              <w:t>;</w:t>
            </w:r>
            <w:r w:rsidRPr="009C5902">
              <w:rPr>
                <w:rFonts w:cstheme="minorHAnsi"/>
              </w:rPr>
              <w:t xml:space="preserve"> and guidelines</w:t>
            </w:r>
          </w:p>
          <w:p w14:paraId="7A250CE2" w14:textId="77777777" w:rsidR="004272BE" w:rsidRPr="009C5902" w:rsidRDefault="004272BE" w:rsidP="004634C3">
            <w:pPr>
              <w:spacing w:before="40" w:after="80" w:line="220" w:lineRule="exact"/>
              <w:rPr>
                <w:rFonts w:cstheme="minorHAnsi"/>
              </w:rPr>
            </w:pPr>
            <w:r w:rsidRPr="009C5902">
              <w:t>(c)</w:t>
            </w:r>
            <w:r w:rsidRPr="009C5902">
              <w:rPr>
                <w:rFonts w:cstheme="minorHAnsi"/>
              </w:rPr>
              <w:t xml:space="preserve"> Receiving input from and facilitating collaboration with experts, practitioners and relevant organizations</w:t>
            </w:r>
          </w:p>
          <w:p w14:paraId="7A6C44A4" w14:textId="77777777" w:rsidR="004272BE" w:rsidRPr="009C5902" w:rsidRDefault="004272BE" w:rsidP="004634C3">
            <w:pPr>
              <w:spacing w:before="40" w:after="80" w:line="220" w:lineRule="exact"/>
            </w:pPr>
            <w:r w:rsidRPr="009C5902">
              <w:rPr>
                <w:rFonts w:cstheme="minorHAnsi"/>
              </w:rPr>
              <w:t>(d) Organizing workshops</w:t>
            </w:r>
          </w:p>
        </w:tc>
        <w:tc>
          <w:tcPr>
            <w:tcW w:w="1991" w:type="dxa"/>
          </w:tcPr>
          <w:p w14:paraId="2692423D" w14:textId="77777777" w:rsidR="004272BE" w:rsidRPr="009C5902" w:rsidRDefault="004272BE" w:rsidP="004634C3">
            <w:pPr>
              <w:spacing w:before="40" w:after="80" w:line="220" w:lineRule="exact"/>
            </w:pPr>
            <w:r w:rsidRPr="009C5902">
              <w:t xml:space="preserve">One report </w:t>
            </w:r>
          </w:p>
          <w:p w14:paraId="5403DEF9" w14:textId="77777777" w:rsidR="004272BE" w:rsidRPr="009C5902" w:rsidRDefault="004272BE" w:rsidP="004634C3">
            <w:pPr>
              <w:spacing w:before="40" w:after="80" w:line="220" w:lineRule="exact"/>
            </w:pPr>
            <w:r w:rsidRPr="009C5902">
              <w:t>Regional workshops</w:t>
            </w:r>
          </w:p>
          <w:p w14:paraId="338DD4DE" w14:textId="77777777" w:rsidR="004272BE" w:rsidRPr="009C5902" w:rsidRDefault="004272BE" w:rsidP="004634C3">
            <w:pPr>
              <w:spacing w:before="40" w:after="80" w:line="220" w:lineRule="exact"/>
            </w:pPr>
            <w:r w:rsidRPr="009C5902">
              <w:t>Recommendations to the governing bodies</w:t>
            </w:r>
          </w:p>
        </w:tc>
      </w:tr>
      <w:tr w:rsidR="004272BE" w:rsidRPr="009C5902" w14:paraId="659916E2" w14:textId="77777777" w:rsidTr="004634C3">
        <w:trPr>
          <w:trHeight w:val="130"/>
        </w:trPr>
        <w:tc>
          <w:tcPr>
            <w:tcW w:w="1020" w:type="dxa"/>
          </w:tcPr>
          <w:p w14:paraId="2E706FE1" w14:textId="77777777" w:rsidR="004272BE" w:rsidRPr="009C5902" w:rsidRDefault="004272BE" w:rsidP="004634C3">
            <w:pPr>
              <w:spacing w:before="40" w:after="80" w:line="220" w:lineRule="exact"/>
            </w:pPr>
            <w:r w:rsidRPr="009C5902">
              <w:t>6</w:t>
            </w:r>
          </w:p>
        </w:tc>
        <w:tc>
          <w:tcPr>
            <w:tcW w:w="5591" w:type="dxa"/>
          </w:tcPr>
          <w:p w14:paraId="2A80C974" w14:textId="77777777" w:rsidR="004272BE" w:rsidRPr="009C5902" w:rsidRDefault="004272BE" w:rsidP="004634C3">
            <w:pPr>
              <w:spacing w:before="40" w:after="80" w:line="220" w:lineRule="exact"/>
              <w:ind w:left="23"/>
            </w:pPr>
            <w:bookmarkStart w:id="20" w:name="OLE_LINK1"/>
            <w:r w:rsidRPr="009C5902">
              <w:t>Analyse, assess and report on the impacts of measures taken to combat climate change, including cross-border impacts, recalling Article 3, paragraph 5, of the Convention</w:t>
            </w:r>
            <w:bookmarkEnd w:id="20"/>
          </w:p>
        </w:tc>
        <w:tc>
          <w:tcPr>
            <w:tcW w:w="1620" w:type="dxa"/>
          </w:tcPr>
          <w:p w14:paraId="29BD4241" w14:textId="77777777" w:rsidR="004272BE" w:rsidRPr="009C5902" w:rsidRDefault="004272BE" w:rsidP="004634C3">
            <w:pPr>
              <w:spacing w:before="40" w:after="80" w:line="220" w:lineRule="exact"/>
            </w:pPr>
            <w:r w:rsidRPr="009C5902">
              <w:t>Forum</w:t>
            </w:r>
          </w:p>
          <w:p w14:paraId="5CA38CA8" w14:textId="77777777" w:rsidR="004272BE" w:rsidRPr="009C5902" w:rsidRDefault="004272BE" w:rsidP="004634C3">
            <w:pPr>
              <w:spacing w:before="40" w:after="80" w:line="220" w:lineRule="exact"/>
            </w:pPr>
            <w:r w:rsidRPr="009C5902">
              <w:t>KCI</w:t>
            </w:r>
          </w:p>
        </w:tc>
        <w:tc>
          <w:tcPr>
            <w:tcW w:w="3670" w:type="dxa"/>
          </w:tcPr>
          <w:p w14:paraId="0957E918" w14:textId="77777777" w:rsidR="004272BE" w:rsidRPr="009C5902" w:rsidRDefault="004272BE" w:rsidP="004634C3">
            <w:pPr>
              <w:spacing w:before="40" w:after="80" w:line="220" w:lineRule="exact"/>
              <w:rPr>
                <w:rFonts w:cstheme="minorHAnsi"/>
              </w:rPr>
            </w:pPr>
            <w:r w:rsidRPr="009C5902">
              <w:rPr>
                <w:rFonts w:cstheme="minorHAnsi"/>
              </w:rPr>
              <w:t>(a) Building awareness and enhancing information-sharing through the exchange and sharing of experience and best practices</w:t>
            </w:r>
          </w:p>
          <w:p w14:paraId="0C95EBF4" w14:textId="77777777" w:rsidR="004272BE" w:rsidRPr="009C5902" w:rsidRDefault="004272BE" w:rsidP="004634C3">
            <w:pPr>
              <w:spacing w:before="40" w:after="80" w:line="220" w:lineRule="exact"/>
              <w:rPr>
                <w:rFonts w:cstheme="minorHAnsi"/>
              </w:rPr>
            </w:pPr>
            <w:r w:rsidRPr="009C5902">
              <w:rPr>
                <w:rFonts w:cstheme="minorHAnsi"/>
              </w:rPr>
              <w:lastRenderedPageBreak/>
              <w:t>(b) Preparing technical papers</w:t>
            </w:r>
            <w:r w:rsidRPr="009C5902">
              <w:t>;</w:t>
            </w:r>
            <w:r w:rsidRPr="009C5902">
              <w:rPr>
                <w:rFonts w:cstheme="minorHAnsi"/>
              </w:rPr>
              <w:t xml:space="preserve"> national, regional and sector-specific case studies</w:t>
            </w:r>
            <w:r w:rsidRPr="009C5902">
              <w:t>;</w:t>
            </w:r>
            <w:r w:rsidRPr="009C5902">
              <w:rPr>
                <w:rFonts w:cstheme="minorHAnsi"/>
              </w:rPr>
              <w:t xml:space="preserve"> concrete examples</w:t>
            </w:r>
            <w:r w:rsidRPr="009C5902">
              <w:t>;</w:t>
            </w:r>
            <w:r w:rsidRPr="009C5902">
              <w:rPr>
                <w:rFonts w:cstheme="minorHAnsi"/>
              </w:rPr>
              <w:t xml:space="preserve"> and guidelines</w:t>
            </w:r>
          </w:p>
          <w:p w14:paraId="6E89A5E3" w14:textId="77777777" w:rsidR="004272BE" w:rsidRPr="009C5902" w:rsidRDefault="004272BE" w:rsidP="004634C3">
            <w:pPr>
              <w:spacing w:before="40" w:after="80" w:line="220" w:lineRule="exact"/>
              <w:rPr>
                <w:rFonts w:cstheme="minorHAnsi"/>
              </w:rPr>
            </w:pPr>
            <w:r w:rsidRPr="009C5902">
              <w:rPr>
                <w:rFonts w:cstheme="minorHAnsi"/>
              </w:rPr>
              <w:t>(c) Receiving input from and facilitating collaboration with experts, practitioners and relevant organizations</w:t>
            </w:r>
          </w:p>
          <w:p w14:paraId="31ADE2C9" w14:textId="77777777" w:rsidR="004272BE" w:rsidRPr="009C5902" w:rsidRDefault="004272BE" w:rsidP="004634C3">
            <w:pPr>
              <w:spacing w:before="40" w:after="80" w:line="220" w:lineRule="exact"/>
              <w:ind w:left="23"/>
            </w:pPr>
            <w:r w:rsidRPr="009C5902">
              <w:rPr>
                <w:rFonts w:cstheme="minorHAnsi"/>
              </w:rPr>
              <w:t>(d) Organizing workshops</w:t>
            </w:r>
          </w:p>
        </w:tc>
        <w:tc>
          <w:tcPr>
            <w:tcW w:w="1991" w:type="dxa"/>
          </w:tcPr>
          <w:p w14:paraId="76E21374" w14:textId="77777777" w:rsidR="004272BE" w:rsidRPr="009C5902" w:rsidRDefault="004272BE" w:rsidP="004634C3">
            <w:pPr>
              <w:spacing w:before="40" w:after="80" w:line="220" w:lineRule="exact"/>
            </w:pPr>
            <w:r w:rsidRPr="009C5902">
              <w:lastRenderedPageBreak/>
              <w:t>Two reports</w:t>
            </w:r>
          </w:p>
          <w:p w14:paraId="5A11528F" w14:textId="77777777" w:rsidR="004272BE" w:rsidRPr="009C5902" w:rsidRDefault="004272BE" w:rsidP="004634C3">
            <w:pPr>
              <w:spacing w:before="40" w:after="80" w:line="220" w:lineRule="exact"/>
            </w:pPr>
            <w:r w:rsidRPr="009C5902">
              <w:t>Recommendations to the governing bodies</w:t>
            </w:r>
          </w:p>
        </w:tc>
      </w:tr>
      <w:tr w:rsidR="004272BE" w:rsidRPr="009C5902" w14:paraId="168E9A2D" w14:textId="77777777" w:rsidTr="004634C3">
        <w:trPr>
          <w:trHeight w:val="130"/>
        </w:trPr>
        <w:tc>
          <w:tcPr>
            <w:tcW w:w="1020" w:type="dxa"/>
          </w:tcPr>
          <w:p w14:paraId="3D0FBB43" w14:textId="77777777" w:rsidR="004272BE" w:rsidRPr="009C5902" w:rsidRDefault="004272BE" w:rsidP="004634C3">
            <w:pPr>
              <w:spacing w:before="40" w:after="80" w:line="220" w:lineRule="exact"/>
            </w:pPr>
            <w:r w:rsidRPr="009C5902">
              <w:t>7</w:t>
            </w:r>
          </w:p>
        </w:tc>
        <w:tc>
          <w:tcPr>
            <w:tcW w:w="5591" w:type="dxa"/>
          </w:tcPr>
          <w:p w14:paraId="1F8FC70B" w14:textId="77777777" w:rsidR="004272BE" w:rsidRPr="009C5902" w:rsidRDefault="004272BE" w:rsidP="004634C3">
            <w:pPr>
              <w:spacing w:before="40" w:after="80" w:line="220" w:lineRule="exact"/>
              <w:ind w:left="23"/>
            </w:pPr>
            <w:r w:rsidRPr="009C5902">
              <w:rPr>
                <w:color w:val="000000" w:themeColor="text1"/>
              </w:rPr>
              <w:t xml:space="preserve">Identify and exchange experience on ways to enhance international cooperation to increase the capacity of the workforce and promote the development of emerging low- and zero-emission industries, including </w:t>
            </w:r>
            <w:r w:rsidRPr="009C5902">
              <w:t>through the Technology Mechanism, and through education, retooling the workforce, training and retraining, and skilling and reskilling, with regard to low- and zero-emission development, and financial instruments that enable, mobilize and catalyse support</w:t>
            </w:r>
          </w:p>
        </w:tc>
        <w:tc>
          <w:tcPr>
            <w:tcW w:w="1620" w:type="dxa"/>
          </w:tcPr>
          <w:p w14:paraId="69D3B255" w14:textId="77777777" w:rsidR="004272BE" w:rsidRPr="009C5902" w:rsidRDefault="004272BE" w:rsidP="004634C3">
            <w:pPr>
              <w:spacing w:before="40" w:after="80" w:line="220" w:lineRule="exact"/>
            </w:pPr>
            <w:r w:rsidRPr="009C5902">
              <w:t>Forum</w:t>
            </w:r>
          </w:p>
          <w:p w14:paraId="796D4FB3" w14:textId="77777777" w:rsidR="004272BE" w:rsidRPr="009C5902" w:rsidRDefault="004272BE" w:rsidP="004634C3">
            <w:pPr>
              <w:spacing w:before="40" w:after="80" w:line="220" w:lineRule="exact"/>
              <w:rPr>
                <w:color w:val="000000" w:themeColor="text1"/>
              </w:rPr>
            </w:pPr>
            <w:r w:rsidRPr="009C5902">
              <w:t>KCI</w:t>
            </w:r>
          </w:p>
        </w:tc>
        <w:tc>
          <w:tcPr>
            <w:tcW w:w="3670" w:type="dxa"/>
          </w:tcPr>
          <w:p w14:paraId="71978AA6"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5DAEEFA0"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1B2BA791"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74C8225D" w14:textId="77777777" w:rsidR="004272BE" w:rsidRPr="009C5902" w:rsidRDefault="004272BE" w:rsidP="004634C3">
            <w:pPr>
              <w:spacing w:before="40" w:after="80" w:line="220" w:lineRule="exact"/>
              <w:ind w:left="23"/>
              <w:rPr>
                <w:color w:val="000000" w:themeColor="text1"/>
              </w:rPr>
            </w:pPr>
            <w:r w:rsidRPr="009C5902">
              <w:t>(d) Organizing workshops</w:t>
            </w:r>
          </w:p>
        </w:tc>
        <w:tc>
          <w:tcPr>
            <w:tcW w:w="1991" w:type="dxa"/>
          </w:tcPr>
          <w:p w14:paraId="3CDB4EEF" w14:textId="77777777" w:rsidR="004272BE" w:rsidRPr="009C5902" w:rsidRDefault="004272BE" w:rsidP="004634C3">
            <w:pPr>
              <w:spacing w:before="40" w:after="80" w:line="220" w:lineRule="exact"/>
            </w:pPr>
            <w:r w:rsidRPr="009C5902">
              <w:t>One report</w:t>
            </w:r>
          </w:p>
          <w:p w14:paraId="446FF81F" w14:textId="77777777" w:rsidR="004272BE" w:rsidRPr="009C5902" w:rsidRDefault="004272BE" w:rsidP="004634C3">
            <w:pPr>
              <w:spacing w:before="40" w:after="80" w:line="220" w:lineRule="exact"/>
              <w:rPr>
                <w:color w:val="000000" w:themeColor="text1"/>
              </w:rPr>
            </w:pPr>
            <w:r w:rsidRPr="009C5902">
              <w:t>Recommendations to the governing bodies</w:t>
            </w:r>
          </w:p>
        </w:tc>
      </w:tr>
      <w:tr w:rsidR="004272BE" w:rsidRPr="009C5902" w14:paraId="666ECAB7" w14:textId="77777777" w:rsidTr="004634C3">
        <w:trPr>
          <w:trHeight w:val="130"/>
        </w:trPr>
        <w:tc>
          <w:tcPr>
            <w:tcW w:w="1020" w:type="dxa"/>
          </w:tcPr>
          <w:p w14:paraId="77BD6CD0" w14:textId="77777777" w:rsidR="004272BE" w:rsidRPr="009C5902" w:rsidRDefault="004272BE" w:rsidP="004634C3">
            <w:pPr>
              <w:spacing w:before="40" w:after="80" w:line="220" w:lineRule="exact"/>
            </w:pPr>
            <w:r w:rsidRPr="009C5902">
              <w:t>8</w:t>
            </w:r>
          </w:p>
        </w:tc>
        <w:tc>
          <w:tcPr>
            <w:tcW w:w="5591" w:type="dxa"/>
          </w:tcPr>
          <w:p w14:paraId="390457CE" w14:textId="77777777" w:rsidR="004272BE" w:rsidRPr="009C5902" w:rsidRDefault="004272BE" w:rsidP="004634C3">
            <w:pPr>
              <w:spacing w:before="40" w:after="80" w:line="220" w:lineRule="exact"/>
              <w:ind w:left="23"/>
            </w:pPr>
            <w:r w:rsidRPr="009C5902">
              <w:t>Facilitate the exchange and sharing of experience and best practices among Parties, the secretariat and other international organizations on conducting impact assessments</w:t>
            </w:r>
          </w:p>
        </w:tc>
        <w:tc>
          <w:tcPr>
            <w:tcW w:w="1620" w:type="dxa"/>
          </w:tcPr>
          <w:p w14:paraId="76A95791" w14:textId="77777777" w:rsidR="004272BE" w:rsidRPr="009C5902" w:rsidRDefault="004272BE" w:rsidP="004634C3">
            <w:pPr>
              <w:spacing w:before="40" w:after="80" w:line="220" w:lineRule="exact"/>
            </w:pPr>
            <w:r w:rsidRPr="009C5902">
              <w:t>Forum</w:t>
            </w:r>
          </w:p>
          <w:p w14:paraId="59915ECB" w14:textId="77777777" w:rsidR="004272BE" w:rsidRPr="009C5902" w:rsidRDefault="004272BE" w:rsidP="004634C3">
            <w:pPr>
              <w:spacing w:before="40" w:after="80" w:line="220" w:lineRule="exact"/>
            </w:pPr>
            <w:r w:rsidRPr="009C5902">
              <w:t>KCI</w:t>
            </w:r>
          </w:p>
        </w:tc>
        <w:tc>
          <w:tcPr>
            <w:tcW w:w="3670" w:type="dxa"/>
          </w:tcPr>
          <w:p w14:paraId="38EE7B2C"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2FF81044"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5A94CCE7"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1985AFB5" w14:textId="77777777" w:rsidR="004272BE" w:rsidRPr="009C5902" w:rsidRDefault="004272BE" w:rsidP="004634C3">
            <w:pPr>
              <w:spacing w:before="40" w:after="80" w:line="220" w:lineRule="exact"/>
              <w:ind w:left="23"/>
            </w:pPr>
            <w:r w:rsidRPr="009C5902">
              <w:t>(d) Organizing workshops</w:t>
            </w:r>
          </w:p>
        </w:tc>
        <w:tc>
          <w:tcPr>
            <w:tcW w:w="1991" w:type="dxa"/>
          </w:tcPr>
          <w:p w14:paraId="38B27AE9" w14:textId="77777777" w:rsidR="004272BE" w:rsidRPr="009C5902" w:rsidRDefault="004272BE" w:rsidP="004634C3">
            <w:pPr>
              <w:spacing w:before="40" w:after="80" w:line="220" w:lineRule="exact"/>
            </w:pPr>
            <w:r w:rsidRPr="009C5902">
              <w:t>Summary reports</w:t>
            </w:r>
          </w:p>
          <w:p w14:paraId="3222136A" w14:textId="77777777" w:rsidR="004272BE" w:rsidRPr="009C5902" w:rsidRDefault="004272BE" w:rsidP="004634C3">
            <w:pPr>
              <w:spacing w:before="40" w:after="80" w:line="220" w:lineRule="exact"/>
            </w:pPr>
            <w:r w:rsidRPr="009C5902">
              <w:t>In-session workshops</w:t>
            </w:r>
          </w:p>
          <w:p w14:paraId="604F8A05" w14:textId="77777777" w:rsidR="004272BE" w:rsidRPr="009C5902" w:rsidRDefault="004272BE" w:rsidP="004634C3">
            <w:pPr>
              <w:spacing w:before="40" w:after="80" w:line="220" w:lineRule="exact"/>
            </w:pPr>
            <w:r w:rsidRPr="009C5902">
              <w:t>Recommendations to the governing bodies</w:t>
            </w:r>
          </w:p>
        </w:tc>
      </w:tr>
      <w:tr w:rsidR="004272BE" w:rsidRPr="009C5902" w14:paraId="6E78E345" w14:textId="77777777" w:rsidTr="004634C3">
        <w:trPr>
          <w:trHeight w:val="130"/>
        </w:trPr>
        <w:tc>
          <w:tcPr>
            <w:tcW w:w="1020" w:type="dxa"/>
          </w:tcPr>
          <w:p w14:paraId="4363B3B5" w14:textId="77777777" w:rsidR="004272BE" w:rsidRPr="009C5902" w:rsidRDefault="004272BE" w:rsidP="004634C3">
            <w:pPr>
              <w:spacing w:before="40" w:after="80" w:line="220" w:lineRule="exact"/>
            </w:pPr>
            <w:r w:rsidRPr="009C5902">
              <w:t>9</w:t>
            </w:r>
          </w:p>
        </w:tc>
        <w:tc>
          <w:tcPr>
            <w:tcW w:w="5591" w:type="dxa"/>
          </w:tcPr>
          <w:p w14:paraId="62F20FCD" w14:textId="77777777" w:rsidR="004272BE" w:rsidRPr="009C5902" w:rsidRDefault="004272BE" w:rsidP="004634C3">
            <w:pPr>
              <w:spacing w:before="40" w:after="80" w:line="220" w:lineRule="exact"/>
              <w:ind w:left="23"/>
            </w:pPr>
            <w:r w:rsidRPr="009C5902">
              <w:t xml:space="preserve">Identify ways and means of enhancing public–private partnerships to address the impacts of the implementation of response measures </w:t>
            </w:r>
          </w:p>
        </w:tc>
        <w:tc>
          <w:tcPr>
            <w:tcW w:w="1620" w:type="dxa"/>
          </w:tcPr>
          <w:p w14:paraId="7B551EA2" w14:textId="77777777" w:rsidR="004272BE" w:rsidRPr="009C5902" w:rsidRDefault="004272BE" w:rsidP="004634C3">
            <w:pPr>
              <w:spacing w:before="40" w:after="80" w:line="220" w:lineRule="exact"/>
            </w:pPr>
            <w:r w:rsidRPr="009C5902">
              <w:t>Forum</w:t>
            </w:r>
          </w:p>
          <w:p w14:paraId="0B853407" w14:textId="77777777" w:rsidR="004272BE" w:rsidRPr="009C5902" w:rsidRDefault="004272BE" w:rsidP="004634C3">
            <w:pPr>
              <w:spacing w:before="40" w:after="80" w:line="220" w:lineRule="exact"/>
            </w:pPr>
            <w:r w:rsidRPr="009C5902">
              <w:t>KCI</w:t>
            </w:r>
          </w:p>
        </w:tc>
        <w:tc>
          <w:tcPr>
            <w:tcW w:w="3670" w:type="dxa"/>
          </w:tcPr>
          <w:p w14:paraId="102997BC"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26AEBAB3"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183D2FBC" w14:textId="77777777" w:rsidR="004272BE" w:rsidRPr="009C5902" w:rsidRDefault="004272BE" w:rsidP="004634C3">
            <w:pPr>
              <w:spacing w:before="40" w:after="80" w:line="220" w:lineRule="exact"/>
            </w:pPr>
            <w:r w:rsidRPr="009C5902">
              <w:lastRenderedPageBreak/>
              <w:t>(c) Receiving input from and facilitating collaboration with experts, practitioners and relevant organizations</w:t>
            </w:r>
          </w:p>
          <w:p w14:paraId="7E5CF671" w14:textId="77777777" w:rsidR="004272BE" w:rsidRPr="009C5902" w:rsidRDefault="004272BE" w:rsidP="004634C3">
            <w:pPr>
              <w:spacing w:before="40" w:after="80" w:line="220" w:lineRule="exact"/>
              <w:ind w:left="23"/>
            </w:pPr>
            <w:r w:rsidRPr="009C5902">
              <w:t>(d) Organizing workshops</w:t>
            </w:r>
          </w:p>
        </w:tc>
        <w:tc>
          <w:tcPr>
            <w:tcW w:w="1991" w:type="dxa"/>
          </w:tcPr>
          <w:p w14:paraId="4F674144" w14:textId="77777777" w:rsidR="004272BE" w:rsidRPr="009C5902" w:rsidRDefault="004272BE" w:rsidP="004634C3">
            <w:pPr>
              <w:spacing w:before="40" w:after="80" w:line="220" w:lineRule="exact"/>
            </w:pPr>
            <w:r w:rsidRPr="009C5902">
              <w:lastRenderedPageBreak/>
              <w:t>In-session workshop</w:t>
            </w:r>
          </w:p>
          <w:p w14:paraId="473F9D0D" w14:textId="77777777" w:rsidR="004272BE" w:rsidRPr="009C5902" w:rsidRDefault="004272BE" w:rsidP="004634C3">
            <w:pPr>
              <w:spacing w:before="40" w:after="80" w:line="220" w:lineRule="exact"/>
            </w:pPr>
            <w:r w:rsidRPr="009C5902">
              <w:t>Recommendations to the governing bodies</w:t>
            </w:r>
          </w:p>
        </w:tc>
      </w:tr>
      <w:tr w:rsidR="004272BE" w:rsidRPr="009C5902" w14:paraId="341A5876" w14:textId="77777777" w:rsidTr="004634C3">
        <w:trPr>
          <w:trHeight w:val="678"/>
        </w:trPr>
        <w:tc>
          <w:tcPr>
            <w:tcW w:w="1020" w:type="dxa"/>
          </w:tcPr>
          <w:p w14:paraId="2EB3CF52" w14:textId="77777777" w:rsidR="004272BE" w:rsidRPr="009C5902" w:rsidRDefault="004272BE" w:rsidP="004634C3">
            <w:pPr>
              <w:spacing w:before="40" w:after="80" w:line="220" w:lineRule="exact"/>
            </w:pPr>
            <w:r w:rsidRPr="009C5902">
              <w:t>10</w:t>
            </w:r>
          </w:p>
        </w:tc>
        <w:tc>
          <w:tcPr>
            <w:tcW w:w="5591" w:type="dxa"/>
          </w:tcPr>
          <w:p w14:paraId="43253D01" w14:textId="77777777" w:rsidR="004272BE" w:rsidRPr="009C5902" w:rsidRDefault="004272BE" w:rsidP="004634C3">
            <w:pPr>
              <w:spacing w:before="40" w:after="80" w:line="220" w:lineRule="exact"/>
            </w:pPr>
            <w:r w:rsidRPr="009C5902">
              <w:t>Develop a KCI toolbox that can be customized to local circumstances, including methodologies, for Parties to use in identifying, assessing and addressing the impacts of response measures, and build capacity and share experience in relation to using the toolbox</w:t>
            </w:r>
          </w:p>
        </w:tc>
        <w:tc>
          <w:tcPr>
            <w:tcW w:w="1620" w:type="dxa"/>
          </w:tcPr>
          <w:p w14:paraId="06A21C65" w14:textId="77777777" w:rsidR="004272BE" w:rsidRPr="009C5902" w:rsidRDefault="004272BE" w:rsidP="004634C3">
            <w:pPr>
              <w:spacing w:before="40" w:after="80" w:line="220" w:lineRule="exact"/>
            </w:pPr>
            <w:r w:rsidRPr="009C5902">
              <w:t>Forum</w:t>
            </w:r>
          </w:p>
          <w:p w14:paraId="1427F7AE" w14:textId="77777777" w:rsidR="004272BE" w:rsidRPr="009C5902" w:rsidRDefault="004272BE" w:rsidP="004634C3">
            <w:pPr>
              <w:spacing w:before="40" w:after="80" w:line="220" w:lineRule="exact"/>
            </w:pPr>
            <w:r w:rsidRPr="009C5902">
              <w:t>KCI</w:t>
            </w:r>
          </w:p>
        </w:tc>
        <w:tc>
          <w:tcPr>
            <w:tcW w:w="3670" w:type="dxa"/>
          </w:tcPr>
          <w:p w14:paraId="5C558F66"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596B16F1"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7C5C020D"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70C79924" w14:textId="77777777" w:rsidR="004272BE" w:rsidRPr="009C5902" w:rsidRDefault="004272BE" w:rsidP="004634C3">
            <w:pPr>
              <w:spacing w:before="40" w:after="80" w:line="220" w:lineRule="exact"/>
            </w:pPr>
            <w:r w:rsidRPr="009C5902">
              <w:t>(d) Organizing workshops</w:t>
            </w:r>
          </w:p>
        </w:tc>
        <w:tc>
          <w:tcPr>
            <w:tcW w:w="1991" w:type="dxa"/>
          </w:tcPr>
          <w:p w14:paraId="344AF3FD" w14:textId="77777777" w:rsidR="004272BE" w:rsidRPr="009C5902" w:rsidRDefault="004272BE" w:rsidP="004634C3">
            <w:pPr>
              <w:spacing w:before="40" w:after="80" w:line="220" w:lineRule="exact"/>
            </w:pPr>
            <w:r w:rsidRPr="009C5902">
              <w:t xml:space="preserve">Two reports </w:t>
            </w:r>
          </w:p>
          <w:p w14:paraId="3A7EF8C4" w14:textId="77777777" w:rsidR="004272BE" w:rsidRPr="009C5902" w:rsidRDefault="004272BE" w:rsidP="004634C3">
            <w:pPr>
              <w:spacing w:before="40" w:after="80" w:line="220" w:lineRule="exact"/>
            </w:pPr>
            <w:r w:rsidRPr="009C5902">
              <w:t>Recommendations to the governing bodies</w:t>
            </w:r>
          </w:p>
        </w:tc>
      </w:tr>
      <w:tr w:rsidR="004272BE" w:rsidRPr="009C5902" w14:paraId="5424C9DD" w14:textId="77777777" w:rsidTr="004634C3">
        <w:trPr>
          <w:trHeight w:val="406"/>
        </w:trPr>
        <w:tc>
          <w:tcPr>
            <w:tcW w:w="1020" w:type="dxa"/>
          </w:tcPr>
          <w:p w14:paraId="71C077DD" w14:textId="77777777" w:rsidR="004272BE" w:rsidRPr="009C5902" w:rsidRDefault="004272BE" w:rsidP="004634C3">
            <w:pPr>
              <w:spacing w:before="40" w:after="80" w:line="220" w:lineRule="exact"/>
            </w:pPr>
            <w:r w:rsidRPr="009C5902">
              <w:t>11</w:t>
            </w:r>
          </w:p>
        </w:tc>
        <w:tc>
          <w:tcPr>
            <w:tcW w:w="5591" w:type="dxa"/>
          </w:tcPr>
          <w:p w14:paraId="7FC340AF" w14:textId="77777777" w:rsidR="004272BE" w:rsidRPr="009C5902" w:rsidRDefault="004272BE" w:rsidP="004634C3">
            <w:pPr>
              <w:spacing w:before="40" w:after="80" w:line="220" w:lineRule="exact"/>
              <w:ind w:left="23"/>
            </w:pPr>
            <w:r w:rsidRPr="009C5902">
              <w:t xml:space="preserve">Develop a case study in each of the five United Nations regions on just transition of the workforce and the creation of decent work and quality jobs and on economic diversification and transformation in order to understand the opportunities and challenges faced in planning and implementation, and share the findings among Parties and experts </w:t>
            </w:r>
          </w:p>
        </w:tc>
        <w:tc>
          <w:tcPr>
            <w:tcW w:w="1620" w:type="dxa"/>
          </w:tcPr>
          <w:p w14:paraId="00956CE5" w14:textId="77777777" w:rsidR="004272BE" w:rsidRPr="009C5902" w:rsidRDefault="004272BE" w:rsidP="004634C3">
            <w:pPr>
              <w:spacing w:before="40" w:after="80" w:line="220" w:lineRule="exact"/>
            </w:pPr>
            <w:r w:rsidRPr="009C5902">
              <w:t>Forum</w:t>
            </w:r>
          </w:p>
          <w:p w14:paraId="7F7F2F48" w14:textId="77777777" w:rsidR="004272BE" w:rsidRPr="009C5902" w:rsidRDefault="004272BE" w:rsidP="004634C3">
            <w:pPr>
              <w:spacing w:before="40" w:after="80" w:line="220" w:lineRule="exact"/>
            </w:pPr>
            <w:r w:rsidRPr="009C5902">
              <w:t>KCI</w:t>
            </w:r>
          </w:p>
        </w:tc>
        <w:tc>
          <w:tcPr>
            <w:tcW w:w="3670" w:type="dxa"/>
          </w:tcPr>
          <w:p w14:paraId="4D45CFCC"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0A41A70B"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13B213FC"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31B56CDC" w14:textId="77777777" w:rsidR="004272BE" w:rsidRPr="009C5902" w:rsidRDefault="004272BE" w:rsidP="004634C3">
            <w:pPr>
              <w:spacing w:before="40" w:after="80" w:line="220" w:lineRule="exact"/>
              <w:ind w:left="23"/>
            </w:pPr>
            <w:r w:rsidRPr="009C5902">
              <w:t>(d) Organizing workshops</w:t>
            </w:r>
          </w:p>
        </w:tc>
        <w:tc>
          <w:tcPr>
            <w:tcW w:w="1991" w:type="dxa"/>
          </w:tcPr>
          <w:p w14:paraId="181E043F" w14:textId="77777777" w:rsidR="004272BE" w:rsidRPr="009C5902" w:rsidRDefault="004272BE" w:rsidP="004634C3">
            <w:pPr>
              <w:spacing w:before="40" w:after="80" w:line="220" w:lineRule="exact"/>
            </w:pPr>
            <w:r w:rsidRPr="009C5902">
              <w:t xml:space="preserve">One report per region </w:t>
            </w:r>
          </w:p>
          <w:p w14:paraId="5295B3EF" w14:textId="77777777" w:rsidR="004272BE" w:rsidRPr="009C5902" w:rsidRDefault="004272BE" w:rsidP="004634C3">
            <w:pPr>
              <w:spacing w:before="40" w:after="80" w:line="220" w:lineRule="exact"/>
            </w:pPr>
            <w:r w:rsidRPr="009C5902">
              <w:t>Recommendations to the governing bodies</w:t>
            </w:r>
          </w:p>
        </w:tc>
      </w:tr>
      <w:tr w:rsidR="004272BE" w:rsidRPr="009C5902" w14:paraId="2D740D37" w14:textId="77777777" w:rsidTr="004634C3">
        <w:trPr>
          <w:trHeight w:val="130"/>
        </w:trPr>
        <w:tc>
          <w:tcPr>
            <w:tcW w:w="1020" w:type="dxa"/>
          </w:tcPr>
          <w:p w14:paraId="22610EA9" w14:textId="77777777" w:rsidR="004272BE" w:rsidRPr="009C5902" w:rsidRDefault="004272BE" w:rsidP="004634C3">
            <w:pPr>
              <w:spacing w:before="40" w:after="80" w:line="220" w:lineRule="exact"/>
            </w:pPr>
            <w:r w:rsidRPr="009C5902">
              <w:t>12</w:t>
            </w:r>
          </w:p>
        </w:tc>
        <w:tc>
          <w:tcPr>
            <w:tcW w:w="5591" w:type="dxa"/>
          </w:tcPr>
          <w:p w14:paraId="007C280A" w14:textId="77777777" w:rsidR="004272BE" w:rsidRPr="009C5902" w:rsidRDefault="004272BE" w:rsidP="004634C3">
            <w:pPr>
              <w:spacing w:before="40" w:after="80" w:line="220" w:lineRule="exact"/>
              <w:ind w:left="23"/>
            </w:pPr>
            <w:r w:rsidRPr="009C5902">
              <w:t>Develop case studies to identify and analyse the social and economic impacts of economy-wide nationally determined contributions, covering all greenhouse gases, sectors and categories</w:t>
            </w:r>
          </w:p>
        </w:tc>
        <w:tc>
          <w:tcPr>
            <w:tcW w:w="1620" w:type="dxa"/>
          </w:tcPr>
          <w:p w14:paraId="3618B56A" w14:textId="77777777" w:rsidR="004272BE" w:rsidRDefault="004272BE" w:rsidP="004634C3">
            <w:pPr>
              <w:spacing w:before="40" w:after="80" w:line="220" w:lineRule="exact"/>
              <w:ind w:left="23"/>
            </w:pPr>
            <w:r>
              <w:t>Forum</w:t>
            </w:r>
          </w:p>
          <w:p w14:paraId="6CF47CAC" w14:textId="77777777" w:rsidR="004272BE" w:rsidRPr="009C5902" w:rsidRDefault="004272BE" w:rsidP="004634C3">
            <w:pPr>
              <w:spacing w:before="40" w:after="80" w:line="220" w:lineRule="exact"/>
              <w:ind w:left="23"/>
            </w:pPr>
            <w:r>
              <w:t>KCI</w:t>
            </w:r>
          </w:p>
        </w:tc>
        <w:tc>
          <w:tcPr>
            <w:tcW w:w="3670" w:type="dxa"/>
          </w:tcPr>
          <w:p w14:paraId="7A5FBDA1"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45FAC01A"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3FA86D9A"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3B8183B6" w14:textId="77777777" w:rsidR="004272BE" w:rsidRPr="009C5902" w:rsidRDefault="004272BE" w:rsidP="004634C3">
            <w:pPr>
              <w:spacing w:before="40" w:after="80" w:line="220" w:lineRule="exact"/>
              <w:ind w:left="23"/>
            </w:pPr>
            <w:r w:rsidRPr="009C5902">
              <w:lastRenderedPageBreak/>
              <w:t>(d) Organizing workshops</w:t>
            </w:r>
          </w:p>
        </w:tc>
        <w:tc>
          <w:tcPr>
            <w:tcW w:w="1991" w:type="dxa"/>
          </w:tcPr>
          <w:p w14:paraId="72A6C3FE" w14:textId="77777777" w:rsidR="004272BE" w:rsidRPr="009C5902" w:rsidRDefault="004272BE" w:rsidP="004634C3">
            <w:pPr>
              <w:spacing w:before="40" w:after="80" w:line="220" w:lineRule="exact"/>
            </w:pPr>
            <w:r w:rsidRPr="009C5902">
              <w:lastRenderedPageBreak/>
              <w:t>One report</w:t>
            </w:r>
          </w:p>
          <w:p w14:paraId="02B9D02D" w14:textId="77777777" w:rsidR="004272BE" w:rsidRPr="009C5902" w:rsidRDefault="004272BE" w:rsidP="004634C3">
            <w:pPr>
              <w:spacing w:before="40" w:after="80" w:line="220" w:lineRule="exact"/>
            </w:pPr>
            <w:r w:rsidRPr="009C5902">
              <w:t>Recommendations to the governing bodies</w:t>
            </w:r>
          </w:p>
        </w:tc>
      </w:tr>
      <w:tr w:rsidR="004272BE" w:rsidRPr="009C5902" w14:paraId="494F4AB4" w14:textId="77777777" w:rsidTr="004634C3">
        <w:trPr>
          <w:trHeight w:val="130"/>
        </w:trPr>
        <w:tc>
          <w:tcPr>
            <w:tcW w:w="1020" w:type="dxa"/>
          </w:tcPr>
          <w:p w14:paraId="582BB9AB" w14:textId="77777777" w:rsidR="004272BE" w:rsidRPr="009C5902" w:rsidRDefault="004272BE" w:rsidP="004634C3">
            <w:pPr>
              <w:spacing w:before="40" w:after="80" w:line="220" w:lineRule="exact"/>
            </w:pPr>
            <w:r w:rsidRPr="009C5902">
              <w:t>13</w:t>
            </w:r>
          </w:p>
        </w:tc>
        <w:tc>
          <w:tcPr>
            <w:tcW w:w="5591" w:type="dxa"/>
          </w:tcPr>
          <w:p w14:paraId="207EB8EE" w14:textId="523086D3" w:rsidR="004272BE" w:rsidRPr="009C5902" w:rsidRDefault="004272BE" w:rsidP="004634C3">
            <w:pPr>
              <w:spacing w:before="40" w:after="80" w:line="220" w:lineRule="exact"/>
              <w:ind w:left="23"/>
            </w:pPr>
            <w:r w:rsidRPr="009C5902">
              <w:t>Assess and compile guidelines for reporting, in the context of the enhanced transparency framework under the Paris Agreement</w:t>
            </w:r>
            <w:r w:rsidR="00143C48">
              <w:t>,</w:t>
            </w:r>
            <w:r w:rsidRPr="009C5902">
              <w:t xml:space="preserve"> </w:t>
            </w:r>
            <w:r w:rsidR="00B249D8">
              <w:t xml:space="preserve">on </w:t>
            </w:r>
            <w:r w:rsidR="00DE5A7B">
              <w:t>the</w:t>
            </w:r>
            <w:r w:rsidRPr="009C5902">
              <w:t xml:space="preserve"> assess</w:t>
            </w:r>
            <w:r w:rsidR="00DE5A7B">
              <w:t>ment</w:t>
            </w:r>
            <w:r w:rsidRPr="009C5902">
              <w:t xml:space="preserve"> and analysi</w:t>
            </w:r>
            <w:r w:rsidR="00DE5A7B">
              <w:t>s of</w:t>
            </w:r>
            <w:r w:rsidRPr="009C5902">
              <w:t xml:space="preserve"> the impact</w:t>
            </w:r>
            <w:r w:rsidR="00ED765B">
              <w:t>s</w:t>
            </w:r>
            <w:r w:rsidRPr="009C5902">
              <w:t xml:space="preserve"> of the implementation of response measures on Parties with economies </w:t>
            </w:r>
            <w:r w:rsidR="00813317">
              <w:t xml:space="preserve">most </w:t>
            </w:r>
            <w:r w:rsidRPr="009C5902">
              <w:t>affected by the impacts of response measures</w:t>
            </w:r>
            <w:r w:rsidR="000017D4">
              <w:t xml:space="preserve"> as referred to</w:t>
            </w:r>
            <w:r w:rsidRPr="009C5902">
              <w:t xml:space="preserve"> in Article 4, paragraph 15, of the Paris Agreement</w:t>
            </w:r>
          </w:p>
        </w:tc>
        <w:tc>
          <w:tcPr>
            <w:tcW w:w="1620" w:type="dxa"/>
          </w:tcPr>
          <w:p w14:paraId="388933D7" w14:textId="77777777" w:rsidR="004272BE" w:rsidRPr="009C5902" w:rsidRDefault="004272BE" w:rsidP="004634C3">
            <w:pPr>
              <w:spacing w:before="40" w:after="80" w:line="220" w:lineRule="exact"/>
            </w:pPr>
            <w:r w:rsidRPr="009C5902">
              <w:t>Forum</w:t>
            </w:r>
          </w:p>
          <w:p w14:paraId="02968D7C" w14:textId="77777777" w:rsidR="004272BE" w:rsidRPr="009C5902" w:rsidRDefault="004272BE" w:rsidP="004634C3">
            <w:pPr>
              <w:spacing w:before="40" w:after="80" w:line="220" w:lineRule="exact"/>
            </w:pPr>
            <w:r w:rsidRPr="009C5902">
              <w:t>KCI</w:t>
            </w:r>
          </w:p>
        </w:tc>
        <w:tc>
          <w:tcPr>
            <w:tcW w:w="3670" w:type="dxa"/>
          </w:tcPr>
          <w:p w14:paraId="64BE815F"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7B76039C"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7975704E"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29624B43" w14:textId="77777777" w:rsidR="004272BE" w:rsidRPr="009C5902" w:rsidRDefault="004272BE" w:rsidP="004634C3">
            <w:pPr>
              <w:spacing w:before="40" w:after="80" w:line="220" w:lineRule="exact"/>
              <w:ind w:left="23"/>
            </w:pPr>
            <w:r w:rsidRPr="009C5902">
              <w:t>(d) Organizing workshops</w:t>
            </w:r>
          </w:p>
        </w:tc>
        <w:tc>
          <w:tcPr>
            <w:tcW w:w="1991" w:type="dxa"/>
          </w:tcPr>
          <w:p w14:paraId="3AEE049C" w14:textId="77777777" w:rsidR="004272BE" w:rsidRPr="009C5902" w:rsidRDefault="004272BE" w:rsidP="004634C3">
            <w:pPr>
              <w:spacing w:before="40" w:after="80" w:line="220" w:lineRule="exact"/>
            </w:pPr>
            <w:r w:rsidRPr="009C5902">
              <w:t>One report</w:t>
            </w:r>
          </w:p>
          <w:p w14:paraId="4FE05E9A" w14:textId="7E0E84D8" w:rsidR="004272BE" w:rsidRPr="009C5902" w:rsidRDefault="004272BE" w:rsidP="00520CDE">
            <w:pPr>
              <w:spacing w:before="40" w:after="80" w:line="220" w:lineRule="exact"/>
            </w:pPr>
            <w:r w:rsidRPr="009C5902">
              <w:t>One regional workshop</w:t>
            </w:r>
          </w:p>
          <w:p w14:paraId="6D9A08C4" w14:textId="77777777" w:rsidR="004272BE" w:rsidRPr="009C5902" w:rsidRDefault="004272BE" w:rsidP="004634C3">
            <w:pPr>
              <w:spacing w:before="40" w:after="80" w:line="220" w:lineRule="exact"/>
            </w:pPr>
            <w:r w:rsidRPr="009C5902">
              <w:t>Recommendations to the governing bodies</w:t>
            </w:r>
          </w:p>
        </w:tc>
      </w:tr>
      <w:tr w:rsidR="004272BE" w:rsidRPr="009C5902" w14:paraId="6F1910D1" w14:textId="77777777" w:rsidTr="004634C3">
        <w:trPr>
          <w:trHeight w:val="130"/>
        </w:trPr>
        <w:tc>
          <w:tcPr>
            <w:tcW w:w="1020" w:type="dxa"/>
          </w:tcPr>
          <w:p w14:paraId="01F1ACD7" w14:textId="77777777" w:rsidR="004272BE" w:rsidRPr="009C5902" w:rsidRDefault="004272BE" w:rsidP="004634C3">
            <w:pPr>
              <w:spacing w:before="40" w:after="80" w:line="220" w:lineRule="exact"/>
            </w:pPr>
            <w:r w:rsidRPr="009C5902">
              <w:t>14</w:t>
            </w:r>
          </w:p>
        </w:tc>
        <w:tc>
          <w:tcPr>
            <w:tcW w:w="5591" w:type="dxa"/>
          </w:tcPr>
          <w:p w14:paraId="2F807897" w14:textId="77777777" w:rsidR="004272BE" w:rsidRPr="009C5902" w:rsidRDefault="004272BE" w:rsidP="004634C3">
            <w:pPr>
              <w:spacing w:before="40" w:after="80" w:line="220" w:lineRule="exact"/>
              <w:ind w:left="23"/>
            </w:pPr>
            <w:r w:rsidRPr="009C5902">
              <w:t>Organize an annual ministerial high-level round table on the impacts of the implementation of response measures, to be held in conjunction with sessions of the governing bodies</w:t>
            </w:r>
          </w:p>
        </w:tc>
        <w:tc>
          <w:tcPr>
            <w:tcW w:w="1620" w:type="dxa"/>
          </w:tcPr>
          <w:p w14:paraId="6E9F1372" w14:textId="77777777" w:rsidR="004272BE" w:rsidRPr="009C5902" w:rsidRDefault="004272BE" w:rsidP="004634C3">
            <w:pPr>
              <w:spacing w:before="40" w:after="80" w:line="220" w:lineRule="exact"/>
              <w:ind w:left="23"/>
            </w:pPr>
            <w:r>
              <w:t>–</w:t>
            </w:r>
          </w:p>
        </w:tc>
        <w:tc>
          <w:tcPr>
            <w:tcW w:w="3670" w:type="dxa"/>
          </w:tcPr>
          <w:p w14:paraId="67B9DE0B"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60883FE9"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6608A768"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750B31D8" w14:textId="77777777" w:rsidR="004272BE" w:rsidRPr="009C5902" w:rsidRDefault="004272BE" w:rsidP="004634C3">
            <w:pPr>
              <w:spacing w:before="40" w:after="80" w:line="220" w:lineRule="exact"/>
              <w:ind w:left="23"/>
            </w:pPr>
            <w:r w:rsidRPr="009C5902">
              <w:t>(d) Organizing workshops</w:t>
            </w:r>
          </w:p>
        </w:tc>
        <w:tc>
          <w:tcPr>
            <w:tcW w:w="1991" w:type="dxa"/>
          </w:tcPr>
          <w:p w14:paraId="49842F58" w14:textId="77777777" w:rsidR="004272BE" w:rsidRPr="009C5902" w:rsidRDefault="004272BE" w:rsidP="004634C3">
            <w:pPr>
              <w:spacing w:before="40" w:after="80" w:line="220" w:lineRule="exact"/>
            </w:pPr>
            <w:r w:rsidRPr="009C5902">
              <w:t>Summary report</w:t>
            </w:r>
          </w:p>
        </w:tc>
      </w:tr>
      <w:tr w:rsidR="004272BE" w:rsidRPr="009C5902" w14:paraId="05286464" w14:textId="77777777" w:rsidTr="004634C3">
        <w:trPr>
          <w:trHeight w:val="130"/>
        </w:trPr>
        <w:tc>
          <w:tcPr>
            <w:tcW w:w="1020" w:type="dxa"/>
          </w:tcPr>
          <w:p w14:paraId="2FA71791" w14:textId="77777777" w:rsidR="004272BE" w:rsidRPr="009C5902" w:rsidRDefault="004272BE" w:rsidP="004634C3">
            <w:pPr>
              <w:spacing w:before="40" w:after="80" w:line="220" w:lineRule="exact"/>
            </w:pPr>
            <w:r w:rsidRPr="009C5902">
              <w:t>15</w:t>
            </w:r>
          </w:p>
        </w:tc>
        <w:tc>
          <w:tcPr>
            <w:tcW w:w="5591" w:type="dxa"/>
          </w:tcPr>
          <w:p w14:paraId="383FD00C" w14:textId="77777777" w:rsidR="004272BE" w:rsidRPr="009C5902" w:rsidRDefault="004272BE" w:rsidP="004634C3">
            <w:pPr>
              <w:spacing w:before="40" w:after="80" w:line="220" w:lineRule="exact"/>
              <w:rPr>
                <w:rFonts w:eastAsia="DejaVu Sans"/>
                <w:lang w:val="en-US"/>
              </w:rPr>
            </w:pPr>
            <w:r w:rsidRPr="009C5902">
              <w:rPr>
                <w:rFonts w:eastAsia="DejaVu Sans"/>
                <w:lang w:val="en-US"/>
              </w:rPr>
              <w:t>Enhance the capacity of Parties to carry out their own assessment and analysis of and produce reports on the impacts of the implementation of response measures through training and capacity-building efforts, including existing initiatives</w:t>
            </w:r>
          </w:p>
        </w:tc>
        <w:tc>
          <w:tcPr>
            <w:tcW w:w="1620" w:type="dxa"/>
          </w:tcPr>
          <w:p w14:paraId="031D22F2" w14:textId="77777777" w:rsidR="004272BE" w:rsidRPr="009C5902" w:rsidRDefault="004272BE" w:rsidP="004634C3">
            <w:pPr>
              <w:spacing w:before="40" w:after="80" w:line="220" w:lineRule="exact"/>
            </w:pPr>
            <w:r w:rsidRPr="009C5902">
              <w:t>Forum</w:t>
            </w:r>
          </w:p>
          <w:p w14:paraId="0FD25570" w14:textId="77777777" w:rsidR="004272BE" w:rsidRPr="009C5902" w:rsidRDefault="004272BE" w:rsidP="004634C3">
            <w:pPr>
              <w:spacing w:before="40" w:after="80" w:line="220" w:lineRule="exact"/>
              <w:rPr>
                <w:rFonts w:eastAsia="DejaVu Sans"/>
                <w:lang w:val="en-US"/>
              </w:rPr>
            </w:pPr>
            <w:r w:rsidRPr="009C5902">
              <w:t>KCI</w:t>
            </w:r>
          </w:p>
        </w:tc>
        <w:tc>
          <w:tcPr>
            <w:tcW w:w="3670" w:type="dxa"/>
          </w:tcPr>
          <w:p w14:paraId="13247406"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7883B57C"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6FD655CC"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0CA667C7" w14:textId="77777777" w:rsidR="004272BE" w:rsidRPr="009C5902" w:rsidRDefault="004272BE" w:rsidP="004634C3">
            <w:pPr>
              <w:spacing w:before="40" w:after="80" w:line="220" w:lineRule="exact"/>
              <w:ind w:left="23"/>
              <w:rPr>
                <w:rFonts w:eastAsia="DejaVu Sans"/>
                <w:lang w:val="en-US"/>
              </w:rPr>
            </w:pPr>
            <w:r w:rsidRPr="009C5902">
              <w:t>(d) Organizing workshops</w:t>
            </w:r>
          </w:p>
        </w:tc>
        <w:tc>
          <w:tcPr>
            <w:tcW w:w="1991" w:type="dxa"/>
          </w:tcPr>
          <w:p w14:paraId="66E7E9B9" w14:textId="77777777" w:rsidR="004272BE" w:rsidRPr="009C5902" w:rsidRDefault="004272BE" w:rsidP="004634C3">
            <w:pPr>
              <w:spacing w:before="40" w:after="80" w:line="220" w:lineRule="exact"/>
            </w:pPr>
            <w:r w:rsidRPr="009C5902">
              <w:t>One report</w:t>
            </w:r>
          </w:p>
          <w:p w14:paraId="69FE5365" w14:textId="77777777" w:rsidR="004272BE" w:rsidRPr="009C5902" w:rsidRDefault="004272BE" w:rsidP="004634C3">
            <w:pPr>
              <w:spacing w:before="40" w:after="80" w:line="220" w:lineRule="exact"/>
            </w:pPr>
            <w:r w:rsidRPr="009C5902">
              <w:t>Regional workshops</w:t>
            </w:r>
          </w:p>
          <w:p w14:paraId="5CD226D3" w14:textId="77777777" w:rsidR="004272BE" w:rsidRPr="009C5902" w:rsidRDefault="004272BE" w:rsidP="004634C3">
            <w:pPr>
              <w:spacing w:before="40" w:after="80" w:line="220" w:lineRule="exact"/>
              <w:rPr>
                <w:rFonts w:eastAsia="DejaVu Sans"/>
                <w:lang w:val="en-US"/>
              </w:rPr>
            </w:pPr>
            <w:r w:rsidRPr="009C5902">
              <w:t>Recommendations to the governing bodies</w:t>
            </w:r>
          </w:p>
        </w:tc>
      </w:tr>
      <w:tr w:rsidR="004272BE" w:rsidRPr="009C5902" w14:paraId="2C11FB27" w14:textId="77777777" w:rsidTr="004634C3">
        <w:trPr>
          <w:trHeight w:val="130"/>
        </w:trPr>
        <w:tc>
          <w:tcPr>
            <w:tcW w:w="1020" w:type="dxa"/>
            <w:tcBorders>
              <w:bottom w:val="nil"/>
            </w:tcBorders>
          </w:tcPr>
          <w:p w14:paraId="79A00DD7" w14:textId="77777777" w:rsidR="004272BE" w:rsidRPr="009C5902" w:rsidRDefault="004272BE" w:rsidP="004634C3">
            <w:pPr>
              <w:spacing w:before="40" w:after="80" w:line="220" w:lineRule="exact"/>
            </w:pPr>
            <w:r w:rsidRPr="009C5902">
              <w:lastRenderedPageBreak/>
              <w:t>16</w:t>
            </w:r>
          </w:p>
        </w:tc>
        <w:tc>
          <w:tcPr>
            <w:tcW w:w="5591" w:type="dxa"/>
            <w:tcBorders>
              <w:bottom w:val="nil"/>
            </w:tcBorders>
          </w:tcPr>
          <w:p w14:paraId="0C3FF62E" w14:textId="77777777" w:rsidR="004272BE" w:rsidRPr="009C5902" w:rsidRDefault="004272BE" w:rsidP="004634C3">
            <w:pPr>
              <w:spacing w:before="40" w:after="80" w:line="220" w:lineRule="exact"/>
              <w:rPr>
                <w:rFonts w:eastAsia="DejaVu Sans"/>
                <w:lang w:val="en-US"/>
              </w:rPr>
            </w:pPr>
            <w:r w:rsidRPr="009C5902">
              <w:rPr>
                <w:rFonts w:eastAsia="DejaVu Sans"/>
                <w:lang w:val="en-US"/>
              </w:rPr>
              <w:t>Identify and exchange experience on technological solutions aimed at reducing climate change impacts and creating decent work</w:t>
            </w:r>
          </w:p>
        </w:tc>
        <w:tc>
          <w:tcPr>
            <w:tcW w:w="1620" w:type="dxa"/>
            <w:tcBorders>
              <w:bottom w:val="nil"/>
            </w:tcBorders>
          </w:tcPr>
          <w:p w14:paraId="0CD40CF8" w14:textId="77777777" w:rsidR="004272BE" w:rsidRPr="009C5902" w:rsidRDefault="004272BE" w:rsidP="004634C3">
            <w:pPr>
              <w:spacing w:before="40" w:after="80" w:line="220" w:lineRule="exact"/>
            </w:pPr>
            <w:r w:rsidRPr="009C5902">
              <w:t>Forum</w:t>
            </w:r>
          </w:p>
          <w:p w14:paraId="3E0239CB" w14:textId="77777777" w:rsidR="004272BE" w:rsidRPr="009C5902" w:rsidRDefault="004272BE" w:rsidP="004634C3">
            <w:pPr>
              <w:spacing w:before="40" w:after="80" w:line="220" w:lineRule="exact"/>
              <w:rPr>
                <w:rFonts w:eastAsia="DejaVu Sans"/>
                <w:lang w:val="en-US"/>
              </w:rPr>
            </w:pPr>
            <w:r w:rsidRPr="009C5902">
              <w:t>KCI</w:t>
            </w:r>
          </w:p>
        </w:tc>
        <w:tc>
          <w:tcPr>
            <w:tcW w:w="3670" w:type="dxa"/>
            <w:tcBorders>
              <w:bottom w:val="nil"/>
            </w:tcBorders>
          </w:tcPr>
          <w:p w14:paraId="76700752"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42D5C82E"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1E6D5C10"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64719300" w14:textId="77777777" w:rsidR="004272BE" w:rsidRPr="009C5902" w:rsidRDefault="004272BE" w:rsidP="004634C3">
            <w:pPr>
              <w:spacing w:before="40" w:after="80" w:line="220" w:lineRule="exact"/>
              <w:ind w:left="23"/>
              <w:rPr>
                <w:rFonts w:eastAsia="DejaVu Sans"/>
                <w:lang w:val="en-US"/>
              </w:rPr>
            </w:pPr>
            <w:r w:rsidRPr="009C5902">
              <w:t>(d) Organizing workshops</w:t>
            </w:r>
          </w:p>
        </w:tc>
        <w:tc>
          <w:tcPr>
            <w:tcW w:w="1991" w:type="dxa"/>
            <w:tcBorders>
              <w:bottom w:val="nil"/>
            </w:tcBorders>
          </w:tcPr>
          <w:p w14:paraId="742141E3" w14:textId="77777777" w:rsidR="004272BE" w:rsidRPr="009C5902" w:rsidRDefault="004272BE" w:rsidP="004634C3">
            <w:pPr>
              <w:spacing w:before="40" w:after="80" w:line="220" w:lineRule="exact"/>
            </w:pPr>
            <w:r w:rsidRPr="009C5902">
              <w:t>Two reports</w:t>
            </w:r>
          </w:p>
          <w:p w14:paraId="3AE987F8" w14:textId="77777777" w:rsidR="004272BE" w:rsidRPr="009C5902" w:rsidRDefault="004272BE" w:rsidP="004634C3">
            <w:pPr>
              <w:spacing w:before="40" w:after="80" w:line="220" w:lineRule="exact"/>
              <w:rPr>
                <w:rFonts w:eastAsia="DejaVu Sans"/>
                <w:lang w:val="en-US"/>
              </w:rPr>
            </w:pPr>
            <w:r w:rsidRPr="009C5902">
              <w:t>Recommendations to the governing bodies</w:t>
            </w:r>
          </w:p>
        </w:tc>
      </w:tr>
      <w:tr w:rsidR="004272BE" w:rsidRPr="00212E50" w14:paraId="6BF3ED35" w14:textId="77777777" w:rsidTr="004634C3">
        <w:trPr>
          <w:trHeight w:val="130"/>
        </w:trPr>
        <w:tc>
          <w:tcPr>
            <w:tcW w:w="1020" w:type="dxa"/>
            <w:tcBorders>
              <w:top w:val="nil"/>
              <w:bottom w:val="single" w:sz="12" w:space="0" w:color="auto"/>
            </w:tcBorders>
          </w:tcPr>
          <w:p w14:paraId="48DCDAA3" w14:textId="77777777" w:rsidR="004272BE" w:rsidRPr="009C5902" w:rsidRDefault="004272BE" w:rsidP="004634C3">
            <w:pPr>
              <w:spacing w:before="40" w:after="80" w:line="220" w:lineRule="exact"/>
            </w:pPr>
            <w:r w:rsidRPr="009C5902">
              <w:t>17</w:t>
            </w:r>
          </w:p>
        </w:tc>
        <w:tc>
          <w:tcPr>
            <w:tcW w:w="5591" w:type="dxa"/>
            <w:tcBorders>
              <w:top w:val="nil"/>
              <w:bottom w:val="single" w:sz="12" w:space="0" w:color="auto"/>
            </w:tcBorders>
          </w:tcPr>
          <w:p w14:paraId="5BBC8664" w14:textId="77777777" w:rsidR="004272BE" w:rsidRPr="009C5902" w:rsidRDefault="004272BE" w:rsidP="004634C3">
            <w:pPr>
              <w:spacing w:before="40" w:after="80" w:line="220" w:lineRule="exact"/>
              <w:rPr>
                <w:rFonts w:eastAsia="DejaVu Sans"/>
                <w:lang w:val="en-US"/>
              </w:rPr>
            </w:pPr>
            <w:r w:rsidRPr="009C5902">
              <w:rPr>
                <w:rFonts w:eastAsia="DejaVu Sans"/>
                <w:lang w:val="en-US"/>
              </w:rPr>
              <w:t>Promote the availability and use of guidelines and policy frameworks to assist Parties in promoting economic diversification and just transition of the workforce and the creation of decent work and quality jobs within and across sectors, including through training, retooling, retraining and reskilling systems and stakeholder engagement strategies</w:t>
            </w:r>
          </w:p>
        </w:tc>
        <w:tc>
          <w:tcPr>
            <w:tcW w:w="1620" w:type="dxa"/>
            <w:tcBorders>
              <w:top w:val="nil"/>
              <w:bottom w:val="single" w:sz="12" w:space="0" w:color="auto"/>
            </w:tcBorders>
          </w:tcPr>
          <w:p w14:paraId="6A7C88BC" w14:textId="77777777" w:rsidR="004272BE" w:rsidRPr="009C5902" w:rsidRDefault="004272BE" w:rsidP="004634C3">
            <w:pPr>
              <w:spacing w:before="40" w:after="80" w:line="220" w:lineRule="exact"/>
            </w:pPr>
            <w:r w:rsidRPr="009C5902">
              <w:t>Forum</w:t>
            </w:r>
          </w:p>
          <w:p w14:paraId="46968F67" w14:textId="77777777" w:rsidR="004272BE" w:rsidRPr="009C5902" w:rsidRDefault="004272BE" w:rsidP="004634C3">
            <w:pPr>
              <w:spacing w:before="40" w:after="80" w:line="220" w:lineRule="exact"/>
              <w:rPr>
                <w:rFonts w:eastAsia="DejaVu Sans"/>
                <w:lang w:val="en-US"/>
              </w:rPr>
            </w:pPr>
            <w:r w:rsidRPr="009C5902">
              <w:t>KCI</w:t>
            </w:r>
          </w:p>
        </w:tc>
        <w:tc>
          <w:tcPr>
            <w:tcW w:w="3670" w:type="dxa"/>
            <w:tcBorders>
              <w:top w:val="nil"/>
              <w:bottom w:val="single" w:sz="12" w:space="0" w:color="auto"/>
            </w:tcBorders>
          </w:tcPr>
          <w:p w14:paraId="19084CF8" w14:textId="77777777" w:rsidR="004272BE" w:rsidRPr="009C5902" w:rsidRDefault="004272BE" w:rsidP="004634C3">
            <w:pPr>
              <w:spacing w:before="40" w:after="80" w:line="220" w:lineRule="exact"/>
            </w:pPr>
            <w:r w:rsidRPr="009C5902">
              <w:t>(a) Building awareness and enhancing information-sharing through the exchange and sharing of experience and best practices</w:t>
            </w:r>
          </w:p>
          <w:p w14:paraId="6E7D84CE" w14:textId="77777777" w:rsidR="004272BE" w:rsidRPr="009C5902" w:rsidRDefault="004272BE" w:rsidP="004634C3">
            <w:pPr>
              <w:spacing w:before="40" w:after="80" w:line="220" w:lineRule="exact"/>
            </w:pPr>
            <w:r w:rsidRPr="009C5902">
              <w:t>(b) Preparing technical papers; national, regional and sector-specific case studies; concrete examples; and guidelines</w:t>
            </w:r>
          </w:p>
          <w:p w14:paraId="605CD44F" w14:textId="77777777" w:rsidR="004272BE" w:rsidRPr="009C5902" w:rsidRDefault="004272BE" w:rsidP="004634C3">
            <w:pPr>
              <w:spacing w:before="40" w:after="80" w:line="220" w:lineRule="exact"/>
            </w:pPr>
            <w:r w:rsidRPr="009C5902">
              <w:t>(c) Receiving input from and facilitating collaboration with experts, practitioners and relevant organizations</w:t>
            </w:r>
          </w:p>
          <w:p w14:paraId="6449D61B" w14:textId="7BAB593E" w:rsidR="004272BE" w:rsidRPr="009C5902" w:rsidRDefault="004272BE" w:rsidP="004634C3">
            <w:pPr>
              <w:spacing w:before="40" w:after="80" w:line="220" w:lineRule="exact"/>
              <w:ind w:left="23"/>
              <w:rPr>
                <w:rFonts w:eastAsia="DejaVu Sans"/>
                <w:lang w:val="en-US"/>
              </w:rPr>
            </w:pPr>
            <w:r w:rsidRPr="009C5902">
              <w:t>(d) Organizing workshops</w:t>
            </w:r>
          </w:p>
        </w:tc>
        <w:tc>
          <w:tcPr>
            <w:tcW w:w="1991" w:type="dxa"/>
            <w:tcBorders>
              <w:top w:val="nil"/>
              <w:bottom w:val="single" w:sz="12" w:space="0" w:color="auto"/>
            </w:tcBorders>
          </w:tcPr>
          <w:p w14:paraId="7FA7A9DD" w14:textId="77777777" w:rsidR="004272BE" w:rsidRPr="009C5902" w:rsidRDefault="004272BE" w:rsidP="004634C3">
            <w:pPr>
              <w:spacing w:before="40" w:after="80" w:line="220" w:lineRule="exact"/>
            </w:pPr>
            <w:r w:rsidRPr="009C5902">
              <w:t>One report</w:t>
            </w:r>
          </w:p>
          <w:p w14:paraId="5E2C7E3E" w14:textId="77777777" w:rsidR="004272BE" w:rsidRPr="001C1810" w:rsidRDefault="004272BE" w:rsidP="004634C3">
            <w:pPr>
              <w:spacing w:before="40" w:after="80" w:line="220" w:lineRule="exact"/>
              <w:rPr>
                <w:rFonts w:eastAsia="DejaVu Sans"/>
                <w:lang w:val="en-US"/>
              </w:rPr>
            </w:pPr>
            <w:r w:rsidRPr="009C5902">
              <w:t>Recommendations to the governing bodies</w:t>
            </w:r>
          </w:p>
        </w:tc>
      </w:tr>
    </w:tbl>
    <w:p w14:paraId="07DFFE8C" w14:textId="77777777" w:rsidR="004272BE" w:rsidRDefault="004272BE" w:rsidP="00382761">
      <w:pPr>
        <w:pStyle w:val="FootnoteTable"/>
        <w:keepNext/>
        <w:spacing w:before="0" w:line="60" w:lineRule="exact"/>
        <w:ind w:right="1134"/>
        <w:contextualSpacing w:val="0"/>
        <w:rPr>
          <w:i/>
        </w:rPr>
        <w:sectPr w:rsidR="004272BE" w:rsidSect="006D292B">
          <w:headerReference w:type="even" r:id="rId121"/>
          <w:headerReference w:type="default" r:id="rId122"/>
          <w:footerReference w:type="even" r:id="rId123"/>
          <w:footerReference w:type="default" r:id="rId124"/>
          <w:endnotePr>
            <w:numFmt w:val="lowerLetter"/>
            <w:numRestart w:val="eachSect"/>
          </w:endnotePr>
          <w:pgSz w:w="16838" w:h="11906" w:orient="landscape" w:code="9"/>
          <w:pgMar w:top="1134" w:right="1417" w:bottom="1134" w:left="1134" w:header="567" w:footer="567" w:gutter="0"/>
          <w:cols w:space="708"/>
          <w:docGrid w:linePitch="360"/>
        </w:sectPr>
      </w:pPr>
    </w:p>
    <w:p w14:paraId="0B98B3F8" w14:textId="75395A56" w:rsidR="00353786" w:rsidRDefault="005A6381" w:rsidP="00804401">
      <w:pPr>
        <w:pStyle w:val="RegHChG"/>
        <w:numPr>
          <w:ilvl w:val="0"/>
          <w:numId w:val="0"/>
        </w:numPr>
        <w:ind w:left="1135" w:hanging="454"/>
      </w:pPr>
      <w:bookmarkStart w:id="21" w:name="CP17"/>
      <w:r>
        <w:lastRenderedPageBreak/>
        <w:t>Decision 1</w:t>
      </w:r>
      <w:r w:rsidR="00147940">
        <w:t>7</w:t>
      </w:r>
      <w:r>
        <w:t>/CP.29</w:t>
      </w:r>
    </w:p>
    <w:bookmarkEnd w:id="21"/>
    <w:p w14:paraId="24234FA5" w14:textId="77777777" w:rsidR="00517239" w:rsidRPr="00E9291B" w:rsidRDefault="00517239" w:rsidP="00517239">
      <w:pPr>
        <w:pStyle w:val="MainTitle"/>
        <w:ind w:firstLine="0"/>
        <w:rPr>
          <w:color w:val="000000"/>
        </w:rPr>
      </w:pPr>
      <w:r w:rsidRPr="003179B2">
        <w:t xml:space="preserve">Climate </w:t>
      </w:r>
      <w:r w:rsidRPr="00E9291B">
        <w:t>high-level ch</w:t>
      </w:r>
      <w:r>
        <w:t>a</w:t>
      </w:r>
      <w:r w:rsidRPr="00E9291B">
        <w:t>mpions</w:t>
      </w:r>
    </w:p>
    <w:p w14:paraId="79B339D1" w14:textId="77777777" w:rsidR="00517239" w:rsidRPr="00E9291B" w:rsidRDefault="00517239" w:rsidP="00517239">
      <w:pPr>
        <w:pStyle w:val="RegSingleTxtG"/>
        <w:numPr>
          <w:ilvl w:val="0"/>
          <w:numId w:val="0"/>
        </w:numPr>
        <w:ind w:left="1134"/>
        <w:rPr>
          <w:rFonts w:eastAsia="Times New Roman"/>
          <w:color w:val="000000"/>
          <w:sz w:val="19"/>
          <w:szCs w:val="19"/>
        </w:rPr>
      </w:pPr>
      <w:r>
        <w:rPr>
          <w:rFonts w:eastAsia="Times New Roman"/>
          <w:i/>
          <w:color w:val="000000"/>
          <w:sz w:val="19"/>
          <w:szCs w:val="19"/>
        </w:rPr>
        <w:tab/>
      </w:r>
      <w:r w:rsidRPr="00E9291B">
        <w:rPr>
          <w:rFonts w:eastAsia="Times New Roman"/>
          <w:i/>
          <w:color w:val="000000"/>
          <w:sz w:val="19"/>
          <w:szCs w:val="19"/>
        </w:rPr>
        <w:t>The Conference of the Parties</w:t>
      </w:r>
      <w:r w:rsidRPr="00E9291B">
        <w:rPr>
          <w:rFonts w:eastAsia="Times New Roman"/>
          <w:color w:val="000000"/>
          <w:sz w:val="19"/>
          <w:szCs w:val="19"/>
        </w:rPr>
        <w:t xml:space="preserve">, </w:t>
      </w:r>
    </w:p>
    <w:p w14:paraId="6BBDEEB3" w14:textId="0C9BEFB9" w:rsidR="00517239" w:rsidRPr="00E9291B" w:rsidRDefault="00517239" w:rsidP="00517239">
      <w:pPr>
        <w:pStyle w:val="RegSingleTxtG"/>
        <w:numPr>
          <w:ilvl w:val="0"/>
          <w:numId w:val="0"/>
        </w:numPr>
        <w:ind w:left="1134"/>
        <w:rPr>
          <w:rFonts w:eastAsia="Times New Roman"/>
          <w:sz w:val="19"/>
          <w:szCs w:val="19"/>
        </w:rPr>
      </w:pPr>
      <w:r>
        <w:rPr>
          <w:rFonts w:eastAsia="Times New Roman"/>
          <w:i/>
          <w:iCs/>
          <w:color w:val="000000"/>
          <w:sz w:val="19"/>
          <w:szCs w:val="19"/>
        </w:rPr>
        <w:tab/>
      </w:r>
      <w:r w:rsidRPr="00E9291B">
        <w:rPr>
          <w:rFonts w:eastAsia="Times New Roman"/>
          <w:i/>
          <w:iCs/>
          <w:color w:val="000000"/>
          <w:sz w:val="19"/>
          <w:szCs w:val="19"/>
        </w:rPr>
        <w:t>Recalling</w:t>
      </w:r>
      <w:r w:rsidRPr="00E9291B">
        <w:rPr>
          <w:rFonts w:eastAsia="Times New Roman"/>
          <w:color w:val="000000"/>
          <w:sz w:val="19"/>
          <w:szCs w:val="19"/>
        </w:rPr>
        <w:t xml:space="preserve"> decisions </w:t>
      </w:r>
      <w:hyperlink r:id="rId125" w:history="1">
        <w:r w:rsidRPr="00303C6A">
          <w:rPr>
            <w:rStyle w:val="Hyperlink"/>
            <w:rFonts w:eastAsia="Times New Roman"/>
            <w:sz w:val="19"/>
            <w:szCs w:val="19"/>
          </w:rPr>
          <w:t>1/CP.21</w:t>
        </w:r>
      </w:hyperlink>
      <w:r w:rsidRPr="00E9291B">
        <w:rPr>
          <w:rFonts w:eastAsia="Times New Roman"/>
          <w:color w:val="000000"/>
          <w:sz w:val="19"/>
          <w:szCs w:val="19"/>
        </w:rPr>
        <w:t xml:space="preserve">, </w:t>
      </w:r>
      <w:hyperlink r:id="rId126" w:history="1">
        <w:r w:rsidRPr="00303C6A">
          <w:rPr>
            <w:rStyle w:val="Hyperlink"/>
            <w:rFonts w:eastAsia="Times New Roman"/>
            <w:sz w:val="19"/>
            <w:szCs w:val="19"/>
          </w:rPr>
          <w:t>1/CP.25</w:t>
        </w:r>
      </w:hyperlink>
      <w:r w:rsidRPr="00E9291B">
        <w:rPr>
          <w:rFonts w:eastAsia="Times New Roman"/>
          <w:color w:val="000000"/>
          <w:sz w:val="19"/>
          <w:szCs w:val="19"/>
        </w:rPr>
        <w:t xml:space="preserve"> and </w:t>
      </w:r>
      <w:hyperlink r:id="rId127" w:history="1">
        <w:r w:rsidRPr="00303C6A">
          <w:rPr>
            <w:rStyle w:val="Hyperlink"/>
            <w:rFonts w:eastAsia="Times New Roman"/>
            <w:sz w:val="19"/>
            <w:szCs w:val="19"/>
          </w:rPr>
          <w:t>1/CMA.5</w:t>
        </w:r>
      </w:hyperlink>
      <w:r w:rsidRPr="00E9291B">
        <w:rPr>
          <w:rFonts w:eastAsia="Times New Roman"/>
          <w:color w:val="000000"/>
          <w:sz w:val="19"/>
          <w:szCs w:val="19"/>
        </w:rPr>
        <w:t xml:space="preserve">, </w:t>
      </w:r>
    </w:p>
    <w:p w14:paraId="707B38E5" w14:textId="4DEB0D44" w:rsidR="00517239" w:rsidRPr="00E9291B" w:rsidRDefault="00517239" w:rsidP="00517239">
      <w:pPr>
        <w:pStyle w:val="RegSingleTxtG"/>
        <w:numPr>
          <w:ilvl w:val="0"/>
          <w:numId w:val="0"/>
        </w:numPr>
        <w:ind w:left="1134"/>
        <w:rPr>
          <w:rFonts w:eastAsia="Times New Roman"/>
          <w:color w:val="000000"/>
          <w:sz w:val="19"/>
          <w:szCs w:val="19"/>
        </w:rPr>
      </w:pPr>
      <w:r>
        <w:rPr>
          <w:rFonts w:eastAsia="Times New Roman"/>
          <w:i/>
          <w:color w:val="000000"/>
          <w:sz w:val="19"/>
          <w:szCs w:val="19"/>
        </w:rPr>
        <w:tab/>
      </w:r>
      <w:r w:rsidRPr="00E9291B">
        <w:rPr>
          <w:rFonts w:eastAsia="Times New Roman"/>
          <w:i/>
          <w:color w:val="000000"/>
          <w:sz w:val="19"/>
          <w:szCs w:val="19"/>
        </w:rPr>
        <w:t xml:space="preserve">Noting </w:t>
      </w:r>
      <w:r w:rsidRPr="00E9291B">
        <w:rPr>
          <w:rFonts w:eastAsia="Times New Roman"/>
          <w:color w:val="000000"/>
          <w:sz w:val="19"/>
          <w:szCs w:val="19"/>
        </w:rPr>
        <w:t xml:space="preserve">decisions </w:t>
      </w:r>
      <w:hyperlink r:id="rId128" w:history="1">
        <w:r w:rsidRPr="00303C6A">
          <w:rPr>
            <w:rStyle w:val="Hyperlink"/>
            <w:rFonts w:eastAsia="Times New Roman"/>
            <w:sz w:val="19"/>
            <w:szCs w:val="19"/>
          </w:rPr>
          <w:t>1/CP.22</w:t>
        </w:r>
      </w:hyperlink>
      <w:r w:rsidRPr="00E9291B">
        <w:rPr>
          <w:rFonts w:eastAsia="Times New Roman"/>
          <w:color w:val="000000"/>
          <w:sz w:val="19"/>
          <w:szCs w:val="19"/>
        </w:rPr>
        <w:t xml:space="preserve">, </w:t>
      </w:r>
      <w:hyperlink r:id="rId129" w:history="1">
        <w:r w:rsidRPr="00303C6A">
          <w:rPr>
            <w:rStyle w:val="Hyperlink"/>
            <w:rFonts w:eastAsia="Times New Roman"/>
            <w:sz w:val="19"/>
            <w:szCs w:val="19"/>
          </w:rPr>
          <w:t>1/CP.23</w:t>
        </w:r>
      </w:hyperlink>
      <w:r w:rsidRPr="00E9291B">
        <w:rPr>
          <w:rFonts w:eastAsia="Times New Roman"/>
          <w:color w:val="000000"/>
          <w:sz w:val="19"/>
          <w:szCs w:val="19"/>
        </w:rPr>
        <w:t xml:space="preserve">, </w:t>
      </w:r>
      <w:hyperlink r:id="rId130" w:history="1">
        <w:r w:rsidRPr="00303C6A">
          <w:rPr>
            <w:rStyle w:val="Hyperlink"/>
            <w:rFonts w:eastAsia="Times New Roman"/>
            <w:sz w:val="19"/>
            <w:szCs w:val="19"/>
          </w:rPr>
          <w:t>1/CP.24</w:t>
        </w:r>
      </w:hyperlink>
      <w:r w:rsidRPr="00E9291B">
        <w:rPr>
          <w:rFonts w:eastAsia="Times New Roman"/>
          <w:color w:val="000000"/>
          <w:sz w:val="19"/>
          <w:szCs w:val="19"/>
        </w:rPr>
        <w:t xml:space="preserve">, </w:t>
      </w:r>
      <w:hyperlink r:id="rId131" w:history="1">
        <w:r w:rsidRPr="00303C6A">
          <w:rPr>
            <w:rStyle w:val="Hyperlink"/>
            <w:rFonts w:eastAsia="Times New Roman"/>
            <w:sz w:val="19"/>
            <w:szCs w:val="19"/>
          </w:rPr>
          <w:t>1/CP.26</w:t>
        </w:r>
      </w:hyperlink>
      <w:r w:rsidRPr="00E9291B">
        <w:rPr>
          <w:rFonts w:eastAsia="Times New Roman"/>
          <w:color w:val="000000"/>
          <w:sz w:val="19"/>
          <w:szCs w:val="19"/>
        </w:rPr>
        <w:t xml:space="preserve">, </w:t>
      </w:r>
      <w:hyperlink r:id="rId132" w:history="1">
        <w:r w:rsidRPr="00303C6A">
          <w:rPr>
            <w:rStyle w:val="Hyperlink"/>
            <w:rFonts w:eastAsia="Times New Roman"/>
            <w:sz w:val="19"/>
            <w:szCs w:val="19"/>
          </w:rPr>
          <w:t>1/CP.27</w:t>
        </w:r>
      </w:hyperlink>
      <w:r w:rsidRPr="00E9291B">
        <w:rPr>
          <w:rFonts w:eastAsia="Times New Roman"/>
          <w:color w:val="000000"/>
          <w:sz w:val="19"/>
          <w:szCs w:val="19"/>
        </w:rPr>
        <w:t xml:space="preserve">, </w:t>
      </w:r>
      <w:hyperlink r:id="rId133" w:history="1">
        <w:r w:rsidRPr="00303C6A">
          <w:rPr>
            <w:rStyle w:val="Hyperlink"/>
            <w:rFonts w:eastAsia="Times New Roman"/>
            <w:sz w:val="19"/>
            <w:szCs w:val="19"/>
          </w:rPr>
          <w:t>1/CP.28</w:t>
        </w:r>
      </w:hyperlink>
      <w:r w:rsidRPr="00E9291B">
        <w:rPr>
          <w:rFonts w:eastAsia="Times New Roman"/>
          <w:color w:val="000000"/>
          <w:sz w:val="19"/>
          <w:szCs w:val="19"/>
        </w:rPr>
        <w:t xml:space="preserve"> and </w:t>
      </w:r>
      <w:hyperlink r:id="rId134" w:history="1">
        <w:r w:rsidRPr="00303C6A">
          <w:rPr>
            <w:rStyle w:val="Hyperlink"/>
            <w:rFonts w:eastAsia="Times New Roman"/>
            <w:sz w:val="19"/>
            <w:szCs w:val="19"/>
          </w:rPr>
          <w:t>16/CP.28</w:t>
        </w:r>
      </w:hyperlink>
      <w:r>
        <w:rPr>
          <w:rFonts w:eastAsia="Times New Roman"/>
          <w:color w:val="000000"/>
          <w:sz w:val="19"/>
          <w:szCs w:val="19"/>
        </w:rPr>
        <w:t>,</w:t>
      </w:r>
    </w:p>
    <w:p w14:paraId="42428A60" w14:textId="4A94B21D" w:rsidR="00517239" w:rsidRPr="00E9291B" w:rsidRDefault="00804401" w:rsidP="00804401">
      <w:pPr>
        <w:pStyle w:val="RegSingleTxtG"/>
        <w:numPr>
          <w:ilvl w:val="0"/>
          <w:numId w:val="0"/>
        </w:numPr>
        <w:ind w:left="1134"/>
      </w:pPr>
      <w:r w:rsidRPr="00E9291B">
        <w:rPr>
          <w:bCs/>
        </w:rPr>
        <w:t>1.</w:t>
      </w:r>
      <w:r w:rsidRPr="00E9291B">
        <w:rPr>
          <w:bCs/>
        </w:rPr>
        <w:tab/>
      </w:r>
      <w:r w:rsidR="00517239" w:rsidRPr="00517239">
        <w:rPr>
          <w:i/>
          <w:iCs/>
        </w:rPr>
        <w:t>Recognizes</w:t>
      </w:r>
      <w:r w:rsidR="00517239" w:rsidRPr="00E9291B">
        <w:t xml:space="preserve"> the important role and active engagement of non-Party stakeholders in supporting Parties </w:t>
      </w:r>
      <w:r w:rsidR="00517239">
        <w:t xml:space="preserve">in </w:t>
      </w:r>
      <w:r w:rsidR="00517239" w:rsidRPr="00E9291B">
        <w:t xml:space="preserve">contributing </w:t>
      </w:r>
      <w:r w:rsidR="00517239" w:rsidRPr="00517239">
        <w:rPr>
          <w:color w:val="000000" w:themeColor="text1"/>
        </w:rPr>
        <w:t>to progress towards achieving the objective of the Convention and the goals of the Paris Agreement;</w:t>
      </w:r>
    </w:p>
    <w:p w14:paraId="0DC34EFC" w14:textId="0B515774" w:rsidR="00517239" w:rsidRPr="00874A1C" w:rsidRDefault="00804401" w:rsidP="00804401">
      <w:pPr>
        <w:pStyle w:val="RegSingleTxtG"/>
        <w:numPr>
          <w:ilvl w:val="0"/>
          <w:numId w:val="0"/>
        </w:numPr>
        <w:ind w:left="1134"/>
      </w:pPr>
      <w:r w:rsidRPr="00874A1C">
        <w:rPr>
          <w:bCs/>
        </w:rPr>
        <w:t>2.</w:t>
      </w:r>
      <w:r w:rsidRPr="00874A1C">
        <w:rPr>
          <w:bCs/>
        </w:rPr>
        <w:tab/>
      </w:r>
      <w:r w:rsidR="00517239" w:rsidRPr="00E9291B">
        <w:rPr>
          <w:i/>
          <w:iCs/>
        </w:rPr>
        <w:t>Welcomes</w:t>
      </w:r>
      <w:r w:rsidR="00517239" w:rsidRPr="00E9291B">
        <w:t xml:space="preserve"> the progress</w:t>
      </w:r>
      <w:r w:rsidR="00517239">
        <w:t xml:space="preserve">, </w:t>
      </w:r>
      <w:r w:rsidR="00517239" w:rsidRPr="00E9291B">
        <w:t xml:space="preserve">leadership </w:t>
      </w:r>
      <w:r w:rsidR="00517239">
        <w:t xml:space="preserve">and work </w:t>
      </w:r>
      <w:r w:rsidR="00517239" w:rsidRPr="00E9291B">
        <w:t xml:space="preserve">of the high-level champions in </w:t>
      </w:r>
      <w:r w:rsidR="00517239" w:rsidRPr="00874A1C">
        <w:t xml:space="preserve">promoting activities </w:t>
      </w:r>
      <w:r w:rsidR="00517239">
        <w:t xml:space="preserve">under </w:t>
      </w:r>
      <w:r w:rsidR="00517239" w:rsidRPr="00874A1C">
        <w:t>the Marrakech Partnership for Global Climate Action on implementing voluntary efforts, initiatives and coalitions;</w:t>
      </w:r>
    </w:p>
    <w:p w14:paraId="579AA0C0" w14:textId="443A4AB8" w:rsidR="00517239" w:rsidRDefault="00804401" w:rsidP="00804401">
      <w:pPr>
        <w:pStyle w:val="RegSingleTxtG"/>
        <w:numPr>
          <w:ilvl w:val="0"/>
          <w:numId w:val="0"/>
        </w:numPr>
        <w:ind w:left="1134"/>
      </w:pPr>
      <w:r>
        <w:rPr>
          <w:bCs/>
        </w:rPr>
        <w:t>3.</w:t>
      </w:r>
      <w:r>
        <w:rPr>
          <w:bCs/>
        </w:rPr>
        <w:tab/>
      </w:r>
      <w:r w:rsidR="00517239" w:rsidRPr="00874A1C">
        <w:t>⁠</w:t>
      </w:r>
      <w:r w:rsidR="00517239" w:rsidRPr="62A51437">
        <w:rPr>
          <w:i/>
          <w:iCs/>
        </w:rPr>
        <w:t>Also welcomes</w:t>
      </w:r>
      <w:r w:rsidR="00517239" w:rsidRPr="00874A1C">
        <w:t xml:space="preserve"> the continuation of the Marrakech Partnership for Global Climate Action</w:t>
      </w:r>
      <w:r w:rsidR="00517239">
        <w:t xml:space="preserve"> </w:t>
      </w:r>
      <w:r w:rsidR="00517239" w:rsidRPr="00874A1C">
        <w:t xml:space="preserve">and </w:t>
      </w:r>
      <w:r w:rsidR="00517239" w:rsidRPr="00874A1C">
        <w:rPr>
          <w:i/>
          <w:iCs/>
        </w:rPr>
        <w:t xml:space="preserve">decides </w:t>
      </w:r>
      <w:r w:rsidR="00517239" w:rsidRPr="00874A1C">
        <w:t>to continue to appoint high-level champions</w:t>
      </w:r>
      <w:r w:rsidR="00517239">
        <w:t>,</w:t>
      </w:r>
      <w:r w:rsidR="00517239" w:rsidRPr="00874A1C">
        <w:t xml:space="preserve"> for 2026</w:t>
      </w:r>
      <w:r w:rsidR="00517239">
        <w:t>–</w:t>
      </w:r>
      <w:r w:rsidR="00517239" w:rsidRPr="00874A1C">
        <w:t>2030</w:t>
      </w:r>
      <w:r w:rsidR="00517239">
        <w:t>,</w:t>
      </w:r>
      <w:r w:rsidR="00517239" w:rsidRPr="00874A1C">
        <w:rPr>
          <w:rStyle w:val="FootnoteReference"/>
          <w:rFonts w:eastAsiaTheme="majorEastAsia"/>
          <w:sz w:val="20"/>
        </w:rPr>
        <w:footnoteReference w:id="31"/>
      </w:r>
      <w:r w:rsidR="00517239" w:rsidRPr="00874A1C">
        <w:t xml:space="preserve"> to act on behalf of the President of the Conference of the Parties to facilitate</w:t>
      </w:r>
      <w:r w:rsidR="00517239">
        <w:t>,</w:t>
      </w:r>
      <w:r w:rsidR="00517239" w:rsidRPr="00874A1C">
        <w:t xml:space="preserve"> through high-level engagement</w:t>
      </w:r>
      <w:r w:rsidR="00517239">
        <w:t>,</w:t>
      </w:r>
      <w:r w:rsidR="00517239" w:rsidRPr="00874A1C">
        <w:t xml:space="preserve"> the scaling</w:t>
      </w:r>
      <w:r w:rsidR="00517239">
        <w:t xml:space="preserve"> </w:t>
      </w:r>
      <w:r w:rsidR="00517239" w:rsidRPr="00874A1C">
        <w:t>up and strengthening of voluntary efforts, initiatives and coalitions</w:t>
      </w:r>
      <w:r w:rsidR="00517239">
        <w:t>,</w:t>
      </w:r>
      <w:r w:rsidR="00517239" w:rsidRPr="00874A1C">
        <w:t xml:space="preserve"> </w:t>
      </w:r>
      <w:r w:rsidR="00517239" w:rsidRPr="00874A1C">
        <w:rPr>
          <w:lang w:val="en-US"/>
        </w:rPr>
        <w:t>and to continue convening annually a high-level event together with the Executive Secretary and the incumbent and incoming Presidents of the Conference of the Parties</w:t>
      </w:r>
      <w:r w:rsidR="00517239" w:rsidRPr="00874A1C">
        <w:t xml:space="preserve">; </w:t>
      </w:r>
    </w:p>
    <w:p w14:paraId="1FC35868" w14:textId="56B6F74E" w:rsidR="00517239" w:rsidRDefault="00804401" w:rsidP="00804401">
      <w:pPr>
        <w:pStyle w:val="RegSingleTxtG"/>
        <w:numPr>
          <w:ilvl w:val="0"/>
          <w:numId w:val="0"/>
        </w:numPr>
        <w:ind w:left="1134"/>
      </w:pPr>
      <w:r>
        <w:rPr>
          <w:bCs/>
        </w:rPr>
        <w:t>4.</w:t>
      </w:r>
      <w:r>
        <w:rPr>
          <w:bCs/>
        </w:rPr>
        <w:tab/>
      </w:r>
      <w:r w:rsidR="00517239" w:rsidRPr="00517239">
        <w:rPr>
          <w:i/>
          <w:iCs/>
        </w:rPr>
        <w:t>Requests</w:t>
      </w:r>
      <w:r w:rsidR="00517239" w:rsidRPr="00874A1C">
        <w:t xml:space="preserve"> the incumbent and incoming Presidents of the Conference of the Parties to provide direction to the high-level champion </w:t>
      </w:r>
      <w:r w:rsidR="002B7E5C">
        <w:t>who</w:t>
      </w:r>
      <w:r w:rsidR="00517239" w:rsidRPr="00874A1C">
        <w:t xml:space="preserve"> they appoint, with advice from the </w:t>
      </w:r>
      <w:r w:rsidR="00517239" w:rsidRPr="00E9291B">
        <w:t>secretariat, on the work referred to in paragraph 3 above, including on matters related to the Global Climate Action Agenda.</w:t>
      </w:r>
    </w:p>
    <w:p w14:paraId="7A43B46B" w14:textId="57F11F28" w:rsidR="00517239" w:rsidRDefault="00D95546" w:rsidP="00517239">
      <w:pPr>
        <w:pStyle w:val="RegSingleTxtG"/>
        <w:numPr>
          <w:ilvl w:val="0"/>
          <w:numId w:val="0"/>
        </w:numPr>
        <w:spacing w:after="0"/>
        <w:ind w:left="1134"/>
        <w:jc w:val="right"/>
        <w:rPr>
          <w:i/>
          <w:iCs/>
        </w:rPr>
      </w:pPr>
      <w:r>
        <w:rPr>
          <w:i/>
          <w:iCs/>
        </w:rPr>
        <w:t>5</w:t>
      </w:r>
      <w:r w:rsidRPr="00D95546">
        <w:rPr>
          <w:i/>
          <w:iCs/>
          <w:vertAlign w:val="superscript"/>
        </w:rPr>
        <w:t>th</w:t>
      </w:r>
      <w:r>
        <w:rPr>
          <w:i/>
          <w:iCs/>
        </w:rPr>
        <w:t xml:space="preserve"> </w:t>
      </w:r>
      <w:r w:rsidR="00517239">
        <w:rPr>
          <w:i/>
          <w:iCs/>
        </w:rPr>
        <w:t>plenary meeting</w:t>
      </w:r>
    </w:p>
    <w:p w14:paraId="71398557" w14:textId="51F23902" w:rsidR="00517239" w:rsidRDefault="00D95546" w:rsidP="00517239">
      <w:pPr>
        <w:pStyle w:val="RegSingleTxtG"/>
        <w:numPr>
          <w:ilvl w:val="0"/>
          <w:numId w:val="0"/>
        </w:numPr>
        <w:spacing w:after="0"/>
        <w:ind w:left="1134"/>
        <w:jc w:val="right"/>
      </w:pPr>
      <w:r>
        <w:rPr>
          <w:i/>
          <w:iCs/>
        </w:rPr>
        <w:t>18</w:t>
      </w:r>
      <w:r w:rsidR="00517239">
        <w:rPr>
          <w:i/>
          <w:iCs/>
        </w:rPr>
        <w:t xml:space="preserve"> November 2024</w:t>
      </w:r>
    </w:p>
    <w:p w14:paraId="4AB56249" w14:textId="77777777" w:rsidR="004E7B87" w:rsidRDefault="004E7B87" w:rsidP="00804401">
      <w:pPr>
        <w:pStyle w:val="RegHChG"/>
        <w:numPr>
          <w:ilvl w:val="0"/>
          <w:numId w:val="0"/>
        </w:numPr>
        <w:ind w:left="1135" w:hanging="454"/>
      </w:pPr>
    </w:p>
    <w:p w14:paraId="2B885F6A" w14:textId="6FA637C8" w:rsidR="004E7B87" w:rsidRDefault="00804401" w:rsidP="00804401">
      <w:pPr>
        <w:pStyle w:val="RegHChG"/>
        <w:numPr>
          <w:ilvl w:val="0"/>
          <w:numId w:val="0"/>
        </w:numPr>
        <w:tabs>
          <w:tab w:val="left" w:pos="1135"/>
        </w:tabs>
        <w:ind w:left="1135" w:hanging="454"/>
        <w:sectPr w:rsidR="004E7B87" w:rsidSect="00154A78">
          <w:headerReference w:type="even" r:id="rId135"/>
          <w:headerReference w:type="default" r:id="rId136"/>
          <w:footerReference w:type="even" r:id="rId137"/>
          <w:footerReference w:type="default" r:id="rId138"/>
          <w:footnotePr>
            <w:numRestart w:val="eachSect"/>
          </w:footnotePr>
          <w:pgSz w:w="11906" w:h="16838" w:code="9"/>
          <w:pgMar w:top="1417" w:right="1134" w:bottom="1134" w:left="1134" w:header="850" w:footer="567" w:gutter="0"/>
          <w:cols w:space="708"/>
          <w:docGrid w:linePitch="360"/>
        </w:sectPr>
      </w:pPr>
      <w:r>
        <w:t>I.</w:t>
      </w:r>
      <w:r>
        <w:tab/>
      </w:r>
    </w:p>
    <w:p w14:paraId="521039F4" w14:textId="7D6624C3" w:rsidR="002B0703" w:rsidRDefault="002B0703" w:rsidP="00804401">
      <w:pPr>
        <w:pStyle w:val="RegHChG"/>
        <w:numPr>
          <w:ilvl w:val="0"/>
          <w:numId w:val="0"/>
        </w:numPr>
        <w:ind w:left="1135" w:hanging="454"/>
      </w:pPr>
      <w:bookmarkStart w:id="22" w:name="CP18"/>
      <w:r>
        <w:lastRenderedPageBreak/>
        <w:t>Decision 18/CP.29</w:t>
      </w:r>
    </w:p>
    <w:bookmarkEnd w:id="22"/>
    <w:p w14:paraId="1C985B23" w14:textId="77777777" w:rsidR="00F427A8" w:rsidRDefault="00F427A8" w:rsidP="00F427A8">
      <w:pPr>
        <w:pStyle w:val="HChG"/>
        <w:ind w:firstLine="0"/>
      </w:pPr>
      <w:r w:rsidRPr="00504259">
        <w:t>Periodic review of the long-term global goal under the Convention and of overall progress towards achieving it</w:t>
      </w:r>
    </w:p>
    <w:p w14:paraId="1BED1DF7" w14:textId="77777777" w:rsidR="00F427A8" w:rsidRDefault="00F427A8" w:rsidP="00F427A8">
      <w:pPr>
        <w:pStyle w:val="RegSingleTxtG"/>
        <w:numPr>
          <w:ilvl w:val="0"/>
          <w:numId w:val="0"/>
        </w:numPr>
        <w:ind w:left="1134"/>
      </w:pPr>
      <w:r>
        <w:tab/>
      </w:r>
      <w:r w:rsidRPr="00D83E1D">
        <w:rPr>
          <w:i/>
          <w:iCs/>
        </w:rPr>
        <w:t>The Conference of the Parties</w:t>
      </w:r>
      <w:r>
        <w:t>,</w:t>
      </w:r>
    </w:p>
    <w:p w14:paraId="72A354CF" w14:textId="2D2EBE04" w:rsidR="00F427A8" w:rsidRDefault="00F427A8" w:rsidP="00F427A8">
      <w:pPr>
        <w:pStyle w:val="RegSingleTxtG"/>
        <w:numPr>
          <w:ilvl w:val="0"/>
          <w:numId w:val="0"/>
        </w:numPr>
        <w:ind w:left="1134"/>
      </w:pPr>
      <w:r>
        <w:rPr>
          <w:i/>
          <w:iCs/>
        </w:rPr>
        <w:tab/>
      </w:r>
      <w:r w:rsidRPr="00A66289">
        <w:rPr>
          <w:i/>
          <w:iCs/>
        </w:rPr>
        <w:t>Recalling</w:t>
      </w:r>
      <w:r w:rsidRPr="004A3AF3">
        <w:t xml:space="preserve"> decisions </w:t>
      </w:r>
      <w:hyperlink r:id="rId139" w:history="1">
        <w:r w:rsidRPr="00303C6A">
          <w:rPr>
            <w:rStyle w:val="Hyperlink"/>
          </w:rPr>
          <w:t>2/CP.17</w:t>
        </w:r>
      </w:hyperlink>
      <w:r>
        <w:t xml:space="preserve">, paragraph 167, </w:t>
      </w:r>
      <w:hyperlink r:id="rId140" w:history="1">
        <w:r w:rsidRPr="00303C6A">
          <w:rPr>
            <w:rStyle w:val="Hyperlink"/>
          </w:rPr>
          <w:t>5/CP.25</w:t>
        </w:r>
      </w:hyperlink>
      <w:r w:rsidRPr="004A3AF3">
        <w:t>, paragraph 8</w:t>
      </w:r>
      <w:r>
        <w:t>,</w:t>
      </w:r>
      <w:r w:rsidRPr="004A3AF3">
        <w:t xml:space="preserve"> and </w:t>
      </w:r>
      <w:hyperlink r:id="rId141" w:history="1">
        <w:r w:rsidRPr="00303C6A">
          <w:rPr>
            <w:rStyle w:val="Hyperlink"/>
          </w:rPr>
          <w:t>21/CP.27</w:t>
        </w:r>
      </w:hyperlink>
      <w:r w:rsidRPr="004A3AF3">
        <w:t>, paragraph 22</w:t>
      </w:r>
      <w:r>
        <w:t xml:space="preserve">, </w:t>
      </w:r>
    </w:p>
    <w:p w14:paraId="5A05D26F" w14:textId="2EF7B34C" w:rsidR="00F427A8" w:rsidRDefault="00804401" w:rsidP="00804401">
      <w:pPr>
        <w:pStyle w:val="RegSingleTxtG"/>
        <w:numPr>
          <w:ilvl w:val="0"/>
          <w:numId w:val="0"/>
        </w:numPr>
        <w:ind w:left="1134"/>
      </w:pPr>
      <w:r>
        <w:rPr>
          <w:bCs/>
        </w:rPr>
        <w:t>1.</w:t>
      </w:r>
      <w:r>
        <w:rPr>
          <w:bCs/>
        </w:rPr>
        <w:tab/>
      </w:r>
      <w:r w:rsidR="00F427A8" w:rsidRPr="00F427A8">
        <w:rPr>
          <w:i/>
          <w:iCs/>
        </w:rPr>
        <w:t xml:space="preserve">Notes </w:t>
      </w:r>
      <w:r w:rsidR="00F427A8">
        <w:t>that the</w:t>
      </w:r>
      <w:r w:rsidR="00F427A8" w:rsidRPr="004115A3" w:rsidDel="002802B7">
        <w:t xml:space="preserve"> </w:t>
      </w:r>
      <w:r w:rsidR="00F427A8" w:rsidRPr="004115A3">
        <w:t>consideration of the continuation of periodic reviews</w:t>
      </w:r>
      <w:r w:rsidR="00F427A8">
        <w:t xml:space="preserve"> of the long-term global goal under the Convention and of overall progress towards achieving it</w:t>
      </w:r>
      <w:r w:rsidR="00F427A8" w:rsidRPr="004115A3" w:rsidDel="005401AB">
        <w:t xml:space="preserve"> </w:t>
      </w:r>
      <w:r w:rsidR="00F427A8">
        <w:t>commenced at this</w:t>
      </w:r>
      <w:r w:rsidR="00F427A8" w:rsidRPr="004115A3" w:rsidDel="005401AB">
        <w:t xml:space="preserve"> session</w:t>
      </w:r>
      <w:r w:rsidR="00F427A8" w:rsidRPr="004115A3">
        <w:t>;</w:t>
      </w:r>
    </w:p>
    <w:p w14:paraId="71A68710" w14:textId="1E7CA5F7" w:rsidR="00F427A8" w:rsidRDefault="00804401" w:rsidP="00804401">
      <w:pPr>
        <w:pStyle w:val="RegSingleTxtG"/>
        <w:numPr>
          <w:ilvl w:val="0"/>
          <w:numId w:val="0"/>
        </w:numPr>
        <w:ind w:left="1134"/>
      </w:pPr>
      <w:r>
        <w:rPr>
          <w:bCs/>
        </w:rPr>
        <w:t>2.</w:t>
      </w:r>
      <w:r>
        <w:rPr>
          <w:bCs/>
        </w:rPr>
        <w:tab/>
      </w:r>
      <w:r w:rsidR="00F427A8" w:rsidRPr="00F427A8">
        <w:rPr>
          <w:i/>
          <w:iCs/>
        </w:rPr>
        <w:t xml:space="preserve">Decides </w:t>
      </w:r>
      <w:r w:rsidR="00F427A8">
        <w:t>to continue consideration of this matter at its thirtieth session (November 2025).</w:t>
      </w:r>
    </w:p>
    <w:p w14:paraId="7D123355" w14:textId="4B18F3B0" w:rsidR="00F427A8" w:rsidRDefault="00297609" w:rsidP="00F427A8">
      <w:pPr>
        <w:pStyle w:val="RegSingleTxtG"/>
        <w:numPr>
          <w:ilvl w:val="0"/>
          <w:numId w:val="0"/>
        </w:numPr>
        <w:spacing w:after="0"/>
        <w:ind w:left="1134"/>
        <w:jc w:val="right"/>
        <w:rPr>
          <w:i/>
          <w:iCs/>
        </w:rPr>
      </w:pPr>
      <w:r>
        <w:rPr>
          <w:i/>
          <w:iCs/>
        </w:rPr>
        <w:t>11</w:t>
      </w:r>
      <w:r w:rsidRPr="00297609">
        <w:rPr>
          <w:i/>
          <w:iCs/>
          <w:vertAlign w:val="superscript"/>
        </w:rPr>
        <w:t>th</w:t>
      </w:r>
      <w:r>
        <w:rPr>
          <w:i/>
          <w:iCs/>
        </w:rPr>
        <w:t xml:space="preserve"> </w:t>
      </w:r>
      <w:r w:rsidR="00F427A8">
        <w:rPr>
          <w:i/>
          <w:iCs/>
        </w:rPr>
        <w:t>plenary meeting</w:t>
      </w:r>
    </w:p>
    <w:p w14:paraId="757319FF" w14:textId="12D2E45D" w:rsidR="00F427A8" w:rsidRDefault="00297609" w:rsidP="00F427A8">
      <w:pPr>
        <w:pStyle w:val="RegSingleTxtG"/>
        <w:numPr>
          <w:ilvl w:val="0"/>
          <w:numId w:val="0"/>
        </w:numPr>
        <w:spacing w:after="0"/>
        <w:ind w:left="1134"/>
        <w:jc w:val="right"/>
      </w:pPr>
      <w:r>
        <w:rPr>
          <w:i/>
          <w:iCs/>
        </w:rPr>
        <w:t>23</w:t>
      </w:r>
      <w:r w:rsidR="00F427A8">
        <w:rPr>
          <w:i/>
          <w:iCs/>
        </w:rPr>
        <w:t xml:space="preserve"> November 2024</w:t>
      </w:r>
    </w:p>
    <w:p w14:paraId="0DCBE270" w14:textId="77777777" w:rsidR="00610D02" w:rsidRDefault="00610D02" w:rsidP="00804401">
      <w:pPr>
        <w:pStyle w:val="RegHChG"/>
        <w:numPr>
          <w:ilvl w:val="0"/>
          <w:numId w:val="0"/>
        </w:numPr>
        <w:ind w:left="1135" w:hanging="454"/>
      </w:pPr>
    </w:p>
    <w:p w14:paraId="61BA96C3" w14:textId="0E8EFC95" w:rsidR="00610D02" w:rsidRDefault="00804401" w:rsidP="00804401">
      <w:pPr>
        <w:pStyle w:val="RegHChG"/>
        <w:numPr>
          <w:ilvl w:val="0"/>
          <w:numId w:val="0"/>
        </w:numPr>
        <w:tabs>
          <w:tab w:val="left" w:pos="1135"/>
        </w:tabs>
        <w:ind w:left="1135" w:hanging="454"/>
        <w:sectPr w:rsidR="00610D02" w:rsidSect="00E56563">
          <w:headerReference w:type="default" r:id="rId142"/>
          <w:footerReference w:type="default" r:id="rId143"/>
          <w:footnotePr>
            <w:numRestart w:val="eachSect"/>
          </w:footnotePr>
          <w:pgSz w:w="11906" w:h="16838" w:code="9"/>
          <w:pgMar w:top="1417" w:right="1134" w:bottom="1134" w:left="1134" w:header="850" w:footer="567" w:gutter="0"/>
          <w:cols w:space="708"/>
          <w:docGrid w:linePitch="360"/>
        </w:sectPr>
      </w:pPr>
      <w:r>
        <w:t>I.</w:t>
      </w:r>
      <w:r>
        <w:tab/>
      </w:r>
    </w:p>
    <w:p w14:paraId="67AEDB6F" w14:textId="775D57CC" w:rsidR="00610D02" w:rsidRDefault="00610D02" w:rsidP="00804401">
      <w:pPr>
        <w:pStyle w:val="RegHChG"/>
        <w:numPr>
          <w:ilvl w:val="0"/>
          <w:numId w:val="0"/>
        </w:numPr>
        <w:ind w:left="1135" w:hanging="454"/>
      </w:pPr>
      <w:bookmarkStart w:id="23" w:name="CP19"/>
      <w:r>
        <w:lastRenderedPageBreak/>
        <w:t>Decision 19/CP.29</w:t>
      </w:r>
    </w:p>
    <w:bookmarkEnd w:id="23"/>
    <w:p w14:paraId="5474967A" w14:textId="77777777" w:rsidR="006472AF" w:rsidRPr="003B22B5" w:rsidRDefault="006472AF" w:rsidP="006472AF">
      <w:pPr>
        <w:pStyle w:val="MainTitle"/>
        <w:ind w:firstLine="0"/>
      </w:pPr>
      <w:r>
        <w:t>Dates and venues of future sessions</w:t>
      </w:r>
    </w:p>
    <w:p w14:paraId="17BDA40F" w14:textId="77777777" w:rsidR="006472AF" w:rsidRDefault="006472AF" w:rsidP="00804401">
      <w:pPr>
        <w:pStyle w:val="RegH5G"/>
        <w:numPr>
          <w:ilvl w:val="0"/>
          <w:numId w:val="0"/>
        </w:numPr>
        <w:ind w:left="1701" w:right="-1" w:hanging="454"/>
      </w:pPr>
      <w:r w:rsidRPr="00C720DC" w:rsidDel="00673F06">
        <w:rPr>
          <w:color w:val="000000"/>
        </w:rPr>
        <w:t>The</w:t>
      </w:r>
      <w:r w:rsidRPr="00C720DC" w:rsidDel="00673F06">
        <w:t xml:space="preserve"> Conference of the Parties</w:t>
      </w:r>
      <w:r w:rsidRPr="002C2274" w:rsidDel="00673F06">
        <w:rPr>
          <w:i w:val="0"/>
          <w:iCs/>
        </w:rPr>
        <w:t>,</w:t>
      </w:r>
    </w:p>
    <w:p w14:paraId="614B8FD7" w14:textId="77777777" w:rsidR="006472AF" w:rsidRDefault="006472AF" w:rsidP="006472AF">
      <w:pPr>
        <w:pStyle w:val="RegSingleTxtG"/>
        <w:numPr>
          <w:ilvl w:val="0"/>
          <w:numId w:val="0"/>
        </w:numPr>
        <w:tabs>
          <w:tab w:val="clear" w:pos="1701"/>
        </w:tabs>
        <w:ind w:left="1134" w:firstLine="567"/>
      </w:pPr>
      <w:r w:rsidRPr="00C101CB">
        <w:rPr>
          <w:i/>
        </w:rPr>
        <w:t>Recalling</w:t>
      </w:r>
      <w:r>
        <w:t xml:space="preserve"> Article 7, paragraph 4, of the Convention,</w:t>
      </w:r>
    </w:p>
    <w:p w14:paraId="2ADA1462" w14:textId="77777777" w:rsidR="006472AF" w:rsidRDefault="006472AF" w:rsidP="006472AF">
      <w:pPr>
        <w:pStyle w:val="RegSingleTxtG"/>
        <w:numPr>
          <w:ilvl w:val="0"/>
          <w:numId w:val="0"/>
        </w:numPr>
        <w:tabs>
          <w:tab w:val="clear" w:pos="1701"/>
        </w:tabs>
        <w:ind w:left="1134" w:firstLine="567"/>
      </w:pPr>
      <w:r w:rsidRPr="00C101CB">
        <w:rPr>
          <w:i/>
        </w:rPr>
        <w:t>Also recalling</w:t>
      </w:r>
      <w:r>
        <w:t xml:space="preserve"> United Nations General Assembly resolution 40/243 of 18 December 1985 on the pattern of conferences,</w:t>
      </w:r>
    </w:p>
    <w:p w14:paraId="0B4CAEF3" w14:textId="77777777" w:rsidR="006472AF" w:rsidRPr="00CB2ABF" w:rsidRDefault="006472AF" w:rsidP="006472AF">
      <w:pPr>
        <w:pStyle w:val="RegSingleTxtG"/>
        <w:numPr>
          <w:ilvl w:val="0"/>
          <w:numId w:val="0"/>
        </w:numPr>
        <w:tabs>
          <w:tab w:val="clear" w:pos="1701"/>
        </w:tabs>
        <w:ind w:left="1134" w:firstLine="567"/>
        <w:rPr>
          <w:spacing w:val="2"/>
        </w:rPr>
      </w:pPr>
      <w:r w:rsidRPr="00CB2ABF">
        <w:rPr>
          <w:i/>
          <w:spacing w:val="2"/>
        </w:rPr>
        <w:t>Further recalling</w:t>
      </w:r>
      <w:r w:rsidRPr="00CB2ABF">
        <w:rPr>
          <w:spacing w:val="2"/>
        </w:rPr>
        <w:t xml:space="preserve"> rule 22, paragraph 1, of the draft rules of procedure being applied regarding the rotation of the office of President among the five United Nations regional groups,</w:t>
      </w:r>
    </w:p>
    <w:p w14:paraId="17E04E5C" w14:textId="6A704EA8" w:rsidR="006472AF" w:rsidRDefault="006472AF" w:rsidP="006472AF">
      <w:pPr>
        <w:pStyle w:val="RegSingleTxtG"/>
        <w:numPr>
          <w:ilvl w:val="0"/>
          <w:numId w:val="0"/>
        </w:numPr>
        <w:tabs>
          <w:tab w:val="clear" w:pos="1701"/>
        </w:tabs>
        <w:ind w:left="1134" w:firstLine="567"/>
      </w:pPr>
      <w:r>
        <w:rPr>
          <w:i/>
        </w:rPr>
        <w:t xml:space="preserve">Recalling </w:t>
      </w:r>
      <w:r>
        <w:rPr>
          <w:iCs/>
        </w:rPr>
        <w:t>d</w:t>
      </w:r>
      <w:r w:rsidRPr="00CF715D">
        <w:rPr>
          <w:iCs/>
        </w:rPr>
        <w:t xml:space="preserve">ecision </w:t>
      </w:r>
      <w:hyperlink r:id="rId144" w:history="1">
        <w:r w:rsidRPr="00303C6A">
          <w:rPr>
            <w:rStyle w:val="Hyperlink"/>
            <w:iCs/>
          </w:rPr>
          <w:t>17/CP.28</w:t>
        </w:r>
      </w:hyperlink>
      <w:r>
        <w:rPr>
          <w:iCs/>
        </w:rPr>
        <w:t>,</w:t>
      </w:r>
    </w:p>
    <w:p w14:paraId="132AEE1A" w14:textId="52A49257" w:rsidR="006472AF" w:rsidRPr="00CC6F37" w:rsidRDefault="00804401" w:rsidP="00804401">
      <w:pPr>
        <w:pStyle w:val="RegHChG"/>
        <w:numPr>
          <w:ilvl w:val="0"/>
          <w:numId w:val="0"/>
        </w:numPr>
        <w:tabs>
          <w:tab w:val="left" w:pos="1135"/>
        </w:tabs>
        <w:spacing w:before="300"/>
        <w:ind w:left="1135" w:hanging="454"/>
      </w:pPr>
      <w:r w:rsidRPr="00CC6F37">
        <w:t>I.</w:t>
      </w:r>
      <w:r w:rsidRPr="00CC6F37">
        <w:tab/>
      </w:r>
      <w:r w:rsidR="006472AF" w:rsidRPr="00E27429">
        <w:t>2025</w:t>
      </w:r>
    </w:p>
    <w:p w14:paraId="70FD0447" w14:textId="6BC3D3E3" w:rsidR="006472AF" w:rsidRDefault="00804401" w:rsidP="00804401">
      <w:pPr>
        <w:pStyle w:val="RegSingleTxtG"/>
        <w:numPr>
          <w:ilvl w:val="0"/>
          <w:numId w:val="0"/>
        </w:numPr>
        <w:ind w:left="1134"/>
      </w:pPr>
      <w:r>
        <w:rPr>
          <w:bCs/>
        </w:rPr>
        <w:t>1.</w:t>
      </w:r>
      <w:r>
        <w:rPr>
          <w:bCs/>
        </w:rPr>
        <w:tab/>
      </w:r>
      <w:r w:rsidR="006472AF" w:rsidRPr="006472AF">
        <w:rPr>
          <w:i/>
          <w:iCs/>
        </w:rPr>
        <w:t>Reiterates appreciation</w:t>
      </w:r>
      <w:r w:rsidR="006472AF" w:rsidRPr="000E41D7">
        <w:t xml:space="preserve"> for the offer of the Government of Brazil to host the thirtieth session of the Conference of the Parties, the twentieth session of the Conference of the Parties serving as the meeting of the Parties to the Kyoto Protocol and the seventh session of the Conference of the Parties serving as the meeting of the Parties to the Paris Agreement</w:t>
      </w:r>
      <w:r w:rsidR="006472AF" w:rsidRPr="00CC417B">
        <w:t xml:space="preserve"> from Monday, 10 November, to Friday, 21 November 2025</w:t>
      </w:r>
      <w:r w:rsidR="006472AF" w:rsidRPr="000E41D7">
        <w:t>;</w:t>
      </w:r>
      <w:r w:rsidR="006472AF">
        <w:rPr>
          <w:rStyle w:val="FootnoteReference"/>
        </w:rPr>
        <w:footnoteReference w:id="32"/>
      </w:r>
    </w:p>
    <w:p w14:paraId="359A17C5" w14:textId="3CE301AB" w:rsidR="006472AF" w:rsidRDefault="00804401" w:rsidP="00804401">
      <w:pPr>
        <w:pStyle w:val="RegSingleTxtG"/>
        <w:numPr>
          <w:ilvl w:val="0"/>
          <w:numId w:val="0"/>
        </w:numPr>
        <w:ind w:left="1134"/>
      </w:pPr>
      <w:r>
        <w:rPr>
          <w:bCs/>
        </w:rPr>
        <w:t>2.</w:t>
      </w:r>
      <w:r>
        <w:rPr>
          <w:bCs/>
        </w:rPr>
        <w:tab/>
      </w:r>
      <w:r w:rsidR="006472AF">
        <w:rPr>
          <w:i/>
          <w:iCs/>
        </w:rPr>
        <w:t>R</w:t>
      </w:r>
      <w:r w:rsidR="006472AF" w:rsidRPr="00784F7F">
        <w:rPr>
          <w:i/>
          <w:iCs/>
        </w:rPr>
        <w:t>equests</w:t>
      </w:r>
      <w:r w:rsidR="006472AF" w:rsidRPr="000E41D7">
        <w:t xml:space="preserve"> the Executive Secretary to continue consultations with </w:t>
      </w:r>
      <w:r w:rsidR="006472AF">
        <w:t xml:space="preserve">the </w:t>
      </w:r>
      <w:r w:rsidR="006472AF" w:rsidRPr="000E41D7">
        <w:t xml:space="preserve">Government of Brazil and to conclude a Host Country Agreement for convening the sessions, pursuant to United Nations General Assembly resolution 40/243 and the provisions of United Nations administrative instruction ST/AI/342, including its annex, containing the model conference agreement, with a view to signing the Host Country Agreement as soon as possible, preferably before the sixty-second sessions of the subsidiary bodies (June 2025), so as to allow for its prompt implementation; </w:t>
      </w:r>
    </w:p>
    <w:p w14:paraId="738EC3B2" w14:textId="56CE215E" w:rsidR="006472AF" w:rsidRPr="000E41D7" w:rsidRDefault="00804401" w:rsidP="00804401">
      <w:pPr>
        <w:pStyle w:val="RegSingleTxtG"/>
        <w:numPr>
          <w:ilvl w:val="0"/>
          <w:numId w:val="0"/>
        </w:numPr>
        <w:ind w:left="1134"/>
      </w:pPr>
      <w:r w:rsidRPr="000E41D7">
        <w:rPr>
          <w:bCs/>
        </w:rPr>
        <w:t>3.</w:t>
      </w:r>
      <w:r w:rsidRPr="000E41D7">
        <w:rPr>
          <w:bCs/>
        </w:rPr>
        <w:tab/>
      </w:r>
      <w:r w:rsidR="006472AF">
        <w:rPr>
          <w:i/>
          <w:iCs/>
        </w:rPr>
        <w:t>R</w:t>
      </w:r>
      <w:r w:rsidR="006472AF" w:rsidRPr="00784F7F">
        <w:rPr>
          <w:i/>
          <w:iCs/>
        </w:rPr>
        <w:t xml:space="preserve">eiterates </w:t>
      </w:r>
      <w:r w:rsidR="006472AF">
        <w:t>the</w:t>
      </w:r>
      <w:r w:rsidR="006472AF" w:rsidRPr="0001026B">
        <w:t xml:space="preserve"> request</w:t>
      </w:r>
      <w:r w:rsidR="006472AF">
        <w:rPr>
          <w:rStyle w:val="FootnoteReference"/>
        </w:rPr>
        <w:footnoteReference w:id="33"/>
      </w:r>
      <w:r w:rsidR="006472AF" w:rsidRPr="000E41D7">
        <w:t xml:space="preserve"> to the Executive Secretary to provide the host country with technical support and guidance on UNFCCC policies and requirements, taking into account any issues raised by Parties regarding the organization of sessions, and to report back regularly to the Bureau of the governing bodies;</w:t>
      </w:r>
    </w:p>
    <w:p w14:paraId="46F6696B" w14:textId="0F73569B" w:rsidR="006472AF" w:rsidRPr="00624738" w:rsidRDefault="00804401" w:rsidP="00804401">
      <w:pPr>
        <w:pStyle w:val="RegHChG"/>
        <w:numPr>
          <w:ilvl w:val="0"/>
          <w:numId w:val="0"/>
        </w:numPr>
        <w:tabs>
          <w:tab w:val="left" w:pos="1135"/>
        </w:tabs>
        <w:spacing w:before="300"/>
        <w:ind w:left="1135" w:hanging="454"/>
      </w:pPr>
      <w:r w:rsidRPr="00624738">
        <w:t>II.</w:t>
      </w:r>
      <w:r w:rsidRPr="00624738">
        <w:tab/>
      </w:r>
      <w:r w:rsidR="006472AF" w:rsidRPr="00784F7F">
        <w:t>2026</w:t>
      </w:r>
    </w:p>
    <w:p w14:paraId="7636FB1F" w14:textId="2142819E" w:rsidR="006472AF" w:rsidRPr="00CB6C1E" w:rsidRDefault="00804401" w:rsidP="00804401">
      <w:pPr>
        <w:pStyle w:val="RegSingleTxtG"/>
        <w:numPr>
          <w:ilvl w:val="0"/>
          <w:numId w:val="0"/>
        </w:numPr>
        <w:ind w:left="1134"/>
        <w:rPr>
          <w:lang w:val="en-US"/>
        </w:rPr>
      </w:pPr>
      <w:bookmarkStart w:id="24" w:name="_Ref176248204"/>
      <w:bookmarkStart w:id="25" w:name="_Ref180747065"/>
      <w:r w:rsidRPr="00CB6C1E">
        <w:rPr>
          <w:bCs/>
          <w:lang w:val="en-US"/>
        </w:rPr>
        <w:t>4.</w:t>
      </w:r>
      <w:r w:rsidRPr="00CB6C1E">
        <w:rPr>
          <w:bCs/>
          <w:lang w:val="en-US"/>
        </w:rPr>
        <w:tab/>
      </w:r>
      <w:r w:rsidR="006472AF" w:rsidRPr="00341523">
        <w:rPr>
          <w:i/>
          <w:iCs/>
        </w:rPr>
        <w:t>Notes</w:t>
      </w:r>
      <w:r w:rsidR="006472AF" w:rsidRPr="000E41D7">
        <w:t xml:space="preserve"> that, in keeping with the principle of rotation among the United Nations regional groups, the President of the thirty-first session of the Conference of the Parties, the twenty-first session of the Conference of the Parties serving as the meeting of the Parties to the Kyoto Protocol and the eighth session of the Conference of the Parties serving as the meeting of the Parties to the Paris Agreement would come from the Western European and other States;</w:t>
      </w:r>
      <w:bookmarkEnd w:id="24"/>
      <w:bookmarkEnd w:id="25"/>
    </w:p>
    <w:p w14:paraId="364CB884" w14:textId="3721A84E" w:rsidR="006472AF" w:rsidRDefault="00804401" w:rsidP="00804401">
      <w:pPr>
        <w:pStyle w:val="RegSingleTxtG"/>
        <w:numPr>
          <w:ilvl w:val="0"/>
          <w:numId w:val="0"/>
        </w:numPr>
        <w:ind w:left="1134"/>
      </w:pPr>
      <w:r>
        <w:rPr>
          <w:bCs/>
        </w:rPr>
        <w:t>5.</w:t>
      </w:r>
      <w:r>
        <w:rPr>
          <w:bCs/>
        </w:rPr>
        <w:tab/>
      </w:r>
      <w:r w:rsidR="006472AF" w:rsidRPr="00A21992">
        <w:rPr>
          <w:i/>
          <w:iCs/>
        </w:rPr>
        <w:t>Invites</w:t>
      </w:r>
      <w:r w:rsidR="006472AF" w:rsidRPr="000E41D7">
        <w:t xml:space="preserve"> Parties to come forward with offers to host the sessions referred to in paragraph</w:t>
      </w:r>
      <w:r w:rsidR="006472AF">
        <w:t> 4 above</w:t>
      </w:r>
      <w:r w:rsidR="006472AF" w:rsidRPr="000E41D7">
        <w:t xml:space="preserve">, which will be held from Monday, 9 November, to Friday, 20 November 2026, </w:t>
      </w:r>
      <w:r w:rsidR="006472AF" w:rsidRPr="007C782D">
        <w:t xml:space="preserve">recalling that the Subsidiary Body for Implementation urged the Western European and other States to accelerate their consultations with a view to presenting an offer to host the sessions referred to in paragraph </w:t>
      </w:r>
      <w:r w:rsidR="006472AF">
        <w:t>4</w:t>
      </w:r>
      <w:r w:rsidR="006472AF" w:rsidRPr="007C782D">
        <w:t xml:space="preserve"> above as soon as possible and no later than at its sixty</w:t>
      </w:r>
      <w:r w:rsidR="006472AF">
        <w:noBreakHyphen/>
      </w:r>
      <w:r w:rsidR="006472AF" w:rsidRPr="007C782D">
        <w:t>second session (June 2025) in order to facilitate timely planning,</w:t>
      </w:r>
      <w:r w:rsidR="006472AF" w:rsidRPr="007C782D">
        <w:rPr>
          <w:rStyle w:val="FootnoteReference"/>
        </w:rPr>
        <w:footnoteReference w:id="34"/>
      </w:r>
      <w:r w:rsidR="006472AF" w:rsidRPr="007C782D">
        <w:t xml:space="preserve"> and </w:t>
      </w:r>
      <w:r w:rsidR="006472AF" w:rsidRPr="000E41D7">
        <w:t>noting the logistical and financial risks associated with delays in selecting a host country and the need for the secretariat to conduct fact-finding missions to the host country in a timely manner;</w:t>
      </w:r>
    </w:p>
    <w:p w14:paraId="384F7B4B" w14:textId="482E6691" w:rsidR="006472AF" w:rsidRPr="00BB1BEF" w:rsidRDefault="00804401" w:rsidP="00804401">
      <w:pPr>
        <w:pStyle w:val="RegSingleTxtG"/>
        <w:numPr>
          <w:ilvl w:val="0"/>
          <w:numId w:val="0"/>
        </w:numPr>
        <w:ind w:left="1134"/>
      </w:pPr>
      <w:r w:rsidRPr="00BB1BEF">
        <w:rPr>
          <w:bCs/>
        </w:rPr>
        <w:t>6.</w:t>
      </w:r>
      <w:r w:rsidRPr="00BB1BEF">
        <w:rPr>
          <w:bCs/>
        </w:rPr>
        <w:tab/>
      </w:r>
      <w:r w:rsidR="006472AF" w:rsidRPr="00BB1BEF">
        <w:rPr>
          <w:i/>
          <w:iCs/>
        </w:rPr>
        <w:t>Requests</w:t>
      </w:r>
      <w:r w:rsidR="006472AF" w:rsidRPr="00BB1BEF">
        <w:t xml:space="preserve"> the Subsidiary Body for Implementation, at its sixty-second session, to consider the issue of the host of the sessions referred to in paragraph </w:t>
      </w:r>
      <w:r w:rsidR="006472AF" w:rsidRPr="00BB1BEF">
        <w:rPr>
          <w:cs/>
        </w:rPr>
        <w:t>‎</w:t>
      </w:r>
      <w:r w:rsidR="006472AF" w:rsidRPr="00BB1BEF">
        <w:t xml:space="preserve">4 above and to </w:t>
      </w:r>
      <w:r w:rsidR="006472AF" w:rsidRPr="00BB1BEF">
        <w:lastRenderedPageBreak/>
        <w:t>recommend a draft decision on the matter for consideration and adoption by the Conference of the Parties at its thirtieth session.</w:t>
      </w:r>
    </w:p>
    <w:p w14:paraId="5C39AFD4" w14:textId="08232AD2" w:rsidR="006472AF" w:rsidRPr="00C7352D" w:rsidRDefault="00804401" w:rsidP="00804401">
      <w:pPr>
        <w:pStyle w:val="RegHChG"/>
        <w:numPr>
          <w:ilvl w:val="0"/>
          <w:numId w:val="0"/>
        </w:numPr>
        <w:tabs>
          <w:tab w:val="left" w:pos="1135"/>
        </w:tabs>
        <w:spacing w:before="300"/>
        <w:ind w:left="1135" w:hanging="454"/>
      </w:pPr>
      <w:r w:rsidRPr="00C7352D">
        <w:t>III.</w:t>
      </w:r>
      <w:r w:rsidRPr="00C7352D">
        <w:tab/>
      </w:r>
      <w:r w:rsidR="006472AF" w:rsidRPr="00A21992">
        <w:t>2027</w:t>
      </w:r>
    </w:p>
    <w:p w14:paraId="2C1B5213" w14:textId="01D29ECF" w:rsidR="006472AF" w:rsidRDefault="00804401" w:rsidP="00804401">
      <w:pPr>
        <w:pStyle w:val="RegSingleTxtG"/>
        <w:numPr>
          <w:ilvl w:val="0"/>
          <w:numId w:val="0"/>
        </w:numPr>
        <w:ind w:left="1134"/>
      </w:pPr>
      <w:bookmarkStart w:id="26" w:name="_Ref175932002"/>
      <w:r>
        <w:rPr>
          <w:bCs/>
        </w:rPr>
        <w:t>7.</w:t>
      </w:r>
      <w:r>
        <w:rPr>
          <w:bCs/>
        </w:rPr>
        <w:tab/>
      </w:r>
      <w:r w:rsidR="006472AF" w:rsidRPr="0027314A">
        <w:rPr>
          <w:i/>
          <w:iCs/>
        </w:rPr>
        <w:t>Notes</w:t>
      </w:r>
      <w:r w:rsidR="006472AF" w:rsidRPr="000E41D7">
        <w:t xml:space="preserve"> that, in keeping with the principle of rotation among the United Nations regional groups, the President of the thirty-second session of the Conference of the Parties, the twenty</w:t>
      </w:r>
      <w:r w:rsidR="006472AF">
        <w:noBreakHyphen/>
      </w:r>
      <w:r w:rsidR="006472AF" w:rsidRPr="000E41D7">
        <w:t>second session of the Conference of the Parties serving as the meeting of the Parties to the Kyoto Protocol and the ninth session of the Conference of the Parties serving as the meeting of the Parties to the Paris Agreement would come from the African States;</w:t>
      </w:r>
      <w:bookmarkStart w:id="27" w:name="_Ref175931909"/>
      <w:bookmarkEnd w:id="26"/>
    </w:p>
    <w:p w14:paraId="2F28789F" w14:textId="01CBC85F" w:rsidR="006472AF" w:rsidRPr="005D41E0" w:rsidRDefault="00804401" w:rsidP="00804401">
      <w:pPr>
        <w:pStyle w:val="RegSingleTxtG"/>
        <w:numPr>
          <w:ilvl w:val="0"/>
          <w:numId w:val="0"/>
        </w:numPr>
        <w:ind w:left="1134"/>
        <w:rPr>
          <w:spacing w:val="-2"/>
        </w:rPr>
      </w:pPr>
      <w:r w:rsidRPr="005D41E0">
        <w:rPr>
          <w:bCs/>
          <w:spacing w:val="-2"/>
        </w:rPr>
        <w:t>8.</w:t>
      </w:r>
      <w:r w:rsidRPr="005D41E0">
        <w:rPr>
          <w:bCs/>
          <w:spacing w:val="-2"/>
        </w:rPr>
        <w:tab/>
      </w:r>
      <w:r w:rsidR="006472AF" w:rsidRPr="005D41E0">
        <w:rPr>
          <w:i/>
          <w:iCs/>
          <w:spacing w:val="-2"/>
        </w:rPr>
        <w:t>Invites</w:t>
      </w:r>
      <w:r w:rsidR="006472AF" w:rsidRPr="005D41E0">
        <w:rPr>
          <w:spacing w:val="-2"/>
        </w:rPr>
        <w:t xml:space="preserve"> Parties to come forward with offers to host the sessions referred to in paragraph</w:t>
      </w:r>
      <w:r w:rsidR="006472AF">
        <w:rPr>
          <w:spacing w:val="-2"/>
        </w:rPr>
        <w:t> </w:t>
      </w:r>
      <w:r w:rsidR="006472AF" w:rsidRPr="005D41E0">
        <w:rPr>
          <w:spacing w:val="-2"/>
        </w:rPr>
        <w:t>7 above, which will be held from Monday, 8 November, to Friday, 19 November 2027, noting the logistical and financial risks associated with delays in selecting a host country and the need for the secretariat to conduct fact-finding missions to the host country in a timely manner;</w:t>
      </w:r>
      <w:bookmarkEnd w:id="27"/>
    </w:p>
    <w:p w14:paraId="3EA83DCF" w14:textId="0B100CE8" w:rsidR="006472AF" w:rsidRPr="000E41D7" w:rsidRDefault="00804401" w:rsidP="00804401">
      <w:pPr>
        <w:pStyle w:val="RegSingleTxtG"/>
        <w:numPr>
          <w:ilvl w:val="0"/>
          <w:numId w:val="0"/>
        </w:numPr>
        <w:ind w:left="1134"/>
      </w:pPr>
      <w:r w:rsidRPr="000E41D7">
        <w:rPr>
          <w:bCs/>
        </w:rPr>
        <w:t>9.</w:t>
      </w:r>
      <w:r w:rsidRPr="000E41D7">
        <w:rPr>
          <w:bCs/>
        </w:rPr>
        <w:tab/>
      </w:r>
      <w:r w:rsidR="006472AF" w:rsidRPr="0027314A">
        <w:rPr>
          <w:i/>
          <w:iCs/>
        </w:rPr>
        <w:t>Requests</w:t>
      </w:r>
      <w:r w:rsidR="006472AF" w:rsidRPr="000E41D7">
        <w:t xml:space="preserve"> the Subsidiary Body for Implementation, at its sixty-second session, to consider the issue of the host of the sessions referred to in paragraph </w:t>
      </w:r>
      <w:r w:rsidR="006472AF">
        <w:rPr>
          <w:cs/>
        </w:rPr>
        <w:t>‎</w:t>
      </w:r>
      <w:r w:rsidR="006472AF">
        <w:t>7 above</w:t>
      </w:r>
      <w:r w:rsidR="006472AF" w:rsidRPr="000E41D7">
        <w:t xml:space="preserve"> and to recommend a draft decision on the matter for consideration and adoption by the Conference of the Parties at its thirtieth session</w:t>
      </w:r>
      <w:r w:rsidR="006472AF">
        <w:t>;</w:t>
      </w:r>
    </w:p>
    <w:p w14:paraId="57580411" w14:textId="1F29362D" w:rsidR="006472AF" w:rsidRPr="000E41D7" w:rsidRDefault="00804401" w:rsidP="00804401">
      <w:pPr>
        <w:pStyle w:val="RegHChG"/>
        <w:numPr>
          <w:ilvl w:val="0"/>
          <w:numId w:val="0"/>
        </w:numPr>
        <w:tabs>
          <w:tab w:val="left" w:pos="1135"/>
        </w:tabs>
        <w:spacing w:before="300"/>
        <w:ind w:left="1135" w:hanging="454"/>
      </w:pPr>
      <w:r w:rsidRPr="000E41D7">
        <w:t>IV.</w:t>
      </w:r>
      <w:r w:rsidRPr="000E41D7">
        <w:tab/>
      </w:r>
      <w:r w:rsidR="006472AF" w:rsidRPr="000E41D7">
        <w:t>Calendar of meetings of the Convention, Kyoto Protocol and Paris Agreement bodies</w:t>
      </w:r>
    </w:p>
    <w:p w14:paraId="66A0E028" w14:textId="3E069FB2" w:rsidR="006472AF" w:rsidRDefault="00804401" w:rsidP="00804401">
      <w:pPr>
        <w:pStyle w:val="RegSingleTxtG"/>
        <w:numPr>
          <w:ilvl w:val="0"/>
          <w:numId w:val="0"/>
        </w:numPr>
        <w:ind w:left="1134"/>
      </w:pPr>
      <w:r>
        <w:rPr>
          <w:bCs/>
        </w:rPr>
        <w:t>10.</w:t>
      </w:r>
      <w:r>
        <w:rPr>
          <w:bCs/>
        </w:rPr>
        <w:tab/>
      </w:r>
      <w:r w:rsidR="006472AF" w:rsidRPr="00353040">
        <w:rPr>
          <w:i/>
          <w:iCs/>
        </w:rPr>
        <w:t>Adopts</w:t>
      </w:r>
      <w:r w:rsidR="006472AF" w:rsidRPr="000E41D7">
        <w:t xml:space="preserve"> the following dates for the sessional periods in 2028:</w:t>
      </w:r>
    </w:p>
    <w:p w14:paraId="44C45285" w14:textId="07EA2E80" w:rsidR="006472AF" w:rsidRDefault="00804401" w:rsidP="00804401">
      <w:pPr>
        <w:pStyle w:val="RegSingleTxtG2"/>
        <w:numPr>
          <w:ilvl w:val="0"/>
          <w:numId w:val="0"/>
        </w:numPr>
        <w:ind w:left="1134" w:firstLine="567"/>
      </w:pPr>
      <w:r>
        <w:rPr>
          <w:szCs w:val="28"/>
        </w:rPr>
        <w:t>(a)</w:t>
      </w:r>
      <w:r>
        <w:rPr>
          <w:szCs w:val="28"/>
        </w:rPr>
        <w:tab/>
      </w:r>
      <w:r w:rsidR="006472AF" w:rsidRPr="000E41D7">
        <w:t>First sessional period: Monday, 5 June, to Thursday, 15 June</w:t>
      </w:r>
      <w:r w:rsidR="006472AF">
        <w:t>;</w:t>
      </w:r>
    </w:p>
    <w:p w14:paraId="3A9E990D" w14:textId="404A92B0" w:rsidR="006472AF" w:rsidRPr="000E41D7" w:rsidRDefault="00804401" w:rsidP="00804401">
      <w:pPr>
        <w:pStyle w:val="RegSingleTxtG2"/>
        <w:numPr>
          <w:ilvl w:val="0"/>
          <w:numId w:val="0"/>
        </w:numPr>
        <w:ind w:left="1134" w:firstLine="567"/>
      </w:pPr>
      <w:r w:rsidRPr="000E41D7">
        <w:rPr>
          <w:szCs w:val="28"/>
        </w:rPr>
        <w:t>(b)</w:t>
      </w:r>
      <w:r w:rsidRPr="000E41D7">
        <w:rPr>
          <w:szCs w:val="28"/>
        </w:rPr>
        <w:tab/>
      </w:r>
      <w:r w:rsidR="006472AF" w:rsidRPr="000E41D7">
        <w:t>Second sessional period: Monday, 6 November, to Friday, 17 November</w:t>
      </w:r>
      <w:r w:rsidR="006472AF">
        <w:t>;</w:t>
      </w:r>
    </w:p>
    <w:p w14:paraId="71624E4D" w14:textId="34B28950" w:rsidR="006472AF" w:rsidRDefault="00804401" w:rsidP="00804401">
      <w:pPr>
        <w:pStyle w:val="RegSingleTxtG"/>
        <w:numPr>
          <w:ilvl w:val="0"/>
          <w:numId w:val="0"/>
        </w:numPr>
        <w:ind w:left="1134"/>
      </w:pPr>
      <w:r>
        <w:rPr>
          <w:bCs/>
        </w:rPr>
        <w:t>11.</w:t>
      </w:r>
      <w:r>
        <w:rPr>
          <w:bCs/>
        </w:rPr>
        <w:tab/>
      </w:r>
      <w:r w:rsidR="006472AF" w:rsidRPr="00B411D6">
        <w:rPr>
          <w:i/>
          <w:iCs/>
        </w:rPr>
        <w:t>Also adopts</w:t>
      </w:r>
      <w:r w:rsidR="006472AF" w:rsidRPr="000E41D7">
        <w:t xml:space="preserve"> the following dates for the sessional periods in 2029:</w:t>
      </w:r>
    </w:p>
    <w:p w14:paraId="72E2E75F" w14:textId="1C1A36BC" w:rsidR="006472AF" w:rsidRDefault="00804401" w:rsidP="00804401">
      <w:pPr>
        <w:pStyle w:val="RegSingleTxtG2"/>
        <w:numPr>
          <w:ilvl w:val="0"/>
          <w:numId w:val="0"/>
        </w:numPr>
        <w:ind w:left="1134" w:firstLine="567"/>
      </w:pPr>
      <w:r>
        <w:rPr>
          <w:szCs w:val="28"/>
        </w:rPr>
        <w:t>(a)</w:t>
      </w:r>
      <w:r>
        <w:rPr>
          <w:szCs w:val="28"/>
        </w:rPr>
        <w:tab/>
      </w:r>
      <w:r w:rsidR="006472AF" w:rsidRPr="000E41D7">
        <w:t>First sessional period: Monday, 4 June, to Thursday, 14 June;</w:t>
      </w:r>
    </w:p>
    <w:p w14:paraId="3FC3C54B" w14:textId="3B753FB8" w:rsidR="006472AF" w:rsidRDefault="00804401" w:rsidP="00804401">
      <w:pPr>
        <w:pStyle w:val="RegSingleTxtG2"/>
        <w:numPr>
          <w:ilvl w:val="0"/>
          <w:numId w:val="0"/>
        </w:numPr>
        <w:ind w:left="1134" w:firstLine="567"/>
      </w:pPr>
      <w:r>
        <w:rPr>
          <w:szCs w:val="28"/>
        </w:rPr>
        <w:t>(b)</w:t>
      </w:r>
      <w:r>
        <w:rPr>
          <w:szCs w:val="28"/>
        </w:rPr>
        <w:tab/>
      </w:r>
      <w:r w:rsidR="006472AF" w:rsidRPr="000E41D7">
        <w:t>Second sessional period: Monday, 5 November, to Friday, 16 November</w:t>
      </w:r>
      <w:r w:rsidR="006472AF">
        <w:t>.</w:t>
      </w:r>
    </w:p>
    <w:p w14:paraId="0FC17394" w14:textId="138DF42D" w:rsidR="006472AF" w:rsidRPr="006472AF" w:rsidRDefault="001224BD" w:rsidP="006472AF">
      <w:pPr>
        <w:pStyle w:val="RegSingleTxtG2"/>
        <w:numPr>
          <w:ilvl w:val="0"/>
          <w:numId w:val="0"/>
        </w:numPr>
        <w:spacing w:after="0"/>
        <w:ind w:left="1701"/>
        <w:jc w:val="right"/>
        <w:rPr>
          <w:i/>
          <w:iCs/>
        </w:rPr>
      </w:pPr>
      <w:r>
        <w:rPr>
          <w:i/>
          <w:iCs/>
        </w:rPr>
        <w:t>11</w:t>
      </w:r>
      <w:r w:rsidRPr="001224BD">
        <w:rPr>
          <w:i/>
          <w:iCs/>
          <w:vertAlign w:val="superscript"/>
        </w:rPr>
        <w:t>th</w:t>
      </w:r>
      <w:r>
        <w:rPr>
          <w:i/>
          <w:iCs/>
        </w:rPr>
        <w:t xml:space="preserve"> </w:t>
      </w:r>
      <w:r w:rsidR="006472AF" w:rsidRPr="006472AF">
        <w:rPr>
          <w:i/>
          <w:iCs/>
        </w:rPr>
        <w:t>plenary meeting</w:t>
      </w:r>
    </w:p>
    <w:p w14:paraId="2BE6C65B" w14:textId="10668B83" w:rsidR="006472AF" w:rsidRPr="006472AF" w:rsidRDefault="001224BD" w:rsidP="006472AF">
      <w:pPr>
        <w:pStyle w:val="RegSingleTxtG2"/>
        <w:numPr>
          <w:ilvl w:val="0"/>
          <w:numId w:val="0"/>
        </w:numPr>
        <w:spacing w:after="0"/>
        <w:ind w:left="1701"/>
        <w:jc w:val="right"/>
        <w:rPr>
          <w:i/>
          <w:iCs/>
        </w:rPr>
      </w:pPr>
      <w:r>
        <w:rPr>
          <w:i/>
          <w:iCs/>
        </w:rPr>
        <w:t>23</w:t>
      </w:r>
      <w:r w:rsidR="006472AF" w:rsidRPr="006472AF">
        <w:rPr>
          <w:i/>
          <w:iCs/>
        </w:rPr>
        <w:t xml:space="preserve"> November 2024</w:t>
      </w:r>
    </w:p>
    <w:p w14:paraId="555CA85F" w14:textId="77777777" w:rsidR="00E15F4F" w:rsidRDefault="00E15F4F" w:rsidP="00804401">
      <w:pPr>
        <w:pStyle w:val="RegHChG"/>
        <w:numPr>
          <w:ilvl w:val="0"/>
          <w:numId w:val="0"/>
        </w:numPr>
        <w:ind w:left="1135" w:hanging="454"/>
      </w:pPr>
    </w:p>
    <w:p w14:paraId="5EB422EB" w14:textId="5CEAEC39" w:rsidR="00E15F4F" w:rsidRDefault="00804401" w:rsidP="00804401">
      <w:pPr>
        <w:pStyle w:val="RegHChG"/>
        <w:numPr>
          <w:ilvl w:val="0"/>
          <w:numId w:val="0"/>
        </w:numPr>
        <w:tabs>
          <w:tab w:val="left" w:pos="1135"/>
        </w:tabs>
        <w:ind w:left="1135" w:hanging="454"/>
        <w:sectPr w:rsidR="00E15F4F" w:rsidSect="00E56563">
          <w:headerReference w:type="even" r:id="rId145"/>
          <w:headerReference w:type="default" r:id="rId146"/>
          <w:footerReference w:type="even" r:id="rId147"/>
          <w:footerReference w:type="default" r:id="rId148"/>
          <w:footnotePr>
            <w:numRestart w:val="eachSect"/>
          </w:footnotePr>
          <w:pgSz w:w="11906" w:h="16838" w:code="9"/>
          <w:pgMar w:top="1417" w:right="1134" w:bottom="1134" w:left="1134" w:header="850" w:footer="567" w:gutter="0"/>
          <w:cols w:space="708"/>
          <w:docGrid w:linePitch="360"/>
        </w:sectPr>
      </w:pPr>
      <w:r>
        <w:t>I.</w:t>
      </w:r>
      <w:r>
        <w:tab/>
      </w:r>
    </w:p>
    <w:p w14:paraId="6054A44C" w14:textId="7BBD6F44" w:rsidR="00E15F4F" w:rsidRDefault="00E15F4F" w:rsidP="00804401">
      <w:pPr>
        <w:pStyle w:val="RegHChG"/>
        <w:numPr>
          <w:ilvl w:val="0"/>
          <w:numId w:val="0"/>
        </w:numPr>
        <w:ind w:left="1135" w:hanging="454"/>
      </w:pPr>
      <w:bookmarkStart w:id="28" w:name="CP20"/>
      <w:r>
        <w:lastRenderedPageBreak/>
        <w:t>Decision 20/CP.29</w:t>
      </w:r>
    </w:p>
    <w:bookmarkEnd w:id="28"/>
    <w:p w14:paraId="23382C67" w14:textId="77777777" w:rsidR="00EF3C0A" w:rsidRPr="0052165A" w:rsidRDefault="00EF3C0A" w:rsidP="00EF3C0A">
      <w:pPr>
        <w:keepNext/>
        <w:keepLines/>
        <w:tabs>
          <w:tab w:val="right" w:pos="851"/>
        </w:tabs>
        <w:spacing w:before="360" w:after="240" w:line="300" w:lineRule="exact"/>
        <w:ind w:left="1134" w:right="1134"/>
        <w:rPr>
          <w:b/>
          <w:sz w:val="28"/>
        </w:rPr>
      </w:pPr>
      <w:r w:rsidRPr="0052165A">
        <w:rPr>
          <w:b/>
          <w:sz w:val="28"/>
        </w:rPr>
        <w:t>Administrative, financial and institutional matters</w:t>
      </w:r>
    </w:p>
    <w:p w14:paraId="3D0C3DFD" w14:textId="77777777" w:rsidR="00EF3C0A" w:rsidRPr="0052165A" w:rsidRDefault="00EF3C0A" w:rsidP="00EF3C0A">
      <w:pPr>
        <w:spacing w:before="120"/>
        <w:ind w:left="1134" w:right="1174" w:firstLine="567"/>
        <w:jc w:val="both"/>
        <w:rPr>
          <w:i/>
        </w:rPr>
      </w:pPr>
      <w:r w:rsidRPr="0052165A">
        <w:rPr>
          <w:i/>
        </w:rPr>
        <w:t>The Conference of the Parties</w:t>
      </w:r>
      <w:r w:rsidRPr="0052165A">
        <w:t>,</w:t>
      </w:r>
    </w:p>
    <w:p w14:paraId="19B2F332" w14:textId="77777777" w:rsidR="00EF3C0A" w:rsidRDefault="00EF3C0A" w:rsidP="00EF3C0A">
      <w:pPr>
        <w:spacing w:before="120"/>
        <w:ind w:left="1134" w:right="1174" w:firstLine="567"/>
        <w:jc w:val="both"/>
      </w:pPr>
      <w:r w:rsidRPr="0052165A">
        <w:rPr>
          <w:i/>
        </w:rPr>
        <w:t xml:space="preserve">Recalling </w:t>
      </w:r>
      <w:r w:rsidRPr="0052165A">
        <w:t xml:space="preserve">the </w:t>
      </w:r>
      <w:r w:rsidRPr="00F91240">
        <w:t xml:space="preserve">UNFCCC </w:t>
      </w:r>
      <w:r w:rsidRPr="0052165A">
        <w:t>financial procedures,</w:t>
      </w:r>
      <w:r>
        <w:rPr>
          <w:rStyle w:val="FootnoteReference"/>
        </w:rPr>
        <w:footnoteReference w:id="35"/>
      </w:r>
    </w:p>
    <w:p w14:paraId="0128884E" w14:textId="64686AB3" w:rsidR="00EF3C0A" w:rsidRPr="0052165A" w:rsidRDefault="00EF3C0A" w:rsidP="00EF3C0A">
      <w:pPr>
        <w:spacing w:before="120"/>
        <w:ind w:left="1134" w:right="1174" w:firstLine="567"/>
        <w:jc w:val="both"/>
      </w:pPr>
      <w:r>
        <w:rPr>
          <w:i/>
        </w:rPr>
        <w:t xml:space="preserve">Also recalling </w:t>
      </w:r>
      <w:r w:rsidRPr="00CB241C">
        <w:rPr>
          <w:iCs/>
        </w:rPr>
        <w:t xml:space="preserve">decision </w:t>
      </w:r>
      <w:hyperlink r:id="rId149" w:history="1">
        <w:r w:rsidRPr="00303C6A">
          <w:rPr>
            <w:rStyle w:val="Hyperlink"/>
            <w:iCs/>
          </w:rPr>
          <w:t>19/CP.28</w:t>
        </w:r>
      </w:hyperlink>
      <w:r w:rsidRPr="00CB241C">
        <w:rPr>
          <w:iCs/>
        </w:rPr>
        <w:t>,</w:t>
      </w:r>
    </w:p>
    <w:p w14:paraId="0B01C239" w14:textId="77777777" w:rsidR="00EF3C0A" w:rsidRPr="00F91240" w:rsidRDefault="00EF3C0A" w:rsidP="00EF3C0A">
      <w:pPr>
        <w:spacing w:before="120" w:after="120"/>
        <w:ind w:left="1134" w:right="1174" w:firstLine="567"/>
        <w:jc w:val="both"/>
        <w:rPr>
          <w:rFonts w:eastAsia="Times New Roman"/>
          <w:lang w:eastAsia="en-US"/>
        </w:rPr>
      </w:pPr>
      <w:r w:rsidRPr="0052165A">
        <w:rPr>
          <w:i/>
        </w:rPr>
        <w:t>Having</w:t>
      </w:r>
      <w:r w:rsidRPr="00F91240">
        <w:rPr>
          <w:rFonts w:eastAsia="Times New Roman"/>
          <w:i/>
          <w:lang w:eastAsia="en-US"/>
        </w:rPr>
        <w:t xml:space="preserve"> </w:t>
      </w:r>
      <w:r w:rsidRPr="0052165A">
        <w:rPr>
          <w:i/>
        </w:rPr>
        <w:t>considered</w:t>
      </w:r>
      <w:r w:rsidRPr="00F91240">
        <w:rPr>
          <w:rFonts w:eastAsia="Times New Roman"/>
          <w:i/>
          <w:lang w:eastAsia="en-US"/>
        </w:rPr>
        <w:t xml:space="preserve"> </w:t>
      </w:r>
      <w:r w:rsidRPr="00F91240">
        <w:rPr>
          <w:rFonts w:eastAsia="Times New Roman"/>
          <w:lang w:eastAsia="en-US"/>
        </w:rPr>
        <w:t>the information in the documents prepared by the secretariat on administrative, financial and institutional matters,</w:t>
      </w:r>
      <w:r w:rsidRPr="00F91240">
        <w:rPr>
          <w:rStyle w:val="FootnoteReference"/>
          <w:rFonts w:eastAsia="Times New Roman"/>
          <w:lang w:eastAsia="en-US"/>
        </w:rPr>
        <w:footnoteReference w:id="36"/>
      </w:r>
    </w:p>
    <w:p w14:paraId="5D84CCCA" w14:textId="4A8B4BE2" w:rsidR="00EF3C0A" w:rsidRPr="00F604A1" w:rsidRDefault="00804401" w:rsidP="00804401">
      <w:pPr>
        <w:pStyle w:val="RegSingleTxtG"/>
        <w:numPr>
          <w:ilvl w:val="0"/>
          <w:numId w:val="0"/>
        </w:numPr>
        <w:ind w:left="1134"/>
      </w:pPr>
      <w:r w:rsidRPr="00F604A1">
        <w:rPr>
          <w:bCs/>
        </w:rPr>
        <w:t>1.</w:t>
      </w:r>
      <w:r w:rsidRPr="00F604A1">
        <w:rPr>
          <w:bCs/>
        </w:rPr>
        <w:tab/>
      </w:r>
      <w:r w:rsidR="00EF3C0A" w:rsidRPr="00EF3C0A">
        <w:rPr>
          <w:i/>
          <w:iCs/>
        </w:rPr>
        <w:t xml:space="preserve">Encourages </w:t>
      </w:r>
      <w:r w:rsidR="00EF3C0A" w:rsidRPr="00F604A1">
        <w:t>the secretariat to refer to activities as mandated in the respective decisions within the relevant documents on administrative, financial and institutional matters, as appropriate;</w:t>
      </w:r>
    </w:p>
    <w:p w14:paraId="4AB13CAF" w14:textId="3D8FA3CA" w:rsidR="00EF3C0A" w:rsidRPr="00F604A1" w:rsidRDefault="00804401" w:rsidP="00804401">
      <w:pPr>
        <w:pStyle w:val="RegSingleTxtG"/>
        <w:numPr>
          <w:ilvl w:val="0"/>
          <w:numId w:val="0"/>
        </w:numPr>
        <w:ind w:left="1134"/>
      </w:pPr>
      <w:r w:rsidRPr="00F604A1">
        <w:rPr>
          <w:bCs/>
        </w:rPr>
        <w:t>2.</w:t>
      </w:r>
      <w:r w:rsidRPr="00F604A1">
        <w:rPr>
          <w:bCs/>
        </w:rPr>
        <w:tab/>
      </w:r>
      <w:r w:rsidR="00EF3C0A" w:rsidRPr="00F604A1">
        <w:rPr>
          <w:i/>
        </w:rPr>
        <w:t>Expresses appreciation</w:t>
      </w:r>
      <w:r w:rsidR="00EF3C0A" w:rsidRPr="00F604A1">
        <w:t xml:space="preserve"> to Parties that made contributions to the core budget in a timely manner;</w:t>
      </w:r>
    </w:p>
    <w:p w14:paraId="0C71D8E6" w14:textId="3B54C17D" w:rsidR="00EF3C0A" w:rsidRPr="00F604A1" w:rsidRDefault="00804401" w:rsidP="00804401">
      <w:pPr>
        <w:pStyle w:val="RegSingleTxtG"/>
        <w:numPr>
          <w:ilvl w:val="0"/>
          <w:numId w:val="0"/>
        </w:numPr>
        <w:ind w:left="1134"/>
      </w:pPr>
      <w:r w:rsidRPr="00F604A1">
        <w:rPr>
          <w:bCs/>
        </w:rPr>
        <w:t>3.</w:t>
      </w:r>
      <w:r w:rsidRPr="00F604A1">
        <w:rPr>
          <w:bCs/>
        </w:rPr>
        <w:tab/>
      </w:r>
      <w:r w:rsidR="00EF3C0A" w:rsidRPr="00F604A1">
        <w:rPr>
          <w:i/>
        </w:rPr>
        <w:t>Strongly urges</w:t>
      </w:r>
      <w:r w:rsidR="00EF3C0A" w:rsidRPr="00F604A1">
        <w:t xml:space="preserve"> Parties that have not made contributions in full to the core budget for the current and/or previous bienniums to do so without further delay and </w:t>
      </w:r>
      <w:r w:rsidR="00EF3C0A" w:rsidRPr="00F604A1">
        <w:rPr>
          <w:i/>
        </w:rPr>
        <w:t>expresses concern</w:t>
      </w:r>
      <w:r w:rsidR="00EF3C0A" w:rsidRPr="00F604A1">
        <w:t xml:space="preserve"> regarding the high level of outstanding contributions to the core budget for the current and previous bienniums, which has resulted in difficulties with both cash flow and the effective implementation of activities;</w:t>
      </w:r>
    </w:p>
    <w:p w14:paraId="069AA26F" w14:textId="4758F8FC" w:rsidR="00EF3C0A" w:rsidRDefault="00804401" w:rsidP="00804401">
      <w:pPr>
        <w:pStyle w:val="RegSingleTxtG"/>
        <w:numPr>
          <w:ilvl w:val="0"/>
          <w:numId w:val="0"/>
        </w:numPr>
        <w:ind w:left="1134"/>
      </w:pPr>
      <w:r>
        <w:rPr>
          <w:bCs/>
        </w:rPr>
        <w:t>4.</w:t>
      </w:r>
      <w:r>
        <w:rPr>
          <w:bCs/>
        </w:rPr>
        <w:tab/>
      </w:r>
      <w:r w:rsidR="00CF4559">
        <w:rPr>
          <w:i/>
          <w:iCs/>
        </w:rPr>
        <w:t>Also e</w:t>
      </w:r>
      <w:r w:rsidR="00EF3C0A" w:rsidRPr="006041E2">
        <w:rPr>
          <w:i/>
          <w:iCs/>
        </w:rPr>
        <w:t>xpresses</w:t>
      </w:r>
      <w:r w:rsidR="00EF3C0A" w:rsidRPr="00F604A1">
        <w:t xml:space="preserve"> </w:t>
      </w:r>
      <w:r w:rsidR="00EF3C0A" w:rsidRPr="00F604A1">
        <w:rPr>
          <w:i/>
          <w:iCs/>
        </w:rPr>
        <w:t>concern</w:t>
      </w:r>
      <w:r w:rsidR="00EF3C0A" w:rsidRPr="00F604A1">
        <w:t xml:space="preserve"> about activities and events, such as the regional climate weeks, and implementation of tools, such as the virtual conference platform, that facilitate inclusive participation being cancelled</w:t>
      </w:r>
      <w:r w:rsidR="00EF3C0A" w:rsidRPr="00F604A1" w:rsidDel="00D90D97">
        <w:t xml:space="preserve"> due to the </w:t>
      </w:r>
      <w:r w:rsidR="00EF3C0A">
        <w:t>unpredictability</w:t>
      </w:r>
      <w:r w:rsidR="00EF3C0A" w:rsidRPr="00F604A1" w:rsidDel="00D90D97">
        <w:t xml:space="preserve"> in contributions to the trust fund for supplementary activities</w:t>
      </w:r>
      <w:r w:rsidR="00EF3C0A">
        <w:t>, while some elements of the secretariat work programme were substantially increased</w:t>
      </w:r>
      <w:r w:rsidR="00EF3C0A" w:rsidRPr="00F604A1">
        <w:t>;</w:t>
      </w:r>
    </w:p>
    <w:p w14:paraId="75563C9C" w14:textId="0C6CDCA2" w:rsidR="00EF3C0A" w:rsidRPr="004274D4" w:rsidRDefault="00804401" w:rsidP="00804401">
      <w:pPr>
        <w:pStyle w:val="RegSingleTxtG"/>
        <w:numPr>
          <w:ilvl w:val="0"/>
          <w:numId w:val="0"/>
        </w:numPr>
        <w:ind w:left="1134"/>
      </w:pPr>
      <w:r w:rsidRPr="004274D4">
        <w:rPr>
          <w:bCs/>
        </w:rPr>
        <w:t>5.</w:t>
      </w:r>
      <w:r w:rsidRPr="004274D4">
        <w:rPr>
          <w:bCs/>
        </w:rPr>
        <w:tab/>
      </w:r>
      <w:r w:rsidR="00EF3C0A" w:rsidRPr="004274D4">
        <w:rPr>
          <w:i/>
          <w:iCs/>
        </w:rPr>
        <w:t>Reiterates</w:t>
      </w:r>
      <w:r w:rsidR="00EF3C0A" w:rsidRPr="004274D4">
        <w:t xml:space="preserve"> that Parties </w:t>
      </w:r>
      <w:r w:rsidR="00EF3C0A">
        <w:t>will</w:t>
      </w:r>
      <w:r w:rsidR="00EF3C0A" w:rsidRPr="004274D4">
        <w:t xml:space="preserve"> seek to approve future core budgets that include all category 1 (essential) and 2 (long-term, recurring) activities that have been mandated by the Conference of the Parties and the Conference of the Parties serving as the meeting of the Parties to the Paris Agreement;</w:t>
      </w:r>
      <w:r w:rsidR="00EF3C0A" w:rsidRPr="00DC249E">
        <w:rPr>
          <w:sz w:val="18"/>
          <w:szCs w:val="18"/>
          <w:vertAlign w:val="superscript"/>
        </w:rPr>
        <w:footnoteReference w:id="37"/>
      </w:r>
    </w:p>
    <w:p w14:paraId="08602709" w14:textId="017BFB85" w:rsidR="00EF3C0A" w:rsidRPr="00F604A1" w:rsidRDefault="00804401" w:rsidP="00804401">
      <w:pPr>
        <w:pStyle w:val="RegSingleTxtG"/>
        <w:numPr>
          <w:ilvl w:val="0"/>
          <w:numId w:val="0"/>
        </w:numPr>
        <w:ind w:left="1134"/>
      </w:pPr>
      <w:r w:rsidRPr="00F604A1">
        <w:rPr>
          <w:bCs/>
        </w:rPr>
        <w:t>6.</w:t>
      </w:r>
      <w:r w:rsidRPr="00F604A1">
        <w:rPr>
          <w:bCs/>
        </w:rPr>
        <w:tab/>
      </w:r>
      <w:r w:rsidR="002008B0">
        <w:rPr>
          <w:i/>
          <w:iCs/>
        </w:rPr>
        <w:t>Also r</w:t>
      </w:r>
      <w:r w:rsidR="00EF3C0A">
        <w:rPr>
          <w:i/>
          <w:iCs/>
        </w:rPr>
        <w:t>eiterates</w:t>
      </w:r>
      <w:r w:rsidR="00EF3C0A" w:rsidRPr="006A1F1E">
        <w:rPr>
          <w:i/>
          <w:iCs/>
        </w:rPr>
        <w:t xml:space="preserve"> </w:t>
      </w:r>
      <w:r w:rsidR="00EF3C0A" w:rsidRPr="00040CD5">
        <w:t>that reducing earmarking and establishing longer and more flexible utilization periods would increase flexibility in using contributions to the Trust Fund for Supplementary Activities, which would enable the secretariat to allocate funding to the activities most in need of resources</w:t>
      </w:r>
      <w:r w:rsidR="002D5D98">
        <w:t>,</w:t>
      </w:r>
      <w:r w:rsidR="0084067A" w:rsidRPr="00DC249E">
        <w:rPr>
          <w:rStyle w:val="FootnoteReference"/>
        </w:rPr>
        <w:footnoteReference w:id="38"/>
      </w:r>
      <w:r w:rsidR="00EF3C0A">
        <w:t xml:space="preserve"> and </w:t>
      </w:r>
      <w:r w:rsidR="00EF3C0A" w:rsidRPr="00BB1BEF">
        <w:rPr>
          <w:i/>
          <w:iCs/>
        </w:rPr>
        <w:t>invites</w:t>
      </w:r>
      <w:r w:rsidR="00EF3C0A">
        <w:t xml:space="preserve"> those making contributions </w:t>
      </w:r>
      <w:r w:rsidR="00EF3C0A" w:rsidRPr="00040CD5">
        <w:t>to the Trust Fund for Supplementary Activities</w:t>
      </w:r>
      <w:r w:rsidR="00EF3C0A">
        <w:t xml:space="preserve"> to take this into account</w:t>
      </w:r>
      <w:r w:rsidR="00EF3C0A" w:rsidRPr="00DC249E">
        <w:t>;</w:t>
      </w:r>
    </w:p>
    <w:p w14:paraId="6BC62935" w14:textId="5538DCD0" w:rsidR="00EF3C0A" w:rsidRPr="00F604A1" w:rsidRDefault="00804401" w:rsidP="00804401">
      <w:pPr>
        <w:pStyle w:val="RegSingleTxtG"/>
        <w:numPr>
          <w:ilvl w:val="0"/>
          <w:numId w:val="0"/>
        </w:numPr>
        <w:ind w:left="1134"/>
      </w:pPr>
      <w:r w:rsidRPr="00F604A1">
        <w:rPr>
          <w:bCs/>
        </w:rPr>
        <w:t>7.</w:t>
      </w:r>
      <w:r w:rsidRPr="00F604A1">
        <w:rPr>
          <w:bCs/>
        </w:rPr>
        <w:tab/>
      </w:r>
      <w:r w:rsidR="00EF3C0A" w:rsidRPr="00F604A1">
        <w:rPr>
          <w:i/>
        </w:rPr>
        <w:t>Expresses appreciation</w:t>
      </w:r>
      <w:r w:rsidR="00EF3C0A" w:rsidRPr="00F604A1">
        <w:t xml:space="preserve"> for the contributions to the trust fund for participation in the UNFCCC process and the trust fund for supplementary activities received from Parties, including the contributions that allow for greater flexibility in allocation;</w:t>
      </w:r>
    </w:p>
    <w:p w14:paraId="2C27C526" w14:textId="06827115" w:rsidR="00EF3C0A" w:rsidRPr="00F604A1" w:rsidRDefault="00804401" w:rsidP="00804401">
      <w:pPr>
        <w:pStyle w:val="RegSingleTxtG"/>
        <w:numPr>
          <w:ilvl w:val="0"/>
          <w:numId w:val="0"/>
        </w:numPr>
        <w:ind w:left="1134"/>
      </w:pPr>
      <w:r w:rsidRPr="00F604A1">
        <w:rPr>
          <w:bCs/>
        </w:rPr>
        <w:t>8.</w:t>
      </w:r>
      <w:r w:rsidRPr="00F604A1">
        <w:rPr>
          <w:bCs/>
        </w:rPr>
        <w:tab/>
      </w:r>
      <w:r w:rsidR="00EF3C0A" w:rsidRPr="00F604A1">
        <w:rPr>
          <w:i/>
        </w:rPr>
        <w:t>Urges</w:t>
      </w:r>
      <w:r w:rsidR="00EF3C0A" w:rsidRPr="00F604A1">
        <w:t xml:space="preserve"> Parties to further contribute to the trust fund for participation in the UNFCCC process in order to ensure the widest possible participation in the process in 2024–2025, and to the trust fund for supplementary activities to ensure a high level of implementation of the secretariat work programme; </w:t>
      </w:r>
    </w:p>
    <w:p w14:paraId="0CC3160E" w14:textId="7F41485F" w:rsidR="00EF3C0A" w:rsidRPr="00F604A1" w:rsidRDefault="00804401" w:rsidP="00804401">
      <w:pPr>
        <w:pStyle w:val="RegSingleTxtG"/>
        <w:numPr>
          <w:ilvl w:val="0"/>
          <w:numId w:val="0"/>
        </w:numPr>
        <w:ind w:left="1134"/>
      </w:pPr>
      <w:r w:rsidRPr="00F604A1">
        <w:rPr>
          <w:bCs/>
        </w:rPr>
        <w:t>9.</w:t>
      </w:r>
      <w:r w:rsidRPr="00F604A1">
        <w:rPr>
          <w:bCs/>
        </w:rPr>
        <w:tab/>
      </w:r>
      <w:r w:rsidR="00EF3C0A" w:rsidRPr="00F604A1">
        <w:rPr>
          <w:i/>
        </w:rPr>
        <w:t>Reiterates appreciation</w:t>
      </w:r>
      <w:r w:rsidR="00EF3C0A" w:rsidRPr="00F604A1">
        <w:t xml:space="preserve"> to the Government of Germany for its annual voluntary contribution to the core budget of EUR 766,938 and its special contribution of EUR 1,789,522 as Host Government of the secretariat;</w:t>
      </w:r>
    </w:p>
    <w:p w14:paraId="3331C2FF" w14:textId="5DE6EDE5" w:rsidR="00EF3C0A" w:rsidRPr="00F604A1" w:rsidRDefault="00804401" w:rsidP="00804401">
      <w:pPr>
        <w:pStyle w:val="RegSingleTxtG"/>
        <w:numPr>
          <w:ilvl w:val="0"/>
          <w:numId w:val="0"/>
        </w:numPr>
        <w:ind w:left="1134"/>
      </w:pPr>
      <w:r w:rsidRPr="00F604A1">
        <w:rPr>
          <w:bCs/>
        </w:rPr>
        <w:t>10.</w:t>
      </w:r>
      <w:r w:rsidRPr="00F604A1">
        <w:rPr>
          <w:bCs/>
        </w:rPr>
        <w:tab/>
      </w:r>
      <w:r w:rsidR="00EF3C0A" w:rsidRPr="00F604A1">
        <w:rPr>
          <w:i/>
        </w:rPr>
        <w:t>Requests</w:t>
      </w:r>
      <w:r w:rsidR="00EF3C0A" w:rsidRPr="00F604A1">
        <w:t xml:space="preserve"> the Executive Secretary to </w:t>
      </w:r>
      <w:r w:rsidR="00EF3C0A">
        <w:t xml:space="preserve">continue </w:t>
      </w:r>
      <w:r w:rsidR="00EF3C0A" w:rsidRPr="00F604A1">
        <w:t>tak</w:t>
      </w:r>
      <w:r w:rsidR="00EF3C0A">
        <w:t>ing</w:t>
      </w:r>
      <w:r w:rsidR="00EF3C0A" w:rsidRPr="00F604A1">
        <w:t xml:space="preserve"> measures to recover Parties’ outstanding contributions to the core budget;</w:t>
      </w:r>
    </w:p>
    <w:p w14:paraId="1712750D" w14:textId="58AF734B" w:rsidR="00EF3C0A" w:rsidRPr="00F604A1" w:rsidRDefault="00804401" w:rsidP="00804401">
      <w:pPr>
        <w:pStyle w:val="RegSingleTxtG"/>
        <w:numPr>
          <w:ilvl w:val="0"/>
          <w:numId w:val="0"/>
        </w:numPr>
        <w:ind w:left="1134"/>
      </w:pPr>
      <w:r w:rsidRPr="00F604A1">
        <w:rPr>
          <w:bCs/>
        </w:rPr>
        <w:lastRenderedPageBreak/>
        <w:t>11.</w:t>
      </w:r>
      <w:r w:rsidRPr="00F604A1">
        <w:rPr>
          <w:bCs/>
        </w:rPr>
        <w:tab/>
      </w:r>
      <w:r w:rsidR="00EF3C0A" w:rsidRPr="00F604A1">
        <w:rPr>
          <w:i/>
          <w:iCs/>
        </w:rPr>
        <w:t>Also requests</w:t>
      </w:r>
      <w:r w:rsidR="00EF3C0A" w:rsidRPr="00F604A1">
        <w:t xml:space="preserve"> the secretariat to increase transparency regarding the reappropriation of portions of the core budget and of funding in the trust fund for supplementary activities;</w:t>
      </w:r>
    </w:p>
    <w:p w14:paraId="3A2120FB" w14:textId="4A772ABD" w:rsidR="00EF3C0A" w:rsidRPr="004274D4" w:rsidRDefault="00804401" w:rsidP="00804401">
      <w:pPr>
        <w:pStyle w:val="RegSingleTxtG"/>
        <w:numPr>
          <w:ilvl w:val="0"/>
          <w:numId w:val="0"/>
        </w:numPr>
        <w:ind w:left="1134"/>
      </w:pPr>
      <w:r w:rsidRPr="004274D4">
        <w:rPr>
          <w:bCs/>
        </w:rPr>
        <w:t>12.</w:t>
      </w:r>
      <w:r w:rsidRPr="004274D4">
        <w:rPr>
          <w:bCs/>
        </w:rPr>
        <w:tab/>
      </w:r>
      <w:r w:rsidR="00EF3C0A" w:rsidRPr="0126E759">
        <w:rPr>
          <w:i/>
          <w:iCs/>
        </w:rPr>
        <w:t>Further requests</w:t>
      </w:r>
      <w:r w:rsidR="00EF3C0A" w:rsidRPr="00F604A1">
        <w:t xml:space="preserve"> the secretariat to significantly improve the transparency of its budget management process, including by preparing quarterly reports on the extent to which the core and supplementary budgets are funded, starting in the first quarter of 2025 at the latest, and updating documents</w:t>
      </w:r>
      <w:r w:rsidR="00EF3C0A" w:rsidRPr="00F604A1" w:rsidDel="006E12EA">
        <w:t xml:space="preserve"> </w:t>
      </w:r>
      <w:hyperlink r:id="rId150" w:history="1">
        <w:r w:rsidR="00EF3C0A" w:rsidRPr="00317A70">
          <w:rPr>
            <w:rStyle w:val="Hyperlink"/>
          </w:rPr>
          <w:t>FCCC/SBI/2019/INF.4</w:t>
        </w:r>
      </w:hyperlink>
      <w:r w:rsidR="00EF3C0A" w:rsidRPr="00F604A1">
        <w:t xml:space="preserve"> and </w:t>
      </w:r>
      <w:hyperlink r:id="rId151" w:history="1">
        <w:r w:rsidR="00EF3C0A" w:rsidRPr="00B23140">
          <w:rPr>
            <w:rStyle w:val="Hyperlink"/>
          </w:rPr>
          <w:t>FCCC/SBI/2019/INF.</w:t>
        </w:r>
        <w:r w:rsidR="00EF3C0A">
          <w:t>12</w:t>
        </w:r>
      </w:hyperlink>
      <w:r w:rsidR="00EF3C0A" w:rsidRPr="00F604A1">
        <w:t xml:space="preserve"> </w:t>
      </w:r>
      <w:r w:rsidR="006E12EA">
        <w:t xml:space="preserve">and </w:t>
      </w:r>
      <w:hyperlink r:id="rId152" w:history="1">
        <w:r w:rsidR="0037653F" w:rsidRPr="00303C6A">
          <w:rPr>
            <w:rStyle w:val="Hyperlink"/>
          </w:rPr>
          <w:t>FCCC/SBI/2020/INF.3</w:t>
        </w:r>
      </w:hyperlink>
      <w:r w:rsidR="006E12EA">
        <w:t xml:space="preserve"> </w:t>
      </w:r>
      <w:r w:rsidR="00EF3C0A" w:rsidRPr="00F604A1">
        <w:t xml:space="preserve">for consideration </w:t>
      </w:r>
      <w:r w:rsidR="00200BD4">
        <w:t>by</w:t>
      </w:r>
      <w:r w:rsidR="00EF3C0A" w:rsidRPr="00F604A1">
        <w:t xml:space="preserve"> the Subsidiary Body for Implementation </w:t>
      </w:r>
      <w:r w:rsidR="002C53C0" w:rsidRPr="00F604A1">
        <w:t xml:space="preserve">at </w:t>
      </w:r>
      <w:r w:rsidR="002C53C0">
        <w:t>its</w:t>
      </w:r>
      <w:r w:rsidR="002C53C0" w:rsidRPr="00F604A1">
        <w:t xml:space="preserve"> sixty-second session </w:t>
      </w:r>
      <w:r w:rsidR="00EF3C0A" w:rsidRPr="00F604A1">
        <w:t>(June 2025);</w:t>
      </w:r>
      <w:r w:rsidR="00EF3C0A" w:rsidRPr="000F3E8D">
        <w:rPr>
          <w:sz w:val="18"/>
          <w:szCs w:val="18"/>
          <w:vertAlign w:val="superscript"/>
        </w:rPr>
        <w:footnoteReference w:id="39"/>
      </w:r>
    </w:p>
    <w:p w14:paraId="23FB0BEF" w14:textId="74E9DAAE" w:rsidR="00EF3C0A" w:rsidRPr="004274D4" w:rsidRDefault="00804401" w:rsidP="00804401">
      <w:pPr>
        <w:pStyle w:val="RegSingleTxtG"/>
        <w:numPr>
          <w:ilvl w:val="0"/>
          <w:numId w:val="0"/>
        </w:numPr>
        <w:ind w:left="1134"/>
      </w:pPr>
      <w:r w:rsidRPr="004274D4">
        <w:rPr>
          <w:bCs/>
        </w:rPr>
        <w:t>13.</w:t>
      </w:r>
      <w:r w:rsidRPr="004274D4">
        <w:rPr>
          <w:bCs/>
        </w:rPr>
        <w:tab/>
      </w:r>
      <w:r w:rsidR="00EF3C0A" w:rsidRPr="001C1DC2">
        <w:rPr>
          <w:i/>
          <w:iCs/>
        </w:rPr>
        <w:t xml:space="preserve">Requests </w:t>
      </w:r>
      <w:r w:rsidR="00EF3C0A" w:rsidRPr="002A7B48">
        <w:t xml:space="preserve">the secretariat to prepare an information document after each </w:t>
      </w:r>
      <w:r w:rsidR="00EF3C0A">
        <w:t>session of the Conference of the Parties</w:t>
      </w:r>
      <w:r w:rsidR="00EF3C0A" w:rsidRPr="002A7B48">
        <w:t xml:space="preserve"> </w:t>
      </w:r>
      <w:r w:rsidR="00EF3C0A">
        <w:t>that</w:t>
      </w:r>
      <w:r w:rsidR="00EF3C0A" w:rsidRPr="002A7B48">
        <w:t xml:space="preserve"> present</w:t>
      </w:r>
      <w:r w:rsidR="00EF3C0A">
        <w:t>s</w:t>
      </w:r>
      <w:r w:rsidR="00EF3C0A" w:rsidRPr="002A7B48">
        <w:t xml:space="preserve"> additional activities</w:t>
      </w:r>
      <w:r w:rsidR="00EF3C0A">
        <w:t xml:space="preserve"> mandated at that session</w:t>
      </w:r>
      <w:r w:rsidR="00EF3C0A" w:rsidRPr="002A7B48">
        <w:t xml:space="preserve"> and their respective cost implications for the information of Parties</w:t>
      </w:r>
      <w:r w:rsidR="00EF3C0A" w:rsidRPr="005A0116">
        <w:t>;</w:t>
      </w:r>
    </w:p>
    <w:p w14:paraId="7105A5FD" w14:textId="7F72DF34" w:rsidR="00EF3C0A" w:rsidRPr="004274D4" w:rsidRDefault="00804401" w:rsidP="00804401">
      <w:pPr>
        <w:pStyle w:val="RegSingleTxtG"/>
        <w:numPr>
          <w:ilvl w:val="0"/>
          <w:numId w:val="0"/>
        </w:numPr>
        <w:ind w:left="1134"/>
      </w:pPr>
      <w:r w:rsidRPr="004274D4">
        <w:rPr>
          <w:bCs/>
        </w:rPr>
        <w:t>14.</w:t>
      </w:r>
      <w:r w:rsidRPr="004274D4">
        <w:rPr>
          <w:bCs/>
        </w:rPr>
        <w:tab/>
      </w:r>
      <w:r w:rsidR="00EF3C0A" w:rsidRPr="004274D4">
        <w:rPr>
          <w:i/>
          <w:iCs/>
        </w:rPr>
        <w:t>Notes with concern</w:t>
      </w:r>
      <w:r w:rsidR="00EF3C0A" w:rsidRPr="004274D4">
        <w:t xml:space="preserve"> that the documents on administrative, financial and institutional matters prepared for the sixtieth session of the Subsidiary Body for Implementation were not made available before the start of the session and </w:t>
      </w:r>
      <w:r w:rsidR="00EF3C0A" w:rsidRPr="004274D4">
        <w:rPr>
          <w:i/>
          <w:iCs/>
        </w:rPr>
        <w:t>requests</w:t>
      </w:r>
      <w:r w:rsidR="00EF3C0A" w:rsidRPr="004274D4">
        <w:t xml:space="preserve"> the secretariat to issue documents in a timely manner, at least four weeks before the opening of each session;</w:t>
      </w:r>
    </w:p>
    <w:p w14:paraId="00BDD6C5" w14:textId="6644FB8B" w:rsidR="00EF3C0A" w:rsidRPr="004274D4" w:rsidRDefault="00804401" w:rsidP="00804401">
      <w:pPr>
        <w:pStyle w:val="RegSingleTxtG"/>
        <w:numPr>
          <w:ilvl w:val="0"/>
          <w:numId w:val="0"/>
        </w:numPr>
        <w:ind w:left="1134"/>
      </w:pPr>
      <w:r w:rsidRPr="004274D4">
        <w:rPr>
          <w:bCs/>
        </w:rPr>
        <w:t>15.</w:t>
      </w:r>
      <w:r w:rsidRPr="004274D4">
        <w:rPr>
          <w:bCs/>
        </w:rPr>
        <w:tab/>
      </w:r>
      <w:r w:rsidR="00EF3C0A" w:rsidRPr="004274D4">
        <w:rPr>
          <w:i/>
          <w:iCs/>
        </w:rPr>
        <w:t>Expresses concern</w:t>
      </w:r>
      <w:r w:rsidR="00EF3C0A" w:rsidRPr="004274D4">
        <w:t xml:space="preserve"> regarding the high number of recommendations made by the United Nations Board of Auditors that remain unimplemented and </w:t>
      </w:r>
      <w:r w:rsidR="00EF3C0A" w:rsidRPr="004274D4">
        <w:rPr>
          <w:i/>
          <w:iCs/>
        </w:rPr>
        <w:t>urges</w:t>
      </w:r>
      <w:r w:rsidR="00EF3C0A" w:rsidRPr="004274D4">
        <w:t xml:space="preserve"> the Executive Secretary to implement the standing recommendations of the auditors as soon as possible, with at least 50 per cent implemented before the opening of the sixty-first session of the Subsidiary Body for Implementation, and to continue providing information to Parties on the status of implementation</w:t>
      </w:r>
      <w:r w:rsidR="00EF3C0A">
        <w:t xml:space="preserve"> of all recommendations</w:t>
      </w:r>
      <w:r w:rsidR="00EF3C0A" w:rsidRPr="004274D4">
        <w:t>;</w:t>
      </w:r>
    </w:p>
    <w:p w14:paraId="1F8DD730" w14:textId="54F8C25B" w:rsidR="00EF3C0A" w:rsidRDefault="00804401" w:rsidP="00804401">
      <w:pPr>
        <w:pStyle w:val="RegSingleTxtG"/>
        <w:numPr>
          <w:ilvl w:val="0"/>
          <w:numId w:val="0"/>
        </w:numPr>
        <w:ind w:left="1134"/>
      </w:pPr>
      <w:r>
        <w:rPr>
          <w:bCs/>
        </w:rPr>
        <w:t>16.</w:t>
      </w:r>
      <w:r>
        <w:rPr>
          <w:bCs/>
        </w:rPr>
        <w:tab/>
      </w:r>
      <w:r w:rsidR="00EF3C0A" w:rsidRPr="004274D4">
        <w:rPr>
          <w:i/>
          <w:iCs/>
        </w:rPr>
        <w:t xml:space="preserve">Encourages </w:t>
      </w:r>
      <w:r w:rsidR="00EF3C0A" w:rsidRPr="004274D4">
        <w:t xml:space="preserve">the secretariat to enhance clarity on the nature of activities, whether mandated or not, in documents on the programme budget for the biennium 2026–2027 and </w:t>
      </w:r>
      <w:r w:rsidR="00EF3C0A" w:rsidRPr="004274D4">
        <w:rPr>
          <w:i/>
          <w:iCs/>
        </w:rPr>
        <w:t>requests</w:t>
      </w:r>
      <w:r w:rsidR="00EF3C0A" w:rsidRPr="004274D4">
        <w:t xml:space="preserve"> the secretariat to consider the challenges it faces in implementing mandated activities in the programme budget for 2024–2025 when preparing the programme budget for 2026–2027;</w:t>
      </w:r>
    </w:p>
    <w:p w14:paraId="1E439F04" w14:textId="3B8769F5" w:rsidR="00EF3C0A" w:rsidRDefault="00804401" w:rsidP="00804401">
      <w:pPr>
        <w:pStyle w:val="RegSingleTxtG"/>
        <w:numPr>
          <w:ilvl w:val="0"/>
          <w:numId w:val="0"/>
        </w:numPr>
        <w:ind w:left="1134"/>
      </w:pPr>
      <w:r>
        <w:rPr>
          <w:bCs/>
        </w:rPr>
        <w:t>17.</w:t>
      </w:r>
      <w:r>
        <w:rPr>
          <w:bCs/>
        </w:rPr>
        <w:tab/>
      </w:r>
      <w:r w:rsidR="00EF3C0A" w:rsidRPr="00EF3C0A">
        <w:rPr>
          <w:i/>
          <w:iCs/>
        </w:rPr>
        <w:t>Urges</w:t>
      </w:r>
      <w:r w:rsidR="00EF3C0A" w:rsidRPr="001430AA">
        <w:t xml:space="preserve"> the secretariat to prioritize the delivery of mandated activities and outputs and to ensure the inclusive participation of delegates from developing country Parties in sessions of the governing and subsidiary bodies as well as in mandated events and meetings of </w:t>
      </w:r>
      <w:r w:rsidR="009F4FEC">
        <w:t xml:space="preserve">UNFCCC </w:t>
      </w:r>
      <w:r w:rsidR="00EF3C0A" w:rsidRPr="001430AA">
        <w:t>constituted bodies, and to provide information to Parties on its efforts to do so</w:t>
      </w:r>
      <w:r w:rsidR="00EF3C0A">
        <w:t>.</w:t>
      </w:r>
    </w:p>
    <w:p w14:paraId="4CFE5E4F" w14:textId="4A66B287" w:rsidR="00EF3C0A" w:rsidRDefault="0039346C" w:rsidP="00EF3C0A">
      <w:pPr>
        <w:pStyle w:val="RegSingleTxtG"/>
        <w:numPr>
          <w:ilvl w:val="0"/>
          <w:numId w:val="0"/>
        </w:numPr>
        <w:spacing w:after="0"/>
        <w:ind w:left="1134"/>
        <w:jc w:val="right"/>
        <w:rPr>
          <w:i/>
          <w:iCs/>
        </w:rPr>
      </w:pPr>
      <w:r>
        <w:rPr>
          <w:i/>
          <w:iCs/>
        </w:rPr>
        <w:t>5</w:t>
      </w:r>
      <w:r w:rsidRPr="0039346C">
        <w:rPr>
          <w:i/>
          <w:iCs/>
          <w:vertAlign w:val="superscript"/>
        </w:rPr>
        <w:t>th</w:t>
      </w:r>
      <w:r>
        <w:rPr>
          <w:i/>
          <w:iCs/>
        </w:rPr>
        <w:t xml:space="preserve"> </w:t>
      </w:r>
      <w:r w:rsidR="00EF3C0A">
        <w:rPr>
          <w:i/>
          <w:iCs/>
        </w:rPr>
        <w:t>plenary meeting</w:t>
      </w:r>
    </w:p>
    <w:p w14:paraId="27F04602" w14:textId="27F5EB8B" w:rsidR="00EF3C0A" w:rsidRDefault="0039346C" w:rsidP="00EF3C0A">
      <w:pPr>
        <w:pStyle w:val="RegSingleTxtG"/>
        <w:numPr>
          <w:ilvl w:val="0"/>
          <w:numId w:val="0"/>
        </w:numPr>
        <w:spacing w:after="0"/>
        <w:ind w:left="1134"/>
        <w:jc w:val="right"/>
      </w:pPr>
      <w:r>
        <w:rPr>
          <w:i/>
          <w:iCs/>
        </w:rPr>
        <w:t>18</w:t>
      </w:r>
      <w:r w:rsidR="00EF3C0A">
        <w:rPr>
          <w:i/>
          <w:iCs/>
        </w:rPr>
        <w:t xml:space="preserve"> November 2024</w:t>
      </w:r>
    </w:p>
    <w:p w14:paraId="616F0C4D" w14:textId="77777777" w:rsidR="005E49F8" w:rsidRDefault="005E49F8" w:rsidP="00804401">
      <w:pPr>
        <w:pStyle w:val="RegHChG"/>
        <w:numPr>
          <w:ilvl w:val="0"/>
          <w:numId w:val="0"/>
        </w:numPr>
        <w:ind w:left="1135" w:hanging="454"/>
      </w:pPr>
    </w:p>
    <w:p w14:paraId="7C37DFCD" w14:textId="314B945C" w:rsidR="005E49F8" w:rsidRDefault="00804401" w:rsidP="00804401">
      <w:pPr>
        <w:pStyle w:val="RegHChG"/>
        <w:numPr>
          <w:ilvl w:val="0"/>
          <w:numId w:val="0"/>
        </w:numPr>
        <w:tabs>
          <w:tab w:val="left" w:pos="1135"/>
        </w:tabs>
        <w:ind w:left="1135" w:hanging="454"/>
        <w:sectPr w:rsidR="005E49F8" w:rsidSect="00E56563">
          <w:headerReference w:type="even" r:id="rId153"/>
          <w:headerReference w:type="default" r:id="rId154"/>
          <w:footerReference w:type="even" r:id="rId155"/>
          <w:footerReference w:type="default" r:id="rId156"/>
          <w:footnotePr>
            <w:numRestart w:val="eachSect"/>
          </w:footnotePr>
          <w:pgSz w:w="11906" w:h="16838" w:code="9"/>
          <w:pgMar w:top="1417" w:right="1134" w:bottom="1134" w:left="1134" w:header="850" w:footer="567" w:gutter="0"/>
          <w:cols w:space="708"/>
          <w:docGrid w:linePitch="360"/>
        </w:sectPr>
      </w:pPr>
      <w:r>
        <w:t>I.</w:t>
      </w:r>
      <w:r>
        <w:tab/>
      </w:r>
    </w:p>
    <w:p w14:paraId="08AFE5B7" w14:textId="3D588160" w:rsidR="00C32686" w:rsidRDefault="00C32686" w:rsidP="00804401">
      <w:pPr>
        <w:pStyle w:val="RegHChG"/>
        <w:numPr>
          <w:ilvl w:val="0"/>
          <w:numId w:val="0"/>
        </w:numPr>
        <w:ind w:left="1135" w:hanging="454"/>
      </w:pPr>
      <w:bookmarkStart w:id="29" w:name="CP21"/>
      <w:r>
        <w:lastRenderedPageBreak/>
        <w:t>Decision 21/CP.29</w:t>
      </w:r>
    </w:p>
    <w:bookmarkEnd w:id="29"/>
    <w:p w14:paraId="1BF36C29" w14:textId="77777777" w:rsidR="00893C4F" w:rsidRPr="00381488" w:rsidRDefault="00893C4F" w:rsidP="00893C4F">
      <w:pPr>
        <w:pStyle w:val="HChG"/>
        <w:ind w:firstLine="0"/>
        <w:rPr>
          <w:b w:val="0"/>
          <w:szCs w:val="28"/>
        </w:rPr>
      </w:pPr>
      <w:r w:rsidRPr="001E3E27">
        <w:t>Administrative</w:t>
      </w:r>
      <w:r w:rsidRPr="00381488">
        <w:rPr>
          <w:szCs w:val="28"/>
        </w:rPr>
        <w:t>, financial and institutional matters</w:t>
      </w:r>
    </w:p>
    <w:p w14:paraId="6489254D" w14:textId="77777777" w:rsidR="00893C4F" w:rsidRDefault="00893C4F" w:rsidP="00893C4F">
      <w:pPr>
        <w:spacing w:before="120"/>
        <w:ind w:left="1134" w:right="1174" w:firstLine="567"/>
        <w:jc w:val="both"/>
      </w:pPr>
      <w:r w:rsidRPr="0A4B147B">
        <w:rPr>
          <w:i/>
          <w:iCs/>
        </w:rPr>
        <w:t>The Conference of the Parties</w:t>
      </w:r>
      <w:r>
        <w:t xml:space="preserve"> </w:t>
      </w:r>
    </w:p>
    <w:p w14:paraId="7C68F4F4" w14:textId="69B3C9A4" w:rsidR="00893C4F" w:rsidRPr="003E51E4" w:rsidRDefault="00804401" w:rsidP="00804401">
      <w:pPr>
        <w:pStyle w:val="RegSingleTxtG"/>
        <w:numPr>
          <w:ilvl w:val="0"/>
          <w:numId w:val="0"/>
        </w:numPr>
        <w:spacing w:before="120"/>
        <w:ind w:left="1134"/>
      </w:pPr>
      <w:r w:rsidRPr="003E51E4">
        <w:rPr>
          <w:bCs/>
        </w:rPr>
        <w:t>1.</w:t>
      </w:r>
      <w:r w:rsidRPr="003E51E4">
        <w:rPr>
          <w:bCs/>
        </w:rPr>
        <w:tab/>
      </w:r>
      <w:r w:rsidR="00893C4F" w:rsidRPr="00893C4F">
        <w:rPr>
          <w:i/>
          <w:iCs/>
        </w:rPr>
        <w:t>T</w:t>
      </w:r>
      <w:r w:rsidR="00893C4F" w:rsidRPr="00893C4F">
        <w:rPr>
          <w:i/>
          <w:iCs/>
          <w:lang w:eastAsia="en-US"/>
        </w:rPr>
        <w:t>akes note</w:t>
      </w:r>
      <w:r w:rsidR="00893C4F" w:rsidRPr="00B53C19">
        <w:rPr>
          <w:lang w:eastAsia="en-US"/>
        </w:rPr>
        <w:t xml:space="preserve"> </w:t>
      </w:r>
      <w:r w:rsidR="00893C4F" w:rsidRPr="0052165A">
        <w:rPr>
          <w:lang w:eastAsia="en-US"/>
        </w:rPr>
        <w:t xml:space="preserve">of </w:t>
      </w:r>
      <w:r w:rsidR="00893C4F" w:rsidRPr="00F91240">
        <w:rPr>
          <w:lang w:eastAsia="en-US"/>
        </w:rPr>
        <w:t>the information in the documents prepared by the secretariat on administrative, financial and institutional matters</w:t>
      </w:r>
      <w:r w:rsidR="00893C4F">
        <w:rPr>
          <w:lang w:eastAsia="en-US"/>
        </w:rPr>
        <w:t>;</w:t>
      </w:r>
      <w:r w:rsidR="00893C4F">
        <w:rPr>
          <w:rStyle w:val="FootnoteReference"/>
          <w:rFonts w:eastAsia="Times New Roman"/>
          <w:lang w:eastAsia="en-US"/>
        </w:rPr>
        <w:footnoteReference w:id="40"/>
      </w:r>
    </w:p>
    <w:p w14:paraId="1296AEE5" w14:textId="4F0764D3" w:rsidR="00893C4F" w:rsidRDefault="00804401" w:rsidP="00804401">
      <w:pPr>
        <w:pStyle w:val="RegSingleTxtG"/>
        <w:numPr>
          <w:ilvl w:val="0"/>
          <w:numId w:val="0"/>
        </w:numPr>
        <w:ind w:left="1134"/>
        <w:rPr>
          <w:lang w:eastAsia="en-US"/>
        </w:rPr>
      </w:pPr>
      <w:r>
        <w:rPr>
          <w:bCs/>
          <w:lang w:eastAsia="en-US"/>
        </w:rPr>
        <w:t>2.</w:t>
      </w:r>
      <w:r>
        <w:rPr>
          <w:bCs/>
          <w:lang w:eastAsia="en-US"/>
        </w:rPr>
        <w:tab/>
      </w:r>
      <w:r w:rsidR="00893C4F" w:rsidRPr="00116528">
        <w:rPr>
          <w:i/>
          <w:lang w:eastAsia="en-US"/>
        </w:rPr>
        <w:t>Expresses appreciation</w:t>
      </w:r>
      <w:r w:rsidR="00893C4F" w:rsidRPr="00116528">
        <w:rPr>
          <w:lang w:eastAsia="en-US"/>
        </w:rPr>
        <w:t xml:space="preserve"> to the United Nations for arranging the audit of the accounts of the Convention;</w:t>
      </w:r>
    </w:p>
    <w:p w14:paraId="490D3D3F" w14:textId="24E06174" w:rsidR="00893C4F" w:rsidRDefault="00804401" w:rsidP="00804401">
      <w:pPr>
        <w:pStyle w:val="RegSingleTxtG"/>
        <w:numPr>
          <w:ilvl w:val="0"/>
          <w:numId w:val="0"/>
        </w:numPr>
        <w:ind w:left="1134"/>
        <w:rPr>
          <w:lang w:eastAsia="en-US"/>
        </w:rPr>
      </w:pPr>
      <w:r>
        <w:rPr>
          <w:bCs/>
          <w:lang w:eastAsia="en-US"/>
        </w:rPr>
        <w:t>3.</w:t>
      </w:r>
      <w:r>
        <w:rPr>
          <w:bCs/>
          <w:lang w:eastAsia="en-US"/>
        </w:rPr>
        <w:tab/>
      </w:r>
      <w:r w:rsidR="00893C4F" w:rsidRPr="00893C4F">
        <w:rPr>
          <w:i/>
          <w:lang w:eastAsia="en-US"/>
        </w:rPr>
        <w:t>Also expresses appreciation</w:t>
      </w:r>
      <w:r w:rsidR="00893C4F" w:rsidRPr="00116528">
        <w:rPr>
          <w:lang w:eastAsia="en-US"/>
        </w:rPr>
        <w:t xml:space="preserve"> to the auditors for the</w:t>
      </w:r>
      <w:r w:rsidR="00893C4F">
        <w:rPr>
          <w:lang w:eastAsia="en-US"/>
        </w:rPr>
        <w:t>ir</w:t>
      </w:r>
      <w:r w:rsidR="00893C4F" w:rsidRPr="00116528">
        <w:rPr>
          <w:lang w:eastAsia="en-US"/>
        </w:rPr>
        <w:t xml:space="preserve"> valuable observations and recommendations</w:t>
      </w:r>
      <w:r w:rsidR="00893C4F">
        <w:rPr>
          <w:lang w:eastAsia="en-US"/>
        </w:rPr>
        <w:t>.</w:t>
      </w:r>
    </w:p>
    <w:p w14:paraId="1F103E5D" w14:textId="3AD1C8D0" w:rsidR="00893C4F" w:rsidRDefault="00724136" w:rsidP="00893C4F">
      <w:pPr>
        <w:pStyle w:val="RegSingleTxtG"/>
        <w:numPr>
          <w:ilvl w:val="0"/>
          <w:numId w:val="0"/>
        </w:numPr>
        <w:spacing w:after="0"/>
        <w:ind w:left="1134"/>
        <w:jc w:val="right"/>
        <w:rPr>
          <w:i/>
          <w:lang w:eastAsia="en-US"/>
        </w:rPr>
      </w:pPr>
      <w:r>
        <w:rPr>
          <w:i/>
          <w:lang w:eastAsia="en-US"/>
        </w:rPr>
        <w:t>5</w:t>
      </w:r>
      <w:r w:rsidRPr="00724136">
        <w:rPr>
          <w:i/>
          <w:vertAlign w:val="superscript"/>
          <w:lang w:eastAsia="en-US"/>
        </w:rPr>
        <w:t>th</w:t>
      </w:r>
      <w:r w:rsidR="00893C4F">
        <w:rPr>
          <w:i/>
          <w:lang w:eastAsia="en-US"/>
        </w:rPr>
        <w:t xml:space="preserve"> plenary meeting</w:t>
      </w:r>
    </w:p>
    <w:p w14:paraId="5F022F91" w14:textId="794BB0F9" w:rsidR="00893C4F" w:rsidRDefault="00724136" w:rsidP="00893C4F">
      <w:pPr>
        <w:pStyle w:val="RegSingleTxtG"/>
        <w:numPr>
          <w:ilvl w:val="0"/>
          <w:numId w:val="0"/>
        </w:numPr>
        <w:spacing w:after="0"/>
        <w:ind w:left="1134"/>
        <w:jc w:val="right"/>
        <w:rPr>
          <w:lang w:eastAsia="en-US"/>
        </w:rPr>
      </w:pPr>
      <w:r>
        <w:rPr>
          <w:i/>
          <w:lang w:eastAsia="en-US"/>
        </w:rPr>
        <w:t>18</w:t>
      </w:r>
      <w:r w:rsidR="00893C4F">
        <w:rPr>
          <w:i/>
          <w:lang w:eastAsia="en-US"/>
        </w:rPr>
        <w:t xml:space="preserve"> November 2024</w:t>
      </w:r>
    </w:p>
    <w:p w14:paraId="7F755122" w14:textId="77777777" w:rsidR="006D2C7F" w:rsidRDefault="006D2C7F" w:rsidP="00804401">
      <w:pPr>
        <w:pStyle w:val="RegHChG"/>
        <w:numPr>
          <w:ilvl w:val="0"/>
          <w:numId w:val="0"/>
        </w:numPr>
        <w:ind w:left="1135" w:hanging="454"/>
      </w:pPr>
    </w:p>
    <w:p w14:paraId="52B6918B" w14:textId="2149BCE5" w:rsidR="006D2C7F" w:rsidRDefault="00804401" w:rsidP="00804401">
      <w:pPr>
        <w:pStyle w:val="RegHChG"/>
        <w:numPr>
          <w:ilvl w:val="0"/>
          <w:numId w:val="0"/>
        </w:numPr>
        <w:tabs>
          <w:tab w:val="left" w:pos="1135"/>
        </w:tabs>
        <w:ind w:left="1135" w:hanging="454"/>
        <w:sectPr w:rsidR="006D2C7F" w:rsidSect="00E56563">
          <w:headerReference w:type="even" r:id="rId157"/>
          <w:footerReference w:type="even" r:id="rId158"/>
          <w:footnotePr>
            <w:numRestart w:val="eachSect"/>
          </w:footnotePr>
          <w:pgSz w:w="11906" w:h="16838" w:code="9"/>
          <w:pgMar w:top="1417" w:right="1134" w:bottom="1134" w:left="1134" w:header="850" w:footer="567" w:gutter="0"/>
          <w:cols w:space="708"/>
          <w:docGrid w:linePitch="360"/>
        </w:sectPr>
      </w:pPr>
      <w:r>
        <w:t>I.</w:t>
      </w:r>
      <w:r>
        <w:tab/>
      </w:r>
    </w:p>
    <w:p w14:paraId="0AA4F6DD" w14:textId="7D0A4499" w:rsidR="006D2C7F" w:rsidRDefault="006D2C7F" w:rsidP="00804401">
      <w:pPr>
        <w:pStyle w:val="RegHChG"/>
        <w:numPr>
          <w:ilvl w:val="0"/>
          <w:numId w:val="0"/>
        </w:numPr>
        <w:ind w:left="1135" w:hanging="454"/>
      </w:pPr>
      <w:bookmarkStart w:id="30" w:name="res1"/>
      <w:r>
        <w:lastRenderedPageBreak/>
        <w:t>Resolution 1/CP.29</w:t>
      </w:r>
    </w:p>
    <w:p w14:paraId="436B33E1" w14:textId="77777777" w:rsidR="00706C7C" w:rsidRDefault="00706C7C" w:rsidP="00804401">
      <w:pPr>
        <w:pStyle w:val="RegHChG"/>
        <w:numPr>
          <w:ilvl w:val="0"/>
          <w:numId w:val="0"/>
        </w:numPr>
        <w:ind w:left="1135" w:hanging="454"/>
      </w:pPr>
      <w:bookmarkStart w:id="31" w:name="_Toc184133534"/>
      <w:bookmarkEnd w:id="30"/>
      <w:r w:rsidRPr="01D624D5">
        <w:t>Expression of gratitude to the Government of the Republic of Azerbaijan and the people of the city of Baku</w:t>
      </w:r>
      <w:bookmarkEnd w:id="31"/>
    </w:p>
    <w:p w14:paraId="02B21835" w14:textId="77777777" w:rsidR="00706C7C" w:rsidRDefault="00706C7C" w:rsidP="00804401">
      <w:pPr>
        <w:pStyle w:val="RegH1G"/>
        <w:numPr>
          <w:ilvl w:val="0"/>
          <w:numId w:val="0"/>
        </w:numPr>
        <w:ind w:left="1135" w:hanging="454"/>
      </w:pPr>
      <w:bookmarkStart w:id="32" w:name="_Toc184133535"/>
      <w:r w:rsidRPr="00132526">
        <w:t>Resolution submitted by the Federative Republic of Brazil</w:t>
      </w:r>
      <w:bookmarkEnd w:id="32"/>
    </w:p>
    <w:p w14:paraId="02DB0BA1" w14:textId="7C5EFB87" w:rsidR="00706C7C" w:rsidRPr="00C347EB" w:rsidRDefault="00F00E14" w:rsidP="000B15EE">
      <w:pPr>
        <w:pStyle w:val="RegSingleTxtG"/>
        <w:numPr>
          <w:ilvl w:val="0"/>
          <w:numId w:val="0"/>
        </w:numPr>
        <w:ind w:left="1134"/>
      </w:pPr>
      <w:r>
        <w:tab/>
      </w:r>
      <w:r w:rsidR="00706C7C" w:rsidRPr="000B15EE">
        <w:rPr>
          <w:i/>
          <w:iCs/>
        </w:rPr>
        <w:t>The Conference of the Parties, the Conference of the Parties serving as the meeting of the Parties to the Kyoto Protocol and the Conference of the Parties serving as the meeting of the Parties to the Paris Agreement</w:t>
      </w:r>
      <w:r w:rsidR="00706C7C" w:rsidRPr="00C347EB">
        <w:t>,</w:t>
      </w:r>
    </w:p>
    <w:p w14:paraId="2859DC79" w14:textId="2CE9BD82" w:rsidR="00706C7C" w:rsidRPr="00C347EB" w:rsidRDefault="00F00E14" w:rsidP="00F00E14">
      <w:pPr>
        <w:pStyle w:val="RegSingleTxtG"/>
        <w:numPr>
          <w:ilvl w:val="0"/>
          <w:numId w:val="0"/>
        </w:numPr>
        <w:ind w:left="1134"/>
      </w:pPr>
      <w:r>
        <w:rPr>
          <w:i/>
          <w:iCs/>
        </w:rPr>
        <w:tab/>
      </w:r>
      <w:r w:rsidR="00706C7C" w:rsidRPr="00C347EB">
        <w:rPr>
          <w:i/>
          <w:iCs/>
        </w:rPr>
        <w:t>Having met</w:t>
      </w:r>
      <w:r w:rsidR="00706C7C" w:rsidRPr="00C347EB">
        <w:t xml:space="preserve"> in Baku from 11 to 2</w:t>
      </w:r>
      <w:r>
        <w:t>4</w:t>
      </w:r>
      <w:r w:rsidR="00706C7C" w:rsidRPr="00C347EB">
        <w:t xml:space="preserve"> November 2024,</w:t>
      </w:r>
    </w:p>
    <w:p w14:paraId="47AC884E" w14:textId="0B42EB4E" w:rsidR="00C211D7" w:rsidRPr="00C211D7" w:rsidRDefault="00804401" w:rsidP="00804401">
      <w:pPr>
        <w:pStyle w:val="RegSingleTxtG"/>
        <w:numPr>
          <w:ilvl w:val="0"/>
          <w:numId w:val="0"/>
        </w:numPr>
        <w:ind w:left="1134"/>
      </w:pPr>
      <w:bookmarkStart w:id="33" w:name="_Toc184133536"/>
      <w:r w:rsidRPr="00C211D7">
        <w:rPr>
          <w:bCs/>
        </w:rPr>
        <w:t>1.</w:t>
      </w:r>
      <w:r w:rsidRPr="00C211D7">
        <w:rPr>
          <w:bCs/>
        </w:rPr>
        <w:tab/>
      </w:r>
      <w:r w:rsidR="00706C7C" w:rsidRPr="00C653E3">
        <w:rPr>
          <w:i/>
          <w:iCs/>
        </w:rPr>
        <w:t>Express profound gratitude</w:t>
      </w:r>
      <w:r w:rsidR="00706C7C" w:rsidRPr="00C347EB">
        <w:t xml:space="preserve"> to the Government of the Republic of Azerbaijan for having made it possible for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 to be held in Baku;</w:t>
      </w:r>
      <w:bookmarkStart w:id="34" w:name="_Toc184133537"/>
      <w:bookmarkEnd w:id="33"/>
    </w:p>
    <w:p w14:paraId="3FDAAEA8" w14:textId="4A71CFEF" w:rsidR="00706C7C" w:rsidRPr="0012037D" w:rsidRDefault="00804401" w:rsidP="00804401">
      <w:pPr>
        <w:pStyle w:val="RegSingleTxtG"/>
        <w:numPr>
          <w:ilvl w:val="0"/>
          <w:numId w:val="0"/>
        </w:numPr>
        <w:ind w:left="1134"/>
        <w:rPr>
          <w:rFonts w:eastAsia="Times New Roman"/>
        </w:rPr>
      </w:pPr>
      <w:r w:rsidRPr="0012037D">
        <w:rPr>
          <w:rFonts w:eastAsia="Times New Roman"/>
          <w:bCs/>
        </w:rPr>
        <w:t>2.</w:t>
      </w:r>
      <w:r w:rsidRPr="0012037D">
        <w:rPr>
          <w:rFonts w:eastAsia="Times New Roman"/>
          <w:bCs/>
        </w:rPr>
        <w:tab/>
      </w:r>
      <w:r w:rsidR="00706C7C" w:rsidRPr="00C45ACB">
        <w:rPr>
          <w:i/>
          <w:iCs/>
        </w:rPr>
        <w:t>Request</w:t>
      </w:r>
      <w:r w:rsidR="00706C7C" w:rsidRPr="00C347EB">
        <w:t xml:space="preserve"> the Government of the Republic of Azerbaijan to convey to the city and people of Baku the gratitude of the Conference of the Parties, the Conference of the Parties serving as the meeting of</w:t>
      </w:r>
      <w:r w:rsidR="00706C7C" w:rsidRPr="000B15EE">
        <w:t xml:space="preserve"> </w:t>
      </w:r>
      <w:r w:rsidR="00706C7C" w:rsidRPr="00F00E14">
        <w:t>the</w:t>
      </w:r>
      <w:r w:rsidR="00706C7C" w:rsidRPr="00C347EB">
        <w:t xml:space="preserve"> Parties to the Kyoto Protocol and the Conference of the Parties serving as the meeting of the Parties to the Paris Agreement for the hospitality and warmth extended to the participants.</w:t>
      </w:r>
      <w:bookmarkEnd w:id="34"/>
    </w:p>
    <w:p w14:paraId="26456D7B" w14:textId="7D6B0CFD" w:rsidR="0012037D" w:rsidRDefault="001A5BBF" w:rsidP="0012037D">
      <w:pPr>
        <w:pStyle w:val="RegSingleTxtG"/>
        <w:numPr>
          <w:ilvl w:val="0"/>
          <w:numId w:val="0"/>
        </w:numPr>
        <w:spacing w:after="0"/>
        <w:ind w:left="1134"/>
        <w:jc w:val="right"/>
        <w:rPr>
          <w:i/>
          <w:iCs/>
        </w:rPr>
      </w:pPr>
      <w:r>
        <w:rPr>
          <w:i/>
          <w:iCs/>
        </w:rPr>
        <w:t>11</w:t>
      </w:r>
      <w:r w:rsidRPr="001A5BBF">
        <w:rPr>
          <w:i/>
          <w:iCs/>
          <w:vertAlign w:val="superscript"/>
        </w:rPr>
        <w:t>th</w:t>
      </w:r>
      <w:r>
        <w:rPr>
          <w:i/>
          <w:iCs/>
        </w:rPr>
        <w:t xml:space="preserve"> </w:t>
      </w:r>
      <w:r w:rsidR="0012037D">
        <w:rPr>
          <w:i/>
          <w:iCs/>
        </w:rPr>
        <w:t>plenary meeting</w:t>
      </w:r>
    </w:p>
    <w:p w14:paraId="26A3806F" w14:textId="04FCE42E" w:rsidR="0012037D" w:rsidRDefault="001A5BBF" w:rsidP="0012037D">
      <w:pPr>
        <w:pStyle w:val="RegSingleTxtG"/>
        <w:numPr>
          <w:ilvl w:val="0"/>
          <w:numId w:val="0"/>
        </w:numPr>
        <w:spacing w:after="0"/>
        <w:ind w:left="1134"/>
        <w:jc w:val="right"/>
        <w:rPr>
          <w:i/>
          <w:iCs/>
        </w:rPr>
      </w:pPr>
      <w:r>
        <w:rPr>
          <w:i/>
          <w:iCs/>
        </w:rPr>
        <w:t>23</w:t>
      </w:r>
      <w:r w:rsidR="0012037D">
        <w:rPr>
          <w:i/>
          <w:iCs/>
        </w:rPr>
        <w:t xml:space="preserve"> November 2024</w:t>
      </w:r>
    </w:p>
    <w:p w14:paraId="6B5822DB" w14:textId="46022439" w:rsidR="0012037D" w:rsidRPr="00E56563" w:rsidRDefault="0012037D" w:rsidP="002F05F8">
      <w:pPr>
        <w:spacing w:before="240"/>
        <w:ind w:left="1134" w:right="1134"/>
        <w:jc w:val="center"/>
        <w:rPr>
          <w:u w:val="single"/>
        </w:rPr>
      </w:pPr>
      <w:r>
        <w:rPr>
          <w:u w:val="single"/>
        </w:rPr>
        <w:tab/>
      </w:r>
      <w:r>
        <w:rPr>
          <w:u w:val="single"/>
        </w:rPr>
        <w:tab/>
      </w:r>
      <w:r>
        <w:rPr>
          <w:u w:val="single"/>
        </w:rPr>
        <w:tab/>
      </w:r>
      <w:r>
        <w:rPr>
          <w:u w:val="single"/>
        </w:rPr>
        <w:tab/>
      </w:r>
    </w:p>
    <w:sectPr w:rsidR="0012037D" w:rsidRPr="00E56563" w:rsidSect="00E56563">
      <w:headerReference w:type="even" r:id="rId159"/>
      <w:headerReference w:type="default" r:id="rId160"/>
      <w:footerReference w:type="even" r:id="rId161"/>
      <w:footerReference w:type="default" r:id="rId162"/>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2C90" w14:textId="77777777" w:rsidR="004867DA" w:rsidRPr="008362C4" w:rsidRDefault="004867DA" w:rsidP="008362C4">
      <w:pPr>
        <w:spacing w:line="14" w:lineRule="exact"/>
        <w:rPr>
          <w:color w:val="FFFFFF" w:themeColor="background1"/>
        </w:rPr>
      </w:pPr>
      <w:r w:rsidRPr="008362C4">
        <w:rPr>
          <w:color w:val="FFFFFF" w:themeColor="background1"/>
        </w:rPr>
        <w:separator/>
      </w:r>
    </w:p>
    <w:p w14:paraId="450F6F79" w14:textId="77777777" w:rsidR="004867DA" w:rsidRPr="008362C4" w:rsidRDefault="004867DA" w:rsidP="00C45173">
      <w:pPr>
        <w:spacing w:line="14" w:lineRule="atLeast"/>
        <w:rPr>
          <w:color w:val="FFFFFF" w:themeColor="background1"/>
          <w:sz w:val="2"/>
          <w:szCs w:val="2"/>
        </w:rPr>
      </w:pPr>
    </w:p>
  </w:endnote>
  <w:endnote w:type="continuationSeparator" w:id="0">
    <w:p w14:paraId="7BEE0EBB" w14:textId="77777777" w:rsidR="004867DA" w:rsidRDefault="004867DA">
      <w:r>
        <w:continuationSeparator/>
      </w:r>
    </w:p>
    <w:p w14:paraId="76B804C1" w14:textId="77777777" w:rsidR="004867DA" w:rsidRDefault="004867DA"/>
  </w:endnote>
  <w:endnote w:type="continuationNotice" w:id="1">
    <w:p w14:paraId="40774D6A" w14:textId="77777777" w:rsidR="004867DA" w:rsidRDefault="004867DA">
      <w:pPr>
        <w:spacing w:line="240" w:lineRule="auto"/>
      </w:pPr>
    </w:p>
  </w:endnote>
  <w:endnote w:id="2">
    <w:p w14:paraId="05045F20" w14:textId="5DAE2993" w:rsidR="004272BE" w:rsidRDefault="004272BE" w:rsidP="00BC44CC">
      <w:pPr>
        <w:pStyle w:val="FootnoteTable"/>
        <w:spacing w:before="0" w:line="200" w:lineRule="exact"/>
        <w:ind w:right="253" w:firstLine="142"/>
        <w:contextualSpacing w:val="0"/>
        <w:jc w:val="left"/>
      </w:pPr>
      <w:r>
        <w:rPr>
          <w:i/>
        </w:rPr>
        <w:t>Abbreviations</w:t>
      </w:r>
      <w:r w:rsidRPr="00C07AA2">
        <w:rPr>
          <w:iCs/>
        </w:rPr>
        <w:t>:</w:t>
      </w:r>
      <w:r>
        <w:rPr>
          <w:iCs/>
        </w:rPr>
        <w:t xml:space="preserve"> </w:t>
      </w:r>
      <w:r w:rsidR="009E7EB3">
        <w:rPr>
          <w:iCs/>
        </w:rPr>
        <w:t xml:space="preserve">forum = forum on the impact of the implementation of response measures, </w:t>
      </w:r>
      <w:r w:rsidRPr="0069359C">
        <w:rPr>
          <w:szCs w:val="18"/>
        </w:rPr>
        <w:t xml:space="preserve">KCI = </w:t>
      </w:r>
      <w:r w:rsidRPr="0069359C">
        <w:rPr>
          <w:bCs/>
          <w:szCs w:val="18"/>
        </w:rPr>
        <w:t>Katowice Committee of Experts on the Impacts of the Implementation of Response Measures, SB = sessions of the subsidiary bodies.</w:t>
      </w:r>
    </w:p>
    <w:p w14:paraId="13C207A6" w14:textId="3893E1C8" w:rsidR="004272BE" w:rsidRPr="00B55CEE" w:rsidRDefault="004272BE" w:rsidP="00871506">
      <w:pPr>
        <w:pStyle w:val="EndnoteText"/>
        <w:tabs>
          <w:tab w:val="clear" w:pos="1021"/>
        </w:tabs>
        <w:spacing w:after="180" w:line="200" w:lineRule="exact"/>
        <w:ind w:left="0" w:right="395" w:firstLine="142"/>
        <w:rPr>
          <w:i w:val="0"/>
        </w:rPr>
      </w:pPr>
      <w:r w:rsidRPr="0007620E">
        <w:rPr>
          <w:rStyle w:val="EndnoteReference"/>
          <w:i/>
        </w:rPr>
        <w:endnoteRef/>
      </w:r>
      <w:r>
        <w:t xml:space="preserve"> </w:t>
      </w:r>
      <w:r w:rsidRPr="00871506">
        <w:rPr>
          <w:i w:val="0"/>
        </w:rPr>
        <w:t xml:space="preserve"> Timeline and modalities for implementation </w:t>
      </w:r>
      <w:r w:rsidR="00322213">
        <w:rPr>
          <w:i w:val="0"/>
        </w:rPr>
        <w:t xml:space="preserve">are to be </w:t>
      </w:r>
      <w:r w:rsidR="001D5A56">
        <w:rPr>
          <w:i w:val="0"/>
        </w:rPr>
        <w:t>prepared</w:t>
      </w:r>
      <w:r w:rsidRPr="00B55CEE">
        <w:rPr>
          <w:i w:val="0"/>
        </w:rPr>
        <w:t xml:space="preserve"> as per paras. 6–7 of this decision</w:t>
      </w:r>
      <w:r w:rsidR="001D5A56">
        <w:rPr>
          <w:i w:val="0"/>
        </w:rPr>
        <w:t>;</w:t>
      </w:r>
      <w:r w:rsidR="001D5A56" w:rsidRPr="00C50B5C">
        <w:rPr>
          <w:i w:val="0"/>
        </w:rPr>
        <w:t xml:space="preserve"> </w:t>
      </w:r>
      <w:r w:rsidR="001D5A56">
        <w:rPr>
          <w:i w:val="0"/>
        </w:rPr>
        <w:t>t</w:t>
      </w:r>
      <w:r w:rsidR="001D5A56" w:rsidRPr="00AF26C2">
        <w:rPr>
          <w:i w:val="0"/>
        </w:rPr>
        <w:t>hese</w:t>
      </w:r>
      <w:r w:rsidRPr="00AF26C2">
        <w:rPr>
          <w:i w:val="0"/>
        </w:rPr>
        <w:t xml:space="preserve"> are the modalities that may be used by the forum and its KCI to carry out the workplan</w:t>
      </w:r>
      <w:r w:rsidRPr="00B55CEE">
        <w:rPr>
          <w:i w:val="0"/>
        </w:rPr>
        <w:t>.</w:t>
      </w:r>
    </w:p>
    <w:p w14:paraId="1F4899C9" w14:textId="301AECB1" w:rsidR="00620EFA" w:rsidRPr="00871506" w:rsidRDefault="002D3156" w:rsidP="001D52D5">
      <w:pPr>
        <w:pStyle w:val="EndnoteText"/>
        <w:tabs>
          <w:tab w:val="clear" w:pos="1021"/>
        </w:tabs>
        <w:spacing w:line="200" w:lineRule="exact"/>
        <w:ind w:left="0" w:right="395" w:firstLine="142"/>
        <w:jc w:val="right"/>
        <w:rPr>
          <w:iCs/>
          <w:sz w:val="20"/>
        </w:rPr>
      </w:pPr>
      <w:r>
        <w:rPr>
          <w:iCs/>
          <w:sz w:val="20"/>
        </w:rPr>
        <w:t xml:space="preserve">Resumed </w:t>
      </w:r>
      <w:r w:rsidR="009052C5" w:rsidRPr="00871506">
        <w:rPr>
          <w:iCs/>
          <w:sz w:val="20"/>
        </w:rPr>
        <w:t>11</w:t>
      </w:r>
      <w:r w:rsidR="009052C5" w:rsidRPr="00871506">
        <w:rPr>
          <w:iCs/>
          <w:sz w:val="20"/>
          <w:vertAlign w:val="superscript"/>
        </w:rPr>
        <w:t>th</w:t>
      </w:r>
      <w:r w:rsidR="009052C5" w:rsidRPr="00871506">
        <w:rPr>
          <w:iCs/>
          <w:sz w:val="20"/>
        </w:rPr>
        <w:t xml:space="preserve"> </w:t>
      </w:r>
      <w:r w:rsidR="00620EFA" w:rsidRPr="00871506">
        <w:rPr>
          <w:iCs/>
          <w:sz w:val="20"/>
        </w:rPr>
        <w:t>plenary meeting</w:t>
      </w:r>
    </w:p>
    <w:p w14:paraId="29C0B121" w14:textId="6B276087" w:rsidR="00620EFA" w:rsidRPr="0007620E" w:rsidRDefault="009052C5" w:rsidP="00871506">
      <w:pPr>
        <w:pStyle w:val="EndnoteText"/>
        <w:tabs>
          <w:tab w:val="clear" w:pos="1021"/>
        </w:tabs>
        <w:spacing w:line="200" w:lineRule="exact"/>
        <w:ind w:left="0" w:right="395" w:firstLine="142"/>
        <w:jc w:val="right"/>
        <w:rPr>
          <w:i w:val="0"/>
          <w:lang w:val="en-US"/>
        </w:rPr>
      </w:pPr>
      <w:r w:rsidRPr="00871506">
        <w:rPr>
          <w:iCs/>
          <w:sz w:val="20"/>
        </w:rPr>
        <w:t>23</w:t>
      </w:r>
      <w:r w:rsidR="00620EFA" w:rsidRPr="00871506">
        <w:rPr>
          <w:iCs/>
          <w:sz w:val="20"/>
        </w:rPr>
        <w:t xml:space="preserve"> November 2024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charset w:val="CC"/>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4F6F" w14:textId="379FB3D4" w:rsidR="00E56563"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w:t>
    </w:r>
    <w:r w:rsidRPr="00E56563">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367A" w14:textId="34A37A91"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12</w:t>
    </w:r>
    <w:r w:rsidRPr="00E56563">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8552" w14:textId="45B7C47B"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15</w:t>
    </w:r>
    <w:r w:rsidRPr="00E56563">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7B89" w14:textId="6747EDAF"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14</w:t>
    </w:r>
    <w:r w:rsidRPr="00E56563">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585B" w14:textId="2F4F20FD"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17</w:t>
    </w:r>
    <w:r w:rsidRPr="00E56563">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DEEB" w14:textId="7D211DC9"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16</w:t>
    </w:r>
    <w:r w:rsidRPr="00E56563">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E9" w14:textId="588DAC84"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19</w:t>
    </w:r>
    <w:r w:rsidRPr="00E56563">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7235" w14:textId="7E284D11"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18</w:t>
    </w:r>
    <w:r w:rsidRPr="00E56563">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44A" w14:textId="024BF9F5" w:rsidR="004272BE" w:rsidRPr="00E56563" w:rsidRDefault="00E56563" w:rsidP="00E56563">
    <w:pPr>
      <w:pStyle w:val="Footer"/>
    </w:pPr>
    <w:r>
      <w:rPr>
        <w:noProof/>
      </w:rPr>
      <mc:AlternateContent>
        <mc:Choice Requires="wps">
          <w:drawing>
            <wp:anchor distT="0" distB="0" distL="114300" distR="114300" simplePos="0" relativeHeight="251658241" behindDoc="0" locked="0" layoutInCell="1" allowOverlap="1" wp14:anchorId="37C0EAF2" wp14:editId="3011F46F">
              <wp:simplePos x="0" y="0"/>
              <wp:positionH relativeFrom="margin">
                <wp:posOffset>-431800</wp:posOffset>
              </wp:positionH>
              <wp:positionV relativeFrom="margin">
                <wp:posOffset>0</wp:posOffset>
              </wp:positionV>
              <wp:extent cx="222885" cy="6120130"/>
              <wp:effectExtent l="0" t="0" r="5715"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7B9395F" w14:textId="77777777" w:rsidR="00E56563"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Pr>
                              <w:b/>
                              <w:sz w:val="18"/>
                            </w:rPr>
                            <w:t>22</w:t>
                          </w:r>
                          <w:r w:rsidRPr="00E56563">
                            <w:rPr>
                              <w:b/>
                              <w:sz w:val="18"/>
                            </w:rPr>
                            <w:fldChar w:fldCharType="end"/>
                          </w:r>
                          <w:r>
                            <w:rPr>
                              <w:sz w:val="18"/>
                            </w:rPr>
                            <w:tab/>
                          </w:r>
                        </w:p>
                        <w:p w14:paraId="0D1C33BA" w14:textId="77777777" w:rsidR="00E56563" w:rsidRDefault="00E56563"/>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7C0EAF2" id="_x0000_t202" coordsize="21600,21600" o:spt="202" path="m,l,21600r21600,l21600,xe">
              <v:stroke joinstyle="miter"/>
              <v:path gradientshapeok="t" o:connecttype="rect"/>
            </v:shapetype>
            <v:shape id="Text Box 12" o:spid="_x0000_s1028" type="#_x0000_t202" style="position:absolute;margin-left:-34pt;margin-top:0;width:17.55pt;height:481.9pt;z-index:25165824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77B9395F" w14:textId="77777777" w:rsidR="00E56563"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Pr>
                        <w:b/>
                        <w:sz w:val="18"/>
                      </w:rPr>
                      <w:t>22</w:t>
                    </w:r>
                    <w:r w:rsidRPr="00E56563">
                      <w:rPr>
                        <w:b/>
                        <w:sz w:val="18"/>
                      </w:rPr>
                      <w:fldChar w:fldCharType="end"/>
                    </w:r>
                    <w:r>
                      <w:rPr>
                        <w:sz w:val="18"/>
                      </w:rPr>
                      <w:tab/>
                    </w:r>
                  </w:p>
                  <w:p w14:paraId="0D1C33BA" w14:textId="77777777" w:rsidR="00E56563" w:rsidRDefault="00E56563"/>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EA89" w14:textId="0A90E9DA" w:rsidR="004272BE" w:rsidRPr="006D292B" w:rsidRDefault="006D292B" w:rsidP="006D292B">
    <w:pPr>
      <w:pStyle w:val="Footer"/>
    </w:pPr>
    <w:r>
      <w:rPr>
        <w:noProof/>
      </w:rPr>
      <mc:AlternateContent>
        <mc:Choice Requires="wps">
          <w:drawing>
            <wp:anchor distT="0" distB="0" distL="114300" distR="114300" simplePos="0" relativeHeight="251658242" behindDoc="0" locked="0" layoutInCell="1" allowOverlap="1" wp14:anchorId="7467FD99" wp14:editId="1F20F80A">
              <wp:simplePos x="0" y="0"/>
              <wp:positionH relativeFrom="margin">
                <wp:posOffset>-431800</wp:posOffset>
              </wp:positionH>
              <wp:positionV relativeFrom="margin">
                <wp:posOffset>0</wp:posOffset>
              </wp:positionV>
              <wp:extent cx="222885" cy="6120130"/>
              <wp:effectExtent l="0" t="0" r="571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A632EE7" w14:textId="77777777" w:rsidR="006D292B" w:rsidRPr="006D292B" w:rsidRDefault="006D292B" w:rsidP="006D292B">
                          <w:pPr>
                            <w:pStyle w:val="Footer"/>
                            <w:tabs>
                              <w:tab w:val="right" w:pos="9638"/>
                            </w:tabs>
                            <w:rPr>
                              <w:b/>
                              <w:sz w:val="18"/>
                            </w:rPr>
                          </w:pPr>
                          <w:r>
                            <w:tab/>
                          </w:r>
                          <w:r w:rsidRPr="006D292B">
                            <w:rPr>
                              <w:b/>
                              <w:sz w:val="18"/>
                            </w:rPr>
                            <w:fldChar w:fldCharType="begin"/>
                          </w:r>
                          <w:r w:rsidRPr="006D292B">
                            <w:rPr>
                              <w:b/>
                              <w:sz w:val="18"/>
                            </w:rPr>
                            <w:instrText xml:space="preserve"> PAGE  \* MERGEFORMAT </w:instrText>
                          </w:r>
                          <w:r w:rsidRPr="006D292B">
                            <w:rPr>
                              <w:b/>
                              <w:sz w:val="18"/>
                            </w:rPr>
                            <w:fldChar w:fldCharType="separate"/>
                          </w:r>
                          <w:r>
                            <w:rPr>
                              <w:b/>
                              <w:sz w:val="18"/>
                            </w:rPr>
                            <w:t>23</w:t>
                          </w:r>
                          <w:r w:rsidRPr="006D292B">
                            <w:rPr>
                              <w:b/>
                              <w:sz w:val="18"/>
                            </w:rPr>
                            <w:fldChar w:fldCharType="end"/>
                          </w:r>
                        </w:p>
                        <w:p w14:paraId="3B41E9DA" w14:textId="77777777" w:rsidR="006D292B" w:rsidRDefault="006D292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467FD99" id="_x0000_t202" coordsize="21600,21600" o:spt="202" path="m,l,21600r21600,l21600,xe">
              <v:stroke joinstyle="miter"/>
              <v:path gradientshapeok="t" o:connecttype="rect"/>
            </v:shapetype>
            <v:shape id="Text Box 15" o:spid="_x0000_s1029" type="#_x0000_t202" style="position:absolute;margin-left:-34pt;margin-top:0;width:17.55pt;height:481.9pt;z-index:25165824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1A632EE7" w14:textId="77777777" w:rsidR="006D292B" w:rsidRPr="006D292B" w:rsidRDefault="006D292B" w:rsidP="006D292B">
                    <w:pPr>
                      <w:pStyle w:val="Footer"/>
                      <w:tabs>
                        <w:tab w:val="right" w:pos="9638"/>
                      </w:tabs>
                      <w:rPr>
                        <w:b/>
                        <w:sz w:val="18"/>
                      </w:rPr>
                    </w:pPr>
                    <w:r>
                      <w:tab/>
                    </w:r>
                    <w:r w:rsidRPr="006D292B">
                      <w:rPr>
                        <w:b/>
                        <w:sz w:val="18"/>
                      </w:rPr>
                      <w:fldChar w:fldCharType="begin"/>
                    </w:r>
                    <w:r w:rsidRPr="006D292B">
                      <w:rPr>
                        <w:b/>
                        <w:sz w:val="18"/>
                      </w:rPr>
                      <w:instrText xml:space="preserve"> PAGE  \* MERGEFORMAT </w:instrText>
                    </w:r>
                    <w:r w:rsidRPr="006D292B">
                      <w:rPr>
                        <w:b/>
                        <w:sz w:val="18"/>
                      </w:rPr>
                      <w:fldChar w:fldCharType="separate"/>
                    </w:r>
                    <w:r>
                      <w:rPr>
                        <w:b/>
                        <w:sz w:val="18"/>
                      </w:rPr>
                      <w:t>23</w:t>
                    </w:r>
                    <w:r w:rsidRPr="006D292B">
                      <w:rPr>
                        <w:b/>
                        <w:sz w:val="18"/>
                      </w:rPr>
                      <w:fldChar w:fldCharType="end"/>
                    </w:r>
                  </w:p>
                  <w:p w14:paraId="3B41E9DA" w14:textId="77777777" w:rsidR="006D292B" w:rsidRDefault="006D292B"/>
                </w:txbxContent>
              </v:textbox>
              <w10:wrap anchorx="margin" anchory="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7BFE" w14:textId="4DAD856A" w:rsidR="00974B59"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25</w:t>
    </w:r>
    <w:r w:rsidRPr="00E56563">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2956E" w14:textId="0223572E" w:rsidR="00C738E4"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4</w:t>
    </w:r>
    <w:r w:rsidRPr="00E56563">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BAD6" w14:textId="66AC52A7" w:rsidR="00353786" w:rsidRPr="00CC38AB" w:rsidRDefault="00CC38AB" w:rsidP="00CC38AB">
    <w:pPr>
      <w:pStyle w:val="Footer"/>
      <w:tabs>
        <w:tab w:val="right" w:pos="9638"/>
      </w:tabs>
      <w:rPr>
        <w:b/>
        <w:sz w:val="18"/>
      </w:rPr>
    </w:pPr>
    <w:r>
      <w:tab/>
    </w:r>
    <w:r w:rsidRPr="00CC38AB">
      <w:rPr>
        <w:b/>
        <w:sz w:val="18"/>
      </w:rPr>
      <w:fldChar w:fldCharType="begin"/>
    </w:r>
    <w:r w:rsidRPr="00CC38AB">
      <w:rPr>
        <w:b/>
        <w:sz w:val="18"/>
      </w:rPr>
      <w:instrText xml:space="preserve"> PAGE  \* MERGEFORMAT </w:instrText>
    </w:r>
    <w:r w:rsidRPr="00CC38AB">
      <w:rPr>
        <w:b/>
        <w:sz w:val="18"/>
      </w:rPr>
      <w:fldChar w:fldCharType="separate"/>
    </w:r>
    <w:r w:rsidRPr="00CC38AB">
      <w:rPr>
        <w:b/>
        <w:noProof/>
        <w:sz w:val="18"/>
      </w:rPr>
      <w:t>26</w:t>
    </w:r>
    <w:r w:rsidRPr="00CC38AB">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1704" w14:textId="103A0BB0" w:rsidR="00CC38AB"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26</w:t>
    </w:r>
    <w:r w:rsidRPr="00E56563">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83DD" w14:textId="221FF30F"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27</w:t>
    </w:r>
    <w:r w:rsidRPr="00E56563">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16ED" w14:textId="7E1F88BF"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28</w:t>
    </w:r>
    <w:r w:rsidRPr="00E56563">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B563" w14:textId="0EF7BA34"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29</w:t>
    </w:r>
    <w:r w:rsidRPr="00E56563">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5F3F" w14:textId="47B528A5"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30</w:t>
    </w:r>
    <w:r w:rsidRPr="00E56563">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B419" w14:textId="7B1F4A31"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31</w:t>
    </w:r>
    <w:r w:rsidRPr="00E56563">
      <w:rPr>
        <w:b/>
        <w:sz w:val="18"/>
      </w:rPr>
      <w:fldChar w:fldCharType="end"/>
    </w:r>
    <w:r>
      <w:rPr>
        <w:sz w:val="18"/>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C8F4" w14:textId="2A3949FD"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32</w:t>
    </w:r>
    <w:r w:rsidRPr="00E56563">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9EB5" w14:textId="6882BAF2"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33</w:t>
    </w:r>
    <w:r w:rsidRPr="00E5656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8679" w14:textId="77777777" w:rsidR="00E56563"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3</w:t>
    </w:r>
    <w:r w:rsidRPr="00E56563">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F151" w14:textId="77777777" w:rsidR="00E56563"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4</w:t>
    </w:r>
    <w:r w:rsidRPr="00E56563">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66AE" w14:textId="3FF7141E"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7</w:t>
    </w:r>
    <w:r w:rsidRPr="00E56563">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780" w14:textId="2935273A" w:rsidR="0027292C"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8</w:t>
    </w:r>
    <w:r w:rsidRPr="00E56563">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9A53" w14:textId="77777777" w:rsidR="00E56563"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7</w:t>
    </w:r>
    <w:r w:rsidRPr="00E56563">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81F4" w14:textId="77777777" w:rsidR="00E56563" w:rsidRPr="00E56563" w:rsidRDefault="00E56563" w:rsidP="00E56563">
    <w:pPr>
      <w:pStyle w:val="Footer"/>
      <w:tabs>
        <w:tab w:val="right" w:pos="9638"/>
      </w:tabs>
      <w:rPr>
        <w:b/>
        <w:sz w:val="18"/>
      </w:rPr>
    </w:pPr>
    <w:r>
      <w:tab/>
    </w: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8</w:t>
    </w:r>
    <w:r w:rsidRPr="00E56563">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C8A4" w14:textId="5D3DDDEE" w:rsidR="0027292C" w:rsidRPr="00E56563" w:rsidRDefault="00E56563" w:rsidP="00E56563">
    <w:pPr>
      <w:pStyle w:val="Footer"/>
      <w:tabs>
        <w:tab w:val="right" w:pos="9638"/>
      </w:tabs>
    </w:pPr>
    <w:r w:rsidRPr="00E56563">
      <w:rPr>
        <w:b/>
        <w:sz w:val="18"/>
      </w:rPr>
      <w:fldChar w:fldCharType="begin"/>
    </w:r>
    <w:r w:rsidRPr="00E56563">
      <w:rPr>
        <w:b/>
        <w:sz w:val="18"/>
      </w:rPr>
      <w:instrText xml:space="preserve"> PAGE  \* MERGEFORMAT </w:instrText>
    </w:r>
    <w:r w:rsidRPr="00E56563">
      <w:rPr>
        <w:b/>
        <w:sz w:val="18"/>
      </w:rPr>
      <w:fldChar w:fldCharType="separate"/>
    </w:r>
    <w:r w:rsidRPr="00E56563">
      <w:rPr>
        <w:b/>
        <w:noProof/>
        <w:sz w:val="18"/>
      </w:rPr>
      <w:t>11</w:t>
    </w:r>
    <w:r w:rsidRPr="00E56563">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5B0C" w14:textId="77777777" w:rsidR="004867DA" w:rsidRDefault="004867DA">
      <w:r>
        <w:separator/>
      </w:r>
    </w:p>
  </w:footnote>
  <w:footnote w:type="continuationSeparator" w:id="0">
    <w:p w14:paraId="1F135FB9" w14:textId="77777777" w:rsidR="004867DA" w:rsidRDefault="004867DA">
      <w:r>
        <w:continuationSeparator/>
      </w:r>
    </w:p>
    <w:p w14:paraId="454BEC03" w14:textId="77777777" w:rsidR="004867DA" w:rsidRDefault="004867DA"/>
  </w:footnote>
  <w:footnote w:type="continuationNotice" w:id="1">
    <w:p w14:paraId="717EABA2" w14:textId="77777777" w:rsidR="004867DA" w:rsidRDefault="004867DA">
      <w:pPr>
        <w:spacing w:line="240" w:lineRule="auto"/>
      </w:pPr>
    </w:p>
  </w:footnote>
  <w:footnote w:id="2">
    <w:p w14:paraId="40CDBCF5" w14:textId="013D7626" w:rsidR="00114013" w:rsidRPr="009D418C" w:rsidRDefault="00114013" w:rsidP="00114013">
      <w:pPr>
        <w:pStyle w:val="FootnoteText"/>
        <w:widowControl w:val="0"/>
        <w:tabs>
          <w:tab w:val="clear" w:pos="1021"/>
          <w:tab w:val="right" w:pos="1020"/>
        </w:tabs>
      </w:pPr>
      <w:r w:rsidRPr="009D418C">
        <w:tab/>
      </w:r>
      <w:r w:rsidRPr="009D418C">
        <w:rPr>
          <w:rStyle w:val="FootnoteReference"/>
        </w:rPr>
        <w:footnoteRef/>
      </w:r>
      <w:r w:rsidRPr="009D418C">
        <w:tab/>
        <w:t xml:space="preserve">See decision </w:t>
      </w:r>
      <w:hyperlink r:id="rId1" w:history="1">
        <w:r w:rsidRPr="009D418C">
          <w:rPr>
            <w:rStyle w:val="Hyperlink"/>
          </w:rPr>
          <w:t>10/CP.25</w:t>
        </w:r>
      </w:hyperlink>
      <w:r w:rsidRPr="009D418C">
        <w:t>, para. 15.</w:t>
      </w:r>
    </w:p>
  </w:footnote>
  <w:footnote w:id="3">
    <w:p w14:paraId="2FD6CB76" w14:textId="6C07F302" w:rsidR="00114013" w:rsidRPr="009D418C" w:rsidRDefault="00114013" w:rsidP="00114013">
      <w:pPr>
        <w:pStyle w:val="FootnoteText"/>
        <w:widowControl w:val="0"/>
        <w:tabs>
          <w:tab w:val="clear" w:pos="1021"/>
          <w:tab w:val="right" w:pos="1020"/>
        </w:tabs>
      </w:pPr>
      <w:r w:rsidRPr="009D418C">
        <w:tab/>
      </w:r>
      <w:r w:rsidRPr="009D418C">
        <w:rPr>
          <w:rStyle w:val="FootnoteReference"/>
        </w:rPr>
        <w:footnoteRef/>
      </w:r>
      <w:r w:rsidRPr="009D418C">
        <w:tab/>
        <w:t xml:space="preserve">Developed as per decision </w:t>
      </w:r>
      <w:hyperlink r:id="rId2" w:history="1">
        <w:r w:rsidRPr="009D418C">
          <w:rPr>
            <w:rStyle w:val="Hyperlink"/>
          </w:rPr>
          <w:t>10/CP.25</w:t>
        </w:r>
      </w:hyperlink>
      <w:r w:rsidRPr="009D418C">
        <w:t>, para. 14.</w:t>
      </w:r>
    </w:p>
  </w:footnote>
  <w:footnote w:id="4">
    <w:p w14:paraId="5E483A25" w14:textId="77777777" w:rsidR="00114013" w:rsidRPr="009D418C" w:rsidRDefault="00114013" w:rsidP="00114013">
      <w:pPr>
        <w:pStyle w:val="FootnoteText"/>
        <w:widowControl w:val="0"/>
        <w:tabs>
          <w:tab w:val="clear" w:pos="1021"/>
          <w:tab w:val="right" w:pos="1020"/>
        </w:tabs>
      </w:pPr>
      <w:r w:rsidRPr="009D418C">
        <w:tab/>
      </w:r>
      <w:r w:rsidRPr="009D418C">
        <w:rPr>
          <w:rStyle w:val="FootnoteReference"/>
        </w:rPr>
        <w:footnoteRef/>
      </w:r>
      <w:r w:rsidRPr="009D418C">
        <w:tab/>
      </w:r>
      <w:hyperlink r:id="rId3" w:history="1">
        <w:r w:rsidRPr="009D418C">
          <w:rPr>
            <w:rStyle w:val="Hyperlink"/>
          </w:rPr>
          <w:t>https://www4.unfccc.int/sites/submissionsstaging/Pages/Home.aspx</w:t>
        </w:r>
      </w:hyperlink>
      <w:r w:rsidRPr="009D418C">
        <w:rPr>
          <w:rStyle w:val="Hyperlink"/>
          <w:color w:val="auto"/>
        </w:rPr>
        <w:t>.</w:t>
      </w:r>
    </w:p>
  </w:footnote>
  <w:footnote w:id="5">
    <w:p w14:paraId="4329948B" w14:textId="40032469" w:rsidR="00DD66EB" w:rsidRPr="009D418C" w:rsidRDefault="00DD66EB" w:rsidP="00DD66EB">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4" w:history="1">
        <w:r w:rsidRPr="009D418C">
          <w:rPr>
            <w:rStyle w:val="Hyperlink"/>
          </w:rPr>
          <w:t>10/CP.25</w:t>
        </w:r>
      </w:hyperlink>
      <w:r w:rsidRPr="009D418C">
        <w:t>, para. 14.</w:t>
      </w:r>
    </w:p>
  </w:footnote>
  <w:footnote w:id="6">
    <w:p w14:paraId="2D347628" w14:textId="33C4109D" w:rsidR="00DD66EB" w:rsidRPr="009D418C" w:rsidRDefault="00DD66EB" w:rsidP="00DD66EB">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5" w:history="1">
        <w:r w:rsidRPr="009D418C">
          <w:rPr>
            <w:rStyle w:val="Hyperlink"/>
          </w:rPr>
          <w:t>2/CP.7</w:t>
        </w:r>
      </w:hyperlink>
      <w:r w:rsidRPr="009D418C">
        <w:t>, annex, para. 17.</w:t>
      </w:r>
    </w:p>
  </w:footnote>
  <w:footnote w:id="7">
    <w:p w14:paraId="0032F3B9" w14:textId="2E891FED" w:rsidR="00243B3A" w:rsidRPr="009D418C" w:rsidRDefault="00243B3A" w:rsidP="00243B3A">
      <w:pPr>
        <w:pStyle w:val="FootnoteText"/>
        <w:widowControl w:val="0"/>
        <w:tabs>
          <w:tab w:val="clear" w:pos="1021"/>
          <w:tab w:val="right" w:pos="1020"/>
        </w:tabs>
      </w:pPr>
      <w:r w:rsidRPr="009D418C">
        <w:tab/>
      </w:r>
      <w:r w:rsidRPr="009D418C">
        <w:rPr>
          <w:rStyle w:val="FootnoteReference"/>
        </w:rPr>
        <w:footnoteRef/>
      </w:r>
      <w:r w:rsidRPr="009D418C">
        <w:tab/>
      </w:r>
      <w:hyperlink r:id="rId6" w:history="1">
        <w:r w:rsidRPr="009D418C">
          <w:rPr>
            <w:rStyle w:val="Hyperlink"/>
          </w:rPr>
          <w:t>FCCC/SBI/2020/13</w:t>
        </w:r>
      </w:hyperlink>
      <w:r w:rsidRPr="009D418C">
        <w:t xml:space="preserve">, </w:t>
      </w:r>
      <w:hyperlink r:id="rId7" w:history="1">
        <w:r w:rsidRPr="009D418C">
          <w:rPr>
            <w:rStyle w:val="Hyperlink"/>
          </w:rPr>
          <w:t>FCCC/SBI/2021/10</w:t>
        </w:r>
      </w:hyperlink>
      <w:r w:rsidRPr="009D418C">
        <w:t xml:space="preserve">, </w:t>
      </w:r>
      <w:hyperlink r:id="rId8" w:history="1">
        <w:r w:rsidRPr="009D418C">
          <w:rPr>
            <w:rStyle w:val="Hyperlink"/>
          </w:rPr>
          <w:t>FCCC/SBI/2022/14</w:t>
        </w:r>
      </w:hyperlink>
      <w:r w:rsidRPr="009D418C">
        <w:t xml:space="preserve"> and </w:t>
      </w:r>
      <w:hyperlink r:id="rId9" w:history="1">
        <w:r w:rsidRPr="009D418C">
          <w:rPr>
            <w:rStyle w:val="Hyperlink"/>
          </w:rPr>
          <w:t>FCCC/SBI/2023/14</w:t>
        </w:r>
      </w:hyperlink>
      <w:r w:rsidRPr="009D418C">
        <w:t xml:space="preserve"> respectively.</w:t>
      </w:r>
    </w:p>
  </w:footnote>
  <w:footnote w:id="8">
    <w:p w14:paraId="3DBCAF30" w14:textId="2107D17E" w:rsidR="00243B3A" w:rsidRPr="009D418C" w:rsidRDefault="00243B3A" w:rsidP="00243B3A">
      <w:pPr>
        <w:pStyle w:val="FootnoteText"/>
        <w:widowControl w:val="0"/>
        <w:tabs>
          <w:tab w:val="clear" w:pos="1021"/>
          <w:tab w:val="right" w:pos="1020"/>
        </w:tabs>
      </w:pPr>
      <w:r w:rsidRPr="009D418C">
        <w:tab/>
      </w:r>
      <w:r w:rsidRPr="009D418C">
        <w:rPr>
          <w:rStyle w:val="FootnoteReference"/>
        </w:rPr>
        <w:footnoteRef/>
      </w:r>
      <w:r w:rsidRPr="009D418C">
        <w:tab/>
      </w:r>
      <w:hyperlink r:id="rId10" w:history="1">
        <w:r w:rsidRPr="009D418C">
          <w:rPr>
            <w:rStyle w:val="Hyperlink"/>
            <w:szCs w:val="18"/>
          </w:rPr>
          <w:t>FCCC/SBI/2024/6</w:t>
        </w:r>
      </w:hyperlink>
      <w:r w:rsidRPr="009D418C">
        <w:rPr>
          <w:szCs w:val="18"/>
        </w:rPr>
        <w:t>.</w:t>
      </w:r>
      <w:r w:rsidRPr="009D418C">
        <w:t xml:space="preserve"> </w:t>
      </w:r>
    </w:p>
  </w:footnote>
  <w:footnote w:id="9">
    <w:p w14:paraId="0A999A03" w14:textId="25A0383E" w:rsidR="00243B3A" w:rsidRPr="009D418C" w:rsidRDefault="00243B3A" w:rsidP="00243B3A">
      <w:pPr>
        <w:pStyle w:val="FootnoteText"/>
        <w:widowControl w:val="0"/>
      </w:pPr>
      <w:r w:rsidRPr="009D418C">
        <w:tab/>
      </w:r>
      <w:r w:rsidRPr="009D418C">
        <w:rPr>
          <w:rStyle w:val="FootnoteReference"/>
        </w:rPr>
        <w:footnoteRef/>
      </w:r>
      <w:r w:rsidRPr="009D418C">
        <w:tab/>
        <w:t xml:space="preserve">Decision </w:t>
      </w:r>
      <w:hyperlink r:id="rId11" w:history="1">
        <w:r w:rsidRPr="009D418C">
          <w:rPr>
            <w:rStyle w:val="Hyperlink"/>
          </w:rPr>
          <w:t>9/CP.25</w:t>
        </w:r>
      </w:hyperlink>
      <w:r w:rsidRPr="009D418C">
        <w:t xml:space="preserve">, para. 9. </w:t>
      </w:r>
    </w:p>
  </w:footnote>
  <w:footnote w:id="10">
    <w:p w14:paraId="1A17E770" w14:textId="085AEB7C" w:rsidR="00F47B51" w:rsidRPr="009D418C" w:rsidRDefault="00F47B51" w:rsidP="00F032DF">
      <w:pPr>
        <w:pStyle w:val="FootnoteText"/>
        <w:widowControl w:val="0"/>
        <w:tabs>
          <w:tab w:val="clear" w:pos="1021"/>
          <w:tab w:val="right" w:pos="1020"/>
        </w:tabs>
      </w:pPr>
      <w:r w:rsidRPr="009D418C">
        <w:tab/>
      </w:r>
      <w:r w:rsidRPr="009D418C">
        <w:rPr>
          <w:rStyle w:val="FootnoteReference"/>
        </w:rPr>
        <w:footnoteRef/>
      </w:r>
      <w:r w:rsidRPr="009D418C">
        <w:tab/>
      </w:r>
      <w:r w:rsidR="00932B7F" w:rsidRPr="009D418C">
        <w:t xml:space="preserve">Available at: </w:t>
      </w:r>
      <w:hyperlink r:id="rId12" w:history="1">
        <w:r w:rsidR="00932B7F" w:rsidRPr="009D418C">
          <w:rPr>
            <w:rStyle w:val="Hyperlink"/>
          </w:rPr>
          <w:t>https://unfccc.int/documents/267207</w:t>
        </w:r>
      </w:hyperlink>
      <w:r w:rsidR="00F92AC9" w:rsidRPr="009D418C">
        <w:t>.</w:t>
      </w:r>
      <w:r w:rsidRPr="009D418C">
        <w:t xml:space="preserve"> </w:t>
      </w:r>
    </w:p>
  </w:footnote>
  <w:footnote w:id="11">
    <w:p w14:paraId="41B61139" w14:textId="66F8C3D4" w:rsidR="00243B3A" w:rsidRPr="009D418C" w:rsidRDefault="00243B3A" w:rsidP="00243B3A">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13" w:history="1">
        <w:r w:rsidRPr="009D418C">
          <w:rPr>
            <w:rStyle w:val="Hyperlink"/>
          </w:rPr>
          <w:t>1/CP.21</w:t>
        </w:r>
      </w:hyperlink>
      <w:r w:rsidRPr="009D418C">
        <w:t xml:space="preserve">, para. 71. </w:t>
      </w:r>
    </w:p>
  </w:footnote>
  <w:footnote w:id="12">
    <w:p w14:paraId="0984E3AD" w14:textId="5DA9686B" w:rsidR="005924A9" w:rsidRPr="009D418C" w:rsidRDefault="005924A9" w:rsidP="005924A9">
      <w:pPr>
        <w:pStyle w:val="FootnoteText"/>
        <w:widowControl w:val="0"/>
      </w:pPr>
      <w:r w:rsidRPr="009D418C">
        <w:tab/>
      </w:r>
      <w:r w:rsidRPr="009D418C">
        <w:rPr>
          <w:rStyle w:val="FootnoteReference"/>
        </w:rPr>
        <w:footnoteRef/>
      </w:r>
      <w:r w:rsidRPr="009D418C">
        <w:tab/>
      </w:r>
      <w:hyperlink r:id="rId14" w:history="1">
        <w:r w:rsidR="000C53D1" w:rsidRPr="009D418C">
          <w:rPr>
            <w:rStyle w:val="Hyperlink"/>
          </w:rPr>
          <w:t>https://unfccc.int/cbportal</w:t>
        </w:r>
      </w:hyperlink>
      <w:r w:rsidRPr="009D418C">
        <w:t>.</w:t>
      </w:r>
    </w:p>
  </w:footnote>
  <w:footnote w:id="13">
    <w:p w14:paraId="51AABB46" w14:textId="5CE37FB3" w:rsidR="00C3172F" w:rsidRPr="009D418C" w:rsidRDefault="00C3172F" w:rsidP="00C3172F">
      <w:pPr>
        <w:pStyle w:val="FootnoteText"/>
        <w:widowControl w:val="0"/>
        <w:tabs>
          <w:tab w:val="clear" w:pos="1021"/>
          <w:tab w:val="right" w:pos="1020"/>
        </w:tabs>
      </w:pPr>
      <w:r w:rsidRPr="009D418C">
        <w:tab/>
      </w:r>
      <w:r w:rsidRPr="009D418C">
        <w:rPr>
          <w:rStyle w:val="FootnoteReference"/>
        </w:rPr>
        <w:footnoteRef/>
      </w:r>
      <w:r w:rsidRPr="009D418C">
        <w:tab/>
      </w:r>
      <w:hyperlink r:id="rId15" w:history="1">
        <w:r w:rsidRPr="009D418C">
          <w:rPr>
            <w:rStyle w:val="Hyperlink"/>
          </w:rPr>
          <w:t>FCCC/SBI/2024/19</w:t>
        </w:r>
      </w:hyperlink>
      <w:r w:rsidRPr="009D418C">
        <w:t xml:space="preserve">. </w:t>
      </w:r>
    </w:p>
  </w:footnote>
  <w:footnote w:id="14">
    <w:p w14:paraId="1DDF5E53" w14:textId="7F69EB50" w:rsidR="00C3172F" w:rsidRPr="009D418C" w:rsidRDefault="00C3172F" w:rsidP="00C3172F">
      <w:pPr>
        <w:pStyle w:val="FootnoteText"/>
        <w:widowControl w:val="0"/>
        <w:tabs>
          <w:tab w:val="clear" w:pos="1021"/>
          <w:tab w:val="right" w:pos="1020"/>
        </w:tabs>
      </w:pPr>
      <w:r w:rsidRPr="009D418C">
        <w:tab/>
      </w:r>
      <w:r w:rsidRPr="009D418C">
        <w:rPr>
          <w:rStyle w:val="FootnoteReference"/>
        </w:rPr>
        <w:footnoteRef/>
      </w:r>
      <w:r w:rsidRPr="009D418C">
        <w:tab/>
        <w:t xml:space="preserve">See document </w:t>
      </w:r>
      <w:hyperlink r:id="rId16" w:history="1">
        <w:r w:rsidRPr="009D418C">
          <w:rPr>
            <w:rStyle w:val="Hyperlink"/>
          </w:rPr>
          <w:t>FCCC/SBI/2024/19</w:t>
        </w:r>
      </w:hyperlink>
      <w:r w:rsidRPr="009D418C">
        <w:t>, chap. II.B.3.</w:t>
      </w:r>
      <w:r w:rsidR="00853333">
        <w:t xml:space="preserve"> </w:t>
      </w:r>
    </w:p>
  </w:footnote>
  <w:footnote w:id="15">
    <w:p w14:paraId="1D324D3A" w14:textId="51BC124F" w:rsidR="00C3172F" w:rsidRPr="009D418C" w:rsidRDefault="00C3172F" w:rsidP="00C3172F">
      <w:pPr>
        <w:pStyle w:val="FootnoteText"/>
        <w:widowControl w:val="0"/>
        <w:tabs>
          <w:tab w:val="clear" w:pos="1021"/>
          <w:tab w:val="right" w:pos="1020"/>
        </w:tabs>
      </w:pPr>
      <w:r w:rsidRPr="009D418C">
        <w:tab/>
      </w:r>
      <w:r w:rsidRPr="009D418C">
        <w:rPr>
          <w:rStyle w:val="FootnoteReference"/>
        </w:rPr>
        <w:footnoteRef/>
      </w:r>
      <w:r w:rsidRPr="009D418C">
        <w:tab/>
      </w:r>
      <w:hyperlink r:id="rId17" w:history="1">
        <w:r w:rsidRPr="009D418C">
          <w:rPr>
            <w:rStyle w:val="Hyperlink"/>
          </w:rPr>
          <w:t>FCCC/SBI/2020/13</w:t>
        </w:r>
      </w:hyperlink>
      <w:r w:rsidRPr="009D418C">
        <w:t xml:space="preserve">, annex I. </w:t>
      </w:r>
    </w:p>
  </w:footnote>
  <w:footnote w:id="16">
    <w:p w14:paraId="2DC970F4" w14:textId="3735D7B4" w:rsidR="00C3172F" w:rsidRPr="009D418C" w:rsidRDefault="00C3172F" w:rsidP="00C3172F">
      <w:pPr>
        <w:pStyle w:val="FootnoteText"/>
        <w:widowControl w:val="0"/>
        <w:tabs>
          <w:tab w:val="clear" w:pos="1021"/>
          <w:tab w:val="right" w:pos="1020"/>
        </w:tabs>
      </w:pPr>
      <w:r w:rsidRPr="009D418C">
        <w:tab/>
      </w:r>
      <w:r w:rsidRPr="009D418C">
        <w:rPr>
          <w:rStyle w:val="FootnoteReference"/>
        </w:rPr>
        <w:footnoteRef/>
      </w:r>
      <w:r w:rsidRPr="009D418C">
        <w:tab/>
        <w:t xml:space="preserve">See document </w:t>
      </w:r>
      <w:hyperlink r:id="rId18" w:history="1">
        <w:r w:rsidRPr="009D418C">
          <w:rPr>
            <w:rStyle w:val="Hyperlink"/>
          </w:rPr>
          <w:t>FCCC/SBI/2024/19</w:t>
        </w:r>
      </w:hyperlink>
      <w:r w:rsidRPr="009D418C">
        <w:t xml:space="preserve">, para. 17. </w:t>
      </w:r>
    </w:p>
  </w:footnote>
  <w:footnote w:id="17">
    <w:p w14:paraId="149C82E7" w14:textId="52A4D4A0" w:rsidR="005D6AF6" w:rsidRPr="009D418C" w:rsidRDefault="005D6AF6" w:rsidP="005D6AF6">
      <w:pPr>
        <w:pStyle w:val="FootnoteText"/>
        <w:widowControl w:val="0"/>
        <w:tabs>
          <w:tab w:val="clear" w:pos="1021"/>
          <w:tab w:val="right" w:pos="1020"/>
        </w:tabs>
      </w:pPr>
      <w:r w:rsidRPr="009D418C">
        <w:tab/>
      </w:r>
      <w:r w:rsidRPr="009D418C">
        <w:rPr>
          <w:rStyle w:val="FootnoteReference"/>
        </w:rPr>
        <w:footnoteRef/>
      </w:r>
      <w:r w:rsidRPr="009D418C">
        <w:tab/>
        <w:t xml:space="preserve">See decision </w:t>
      </w:r>
      <w:hyperlink r:id="rId19" w:history="1">
        <w:r w:rsidRPr="009D418C">
          <w:rPr>
            <w:rStyle w:val="Hyperlink"/>
          </w:rPr>
          <w:t>2/CP.23</w:t>
        </w:r>
      </w:hyperlink>
      <w:r w:rsidRPr="009D418C">
        <w:t>, para. 6.</w:t>
      </w:r>
    </w:p>
  </w:footnote>
  <w:footnote w:id="18">
    <w:p w14:paraId="5356888C" w14:textId="743CB21F" w:rsidR="005D6AF6" w:rsidRPr="009D418C" w:rsidRDefault="005D6AF6" w:rsidP="005D6AF6">
      <w:pPr>
        <w:pStyle w:val="FootnoteText"/>
        <w:widowControl w:val="0"/>
        <w:tabs>
          <w:tab w:val="clear" w:pos="1021"/>
          <w:tab w:val="right" w:pos="1020"/>
        </w:tabs>
      </w:pPr>
      <w:r w:rsidRPr="009D418C">
        <w:tab/>
      </w:r>
      <w:r w:rsidRPr="009D418C">
        <w:rPr>
          <w:rStyle w:val="FootnoteReference"/>
        </w:rPr>
        <w:footnoteRef/>
      </w:r>
      <w:r w:rsidRPr="009D418C">
        <w:tab/>
      </w:r>
      <w:hyperlink r:id="rId20" w:history="1">
        <w:r w:rsidRPr="009D418C">
          <w:rPr>
            <w:rStyle w:val="Hyperlink"/>
          </w:rPr>
          <w:t>FCCC/SBSTA/2024/1</w:t>
        </w:r>
      </w:hyperlink>
      <w:r w:rsidRPr="009D418C">
        <w:t>.</w:t>
      </w:r>
    </w:p>
  </w:footnote>
  <w:footnote w:id="19">
    <w:p w14:paraId="39C13847" w14:textId="77777777" w:rsidR="005D6AF6" w:rsidRPr="009D418C" w:rsidRDefault="005D6AF6" w:rsidP="005D6AF6">
      <w:pPr>
        <w:pStyle w:val="FootnoteText"/>
        <w:widowControl w:val="0"/>
        <w:tabs>
          <w:tab w:val="clear" w:pos="1021"/>
          <w:tab w:val="right" w:pos="1020"/>
        </w:tabs>
      </w:pPr>
      <w:r w:rsidRPr="009D418C">
        <w:tab/>
      </w:r>
      <w:r w:rsidRPr="009D418C">
        <w:rPr>
          <w:rStyle w:val="FootnoteReference"/>
        </w:rPr>
        <w:footnoteRef/>
      </w:r>
      <w:r w:rsidRPr="009D418C">
        <w:tab/>
      </w:r>
      <w:hyperlink r:id="rId21" w:history="1">
        <w:r w:rsidRPr="009D418C">
          <w:rPr>
            <w:rStyle w:val="Hyperlink"/>
          </w:rPr>
          <w:t>https://www4.unfccc.int/sites/submissionsstaging/Pages/Home.aspx</w:t>
        </w:r>
      </w:hyperlink>
      <w:r w:rsidRPr="009D418C">
        <w:t>.</w:t>
      </w:r>
    </w:p>
  </w:footnote>
  <w:footnote w:id="20">
    <w:p w14:paraId="52DCF705" w14:textId="3C4F4305" w:rsidR="002621F0" w:rsidRPr="009D418C" w:rsidRDefault="002621F0" w:rsidP="002621F0">
      <w:pPr>
        <w:pStyle w:val="FootnoteText"/>
        <w:widowControl w:val="0"/>
        <w:tabs>
          <w:tab w:val="clear" w:pos="1021"/>
          <w:tab w:val="right" w:pos="1020"/>
        </w:tabs>
      </w:pPr>
      <w:r w:rsidRPr="009D418C">
        <w:tab/>
      </w:r>
      <w:r w:rsidRPr="009D418C">
        <w:rPr>
          <w:rStyle w:val="FootnoteReference"/>
        </w:rPr>
        <w:footnoteRef/>
      </w:r>
      <w:r w:rsidRPr="009D418C">
        <w:tab/>
        <w:t xml:space="preserve">As per decision </w:t>
      </w:r>
      <w:hyperlink r:id="rId22" w:history="1">
        <w:r w:rsidRPr="009D418C">
          <w:rPr>
            <w:rStyle w:val="Hyperlink"/>
          </w:rPr>
          <w:t>1/CMA.5</w:t>
        </w:r>
      </w:hyperlink>
      <w:r w:rsidRPr="009D418C">
        <w:t xml:space="preserve">, para. 59. </w:t>
      </w:r>
    </w:p>
  </w:footnote>
  <w:footnote w:id="21">
    <w:p w14:paraId="01FD6CA3" w14:textId="399277C3" w:rsidR="002621F0" w:rsidRPr="009D418C" w:rsidRDefault="002621F0" w:rsidP="002621F0">
      <w:pPr>
        <w:pStyle w:val="FootnoteText"/>
        <w:widowControl w:val="0"/>
        <w:tabs>
          <w:tab w:val="clear" w:pos="1021"/>
          <w:tab w:val="right" w:pos="1020"/>
        </w:tabs>
      </w:pPr>
      <w:r w:rsidRPr="009D418C">
        <w:tab/>
      </w:r>
      <w:r w:rsidRPr="009D418C">
        <w:rPr>
          <w:rStyle w:val="FootnoteReference"/>
        </w:rPr>
        <w:footnoteRef/>
      </w:r>
      <w:r w:rsidRPr="009D418C">
        <w:tab/>
      </w:r>
      <w:r w:rsidRPr="009D418C">
        <w:tab/>
        <w:t xml:space="preserve">See </w:t>
      </w:r>
      <w:hyperlink r:id="rId23" w:history="1">
        <w:r w:rsidRPr="009D418C">
          <w:rPr>
            <w:rStyle w:val="Hyperlink"/>
          </w:rPr>
          <w:t>https://www.greenclimate.fund/document/readiness-strategy-2024-2027</w:t>
        </w:r>
      </w:hyperlink>
      <w:r w:rsidRPr="009D418C">
        <w:t>.</w:t>
      </w:r>
      <w:r w:rsidR="00853333">
        <w:t xml:space="preserve"> </w:t>
      </w:r>
    </w:p>
  </w:footnote>
  <w:footnote w:id="22">
    <w:p w14:paraId="723D5951" w14:textId="77777777" w:rsidR="002621F0" w:rsidRPr="009D418C" w:rsidRDefault="002621F0" w:rsidP="002621F0">
      <w:pPr>
        <w:pStyle w:val="FootnoteText"/>
        <w:widowControl w:val="0"/>
        <w:tabs>
          <w:tab w:val="clear" w:pos="1021"/>
          <w:tab w:val="right" w:pos="1020"/>
        </w:tabs>
      </w:pPr>
      <w:r w:rsidRPr="009D418C">
        <w:tab/>
      </w:r>
      <w:r w:rsidRPr="009D418C">
        <w:rPr>
          <w:rStyle w:val="FootnoteReference"/>
        </w:rPr>
        <w:footnoteRef/>
      </w:r>
      <w:r w:rsidRPr="009D418C">
        <w:tab/>
        <w:t xml:space="preserve">Available at </w:t>
      </w:r>
      <w:hyperlink r:id="rId24" w:history="1">
        <w:r w:rsidRPr="009D418C">
          <w:rPr>
            <w:rStyle w:val="Hyperlink"/>
          </w:rPr>
          <w:t>https://napcentral.org/submitted-NAPs</w:t>
        </w:r>
      </w:hyperlink>
      <w:r w:rsidRPr="009D418C">
        <w:t xml:space="preserve"> and </w:t>
      </w:r>
      <w:hyperlink r:id="rId25" w:history="1">
        <w:r w:rsidRPr="009D418C">
          <w:rPr>
            <w:rStyle w:val="Hyperlink"/>
          </w:rPr>
          <w:t>https://www.napcentral.org/developedcountriesnaps</w:t>
        </w:r>
      </w:hyperlink>
      <w:r w:rsidRPr="009D418C">
        <w:t xml:space="preserve">. </w:t>
      </w:r>
    </w:p>
  </w:footnote>
  <w:footnote w:id="23">
    <w:p w14:paraId="369869CC" w14:textId="6666F68A" w:rsidR="002621F0" w:rsidRPr="009D418C" w:rsidRDefault="002621F0" w:rsidP="002621F0">
      <w:pPr>
        <w:pStyle w:val="FootnoteText"/>
        <w:widowControl w:val="0"/>
      </w:pPr>
      <w:r w:rsidRPr="009D418C">
        <w:tab/>
      </w:r>
      <w:r w:rsidRPr="009D418C">
        <w:rPr>
          <w:rStyle w:val="FootnoteReference"/>
        </w:rPr>
        <w:footnoteRef/>
      </w:r>
      <w:r w:rsidRPr="009D418C">
        <w:tab/>
        <w:t xml:space="preserve">See decision </w:t>
      </w:r>
      <w:hyperlink r:id="rId26" w:history="1">
        <w:r w:rsidRPr="009D418C">
          <w:rPr>
            <w:rStyle w:val="Hyperlink"/>
          </w:rPr>
          <w:t>15/CP.26</w:t>
        </w:r>
      </w:hyperlink>
      <w:r w:rsidRPr="009D418C">
        <w:t>, paras. 3–4.</w:t>
      </w:r>
    </w:p>
  </w:footnote>
  <w:footnote w:id="24">
    <w:p w14:paraId="6E5EFBDF" w14:textId="12FE48E2"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r>
      <w:hyperlink r:id="rId27" w:history="1">
        <w:r w:rsidRPr="009D418C">
          <w:rPr>
            <w:rStyle w:val="Hyperlink"/>
          </w:rPr>
          <w:t>FCCC/SB/2024/10</w:t>
        </w:r>
      </w:hyperlink>
      <w:r w:rsidRPr="009D418C">
        <w:t xml:space="preserve">. </w:t>
      </w:r>
    </w:p>
  </w:footnote>
  <w:footnote w:id="25">
    <w:p w14:paraId="4CF1895B" w14:textId="0BFC05CE"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r>
      <w:hyperlink r:id="rId28" w:history="1">
        <w:r w:rsidRPr="009D418C">
          <w:rPr>
            <w:rStyle w:val="Hyperlink"/>
          </w:rPr>
          <w:t>FCCC/SB/2024/8</w:t>
        </w:r>
      </w:hyperlink>
      <w:r w:rsidRPr="009D418C">
        <w:t xml:space="preserve">. </w:t>
      </w:r>
    </w:p>
  </w:footnote>
  <w:footnote w:id="26">
    <w:p w14:paraId="692F3EE6" w14:textId="06777DF1"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r>
      <w:r w:rsidR="00A733A2" w:rsidRPr="009D418C">
        <w:t>P</w:t>
      </w:r>
      <w:r w:rsidRPr="009D418C">
        <w:t xml:space="preserve">romoting the availability and use of guidelines and policy frameworks to assist Parties in promoting just transition of the workforce and the creation of decent work and quality jobs within and across sectors, including training, retooling, retraining and reskilling systems and stakeholder engagement strategies. </w:t>
      </w:r>
    </w:p>
  </w:footnote>
  <w:footnote w:id="27">
    <w:p w14:paraId="548CEB66" w14:textId="31273070"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r>
      <w:r w:rsidR="00A733A2" w:rsidRPr="009D418C">
        <w:t>S</w:t>
      </w:r>
      <w:r w:rsidRPr="009D418C">
        <w:t xml:space="preserve">haring experience and best practices in reporting and informing on efforts to assess and analyse the impacts of the implementation of response measures. </w:t>
      </w:r>
    </w:p>
  </w:footnote>
  <w:footnote w:id="28">
    <w:p w14:paraId="3D2F8CD5" w14:textId="65605B7A"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t xml:space="preserve">Contained in annex II to decisions </w:t>
      </w:r>
      <w:hyperlink r:id="rId29" w:history="1">
        <w:r w:rsidRPr="009D418C">
          <w:rPr>
            <w:rStyle w:val="Hyperlink"/>
          </w:rPr>
          <w:t>4/CP.25</w:t>
        </w:r>
      </w:hyperlink>
      <w:r w:rsidRPr="009D418C">
        <w:t xml:space="preserve">, </w:t>
      </w:r>
      <w:hyperlink r:id="rId30" w:history="1">
        <w:r w:rsidRPr="009D418C">
          <w:rPr>
            <w:rStyle w:val="Hyperlink"/>
          </w:rPr>
          <w:t>4/CMP.15</w:t>
        </w:r>
      </w:hyperlink>
      <w:r w:rsidRPr="009D418C">
        <w:t xml:space="preserve"> and </w:t>
      </w:r>
      <w:hyperlink r:id="rId31" w:history="1">
        <w:r w:rsidRPr="009D418C">
          <w:rPr>
            <w:rStyle w:val="Hyperlink"/>
          </w:rPr>
          <w:t>4/CMA.2</w:t>
        </w:r>
      </w:hyperlink>
      <w:r w:rsidRPr="009D418C">
        <w:t xml:space="preserve">. </w:t>
      </w:r>
    </w:p>
  </w:footnote>
  <w:footnote w:id="29">
    <w:p w14:paraId="643AACFB" w14:textId="77777777"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t xml:space="preserve">As footnote 3 above. </w:t>
      </w:r>
    </w:p>
  </w:footnote>
  <w:footnote w:id="30">
    <w:p w14:paraId="3A0AFEB6" w14:textId="77777777" w:rsidR="00D06C47" w:rsidRPr="009D418C" w:rsidRDefault="00D06C47" w:rsidP="00D06C47">
      <w:pPr>
        <w:pStyle w:val="FootnoteText"/>
        <w:widowControl w:val="0"/>
        <w:tabs>
          <w:tab w:val="clear" w:pos="1021"/>
          <w:tab w:val="right" w:pos="1020"/>
        </w:tabs>
      </w:pPr>
      <w:r w:rsidRPr="009D418C">
        <w:tab/>
      </w:r>
      <w:r w:rsidRPr="009D418C">
        <w:rPr>
          <w:rStyle w:val="FootnoteReference"/>
        </w:rPr>
        <w:footnoteRef/>
      </w:r>
      <w:r w:rsidRPr="009D418C">
        <w:tab/>
        <w:t xml:space="preserve">As footnote 4 above. </w:t>
      </w:r>
    </w:p>
  </w:footnote>
  <w:footnote w:id="31">
    <w:p w14:paraId="2D384298" w14:textId="1208CE52" w:rsidR="00517239" w:rsidRPr="009D418C" w:rsidRDefault="00517239" w:rsidP="00517239">
      <w:pPr>
        <w:pStyle w:val="FootnoteText"/>
      </w:pPr>
      <w:r w:rsidRPr="009D418C">
        <w:rPr>
          <w:color w:val="000000" w:themeColor="text1"/>
        </w:rPr>
        <w:tab/>
      </w:r>
      <w:r w:rsidRPr="009D418C">
        <w:rPr>
          <w:rStyle w:val="FootnoteReference"/>
          <w:color w:val="000000" w:themeColor="text1"/>
        </w:rPr>
        <w:footnoteRef/>
      </w:r>
      <w:r w:rsidRPr="009D418C">
        <w:rPr>
          <w:color w:val="000000" w:themeColor="text1"/>
        </w:rPr>
        <w:tab/>
      </w:r>
      <w:r w:rsidRPr="009D418C">
        <w:rPr>
          <w:rFonts w:eastAsia="Times New Roman"/>
          <w:color w:val="000000" w:themeColor="text1"/>
          <w:sz w:val="19"/>
          <w:szCs w:val="19"/>
        </w:rPr>
        <w:t xml:space="preserve">In accordance with decision </w:t>
      </w:r>
      <w:hyperlink r:id="rId32" w:history="1">
        <w:r w:rsidRPr="009D418C">
          <w:rPr>
            <w:rStyle w:val="Hyperlink"/>
            <w:rFonts w:eastAsia="Times New Roman"/>
            <w:sz w:val="19"/>
            <w:szCs w:val="19"/>
          </w:rPr>
          <w:t>1/CP.21</w:t>
        </w:r>
      </w:hyperlink>
      <w:r w:rsidRPr="009D418C">
        <w:rPr>
          <w:rFonts w:eastAsia="Times New Roman"/>
          <w:color w:val="000000" w:themeColor="text1"/>
          <w:sz w:val="19"/>
          <w:szCs w:val="19"/>
        </w:rPr>
        <w:t>, paras. 122(c) and 123.</w:t>
      </w:r>
    </w:p>
  </w:footnote>
  <w:footnote w:id="32">
    <w:p w14:paraId="4367FF2C" w14:textId="2E18218A" w:rsidR="006472AF" w:rsidRPr="009D418C" w:rsidRDefault="006472AF" w:rsidP="006472AF">
      <w:pPr>
        <w:pStyle w:val="FootnoteText"/>
        <w:widowControl w:val="0"/>
        <w:tabs>
          <w:tab w:val="clear" w:pos="1021"/>
          <w:tab w:val="right" w:pos="1020"/>
        </w:tabs>
      </w:pPr>
      <w:r w:rsidRPr="009D418C">
        <w:tab/>
      </w:r>
      <w:r w:rsidRPr="009D418C">
        <w:rPr>
          <w:rStyle w:val="FootnoteReference"/>
        </w:rPr>
        <w:footnoteRef/>
      </w:r>
      <w:r w:rsidRPr="009D418C">
        <w:tab/>
        <w:t xml:space="preserve">See decision </w:t>
      </w:r>
      <w:hyperlink r:id="rId33" w:history="1">
        <w:r w:rsidRPr="009D418C">
          <w:rPr>
            <w:rStyle w:val="Hyperlink"/>
          </w:rPr>
          <w:t>17/CP.28</w:t>
        </w:r>
      </w:hyperlink>
      <w:r w:rsidRPr="009D418C">
        <w:t xml:space="preserve">, para. 4. </w:t>
      </w:r>
    </w:p>
  </w:footnote>
  <w:footnote w:id="33">
    <w:p w14:paraId="07B51953" w14:textId="2FA0DCAA" w:rsidR="006472AF" w:rsidRPr="009D418C" w:rsidRDefault="006472AF" w:rsidP="006472AF">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34" w:history="1">
        <w:r w:rsidRPr="009D418C">
          <w:rPr>
            <w:rStyle w:val="Hyperlink"/>
          </w:rPr>
          <w:t>17/CP.28</w:t>
        </w:r>
      </w:hyperlink>
      <w:r w:rsidRPr="009D418C">
        <w:t xml:space="preserve">, para. 6. </w:t>
      </w:r>
    </w:p>
  </w:footnote>
  <w:footnote w:id="34">
    <w:p w14:paraId="49992C90" w14:textId="2C59F087" w:rsidR="006472AF" w:rsidRPr="009D418C" w:rsidRDefault="0043342F" w:rsidP="006472AF">
      <w:pPr>
        <w:pStyle w:val="FootnoteText"/>
        <w:widowControl w:val="0"/>
        <w:tabs>
          <w:tab w:val="clear" w:pos="1021"/>
          <w:tab w:val="right" w:pos="1020"/>
        </w:tabs>
      </w:pPr>
      <w:r w:rsidRPr="009D418C">
        <w:tab/>
      </w:r>
      <w:r w:rsidR="006472AF" w:rsidRPr="009D418C">
        <w:rPr>
          <w:rStyle w:val="FootnoteReference"/>
        </w:rPr>
        <w:footnoteRef/>
      </w:r>
      <w:r w:rsidR="006472AF" w:rsidRPr="009D418C">
        <w:tab/>
      </w:r>
      <w:hyperlink r:id="rId35" w:history="1">
        <w:r w:rsidR="18F52036" w:rsidRPr="009D418C">
          <w:rPr>
            <w:rStyle w:val="Hyperlink"/>
          </w:rPr>
          <w:t>FCCC/SBI/2024/13</w:t>
        </w:r>
      </w:hyperlink>
      <w:r w:rsidR="18F52036" w:rsidRPr="009D418C">
        <w:t>, para. 177.</w:t>
      </w:r>
    </w:p>
  </w:footnote>
  <w:footnote w:id="35">
    <w:p w14:paraId="50F474CC" w14:textId="364112A3" w:rsidR="00EF3C0A" w:rsidRPr="009D418C" w:rsidRDefault="00EF3C0A" w:rsidP="00EF3C0A">
      <w:pPr>
        <w:pStyle w:val="FootnoteText"/>
        <w:widowControl w:val="0"/>
      </w:pPr>
      <w:r w:rsidRPr="009D418C">
        <w:tab/>
      </w:r>
      <w:r w:rsidRPr="009D418C">
        <w:rPr>
          <w:rStyle w:val="FootnoteReference"/>
        </w:rPr>
        <w:footnoteRef/>
      </w:r>
      <w:r w:rsidRPr="009D418C">
        <w:tab/>
        <w:t xml:space="preserve">Decision </w:t>
      </w:r>
      <w:hyperlink r:id="rId36" w:history="1">
        <w:r w:rsidRPr="009D418C">
          <w:rPr>
            <w:rStyle w:val="Hyperlink"/>
          </w:rPr>
          <w:t>15/CP.1</w:t>
        </w:r>
      </w:hyperlink>
      <w:r w:rsidRPr="009D418C">
        <w:t xml:space="preserve">, annex I. </w:t>
      </w:r>
    </w:p>
  </w:footnote>
  <w:footnote w:id="36">
    <w:p w14:paraId="4D319D53" w14:textId="4B293B55" w:rsidR="00EF3C0A" w:rsidRPr="009D418C" w:rsidRDefault="00EF3C0A" w:rsidP="00EF3C0A">
      <w:pPr>
        <w:pStyle w:val="FootnoteText"/>
        <w:widowControl w:val="0"/>
      </w:pPr>
      <w:r w:rsidRPr="009D418C">
        <w:tab/>
      </w:r>
      <w:r w:rsidRPr="009D418C">
        <w:rPr>
          <w:rStyle w:val="FootnoteReference"/>
        </w:rPr>
        <w:footnoteRef/>
      </w:r>
      <w:r w:rsidRPr="009D418C">
        <w:tab/>
      </w:r>
      <w:hyperlink r:id="rId37" w:history="1">
        <w:r w:rsidRPr="009D418C">
          <w:rPr>
            <w:rStyle w:val="Hyperlink"/>
          </w:rPr>
          <w:t>FCCC/SBI/2024/INF.1</w:t>
        </w:r>
      </w:hyperlink>
      <w:r w:rsidRPr="009D418C">
        <w:t xml:space="preserve">, </w:t>
      </w:r>
      <w:hyperlink r:id="rId38" w:history="1">
        <w:r w:rsidRPr="009D418C">
          <w:rPr>
            <w:rStyle w:val="Hyperlink"/>
          </w:rPr>
          <w:t>FCCC/SBI/2024/INF.2</w:t>
        </w:r>
      </w:hyperlink>
      <w:r w:rsidRPr="009D418C">
        <w:t xml:space="preserve"> and </w:t>
      </w:r>
      <w:hyperlink r:id="rId39" w:history="1">
        <w:r w:rsidRPr="009D418C">
          <w:rPr>
            <w:rStyle w:val="Hyperlink"/>
          </w:rPr>
          <w:t>FCCC/SBI/2024/INF.5</w:t>
        </w:r>
      </w:hyperlink>
      <w:r w:rsidRPr="009D418C">
        <w:t xml:space="preserve">. </w:t>
      </w:r>
    </w:p>
  </w:footnote>
  <w:footnote w:id="37">
    <w:p w14:paraId="036D47D5" w14:textId="503A39AB" w:rsidR="00EF3C0A" w:rsidRPr="009D418C" w:rsidRDefault="00EF3C0A" w:rsidP="00EF3C0A">
      <w:pPr>
        <w:pStyle w:val="FootnoteText"/>
        <w:widowControl w:val="0"/>
      </w:pPr>
      <w:r w:rsidRPr="009D418C">
        <w:tab/>
      </w:r>
      <w:r w:rsidRPr="009D418C">
        <w:rPr>
          <w:rStyle w:val="FootnoteReference"/>
        </w:rPr>
        <w:footnoteRef/>
      </w:r>
      <w:r w:rsidRPr="009D418C">
        <w:tab/>
        <w:t xml:space="preserve">Decision </w:t>
      </w:r>
      <w:hyperlink r:id="rId40" w:history="1">
        <w:r w:rsidRPr="009D418C">
          <w:rPr>
            <w:rStyle w:val="Hyperlink"/>
          </w:rPr>
          <w:t>19/CP.28</w:t>
        </w:r>
      </w:hyperlink>
      <w:r w:rsidRPr="009D418C">
        <w:t xml:space="preserve">, para. 27. </w:t>
      </w:r>
    </w:p>
  </w:footnote>
  <w:footnote w:id="38">
    <w:p w14:paraId="0B3D82BF" w14:textId="77777777" w:rsidR="002D3156" w:rsidRPr="009D418C" w:rsidRDefault="0084067A" w:rsidP="0084067A">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41" w:history="1">
        <w:r w:rsidRPr="009D418C">
          <w:rPr>
            <w:rStyle w:val="Hyperlink"/>
          </w:rPr>
          <w:t>23/CP.26</w:t>
        </w:r>
      </w:hyperlink>
      <w:r w:rsidRPr="009D418C">
        <w:t xml:space="preserve">, para. 24. </w:t>
      </w:r>
    </w:p>
    <w:p w14:paraId="71C09763" w14:textId="477FC1E0" w:rsidR="0084067A" w:rsidRPr="009D418C" w:rsidRDefault="0084067A" w:rsidP="0084067A">
      <w:pPr>
        <w:pStyle w:val="FootnoteText"/>
        <w:widowControl w:val="0"/>
        <w:tabs>
          <w:tab w:val="clear" w:pos="1021"/>
          <w:tab w:val="right" w:pos="1020"/>
        </w:tabs>
      </w:pPr>
      <w:r w:rsidRPr="009D418C">
        <w:tab/>
      </w:r>
      <w:r w:rsidRPr="009D418C">
        <w:rPr>
          <w:rStyle w:val="FootnoteReference"/>
        </w:rPr>
        <w:footnoteRef/>
      </w:r>
      <w:r w:rsidRPr="009D418C">
        <w:tab/>
        <w:t xml:space="preserve">Decision </w:t>
      </w:r>
      <w:hyperlink r:id="rId42" w:history="1">
        <w:r w:rsidRPr="009D418C">
          <w:rPr>
            <w:rStyle w:val="Hyperlink"/>
          </w:rPr>
          <w:t>23/CP.26</w:t>
        </w:r>
      </w:hyperlink>
      <w:r w:rsidRPr="009D418C">
        <w:t xml:space="preserve">, para. 24. </w:t>
      </w:r>
    </w:p>
  </w:footnote>
  <w:footnote w:id="39">
    <w:p w14:paraId="6F769A98" w14:textId="115E5C88" w:rsidR="00EF3C0A" w:rsidRPr="009D418C" w:rsidRDefault="00EF3C0A" w:rsidP="00EF3C0A">
      <w:pPr>
        <w:pStyle w:val="FootnoteText"/>
        <w:widowControl w:val="0"/>
        <w:tabs>
          <w:tab w:val="clear" w:pos="1021"/>
          <w:tab w:val="right" w:pos="1020"/>
        </w:tabs>
      </w:pPr>
      <w:r w:rsidRPr="009D418C">
        <w:tab/>
      </w:r>
      <w:r w:rsidRPr="009D418C">
        <w:rPr>
          <w:rStyle w:val="FootnoteReference"/>
        </w:rPr>
        <w:footnoteRef/>
      </w:r>
      <w:r w:rsidRPr="009D418C">
        <w:tab/>
        <w:t>P</w:t>
      </w:r>
      <w:r w:rsidRPr="009D418C">
        <w:rPr>
          <w:rFonts w:eastAsia="Times New Roman"/>
          <w:lang w:eastAsia="en-US"/>
        </w:rPr>
        <w:t xml:space="preserve">ursuant to para. 15 of decision </w:t>
      </w:r>
      <w:hyperlink r:id="rId43" w:history="1">
        <w:r w:rsidRPr="009D418C">
          <w:rPr>
            <w:rStyle w:val="Hyperlink"/>
            <w:rFonts w:eastAsia="Times New Roman"/>
            <w:lang w:eastAsia="en-US"/>
          </w:rPr>
          <w:t>18/CP.24</w:t>
        </w:r>
      </w:hyperlink>
      <w:r w:rsidRPr="009D418C">
        <w:rPr>
          <w:rFonts w:eastAsia="Times New Roman"/>
          <w:lang w:eastAsia="en-US"/>
        </w:rPr>
        <w:t xml:space="preserve"> and para. 17 of decision </w:t>
      </w:r>
      <w:hyperlink r:id="rId44" w:history="1">
        <w:r w:rsidRPr="009D418C">
          <w:rPr>
            <w:rStyle w:val="Hyperlink"/>
            <w:rFonts w:eastAsia="Times New Roman"/>
            <w:lang w:eastAsia="en-US"/>
          </w:rPr>
          <w:t>23/CP.26</w:t>
        </w:r>
      </w:hyperlink>
      <w:r w:rsidRPr="009D418C">
        <w:rPr>
          <w:rFonts w:eastAsia="Times New Roman"/>
          <w:lang w:eastAsia="en-US"/>
        </w:rPr>
        <w:t>.</w:t>
      </w:r>
    </w:p>
  </w:footnote>
  <w:footnote w:id="40">
    <w:p w14:paraId="58D12A85" w14:textId="7F1E0629" w:rsidR="00893C4F" w:rsidRPr="009D418C" w:rsidRDefault="00893C4F" w:rsidP="00893C4F">
      <w:pPr>
        <w:pStyle w:val="FootnoteText"/>
        <w:widowControl w:val="0"/>
        <w:tabs>
          <w:tab w:val="clear" w:pos="1021"/>
          <w:tab w:val="right" w:pos="1020"/>
        </w:tabs>
      </w:pPr>
      <w:r w:rsidRPr="009D418C">
        <w:tab/>
      </w:r>
      <w:r w:rsidRPr="009D418C">
        <w:rPr>
          <w:rStyle w:val="FootnoteReference"/>
        </w:rPr>
        <w:footnoteRef/>
      </w:r>
      <w:r w:rsidRPr="009D418C">
        <w:tab/>
      </w:r>
      <w:hyperlink r:id="rId45" w:history="1">
        <w:r w:rsidRPr="009D418C">
          <w:rPr>
            <w:rStyle w:val="Hyperlink"/>
          </w:rPr>
          <w:t>FCCC/CP/2024/INF.1</w:t>
        </w:r>
      </w:hyperlink>
      <w:r w:rsidRPr="009D418C">
        <w:t xml:space="preserve">, </w:t>
      </w:r>
      <w:hyperlink r:id="rId46" w:history="1">
        <w:r w:rsidRPr="009D418C">
          <w:rPr>
            <w:rStyle w:val="Hyperlink"/>
          </w:rPr>
          <w:t>FCCC/SBI/2024/INF.7</w:t>
        </w:r>
      </w:hyperlink>
      <w:r w:rsidRPr="009D418C">
        <w:t xml:space="preserve"> and </w:t>
      </w:r>
      <w:hyperlink r:id="rId47" w:history="1">
        <w:r w:rsidRPr="009D418C">
          <w:rPr>
            <w:rStyle w:val="Hyperlink"/>
          </w:rPr>
          <w:t>Add.1</w:t>
        </w:r>
      </w:hyperlink>
      <w:r w:rsidRPr="009D418C">
        <w:t xml:space="preserve">, </w:t>
      </w:r>
      <w:hyperlink r:id="rId48" w:history="1">
        <w:r w:rsidRPr="009D418C">
          <w:rPr>
            <w:rStyle w:val="Hyperlink"/>
          </w:rPr>
          <w:t>FCCC/SBI/2024/INF.9</w:t>
        </w:r>
      </w:hyperlink>
      <w:r w:rsidRPr="009D418C">
        <w:t xml:space="preserve"> and </w:t>
      </w:r>
      <w:hyperlink r:id="rId49" w:history="1">
        <w:r w:rsidRPr="009D418C">
          <w:rPr>
            <w:rStyle w:val="Hyperlink"/>
          </w:rPr>
          <w:t>FCCC/SBI/2024/INF.11</w:t>
        </w:r>
      </w:hyperlink>
      <w:r w:rsidRPr="009D418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E22A" w14:textId="4A0B8D38" w:rsidR="00E56563" w:rsidRPr="00E56563" w:rsidRDefault="00E56563" w:rsidP="00E56563">
    <w:pPr>
      <w:pStyle w:val="Header"/>
    </w:pPr>
    <w:r w:rsidRPr="00CD7F1E">
      <w:t>FCCC/CP/2024/1</w:t>
    </w:r>
    <w:r>
      <w:t>1/Add.2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446C" w14:textId="630B0221" w:rsidR="0027292C" w:rsidRPr="00E56563" w:rsidRDefault="00E56563" w:rsidP="00E56563">
    <w:pPr>
      <w:pStyle w:val="Header"/>
      <w:jc w:val="right"/>
    </w:pPr>
    <w:r>
      <w:t>FCCC/CP/2024/11/Add.2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FB81" w14:textId="3DEADF9D" w:rsidR="0027292C" w:rsidRPr="00E56563" w:rsidRDefault="00E56563" w:rsidP="00E56563">
    <w:pPr>
      <w:pStyle w:val="Header"/>
    </w:pPr>
    <w:r>
      <w:t>FCCC/CP/2024/11/Add.2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5CB3" w14:textId="3502F7A2" w:rsidR="0027292C" w:rsidRPr="00E56563" w:rsidRDefault="00E56563" w:rsidP="00E56563">
    <w:pPr>
      <w:pStyle w:val="Header"/>
      <w:jc w:val="right"/>
    </w:pPr>
    <w:r>
      <w:t>FCCC/CP/2024/11/Add.2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4932" w14:textId="79CFB55F" w:rsidR="0027292C" w:rsidRPr="00E56563" w:rsidRDefault="00E56563" w:rsidP="00E56563">
    <w:pPr>
      <w:pStyle w:val="Header"/>
    </w:pPr>
    <w:r>
      <w:t>FCCC/CP/2024/11/Add.2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FA74" w14:textId="1D797EFE" w:rsidR="0027292C" w:rsidRPr="00E56563" w:rsidRDefault="00E56563" w:rsidP="00E56563">
    <w:pPr>
      <w:pStyle w:val="Header"/>
      <w:jc w:val="right"/>
    </w:pPr>
    <w:r>
      <w:t>FCCC/CP/2024/11/Add.2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8957" w14:textId="5DB7E974" w:rsidR="0027292C" w:rsidRPr="00E56563" w:rsidRDefault="00E56563" w:rsidP="00E56563">
    <w:pPr>
      <w:pStyle w:val="Header"/>
    </w:pPr>
    <w:r>
      <w:t>FCCC/CP/2024/11/Add.2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752B" w14:textId="2C716E4E" w:rsidR="0027292C" w:rsidRPr="00E56563" w:rsidRDefault="00E56563" w:rsidP="00E56563">
    <w:pPr>
      <w:pStyle w:val="Header"/>
      <w:jc w:val="right"/>
    </w:pPr>
    <w:r>
      <w:t>FCCC/CP/2024/11/Add.2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7096" w14:textId="1F36BF4F" w:rsidR="004272BE" w:rsidRPr="00E56563" w:rsidRDefault="00E56563" w:rsidP="00E56563">
    <w:r>
      <w:rPr>
        <w:noProof/>
      </w:rPr>
      <mc:AlternateContent>
        <mc:Choice Requires="wps">
          <w:drawing>
            <wp:anchor distT="0" distB="0" distL="114300" distR="114300" simplePos="0" relativeHeight="251658240" behindDoc="0" locked="0" layoutInCell="1" allowOverlap="1" wp14:anchorId="12560DC6" wp14:editId="40C22188">
              <wp:simplePos x="0" y="0"/>
              <wp:positionH relativeFrom="page">
                <wp:posOffset>9935845</wp:posOffset>
              </wp:positionH>
              <wp:positionV relativeFrom="margin">
                <wp:posOffset>0</wp:posOffset>
              </wp:positionV>
              <wp:extent cx="215900" cy="6120130"/>
              <wp:effectExtent l="0" t="0" r="12700" b="139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29EECA4" w14:textId="7F8F44D3" w:rsidR="00E56563" w:rsidRDefault="00E56563" w:rsidP="00E56563">
                          <w:pPr>
                            <w:pStyle w:val="Header"/>
                          </w:pPr>
                          <w:r>
                            <w:t>FCCC/CP/2024/11/Add.2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2560DC6" id="_x0000_t202" coordsize="21600,21600" o:spt="202" path="m,l,21600r21600,l21600,xe">
              <v:stroke joinstyle="miter"/>
              <v:path gradientshapeok="t" o:connecttype="rect"/>
            </v:shapetype>
            <v:shape id="Text Box 11"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629EECA4" w14:textId="7F8F44D3" w:rsidR="00E56563" w:rsidRDefault="00E56563" w:rsidP="00E56563">
                    <w:pPr>
                      <w:pStyle w:val="Header"/>
                    </w:pPr>
                    <w:r>
                      <w:t>FCCC/CP/2024/11/Add.2</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3B90" w14:textId="0CA43506" w:rsidR="004272BE" w:rsidRPr="006D292B" w:rsidRDefault="006D292B" w:rsidP="006D292B">
    <w:r>
      <w:rPr>
        <w:noProof/>
      </w:rPr>
      <mc:AlternateContent>
        <mc:Choice Requires="wps">
          <w:drawing>
            <wp:anchor distT="0" distB="0" distL="114300" distR="114300" simplePos="0" relativeHeight="251658243" behindDoc="0" locked="0" layoutInCell="1" allowOverlap="1" wp14:anchorId="1292DE68" wp14:editId="3F4D70B6">
              <wp:simplePos x="0" y="0"/>
              <wp:positionH relativeFrom="page">
                <wp:posOffset>9935845</wp:posOffset>
              </wp:positionH>
              <wp:positionV relativeFrom="margin">
                <wp:posOffset>0</wp:posOffset>
              </wp:positionV>
              <wp:extent cx="215900" cy="6120130"/>
              <wp:effectExtent l="0" t="0" r="1270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BA8F150" w14:textId="51286A60" w:rsidR="006D292B" w:rsidRDefault="006D292B" w:rsidP="006D292B">
                          <w:pPr>
                            <w:pStyle w:val="Header"/>
                            <w:jc w:val="right"/>
                          </w:pPr>
                          <w:r>
                            <w:t>FCCC/CP/2024/11/Add.2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292DE68" id="_x0000_t202" coordsize="21600,21600" o:spt="202" path="m,l,21600r21600,l21600,xe">
              <v:stroke joinstyle="miter"/>
              <v:path gradientshapeok="t" o:connecttype="rect"/>
            </v:shapetype>
            <v:shape id="Text Box 16" o:spid="_x0000_s1027" type="#_x0000_t202" style="position:absolute;margin-left:782.35pt;margin-top:0;width:17pt;height:481.9pt;z-index:25165824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4BA8F150" w14:textId="51286A60" w:rsidR="006D292B" w:rsidRDefault="006D292B" w:rsidP="006D292B">
                    <w:pPr>
                      <w:pStyle w:val="Header"/>
                      <w:jc w:val="right"/>
                    </w:pPr>
                    <w:r>
                      <w:t>FCCC/CP/2024/11/Add.2</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8217" w14:textId="14D1280C" w:rsidR="00974B59" w:rsidRPr="00E56563" w:rsidRDefault="00E56563" w:rsidP="00E56563">
    <w:pPr>
      <w:pStyle w:val="Header"/>
    </w:pPr>
    <w:r>
      <w:t>FCCC/CP/2024/11/Add.2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1C379" w14:textId="77E4C3D4" w:rsidR="00E56563" w:rsidRPr="00E56563" w:rsidRDefault="00E56563" w:rsidP="00E56563">
    <w:pPr>
      <w:pStyle w:val="Header"/>
      <w:jc w:val="right"/>
    </w:pPr>
    <w:r w:rsidRPr="00CD7F1E">
      <w:t>FCCC/CP/2024/1</w:t>
    </w:r>
    <w:r>
      <w:t>1/Add.2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1024" w14:textId="76153BF5" w:rsidR="00353786" w:rsidRPr="00154A78" w:rsidRDefault="00154A78" w:rsidP="00154A78">
    <w:pPr>
      <w:pStyle w:val="Header"/>
      <w:jc w:val="right"/>
    </w:pPr>
    <w:r>
      <w:t>FCCC/CP/2024/11/Add.2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334F" w14:textId="0AAD4ED8" w:rsidR="0027292C" w:rsidRPr="00E56563" w:rsidRDefault="00E56563" w:rsidP="00E56563">
    <w:pPr>
      <w:pStyle w:val="Header"/>
      <w:jc w:val="right"/>
    </w:pPr>
    <w:r>
      <w:t>FCCC/CP/2024/11/Add.2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1CD6" w14:textId="1159839D" w:rsidR="0027292C" w:rsidRPr="00E56563" w:rsidRDefault="00E56563" w:rsidP="00E56563">
    <w:pPr>
      <w:pStyle w:val="Header"/>
    </w:pPr>
    <w:r>
      <w:t>FCCC/CP/2024/11/Add.2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6408" w14:textId="5B149092" w:rsidR="0027292C" w:rsidRPr="00E56563" w:rsidRDefault="00E56563" w:rsidP="00E56563">
    <w:pPr>
      <w:pStyle w:val="Header"/>
      <w:jc w:val="right"/>
    </w:pPr>
    <w:r>
      <w:t>FCCC/CP/2024/11/Add.2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64D8" w14:textId="6F1CA58C" w:rsidR="0027292C" w:rsidRPr="00E56563" w:rsidRDefault="00E56563" w:rsidP="00E56563">
    <w:pPr>
      <w:pStyle w:val="Header"/>
    </w:pPr>
    <w:r>
      <w:t>FCCC/CP/2024/11/Add.2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6119" w14:textId="695E1D70" w:rsidR="0027292C" w:rsidRPr="00E56563" w:rsidRDefault="00E56563" w:rsidP="00E56563">
    <w:pPr>
      <w:pStyle w:val="Header"/>
      <w:jc w:val="right"/>
    </w:pPr>
    <w:r>
      <w:t>FCCC/CP/2024/11/Add.2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82D2" w14:textId="6EC98BE7" w:rsidR="0027292C" w:rsidRPr="00E56563" w:rsidRDefault="00E56563" w:rsidP="00E56563">
    <w:pPr>
      <w:pStyle w:val="Header"/>
    </w:pPr>
    <w:r>
      <w:t>FCCC/CP/2024/11/Add.2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147D" w14:textId="2AF56CDD" w:rsidR="0027292C" w:rsidRPr="00E56563" w:rsidRDefault="00E56563" w:rsidP="00E56563">
    <w:pPr>
      <w:pStyle w:val="Header"/>
    </w:pPr>
    <w:r>
      <w:t>FCCC/CP/2024/11/Add.2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B341" w14:textId="30EA889F" w:rsidR="0027292C" w:rsidRPr="00E56563" w:rsidRDefault="00E56563" w:rsidP="00E56563">
    <w:pPr>
      <w:pStyle w:val="Header"/>
      <w:jc w:val="right"/>
    </w:pPr>
    <w:r>
      <w:t>FCCC/CP/2024/11/Add.2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5EB6" w14:textId="1EC9C3BB" w:rsidR="00E56563" w:rsidRPr="00E56563" w:rsidRDefault="00E56563" w:rsidP="00E56563">
    <w:pPr>
      <w:pStyle w:val="Header"/>
    </w:pPr>
    <w:r>
      <w:t>FCCC/CP/2024/11/Add.2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1B56" w14:textId="6045D7C1" w:rsidR="00E56563" w:rsidRPr="00E56563" w:rsidRDefault="00E56563" w:rsidP="00E56563">
    <w:pPr>
      <w:pStyle w:val="Header"/>
      <w:jc w:val="right"/>
    </w:pPr>
    <w:r>
      <w:t>FCCC/CP/2024/11/Add.2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103C" w14:textId="32FF1071" w:rsidR="00CC38AB" w:rsidRPr="00E56563" w:rsidRDefault="00E56563" w:rsidP="00E56563">
    <w:pPr>
      <w:pStyle w:val="Header"/>
    </w:pPr>
    <w:r>
      <w:t>FCCC/CP/2024/11/Add.2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E7F8" w14:textId="618B06ED" w:rsidR="0027292C" w:rsidRPr="00E56563" w:rsidRDefault="00E56563" w:rsidP="00E56563">
    <w:pPr>
      <w:pStyle w:val="Header"/>
      <w:jc w:val="right"/>
    </w:pPr>
    <w:r>
      <w:t>FCCC/CP/2024/11/Add.2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DAC5" w14:textId="33E8569F" w:rsidR="00E56563" w:rsidRPr="00E56563" w:rsidRDefault="00E56563" w:rsidP="00E56563">
    <w:pPr>
      <w:pStyle w:val="Header"/>
    </w:pPr>
    <w:r>
      <w:t>FCCC/CP/2024/11/Add.2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80F6" w14:textId="102108EF" w:rsidR="00E56563" w:rsidRPr="00E56563" w:rsidRDefault="00E56563" w:rsidP="00E56563">
    <w:pPr>
      <w:pStyle w:val="Header"/>
      <w:jc w:val="right"/>
    </w:pPr>
    <w:r>
      <w:t>FCCC/CP/2024/11/Add.2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C593" w14:textId="6B4DECC4" w:rsidR="0027292C" w:rsidRPr="00E56563" w:rsidRDefault="00E56563" w:rsidP="00E56563">
    <w:pPr>
      <w:pStyle w:val="Header"/>
    </w:pPr>
    <w:r>
      <w:t>FCCC/CP/2024/11/Add.2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E6500F1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bCs/>
        <w:i w:val="0"/>
        <w:i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91117"/>
    <w:multiLevelType w:val="hybridMultilevel"/>
    <w:tmpl w:val="4992C282"/>
    <w:lvl w:ilvl="0" w:tplc="C672968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1C867"/>
    <w:multiLevelType w:val="hybridMultilevel"/>
    <w:tmpl w:val="96967220"/>
    <w:lvl w:ilvl="0" w:tplc="8E4EEC2A">
      <w:numFmt w:val="none"/>
      <w:lvlText w:val=""/>
      <w:lvlJc w:val="left"/>
      <w:pPr>
        <w:tabs>
          <w:tab w:val="num" w:pos="360"/>
        </w:tabs>
      </w:pPr>
    </w:lvl>
    <w:lvl w:ilvl="1" w:tplc="914C9E34">
      <w:start w:val="1"/>
      <w:numFmt w:val="lowerLetter"/>
      <w:lvlText w:val="%2."/>
      <w:lvlJc w:val="left"/>
      <w:pPr>
        <w:ind w:left="1506" w:hanging="360"/>
      </w:pPr>
    </w:lvl>
    <w:lvl w:ilvl="2" w:tplc="DDFEDD2E">
      <w:start w:val="1"/>
      <w:numFmt w:val="lowerRoman"/>
      <w:lvlText w:val="%3."/>
      <w:lvlJc w:val="right"/>
      <w:pPr>
        <w:ind w:left="2226" w:hanging="180"/>
      </w:pPr>
    </w:lvl>
    <w:lvl w:ilvl="3" w:tplc="E09C861A">
      <w:start w:val="1"/>
      <w:numFmt w:val="decimal"/>
      <w:lvlText w:val="%4."/>
      <w:lvlJc w:val="left"/>
      <w:pPr>
        <w:ind w:left="2946" w:hanging="360"/>
      </w:pPr>
    </w:lvl>
    <w:lvl w:ilvl="4" w:tplc="1D24671E">
      <w:start w:val="1"/>
      <w:numFmt w:val="lowerLetter"/>
      <w:lvlText w:val="%5."/>
      <w:lvlJc w:val="left"/>
      <w:pPr>
        <w:ind w:left="3666" w:hanging="360"/>
      </w:pPr>
    </w:lvl>
    <w:lvl w:ilvl="5" w:tplc="56402D12">
      <w:start w:val="1"/>
      <w:numFmt w:val="lowerRoman"/>
      <w:lvlText w:val="%6."/>
      <w:lvlJc w:val="right"/>
      <w:pPr>
        <w:ind w:left="4386" w:hanging="180"/>
      </w:pPr>
    </w:lvl>
    <w:lvl w:ilvl="6" w:tplc="91A2A04A">
      <w:start w:val="1"/>
      <w:numFmt w:val="decimal"/>
      <w:lvlText w:val="%7."/>
      <w:lvlJc w:val="left"/>
      <w:pPr>
        <w:ind w:left="5106" w:hanging="360"/>
      </w:pPr>
    </w:lvl>
    <w:lvl w:ilvl="7" w:tplc="A558CF6C">
      <w:start w:val="1"/>
      <w:numFmt w:val="lowerLetter"/>
      <w:lvlText w:val="%8."/>
      <w:lvlJc w:val="left"/>
      <w:pPr>
        <w:ind w:left="5826" w:hanging="360"/>
      </w:pPr>
    </w:lvl>
    <w:lvl w:ilvl="8" w:tplc="112E72E4">
      <w:start w:val="1"/>
      <w:numFmt w:val="lowerRoman"/>
      <w:lvlText w:val="%9."/>
      <w:lvlJc w:val="right"/>
      <w:pPr>
        <w:ind w:left="6546" w:hanging="180"/>
      </w:pPr>
    </w:lvl>
  </w:abstractNum>
  <w:abstractNum w:abstractNumId="1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D4EB7"/>
    <w:multiLevelType w:val="hybridMultilevel"/>
    <w:tmpl w:val="26B8DAC0"/>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083289885">
    <w:abstractNumId w:val="3"/>
  </w:num>
  <w:num w:numId="2" w16cid:durableId="8259867">
    <w:abstractNumId w:val="5"/>
  </w:num>
  <w:num w:numId="3" w16cid:durableId="1678733448">
    <w:abstractNumId w:val="8"/>
  </w:num>
  <w:num w:numId="4" w16cid:durableId="78605626">
    <w:abstractNumId w:val="1"/>
  </w:num>
  <w:num w:numId="5" w16cid:durableId="2091079493">
    <w:abstractNumId w:val="0"/>
  </w:num>
  <w:num w:numId="6" w16cid:durableId="1511025763">
    <w:abstractNumId w:val="16"/>
  </w:num>
  <w:num w:numId="7" w16cid:durableId="1293829587">
    <w:abstractNumId w:val="7"/>
  </w:num>
  <w:num w:numId="8" w16cid:durableId="1305235678">
    <w:abstractNumId w:val="3"/>
  </w:num>
  <w:num w:numId="9" w16cid:durableId="1093553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8494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3324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067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1646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0227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6508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4161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39726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18" w16cid:durableId="302321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74062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7947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7902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6294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7521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82599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36518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4930216">
    <w:abstractNumId w:val="13"/>
  </w:num>
  <w:num w:numId="27" w16cid:durableId="881402107">
    <w:abstractNumId w:val="15"/>
  </w:num>
  <w:num w:numId="28" w16cid:durableId="804617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4644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16744476">
    <w:abstractNumId w:val="3"/>
  </w:num>
  <w:num w:numId="31" w16cid:durableId="1309550226">
    <w:abstractNumId w:val="12"/>
  </w:num>
  <w:num w:numId="32" w16cid:durableId="1790662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01"/>
    <w:rsid w:val="000002D2"/>
    <w:rsid w:val="000005A2"/>
    <w:rsid w:val="000017D4"/>
    <w:rsid w:val="00001F70"/>
    <w:rsid w:val="00002558"/>
    <w:rsid w:val="000048C7"/>
    <w:rsid w:val="00004A30"/>
    <w:rsid w:val="00007089"/>
    <w:rsid w:val="00010326"/>
    <w:rsid w:val="0001223C"/>
    <w:rsid w:val="0001275B"/>
    <w:rsid w:val="000128EF"/>
    <w:rsid w:val="00014EF3"/>
    <w:rsid w:val="000155A9"/>
    <w:rsid w:val="00015704"/>
    <w:rsid w:val="00015F38"/>
    <w:rsid w:val="00021BB6"/>
    <w:rsid w:val="0002382B"/>
    <w:rsid w:val="00026E65"/>
    <w:rsid w:val="00027F7F"/>
    <w:rsid w:val="000313DA"/>
    <w:rsid w:val="00032124"/>
    <w:rsid w:val="000322CF"/>
    <w:rsid w:val="000324C8"/>
    <w:rsid w:val="00032DDE"/>
    <w:rsid w:val="0003354E"/>
    <w:rsid w:val="00033E85"/>
    <w:rsid w:val="00034AD6"/>
    <w:rsid w:val="00034FC6"/>
    <w:rsid w:val="00036070"/>
    <w:rsid w:val="00036E1A"/>
    <w:rsid w:val="000370C7"/>
    <w:rsid w:val="000374DB"/>
    <w:rsid w:val="00037650"/>
    <w:rsid w:val="0003776D"/>
    <w:rsid w:val="00040034"/>
    <w:rsid w:val="000423A6"/>
    <w:rsid w:val="00044880"/>
    <w:rsid w:val="00045B38"/>
    <w:rsid w:val="0004666A"/>
    <w:rsid w:val="00052463"/>
    <w:rsid w:val="0005333D"/>
    <w:rsid w:val="000539C7"/>
    <w:rsid w:val="00054CCE"/>
    <w:rsid w:val="000555B3"/>
    <w:rsid w:val="000558D3"/>
    <w:rsid w:val="000561BD"/>
    <w:rsid w:val="00057020"/>
    <w:rsid w:val="00057167"/>
    <w:rsid w:val="00060F00"/>
    <w:rsid w:val="000610B7"/>
    <w:rsid w:val="0006199D"/>
    <w:rsid w:val="00062505"/>
    <w:rsid w:val="00062FD1"/>
    <w:rsid w:val="000649AE"/>
    <w:rsid w:val="00064A9C"/>
    <w:rsid w:val="00066109"/>
    <w:rsid w:val="00067A1C"/>
    <w:rsid w:val="00071A2D"/>
    <w:rsid w:val="00073182"/>
    <w:rsid w:val="00074855"/>
    <w:rsid w:val="00074EC5"/>
    <w:rsid w:val="00074FC8"/>
    <w:rsid w:val="00076113"/>
    <w:rsid w:val="000773C8"/>
    <w:rsid w:val="00077798"/>
    <w:rsid w:val="0008048A"/>
    <w:rsid w:val="00080B0C"/>
    <w:rsid w:val="00080ED8"/>
    <w:rsid w:val="00081C44"/>
    <w:rsid w:val="00082664"/>
    <w:rsid w:val="00083647"/>
    <w:rsid w:val="0008541A"/>
    <w:rsid w:val="00086011"/>
    <w:rsid w:val="000860CC"/>
    <w:rsid w:val="00086401"/>
    <w:rsid w:val="0008756E"/>
    <w:rsid w:val="00087BE9"/>
    <w:rsid w:val="00087C2B"/>
    <w:rsid w:val="00090016"/>
    <w:rsid w:val="00090A78"/>
    <w:rsid w:val="000913E6"/>
    <w:rsid w:val="000918E7"/>
    <w:rsid w:val="00092E29"/>
    <w:rsid w:val="00092FFA"/>
    <w:rsid w:val="00093044"/>
    <w:rsid w:val="000A1413"/>
    <w:rsid w:val="000A15DB"/>
    <w:rsid w:val="000A1E3D"/>
    <w:rsid w:val="000A2E81"/>
    <w:rsid w:val="000A3192"/>
    <w:rsid w:val="000A399F"/>
    <w:rsid w:val="000A4C99"/>
    <w:rsid w:val="000A566F"/>
    <w:rsid w:val="000A63B3"/>
    <w:rsid w:val="000A7C2B"/>
    <w:rsid w:val="000B15EE"/>
    <w:rsid w:val="000B18D6"/>
    <w:rsid w:val="000B1FD0"/>
    <w:rsid w:val="000B4A82"/>
    <w:rsid w:val="000B5F23"/>
    <w:rsid w:val="000B6CF0"/>
    <w:rsid w:val="000C06FB"/>
    <w:rsid w:val="000C0BD8"/>
    <w:rsid w:val="000C0E05"/>
    <w:rsid w:val="000C24E3"/>
    <w:rsid w:val="000C2569"/>
    <w:rsid w:val="000C31DA"/>
    <w:rsid w:val="000C366A"/>
    <w:rsid w:val="000C3FF8"/>
    <w:rsid w:val="000C4084"/>
    <w:rsid w:val="000C5173"/>
    <w:rsid w:val="000C53D1"/>
    <w:rsid w:val="000C756C"/>
    <w:rsid w:val="000C7FAF"/>
    <w:rsid w:val="000D5C1B"/>
    <w:rsid w:val="000D5DED"/>
    <w:rsid w:val="000D602A"/>
    <w:rsid w:val="000D6922"/>
    <w:rsid w:val="000D6D4A"/>
    <w:rsid w:val="000D74E7"/>
    <w:rsid w:val="000E086B"/>
    <w:rsid w:val="000E182B"/>
    <w:rsid w:val="000E2D6E"/>
    <w:rsid w:val="000E343D"/>
    <w:rsid w:val="000E3BD5"/>
    <w:rsid w:val="000E4290"/>
    <w:rsid w:val="000E5356"/>
    <w:rsid w:val="000E5A58"/>
    <w:rsid w:val="000E6E68"/>
    <w:rsid w:val="000E712F"/>
    <w:rsid w:val="000E761F"/>
    <w:rsid w:val="000F13AC"/>
    <w:rsid w:val="000F1CF5"/>
    <w:rsid w:val="000F1DBD"/>
    <w:rsid w:val="000F2388"/>
    <w:rsid w:val="000F379C"/>
    <w:rsid w:val="000F4528"/>
    <w:rsid w:val="000F4FC1"/>
    <w:rsid w:val="000F5020"/>
    <w:rsid w:val="000F54A1"/>
    <w:rsid w:val="000F7E66"/>
    <w:rsid w:val="001007C9"/>
    <w:rsid w:val="00102D7B"/>
    <w:rsid w:val="00103310"/>
    <w:rsid w:val="0010446E"/>
    <w:rsid w:val="00106384"/>
    <w:rsid w:val="001063BB"/>
    <w:rsid w:val="00107536"/>
    <w:rsid w:val="00107961"/>
    <w:rsid w:val="00107B0E"/>
    <w:rsid w:val="00110BEF"/>
    <w:rsid w:val="0011157B"/>
    <w:rsid w:val="001125A6"/>
    <w:rsid w:val="0011382A"/>
    <w:rsid w:val="00114013"/>
    <w:rsid w:val="001161E5"/>
    <w:rsid w:val="0011638F"/>
    <w:rsid w:val="00116E42"/>
    <w:rsid w:val="0011781E"/>
    <w:rsid w:val="0012037D"/>
    <w:rsid w:val="00120826"/>
    <w:rsid w:val="00120901"/>
    <w:rsid w:val="001209A8"/>
    <w:rsid w:val="00120C66"/>
    <w:rsid w:val="00120E84"/>
    <w:rsid w:val="001219F5"/>
    <w:rsid w:val="001224BD"/>
    <w:rsid w:val="001234DF"/>
    <w:rsid w:val="00123C52"/>
    <w:rsid w:val="00124496"/>
    <w:rsid w:val="00124908"/>
    <w:rsid w:val="0012630F"/>
    <w:rsid w:val="00126550"/>
    <w:rsid w:val="00127311"/>
    <w:rsid w:val="00127752"/>
    <w:rsid w:val="00127AAB"/>
    <w:rsid w:val="001319FA"/>
    <w:rsid w:val="001328F9"/>
    <w:rsid w:val="00133E04"/>
    <w:rsid w:val="001349EC"/>
    <w:rsid w:val="00134AFE"/>
    <w:rsid w:val="00134F15"/>
    <w:rsid w:val="00135555"/>
    <w:rsid w:val="00135E21"/>
    <w:rsid w:val="00136C98"/>
    <w:rsid w:val="00136D61"/>
    <w:rsid w:val="00137FB9"/>
    <w:rsid w:val="001404D7"/>
    <w:rsid w:val="0014140A"/>
    <w:rsid w:val="00141710"/>
    <w:rsid w:val="00141CAB"/>
    <w:rsid w:val="00141EF2"/>
    <w:rsid w:val="00142A35"/>
    <w:rsid w:val="00143C48"/>
    <w:rsid w:val="00144E47"/>
    <w:rsid w:val="001472DD"/>
    <w:rsid w:val="00147940"/>
    <w:rsid w:val="0015108B"/>
    <w:rsid w:val="00152414"/>
    <w:rsid w:val="00152A6E"/>
    <w:rsid w:val="00152CE1"/>
    <w:rsid w:val="00153690"/>
    <w:rsid w:val="001537E3"/>
    <w:rsid w:val="0015397A"/>
    <w:rsid w:val="00153F7D"/>
    <w:rsid w:val="00154A78"/>
    <w:rsid w:val="00155210"/>
    <w:rsid w:val="001600D9"/>
    <w:rsid w:val="0016115A"/>
    <w:rsid w:val="001639F1"/>
    <w:rsid w:val="00163CE8"/>
    <w:rsid w:val="00172CF0"/>
    <w:rsid w:val="001738F1"/>
    <w:rsid w:val="00173AED"/>
    <w:rsid w:val="00174A05"/>
    <w:rsid w:val="0017503C"/>
    <w:rsid w:val="001755A9"/>
    <w:rsid w:val="001764C1"/>
    <w:rsid w:val="00176517"/>
    <w:rsid w:val="00176D28"/>
    <w:rsid w:val="00177074"/>
    <w:rsid w:val="00177F81"/>
    <w:rsid w:val="00180B0C"/>
    <w:rsid w:val="00180DE6"/>
    <w:rsid w:val="001824A4"/>
    <w:rsid w:val="001824A7"/>
    <w:rsid w:val="00184324"/>
    <w:rsid w:val="00184602"/>
    <w:rsid w:val="0018483F"/>
    <w:rsid w:val="00184C03"/>
    <w:rsid w:val="00185C65"/>
    <w:rsid w:val="00186A4F"/>
    <w:rsid w:val="00187AF8"/>
    <w:rsid w:val="00187E3B"/>
    <w:rsid w:val="001906D0"/>
    <w:rsid w:val="00190931"/>
    <w:rsid w:val="001914F5"/>
    <w:rsid w:val="001915EF"/>
    <w:rsid w:val="00191A8C"/>
    <w:rsid w:val="00191F0D"/>
    <w:rsid w:val="001920D6"/>
    <w:rsid w:val="00192EB0"/>
    <w:rsid w:val="00192F98"/>
    <w:rsid w:val="0019430F"/>
    <w:rsid w:val="001945C7"/>
    <w:rsid w:val="00194BFA"/>
    <w:rsid w:val="00194E11"/>
    <w:rsid w:val="00195018"/>
    <w:rsid w:val="00195FF4"/>
    <w:rsid w:val="00196E77"/>
    <w:rsid w:val="001A0A3A"/>
    <w:rsid w:val="001A1FC1"/>
    <w:rsid w:val="001A2C36"/>
    <w:rsid w:val="001A2E5E"/>
    <w:rsid w:val="001A32C6"/>
    <w:rsid w:val="001A3E9A"/>
    <w:rsid w:val="001A594B"/>
    <w:rsid w:val="001A5BBF"/>
    <w:rsid w:val="001A5F7E"/>
    <w:rsid w:val="001A5FE8"/>
    <w:rsid w:val="001A6305"/>
    <w:rsid w:val="001A66B9"/>
    <w:rsid w:val="001A70E2"/>
    <w:rsid w:val="001A7D0D"/>
    <w:rsid w:val="001B085A"/>
    <w:rsid w:val="001B1483"/>
    <w:rsid w:val="001B1917"/>
    <w:rsid w:val="001B3213"/>
    <w:rsid w:val="001B3F60"/>
    <w:rsid w:val="001B4795"/>
    <w:rsid w:val="001B7EA3"/>
    <w:rsid w:val="001C065E"/>
    <w:rsid w:val="001C1F51"/>
    <w:rsid w:val="001C210A"/>
    <w:rsid w:val="001C3116"/>
    <w:rsid w:val="001C3DE7"/>
    <w:rsid w:val="001C3F2F"/>
    <w:rsid w:val="001C40F0"/>
    <w:rsid w:val="001C4688"/>
    <w:rsid w:val="001C7691"/>
    <w:rsid w:val="001C7B87"/>
    <w:rsid w:val="001D012A"/>
    <w:rsid w:val="001D0F0F"/>
    <w:rsid w:val="001D113A"/>
    <w:rsid w:val="001D11F4"/>
    <w:rsid w:val="001D22E6"/>
    <w:rsid w:val="001D2FD8"/>
    <w:rsid w:val="001D502D"/>
    <w:rsid w:val="001D51A6"/>
    <w:rsid w:val="001D52D5"/>
    <w:rsid w:val="001D587A"/>
    <w:rsid w:val="001D59BD"/>
    <w:rsid w:val="001D5A56"/>
    <w:rsid w:val="001D679A"/>
    <w:rsid w:val="001D682C"/>
    <w:rsid w:val="001E1448"/>
    <w:rsid w:val="001E1EFC"/>
    <w:rsid w:val="001E38E4"/>
    <w:rsid w:val="001E677B"/>
    <w:rsid w:val="001E69D1"/>
    <w:rsid w:val="001E7B73"/>
    <w:rsid w:val="001E7D13"/>
    <w:rsid w:val="001E7E54"/>
    <w:rsid w:val="001F0C02"/>
    <w:rsid w:val="001F0C87"/>
    <w:rsid w:val="001F2BBF"/>
    <w:rsid w:val="001F4ECD"/>
    <w:rsid w:val="001F58B3"/>
    <w:rsid w:val="002008AA"/>
    <w:rsid w:val="002008B0"/>
    <w:rsid w:val="00200BD4"/>
    <w:rsid w:val="00200BF4"/>
    <w:rsid w:val="00201B92"/>
    <w:rsid w:val="002025E1"/>
    <w:rsid w:val="00202C1D"/>
    <w:rsid w:val="002041B8"/>
    <w:rsid w:val="002051C6"/>
    <w:rsid w:val="00207452"/>
    <w:rsid w:val="0021002D"/>
    <w:rsid w:val="00212F13"/>
    <w:rsid w:val="00212FE8"/>
    <w:rsid w:val="0021446A"/>
    <w:rsid w:val="0021478C"/>
    <w:rsid w:val="00216589"/>
    <w:rsid w:val="0021751A"/>
    <w:rsid w:val="00217C6B"/>
    <w:rsid w:val="0022158C"/>
    <w:rsid w:val="00223453"/>
    <w:rsid w:val="00223A6D"/>
    <w:rsid w:val="00224111"/>
    <w:rsid w:val="002248E0"/>
    <w:rsid w:val="00224C31"/>
    <w:rsid w:val="00230D0F"/>
    <w:rsid w:val="00231241"/>
    <w:rsid w:val="002319CB"/>
    <w:rsid w:val="00231FB5"/>
    <w:rsid w:val="00232479"/>
    <w:rsid w:val="00232B02"/>
    <w:rsid w:val="00232EAA"/>
    <w:rsid w:val="00233374"/>
    <w:rsid w:val="00234569"/>
    <w:rsid w:val="0023548D"/>
    <w:rsid w:val="00237918"/>
    <w:rsid w:val="00237B28"/>
    <w:rsid w:val="00242238"/>
    <w:rsid w:val="00243B3A"/>
    <w:rsid w:val="0024447B"/>
    <w:rsid w:val="00246888"/>
    <w:rsid w:val="00246B86"/>
    <w:rsid w:val="00247BF6"/>
    <w:rsid w:val="00250037"/>
    <w:rsid w:val="002516FB"/>
    <w:rsid w:val="00251FF9"/>
    <w:rsid w:val="0025217C"/>
    <w:rsid w:val="00252BE1"/>
    <w:rsid w:val="00253D17"/>
    <w:rsid w:val="00256CFB"/>
    <w:rsid w:val="00257AA3"/>
    <w:rsid w:val="00260BFA"/>
    <w:rsid w:val="00261AB0"/>
    <w:rsid w:val="002621F0"/>
    <w:rsid w:val="002645D2"/>
    <w:rsid w:val="00264F17"/>
    <w:rsid w:val="00266D68"/>
    <w:rsid w:val="00267B98"/>
    <w:rsid w:val="00270027"/>
    <w:rsid w:val="00270570"/>
    <w:rsid w:val="0027292C"/>
    <w:rsid w:val="00273E8E"/>
    <w:rsid w:val="0027419E"/>
    <w:rsid w:val="00276A17"/>
    <w:rsid w:val="00276C96"/>
    <w:rsid w:val="00276F61"/>
    <w:rsid w:val="002776B4"/>
    <w:rsid w:val="002779EB"/>
    <w:rsid w:val="00277F4B"/>
    <w:rsid w:val="002822C5"/>
    <w:rsid w:val="002823A1"/>
    <w:rsid w:val="0028255E"/>
    <w:rsid w:val="00283275"/>
    <w:rsid w:val="00283BEB"/>
    <w:rsid w:val="002859C9"/>
    <w:rsid w:val="00285AC6"/>
    <w:rsid w:val="0029007C"/>
    <w:rsid w:val="00290409"/>
    <w:rsid w:val="00290630"/>
    <w:rsid w:val="00290AE1"/>
    <w:rsid w:val="00292DC3"/>
    <w:rsid w:val="0029321C"/>
    <w:rsid w:val="002933A4"/>
    <w:rsid w:val="0029405A"/>
    <w:rsid w:val="0029507D"/>
    <w:rsid w:val="002954CD"/>
    <w:rsid w:val="00295866"/>
    <w:rsid w:val="0029733B"/>
    <w:rsid w:val="00297609"/>
    <w:rsid w:val="00297C1E"/>
    <w:rsid w:val="002A0419"/>
    <w:rsid w:val="002A163E"/>
    <w:rsid w:val="002A5A88"/>
    <w:rsid w:val="002A7B52"/>
    <w:rsid w:val="002B00DA"/>
    <w:rsid w:val="002B011F"/>
    <w:rsid w:val="002B0283"/>
    <w:rsid w:val="002B0703"/>
    <w:rsid w:val="002B1523"/>
    <w:rsid w:val="002B2DDD"/>
    <w:rsid w:val="002B3394"/>
    <w:rsid w:val="002B3984"/>
    <w:rsid w:val="002B446B"/>
    <w:rsid w:val="002B4CBD"/>
    <w:rsid w:val="002B6724"/>
    <w:rsid w:val="002B685D"/>
    <w:rsid w:val="002B71EA"/>
    <w:rsid w:val="002B72CE"/>
    <w:rsid w:val="002B7532"/>
    <w:rsid w:val="002B7E5C"/>
    <w:rsid w:val="002C051E"/>
    <w:rsid w:val="002C0901"/>
    <w:rsid w:val="002C11F7"/>
    <w:rsid w:val="002C3336"/>
    <w:rsid w:val="002C52A6"/>
    <w:rsid w:val="002C53C0"/>
    <w:rsid w:val="002C5632"/>
    <w:rsid w:val="002C5EB7"/>
    <w:rsid w:val="002C7342"/>
    <w:rsid w:val="002D134C"/>
    <w:rsid w:val="002D154A"/>
    <w:rsid w:val="002D1F6E"/>
    <w:rsid w:val="002D3156"/>
    <w:rsid w:val="002D5D8B"/>
    <w:rsid w:val="002D5D98"/>
    <w:rsid w:val="002D66A2"/>
    <w:rsid w:val="002D737B"/>
    <w:rsid w:val="002E05EC"/>
    <w:rsid w:val="002E0CCC"/>
    <w:rsid w:val="002E3AD3"/>
    <w:rsid w:val="002E3ED8"/>
    <w:rsid w:val="002E4B2D"/>
    <w:rsid w:val="002E4CBB"/>
    <w:rsid w:val="002E6398"/>
    <w:rsid w:val="002E68DF"/>
    <w:rsid w:val="002F05F8"/>
    <w:rsid w:val="002F0E64"/>
    <w:rsid w:val="002F304A"/>
    <w:rsid w:val="002F5902"/>
    <w:rsid w:val="002F5F2F"/>
    <w:rsid w:val="002F60E8"/>
    <w:rsid w:val="002F7B01"/>
    <w:rsid w:val="003012AF"/>
    <w:rsid w:val="00302443"/>
    <w:rsid w:val="00303C6A"/>
    <w:rsid w:val="003048FD"/>
    <w:rsid w:val="00304BA1"/>
    <w:rsid w:val="00306423"/>
    <w:rsid w:val="00306657"/>
    <w:rsid w:val="00310501"/>
    <w:rsid w:val="0031149B"/>
    <w:rsid w:val="003124AC"/>
    <w:rsid w:val="00312AE5"/>
    <w:rsid w:val="003132EC"/>
    <w:rsid w:val="00313AB9"/>
    <w:rsid w:val="003147E4"/>
    <w:rsid w:val="003152D6"/>
    <w:rsid w:val="00316642"/>
    <w:rsid w:val="00317A3B"/>
    <w:rsid w:val="00317A70"/>
    <w:rsid w:val="00317B8C"/>
    <w:rsid w:val="00317CB2"/>
    <w:rsid w:val="00320CB4"/>
    <w:rsid w:val="00321A14"/>
    <w:rsid w:val="00322213"/>
    <w:rsid w:val="003234D7"/>
    <w:rsid w:val="003250E7"/>
    <w:rsid w:val="003253BC"/>
    <w:rsid w:val="00327575"/>
    <w:rsid w:val="00327B89"/>
    <w:rsid w:val="003306C2"/>
    <w:rsid w:val="00331A27"/>
    <w:rsid w:val="00331C43"/>
    <w:rsid w:val="00332592"/>
    <w:rsid w:val="00332639"/>
    <w:rsid w:val="00332959"/>
    <w:rsid w:val="003341C2"/>
    <w:rsid w:val="003354A0"/>
    <w:rsid w:val="0033677B"/>
    <w:rsid w:val="00336DC3"/>
    <w:rsid w:val="0033704F"/>
    <w:rsid w:val="0034005C"/>
    <w:rsid w:val="00340072"/>
    <w:rsid w:val="00340301"/>
    <w:rsid w:val="00340554"/>
    <w:rsid w:val="00341289"/>
    <w:rsid w:val="003415A2"/>
    <w:rsid w:val="003428C8"/>
    <w:rsid w:val="00343BAE"/>
    <w:rsid w:val="00344AD3"/>
    <w:rsid w:val="00345C4E"/>
    <w:rsid w:val="00346158"/>
    <w:rsid w:val="00346BDA"/>
    <w:rsid w:val="00350657"/>
    <w:rsid w:val="00350710"/>
    <w:rsid w:val="00352BD9"/>
    <w:rsid w:val="00353786"/>
    <w:rsid w:val="00354FDE"/>
    <w:rsid w:val="00355B23"/>
    <w:rsid w:val="0035718B"/>
    <w:rsid w:val="00357684"/>
    <w:rsid w:val="00361821"/>
    <w:rsid w:val="00361A9D"/>
    <w:rsid w:val="00363002"/>
    <w:rsid w:val="00363A27"/>
    <w:rsid w:val="00363C81"/>
    <w:rsid w:val="003643C9"/>
    <w:rsid w:val="00364B85"/>
    <w:rsid w:val="00364C15"/>
    <w:rsid w:val="00365471"/>
    <w:rsid w:val="00367230"/>
    <w:rsid w:val="003711E1"/>
    <w:rsid w:val="00373464"/>
    <w:rsid w:val="00373F7C"/>
    <w:rsid w:val="003751A3"/>
    <w:rsid w:val="00375337"/>
    <w:rsid w:val="00375791"/>
    <w:rsid w:val="00375F53"/>
    <w:rsid w:val="003762C2"/>
    <w:rsid w:val="00376504"/>
    <w:rsid w:val="0037653F"/>
    <w:rsid w:val="00376CC7"/>
    <w:rsid w:val="00377AD2"/>
    <w:rsid w:val="00381632"/>
    <w:rsid w:val="00381721"/>
    <w:rsid w:val="003822EF"/>
    <w:rsid w:val="00382761"/>
    <w:rsid w:val="00383494"/>
    <w:rsid w:val="003847B9"/>
    <w:rsid w:val="00385E56"/>
    <w:rsid w:val="003862AE"/>
    <w:rsid w:val="00392FCC"/>
    <w:rsid w:val="00393250"/>
    <w:rsid w:val="0039346C"/>
    <w:rsid w:val="00393854"/>
    <w:rsid w:val="003A04B4"/>
    <w:rsid w:val="003A2149"/>
    <w:rsid w:val="003A31D5"/>
    <w:rsid w:val="003A466F"/>
    <w:rsid w:val="003A4936"/>
    <w:rsid w:val="003A54A2"/>
    <w:rsid w:val="003A6C67"/>
    <w:rsid w:val="003A7C64"/>
    <w:rsid w:val="003A7EA1"/>
    <w:rsid w:val="003B0B24"/>
    <w:rsid w:val="003B0D11"/>
    <w:rsid w:val="003B1229"/>
    <w:rsid w:val="003B1D33"/>
    <w:rsid w:val="003B2649"/>
    <w:rsid w:val="003B2718"/>
    <w:rsid w:val="003B2C11"/>
    <w:rsid w:val="003B3C25"/>
    <w:rsid w:val="003B4186"/>
    <w:rsid w:val="003B49D7"/>
    <w:rsid w:val="003B4C6A"/>
    <w:rsid w:val="003B4D23"/>
    <w:rsid w:val="003B714F"/>
    <w:rsid w:val="003B72E5"/>
    <w:rsid w:val="003C14E3"/>
    <w:rsid w:val="003C2F43"/>
    <w:rsid w:val="003C3854"/>
    <w:rsid w:val="003C539D"/>
    <w:rsid w:val="003C54DD"/>
    <w:rsid w:val="003C5E1E"/>
    <w:rsid w:val="003C75B9"/>
    <w:rsid w:val="003D109D"/>
    <w:rsid w:val="003D1803"/>
    <w:rsid w:val="003D1A53"/>
    <w:rsid w:val="003D1EC1"/>
    <w:rsid w:val="003D1EFD"/>
    <w:rsid w:val="003D3277"/>
    <w:rsid w:val="003D36AD"/>
    <w:rsid w:val="003D3B00"/>
    <w:rsid w:val="003D57BB"/>
    <w:rsid w:val="003D5FAA"/>
    <w:rsid w:val="003D6783"/>
    <w:rsid w:val="003D6B47"/>
    <w:rsid w:val="003E05CD"/>
    <w:rsid w:val="003E0CA0"/>
    <w:rsid w:val="003E2C3A"/>
    <w:rsid w:val="003E3A52"/>
    <w:rsid w:val="003E3F0F"/>
    <w:rsid w:val="003E7BF5"/>
    <w:rsid w:val="003E7CA8"/>
    <w:rsid w:val="003F052F"/>
    <w:rsid w:val="003F07C3"/>
    <w:rsid w:val="003F0950"/>
    <w:rsid w:val="003F0BC6"/>
    <w:rsid w:val="003F1E27"/>
    <w:rsid w:val="003F20C4"/>
    <w:rsid w:val="003F2AD9"/>
    <w:rsid w:val="003F3102"/>
    <w:rsid w:val="003F3389"/>
    <w:rsid w:val="003F4734"/>
    <w:rsid w:val="003F5FEE"/>
    <w:rsid w:val="003F6A01"/>
    <w:rsid w:val="003F7301"/>
    <w:rsid w:val="004008AE"/>
    <w:rsid w:val="00400B35"/>
    <w:rsid w:val="00403E2E"/>
    <w:rsid w:val="00405060"/>
    <w:rsid w:val="00405E2B"/>
    <w:rsid w:val="004061BF"/>
    <w:rsid w:val="004079DE"/>
    <w:rsid w:val="00410508"/>
    <w:rsid w:val="004116F6"/>
    <w:rsid w:val="00411ACA"/>
    <w:rsid w:val="00413BFA"/>
    <w:rsid w:val="004140D7"/>
    <w:rsid w:val="00415EFB"/>
    <w:rsid w:val="00416429"/>
    <w:rsid w:val="0041692C"/>
    <w:rsid w:val="00417292"/>
    <w:rsid w:val="004215DD"/>
    <w:rsid w:val="004217D3"/>
    <w:rsid w:val="00422A48"/>
    <w:rsid w:val="00422A55"/>
    <w:rsid w:val="00423531"/>
    <w:rsid w:val="00426378"/>
    <w:rsid w:val="00426F6A"/>
    <w:rsid w:val="004272BE"/>
    <w:rsid w:val="00427DA2"/>
    <w:rsid w:val="00430777"/>
    <w:rsid w:val="00432968"/>
    <w:rsid w:val="0043342F"/>
    <w:rsid w:val="00435494"/>
    <w:rsid w:val="004360EF"/>
    <w:rsid w:val="0043729E"/>
    <w:rsid w:val="00437435"/>
    <w:rsid w:val="004405AA"/>
    <w:rsid w:val="00442AFD"/>
    <w:rsid w:val="004438E0"/>
    <w:rsid w:val="00444730"/>
    <w:rsid w:val="00444771"/>
    <w:rsid w:val="00445627"/>
    <w:rsid w:val="00446476"/>
    <w:rsid w:val="004468F6"/>
    <w:rsid w:val="00451C4D"/>
    <w:rsid w:val="00452D6A"/>
    <w:rsid w:val="00452FA9"/>
    <w:rsid w:val="00453D13"/>
    <w:rsid w:val="00455747"/>
    <w:rsid w:val="00455CAC"/>
    <w:rsid w:val="00456080"/>
    <w:rsid w:val="004578AD"/>
    <w:rsid w:val="004634C3"/>
    <w:rsid w:val="00463D80"/>
    <w:rsid w:val="00463DF0"/>
    <w:rsid w:val="00464BE9"/>
    <w:rsid w:val="00465BF7"/>
    <w:rsid w:val="0046659D"/>
    <w:rsid w:val="00470B9A"/>
    <w:rsid w:val="00470DBF"/>
    <w:rsid w:val="004711D7"/>
    <w:rsid w:val="004717CB"/>
    <w:rsid w:val="00472524"/>
    <w:rsid w:val="00472BB3"/>
    <w:rsid w:val="004732FC"/>
    <w:rsid w:val="0047513C"/>
    <w:rsid w:val="00475672"/>
    <w:rsid w:val="004764A8"/>
    <w:rsid w:val="00477328"/>
    <w:rsid w:val="004805A1"/>
    <w:rsid w:val="004812E6"/>
    <w:rsid w:val="0048196D"/>
    <w:rsid w:val="00481EC5"/>
    <w:rsid w:val="00482277"/>
    <w:rsid w:val="00482899"/>
    <w:rsid w:val="00483053"/>
    <w:rsid w:val="00484291"/>
    <w:rsid w:val="004843BC"/>
    <w:rsid w:val="004845B4"/>
    <w:rsid w:val="00484B74"/>
    <w:rsid w:val="00484BD3"/>
    <w:rsid w:val="0048523B"/>
    <w:rsid w:val="00485971"/>
    <w:rsid w:val="004867DA"/>
    <w:rsid w:val="00486AFD"/>
    <w:rsid w:val="00487DED"/>
    <w:rsid w:val="004903C5"/>
    <w:rsid w:val="00490900"/>
    <w:rsid w:val="00493CC1"/>
    <w:rsid w:val="004969BB"/>
    <w:rsid w:val="0049705C"/>
    <w:rsid w:val="00497255"/>
    <w:rsid w:val="00497418"/>
    <w:rsid w:val="004977C3"/>
    <w:rsid w:val="004A0014"/>
    <w:rsid w:val="004A35A7"/>
    <w:rsid w:val="004A36EC"/>
    <w:rsid w:val="004A3B97"/>
    <w:rsid w:val="004A501A"/>
    <w:rsid w:val="004A67DD"/>
    <w:rsid w:val="004A71AE"/>
    <w:rsid w:val="004A766A"/>
    <w:rsid w:val="004B02E4"/>
    <w:rsid w:val="004B2317"/>
    <w:rsid w:val="004B2869"/>
    <w:rsid w:val="004B4229"/>
    <w:rsid w:val="004B487B"/>
    <w:rsid w:val="004B501A"/>
    <w:rsid w:val="004B690E"/>
    <w:rsid w:val="004B699B"/>
    <w:rsid w:val="004B6DE3"/>
    <w:rsid w:val="004B726C"/>
    <w:rsid w:val="004B730E"/>
    <w:rsid w:val="004B7FF9"/>
    <w:rsid w:val="004C022A"/>
    <w:rsid w:val="004C1052"/>
    <w:rsid w:val="004C11F5"/>
    <w:rsid w:val="004C3DAB"/>
    <w:rsid w:val="004C453E"/>
    <w:rsid w:val="004C6BAF"/>
    <w:rsid w:val="004C6D5F"/>
    <w:rsid w:val="004C7932"/>
    <w:rsid w:val="004C7C0E"/>
    <w:rsid w:val="004D1513"/>
    <w:rsid w:val="004D1BD9"/>
    <w:rsid w:val="004D1FDD"/>
    <w:rsid w:val="004D26DD"/>
    <w:rsid w:val="004D691D"/>
    <w:rsid w:val="004D72AF"/>
    <w:rsid w:val="004E0CE9"/>
    <w:rsid w:val="004E2287"/>
    <w:rsid w:val="004E3961"/>
    <w:rsid w:val="004E3A17"/>
    <w:rsid w:val="004E3D3D"/>
    <w:rsid w:val="004E4A5D"/>
    <w:rsid w:val="004E4B8F"/>
    <w:rsid w:val="004E5163"/>
    <w:rsid w:val="004E5305"/>
    <w:rsid w:val="004E5758"/>
    <w:rsid w:val="004E5A04"/>
    <w:rsid w:val="004E7437"/>
    <w:rsid w:val="004E7B87"/>
    <w:rsid w:val="004F0D45"/>
    <w:rsid w:val="004F3FE7"/>
    <w:rsid w:val="004F615A"/>
    <w:rsid w:val="004F6549"/>
    <w:rsid w:val="004F76B8"/>
    <w:rsid w:val="00501AF3"/>
    <w:rsid w:val="00501BF6"/>
    <w:rsid w:val="005030B1"/>
    <w:rsid w:val="00503373"/>
    <w:rsid w:val="00504CC3"/>
    <w:rsid w:val="00507AAF"/>
    <w:rsid w:val="00507CF9"/>
    <w:rsid w:val="005120CF"/>
    <w:rsid w:val="00512570"/>
    <w:rsid w:val="0051452E"/>
    <w:rsid w:val="0051464C"/>
    <w:rsid w:val="005148D7"/>
    <w:rsid w:val="005158D2"/>
    <w:rsid w:val="00517239"/>
    <w:rsid w:val="00520CDE"/>
    <w:rsid w:val="00521298"/>
    <w:rsid w:val="00521929"/>
    <w:rsid w:val="00524C85"/>
    <w:rsid w:val="005255F0"/>
    <w:rsid w:val="00527573"/>
    <w:rsid w:val="005279BE"/>
    <w:rsid w:val="005307C8"/>
    <w:rsid w:val="005324FA"/>
    <w:rsid w:val="00532579"/>
    <w:rsid w:val="00532736"/>
    <w:rsid w:val="00532B01"/>
    <w:rsid w:val="00533AB8"/>
    <w:rsid w:val="00535629"/>
    <w:rsid w:val="00536102"/>
    <w:rsid w:val="0053664E"/>
    <w:rsid w:val="005416D2"/>
    <w:rsid w:val="0054278B"/>
    <w:rsid w:val="00544A45"/>
    <w:rsid w:val="00545616"/>
    <w:rsid w:val="005464AA"/>
    <w:rsid w:val="00546735"/>
    <w:rsid w:val="005474C8"/>
    <w:rsid w:val="005526B5"/>
    <w:rsid w:val="00553E2D"/>
    <w:rsid w:val="005549B8"/>
    <w:rsid w:val="00554FAC"/>
    <w:rsid w:val="00555DD6"/>
    <w:rsid w:val="00556333"/>
    <w:rsid w:val="0055700C"/>
    <w:rsid w:val="0056212D"/>
    <w:rsid w:val="0056250B"/>
    <w:rsid w:val="005625E4"/>
    <w:rsid w:val="005627AB"/>
    <w:rsid w:val="00564E08"/>
    <w:rsid w:val="0056500E"/>
    <w:rsid w:val="005653A9"/>
    <w:rsid w:val="00565AF2"/>
    <w:rsid w:val="00565D2E"/>
    <w:rsid w:val="00565E57"/>
    <w:rsid w:val="0056758F"/>
    <w:rsid w:val="0057038E"/>
    <w:rsid w:val="00570F55"/>
    <w:rsid w:val="00571384"/>
    <w:rsid w:val="0057164A"/>
    <w:rsid w:val="00573130"/>
    <w:rsid w:val="00576132"/>
    <w:rsid w:val="0057654A"/>
    <w:rsid w:val="00576ED0"/>
    <w:rsid w:val="00576F19"/>
    <w:rsid w:val="00577949"/>
    <w:rsid w:val="00581409"/>
    <w:rsid w:val="005818E9"/>
    <w:rsid w:val="0058341F"/>
    <w:rsid w:val="00583454"/>
    <w:rsid w:val="0058448A"/>
    <w:rsid w:val="00584678"/>
    <w:rsid w:val="005849A3"/>
    <w:rsid w:val="00584E28"/>
    <w:rsid w:val="005857A1"/>
    <w:rsid w:val="005915BD"/>
    <w:rsid w:val="0059193B"/>
    <w:rsid w:val="00592405"/>
    <w:rsid w:val="005924A9"/>
    <w:rsid w:val="005925D6"/>
    <w:rsid w:val="005A0171"/>
    <w:rsid w:val="005A1844"/>
    <w:rsid w:val="005A30EA"/>
    <w:rsid w:val="005A3292"/>
    <w:rsid w:val="005A6381"/>
    <w:rsid w:val="005B16ED"/>
    <w:rsid w:val="005B1D36"/>
    <w:rsid w:val="005B2DDD"/>
    <w:rsid w:val="005B3686"/>
    <w:rsid w:val="005B3A13"/>
    <w:rsid w:val="005B3F32"/>
    <w:rsid w:val="005B478A"/>
    <w:rsid w:val="005B47F8"/>
    <w:rsid w:val="005B7710"/>
    <w:rsid w:val="005B7B01"/>
    <w:rsid w:val="005C08EC"/>
    <w:rsid w:val="005C0DEE"/>
    <w:rsid w:val="005C2D9B"/>
    <w:rsid w:val="005C34ED"/>
    <w:rsid w:val="005C448D"/>
    <w:rsid w:val="005C4B13"/>
    <w:rsid w:val="005C683F"/>
    <w:rsid w:val="005C6895"/>
    <w:rsid w:val="005D16B7"/>
    <w:rsid w:val="005D1D98"/>
    <w:rsid w:val="005D3E25"/>
    <w:rsid w:val="005D42B7"/>
    <w:rsid w:val="005D433E"/>
    <w:rsid w:val="005D4C47"/>
    <w:rsid w:val="005D5F27"/>
    <w:rsid w:val="005D603D"/>
    <w:rsid w:val="005D6AF6"/>
    <w:rsid w:val="005D6C7A"/>
    <w:rsid w:val="005E16A6"/>
    <w:rsid w:val="005E23E9"/>
    <w:rsid w:val="005E2B51"/>
    <w:rsid w:val="005E432D"/>
    <w:rsid w:val="005E49F8"/>
    <w:rsid w:val="005E6925"/>
    <w:rsid w:val="005E6FB5"/>
    <w:rsid w:val="005F16C2"/>
    <w:rsid w:val="005F2A02"/>
    <w:rsid w:val="005F2D2D"/>
    <w:rsid w:val="005F7584"/>
    <w:rsid w:val="005F7816"/>
    <w:rsid w:val="006002E5"/>
    <w:rsid w:val="00601526"/>
    <w:rsid w:val="00602225"/>
    <w:rsid w:val="00602661"/>
    <w:rsid w:val="00603582"/>
    <w:rsid w:val="00603D73"/>
    <w:rsid w:val="0060436D"/>
    <w:rsid w:val="006043F7"/>
    <w:rsid w:val="00604C7B"/>
    <w:rsid w:val="00606C8F"/>
    <w:rsid w:val="00607ABC"/>
    <w:rsid w:val="00607C8F"/>
    <w:rsid w:val="00610D02"/>
    <w:rsid w:val="00610D0A"/>
    <w:rsid w:val="0061173F"/>
    <w:rsid w:val="0061186F"/>
    <w:rsid w:val="00611E89"/>
    <w:rsid w:val="00612A2C"/>
    <w:rsid w:val="006152FD"/>
    <w:rsid w:val="00617B57"/>
    <w:rsid w:val="00620EFA"/>
    <w:rsid w:val="00621FF3"/>
    <w:rsid w:val="00622643"/>
    <w:rsid w:val="00622B9F"/>
    <w:rsid w:val="00622E42"/>
    <w:rsid w:val="00624CE1"/>
    <w:rsid w:val="00624D03"/>
    <w:rsid w:val="0063025D"/>
    <w:rsid w:val="00631EE2"/>
    <w:rsid w:val="00633BF3"/>
    <w:rsid w:val="0063459D"/>
    <w:rsid w:val="00634DBB"/>
    <w:rsid w:val="0063511D"/>
    <w:rsid w:val="0063652F"/>
    <w:rsid w:val="0063667C"/>
    <w:rsid w:val="00637329"/>
    <w:rsid w:val="006379C7"/>
    <w:rsid w:val="00637CA8"/>
    <w:rsid w:val="00641F29"/>
    <w:rsid w:val="0064390A"/>
    <w:rsid w:val="0064395E"/>
    <w:rsid w:val="0064579B"/>
    <w:rsid w:val="0064597B"/>
    <w:rsid w:val="00645F19"/>
    <w:rsid w:val="0064622D"/>
    <w:rsid w:val="006466F3"/>
    <w:rsid w:val="006472AF"/>
    <w:rsid w:val="006507FF"/>
    <w:rsid w:val="00651BDB"/>
    <w:rsid w:val="006525C9"/>
    <w:rsid w:val="00655BEC"/>
    <w:rsid w:val="00655F79"/>
    <w:rsid w:val="00656011"/>
    <w:rsid w:val="006562A0"/>
    <w:rsid w:val="00656A7C"/>
    <w:rsid w:val="006570CC"/>
    <w:rsid w:val="00657546"/>
    <w:rsid w:val="0066159F"/>
    <w:rsid w:val="00663199"/>
    <w:rsid w:val="00664ABD"/>
    <w:rsid w:val="00664E65"/>
    <w:rsid w:val="00666D7F"/>
    <w:rsid w:val="0066779B"/>
    <w:rsid w:val="006706B2"/>
    <w:rsid w:val="00670782"/>
    <w:rsid w:val="0067153C"/>
    <w:rsid w:val="00671981"/>
    <w:rsid w:val="006736E9"/>
    <w:rsid w:val="00673C2B"/>
    <w:rsid w:val="006758DD"/>
    <w:rsid w:val="00675A82"/>
    <w:rsid w:val="00675C5A"/>
    <w:rsid w:val="006771A4"/>
    <w:rsid w:val="0068003A"/>
    <w:rsid w:val="006810D8"/>
    <w:rsid w:val="006816D6"/>
    <w:rsid w:val="0068552D"/>
    <w:rsid w:val="00687740"/>
    <w:rsid w:val="006932E9"/>
    <w:rsid w:val="00693901"/>
    <w:rsid w:val="00693DB9"/>
    <w:rsid w:val="006973FA"/>
    <w:rsid w:val="006978F9"/>
    <w:rsid w:val="00697A80"/>
    <w:rsid w:val="006A2DEE"/>
    <w:rsid w:val="006A32D2"/>
    <w:rsid w:val="006A3385"/>
    <w:rsid w:val="006A53E5"/>
    <w:rsid w:val="006A56FD"/>
    <w:rsid w:val="006A59A0"/>
    <w:rsid w:val="006A5EAE"/>
    <w:rsid w:val="006A63F7"/>
    <w:rsid w:val="006A7064"/>
    <w:rsid w:val="006A7635"/>
    <w:rsid w:val="006B0230"/>
    <w:rsid w:val="006B06DB"/>
    <w:rsid w:val="006B13CC"/>
    <w:rsid w:val="006B2FFC"/>
    <w:rsid w:val="006B62F2"/>
    <w:rsid w:val="006B6D3A"/>
    <w:rsid w:val="006C215C"/>
    <w:rsid w:val="006C4061"/>
    <w:rsid w:val="006C590B"/>
    <w:rsid w:val="006C6896"/>
    <w:rsid w:val="006C71E6"/>
    <w:rsid w:val="006C74B3"/>
    <w:rsid w:val="006D0BDC"/>
    <w:rsid w:val="006D1950"/>
    <w:rsid w:val="006D292B"/>
    <w:rsid w:val="006D2C7F"/>
    <w:rsid w:val="006D3D47"/>
    <w:rsid w:val="006D4298"/>
    <w:rsid w:val="006D59B8"/>
    <w:rsid w:val="006D6767"/>
    <w:rsid w:val="006D6D72"/>
    <w:rsid w:val="006E12EA"/>
    <w:rsid w:val="006E18FA"/>
    <w:rsid w:val="006E2336"/>
    <w:rsid w:val="006E3DAA"/>
    <w:rsid w:val="006E452A"/>
    <w:rsid w:val="006E48F3"/>
    <w:rsid w:val="006E532F"/>
    <w:rsid w:val="006E62D7"/>
    <w:rsid w:val="006E67D4"/>
    <w:rsid w:val="006E6852"/>
    <w:rsid w:val="006E6CA5"/>
    <w:rsid w:val="006F179C"/>
    <w:rsid w:val="006F1BFA"/>
    <w:rsid w:val="006F2373"/>
    <w:rsid w:val="006F4A87"/>
    <w:rsid w:val="006F59A1"/>
    <w:rsid w:val="006F6B75"/>
    <w:rsid w:val="00700EEF"/>
    <w:rsid w:val="00704125"/>
    <w:rsid w:val="00704826"/>
    <w:rsid w:val="00705C7B"/>
    <w:rsid w:val="0070657E"/>
    <w:rsid w:val="00706ACC"/>
    <w:rsid w:val="00706C7C"/>
    <w:rsid w:val="007077A0"/>
    <w:rsid w:val="007106F9"/>
    <w:rsid w:val="00710E60"/>
    <w:rsid w:val="0071104E"/>
    <w:rsid w:val="007112BE"/>
    <w:rsid w:val="0071185B"/>
    <w:rsid w:val="0071428F"/>
    <w:rsid w:val="00714F60"/>
    <w:rsid w:val="00715EBE"/>
    <w:rsid w:val="00717BC5"/>
    <w:rsid w:val="007204A1"/>
    <w:rsid w:val="00721FF8"/>
    <w:rsid w:val="007226FC"/>
    <w:rsid w:val="00722823"/>
    <w:rsid w:val="00723E68"/>
    <w:rsid w:val="00724136"/>
    <w:rsid w:val="0072440B"/>
    <w:rsid w:val="00724541"/>
    <w:rsid w:val="00724B17"/>
    <w:rsid w:val="00724C16"/>
    <w:rsid w:val="00726562"/>
    <w:rsid w:val="00726BCE"/>
    <w:rsid w:val="007309A7"/>
    <w:rsid w:val="00731509"/>
    <w:rsid w:val="007334B2"/>
    <w:rsid w:val="007334C8"/>
    <w:rsid w:val="00733560"/>
    <w:rsid w:val="0073389D"/>
    <w:rsid w:val="0073470C"/>
    <w:rsid w:val="007367AC"/>
    <w:rsid w:val="00737453"/>
    <w:rsid w:val="00737ED4"/>
    <w:rsid w:val="00740605"/>
    <w:rsid w:val="00740984"/>
    <w:rsid w:val="00741FEC"/>
    <w:rsid w:val="00742B7D"/>
    <w:rsid w:val="00742D04"/>
    <w:rsid w:val="00742F78"/>
    <w:rsid w:val="00743487"/>
    <w:rsid w:val="00743CD8"/>
    <w:rsid w:val="007442DB"/>
    <w:rsid w:val="00744D22"/>
    <w:rsid w:val="00745113"/>
    <w:rsid w:val="00746018"/>
    <w:rsid w:val="007475C7"/>
    <w:rsid w:val="00747AEB"/>
    <w:rsid w:val="0075053D"/>
    <w:rsid w:val="00750AE3"/>
    <w:rsid w:val="00750CCE"/>
    <w:rsid w:val="00752275"/>
    <w:rsid w:val="00752FEF"/>
    <w:rsid w:val="00753A13"/>
    <w:rsid w:val="00754145"/>
    <w:rsid w:val="00754E4C"/>
    <w:rsid w:val="00756BC7"/>
    <w:rsid w:val="00756CAC"/>
    <w:rsid w:val="0075780E"/>
    <w:rsid w:val="00757C52"/>
    <w:rsid w:val="00757D31"/>
    <w:rsid w:val="007622DE"/>
    <w:rsid w:val="007626E6"/>
    <w:rsid w:val="00763067"/>
    <w:rsid w:val="007632A7"/>
    <w:rsid w:val="007658FD"/>
    <w:rsid w:val="007662FB"/>
    <w:rsid w:val="0077026E"/>
    <w:rsid w:val="00770F7B"/>
    <w:rsid w:val="007712B0"/>
    <w:rsid w:val="007719B7"/>
    <w:rsid w:val="007733BF"/>
    <w:rsid w:val="007739A6"/>
    <w:rsid w:val="00774B19"/>
    <w:rsid w:val="00774D1B"/>
    <w:rsid w:val="007760E2"/>
    <w:rsid w:val="00780AEB"/>
    <w:rsid w:val="00782448"/>
    <w:rsid w:val="00782885"/>
    <w:rsid w:val="00783616"/>
    <w:rsid w:val="0078549A"/>
    <w:rsid w:val="00787CDC"/>
    <w:rsid w:val="00793047"/>
    <w:rsid w:val="007948EC"/>
    <w:rsid w:val="00794A3E"/>
    <w:rsid w:val="007965C4"/>
    <w:rsid w:val="007A2F26"/>
    <w:rsid w:val="007A3F5B"/>
    <w:rsid w:val="007A5B44"/>
    <w:rsid w:val="007A5E3D"/>
    <w:rsid w:val="007A67DE"/>
    <w:rsid w:val="007A6C5B"/>
    <w:rsid w:val="007A7587"/>
    <w:rsid w:val="007B0653"/>
    <w:rsid w:val="007B07E9"/>
    <w:rsid w:val="007B0DFC"/>
    <w:rsid w:val="007B2291"/>
    <w:rsid w:val="007B282F"/>
    <w:rsid w:val="007B2CE5"/>
    <w:rsid w:val="007B5BCC"/>
    <w:rsid w:val="007B776F"/>
    <w:rsid w:val="007C169C"/>
    <w:rsid w:val="007C186F"/>
    <w:rsid w:val="007C23B8"/>
    <w:rsid w:val="007C3AF7"/>
    <w:rsid w:val="007C4046"/>
    <w:rsid w:val="007C4282"/>
    <w:rsid w:val="007C43B0"/>
    <w:rsid w:val="007C4A17"/>
    <w:rsid w:val="007C5297"/>
    <w:rsid w:val="007C60C6"/>
    <w:rsid w:val="007D01F2"/>
    <w:rsid w:val="007D079B"/>
    <w:rsid w:val="007D0DEF"/>
    <w:rsid w:val="007D2948"/>
    <w:rsid w:val="007D3884"/>
    <w:rsid w:val="007D3A77"/>
    <w:rsid w:val="007D46D9"/>
    <w:rsid w:val="007D4C01"/>
    <w:rsid w:val="007D5726"/>
    <w:rsid w:val="007D5FDE"/>
    <w:rsid w:val="007D7A8A"/>
    <w:rsid w:val="007E0F24"/>
    <w:rsid w:val="007E2A04"/>
    <w:rsid w:val="007E30E4"/>
    <w:rsid w:val="007E4210"/>
    <w:rsid w:val="007E4653"/>
    <w:rsid w:val="007E5708"/>
    <w:rsid w:val="007E5757"/>
    <w:rsid w:val="007E5A0D"/>
    <w:rsid w:val="007E5C76"/>
    <w:rsid w:val="007E5ED8"/>
    <w:rsid w:val="007E6878"/>
    <w:rsid w:val="007E6B0B"/>
    <w:rsid w:val="007E77F3"/>
    <w:rsid w:val="007F0316"/>
    <w:rsid w:val="007F0C6B"/>
    <w:rsid w:val="007F11A7"/>
    <w:rsid w:val="007F11C8"/>
    <w:rsid w:val="007F1EDE"/>
    <w:rsid w:val="007F20F3"/>
    <w:rsid w:val="007F2665"/>
    <w:rsid w:val="007F2C8F"/>
    <w:rsid w:val="007F3CAB"/>
    <w:rsid w:val="007F44EE"/>
    <w:rsid w:val="007F4AD9"/>
    <w:rsid w:val="007F55BC"/>
    <w:rsid w:val="007F5855"/>
    <w:rsid w:val="007F67C3"/>
    <w:rsid w:val="007F6C8A"/>
    <w:rsid w:val="007F7EEA"/>
    <w:rsid w:val="0080026D"/>
    <w:rsid w:val="008004AE"/>
    <w:rsid w:val="00802646"/>
    <w:rsid w:val="00804401"/>
    <w:rsid w:val="00805529"/>
    <w:rsid w:val="008068D9"/>
    <w:rsid w:val="008069A2"/>
    <w:rsid w:val="00807053"/>
    <w:rsid w:val="008071D5"/>
    <w:rsid w:val="008072EE"/>
    <w:rsid w:val="008102B0"/>
    <w:rsid w:val="00810726"/>
    <w:rsid w:val="00810F98"/>
    <w:rsid w:val="0081221A"/>
    <w:rsid w:val="00813317"/>
    <w:rsid w:val="00813811"/>
    <w:rsid w:val="00814548"/>
    <w:rsid w:val="00815726"/>
    <w:rsid w:val="008159DF"/>
    <w:rsid w:val="00815DCA"/>
    <w:rsid w:val="0081743A"/>
    <w:rsid w:val="00820954"/>
    <w:rsid w:val="00821927"/>
    <w:rsid w:val="00822406"/>
    <w:rsid w:val="00822B44"/>
    <w:rsid w:val="0082351E"/>
    <w:rsid w:val="00823848"/>
    <w:rsid w:val="0082429F"/>
    <w:rsid w:val="00824785"/>
    <w:rsid w:val="00824D92"/>
    <w:rsid w:val="008263F2"/>
    <w:rsid w:val="00826893"/>
    <w:rsid w:val="00826D75"/>
    <w:rsid w:val="00827816"/>
    <w:rsid w:val="0083172F"/>
    <w:rsid w:val="00833CF0"/>
    <w:rsid w:val="00834E6B"/>
    <w:rsid w:val="0083550F"/>
    <w:rsid w:val="008355D2"/>
    <w:rsid w:val="00835D82"/>
    <w:rsid w:val="008362C4"/>
    <w:rsid w:val="008370E0"/>
    <w:rsid w:val="0084026C"/>
    <w:rsid w:val="00840611"/>
    <w:rsid w:val="0084067A"/>
    <w:rsid w:val="00840B77"/>
    <w:rsid w:val="008419FD"/>
    <w:rsid w:val="00841F6A"/>
    <w:rsid w:val="008421F3"/>
    <w:rsid w:val="00842245"/>
    <w:rsid w:val="00842B23"/>
    <w:rsid w:val="0084341D"/>
    <w:rsid w:val="0084393F"/>
    <w:rsid w:val="00843DCF"/>
    <w:rsid w:val="00845317"/>
    <w:rsid w:val="0084779B"/>
    <w:rsid w:val="00847A56"/>
    <w:rsid w:val="00850BA0"/>
    <w:rsid w:val="00851D86"/>
    <w:rsid w:val="008520EF"/>
    <w:rsid w:val="008522D5"/>
    <w:rsid w:val="00853333"/>
    <w:rsid w:val="008544CF"/>
    <w:rsid w:val="00854822"/>
    <w:rsid w:val="00854BB7"/>
    <w:rsid w:val="00854F81"/>
    <w:rsid w:val="0085562A"/>
    <w:rsid w:val="00857252"/>
    <w:rsid w:val="00857A55"/>
    <w:rsid w:val="0086015C"/>
    <w:rsid w:val="008626B4"/>
    <w:rsid w:val="00862BC1"/>
    <w:rsid w:val="008636D6"/>
    <w:rsid w:val="00863B98"/>
    <w:rsid w:val="008665FE"/>
    <w:rsid w:val="00866DDD"/>
    <w:rsid w:val="008708F4"/>
    <w:rsid w:val="00871506"/>
    <w:rsid w:val="00871C06"/>
    <w:rsid w:val="00871E36"/>
    <w:rsid w:val="00873FF2"/>
    <w:rsid w:val="00875B24"/>
    <w:rsid w:val="0087699A"/>
    <w:rsid w:val="00876FDD"/>
    <w:rsid w:val="00877791"/>
    <w:rsid w:val="00881CB2"/>
    <w:rsid w:val="00883504"/>
    <w:rsid w:val="0088373E"/>
    <w:rsid w:val="00885EE0"/>
    <w:rsid w:val="00886813"/>
    <w:rsid w:val="00886C88"/>
    <w:rsid w:val="008921B5"/>
    <w:rsid w:val="00892684"/>
    <w:rsid w:val="00893C4F"/>
    <w:rsid w:val="008947F8"/>
    <w:rsid w:val="008955B4"/>
    <w:rsid w:val="0089644F"/>
    <w:rsid w:val="00897071"/>
    <w:rsid w:val="008979E3"/>
    <w:rsid w:val="008A1389"/>
    <w:rsid w:val="008A4467"/>
    <w:rsid w:val="008A4AD1"/>
    <w:rsid w:val="008A585E"/>
    <w:rsid w:val="008A5C16"/>
    <w:rsid w:val="008A7864"/>
    <w:rsid w:val="008B0BDE"/>
    <w:rsid w:val="008B0E32"/>
    <w:rsid w:val="008B17FB"/>
    <w:rsid w:val="008B1823"/>
    <w:rsid w:val="008B2230"/>
    <w:rsid w:val="008B3A0C"/>
    <w:rsid w:val="008B4372"/>
    <w:rsid w:val="008B63DD"/>
    <w:rsid w:val="008B6D57"/>
    <w:rsid w:val="008B7641"/>
    <w:rsid w:val="008C010C"/>
    <w:rsid w:val="008C05BD"/>
    <w:rsid w:val="008C256C"/>
    <w:rsid w:val="008C273C"/>
    <w:rsid w:val="008C3312"/>
    <w:rsid w:val="008C3C7E"/>
    <w:rsid w:val="008C42B4"/>
    <w:rsid w:val="008C485C"/>
    <w:rsid w:val="008C6383"/>
    <w:rsid w:val="008C7234"/>
    <w:rsid w:val="008C7501"/>
    <w:rsid w:val="008C7664"/>
    <w:rsid w:val="008C7B5A"/>
    <w:rsid w:val="008D0070"/>
    <w:rsid w:val="008D03C9"/>
    <w:rsid w:val="008D058C"/>
    <w:rsid w:val="008D1122"/>
    <w:rsid w:val="008D1D78"/>
    <w:rsid w:val="008D2969"/>
    <w:rsid w:val="008D3EE8"/>
    <w:rsid w:val="008D4009"/>
    <w:rsid w:val="008D49EA"/>
    <w:rsid w:val="008D7B7F"/>
    <w:rsid w:val="008D7CC1"/>
    <w:rsid w:val="008E0176"/>
    <w:rsid w:val="008E078E"/>
    <w:rsid w:val="008E2A1A"/>
    <w:rsid w:val="008E2B17"/>
    <w:rsid w:val="008E4889"/>
    <w:rsid w:val="008E4AAA"/>
    <w:rsid w:val="008E5AC1"/>
    <w:rsid w:val="008E64F0"/>
    <w:rsid w:val="008F0DA9"/>
    <w:rsid w:val="008F2081"/>
    <w:rsid w:val="008F4080"/>
    <w:rsid w:val="008F4525"/>
    <w:rsid w:val="008F4AA7"/>
    <w:rsid w:val="008F4C57"/>
    <w:rsid w:val="008F6651"/>
    <w:rsid w:val="008F762B"/>
    <w:rsid w:val="008F7B36"/>
    <w:rsid w:val="00901346"/>
    <w:rsid w:val="00903230"/>
    <w:rsid w:val="009034BB"/>
    <w:rsid w:val="009052C5"/>
    <w:rsid w:val="00906138"/>
    <w:rsid w:val="00906948"/>
    <w:rsid w:val="00907584"/>
    <w:rsid w:val="00910137"/>
    <w:rsid w:val="00910E92"/>
    <w:rsid w:val="0091104F"/>
    <w:rsid w:val="00911064"/>
    <w:rsid w:val="0091113E"/>
    <w:rsid w:val="0091119B"/>
    <w:rsid w:val="009113EE"/>
    <w:rsid w:val="009116F1"/>
    <w:rsid w:val="00912057"/>
    <w:rsid w:val="00912357"/>
    <w:rsid w:val="009137D2"/>
    <w:rsid w:val="00913BD7"/>
    <w:rsid w:val="0091538F"/>
    <w:rsid w:val="00915EB0"/>
    <w:rsid w:val="00916749"/>
    <w:rsid w:val="00917076"/>
    <w:rsid w:val="00917177"/>
    <w:rsid w:val="00917213"/>
    <w:rsid w:val="009176A4"/>
    <w:rsid w:val="009179D6"/>
    <w:rsid w:val="009207B5"/>
    <w:rsid w:val="00921DB5"/>
    <w:rsid w:val="0092263E"/>
    <w:rsid w:val="009230A8"/>
    <w:rsid w:val="00925084"/>
    <w:rsid w:val="009252FD"/>
    <w:rsid w:val="00926334"/>
    <w:rsid w:val="00926C8A"/>
    <w:rsid w:val="00931566"/>
    <w:rsid w:val="00932012"/>
    <w:rsid w:val="0093220F"/>
    <w:rsid w:val="00932B62"/>
    <w:rsid w:val="00932B7F"/>
    <w:rsid w:val="00933228"/>
    <w:rsid w:val="009334AA"/>
    <w:rsid w:val="00933699"/>
    <w:rsid w:val="00933B31"/>
    <w:rsid w:val="0093572C"/>
    <w:rsid w:val="00935D49"/>
    <w:rsid w:val="0093752F"/>
    <w:rsid w:val="00937F32"/>
    <w:rsid w:val="0094334C"/>
    <w:rsid w:val="00943D9B"/>
    <w:rsid w:val="00944C5C"/>
    <w:rsid w:val="009459F8"/>
    <w:rsid w:val="0094674B"/>
    <w:rsid w:val="009476D3"/>
    <w:rsid w:val="00947713"/>
    <w:rsid w:val="00950E8B"/>
    <w:rsid w:val="00951906"/>
    <w:rsid w:val="0095519C"/>
    <w:rsid w:val="0095569C"/>
    <w:rsid w:val="00957A10"/>
    <w:rsid w:val="00960298"/>
    <w:rsid w:val="009617EB"/>
    <w:rsid w:val="0096262A"/>
    <w:rsid w:val="00963690"/>
    <w:rsid w:val="009638DA"/>
    <w:rsid w:val="009647CF"/>
    <w:rsid w:val="00965737"/>
    <w:rsid w:val="00966102"/>
    <w:rsid w:val="00966D68"/>
    <w:rsid w:val="00967036"/>
    <w:rsid w:val="00970A95"/>
    <w:rsid w:val="00970F53"/>
    <w:rsid w:val="00971B44"/>
    <w:rsid w:val="00972C90"/>
    <w:rsid w:val="00973E1B"/>
    <w:rsid w:val="00974B59"/>
    <w:rsid w:val="00980E44"/>
    <w:rsid w:val="00981036"/>
    <w:rsid w:val="009820AF"/>
    <w:rsid w:val="00984C30"/>
    <w:rsid w:val="0098588F"/>
    <w:rsid w:val="00986E43"/>
    <w:rsid w:val="00990A21"/>
    <w:rsid w:val="00990F37"/>
    <w:rsid w:val="009929D4"/>
    <w:rsid w:val="0099368E"/>
    <w:rsid w:val="009947A6"/>
    <w:rsid w:val="0099524A"/>
    <w:rsid w:val="00996312"/>
    <w:rsid w:val="00997592"/>
    <w:rsid w:val="009977CE"/>
    <w:rsid w:val="009979A7"/>
    <w:rsid w:val="009A0B0B"/>
    <w:rsid w:val="009A0D96"/>
    <w:rsid w:val="009A180C"/>
    <w:rsid w:val="009A1EFD"/>
    <w:rsid w:val="009A233B"/>
    <w:rsid w:val="009A2813"/>
    <w:rsid w:val="009A38FD"/>
    <w:rsid w:val="009A5660"/>
    <w:rsid w:val="009A71AA"/>
    <w:rsid w:val="009A71D9"/>
    <w:rsid w:val="009B064C"/>
    <w:rsid w:val="009B06B4"/>
    <w:rsid w:val="009B1134"/>
    <w:rsid w:val="009B1CB9"/>
    <w:rsid w:val="009B6667"/>
    <w:rsid w:val="009B66C7"/>
    <w:rsid w:val="009C15C9"/>
    <w:rsid w:val="009C4FC4"/>
    <w:rsid w:val="009C5204"/>
    <w:rsid w:val="009C5FE4"/>
    <w:rsid w:val="009C7FD6"/>
    <w:rsid w:val="009D03A6"/>
    <w:rsid w:val="009D17B6"/>
    <w:rsid w:val="009D186B"/>
    <w:rsid w:val="009D3F36"/>
    <w:rsid w:val="009D418C"/>
    <w:rsid w:val="009D45C0"/>
    <w:rsid w:val="009D553E"/>
    <w:rsid w:val="009D6651"/>
    <w:rsid w:val="009D7644"/>
    <w:rsid w:val="009D7985"/>
    <w:rsid w:val="009E0829"/>
    <w:rsid w:val="009E1FDB"/>
    <w:rsid w:val="009E3F82"/>
    <w:rsid w:val="009E4302"/>
    <w:rsid w:val="009E4EE5"/>
    <w:rsid w:val="009E62CF"/>
    <w:rsid w:val="009E7EB3"/>
    <w:rsid w:val="009F0C0F"/>
    <w:rsid w:val="009F29D4"/>
    <w:rsid w:val="009F3514"/>
    <w:rsid w:val="009F3A00"/>
    <w:rsid w:val="009F4969"/>
    <w:rsid w:val="009F4FEC"/>
    <w:rsid w:val="009F52B7"/>
    <w:rsid w:val="009F5431"/>
    <w:rsid w:val="009F614A"/>
    <w:rsid w:val="009F65C0"/>
    <w:rsid w:val="009F7619"/>
    <w:rsid w:val="009F7990"/>
    <w:rsid w:val="009F7A41"/>
    <w:rsid w:val="00A01ECB"/>
    <w:rsid w:val="00A029EC"/>
    <w:rsid w:val="00A02E12"/>
    <w:rsid w:val="00A03496"/>
    <w:rsid w:val="00A037DC"/>
    <w:rsid w:val="00A041AA"/>
    <w:rsid w:val="00A04983"/>
    <w:rsid w:val="00A04CF2"/>
    <w:rsid w:val="00A05C5E"/>
    <w:rsid w:val="00A060B4"/>
    <w:rsid w:val="00A0753F"/>
    <w:rsid w:val="00A078E1"/>
    <w:rsid w:val="00A10493"/>
    <w:rsid w:val="00A10A37"/>
    <w:rsid w:val="00A10FFD"/>
    <w:rsid w:val="00A11347"/>
    <w:rsid w:val="00A11818"/>
    <w:rsid w:val="00A138B8"/>
    <w:rsid w:val="00A1744A"/>
    <w:rsid w:val="00A17B63"/>
    <w:rsid w:val="00A218F4"/>
    <w:rsid w:val="00A233E7"/>
    <w:rsid w:val="00A251E9"/>
    <w:rsid w:val="00A30DE3"/>
    <w:rsid w:val="00A315D2"/>
    <w:rsid w:val="00A31A42"/>
    <w:rsid w:val="00A31CD3"/>
    <w:rsid w:val="00A31DAA"/>
    <w:rsid w:val="00A32408"/>
    <w:rsid w:val="00A325F2"/>
    <w:rsid w:val="00A330D2"/>
    <w:rsid w:val="00A33956"/>
    <w:rsid w:val="00A35DA3"/>
    <w:rsid w:val="00A36504"/>
    <w:rsid w:val="00A3654D"/>
    <w:rsid w:val="00A36552"/>
    <w:rsid w:val="00A366C0"/>
    <w:rsid w:val="00A36938"/>
    <w:rsid w:val="00A36B5F"/>
    <w:rsid w:val="00A37477"/>
    <w:rsid w:val="00A3785C"/>
    <w:rsid w:val="00A41DEF"/>
    <w:rsid w:val="00A44E4A"/>
    <w:rsid w:val="00A45440"/>
    <w:rsid w:val="00A45C3D"/>
    <w:rsid w:val="00A46476"/>
    <w:rsid w:val="00A469B8"/>
    <w:rsid w:val="00A4799C"/>
    <w:rsid w:val="00A47AB3"/>
    <w:rsid w:val="00A47DA0"/>
    <w:rsid w:val="00A5044E"/>
    <w:rsid w:val="00A51559"/>
    <w:rsid w:val="00A535F6"/>
    <w:rsid w:val="00A53DAF"/>
    <w:rsid w:val="00A54002"/>
    <w:rsid w:val="00A5434A"/>
    <w:rsid w:val="00A54DD6"/>
    <w:rsid w:val="00A55AAA"/>
    <w:rsid w:val="00A5739B"/>
    <w:rsid w:val="00A60427"/>
    <w:rsid w:val="00A61B0F"/>
    <w:rsid w:val="00A62BA9"/>
    <w:rsid w:val="00A638B2"/>
    <w:rsid w:val="00A63C00"/>
    <w:rsid w:val="00A6472E"/>
    <w:rsid w:val="00A6486B"/>
    <w:rsid w:val="00A64947"/>
    <w:rsid w:val="00A66451"/>
    <w:rsid w:val="00A67DFA"/>
    <w:rsid w:val="00A71AF4"/>
    <w:rsid w:val="00A72AC2"/>
    <w:rsid w:val="00A72AC5"/>
    <w:rsid w:val="00A72B5C"/>
    <w:rsid w:val="00A730BB"/>
    <w:rsid w:val="00A733A2"/>
    <w:rsid w:val="00A73BA9"/>
    <w:rsid w:val="00A76791"/>
    <w:rsid w:val="00A7696A"/>
    <w:rsid w:val="00A76C7A"/>
    <w:rsid w:val="00A77684"/>
    <w:rsid w:val="00A7768C"/>
    <w:rsid w:val="00A77BFF"/>
    <w:rsid w:val="00A77D6F"/>
    <w:rsid w:val="00A81C50"/>
    <w:rsid w:val="00A83330"/>
    <w:rsid w:val="00A83FC7"/>
    <w:rsid w:val="00A84AAB"/>
    <w:rsid w:val="00A85038"/>
    <w:rsid w:val="00A866D7"/>
    <w:rsid w:val="00A86746"/>
    <w:rsid w:val="00A86B87"/>
    <w:rsid w:val="00A86D31"/>
    <w:rsid w:val="00A86EF7"/>
    <w:rsid w:val="00A9001C"/>
    <w:rsid w:val="00A91D88"/>
    <w:rsid w:val="00A92221"/>
    <w:rsid w:val="00A9402E"/>
    <w:rsid w:val="00A94190"/>
    <w:rsid w:val="00A94217"/>
    <w:rsid w:val="00A94A9F"/>
    <w:rsid w:val="00A95C30"/>
    <w:rsid w:val="00A96899"/>
    <w:rsid w:val="00A96EA6"/>
    <w:rsid w:val="00AA00CF"/>
    <w:rsid w:val="00AA3CAD"/>
    <w:rsid w:val="00AA55E0"/>
    <w:rsid w:val="00AA7845"/>
    <w:rsid w:val="00AA79D8"/>
    <w:rsid w:val="00AB075E"/>
    <w:rsid w:val="00AB1658"/>
    <w:rsid w:val="00AB1B0D"/>
    <w:rsid w:val="00AB2E3D"/>
    <w:rsid w:val="00AB3E37"/>
    <w:rsid w:val="00AB456B"/>
    <w:rsid w:val="00AC1F08"/>
    <w:rsid w:val="00AC1F94"/>
    <w:rsid w:val="00AC1FFD"/>
    <w:rsid w:val="00AC5F01"/>
    <w:rsid w:val="00AC6A1C"/>
    <w:rsid w:val="00AD3A80"/>
    <w:rsid w:val="00AD3E1F"/>
    <w:rsid w:val="00AD40C4"/>
    <w:rsid w:val="00AD4D69"/>
    <w:rsid w:val="00AD5767"/>
    <w:rsid w:val="00AD6BA0"/>
    <w:rsid w:val="00AD71E3"/>
    <w:rsid w:val="00AE03E0"/>
    <w:rsid w:val="00AE2044"/>
    <w:rsid w:val="00AE2060"/>
    <w:rsid w:val="00AE3004"/>
    <w:rsid w:val="00AE3B92"/>
    <w:rsid w:val="00AE5295"/>
    <w:rsid w:val="00AE550C"/>
    <w:rsid w:val="00AE5AF9"/>
    <w:rsid w:val="00AE5AFD"/>
    <w:rsid w:val="00AE73B8"/>
    <w:rsid w:val="00AF05FB"/>
    <w:rsid w:val="00AF0CCF"/>
    <w:rsid w:val="00AF12BB"/>
    <w:rsid w:val="00AF1C89"/>
    <w:rsid w:val="00AF45B0"/>
    <w:rsid w:val="00AF556E"/>
    <w:rsid w:val="00B0066B"/>
    <w:rsid w:val="00B01F2D"/>
    <w:rsid w:val="00B03244"/>
    <w:rsid w:val="00B06802"/>
    <w:rsid w:val="00B10C0F"/>
    <w:rsid w:val="00B1141B"/>
    <w:rsid w:val="00B13218"/>
    <w:rsid w:val="00B1334C"/>
    <w:rsid w:val="00B17CE8"/>
    <w:rsid w:val="00B20033"/>
    <w:rsid w:val="00B210F0"/>
    <w:rsid w:val="00B217B4"/>
    <w:rsid w:val="00B22699"/>
    <w:rsid w:val="00B23140"/>
    <w:rsid w:val="00B24666"/>
    <w:rsid w:val="00B249D8"/>
    <w:rsid w:val="00B2560F"/>
    <w:rsid w:val="00B25A7F"/>
    <w:rsid w:val="00B25FFA"/>
    <w:rsid w:val="00B2706B"/>
    <w:rsid w:val="00B27551"/>
    <w:rsid w:val="00B27A52"/>
    <w:rsid w:val="00B27F33"/>
    <w:rsid w:val="00B307D8"/>
    <w:rsid w:val="00B30815"/>
    <w:rsid w:val="00B3116B"/>
    <w:rsid w:val="00B314CC"/>
    <w:rsid w:val="00B33E91"/>
    <w:rsid w:val="00B3408F"/>
    <w:rsid w:val="00B3411F"/>
    <w:rsid w:val="00B34BE4"/>
    <w:rsid w:val="00B36CB3"/>
    <w:rsid w:val="00B37017"/>
    <w:rsid w:val="00B37C98"/>
    <w:rsid w:val="00B40093"/>
    <w:rsid w:val="00B43CCA"/>
    <w:rsid w:val="00B44597"/>
    <w:rsid w:val="00B465AB"/>
    <w:rsid w:val="00B46E9E"/>
    <w:rsid w:val="00B47246"/>
    <w:rsid w:val="00B47901"/>
    <w:rsid w:val="00B47EAD"/>
    <w:rsid w:val="00B52BCD"/>
    <w:rsid w:val="00B52E86"/>
    <w:rsid w:val="00B54422"/>
    <w:rsid w:val="00B549F7"/>
    <w:rsid w:val="00B5598E"/>
    <w:rsid w:val="00B55CEE"/>
    <w:rsid w:val="00B60741"/>
    <w:rsid w:val="00B60B05"/>
    <w:rsid w:val="00B60BEE"/>
    <w:rsid w:val="00B62A21"/>
    <w:rsid w:val="00B640F6"/>
    <w:rsid w:val="00B64135"/>
    <w:rsid w:val="00B64660"/>
    <w:rsid w:val="00B64AF3"/>
    <w:rsid w:val="00B64FBF"/>
    <w:rsid w:val="00B6693C"/>
    <w:rsid w:val="00B6695D"/>
    <w:rsid w:val="00B67031"/>
    <w:rsid w:val="00B70331"/>
    <w:rsid w:val="00B7185B"/>
    <w:rsid w:val="00B71BD2"/>
    <w:rsid w:val="00B72A18"/>
    <w:rsid w:val="00B72CB6"/>
    <w:rsid w:val="00B73ACE"/>
    <w:rsid w:val="00B757C8"/>
    <w:rsid w:val="00B771ED"/>
    <w:rsid w:val="00B77DE2"/>
    <w:rsid w:val="00B82BB6"/>
    <w:rsid w:val="00B82F22"/>
    <w:rsid w:val="00B82F4A"/>
    <w:rsid w:val="00B83255"/>
    <w:rsid w:val="00B87A8D"/>
    <w:rsid w:val="00B87E64"/>
    <w:rsid w:val="00B90BC9"/>
    <w:rsid w:val="00B91705"/>
    <w:rsid w:val="00B91CC2"/>
    <w:rsid w:val="00B92D54"/>
    <w:rsid w:val="00B94283"/>
    <w:rsid w:val="00B94338"/>
    <w:rsid w:val="00B944FB"/>
    <w:rsid w:val="00B946F3"/>
    <w:rsid w:val="00B94A4F"/>
    <w:rsid w:val="00B94FC6"/>
    <w:rsid w:val="00B955EC"/>
    <w:rsid w:val="00B961E8"/>
    <w:rsid w:val="00B96406"/>
    <w:rsid w:val="00B9763B"/>
    <w:rsid w:val="00BA0582"/>
    <w:rsid w:val="00BA0BF9"/>
    <w:rsid w:val="00BA151F"/>
    <w:rsid w:val="00BA2FA6"/>
    <w:rsid w:val="00BA5F8A"/>
    <w:rsid w:val="00BA707B"/>
    <w:rsid w:val="00BA7377"/>
    <w:rsid w:val="00BB0700"/>
    <w:rsid w:val="00BB07D3"/>
    <w:rsid w:val="00BB0DD9"/>
    <w:rsid w:val="00BB1BEF"/>
    <w:rsid w:val="00BB3943"/>
    <w:rsid w:val="00BB4988"/>
    <w:rsid w:val="00BB6023"/>
    <w:rsid w:val="00BB6CDC"/>
    <w:rsid w:val="00BB7CEE"/>
    <w:rsid w:val="00BC0010"/>
    <w:rsid w:val="00BC01AC"/>
    <w:rsid w:val="00BC06E7"/>
    <w:rsid w:val="00BC0D0E"/>
    <w:rsid w:val="00BC1001"/>
    <w:rsid w:val="00BC1129"/>
    <w:rsid w:val="00BC131E"/>
    <w:rsid w:val="00BC208E"/>
    <w:rsid w:val="00BC36B3"/>
    <w:rsid w:val="00BC392F"/>
    <w:rsid w:val="00BC43C0"/>
    <w:rsid w:val="00BC43EA"/>
    <w:rsid w:val="00BC44CC"/>
    <w:rsid w:val="00BC48F6"/>
    <w:rsid w:val="00BC5A44"/>
    <w:rsid w:val="00BC5F04"/>
    <w:rsid w:val="00BC75CE"/>
    <w:rsid w:val="00BD028A"/>
    <w:rsid w:val="00BD1E14"/>
    <w:rsid w:val="00BD34DB"/>
    <w:rsid w:val="00BD4436"/>
    <w:rsid w:val="00BD4822"/>
    <w:rsid w:val="00BD74D9"/>
    <w:rsid w:val="00BD7715"/>
    <w:rsid w:val="00BE0EAC"/>
    <w:rsid w:val="00BE1ACF"/>
    <w:rsid w:val="00BE2C0C"/>
    <w:rsid w:val="00BE2DE5"/>
    <w:rsid w:val="00BE3FB3"/>
    <w:rsid w:val="00BE6757"/>
    <w:rsid w:val="00BE69BF"/>
    <w:rsid w:val="00BE6C66"/>
    <w:rsid w:val="00BF0EE6"/>
    <w:rsid w:val="00BF2C84"/>
    <w:rsid w:val="00BF61F0"/>
    <w:rsid w:val="00BF6831"/>
    <w:rsid w:val="00C00EF7"/>
    <w:rsid w:val="00C0105B"/>
    <w:rsid w:val="00C01F47"/>
    <w:rsid w:val="00C073F7"/>
    <w:rsid w:val="00C074F9"/>
    <w:rsid w:val="00C0779C"/>
    <w:rsid w:val="00C11C65"/>
    <w:rsid w:val="00C11E2A"/>
    <w:rsid w:val="00C120C7"/>
    <w:rsid w:val="00C124BE"/>
    <w:rsid w:val="00C12D57"/>
    <w:rsid w:val="00C137D2"/>
    <w:rsid w:val="00C144B6"/>
    <w:rsid w:val="00C14EF0"/>
    <w:rsid w:val="00C15432"/>
    <w:rsid w:val="00C16295"/>
    <w:rsid w:val="00C17CD4"/>
    <w:rsid w:val="00C200A6"/>
    <w:rsid w:val="00C20DA0"/>
    <w:rsid w:val="00C211D7"/>
    <w:rsid w:val="00C238D6"/>
    <w:rsid w:val="00C24427"/>
    <w:rsid w:val="00C248D8"/>
    <w:rsid w:val="00C251F3"/>
    <w:rsid w:val="00C2654D"/>
    <w:rsid w:val="00C26C50"/>
    <w:rsid w:val="00C27B1F"/>
    <w:rsid w:val="00C302B9"/>
    <w:rsid w:val="00C3075C"/>
    <w:rsid w:val="00C314CF"/>
    <w:rsid w:val="00C3172F"/>
    <w:rsid w:val="00C31F8D"/>
    <w:rsid w:val="00C325B6"/>
    <w:rsid w:val="00C32686"/>
    <w:rsid w:val="00C32C8F"/>
    <w:rsid w:val="00C33E96"/>
    <w:rsid w:val="00C34623"/>
    <w:rsid w:val="00C347B4"/>
    <w:rsid w:val="00C34D9C"/>
    <w:rsid w:val="00C368E6"/>
    <w:rsid w:val="00C3697F"/>
    <w:rsid w:val="00C36C79"/>
    <w:rsid w:val="00C37FA9"/>
    <w:rsid w:val="00C45173"/>
    <w:rsid w:val="00C45ACB"/>
    <w:rsid w:val="00C47A2A"/>
    <w:rsid w:val="00C53A08"/>
    <w:rsid w:val="00C54200"/>
    <w:rsid w:val="00C55537"/>
    <w:rsid w:val="00C62146"/>
    <w:rsid w:val="00C631AC"/>
    <w:rsid w:val="00C642A4"/>
    <w:rsid w:val="00C653E3"/>
    <w:rsid w:val="00C6567C"/>
    <w:rsid w:val="00C67050"/>
    <w:rsid w:val="00C67CBC"/>
    <w:rsid w:val="00C70AE0"/>
    <w:rsid w:val="00C7183C"/>
    <w:rsid w:val="00C71D5C"/>
    <w:rsid w:val="00C72C22"/>
    <w:rsid w:val="00C72FF4"/>
    <w:rsid w:val="00C73240"/>
    <w:rsid w:val="00C737CA"/>
    <w:rsid w:val="00C738E4"/>
    <w:rsid w:val="00C73AA4"/>
    <w:rsid w:val="00C73D81"/>
    <w:rsid w:val="00C760FA"/>
    <w:rsid w:val="00C77A2E"/>
    <w:rsid w:val="00C80937"/>
    <w:rsid w:val="00C80D26"/>
    <w:rsid w:val="00C80E12"/>
    <w:rsid w:val="00C80E9D"/>
    <w:rsid w:val="00C81123"/>
    <w:rsid w:val="00C81674"/>
    <w:rsid w:val="00C83DFC"/>
    <w:rsid w:val="00C83F2E"/>
    <w:rsid w:val="00C85E4E"/>
    <w:rsid w:val="00C8720C"/>
    <w:rsid w:val="00C87683"/>
    <w:rsid w:val="00C87B70"/>
    <w:rsid w:val="00C90845"/>
    <w:rsid w:val="00C90E4C"/>
    <w:rsid w:val="00C92592"/>
    <w:rsid w:val="00C943CB"/>
    <w:rsid w:val="00C9619F"/>
    <w:rsid w:val="00C970D7"/>
    <w:rsid w:val="00CA06F6"/>
    <w:rsid w:val="00CA1888"/>
    <w:rsid w:val="00CA1D29"/>
    <w:rsid w:val="00CA22E2"/>
    <w:rsid w:val="00CA3FE2"/>
    <w:rsid w:val="00CA4836"/>
    <w:rsid w:val="00CA4B73"/>
    <w:rsid w:val="00CA4FFB"/>
    <w:rsid w:val="00CA51B7"/>
    <w:rsid w:val="00CA6461"/>
    <w:rsid w:val="00CA64BF"/>
    <w:rsid w:val="00CA7918"/>
    <w:rsid w:val="00CA7E68"/>
    <w:rsid w:val="00CA7E96"/>
    <w:rsid w:val="00CB0F75"/>
    <w:rsid w:val="00CB3FFE"/>
    <w:rsid w:val="00CB50A8"/>
    <w:rsid w:val="00CB5ECE"/>
    <w:rsid w:val="00CB6A6E"/>
    <w:rsid w:val="00CB7255"/>
    <w:rsid w:val="00CB7ED6"/>
    <w:rsid w:val="00CC01F5"/>
    <w:rsid w:val="00CC04FD"/>
    <w:rsid w:val="00CC0FE3"/>
    <w:rsid w:val="00CC2D8B"/>
    <w:rsid w:val="00CC3423"/>
    <w:rsid w:val="00CC38AB"/>
    <w:rsid w:val="00CC6C42"/>
    <w:rsid w:val="00CC78B3"/>
    <w:rsid w:val="00CC7923"/>
    <w:rsid w:val="00CD0091"/>
    <w:rsid w:val="00CD2376"/>
    <w:rsid w:val="00CD310E"/>
    <w:rsid w:val="00CD41F3"/>
    <w:rsid w:val="00CD4F1C"/>
    <w:rsid w:val="00CD5538"/>
    <w:rsid w:val="00CD6CF3"/>
    <w:rsid w:val="00CD7578"/>
    <w:rsid w:val="00CD7E60"/>
    <w:rsid w:val="00CD7F1E"/>
    <w:rsid w:val="00CE2EE8"/>
    <w:rsid w:val="00CE3A58"/>
    <w:rsid w:val="00CE3E5B"/>
    <w:rsid w:val="00CE535A"/>
    <w:rsid w:val="00CE557B"/>
    <w:rsid w:val="00CF02E7"/>
    <w:rsid w:val="00CF07DD"/>
    <w:rsid w:val="00CF0A1D"/>
    <w:rsid w:val="00CF0DAE"/>
    <w:rsid w:val="00CF170E"/>
    <w:rsid w:val="00CF31BB"/>
    <w:rsid w:val="00CF3297"/>
    <w:rsid w:val="00CF3733"/>
    <w:rsid w:val="00CF41D1"/>
    <w:rsid w:val="00CF4559"/>
    <w:rsid w:val="00CF5E23"/>
    <w:rsid w:val="00CF6E73"/>
    <w:rsid w:val="00CF779D"/>
    <w:rsid w:val="00CF7E28"/>
    <w:rsid w:val="00D00A89"/>
    <w:rsid w:val="00D01071"/>
    <w:rsid w:val="00D01EC6"/>
    <w:rsid w:val="00D02BB3"/>
    <w:rsid w:val="00D02E98"/>
    <w:rsid w:val="00D02EFE"/>
    <w:rsid w:val="00D0586B"/>
    <w:rsid w:val="00D06A29"/>
    <w:rsid w:val="00D06C47"/>
    <w:rsid w:val="00D06E43"/>
    <w:rsid w:val="00D07E3E"/>
    <w:rsid w:val="00D10569"/>
    <w:rsid w:val="00D11D6B"/>
    <w:rsid w:val="00D11FDC"/>
    <w:rsid w:val="00D1258D"/>
    <w:rsid w:val="00D136DA"/>
    <w:rsid w:val="00D1446B"/>
    <w:rsid w:val="00D14C72"/>
    <w:rsid w:val="00D1543C"/>
    <w:rsid w:val="00D21910"/>
    <w:rsid w:val="00D2249A"/>
    <w:rsid w:val="00D24E0D"/>
    <w:rsid w:val="00D258D0"/>
    <w:rsid w:val="00D266B7"/>
    <w:rsid w:val="00D2727B"/>
    <w:rsid w:val="00D31FCE"/>
    <w:rsid w:val="00D33395"/>
    <w:rsid w:val="00D3426A"/>
    <w:rsid w:val="00D34AEA"/>
    <w:rsid w:val="00D351E8"/>
    <w:rsid w:val="00D35384"/>
    <w:rsid w:val="00D353A7"/>
    <w:rsid w:val="00D37772"/>
    <w:rsid w:val="00D37B65"/>
    <w:rsid w:val="00D41489"/>
    <w:rsid w:val="00D42087"/>
    <w:rsid w:val="00D423FF"/>
    <w:rsid w:val="00D4332A"/>
    <w:rsid w:val="00D4370A"/>
    <w:rsid w:val="00D443F0"/>
    <w:rsid w:val="00D448AB"/>
    <w:rsid w:val="00D44A37"/>
    <w:rsid w:val="00D463CF"/>
    <w:rsid w:val="00D47B8F"/>
    <w:rsid w:val="00D50C4E"/>
    <w:rsid w:val="00D50E2F"/>
    <w:rsid w:val="00D53498"/>
    <w:rsid w:val="00D53D16"/>
    <w:rsid w:val="00D54D60"/>
    <w:rsid w:val="00D55EE2"/>
    <w:rsid w:val="00D56153"/>
    <w:rsid w:val="00D5687B"/>
    <w:rsid w:val="00D574F2"/>
    <w:rsid w:val="00D57C63"/>
    <w:rsid w:val="00D61765"/>
    <w:rsid w:val="00D618EE"/>
    <w:rsid w:val="00D631DF"/>
    <w:rsid w:val="00D6462F"/>
    <w:rsid w:val="00D6499D"/>
    <w:rsid w:val="00D64B72"/>
    <w:rsid w:val="00D701FF"/>
    <w:rsid w:val="00D71FAC"/>
    <w:rsid w:val="00D72850"/>
    <w:rsid w:val="00D74206"/>
    <w:rsid w:val="00D756F9"/>
    <w:rsid w:val="00D7598E"/>
    <w:rsid w:val="00D80F94"/>
    <w:rsid w:val="00D82CC1"/>
    <w:rsid w:val="00D832A3"/>
    <w:rsid w:val="00D83A8E"/>
    <w:rsid w:val="00D84747"/>
    <w:rsid w:val="00D85EA8"/>
    <w:rsid w:val="00D864CB"/>
    <w:rsid w:val="00D873BB"/>
    <w:rsid w:val="00D87762"/>
    <w:rsid w:val="00D87844"/>
    <w:rsid w:val="00D87C8B"/>
    <w:rsid w:val="00D91C51"/>
    <w:rsid w:val="00D949BE"/>
    <w:rsid w:val="00D94CD8"/>
    <w:rsid w:val="00D94FDF"/>
    <w:rsid w:val="00D95546"/>
    <w:rsid w:val="00D95BF2"/>
    <w:rsid w:val="00D96472"/>
    <w:rsid w:val="00D97990"/>
    <w:rsid w:val="00D97BD2"/>
    <w:rsid w:val="00D97C7D"/>
    <w:rsid w:val="00D97F29"/>
    <w:rsid w:val="00D97FBC"/>
    <w:rsid w:val="00DA0633"/>
    <w:rsid w:val="00DA31E9"/>
    <w:rsid w:val="00DA3E50"/>
    <w:rsid w:val="00DA4EDC"/>
    <w:rsid w:val="00DA5A75"/>
    <w:rsid w:val="00DA6A25"/>
    <w:rsid w:val="00DA77EB"/>
    <w:rsid w:val="00DB0913"/>
    <w:rsid w:val="00DB2054"/>
    <w:rsid w:val="00DB3143"/>
    <w:rsid w:val="00DB41D1"/>
    <w:rsid w:val="00DB53A4"/>
    <w:rsid w:val="00DB57ED"/>
    <w:rsid w:val="00DB62BD"/>
    <w:rsid w:val="00DB7EA6"/>
    <w:rsid w:val="00DC0171"/>
    <w:rsid w:val="00DC1045"/>
    <w:rsid w:val="00DC1C16"/>
    <w:rsid w:val="00DC309B"/>
    <w:rsid w:val="00DC54E9"/>
    <w:rsid w:val="00DC5D1B"/>
    <w:rsid w:val="00DC7E2E"/>
    <w:rsid w:val="00DD22D9"/>
    <w:rsid w:val="00DD2644"/>
    <w:rsid w:val="00DD2E13"/>
    <w:rsid w:val="00DD3CD9"/>
    <w:rsid w:val="00DD4297"/>
    <w:rsid w:val="00DD66EB"/>
    <w:rsid w:val="00DD693D"/>
    <w:rsid w:val="00DD75FC"/>
    <w:rsid w:val="00DE0CBD"/>
    <w:rsid w:val="00DE0F91"/>
    <w:rsid w:val="00DE1189"/>
    <w:rsid w:val="00DE2BF4"/>
    <w:rsid w:val="00DE2E98"/>
    <w:rsid w:val="00DE40C5"/>
    <w:rsid w:val="00DE439F"/>
    <w:rsid w:val="00DE4A2F"/>
    <w:rsid w:val="00DE4FE4"/>
    <w:rsid w:val="00DE5A7B"/>
    <w:rsid w:val="00DE7256"/>
    <w:rsid w:val="00DE7C95"/>
    <w:rsid w:val="00DF1926"/>
    <w:rsid w:val="00DF1A32"/>
    <w:rsid w:val="00DF3AC8"/>
    <w:rsid w:val="00DF7983"/>
    <w:rsid w:val="00E021CB"/>
    <w:rsid w:val="00E03424"/>
    <w:rsid w:val="00E03431"/>
    <w:rsid w:val="00E03ED0"/>
    <w:rsid w:val="00E03F4E"/>
    <w:rsid w:val="00E0414C"/>
    <w:rsid w:val="00E0658E"/>
    <w:rsid w:val="00E06909"/>
    <w:rsid w:val="00E075E2"/>
    <w:rsid w:val="00E10A1A"/>
    <w:rsid w:val="00E11190"/>
    <w:rsid w:val="00E13F4D"/>
    <w:rsid w:val="00E142BF"/>
    <w:rsid w:val="00E152A2"/>
    <w:rsid w:val="00E15D60"/>
    <w:rsid w:val="00E15F4F"/>
    <w:rsid w:val="00E17BB7"/>
    <w:rsid w:val="00E17BD7"/>
    <w:rsid w:val="00E17EAA"/>
    <w:rsid w:val="00E21A8F"/>
    <w:rsid w:val="00E21C84"/>
    <w:rsid w:val="00E21DBF"/>
    <w:rsid w:val="00E223E6"/>
    <w:rsid w:val="00E24F86"/>
    <w:rsid w:val="00E250CC"/>
    <w:rsid w:val="00E25279"/>
    <w:rsid w:val="00E25F2B"/>
    <w:rsid w:val="00E263C6"/>
    <w:rsid w:val="00E265C7"/>
    <w:rsid w:val="00E26BE6"/>
    <w:rsid w:val="00E26E46"/>
    <w:rsid w:val="00E3181D"/>
    <w:rsid w:val="00E3296D"/>
    <w:rsid w:val="00E33BDC"/>
    <w:rsid w:val="00E34EE4"/>
    <w:rsid w:val="00E357F8"/>
    <w:rsid w:val="00E37CB8"/>
    <w:rsid w:val="00E40445"/>
    <w:rsid w:val="00E4082B"/>
    <w:rsid w:val="00E40FFC"/>
    <w:rsid w:val="00E41936"/>
    <w:rsid w:val="00E42000"/>
    <w:rsid w:val="00E42EA9"/>
    <w:rsid w:val="00E43076"/>
    <w:rsid w:val="00E456C9"/>
    <w:rsid w:val="00E466BB"/>
    <w:rsid w:val="00E47261"/>
    <w:rsid w:val="00E50AEE"/>
    <w:rsid w:val="00E52324"/>
    <w:rsid w:val="00E5249F"/>
    <w:rsid w:val="00E5431A"/>
    <w:rsid w:val="00E54341"/>
    <w:rsid w:val="00E54742"/>
    <w:rsid w:val="00E56563"/>
    <w:rsid w:val="00E569BC"/>
    <w:rsid w:val="00E57B62"/>
    <w:rsid w:val="00E60B71"/>
    <w:rsid w:val="00E6392A"/>
    <w:rsid w:val="00E65582"/>
    <w:rsid w:val="00E6745D"/>
    <w:rsid w:val="00E7000B"/>
    <w:rsid w:val="00E702C1"/>
    <w:rsid w:val="00E714FC"/>
    <w:rsid w:val="00E71A1C"/>
    <w:rsid w:val="00E731A7"/>
    <w:rsid w:val="00E737E0"/>
    <w:rsid w:val="00E7486D"/>
    <w:rsid w:val="00E75D67"/>
    <w:rsid w:val="00E76402"/>
    <w:rsid w:val="00E806B8"/>
    <w:rsid w:val="00E80DEC"/>
    <w:rsid w:val="00E81E1D"/>
    <w:rsid w:val="00E83BD5"/>
    <w:rsid w:val="00E8410C"/>
    <w:rsid w:val="00E842E2"/>
    <w:rsid w:val="00E847EA"/>
    <w:rsid w:val="00E85D4E"/>
    <w:rsid w:val="00E86C47"/>
    <w:rsid w:val="00E87A34"/>
    <w:rsid w:val="00E87FC3"/>
    <w:rsid w:val="00E91D48"/>
    <w:rsid w:val="00E9237C"/>
    <w:rsid w:val="00E93366"/>
    <w:rsid w:val="00E95938"/>
    <w:rsid w:val="00E95D2D"/>
    <w:rsid w:val="00E967CB"/>
    <w:rsid w:val="00E973E6"/>
    <w:rsid w:val="00EA07D1"/>
    <w:rsid w:val="00EA1029"/>
    <w:rsid w:val="00EA156E"/>
    <w:rsid w:val="00EA2634"/>
    <w:rsid w:val="00EA3280"/>
    <w:rsid w:val="00EA351E"/>
    <w:rsid w:val="00EA3598"/>
    <w:rsid w:val="00EA3D09"/>
    <w:rsid w:val="00EA4F1F"/>
    <w:rsid w:val="00EA5F63"/>
    <w:rsid w:val="00EB0442"/>
    <w:rsid w:val="00EB1254"/>
    <w:rsid w:val="00EB1570"/>
    <w:rsid w:val="00EB1F4D"/>
    <w:rsid w:val="00EB3346"/>
    <w:rsid w:val="00EB5BB3"/>
    <w:rsid w:val="00EB634E"/>
    <w:rsid w:val="00EB6F01"/>
    <w:rsid w:val="00EC03E6"/>
    <w:rsid w:val="00EC0C6E"/>
    <w:rsid w:val="00EC1647"/>
    <w:rsid w:val="00EC1D10"/>
    <w:rsid w:val="00EC1E2B"/>
    <w:rsid w:val="00EC30D2"/>
    <w:rsid w:val="00EC3A3D"/>
    <w:rsid w:val="00EC3B29"/>
    <w:rsid w:val="00EC3BBD"/>
    <w:rsid w:val="00EC6D46"/>
    <w:rsid w:val="00EC760E"/>
    <w:rsid w:val="00ED1561"/>
    <w:rsid w:val="00ED1BA7"/>
    <w:rsid w:val="00ED2F8E"/>
    <w:rsid w:val="00ED3184"/>
    <w:rsid w:val="00ED4637"/>
    <w:rsid w:val="00ED4AD7"/>
    <w:rsid w:val="00ED7224"/>
    <w:rsid w:val="00ED765B"/>
    <w:rsid w:val="00ED7B94"/>
    <w:rsid w:val="00EE02DC"/>
    <w:rsid w:val="00EE18CA"/>
    <w:rsid w:val="00EE25C4"/>
    <w:rsid w:val="00EE271E"/>
    <w:rsid w:val="00EE2DC5"/>
    <w:rsid w:val="00EE379D"/>
    <w:rsid w:val="00EE4C98"/>
    <w:rsid w:val="00EE5B73"/>
    <w:rsid w:val="00EE5BF4"/>
    <w:rsid w:val="00EE7958"/>
    <w:rsid w:val="00EF276D"/>
    <w:rsid w:val="00EF28C1"/>
    <w:rsid w:val="00EF2944"/>
    <w:rsid w:val="00EF3C0A"/>
    <w:rsid w:val="00EF3D5F"/>
    <w:rsid w:val="00EF4682"/>
    <w:rsid w:val="00EF5FC2"/>
    <w:rsid w:val="00EF6F93"/>
    <w:rsid w:val="00EF7E86"/>
    <w:rsid w:val="00F00E14"/>
    <w:rsid w:val="00F019D9"/>
    <w:rsid w:val="00F029AD"/>
    <w:rsid w:val="00F032DF"/>
    <w:rsid w:val="00F03595"/>
    <w:rsid w:val="00F0427D"/>
    <w:rsid w:val="00F05FE4"/>
    <w:rsid w:val="00F10CAE"/>
    <w:rsid w:val="00F129FF"/>
    <w:rsid w:val="00F12D8F"/>
    <w:rsid w:val="00F13426"/>
    <w:rsid w:val="00F1380E"/>
    <w:rsid w:val="00F1390B"/>
    <w:rsid w:val="00F14246"/>
    <w:rsid w:val="00F163B8"/>
    <w:rsid w:val="00F167F8"/>
    <w:rsid w:val="00F204B3"/>
    <w:rsid w:val="00F2189E"/>
    <w:rsid w:val="00F22763"/>
    <w:rsid w:val="00F24327"/>
    <w:rsid w:val="00F2626E"/>
    <w:rsid w:val="00F2762B"/>
    <w:rsid w:val="00F3124B"/>
    <w:rsid w:val="00F32263"/>
    <w:rsid w:val="00F3393A"/>
    <w:rsid w:val="00F365F7"/>
    <w:rsid w:val="00F36846"/>
    <w:rsid w:val="00F427A8"/>
    <w:rsid w:val="00F43434"/>
    <w:rsid w:val="00F43517"/>
    <w:rsid w:val="00F4372F"/>
    <w:rsid w:val="00F4379B"/>
    <w:rsid w:val="00F44BB6"/>
    <w:rsid w:val="00F44C6A"/>
    <w:rsid w:val="00F47B51"/>
    <w:rsid w:val="00F5026E"/>
    <w:rsid w:val="00F516A8"/>
    <w:rsid w:val="00F51990"/>
    <w:rsid w:val="00F530B7"/>
    <w:rsid w:val="00F54973"/>
    <w:rsid w:val="00F5595C"/>
    <w:rsid w:val="00F55BA0"/>
    <w:rsid w:val="00F576A9"/>
    <w:rsid w:val="00F6022A"/>
    <w:rsid w:val="00F60497"/>
    <w:rsid w:val="00F61CC3"/>
    <w:rsid w:val="00F62419"/>
    <w:rsid w:val="00F62780"/>
    <w:rsid w:val="00F62AF5"/>
    <w:rsid w:val="00F62B61"/>
    <w:rsid w:val="00F650DD"/>
    <w:rsid w:val="00F6546F"/>
    <w:rsid w:val="00F65B30"/>
    <w:rsid w:val="00F65D7A"/>
    <w:rsid w:val="00F66191"/>
    <w:rsid w:val="00F703E1"/>
    <w:rsid w:val="00F70686"/>
    <w:rsid w:val="00F71266"/>
    <w:rsid w:val="00F71A23"/>
    <w:rsid w:val="00F71D7E"/>
    <w:rsid w:val="00F71F6F"/>
    <w:rsid w:val="00F71FB8"/>
    <w:rsid w:val="00F736D4"/>
    <w:rsid w:val="00F738F1"/>
    <w:rsid w:val="00F73B1E"/>
    <w:rsid w:val="00F740F6"/>
    <w:rsid w:val="00F74E04"/>
    <w:rsid w:val="00F76B70"/>
    <w:rsid w:val="00F77706"/>
    <w:rsid w:val="00F805CB"/>
    <w:rsid w:val="00F81550"/>
    <w:rsid w:val="00F81863"/>
    <w:rsid w:val="00F819FA"/>
    <w:rsid w:val="00F82445"/>
    <w:rsid w:val="00F841B1"/>
    <w:rsid w:val="00F85753"/>
    <w:rsid w:val="00F87228"/>
    <w:rsid w:val="00F87B82"/>
    <w:rsid w:val="00F909A0"/>
    <w:rsid w:val="00F917D5"/>
    <w:rsid w:val="00F92AC9"/>
    <w:rsid w:val="00F936D8"/>
    <w:rsid w:val="00F93C9D"/>
    <w:rsid w:val="00F93E30"/>
    <w:rsid w:val="00F954FE"/>
    <w:rsid w:val="00F95B1C"/>
    <w:rsid w:val="00F9629C"/>
    <w:rsid w:val="00F97582"/>
    <w:rsid w:val="00F97C9E"/>
    <w:rsid w:val="00FA1A46"/>
    <w:rsid w:val="00FA23C4"/>
    <w:rsid w:val="00FA2853"/>
    <w:rsid w:val="00FA3CE0"/>
    <w:rsid w:val="00FA42D0"/>
    <w:rsid w:val="00FA4306"/>
    <w:rsid w:val="00FA53DA"/>
    <w:rsid w:val="00FA6D35"/>
    <w:rsid w:val="00FA71A9"/>
    <w:rsid w:val="00FB19BF"/>
    <w:rsid w:val="00FB2B61"/>
    <w:rsid w:val="00FB3781"/>
    <w:rsid w:val="00FB3E49"/>
    <w:rsid w:val="00FB3FA3"/>
    <w:rsid w:val="00FB530B"/>
    <w:rsid w:val="00FC024D"/>
    <w:rsid w:val="00FC1618"/>
    <w:rsid w:val="00FC24EF"/>
    <w:rsid w:val="00FC386E"/>
    <w:rsid w:val="00FC3E05"/>
    <w:rsid w:val="00FC5DA9"/>
    <w:rsid w:val="00FC71DB"/>
    <w:rsid w:val="00FC7B0B"/>
    <w:rsid w:val="00FD1D7B"/>
    <w:rsid w:val="00FD1F17"/>
    <w:rsid w:val="00FD34F4"/>
    <w:rsid w:val="00FD37AB"/>
    <w:rsid w:val="00FD3B5A"/>
    <w:rsid w:val="00FD43F1"/>
    <w:rsid w:val="00FD4BA4"/>
    <w:rsid w:val="00FD6763"/>
    <w:rsid w:val="00FD6B11"/>
    <w:rsid w:val="00FD71BD"/>
    <w:rsid w:val="00FD71DB"/>
    <w:rsid w:val="00FE0E83"/>
    <w:rsid w:val="00FE11D1"/>
    <w:rsid w:val="00FE236F"/>
    <w:rsid w:val="00FE253D"/>
    <w:rsid w:val="00FE268E"/>
    <w:rsid w:val="00FE2F33"/>
    <w:rsid w:val="00FE37B9"/>
    <w:rsid w:val="00FE415B"/>
    <w:rsid w:val="00FE447E"/>
    <w:rsid w:val="00FE47C3"/>
    <w:rsid w:val="00FE539A"/>
    <w:rsid w:val="00FE59A0"/>
    <w:rsid w:val="00FE6009"/>
    <w:rsid w:val="00FE622D"/>
    <w:rsid w:val="00FE7456"/>
    <w:rsid w:val="00FE746E"/>
    <w:rsid w:val="00FE7640"/>
    <w:rsid w:val="00FF194A"/>
    <w:rsid w:val="00FF1C0C"/>
    <w:rsid w:val="00FF21B4"/>
    <w:rsid w:val="00FF21B8"/>
    <w:rsid w:val="00FF2D2B"/>
    <w:rsid w:val="00FF3AD2"/>
    <w:rsid w:val="00FF3D9C"/>
    <w:rsid w:val="00FF4674"/>
    <w:rsid w:val="00FF58A2"/>
    <w:rsid w:val="00FF5CF1"/>
    <w:rsid w:val="00FF5D33"/>
    <w:rsid w:val="00FF74E6"/>
    <w:rsid w:val="00FF7ECB"/>
    <w:rsid w:val="0700F779"/>
    <w:rsid w:val="08B40965"/>
    <w:rsid w:val="0B3254DB"/>
    <w:rsid w:val="18F52036"/>
    <w:rsid w:val="4FDF1559"/>
    <w:rsid w:val="715213D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3766"/>
  <w15:docId w15:val="{125D7033-0E85-4140-B70F-F84E5143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E FNZ,-E Fußnotenzeichen,Footnote#,ftref,Car Car Char Car Char Car Car Char Car Char Char,Car Car Car Car Car Car Car Car Char Car Car Char Car Car Car Char Car Char Char Char,fr"/>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rsid w:val="00FD6763"/>
    <w:pPr>
      <w:tabs>
        <w:tab w:val="right" w:pos="851"/>
        <w:tab w:val="left" w:pos="1134"/>
        <w:tab w:val="left" w:pos="2268"/>
        <w:tab w:val="right" w:leader="dot" w:pos="8930"/>
        <w:tab w:val="right" w:pos="9639"/>
      </w:tabs>
      <w:spacing w:after="120"/>
      <w:ind w:left="2268"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uiPriority w:val="39"/>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basedOn w:val="DefaultParagraphFont"/>
    <w:link w:val="FootnoteText"/>
    <w:rsid w:val="00114013"/>
    <w:rPr>
      <w:rFonts w:eastAsia="SimSun"/>
      <w:sz w:val="18"/>
      <w:lang w:val="en-GB" w:eastAsia="zh-CN"/>
    </w:rPr>
  </w:style>
  <w:style w:type="character" w:customStyle="1" w:styleId="ui-provider">
    <w:name w:val="ui-provider"/>
    <w:basedOn w:val="DefaultParagraphFont"/>
    <w:rsid w:val="00114013"/>
  </w:style>
  <w:style w:type="character" w:styleId="Hyperlink">
    <w:name w:val="Hyperlink"/>
    <w:basedOn w:val="DefaultParagraphFont"/>
    <w:unhideWhenUsed/>
    <w:rsid w:val="00107961"/>
    <w:rPr>
      <w:color w:val="0000EE"/>
      <w:u w:val="single"/>
    </w:rPr>
  </w:style>
  <w:style w:type="character" w:customStyle="1" w:styleId="HChGChar">
    <w:name w:val="_ H _Ch_G Char"/>
    <w:link w:val="HChG"/>
    <w:rsid w:val="00DD66EB"/>
    <w:rPr>
      <w:rFonts w:eastAsia="SimSun"/>
      <w:b/>
      <w:sz w:val="28"/>
      <w:lang w:val="en-GB" w:eastAsia="zh-CN"/>
    </w:rPr>
  </w:style>
  <w:style w:type="character" w:customStyle="1" w:styleId="normaltextrun">
    <w:name w:val="normaltextrun"/>
    <w:basedOn w:val="DefaultParagraphFont"/>
    <w:rsid w:val="005D6AF6"/>
  </w:style>
  <w:style w:type="character" w:customStyle="1" w:styleId="eop">
    <w:name w:val="eop"/>
    <w:basedOn w:val="DefaultParagraphFont"/>
    <w:rsid w:val="005D6AF6"/>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D06C47"/>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basedOn w:val="DefaultParagraphFont"/>
    <w:link w:val="RegSingleTxtG"/>
    <w:rsid w:val="00D06C47"/>
    <w:rPr>
      <w:rFonts w:eastAsia="SimSun"/>
      <w:lang w:val="en-GB" w:eastAsia="zh-CN"/>
    </w:rPr>
  </w:style>
  <w:style w:type="character" w:customStyle="1" w:styleId="HeaderChar">
    <w:name w:val="Header Char"/>
    <w:aliases w:val="6_G Char"/>
    <w:link w:val="Header"/>
    <w:rsid w:val="004272BE"/>
    <w:rPr>
      <w:rFonts w:eastAsia="SimSun"/>
      <w:b/>
      <w:sz w:val="18"/>
      <w:lang w:val="en-GB" w:eastAsia="zh-CN"/>
    </w:rPr>
  </w:style>
  <w:style w:type="character" w:customStyle="1" w:styleId="FooterChar">
    <w:name w:val="Footer Char"/>
    <w:aliases w:val="3_G Char"/>
    <w:link w:val="Footer"/>
    <w:uiPriority w:val="99"/>
    <w:rsid w:val="004272BE"/>
    <w:rPr>
      <w:rFonts w:eastAsia="SimSun"/>
      <w:sz w:val="16"/>
      <w:lang w:val="en-GB" w:eastAsia="zh-CN"/>
    </w:rPr>
  </w:style>
  <w:style w:type="character" w:customStyle="1" w:styleId="EndnoteTextChar">
    <w:name w:val="Endnote Text Char"/>
    <w:aliases w:val="2_G Char"/>
    <w:basedOn w:val="DefaultParagraphFont"/>
    <w:link w:val="EndnoteText"/>
    <w:rsid w:val="004272BE"/>
    <w:rPr>
      <w:rFonts w:eastAsia="SimSun"/>
      <w:i/>
      <w:sz w:val="18"/>
      <w:lang w:val="en-GB" w:eastAsia="zh-CN"/>
    </w:rPr>
  </w:style>
  <w:style w:type="character" w:styleId="UnresolvedMention">
    <w:name w:val="Unresolved Mention"/>
    <w:basedOn w:val="DefaultParagraphFont"/>
    <w:uiPriority w:val="99"/>
    <w:unhideWhenUsed/>
    <w:rsid w:val="00303C6A"/>
    <w:rPr>
      <w:color w:val="605E5C"/>
      <w:shd w:val="clear" w:color="auto" w:fill="E1DFDD"/>
    </w:rPr>
  </w:style>
  <w:style w:type="paragraph" w:styleId="Revision">
    <w:name w:val="Revision"/>
    <w:hidden/>
    <w:uiPriority w:val="99"/>
    <w:semiHidden/>
    <w:rsid w:val="00080B0C"/>
    <w:rPr>
      <w:rFonts w:eastAsia="SimSun"/>
      <w:lang w:val="en-GB" w:eastAsia="zh-CN"/>
    </w:rPr>
  </w:style>
  <w:style w:type="paragraph" w:styleId="CommentSubject">
    <w:name w:val="annotation subject"/>
    <w:basedOn w:val="CommentText"/>
    <w:next w:val="CommentText"/>
    <w:link w:val="CommentSubjectChar"/>
    <w:semiHidden/>
    <w:unhideWhenUsed/>
    <w:rsid w:val="002041B8"/>
    <w:rPr>
      <w:b/>
      <w:bCs/>
    </w:rPr>
  </w:style>
  <w:style w:type="character" w:customStyle="1" w:styleId="CommentSubjectChar">
    <w:name w:val="Comment Subject Char"/>
    <w:basedOn w:val="CommentTextChar"/>
    <w:link w:val="CommentSubject"/>
    <w:semiHidden/>
    <w:rsid w:val="002041B8"/>
    <w:rPr>
      <w:rFonts w:eastAsia="SimSun"/>
      <w:b/>
      <w:bCs/>
      <w:lang w:val="en-GB" w:eastAsia="zh-CN"/>
    </w:rPr>
  </w:style>
  <w:style w:type="character" w:styleId="Mention">
    <w:name w:val="Mention"/>
    <w:basedOn w:val="DefaultParagraphFont"/>
    <w:uiPriority w:val="99"/>
    <w:unhideWhenUsed/>
    <w:rsid w:val="005C4B13"/>
    <w:rPr>
      <w:color w:val="2B579A"/>
      <w:shd w:val="clear" w:color="auto" w:fill="E1DFDD"/>
    </w:rPr>
  </w:style>
  <w:style w:type="character" w:styleId="FollowedHyperlink">
    <w:name w:val="FollowedHyperlink"/>
    <w:basedOn w:val="DefaultParagraphFont"/>
    <w:semiHidden/>
    <w:unhideWhenUsed/>
    <w:rsid w:val="00102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fccc.int/documents/193408" TargetMode="External"/><Relationship Id="rId21" Type="http://schemas.openxmlformats.org/officeDocument/2006/relationships/hyperlink" Target="https://unfccc.int/documents/2516" TargetMode="External"/><Relationship Id="rId42" Type="http://schemas.openxmlformats.org/officeDocument/2006/relationships/hyperlink" Target="https://unfccc.int/documents/9673" TargetMode="External"/><Relationship Id="rId63" Type="http://schemas.openxmlformats.org/officeDocument/2006/relationships/header" Target="header12.xml"/><Relationship Id="rId84" Type="http://schemas.openxmlformats.org/officeDocument/2006/relationships/hyperlink" Target="https://unfccc.int/documents/637073" TargetMode="External"/><Relationship Id="rId138" Type="http://schemas.openxmlformats.org/officeDocument/2006/relationships/footer" Target="footer20.xml"/><Relationship Id="rId159" Type="http://schemas.openxmlformats.org/officeDocument/2006/relationships/header" Target="header27.xml"/><Relationship Id="rId107" Type="http://schemas.openxmlformats.org/officeDocument/2006/relationships/hyperlink" Target="https://unfccc.int/documents/637076" TargetMode="External"/><Relationship Id="rId11" Type="http://schemas.openxmlformats.org/officeDocument/2006/relationships/endnotes" Target="endnotes.xml"/><Relationship Id="rId32" Type="http://schemas.openxmlformats.org/officeDocument/2006/relationships/header" Target="header5.xml"/><Relationship Id="rId53" Type="http://schemas.openxmlformats.org/officeDocument/2006/relationships/header" Target="header10.xml"/><Relationship Id="rId74" Type="http://schemas.openxmlformats.org/officeDocument/2006/relationships/hyperlink" Target="https://unfccc.int/documents/7644" TargetMode="External"/><Relationship Id="rId128" Type="http://schemas.openxmlformats.org/officeDocument/2006/relationships/hyperlink" Target="https://unfccc.int/documents/9673" TargetMode="External"/><Relationship Id="rId149" Type="http://schemas.openxmlformats.org/officeDocument/2006/relationships/hyperlink" Target="https://unfccc.int/documents/637071" TargetMode="External"/><Relationship Id="rId5" Type="http://schemas.openxmlformats.org/officeDocument/2006/relationships/customXml" Target="../customXml/item5.xml"/><Relationship Id="rId95" Type="http://schemas.openxmlformats.org/officeDocument/2006/relationships/hyperlink" Target="https://unfccc.int/documents/637071" TargetMode="External"/><Relationship Id="rId160" Type="http://schemas.openxmlformats.org/officeDocument/2006/relationships/header" Target="header28.xml"/><Relationship Id="rId22" Type="http://schemas.openxmlformats.org/officeDocument/2006/relationships/header" Target="header3.xml"/><Relationship Id="rId43" Type="http://schemas.openxmlformats.org/officeDocument/2006/relationships/hyperlink" Target="https://unfccc.int/documents/9674" TargetMode="External"/><Relationship Id="rId64" Type="http://schemas.openxmlformats.org/officeDocument/2006/relationships/footer" Target="footer11.xml"/><Relationship Id="rId118" Type="http://schemas.openxmlformats.org/officeDocument/2006/relationships/hyperlink" Target="https://unfccc.int/documents/637071" TargetMode="External"/><Relationship Id="rId139" Type="http://schemas.openxmlformats.org/officeDocument/2006/relationships/hyperlink" Target="https://unfccc.int/documents/7109" TargetMode="External"/><Relationship Id="rId85" Type="http://schemas.openxmlformats.org/officeDocument/2006/relationships/hyperlink" Target="https://unfccc.int/documents/637073" TargetMode="External"/><Relationship Id="rId150" Type="http://schemas.openxmlformats.org/officeDocument/2006/relationships/hyperlink" Target="https://unfccc.int/documents/196115" TargetMode="External"/><Relationship Id="rId12" Type="http://schemas.openxmlformats.org/officeDocument/2006/relationships/image" Target="media/image1.wmf"/><Relationship Id="rId17" Type="http://schemas.openxmlformats.org/officeDocument/2006/relationships/header" Target="header1.xml"/><Relationship Id="rId33" Type="http://schemas.openxmlformats.org/officeDocument/2006/relationships/header" Target="header6.xml"/><Relationship Id="rId38" Type="http://schemas.openxmlformats.org/officeDocument/2006/relationships/footer" Target="footer7.xml"/><Relationship Id="rId59" Type="http://schemas.openxmlformats.org/officeDocument/2006/relationships/hyperlink" Target="https://unfccc.int/documents/460955" TargetMode="External"/><Relationship Id="rId103" Type="http://schemas.openxmlformats.org/officeDocument/2006/relationships/hyperlink" Target="https://unfccc.int/documents/460952" TargetMode="External"/><Relationship Id="rId108" Type="http://schemas.openxmlformats.org/officeDocument/2006/relationships/hyperlink" Target="https://unfccc.int/documents/193408" TargetMode="External"/><Relationship Id="rId124" Type="http://schemas.openxmlformats.org/officeDocument/2006/relationships/footer" Target="footer18.xml"/><Relationship Id="rId129" Type="http://schemas.openxmlformats.org/officeDocument/2006/relationships/hyperlink" Target="https://unfccc.int/documents/65126" TargetMode="External"/><Relationship Id="rId54" Type="http://schemas.openxmlformats.org/officeDocument/2006/relationships/footer" Target="footer9.xml"/><Relationship Id="rId70" Type="http://schemas.openxmlformats.org/officeDocument/2006/relationships/hyperlink" Target="https://unfccc.int/documents/4249" TargetMode="External"/><Relationship Id="rId75" Type="http://schemas.openxmlformats.org/officeDocument/2006/relationships/hyperlink" Target="https://unfccc.int/documents/8612" TargetMode="External"/><Relationship Id="rId91" Type="http://schemas.openxmlformats.org/officeDocument/2006/relationships/hyperlink" Target="https://unfccc.int/documents/193360" TargetMode="External"/><Relationship Id="rId96" Type="http://schemas.openxmlformats.org/officeDocument/2006/relationships/hyperlink" Target="https://unfccc.int/documents/193364" TargetMode="External"/><Relationship Id="rId140" Type="http://schemas.openxmlformats.org/officeDocument/2006/relationships/hyperlink" Target="https://unfccc.int/documents/210471" TargetMode="External"/><Relationship Id="rId145" Type="http://schemas.openxmlformats.org/officeDocument/2006/relationships/header" Target="header22.xml"/><Relationship Id="rId161"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eader" Target="header4.xml"/><Relationship Id="rId28" Type="http://schemas.openxmlformats.org/officeDocument/2006/relationships/hyperlink" Target="https://unfccc.int/documents/210477" TargetMode="External"/><Relationship Id="rId49" Type="http://schemas.openxmlformats.org/officeDocument/2006/relationships/hyperlink" Target="https://unfccc.int/documents/637071" TargetMode="External"/><Relationship Id="rId114" Type="http://schemas.openxmlformats.org/officeDocument/2006/relationships/hyperlink" Target="https://unfccc.int/documents/637064" TargetMode="External"/><Relationship Id="rId119" Type="http://schemas.openxmlformats.org/officeDocument/2006/relationships/hyperlink" Target="https://unfccc.int/documents/637064" TargetMode="External"/><Relationship Id="rId44" Type="http://schemas.openxmlformats.org/officeDocument/2006/relationships/hyperlink" Target="https://unfccc.int/documents/65127" TargetMode="External"/><Relationship Id="rId60" Type="http://schemas.openxmlformats.org/officeDocument/2006/relationships/hyperlink" Target="https://unfccc.int/documents/637073" TargetMode="External"/><Relationship Id="rId65" Type="http://schemas.openxmlformats.org/officeDocument/2006/relationships/footer" Target="footer12.xml"/><Relationship Id="rId81" Type="http://schemas.openxmlformats.org/officeDocument/2006/relationships/hyperlink" Target="https://unfccc.int/documents/626561" TargetMode="External"/><Relationship Id="rId86" Type="http://schemas.openxmlformats.org/officeDocument/2006/relationships/header" Target="header13.xml"/><Relationship Id="rId130" Type="http://schemas.openxmlformats.org/officeDocument/2006/relationships/hyperlink" Target="https://unfccc.int/documents/193360" TargetMode="External"/><Relationship Id="rId135" Type="http://schemas.openxmlformats.org/officeDocument/2006/relationships/header" Target="header19.xml"/><Relationship Id="rId151" Type="http://schemas.openxmlformats.org/officeDocument/2006/relationships/hyperlink" Target="https://unfccc.int/documents/201864" TargetMode="External"/><Relationship Id="rId156" Type="http://schemas.openxmlformats.org/officeDocument/2006/relationships/footer" Target="footer25.xml"/><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footer" Target="footer8.xml"/><Relationship Id="rId109" Type="http://schemas.openxmlformats.org/officeDocument/2006/relationships/header" Target="header15.xml"/><Relationship Id="rId34" Type="http://schemas.openxmlformats.org/officeDocument/2006/relationships/footer" Target="footer5.xml"/><Relationship Id="rId50" Type="http://schemas.openxmlformats.org/officeDocument/2006/relationships/hyperlink" Target="https://unfccc.int/documents/644942" TargetMode="External"/><Relationship Id="rId55" Type="http://schemas.openxmlformats.org/officeDocument/2006/relationships/footer" Target="footer10.xml"/><Relationship Id="rId76" Type="http://schemas.openxmlformats.org/officeDocument/2006/relationships/hyperlink" Target="https://unfccc.int/documents/9097" TargetMode="External"/><Relationship Id="rId97" Type="http://schemas.openxmlformats.org/officeDocument/2006/relationships/hyperlink" Target="https://unfccc.int/documents/210478" TargetMode="External"/><Relationship Id="rId104" Type="http://schemas.openxmlformats.org/officeDocument/2006/relationships/hyperlink" Target="https://unfccc.int/documents/626571" TargetMode="External"/><Relationship Id="rId120" Type="http://schemas.openxmlformats.org/officeDocument/2006/relationships/hyperlink" Target="https://unfccc.int/documents/637076" TargetMode="External"/><Relationship Id="rId125" Type="http://schemas.openxmlformats.org/officeDocument/2006/relationships/hyperlink" Target="https://unfccc.int/documents/9097" TargetMode="External"/><Relationship Id="rId141" Type="http://schemas.openxmlformats.org/officeDocument/2006/relationships/hyperlink" Target="https://unfccc.int/documents/626563" TargetMode="External"/><Relationship Id="rId146" Type="http://schemas.openxmlformats.org/officeDocument/2006/relationships/header" Target="header23.xml"/><Relationship Id="rId7" Type="http://schemas.openxmlformats.org/officeDocument/2006/relationships/styles" Target="styles.xml"/><Relationship Id="rId71" Type="http://schemas.openxmlformats.org/officeDocument/2006/relationships/hyperlink" Target="https://unfccc.int/documents/5079" TargetMode="External"/><Relationship Id="rId92" Type="http://schemas.openxmlformats.org/officeDocument/2006/relationships/hyperlink" Target="https://unfccc.int/documents/210471" TargetMode="External"/><Relationship Id="rId162" Type="http://schemas.openxmlformats.org/officeDocument/2006/relationships/footer" Target="footer28.xml"/><Relationship Id="rId2" Type="http://schemas.openxmlformats.org/officeDocument/2006/relationships/customXml" Target="../customXml/item2.xml"/><Relationship Id="rId29" Type="http://schemas.openxmlformats.org/officeDocument/2006/relationships/hyperlink" Target="https://unfccc.int/documents/460952" TargetMode="External"/><Relationship Id="rId24" Type="http://schemas.openxmlformats.org/officeDocument/2006/relationships/footer" Target="footer3.xml"/><Relationship Id="rId40" Type="http://schemas.openxmlformats.org/officeDocument/2006/relationships/hyperlink" Target="https://unfccc.int/documents/7109" TargetMode="External"/><Relationship Id="rId45" Type="http://schemas.openxmlformats.org/officeDocument/2006/relationships/hyperlink" Target="https://unfccc.int/documents/193361" TargetMode="External"/><Relationship Id="rId66" Type="http://schemas.openxmlformats.org/officeDocument/2006/relationships/hyperlink" Target="https://unfccc.int/documents/2516" TargetMode="External"/><Relationship Id="rId87" Type="http://schemas.openxmlformats.org/officeDocument/2006/relationships/header" Target="header14.xml"/><Relationship Id="rId110" Type="http://schemas.openxmlformats.org/officeDocument/2006/relationships/header" Target="header16.xml"/><Relationship Id="rId115" Type="http://schemas.openxmlformats.org/officeDocument/2006/relationships/hyperlink" Target="https://unfccc.int/documents/637076" TargetMode="External"/><Relationship Id="rId131" Type="http://schemas.openxmlformats.org/officeDocument/2006/relationships/hyperlink" Target="https://unfccc.int/documents/460954" TargetMode="External"/><Relationship Id="rId136" Type="http://schemas.openxmlformats.org/officeDocument/2006/relationships/header" Target="header20.xml"/><Relationship Id="rId157" Type="http://schemas.openxmlformats.org/officeDocument/2006/relationships/header" Target="header26.xml"/><Relationship Id="rId61" Type="http://schemas.openxmlformats.org/officeDocument/2006/relationships/hyperlink" Target="https://unfccc.int/documents/193360" TargetMode="External"/><Relationship Id="rId82" Type="http://schemas.openxmlformats.org/officeDocument/2006/relationships/hyperlink" Target="https://unfccc.int/documents/193407" TargetMode="External"/><Relationship Id="rId152" Type="http://schemas.openxmlformats.org/officeDocument/2006/relationships/hyperlink" Target="https://unfccc.int/documents/230948" TargetMode="External"/><Relationship Id="rId19" Type="http://schemas.openxmlformats.org/officeDocument/2006/relationships/footer" Target="footer1.xml"/><Relationship Id="rId14" Type="http://schemas.openxmlformats.org/officeDocument/2006/relationships/hyperlink" Target="https://unfccc.int/documents/2516" TargetMode="External"/><Relationship Id="rId30" Type="http://schemas.openxmlformats.org/officeDocument/2006/relationships/hyperlink" Target="https://unfccc.int/documents/626571" TargetMode="External"/><Relationship Id="rId35" Type="http://schemas.openxmlformats.org/officeDocument/2006/relationships/footer" Target="footer6.xml"/><Relationship Id="rId56" Type="http://schemas.openxmlformats.org/officeDocument/2006/relationships/hyperlink" Target="https://unfccc.int/documents/9097" TargetMode="External"/><Relationship Id="rId77" Type="http://schemas.openxmlformats.org/officeDocument/2006/relationships/hyperlink" Target="https://unfccc.int/documents/9099" TargetMode="External"/><Relationship Id="rId100" Type="http://schemas.openxmlformats.org/officeDocument/2006/relationships/hyperlink" Target="https://unfccc.int/documents/637064" TargetMode="External"/><Relationship Id="rId105" Type="http://schemas.openxmlformats.org/officeDocument/2006/relationships/hyperlink" Target="https://unfccc.int/documents/637076" TargetMode="External"/><Relationship Id="rId126" Type="http://schemas.openxmlformats.org/officeDocument/2006/relationships/hyperlink" Target="https://unfccc.int/documents/210471" TargetMode="External"/><Relationship Id="rId147" Type="http://schemas.openxmlformats.org/officeDocument/2006/relationships/footer" Target="footer22.xml"/><Relationship Id="rId8" Type="http://schemas.openxmlformats.org/officeDocument/2006/relationships/settings" Target="settings.xml"/><Relationship Id="rId51" Type="http://schemas.openxmlformats.org/officeDocument/2006/relationships/hyperlink" Target="https://unfccc.int/documents/210476" TargetMode="External"/><Relationship Id="rId72" Type="http://schemas.openxmlformats.org/officeDocument/2006/relationships/hyperlink" Target="https://unfccc.int/documents/6528" TargetMode="External"/><Relationship Id="rId93" Type="http://schemas.openxmlformats.org/officeDocument/2006/relationships/hyperlink" Target="https://unfccc.int/documents/460955" TargetMode="External"/><Relationship Id="rId98" Type="http://schemas.openxmlformats.org/officeDocument/2006/relationships/hyperlink" Target="https://unfccc.int/documents/460957" TargetMode="External"/><Relationship Id="rId121" Type="http://schemas.openxmlformats.org/officeDocument/2006/relationships/header" Target="header17.xml"/><Relationship Id="rId142" Type="http://schemas.openxmlformats.org/officeDocument/2006/relationships/header" Target="header21.xml"/><Relationship Id="rId163"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footer" Target="footer4.xml"/><Relationship Id="rId46" Type="http://schemas.openxmlformats.org/officeDocument/2006/relationships/hyperlink" Target="https://unfccc.int/documents/210476" TargetMode="External"/><Relationship Id="rId67" Type="http://schemas.openxmlformats.org/officeDocument/2006/relationships/hyperlink" Target="https://unfccc.int/documents/2521" TargetMode="External"/><Relationship Id="rId116" Type="http://schemas.openxmlformats.org/officeDocument/2006/relationships/hyperlink" Target="https://unfccc.int/documents/460952" TargetMode="External"/><Relationship Id="rId137" Type="http://schemas.openxmlformats.org/officeDocument/2006/relationships/footer" Target="footer19.xml"/><Relationship Id="rId158" Type="http://schemas.openxmlformats.org/officeDocument/2006/relationships/footer" Target="footer26.xml"/><Relationship Id="rId20" Type="http://schemas.openxmlformats.org/officeDocument/2006/relationships/footer" Target="footer2.xml"/><Relationship Id="rId41" Type="http://schemas.openxmlformats.org/officeDocument/2006/relationships/hyperlink" Target="https://unfccc.int/documents/9097" TargetMode="External"/><Relationship Id="rId62" Type="http://schemas.openxmlformats.org/officeDocument/2006/relationships/header" Target="header11.xml"/><Relationship Id="rId83" Type="http://schemas.openxmlformats.org/officeDocument/2006/relationships/hyperlink" Target="https://unfccc.int/documents/193408" TargetMode="External"/><Relationship Id="rId88" Type="http://schemas.openxmlformats.org/officeDocument/2006/relationships/footer" Target="footer13.xml"/><Relationship Id="rId111" Type="http://schemas.openxmlformats.org/officeDocument/2006/relationships/footer" Target="footer15.xml"/><Relationship Id="rId132" Type="http://schemas.openxmlformats.org/officeDocument/2006/relationships/hyperlink" Target="https://unfccc.int/documents/626561" TargetMode="External"/><Relationship Id="rId153" Type="http://schemas.openxmlformats.org/officeDocument/2006/relationships/header" Target="header24.xml"/><Relationship Id="rId15" Type="http://schemas.openxmlformats.org/officeDocument/2006/relationships/hyperlink" Target="https://unfccc.int/documents/9097" TargetMode="External"/><Relationship Id="rId36" Type="http://schemas.openxmlformats.org/officeDocument/2006/relationships/header" Target="header7.xml"/><Relationship Id="rId57" Type="http://schemas.openxmlformats.org/officeDocument/2006/relationships/hyperlink" Target="https://unfccc.int/documents/65126" TargetMode="External"/><Relationship Id="rId106" Type="http://schemas.openxmlformats.org/officeDocument/2006/relationships/hyperlink" Target="https://unfccc.int/documents/637073" TargetMode="External"/><Relationship Id="rId127" Type="http://schemas.openxmlformats.org/officeDocument/2006/relationships/hyperlink" Target="https://unfccc.int/documents/637073" TargetMode="External"/><Relationship Id="rId10" Type="http://schemas.openxmlformats.org/officeDocument/2006/relationships/footnotes" Target="footnotes.xml"/><Relationship Id="rId31" Type="http://schemas.openxmlformats.org/officeDocument/2006/relationships/hyperlink" Target="https://unfccc.int/documents/9097" TargetMode="External"/><Relationship Id="rId52" Type="http://schemas.openxmlformats.org/officeDocument/2006/relationships/header" Target="header9.xml"/><Relationship Id="rId73" Type="http://schemas.openxmlformats.org/officeDocument/2006/relationships/hyperlink" Target="https://unfccc.int/documents/7109" TargetMode="External"/><Relationship Id="rId78" Type="http://schemas.openxmlformats.org/officeDocument/2006/relationships/hyperlink" Target="https://unfccc.int/documents/193361" TargetMode="External"/><Relationship Id="rId94" Type="http://schemas.openxmlformats.org/officeDocument/2006/relationships/hyperlink" Target="https://unfccc.int/documents/626563" TargetMode="External"/><Relationship Id="rId99" Type="http://schemas.openxmlformats.org/officeDocument/2006/relationships/hyperlink" Target="https://unfccc.int/documents/626566" TargetMode="External"/><Relationship Id="rId101" Type="http://schemas.openxmlformats.org/officeDocument/2006/relationships/hyperlink" Target="https://unfccc.int/documents/193407" TargetMode="External"/><Relationship Id="rId122" Type="http://schemas.openxmlformats.org/officeDocument/2006/relationships/header" Target="header18.xml"/><Relationship Id="rId143" Type="http://schemas.openxmlformats.org/officeDocument/2006/relationships/footer" Target="footer21.xml"/><Relationship Id="rId148" Type="http://schemas.openxmlformats.org/officeDocument/2006/relationships/footer" Target="footer23.xml"/><Relationship Id="rId16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unfccc.int/documents/9097" TargetMode="External"/><Relationship Id="rId47" Type="http://schemas.openxmlformats.org/officeDocument/2006/relationships/hyperlink" Target="https://unfccc.int/documents/460955" TargetMode="External"/><Relationship Id="rId68" Type="http://schemas.openxmlformats.org/officeDocument/2006/relationships/hyperlink" Target="https://unfccc.int/documents/3606" TargetMode="External"/><Relationship Id="rId89" Type="http://schemas.openxmlformats.org/officeDocument/2006/relationships/footer" Target="footer14.xml"/><Relationship Id="rId112" Type="http://schemas.openxmlformats.org/officeDocument/2006/relationships/footer" Target="footer16.xml"/><Relationship Id="rId133" Type="http://schemas.openxmlformats.org/officeDocument/2006/relationships/hyperlink" Target="https://unfccc.int/documents/637067" TargetMode="External"/><Relationship Id="rId154" Type="http://schemas.openxmlformats.org/officeDocument/2006/relationships/header" Target="header25.xml"/><Relationship Id="rId16" Type="http://schemas.openxmlformats.org/officeDocument/2006/relationships/hyperlink" Target="https://unfccc.int/documents/2516" TargetMode="External"/><Relationship Id="rId37" Type="http://schemas.openxmlformats.org/officeDocument/2006/relationships/header" Target="header8.xml"/><Relationship Id="rId58" Type="http://schemas.openxmlformats.org/officeDocument/2006/relationships/hyperlink" Target="https://unfccc.int/documents/193360" TargetMode="External"/><Relationship Id="rId79" Type="http://schemas.openxmlformats.org/officeDocument/2006/relationships/hyperlink" Target="https://unfccc.int/documents/210476" TargetMode="External"/><Relationship Id="rId102" Type="http://schemas.openxmlformats.org/officeDocument/2006/relationships/hyperlink" Target="https://unfccc.int/documents/210477" TargetMode="External"/><Relationship Id="rId123" Type="http://schemas.openxmlformats.org/officeDocument/2006/relationships/footer" Target="footer17.xml"/><Relationship Id="rId144" Type="http://schemas.openxmlformats.org/officeDocument/2006/relationships/hyperlink" Target="https://unfccc.int/documents/637071" TargetMode="External"/><Relationship Id="rId90" Type="http://schemas.openxmlformats.org/officeDocument/2006/relationships/hyperlink" Target="https://unfccc.int/documents/9097" TargetMode="External"/><Relationship Id="rId27" Type="http://schemas.openxmlformats.org/officeDocument/2006/relationships/hyperlink" Target="https://unfccc.int/documents/210476" TargetMode="External"/><Relationship Id="rId48" Type="http://schemas.openxmlformats.org/officeDocument/2006/relationships/hyperlink" Target="https://unfccc.int/documents/626563" TargetMode="External"/><Relationship Id="rId69" Type="http://schemas.openxmlformats.org/officeDocument/2006/relationships/hyperlink" Target="https://unfccc.int/documents/3867" TargetMode="External"/><Relationship Id="rId113" Type="http://schemas.openxmlformats.org/officeDocument/2006/relationships/hyperlink" Target="https://unfccc.int/documents/637071" TargetMode="External"/><Relationship Id="rId134" Type="http://schemas.openxmlformats.org/officeDocument/2006/relationships/hyperlink" Target="https://unfccc.int/documents/637071" TargetMode="External"/><Relationship Id="rId80" Type="http://schemas.openxmlformats.org/officeDocument/2006/relationships/hyperlink" Target="https://unfccc.int/documents/460955" TargetMode="External"/><Relationship Id="rId155" Type="http://schemas.openxmlformats.org/officeDocument/2006/relationships/footer" Target="footer24.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documents/9097" TargetMode="External"/><Relationship Id="rId18" Type="http://schemas.openxmlformats.org/officeDocument/2006/relationships/hyperlink" Target="https://unfccc.int/documents/641841" TargetMode="External"/><Relationship Id="rId26" Type="http://schemas.openxmlformats.org/officeDocument/2006/relationships/hyperlink" Target="https://unfccc.int/documents/460955" TargetMode="External"/><Relationship Id="rId39" Type="http://schemas.openxmlformats.org/officeDocument/2006/relationships/hyperlink" Target="https://unfccc.int/documents/638787" TargetMode="External"/><Relationship Id="rId21" Type="http://schemas.openxmlformats.org/officeDocument/2006/relationships/hyperlink" Target="https://www4.unfccc.int/sites/submissionsstaging/Pages/Home.aspx" TargetMode="External"/><Relationship Id="rId34" Type="http://schemas.openxmlformats.org/officeDocument/2006/relationships/hyperlink" Target="https://unfccc.int/documents/637071" TargetMode="External"/><Relationship Id="rId42" Type="http://schemas.openxmlformats.org/officeDocument/2006/relationships/hyperlink" Target="https://unfccc.int/documents/460955" TargetMode="External"/><Relationship Id="rId47" Type="http://schemas.openxmlformats.org/officeDocument/2006/relationships/hyperlink" Target="https://unfccc.int/documents/641396" TargetMode="External"/><Relationship Id="rId7" Type="http://schemas.openxmlformats.org/officeDocument/2006/relationships/hyperlink" Target="https://unfccc.int/documents/306735" TargetMode="External"/><Relationship Id="rId2" Type="http://schemas.openxmlformats.org/officeDocument/2006/relationships/hyperlink" Target="https://unfccc.int/documents/210476" TargetMode="External"/><Relationship Id="rId16" Type="http://schemas.openxmlformats.org/officeDocument/2006/relationships/hyperlink" Target="https://unfccc.int/documents/641841" TargetMode="External"/><Relationship Id="rId29" Type="http://schemas.openxmlformats.org/officeDocument/2006/relationships/hyperlink" Target="https://unfccc.int/documents/210471" TargetMode="External"/><Relationship Id="rId11" Type="http://schemas.openxmlformats.org/officeDocument/2006/relationships/hyperlink" Target="https://unfccc.int/documents/210476" TargetMode="External"/><Relationship Id="rId24" Type="http://schemas.openxmlformats.org/officeDocument/2006/relationships/hyperlink" Target="https://napcentral.org/submitted-NAPs" TargetMode="External"/><Relationship Id="rId32" Type="http://schemas.openxmlformats.org/officeDocument/2006/relationships/hyperlink" Target="https://unfccc.int/documents/9097" TargetMode="External"/><Relationship Id="rId37" Type="http://schemas.openxmlformats.org/officeDocument/2006/relationships/hyperlink" Target="https://unfccc.int/documents/639029" TargetMode="External"/><Relationship Id="rId40" Type="http://schemas.openxmlformats.org/officeDocument/2006/relationships/hyperlink" Target="https://unfccc.int/documents/637071" TargetMode="External"/><Relationship Id="rId45" Type="http://schemas.openxmlformats.org/officeDocument/2006/relationships/hyperlink" Target="https://unfccc.int/documents/640626" TargetMode="External"/><Relationship Id="rId5" Type="http://schemas.openxmlformats.org/officeDocument/2006/relationships/hyperlink" Target="https://unfccc.int/documents/2516" TargetMode="External"/><Relationship Id="rId15" Type="http://schemas.openxmlformats.org/officeDocument/2006/relationships/hyperlink" Target="https://unfccc.int/documents/641841" TargetMode="External"/><Relationship Id="rId23" Type="http://schemas.openxmlformats.org/officeDocument/2006/relationships/hyperlink" Target="https://www.greenclimate.fund/document/readiness-strategy-2024-2027" TargetMode="External"/><Relationship Id="rId28" Type="http://schemas.openxmlformats.org/officeDocument/2006/relationships/hyperlink" Target="https://unfccc.int/documents/641851" TargetMode="External"/><Relationship Id="rId36" Type="http://schemas.openxmlformats.org/officeDocument/2006/relationships/hyperlink" Target="https://unfccc.int/documents/1168" TargetMode="External"/><Relationship Id="rId49" Type="http://schemas.openxmlformats.org/officeDocument/2006/relationships/hyperlink" Target="https://unfccc.int/documents/641869" TargetMode="External"/><Relationship Id="rId10" Type="http://schemas.openxmlformats.org/officeDocument/2006/relationships/hyperlink" Target="https://unfccc.int/documents/638336" TargetMode="External"/><Relationship Id="rId19" Type="http://schemas.openxmlformats.org/officeDocument/2006/relationships/hyperlink" Target="https://unfccc.int/documents/65126" TargetMode="External"/><Relationship Id="rId31" Type="http://schemas.openxmlformats.org/officeDocument/2006/relationships/hyperlink" Target="https://unfccc.int/documents/210477" TargetMode="External"/><Relationship Id="rId44" Type="http://schemas.openxmlformats.org/officeDocument/2006/relationships/hyperlink" Target="https://unfccc.int/documents/460955" TargetMode="External"/><Relationship Id="rId4" Type="http://schemas.openxmlformats.org/officeDocument/2006/relationships/hyperlink" Target="https://unfccc.int/documents/210476" TargetMode="External"/><Relationship Id="rId9" Type="http://schemas.openxmlformats.org/officeDocument/2006/relationships/hyperlink" Target="https://unfccc.int/documents/631631" TargetMode="External"/><Relationship Id="rId14" Type="http://schemas.openxmlformats.org/officeDocument/2006/relationships/hyperlink" Target="https://unfccc.int/cbportal" TargetMode="External"/><Relationship Id="rId22" Type="http://schemas.openxmlformats.org/officeDocument/2006/relationships/hyperlink" Target="https://unfccc.int/documents/637073" TargetMode="External"/><Relationship Id="rId27" Type="http://schemas.openxmlformats.org/officeDocument/2006/relationships/hyperlink" Target="https://unfccc.int/documents/642754" TargetMode="External"/><Relationship Id="rId30" Type="http://schemas.openxmlformats.org/officeDocument/2006/relationships/hyperlink" Target="https://unfccc.int/documents/210478" TargetMode="External"/><Relationship Id="rId35" Type="http://schemas.openxmlformats.org/officeDocument/2006/relationships/hyperlink" Target="https://unfccc.int/documents/639931" TargetMode="External"/><Relationship Id="rId43" Type="http://schemas.openxmlformats.org/officeDocument/2006/relationships/hyperlink" Target="https://unfccc.int/documents/193361" TargetMode="External"/><Relationship Id="rId48" Type="http://schemas.openxmlformats.org/officeDocument/2006/relationships/hyperlink" Target="https://unfccc.int/documents/641774" TargetMode="External"/><Relationship Id="rId8" Type="http://schemas.openxmlformats.org/officeDocument/2006/relationships/hyperlink" Target="https://unfccc.int/documents/611615" TargetMode="External"/><Relationship Id="rId3" Type="http://schemas.openxmlformats.org/officeDocument/2006/relationships/hyperlink" Target="https://www4.unfccc.int/sites/submissionsstaging/Pages/Home.aspx" TargetMode="External"/><Relationship Id="rId12" Type="http://schemas.openxmlformats.org/officeDocument/2006/relationships/hyperlink" Target="https://unfccc.int/documents/267207" TargetMode="External"/><Relationship Id="rId17" Type="http://schemas.openxmlformats.org/officeDocument/2006/relationships/hyperlink" Target="https://unfccc.int/documents/254526" TargetMode="External"/><Relationship Id="rId25" Type="http://schemas.openxmlformats.org/officeDocument/2006/relationships/hyperlink" Target="https://www.napcentral.org/developedcountriesnaps" TargetMode="External"/><Relationship Id="rId33" Type="http://schemas.openxmlformats.org/officeDocument/2006/relationships/hyperlink" Target="https://unfccc.int/documents/637071" TargetMode="External"/><Relationship Id="rId38" Type="http://schemas.openxmlformats.org/officeDocument/2006/relationships/hyperlink" Target="https://unfccc.int/documents/638578" TargetMode="External"/><Relationship Id="rId46" Type="http://schemas.openxmlformats.org/officeDocument/2006/relationships/hyperlink" Target="https://unfccc.int/documents/641152" TargetMode="External"/><Relationship Id="rId20" Type="http://schemas.openxmlformats.org/officeDocument/2006/relationships/hyperlink" Target="https://unfccc.int/documents/637480" TargetMode="External"/><Relationship Id="rId41" Type="http://schemas.openxmlformats.org/officeDocument/2006/relationships/hyperlink" Target="https://unfccc.int/documents/460955" TargetMode="External"/><Relationship Id="rId1" Type="http://schemas.openxmlformats.org/officeDocument/2006/relationships/hyperlink" Target="https://unfccc.int/documents/210476" TargetMode="External"/><Relationship Id="rId6" Type="http://schemas.openxmlformats.org/officeDocument/2006/relationships/hyperlink" Target="https://unfccc.int/documents/254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d8c265a-5436-43a7-80c1-713d2827ffd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EAE04A-59D1-4821-BAA0-71B3B03D5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5E195-97A1-46FA-8B77-6993F94071E3}">
  <ds:schemaRefs>
    <ds:schemaRef ds:uri="Microsoft.SharePoint.Taxonomy.ContentTypeSync"/>
  </ds:schemaRefs>
</ds:datastoreItem>
</file>

<file path=customXml/itemProps3.xml><?xml version="1.0" encoding="utf-8"?>
<ds:datastoreItem xmlns:ds="http://schemas.openxmlformats.org/officeDocument/2006/customXml" ds:itemID="{B7034AC7-5C63-48E6-A9B5-0C88769E8D38}">
  <ds:schemaRefs>
    <ds:schemaRef ds:uri="http://schemas.microsoft.com/sharepoint/v3/contenttype/forms"/>
  </ds:schemaRefs>
</ds:datastoreItem>
</file>

<file path=customXml/itemProps4.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5.xml><?xml version="1.0" encoding="utf-8"?>
<ds:datastoreItem xmlns:ds="http://schemas.openxmlformats.org/officeDocument/2006/customXml" ds:itemID="{A7566FCD-B244-4C63-8A3E-FB7CC6B94401}">
  <ds:schemaRef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21fd8bfc-cd85-4899-a616-986da4216f81"/>
    <ds:schemaRef ds:uri="http://purl.org/dc/elements/1.1/"/>
    <ds:schemaRef ds:uri="http://schemas.microsoft.com/office/2006/documentManagement/types"/>
    <ds:schemaRef ds:uri="http://www.w3.org/XML/1998/namespace"/>
    <ds:schemaRef ds:uri="http://purl.org/dc/terms/"/>
    <ds:schemaRef ds:uri="4dd5ddbf-e371-4d30-9213-f0ad543fb2ce"/>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30</Pages>
  <Words>10314</Words>
  <Characters>58793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Report of the Conference of the Parties on its twenty-ninth session. Addendum</vt:lpstr>
    </vt:vector>
  </TitlesOfParts>
  <Company>UNFCCC</Company>
  <LinksUpToDate>false</LinksUpToDate>
  <CharactersWithSpaces>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twenty-ninth session. Addendum</dc:title>
  <dc:subject/>
  <dc:creator>unfccc</dc:creator>
  <cp:keywords/>
  <dc:description>Updated for COP28</dc:description>
  <cp:lastModifiedBy>Corinne Loeschner</cp:lastModifiedBy>
  <cp:revision>6</cp:revision>
  <cp:lastPrinted>2022-09-19T00:19:00Z</cp:lastPrinted>
  <dcterms:created xsi:type="dcterms:W3CDTF">2025-03-27T14:53:00Z</dcterms:created>
  <dcterms:modified xsi:type="dcterms:W3CDTF">2025-04-01T08:00:00Z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861117bd-f838-4cd6-9de9-294991fa3e6a</vt:lpwstr>
  </property>
  <property fmtid="{D5CDD505-2E9C-101B-9397-08002B2CF9AE}" pid="6" name="fccc_body">
    <vt:lpwstr>10;#Conference of the Parties (COP)|c73e7bf0-e1b5-41ee-ac74-00f3478c6be0</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830;#COP 29|37bf7d15-9d11-4404-9011-961675a06d52</vt:lpwstr>
  </property>
  <property fmtid="{D5CDD505-2E9C-101B-9397-08002B2CF9AE}" pid="12" name="LinkedUNFCCCDocumentTracker">
    <vt:lpwstr>6951</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Corporate_x0020_author">
    <vt:lpwstr/>
  </property>
  <property fmtid="{D5CDD505-2E9C-101B-9397-08002B2CF9AE}" pid="24" name="docSymbol1">
    <vt:lpwstr>FCCC/CP/2024/11/Add.2</vt:lpwstr>
  </property>
  <property fmtid="{D5CDD505-2E9C-101B-9397-08002B2CF9AE}" pid="25" name="docSymbol2">
    <vt:lpwstr/>
  </property>
</Properties>
</file>