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943FED" w14:paraId="3304EA2B" w14:textId="77777777" w:rsidTr="00641F29">
        <w:trPr>
          <w:cantSplit/>
          <w:trHeight w:hRule="exact" w:val="1134"/>
        </w:trPr>
        <w:tc>
          <w:tcPr>
            <w:tcW w:w="1242" w:type="dxa"/>
            <w:vAlign w:val="bottom"/>
          </w:tcPr>
          <w:p w14:paraId="4F42951D" w14:textId="77777777" w:rsidR="008370E0" w:rsidRPr="00F848B8" w:rsidRDefault="008A4C44" w:rsidP="00641F29">
            <w:r w:rsidRPr="00F848B8">
              <w:rPr>
                <w:noProof/>
                <w:lang w:eastAsia="en-GB"/>
              </w:rPr>
              <w:pict w14:anchorId="693A4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Description: Description: _unlogo" style="width:55.95pt;height:46.5pt;visibility:visible">
                  <v:imagedata r:id="rId11" o:title=" _unlogo"/>
                </v:shape>
              </w:pict>
            </w:r>
          </w:p>
        </w:tc>
        <w:tc>
          <w:tcPr>
            <w:tcW w:w="2552" w:type="dxa"/>
            <w:vAlign w:val="bottom"/>
          </w:tcPr>
          <w:p w14:paraId="485F674E" w14:textId="77777777" w:rsidR="008370E0" w:rsidRPr="00943FED" w:rsidRDefault="008370E0" w:rsidP="00641F29">
            <w:pPr>
              <w:spacing w:after="80" w:line="300" w:lineRule="exact"/>
              <w:ind w:left="323"/>
              <w:rPr>
                <w:b/>
                <w:sz w:val="24"/>
                <w:szCs w:val="24"/>
              </w:rPr>
            </w:pPr>
            <w:r w:rsidRPr="00F848B8">
              <w:rPr>
                <w:sz w:val="28"/>
                <w:szCs w:val="28"/>
              </w:rPr>
              <w:t>United Nations</w:t>
            </w:r>
          </w:p>
        </w:tc>
        <w:tc>
          <w:tcPr>
            <w:tcW w:w="5845" w:type="dxa"/>
            <w:gridSpan w:val="3"/>
            <w:vAlign w:val="bottom"/>
          </w:tcPr>
          <w:p w14:paraId="0F0AF926" w14:textId="77777777" w:rsidR="008370E0" w:rsidRPr="00943FED" w:rsidRDefault="00887A81" w:rsidP="00D37AD4">
            <w:pPr>
              <w:jc w:val="right"/>
            </w:pPr>
            <w:r w:rsidRPr="00943FED">
              <w:rPr>
                <w:sz w:val="40"/>
              </w:rPr>
              <w:t>FCCC</w:t>
            </w:r>
            <w:r w:rsidR="00724C09" w:rsidRPr="00943FED">
              <w:t>/SBI/2014</w:t>
            </w:r>
            <w:r w:rsidRPr="00943FED">
              <w:t>/</w:t>
            </w:r>
            <w:r w:rsidR="00D37AD4" w:rsidRPr="00943FED">
              <w:t>8</w:t>
            </w:r>
          </w:p>
        </w:tc>
      </w:tr>
      <w:tr w:rsidR="008370E0" w:rsidRPr="00943FED" w14:paraId="6E18DFAB" w14:textId="77777777" w:rsidTr="00641F29">
        <w:trPr>
          <w:cantSplit/>
          <w:trHeight w:hRule="exact" w:val="2552"/>
        </w:trPr>
        <w:tc>
          <w:tcPr>
            <w:tcW w:w="4511" w:type="dxa"/>
            <w:gridSpan w:val="3"/>
          </w:tcPr>
          <w:p w14:paraId="5E983269" w14:textId="77777777" w:rsidR="008370E0" w:rsidRPr="00943FED" w:rsidRDefault="008A4C44" w:rsidP="00D87C8B">
            <w:r w:rsidRPr="00943FED">
              <w:rPr>
                <w:noProof/>
                <w:lang w:eastAsia="en-GB"/>
              </w:rPr>
              <w:pict w14:anchorId="7C3349BC">
                <v:shape id="Picture 2" o:spid="_x0000_i1026" type="#_x0000_t75" style="width:188.85pt;height:44.3pt;visibility:visible">
                  <v:imagedata r:id="rId12" o:title=""/>
                </v:shape>
              </w:pict>
            </w:r>
          </w:p>
          <w:p w14:paraId="0FD2C83B" w14:textId="77777777" w:rsidR="00A9402E" w:rsidRPr="00943FED" w:rsidRDefault="00A9402E" w:rsidP="00D87C8B"/>
        </w:tc>
        <w:tc>
          <w:tcPr>
            <w:tcW w:w="2293" w:type="dxa"/>
          </w:tcPr>
          <w:p w14:paraId="245829FF" w14:textId="77777777" w:rsidR="008370E0" w:rsidRPr="00943FE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654FD5B4" w14:textId="77777777" w:rsidR="008370E0" w:rsidRPr="00943FED" w:rsidRDefault="00887A81" w:rsidP="00887A81">
            <w:pPr>
              <w:spacing w:before="240" w:line="240" w:lineRule="exact"/>
            </w:pPr>
            <w:r w:rsidRPr="00943FED">
              <w:t xml:space="preserve">Distr.: </w:t>
            </w:r>
            <w:r w:rsidR="00D37AD4" w:rsidRPr="00943FED">
              <w:t>General</w:t>
            </w:r>
          </w:p>
          <w:p w14:paraId="42C651D4" w14:textId="77777777" w:rsidR="00887A81" w:rsidRPr="00943FED" w:rsidRDefault="00AF494B" w:rsidP="00887A81">
            <w:pPr>
              <w:spacing w:line="240" w:lineRule="exact"/>
            </w:pPr>
            <w:r>
              <w:t>1</w:t>
            </w:r>
            <w:r w:rsidR="00A65E97">
              <w:t>8</w:t>
            </w:r>
            <w:r w:rsidR="00D37AD4" w:rsidRPr="00943FED">
              <w:t xml:space="preserve"> July</w:t>
            </w:r>
            <w:r w:rsidR="00887A81" w:rsidRPr="00943FED">
              <w:t xml:space="preserve"> 201</w:t>
            </w:r>
            <w:r w:rsidR="002219DE" w:rsidRPr="00943FED">
              <w:t>4</w:t>
            </w:r>
          </w:p>
          <w:p w14:paraId="4D3DFA05" w14:textId="77777777" w:rsidR="00887A81" w:rsidRPr="00943FED" w:rsidRDefault="00887A81" w:rsidP="00887A81">
            <w:pPr>
              <w:spacing w:line="240" w:lineRule="exact"/>
            </w:pPr>
          </w:p>
          <w:p w14:paraId="5DAD8102" w14:textId="77777777" w:rsidR="00887A81" w:rsidRPr="00943FED" w:rsidRDefault="00887A81" w:rsidP="00887A81">
            <w:pPr>
              <w:spacing w:line="240" w:lineRule="exact"/>
            </w:pPr>
            <w:r w:rsidRPr="00943FED">
              <w:t>Original: English</w:t>
            </w:r>
          </w:p>
          <w:p w14:paraId="643B18D8" w14:textId="77777777" w:rsidR="005812FC" w:rsidRPr="00943FED" w:rsidRDefault="005812FC" w:rsidP="00887A81">
            <w:pPr>
              <w:spacing w:line="240" w:lineRule="exact"/>
            </w:pPr>
          </w:p>
          <w:p w14:paraId="4A34FE9E" w14:textId="77777777" w:rsidR="005812FC" w:rsidRPr="00943FED" w:rsidRDefault="005812FC" w:rsidP="00887A81">
            <w:pPr>
              <w:spacing w:line="240" w:lineRule="exact"/>
            </w:pPr>
          </w:p>
        </w:tc>
      </w:tr>
    </w:tbl>
    <w:p w14:paraId="4B498F04" w14:textId="77777777" w:rsidR="00A61BEC" w:rsidRPr="00943FED" w:rsidRDefault="00A61BEC" w:rsidP="00A61BEC">
      <w:pPr>
        <w:spacing w:before="120"/>
        <w:rPr>
          <w:b/>
          <w:sz w:val="24"/>
          <w:szCs w:val="24"/>
        </w:rPr>
      </w:pPr>
      <w:r w:rsidRPr="00943FED">
        <w:rPr>
          <w:b/>
          <w:sz w:val="24"/>
          <w:szCs w:val="24"/>
        </w:rPr>
        <w:t>Subsidiary Body for Implementation</w:t>
      </w:r>
    </w:p>
    <w:p w14:paraId="60007BDF" w14:textId="77777777" w:rsidR="00A61BEC" w:rsidRPr="007550C2" w:rsidRDefault="008A4C44" w:rsidP="00A61BEC">
      <w:pPr>
        <w:pStyle w:val="HChG"/>
      </w:pPr>
      <w:r w:rsidRPr="007550C2">
        <w:rPr>
          <w:noProof/>
        </w:rPr>
        <w:pict w14:anchorId="56A0B16C">
          <v:shape id="Picture 2" o:spid="_x0000_s1026" type="#_x0000_t75" alt="Description: Description: Description: recycle_English" style="position:absolute;left:0;text-align:left;margin-left:405.1pt;margin-top:741.9pt;width:73.15pt;height:18.15pt;z-index:251657728;visibility:visible;mso-position-vertical-relative:page">
            <v:imagedata r:id="rId13" o:title=" recycle_English"/>
            <w10:wrap anchory="page"/>
            <w10:anchorlock/>
          </v:shape>
        </w:pict>
      </w:r>
      <w:r w:rsidR="000A6CF6" w:rsidRPr="007550C2">
        <w:tab/>
      </w:r>
      <w:r w:rsidR="000A6CF6" w:rsidRPr="007550C2">
        <w:tab/>
        <w:t>R</w:t>
      </w:r>
      <w:r w:rsidR="00A61BEC" w:rsidRPr="007550C2">
        <w:t xml:space="preserve">eport of the Subsidiary Body for Implementation </w:t>
      </w:r>
      <w:bookmarkStart w:id="0" w:name="OLE_LINK1"/>
      <w:bookmarkStart w:id="1" w:name="OLE_LINK2"/>
      <w:r w:rsidR="00C45FE0" w:rsidRPr="007550C2">
        <w:t xml:space="preserve">on its </w:t>
      </w:r>
      <w:r w:rsidR="00724C09" w:rsidRPr="007550C2">
        <w:t>fortieth</w:t>
      </w:r>
      <w:r w:rsidR="00A61BEC" w:rsidRPr="007550C2">
        <w:t xml:space="preserve"> session</w:t>
      </w:r>
      <w:bookmarkEnd w:id="0"/>
      <w:bookmarkEnd w:id="1"/>
      <w:r w:rsidR="000A6CF6" w:rsidRPr="007550C2">
        <w:t xml:space="preserve">, held in Bonn from </w:t>
      </w:r>
      <w:r w:rsidR="00E83EEA" w:rsidRPr="007550C2">
        <w:t>4</w:t>
      </w:r>
      <w:r w:rsidR="000A6CF6" w:rsidRPr="007550C2">
        <w:t xml:space="preserve"> to 15 June 2014</w:t>
      </w:r>
    </w:p>
    <w:p w14:paraId="0D9CF7AD" w14:textId="77777777" w:rsidR="0009045D" w:rsidRPr="007550C2" w:rsidRDefault="0009045D" w:rsidP="0009045D">
      <w:pPr>
        <w:spacing w:after="120"/>
        <w:rPr>
          <w:sz w:val="28"/>
        </w:rPr>
      </w:pPr>
      <w:r w:rsidRPr="007550C2">
        <w:rPr>
          <w:sz w:val="28"/>
        </w:rPr>
        <w:t>Contents</w:t>
      </w:r>
    </w:p>
    <w:p w14:paraId="59D65D45" w14:textId="77777777" w:rsidR="0009045D" w:rsidRPr="007550C2" w:rsidRDefault="0009045D" w:rsidP="0009045D">
      <w:pPr>
        <w:tabs>
          <w:tab w:val="right" w:pos="8929"/>
          <w:tab w:val="right" w:pos="9638"/>
        </w:tabs>
        <w:spacing w:after="120"/>
        <w:ind w:left="283"/>
      </w:pPr>
      <w:r w:rsidRPr="007550C2">
        <w:rPr>
          <w:i/>
          <w:sz w:val="18"/>
        </w:rPr>
        <w:tab/>
        <w:t>Paragraphs</w:t>
      </w:r>
      <w:r w:rsidRPr="007550C2">
        <w:rPr>
          <w:i/>
          <w:sz w:val="18"/>
        </w:rPr>
        <w:tab/>
        <w:t>Page</w:t>
      </w:r>
    </w:p>
    <w:p w14:paraId="0FC50D77" w14:textId="77777777" w:rsidR="0009045D" w:rsidRPr="007550C2" w:rsidRDefault="0009045D">
      <w:pPr>
        <w:pStyle w:val="TOC1"/>
        <w:rPr>
          <w:rFonts w:ascii="Calibri" w:eastAsia="Times New Roman" w:hAnsi="Calibri"/>
          <w:noProof/>
          <w:sz w:val="22"/>
          <w:szCs w:val="22"/>
          <w:lang w:eastAsia="en-US"/>
        </w:rPr>
      </w:pPr>
      <w:r w:rsidRPr="007550C2">
        <w:tab/>
      </w:r>
      <w:r w:rsidRPr="007550C2">
        <w:rPr>
          <w:noProof/>
        </w:rPr>
        <w:t>I.</w:t>
      </w:r>
      <w:r w:rsidRPr="007550C2">
        <w:rPr>
          <w:rFonts w:ascii="Calibri" w:eastAsia="Times New Roman" w:hAnsi="Calibri"/>
          <w:noProof/>
          <w:sz w:val="22"/>
          <w:szCs w:val="22"/>
          <w:lang w:eastAsia="en-US"/>
        </w:rPr>
        <w:tab/>
      </w:r>
      <w:r w:rsidRPr="007550C2">
        <w:rPr>
          <w:noProof/>
        </w:rPr>
        <w:t>Opening of the session</w:t>
      </w:r>
      <w:r w:rsidR="00DC0A09" w:rsidRPr="007550C2">
        <w:rPr>
          <w:noProof/>
        </w:rPr>
        <w:br/>
      </w:r>
      <w:r w:rsidRPr="007550C2">
        <w:rPr>
          <w:noProof/>
          <w:webHidden/>
        </w:rPr>
        <w:tab/>
      </w:r>
      <w:r w:rsidR="00382A67" w:rsidRPr="007550C2">
        <w:rPr>
          <w:noProof/>
          <w:webHidden/>
        </w:rPr>
        <w:tab/>
      </w:r>
      <w:r w:rsidR="00DC0A09" w:rsidRPr="007550C2">
        <w:rPr>
          <w:noProof/>
          <w:webHidden/>
        </w:rPr>
        <w:t>(Agenda item 1)</w:t>
      </w:r>
      <w:r w:rsidR="00DC0A09" w:rsidRPr="007550C2">
        <w:rPr>
          <w:noProof/>
          <w:webHidden/>
        </w:rPr>
        <w:tab/>
      </w:r>
      <w:r w:rsidR="00DC0A09" w:rsidRPr="007550C2">
        <w:rPr>
          <w:noProof/>
          <w:webHidden/>
        </w:rPr>
        <w:tab/>
      </w:r>
      <w:r w:rsidR="00382A67" w:rsidRPr="007550C2">
        <w:rPr>
          <w:noProof/>
          <w:webHidden/>
        </w:rPr>
        <w:t>1–2</w:t>
      </w:r>
      <w:r w:rsidRPr="007550C2">
        <w:rPr>
          <w:noProof/>
          <w:webHidden/>
        </w:rPr>
        <w:tab/>
      </w:r>
      <w:r w:rsidR="00125136">
        <w:rPr>
          <w:noProof/>
          <w:webHidden/>
        </w:rPr>
        <w:t>5</w:t>
      </w:r>
    </w:p>
    <w:p w14:paraId="15A24934" w14:textId="77777777" w:rsidR="0009045D" w:rsidRPr="007550C2" w:rsidRDefault="0009045D">
      <w:pPr>
        <w:pStyle w:val="TOC1"/>
        <w:rPr>
          <w:noProof/>
        </w:rPr>
      </w:pPr>
      <w:r w:rsidRPr="007550C2">
        <w:rPr>
          <w:noProof/>
        </w:rPr>
        <w:tab/>
        <w:t>II.</w:t>
      </w:r>
      <w:r w:rsidRPr="007550C2">
        <w:rPr>
          <w:rFonts w:ascii="Calibri" w:eastAsia="Times New Roman" w:hAnsi="Calibri"/>
          <w:noProof/>
          <w:sz w:val="22"/>
          <w:szCs w:val="22"/>
          <w:lang w:eastAsia="en-US"/>
        </w:rPr>
        <w:tab/>
      </w:r>
      <w:r w:rsidRPr="007550C2">
        <w:rPr>
          <w:noProof/>
        </w:rPr>
        <w:t>Organizational matters</w:t>
      </w:r>
      <w:r w:rsidR="00A21000" w:rsidRPr="007550C2">
        <w:rPr>
          <w:noProof/>
        </w:rPr>
        <w:br/>
      </w:r>
      <w:r w:rsidR="00EA0309" w:rsidRPr="007550C2">
        <w:rPr>
          <w:noProof/>
        </w:rPr>
        <w:tab/>
      </w:r>
      <w:r w:rsidR="00EA0309" w:rsidRPr="007550C2">
        <w:rPr>
          <w:noProof/>
        </w:rPr>
        <w:tab/>
        <w:t>(Agenda item 2)</w:t>
      </w:r>
      <w:r w:rsidRPr="000238B6">
        <w:rPr>
          <w:noProof/>
          <w:webHidden/>
        </w:rPr>
        <w:tab/>
      </w:r>
      <w:r w:rsidRPr="000238B6">
        <w:rPr>
          <w:noProof/>
          <w:webHidden/>
        </w:rPr>
        <w:tab/>
      </w:r>
      <w:r w:rsidR="00382A67" w:rsidRPr="000238B6">
        <w:rPr>
          <w:noProof/>
          <w:webHidden/>
        </w:rPr>
        <w:t>3–7</w:t>
      </w:r>
      <w:r w:rsidRPr="000238B6">
        <w:rPr>
          <w:noProof/>
          <w:webHidden/>
        </w:rPr>
        <w:tab/>
      </w:r>
      <w:r w:rsidR="00125136">
        <w:rPr>
          <w:noProof/>
          <w:webHidden/>
        </w:rPr>
        <w:t>5</w:t>
      </w:r>
    </w:p>
    <w:p w14:paraId="0DDF017F" w14:textId="77777777" w:rsidR="0009045D" w:rsidRPr="00AE549A" w:rsidRDefault="0009045D">
      <w:pPr>
        <w:pStyle w:val="TOC2"/>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Adoption of the agenda</w:t>
      </w:r>
      <w:r w:rsidRPr="007550C2">
        <w:rPr>
          <w:noProof/>
          <w:webHidden/>
        </w:rPr>
        <w:tab/>
      </w:r>
      <w:r w:rsidRPr="007550C2">
        <w:rPr>
          <w:noProof/>
          <w:webHidden/>
        </w:rPr>
        <w:tab/>
      </w:r>
      <w:r w:rsidR="00382A67" w:rsidRPr="007550C2">
        <w:rPr>
          <w:noProof/>
          <w:webHidden/>
        </w:rPr>
        <w:t>3–6</w:t>
      </w:r>
      <w:r w:rsidRPr="007550C2">
        <w:rPr>
          <w:noProof/>
          <w:webHidden/>
        </w:rPr>
        <w:tab/>
      </w:r>
      <w:r w:rsidR="00125136">
        <w:rPr>
          <w:noProof/>
          <w:webHidden/>
        </w:rPr>
        <w:t>5</w:t>
      </w:r>
    </w:p>
    <w:p w14:paraId="3F49220E" w14:textId="77777777" w:rsidR="0009045D" w:rsidRPr="00AE549A" w:rsidRDefault="0009045D">
      <w:pPr>
        <w:pStyle w:val="TOC2"/>
        <w:rPr>
          <w:rFonts w:ascii="Calibri" w:eastAsia="Times New Roman" w:hAnsi="Calibri"/>
          <w:noProof/>
          <w:sz w:val="22"/>
          <w:szCs w:val="22"/>
          <w:lang w:eastAsia="en-US"/>
        </w:rPr>
      </w:pPr>
      <w:r w:rsidRPr="00AE549A">
        <w:rPr>
          <w:noProof/>
        </w:rPr>
        <w:tab/>
      </w:r>
      <w:r w:rsidRPr="00AE549A">
        <w:rPr>
          <w:noProof/>
        </w:rPr>
        <w:tab/>
        <w:t>B.</w:t>
      </w:r>
      <w:r w:rsidRPr="00AE549A">
        <w:rPr>
          <w:rFonts w:ascii="Calibri" w:eastAsia="Times New Roman" w:hAnsi="Calibri"/>
          <w:noProof/>
          <w:sz w:val="22"/>
          <w:szCs w:val="22"/>
          <w:lang w:eastAsia="en-US"/>
        </w:rPr>
        <w:tab/>
      </w:r>
      <w:r w:rsidRPr="00AE549A">
        <w:rPr>
          <w:noProof/>
          <w:lang w:eastAsia="en-US"/>
        </w:rPr>
        <w:t>Organization of the work of the session</w:t>
      </w:r>
      <w:r w:rsidRPr="00AE549A">
        <w:rPr>
          <w:noProof/>
          <w:webHidden/>
        </w:rPr>
        <w:tab/>
      </w:r>
      <w:r w:rsidRPr="00AE549A">
        <w:rPr>
          <w:noProof/>
          <w:webHidden/>
        </w:rPr>
        <w:tab/>
      </w:r>
      <w:r w:rsidR="00382A67" w:rsidRPr="00AE549A">
        <w:rPr>
          <w:noProof/>
          <w:webHidden/>
        </w:rPr>
        <w:t>7</w:t>
      </w:r>
      <w:r w:rsidRPr="00AE549A">
        <w:rPr>
          <w:noProof/>
          <w:webHidden/>
        </w:rPr>
        <w:tab/>
      </w:r>
      <w:r w:rsidR="00125136">
        <w:rPr>
          <w:noProof/>
          <w:webHidden/>
        </w:rPr>
        <w:t>7</w:t>
      </w:r>
    </w:p>
    <w:p w14:paraId="73AC4069" w14:textId="77777777" w:rsidR="0009045D" w:rsidRPr="007550C2" w:rsidRDefault="0009045D">
      <w:pPr>
        <w:pStyle w:val="TOC1"/>
        <w:rPr>
          <w:rFonts w:ascii="Calibri" w:eastAsia="Times New Roman" w:hAnsi="Calibri"/>
          <w:noProof/>
          <w:sz w:val="22"/>
          <w:szCs w:val="22"/>
          <w:lang w:eastAsia="en-US"/>
        </w:rPr>
      </w:pPr>
      <w:r w:rsidRPr="00AE549A">
        <w:rPr>
          <w:noProof/>
        </w:rPr>
        <w:tab/>
        <w:t>III.</w:t>
      </w:r>
      <w:r w:rsidRPr="00AE549A">
        <w:rPr>
          <w:rFonts w:ascii="Calibri" w:eastAsia="Times New Roman" w:hAnsi="Calibri"/>
          <w:noProof/>
          <w:sz w:val="22"/>
          <w:szCs w:val="22"/>
          <w:lang w:eastAsia="en-US"/>
        </w:rPr>
        <w:tab/>
      </w:r>
      <w:r w:rsidRPr="00AE549A">
        <w:rPr>
          <w:noProof/>
        </w:rPr>
        <w:t>Reporting and review of Parties included in Annex I to the</w:t>
      </w:r>
      <w:r w:rsidR="00F848B8">
        <w:rPr>
          <w:noProof/>
        </w:rPr>
        <w:t xml:space="preserve"> </w:t>
      </w:r>
      <w:r w:rsidRPr="007550C2">
        <w:rPr>
          <w:noProof/>
        </w:rPr>
        <w:t>Convention</w:t>
      </w:r>
      <w:r w:rsidR="00463737" w:rsidRPr="007550C2">
        <w:rPr>
          <w:noProof/>
        </w:rPr>
        <w:br/>
      </w:r>
      <w:r w:rsidR="00463737" w:rsidRPr="007550C2">
        <w:rPr>
          <w:noProof/>
        </w:rPr>
        <w:tab/>
      </w:r>
      <w:r w:rsidR="00EA0309" w:rsidRPr="007550C2">
        <w:rPr>
          <w:noProof/>
        </w:rPr>
        <w:tab/>
        <w:t>(Agenda item 3)</w:t>
      </w:r>
      <w:r w:rsidRPr="007550C2">
        <w:rPr>
          <w:noProof/>
          <w:webHidden/>
        </w:rPr>
        <w:tab/>
      </w:r>
      <w:r w:rsidRPr="007550C2">
        <w:rPr>
          <w:noProof/>
          <w:webHidden/>
        </w:rPr>
        <w:tab/>
      </w:r>
      <w:r w:rsidR="00382A67" w:rsidRPr="007550C2">
        <w:rPr>
          <w:noProof/>
          <w:webHidden/>
        </w:rPr>
        <w:t>8–22</w:t>
      </w:r>
      <w:r w:rsidRPr="007550C2">
        <w:rPr>
          <w:noProof/>
          <w:webHidden/>
        </w:rPr>
        <w:tab/>
      </w:r>
      <w:r w:rsidR="00125136">
        <w:rPr>
          <w:noProof/>
          <w:webHidden/>
        </w:rPr>
        <w:t>8</w:t>
      </w:r>
    </w:p>
    <w:p w14:paraId="322FE75E"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Status of submission and review of sixth national communications</w:t>
      </w:r>
      <w:r w:rsidRPr="007550C2">
        <w:rPr>
          <w:noProof/>
        </w:rPr>
        <w:br/>
        <w:t xml:space="preserve">and first biennial reports from Parties included in Annex I to </w:t>
      </w:r>
      <w:r w:rsidR="00B37B5E" w:rsidRPr="007550C2">
        <w:rPr>
          <w:noProof/>
        </w:rPr>
        <w:br/>
      </w:r>
      <w:r w:rsidRPr="007550C2">
        <w:rPr>
          <w:noProof/>
        </w:rPr>
        <w:t>the</w:t>
      </w:r>
      <w:r w:rsidR="00B37B5E">
        <w:rPr>
          <w:noProof/>
        </w:rPr>
        <w:t xml:space="preserve"> </w:t>
      </w:r>
      <w:r w:rsidRPr="007550C2">
        <w:rPr>
          <w:noProof/>
        </w:rPr>
        <w:t>Convention</w:t>
      </w:r>
      <w:r w:rsidRPr="007550C2">
        <w:rPr>
          <w:noProof/>
          <w:webHidden/>
        </w:rPr>
        <w:tab/>
      </w:r>
      <w:r w:rsidRPr="007550C2">
        <w:rPr>
          <w:noProof/>
          <w:webHidden/>
        </w:rPr>
        <w:tab/>
      </w:r>
      <w:r w:rsidR="00382A67" w:rsidRPr="007550C2">
        <w:rPr>
          <w:noProof/>
          <w:webHidden/>
        </w:rPr>
        <w:t>8</w:t>
      </w:r>
      <w:r w:rsidRPr="007550C2">
        <w:rPr>
          <w:noProof/>
          <w:webHidden/>
        </w:rPr>
        <w:tab/>
      </w:r>
      <w:r w:rsidR="00125136">
        <w:rPr>
          <w:noProof/>
          <w:webHidden/>
        </w:rPr>
        <w:t>8</w:t>
      </w:r>
    </w:p>
    <w:p w14:paraId="72CBD84A"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B.</w:t>
      </w:r>
      <w:r w:rsidRPr="00AE549A">
        <w:rPr>
          <w:rFonts w:ascii="Calibri" w:eastAsia="Times New Roman" w:hAnsi="Calibri"/>
          <w:noProof/>
          <w:sz w:val="22"/>
          <w:szCs w:val="22"/>
          <w:lang w:eastAsia="en-US"/>
        </w:rPr>
        <w:tab/>
      </w:r>
      <w:r w:rsidRPr="00AE549A">
        <w:rPr>
          <w:noProof/>
        </w:rPr>
        <w:t xml:space="preserve">Revision of the </w:t>
      </w:r>
      <w:r w:rsidR="00B56F63" w:rsidRPr="00AE549A">
        <w:rPr>
          <w:noProof/>
        </w:rPr>
        <w:t>“</w:t>
      </w:r>
      <w:r w:rsidRPr="00AE549A">
        <w:rPr>
          <w:noProof/>
        </w:rPr>
        <w:t>Guidelines for the preparation of national</w:t>
      </w:r>
      <w:r w:rsidRPr="00AE549A">
        <w:rPr>
          <w:noProof/>
        </w:rPr>
        <w:br/>
        <w:t xml:space="preserve">communications by Parties included in Annex I to the Convention, </w:t>
      </w:r>
      <w:r w:rsidRPr="00AE549A">
        <w:rPr>
          <w:noProof/>
        </w:rPr>
        <w:br/>
        <w:t>Part II: UNFCCC reporting guidelines on national communications</w:t>
      </w:r>
      <w:r w:rsidR="00B56F63" w:rsidRPr="00AE549A">
        <w:rPr>
          <w:noProof/>
        </w:rPr>
        <w:t>”</w:t>
      </w:r>
      <w:r w:rsidRPr="00AE549A">
        <w:rPr>
          <w:noProof/>
          <w:webHidden/>
        </w:rPr>
        <w:tab/>
      </w:r>
      <w:r w:rsidRPr="00AE549A">
        <w:rPr>
          <w:noProof/>
          <w:webHidden/>
        </w:rPr>
        <w:tab/>
      </w:r>
      <w:r w:rsidR="00382A67" w:rsidRPr="00AE549A">
        <w:rPr>
          <w:noProof/>
          <w:webHidden/>
        </w:rPr>
        <w:t>9–20</w:t>
      </w:r>
      <w:r w:rsidRPr="00AE549A">
        <w:rPr>
          <w:noProof/>
          <w:webHidden/>
        </w:rPr>
        <w:tab/>
      </w:r>
      <w:r w:rsidR="00125136">
        <w:rPr>
          <w:noProof/>
          <w:webHidden/>
        </w:rPr>
        <w:t>8</w:t>
      </w:r>
    </w:p>
    <w:p w14:paraId="1135723E"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C.</w:t>
      </w:r>
      <w:r w:rsidRPr="00AE549A">
        <w:rPr>
          <w:rFonts w:ascii="Calibri" w:eastAsia="Times New Roman" w:hAnsi="Calibri"/>
          <w:noProof/>
          <w:sz w:val="22"/>
          <w:szCs w:val="22"/>
          <w:lang w:eastAsia="en-US"/>
        </w:rPr>
        <w:tab/>
      </w:r>
      <w:r w:rsidRPr="00AE549A">
        <w:rPr>
          <w:noProof/>
        </w:rPr>
        <w:t xml:space="preserve">Date of the completion of the expert review process under Article 8 of </w:t>
      </w:r>
      <w:r w:rsidR="00B37B5E" w:rsidRPr="00AE549A">
        <w:rPr>
          <w:noProof/>
        </w:rPr>
        <w:br/>
      </w:r>
      <w:r w:rsidRPr="00AE549A">
        <w:rPr>
          <w:noProof/>
        </w:rPr>
        <w:t>the</w:t>
      </w:r>
      <w:r w:rsidR="00B37B5E">
        <w:rPr>
          <w:noProof/>
        </w:rPr>
        <w:t xml:space="preserve"> </w:t>
      </w:r>
      <w:r w:rsidRPr="00AE549A">
        <w:rPr>
          <w:noProof/>
        </w:rPr>
        <w:t>Kyoto Protocol for the first commitment period</w:t>
      </w:r>
      <w:r w:rsidRPr="00AE549A">
        <w:rPr>
          <w:noProof/>
          <w:webHidden/>
        </w:rPr>
        <w:tab/>
      </w:r>
      <w:r w:rsidRPr="00AE549A">
        <w:rPr>
          <w:noProof/>
          <w:webHidden/>
        </w:rPr>
        <w:tab/>
      </w:r>
      <w:r w:rsidR="00382A67" w:rsidRPr="00AE549A">
        <w:rPr>
          <w:noProof/>
          <w:webHidden/>
        </w:rPr>
        <w:t>21–22</w:t>
      </w:r>
      <w:r w:rsidRPr="00AE549A">
        <w:rPr>
          <w:noProof/>
          <w:webHidden/>
        </w:rPr>
        <w:tab/>
      </w:r>
      <w:r w:rsidR="00125136">
        <w:rPr>
          <w:noProof/>
          <w:webHidden/>
        </w:rPr>
        <w:t>9</w:t>
      </w:r>
    </w:p>
    <w:p w14:paraId="4A6C629B" w14:textId="77777777" w:rsidR="0009045D" w:rsidRPr="007550C2" w:rsidRDefault="0009045D">
      <w:pPr>
        <w:pStyle w:val="TOC1"/>
        <w:rPr>
          <w:rFonts w:ascii="Calibri" w:eastAsia="Times New Roman" w:hAnsi="Calibri"/>
          <w:noProof/>
          <w:sz w:val="22"/>
          <w:szCs w:val="22"/>
          <w:lang w:eastAsia="en-US"/>
        </w:rPr>
      </w:pPr>
      <w:r w:rsidRPr="00AE549A">
        <w:rPr>
          <w:noProof/>
        </w:rPr>
        <w:tab/>
        <w:t>IV.</w:t>
      </w:r>
      <w:r w:rsidRPr="00AE549A">
        <w:rPr>
          <w:rFonts w:ascii="Calibri" w:eastAsia="Times New Roman" w:hAnsi="Calibri"/>
          <w:noProof/>
          <w:sz w:val="22"/>
          <w:szCs w:val="22"/>
          <w:lang w:eastAsia="en-US"/>
        </w:rPr>
        <w:tab/>
      </w:r>
      <w:r w:rsidRPr="00AE549A">
        <w:rPr>
          <w:noProof/>
        </w:rPr>
        <w:t>Reporting from Parties not included in Annex I to the Convention</w:t>
      </w:r>
      <w:r w:rsidR="00A21000" w:rsidRPr="00AE549A">
        <w:rPr>
          <w:noProof/>
        </w:rPr>
        <w:br/>
      </w:r>
      <w:r w:rsidR="00EA0309" w:rsidRPr="00AE549A">
        <w:rPr>
          <w:noProof/>
        </w:rPr>
        <w:tab/>
      </w:r>
      <w:r w:rsidR="00EA0309" w:rsidRPr="00AE549A">
        <w:rPr>
          <w:noProof/>
        </w:rPr>
        <w:tab/>
        <w:t>(</w:t>
      </w:r>
      <w:r w:rsidR="00A21000" w:rsidRPr="00AE549A">
        <w:rPr>
          <w:noProof/>
        </w:rPr>
        <w:t>A</w:t>
      </w:r>
      <w:r w:rsidR="00EA0309" w:rsidRPr="00AE549A">
        <w:rPr>
          <w:noProof/>
        </w:rPr>
        <w:t>genda item 4)</w:t>
      </w:r>
      <w:r w:rsidRPr="00AE549A">
        <w:rPr>
          <w:noProof/>
          <w:webHidden/>
        </w:rPr>
        <w:tab/>
      </w:r>
      <w:r w:rsidRPr="00AE549A">
        <w:rPr>
          <w:noProof/>
          <w:webHidden/>
        </w:rPr>
        <w:tab/>
      </w:r>
      <w:r w:rsidR="00382A67" w:rsidRPr="00AE549A">
        <w:rPr>
          <w:noProof/>
          <w:webHidden/>
        </w:rPr>
        <w:t>23–35</w:t>
      </w:r>
      <w:r w:rsidRPr="00AE549A">
        <w:rPr>
          <w:noProof/>
          <w:webHidden/>
        </w:rPr>
        <w:tab/>
      </w:r>
      <w:r w:rsidR="00125136">
        <w:rPr>
          <w:noProof/>
          <w:webHidden/>
        </w:rPr>
        <w:t>10</w:t>
      </w:r>
    </w:p>
    <w:p w14:paraId="3B0FA2FC"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 xml:space="preserve">Information contained in national communications from Parties not </w:t>
      </w:r>
      <w:r w:rsidR="00B37B5E" w:rsidRPr="007550C2">
        <w:rPr>
          <w:noProof/>
        </w:rPr>
        <w:br/>
      </w:r>
      <w:r w:rsidRPr="007550C2">
        <w:rPr>
          <w:noProof/>
        </w:rPr>
        <w:t>included</w:t>
      </w:r>
      <w:r w:rsidR="008D64AA">
        <w:rPr>
          <w:noProof/>
        </w:rPr>
        <w:t xml:space="preserve"> </w:t>
      </w:r>
      <w:r w:rsidRPr="007550C2">
        <w:rPr>
          <w:noProof/>
        </w:rPr>
        <w:t xml:space="preserve">in Annex I to the Convention </w:t>
      </w:r>
      <w:r w:rsidR="00EA0309" w:rsidRPr="007550C2">
        <w:rPr>
          <w:i/>
          <w:noProof/>
          <w:lang w:eastAsia="en-US"/>
        </w:rPr>
        <w:t>(agenda item h</w:t>
      </w:r>
      <w:r w:rsidRPr="007550C2">
        <w:rPr>
          <w:i/>
          <w:noProof/>
          <w:lang w:eastAsia="en-US"/>
        </w:rPr>
        <w:t>eld in abeyance</w:t>
      </w:r>
      <w:r w:rsidRPr="007550C2">
        <w:rPr>
          <w:noProof/>
          <w:lang w:eastAsia="en-US"/>
        </w:rPr>
        <w:t>)</w:t>
      </w:r>
      <w:r w:rsidRPr="000238B6">
        <w:rPr>
          <w:noProof/>
          <w:webHidden/>
        </w:rPr>
        <w:tab/>
      </w:r>
      <w:r w:rsidRPr="000238B6">
        <w:rPr>
          <w:noProof/>
          <w:webHidden/>
        </w:rPr>
        <w:tab/>
      </w:r>
      <w:r w:rsidRPr="000238B6">
        <w:rPr>
          <w:noProof/>
          <w:webHidden/>
        </w:rPr>
        <w:tab/>
      </w:r>
      <w:r w:rsidR="00125136">
        <w:rPr>
          <w:noProof/>
          <w:webHidden/>
        </w:rPr>
        <w:t>10</w:t>
      </w:r>
    </w:p>
    <w:p w14:paraId="61EC6CBF" w14:textId="77777777" w:rsidR="0009045D" w:rsidRPr="00AE549A" w:rsidRDefault="0009045D">
      <w:pPr>
        <w:pStyle w:val="TOC2"/>
        <w:rPr>
          <w:rFonts w:ascii="Calibri" w:eastAsia="Times New Roman" w:hAnsi="Calibri"/>
          <w:noProof/>
          <w:sz w:val="22"/>
          <w:szCs w:val="22"/>
          <w:lang w:eastAsia="en-US"/>
        </w:rPr>
      </w:pPr>
      <w:r w:rsidRPr="00AE549A">
        <w:rPr>
          <w:noProof/>
          <w:lang w:eastAsia="en-US"/>
        </w:rPr>
        <w:tab/>
      </w:r>
      <w:r w:rsidRPr="00AE549A">
        <w:rPr>
          <w:noProof/>
          <w:lang w:eastAsia="en-US"/>
        </w:rPr>
        <w:tab/>
        <w:t>B.</w:t>
      </w:r>
      <w:r w:rsidRPr="00AE549A">
        <w:rPr>
          <w:rFonts w:ascii="Calibri" w:eastAsia="Times New Roman" w:hAnsi="Calibri"/>
          <w:noProof/>
          <w:sz w:val="22"/>
          <w:szCs w:val="22"/>
          <w:lang w:eastAsia="en-US"/>
        </w:rPr>
        <w:tab/>
      </w:r>
      <w:r w:rsidRPr="00AE549A">
        <w:rPr>
          <w:noProof/>
        </w:rPr>
        <w:t xml:space="preserve">Provision of </w:t>
      </w:r>
      <w:r w:rsidR="00EA0309" w:rsidRPr="00AE549A">
        <w:rPr>
          <w:noProof/>
        </w:rPr>
        <w:t>financial and technical support</w:t>
      </w:r>
      <w:r w:rsidRPr="00AE549A">
        <w:rPr>
          <w:noProof/>
          <w:webHidden/>
        </w:rPr>
        <w:tab/>
      </w:r>
      <w:r w:rsidRPr="00AE549A">
        <w:rPr>
          <w:noProof/>
          <w:webHidden/>
        </w:rPr>
        <w:tab/>
      </w:r>
      <w:r w:rsidR="00B161D7" w:rsidRPr="00AE549A">
        <w:rPr>
          <w:noProof/>
          <w:webHidden/>
        </w:rPr>
        <w:t>23–35</w:t>
      </w:r>
      <w:r w:rsidRPr="00AE549A">
        <w:rPr>
          <w:noProof/>
          <w:webHidden/>
        </w:rPr>
        <w:tab/>
      </w:r>
      <w:r w:rsidR="00125136">
        <w:rPr>
          <w:noProof/>
          <w:webHidden/>
        </w:rPr>
        <w:t>10</w:t>
      </w:r>
    </w:p>
    <w:p w14:paraId="4614B500" w14:textId="77777777" w:rsidR="0009045D" w:rsidRPr="007550C2" w:rsidRDefault="0009045D" w:rsidP="0009045D">
      <w:pPr>
        <w:pStyle w:val="TOC1"/>
        <w:ind w:left="1134" w:hanging="1134"/>
        <w:rPr>
          <w:rFonts w:ascii="Calibri" w:eastAsia="Times New Roman" w:hAnsi="Calibri"/>
          <w:noProof/>
          <w:sz w:val="22"/>
          <w:szCs w:val="22"/>
          <w:lang w:eastAsia="en-US"/>
        </w:rPr>
      </w:pPr>
      <w:r w:rsidRPr="00AE549A">
        <w:rPr>
          <w:bCs/>
          <w:noProof/>
        </w:rPr>
        <w:tab/>
        <w:t>V.</w:t>
      </w:r>
      <w:r w:rsidRPr="00AE549A">
        <w:rPr>
          <w:rFonts w:ascii="Calibri" w:eastAsia="Times New Roman" w:hAnsi="Calibri"/>
          <w:noProof/>
          <w:sz w:val="22"/>
          <w:szCs w:val="22"/>
          <w:lang w:eastAsia="en-US"/>
        </w:rPr>
        <w:tab/>
      </w:r>
      <w:r w:rsidRPr="00AE549A">
        <w:rPr>
          <w:noProof/>
        </w:rPr>
        <w:t>Work programme to further the understanding of the diversity of nationally</w:t>
      </w:r>
      <w:r w:rsidRPr="00AE549A">
        <w:rPr>
          <w:noProof/>
        </w:rPr>
        <w:br/>
        <w:t>appropriate mitigation actions</w:t>
      </w:r>
      <w:r w:rsidR="00463737" w:rsidRPr="00AE549A">
        <w:rPr>
          <w:noProof/>
        </w:rPr>
        <w:t xml:space="preserve"> </w:t>
      </w:r>
      <w:r w:rsidR="00D85930" w:rsidRPr="00AE549A">
        <w:rPr>
          <w:noProof/>
        </w:rPr>
        <w:br/>
      </w:r>
      <w:r w:rsidRPr="00AE549A">
        <w:rPr>
          <w:bCs/>
          <w:noProof/>
        </w:rPr>
        <w:t>(Agenda item 5)</w:t>
      </w:r>
      <w:r w:rsidRPr="00AE549A">
        <w:rPr>
          <w:noProof/>
          <w:webHidden/>
        </w:rPr>
        <w:tab/>
      </w:r>
      <w:r w:rsidRPr="00AE549A">
        <w:rPr>
          <w:noProof/>
          <w:webHidden/>
        </w:rPr>
        <w:tab/>
      </w:r>
      <w:r w:rsidR="00B161D7" w:rsidRPr="00AE549A">
        <w:rPr>
          <w:noProof/>
          <w:webHidden/>
        </w:rPr>
        <w:t>36–43</w:t>
      </w:r>
      <w:r w:rsidRPr="00AE549A">
        <w:rPr>
          <w:noProof/>
          <w:webHidden/>
        </w:rPr>
        <w:tab/>
      </w:r>
      <w:r w:rsidR="00DC0A09" w:rsidRPr="007550C2">
        <w:rPr>
          <w:noProof/>
          <w:webHidden/>
        </w:rPr>
        <w:t>1</w:t>
      </w:r>
      <w:r w:rsidR="00125136">
        <w:rPr>
          <w:noProof/>
          <w:webHidden/>
        </w:rPr>
        <w:t>1</w:t>
      </w:r>
    </w:p>
    <w:p w14:paraId="2370A422" w14:textId="77777777" w:rsidR="0009045D" w:rsidRPr="007550C2" w:rsidRDefault="0009045D" w:rsidP="00463737">
      <w:pPr>
        <w:pStyle w:val="TOC1"/>
        <w:ind w:left="1134" w:hanging="1134"/>
        <w:rPr>
          <w:rFonts w:ascii="Calibri" w:eastAsia="Times New Roman" w:hAnsi="Calibri"/>
          <w:noProof/>
          <w:sz w:val="22"/>
          <w:szCs w:val="22"/>
          <w:lang w:eastAsia="en-US"/>
        </w:rPr>
      </w:pPr>
      <w:r w:rsidRPr="007550C2">
        <w:rPr>
          <w:noProof/>
        </w:rPr>
        <w:tab/>
        <w:t>VI.</w:t>
      </w:r>
      <w:r w:rsidRPr="007550C2">
        <w:rPr>
          <w:rFonts w:ascii="Calibri" w:eastAsia="Times New Roman" w:hAnsi="Calibri"/>
          <w:noProof/>
          <w:sz w:val="22"/>
          <w:szCs w:val="22"/>
          <w:lang w:eastAsia="en-US"/>
        </w:rPr>
        <w:tab/>
      </w:r>
      <w:r w:rsidRPr="007550C2">
        <w:rPr>
          <w:noProof/>
        </w:rPr>
        <w:t>Matters relating to the mechanisms under the Kyoto Protocol</w:t>
      </w:r>
      <w:r w:rsidR="00463737" w:rsidRPr="007550C2">
        <w:rPr>
          <w:noProof/>
        </w:rPr>
        <w:br/>
        <w:t>(</w:t>
      </w:r>
      <w:r w:rsidRPr="007550C2">
        <w:rPr>
          <w:noProof/>
        </w:rPr>
        <w:t>Agenda item 6)</w:t>
      </w:r>
      <w:r w:rsidRPr="000238B6">
        <w:rPr>
          <w:noProof/>
          <w:webHidden/>
        </w:rPr>
        <w:tab/>
      </w:r>
      <w:r w:rsidRPr="000238B6">
        <w:rPr>
          <w:noProof/>
          <w:webHidden/>
        </w:rPr>
        <w:tab/>
      </w:r>
      <w:r w:rsidR="00B161D7" w:rsidRPr="000238B6">
        <w:rPr>
          <w:noProof/>
          <w:webHidden/>
        </w:rPr>
        <w:t>44–73</w:t>
      </w:r>
      <w:r w:rsidRPr="000238B6">
        <w:rPr>
          <w:noProof/>
          <w:webHidden/>
        </w:rPr>
        <w:tab/>
      </w:r>
      <w:r w:rsidR="00DC0A09" w:rsidRPr="007550C2">
        <w:rPr>
          <w:noProof/>
          <w:webHidden/>
        </w:rPr>
        <w:t>1</w:t>
      </w:r>
      <w:r w:rsidR="00125136">
        <w:rPr>
          <w:noProof/>
          <w:webHidden/>
        </w:rPr>
        <w:t>2</w:t>
      </w:r>
    </w:p>
    <w:p w14:paraId="33556BBE"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7550C2">
        <w:rPr>
          <w:noProof/>
          <w:lang w:eastAsia="en-US"/>
        </w:rPr>
        <w:lastRenderedPageBreak/>
        <w:tab/>
      </w:r>
      <w:r w:rsidRPr="007550C2">
        <w:rPr>
          <w:noProof/>
          <w:lang w:eastAsia="en-US"/>
        </w:rPr>
        <w:tab/>
        <w:t>A.</w:t>
      </w:r>
      <w:r w:rsidRPr="007550C2">
        <w:rPr>
          <w:rFonts w:ascii="Calibri" w:eastAsia="Times New Roman" w:hAnsi="Calibri"/>
          <w:noProof/>
          <w:sz w:val="22"/>
          <w:szCs w:val="22"/>
          <w:lang w:eastAsia="en-US"/>
        </w:rPr>
        <w:tab/>
      </w:r>
      <w:r w:rsidRPr="007550C2">
        <w:rPr>
          <w:noProof/>
        </w:rPr>
        <w:t>Review of the modalities and procedures for the clean</w:t>
      </w:r>
      <w:r w:rsidR="00EA0309" w:rsidRPr="007550C2">
        <w:rPr>
          <w:noProof/>
        </w:rPr>
        <w:t xml:space="preserve"> </w:t>
      </w:r>
      <w:r w:rsidRPr="007550C2">
        <w:rPr>
          <w:noProof/>
        </w:rPr>
        <w:t>development</w:t>
      </w:r>
      <w:r w:rsidR="00EA0309" w:rsidRPr="007550C2">
        <w:rPr>
          <w:noProof/>
        </w:rPr>
        <w:br/>
      </w:r>
      <w:r w:rsidRPr="007550C2">
        <w:rPr>
          <w:noProof/>
        </w:rPr>
        <w:t>mechanism</w:t>
      </w:r>
      <w:r w:rsidRPr="000238B6">
        <w:rPr>
          <w:noProof/>
          <w:webHidden/>
        </w:rPr>
        <w:tab/>
      </w:r>
      <w:r w:rsidRPr="000238B6">
        <w:rPr>
          <w:noProof/>
          <w:webHidden/>
        </w:rPr>
        <w:tab/>
      </w:r>
      <w:r w:rsidR="00B161D7" w:rsidRPr="000238B6">
        <w:rPr>
          <w:noProof/>
          <w:webHidden/>
        </w:rPr>
        <w:t>44–46</w:t>
      </w:r>
      <w:r w:rsidRPr="000238B6">
        <w:rPr>
          <w:noProof/>
          <w:webHidden/>
        </w:rPr>
        <w:tab/>
      </w:r>
      <w:r w:rsidR="00DC0A09" w:rsidRPr="00AE549A">
        <w:rPr>
          <w:noProof/>
          <w:webHidden/>
        </w:rPr>
        <w:t>1</w:t>
      </w:r>
      <w:r w:rsidR="00125136">
        <w:rPr>
          <w:noProof/>
          <w:webHidden/>
        </w:rPr>
        <w:t>2</w:t>
      </w:r>
    </w:p>
    <w:p w14:paraId="6F13251F" w14:textId="77777777" w:rsidR="0009045D" w:rsidRPr="00AE549A" w:rsidRDefault="0009045D">
      <w:pPr>
        <w:pStyle w:val="TOC2"/>
        <w:rPr>
          <w:rFonts w:ascii="Calibri" w:eastAsia="Times New Roman" w:hAnsi="Calibri"/>
          <w:noProof/>
          <w:sz w:val="22"/>
          <w:szCs w:val="22"/>
          <w:lang w:eastAsia="en-US"/>
        </w:rPr>
      </w:pPr>
      <w:r w:rsidRPr="00AE549A">
        <w:rPr>
          <w:noProof/>
        </w:rPr>
        <w:tab/>
      </w:r>
      <w:r w:rsidRPr="00AE549A">
        <w:rPr>
          <w:noProof/>
        </w:rPr>
        <w:tab/>
        <w:t>B.</w:t>
      </w:r>
      <w:r w:rsidRPr="00AE549A">
        <w:rPr>
          <w:rFonts w:ascii="Calibri" w:eastAsia="Times New Roman" w:hAnsi="Calibri"/>
          <w:noProof/>
          <w:sz w:val="22"/>
          <w:szCs w:val="22"/>
          <w:lang w:eastAsia="en-US"/>
        </w:rPr>
        <w:tab/>
      </w:r>
      <w:r w:rsidRPr="00AE549A">
        <w:rPr>
          <w:noProof/>
        </w:rPr>
        <w:t xml:space="preserve">Review of the joint implementation guidelines </w:t>
      </w:r>
      <w:r w:rsidRPr="00AE549A">
        <w:rPr>
          <w:noProof/>
          <w:webHidden/>
        </w:rPr>
        <w:tab/>
      </w:r>
      <w:r w:rsidRPr="00AE549A">
        <w:rPr>
          <w:noProof/>
          <w:webHidden/>
        </w:rPr>
        <w:tab/>
      </w:r>
      <w:r w:rsidR="00B161D7" w:rsidRPr="00AE549A">
        <w:rPr>
          <w:noProof/>
          <w:webHidden/>
        </w:rPr>
        <w:t>47–51</w:t>
      </w:r>
      <w:r w:rsidRPr="00AE549A">
        <w:rPr>
          <w:noProof/>
          <w:webHidden/>
        </w:rPr>
        <w:tab/>
      </w:r>
      <w:r w:rsidR="00DC0A09" w:rsidRPr="00AE549A">
        <w:rPr>
          <w:noProof/>
          <w:webHidden/>
        </w:rPr>
        <w:t>1</w:t>
      </w:r>
      <w:r w:rsidR="00125136">
        <w:rPr>
          <w:noProof/>
          <w:webHidden/>
        </w:rPr>
        <w:t>3</w:t>
      </w:r>
    </w:p>
    <w:p w14:paraId="4C8412F1"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C.</w:t>
      </w:r>
      <w:r w:rsidRPr="00AE549A">
        <w:rPr>
          <w:rFonts w:ascii="Calibri" w:eastAsia="Times New Roman" w:hAnsi="Calibri"/>
          <w:noProof/>
          <w:sz w:val="22"/>
          <w:szCs w:val="22"/>
          <w:lang w:eastAsia="en-US"/>
        </w:rPr>
        <w:tab/>
      </w:r>
      <w:r w:rsidRPr="00AE549A">
        <w:rPr>
          <w:noProof/>
        </w:rPr>
        <w:t>Synergy relating to accreditation under the mechanisms of the</w:t>
      </w:r>
      <w:r w:rsidRPr="00AE549A">
        <w:rPr>
          <w:noProof/>
        </w:rPr>
        <w:br/>
        <w:t>Kyoto Protocol</w:t>
      </w:r>
      <w:r w:rsidRPr="00AE549A">
        <w:rPr>
          <w:noProof/>
          <w:webHidden/>
        </w:rPr>
        <w:tab/>
      </w:r>
      <w:r w:rsidRPr="00AE549A">
        <w:rPr>
          <w:noProof/>
          <w:webHidden/>
        </w:rPr>
        <w:tab/>
      </w:r>
      <w:r w:rsidR="00B161D7" w:rsidRPr="00AE549A">
        <w:rPr>
          <w:noProof/>
          <w:webHidden/>
        </w:rPr>
        <w:t>52–57</w:t>
      </w:r>
      <w:r w:rsidRPr="00AE549A">
        <w:rPr>
          <w:noProof/>
          <w:webHidden/>
        </w:rPr>
        <w:tab/>
      </w:r>
      <w:r w:rsidR="00DC0A09" w:rsidRPr="00AE549A">
        <w:rPr>
          <w:noProof/>
          <w:webHidden/>
        </w:rPr>
        <w:t>1</w:t>
      </w:r>
      <w:r w:rsidR="00125136">
        <w:rPr>
          <w:noProof/>
          <w:webHidden/>
        </w:rPr>
        <w:t>3</w:t>
      </w:r>
    </w:p>
    <w:p w14:paraId="01D78AFC"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D.</w:t>
      </w:r>
      <w:r w:rsidRPr="00AE549A">
        <w:rPr>
          <w:rFonts w:ascii="Calibri" w:eastAsia="Times New Roman" w:hAnsi="Calibri"/>
          <w:noProof/>
          <w:sz w:val="22"/>
          <w:szCs w:val="22"/>
          <w:lang w:eastAsia="en-US"/>
        </w:rPr>
        <w:tab/>
      </w:r>
      <w:r w:rsidRPr="00AE549A">
        <w:rPr>
          <w:noProof/>
        </w:rPr>
        <w:t>Modalities for expediting the continued issuance, transfer and</w:t>
      </w:r>
      <w:r w:rsidR="00EA0309" w:rsidRPr="00AE549A">
        <w:rPr>
          <w:noProof/>
        </w:rPr>
        <w:t xml:space="preserve"> </w:t>
      </w:r>
      <w:r w:rsidRPr="00AE549A">
        <w:rPr>
          <w:noProof/>
        </w:rPr>
        <w:t>acquisition</w:t>
      </w:r>
      <w:r w:rsidR="00EA0309" w:rsidRPr="00AE549A">
        <w:rPr>
          <w:noProof/>
        </w:rPr>
        <w:br/>
      </w:r>
      <w:r w:rsidRPr="00AE549A">
        <w:rPr>
          <w:noProof/>
        </w:rPr>
        <w:t>of joint implementation emission reduction units</w:t>
      </w:r>
      <w:r w:rsidR="00EA0309" w:rsidRPr="00AE549A">
        <w:rPr>
          <w:noProof/>
        </w:rPr>
        <w:tab/>
      </w:r>
      <w:r w:rsidRPr="00AE549A">
        <w:rPr>
          <w:noProof/>
          <w:webHidden/>
        </w:rPr>
        <w:tab/>
      </w:r>
      <w:r w:rsidR="00B161D7" w:rsidRPr="00AE549A">
        <w:rPr>
          <w:noProof/>
          <w:webHidden/>
        </w:rPr>
        <w:t>58–63</w:t>
      </w:r>
      <w:r w:rsidRPr="00AE549A">
        <w:rPr>
          <w:noProof/>
          <w:webHidden/>
        </w:rPr>
        <w:tab/>
      </w:r>
      <w:r w:rsidR="00DC0A09" w:rsidRPr="00AE549A">
        <w:rPr>
          <w:noProof/>
          <w:webHidden/>
        </w:rPr>
        <w:t>1</w:t>
      </w:r>
      <w:r w:rsidR="00125136">
        <w:rPr>
          <w:noProof/>
          <w:webHidden/>
        </w:rPr>
        <w:t>4</w:t>
      </w:r>
    </w:p>
    <w:p w14:paraId="44FB9A72"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E.</w:t>
      </w:r>
      <w:r w:rsidRPr="00AE549A">
        <w:rPr>
          <w:rFonts w:ascii="Calibri" w:eastAsia="Times New Roman" w:hAnsi="Calibri"/>
          <w:noProof/>
          <w:sz w:val="22"/>
          <w:szCs w:val="22"/>
          <w:lang w:eastAsia="en-US"/>
        </w:rPr>
        <w:tab/>
      </w:r>
      <w:r w:rsidRPr="00AE549A">
        <w:rPr>
          <w:noProof/>
        </w:rPr>
        <w:t>Procedures, mechanisms and institutional arrangements for</w:t>
      </w:r>
      <w:r w:rsidR="00EA0309" w:rsidRPr="00AE549A">
        <w:rPr>
          <w:noProof/>
        </w:rPr>
        <w:t xml:space="preserve"> </w:t>
      </w:r>
      <w:r w:rsidRPr="00AE549A">
        <w:rPr>
          <w:noProof/>
        </w:rPr>
        <w:t>appeals</w:t>
      </w:r>
      <w:r w:rsidR="00EA0309" w:rsidRPr="00AE549A">
        <w:rPr>
          <w:noProof/>
        </w:rPr>
        <w:t xml:space="preserve"> </w:t>
      </w:r>
      <w:r w:rsidRPr="00AE549A">
        <w:rPr>
          <w:noProof/>
        </w:rPr>
        <w:t>against</w:t>
      </w:r>
      <w:r w:rsidR="00EA0309" w:rsidRPr="00AE549A">
        <w:rPr>
          <w:noProof/>
        </w:rPr>
        <w:br/>
      </w:r>
      <w:r w:rsidRPr="00AE549A">
        <w:rPr>
          <w:noProof/>
        </w:rPr>
        <w:t>decisions of the Executive Board of the clean development</w:t>
      </w:r>
      <w:r w:rsidR="00EA0309" w:rsidRPr="00AE549A">
        <w:rPr>
          <w:noProof/>
        </w:rPr>
        <w:t xml:space="preserve"> </w:t>
      </w:r>
      <w:r w:rsidRPr="00AE549A">
        <w:rPr>
          <w:noProof/>
        </w:rPr>
        <w:t>mechanism</w:t>
      </w:r>
      <w:r w:rsidRPr="00AE549A">
        <w:rPr>
          <w:noProof/>
          <w:webHidden/>
        </w:rPr>
        <w:tab/>
      </w:r>
      <w:r w:rsidRPr="00AE549A">
        <w:rPr>
          <w:noProof/>
          <w:webHidden/>
        </w:rPr>
        <w:tab/>
      </w:r>
      <w:r w:rsidR="00B161D7" w:rsidRPr="00AE549A">
        <w:rPr>
          <w:noProof/>
          <w:webHidden/>
        </w:rPr>
        <w:t>64–67</w:t>
      </w:r>
      <w:r w:rsidRPr="00AE549A">
        <w:rPr>
          <w:noProof/>
          <w:webHidden/>
        </w:rPr>
        <w:tab/>
      </w:r>
      <w:r w:rsidR="00DC0A09" w:rsidRPr="00AE549A">
        <w:rPr>
          <w:noProof/>
          <w:webHidden/>
        </w:rPr>
        <w:t>1</w:t>
      </w:r>
      <w:r w:rsidR="00125136">
        <w:rPr>
          <w:noProof/>
          <w:webHidden/>
        </w:rPr>
        <w:t>5</w:t>
      </w:r>
    </w:p>
    <w:p w14:paraId="0360EA67" w14:textId="77777777" w:rsidR="0009045D" w:rsidRPr="00AE549A" w:rsidRDefault="0009045D" w:rsidP="0009045D">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F.</w:t>
      </w:r>
      <w:r w:rsidRPr="00AE549A">
        <w:rPr>
          <w:rFonts w:ascii="Calibri" w:eastAsia="Times New Roman" w:hAnsi="Calibri"/>
          <w:noProof/>
          <w:sz w:val="22"/>
          <w:szCs w:val="22"/>
          <w:lang w:eastAsia="en-US"/>
        </w:rPr>
        <w:tab/>
      </w:r>
      <w:r w:rsidRPr="00AE549A">
        <w:rPr>
          <w:noProof/>
        </w:rPr>
        <w:t xml:space="preserve">Matters relating to the international transaction log under the </w:t>
      </w:r>
      <w:r w:rsidRPr="00AE549A">
        <w:rPr>
          <w:noProof/>
        </w:rPr>
        <w:br/>
        <w:t>Kyoto Protocol</w:t>
      </w:r>
      <w:r w:rsidRPr="00AE549A">
        <w:rPr>
          <w:noProof/>
          <w:webHidden/>
        </w:rPr>
        <w:tab/>
      </w:r>
      <w:r w:rsidR="00484AA4" w:rsidRPr="00AE549A">
        <w:rPr>
          <w:noProof/>
          <w:webHidden/>
        </w:rPr>
        <w:tab/>
      </w:r>
      <w:r w:rsidR="00B161D7" w:rsidRPr="00AE549A">
        <w:rPr>
          <w:noProof/>
          <w:webHidden/>
        </w:rPr>
        <w:t>68–73</w:t>
      </w:r>
      <w:r w:rsidR="00484AA4" w:rsidRPr="00AE549A">
        <w:rPr>
          <w:noProof/>
          <w:webHidden/>
        </w:rPr>
        <w:tab/>
      </w:r>
      <w:r w:rsidR="00DC0A09" w:rsidRPr="00AE549A">
        <w:rPr>
          <w:noProof/>
          <w:webHidden/>
        </w:rPr>
        <w:t>1</w:t>
      </w:r>
      <w:r w:rsidR="00125136">
        <w:rPr>
          <w:noProof/>
          <w:webHidden/>
        </w:rPr>
        <w:t>5</w:t>
      </w:r>
    </w:p>
    <w:p w14:paraId="380D1383" w14:textId="77777777" w:rsidR="0009045D" w:rsidRPr="007550C2" w:rsidRDefault="0009045D" w:rsidP="00482E73">
      <w:pPr>
        <w:pStyle w:val="TOC1"/>
        <w:ind w:left="1134" w:hanging="1134"/>
        <w:rPr>
          <w:rFonts w:ascii="Calibri" w:eastAsia="Times New Roman" w:hAnsi="Calibri"/>
          <w:noProof/>
          <w:sz w:val="22"/>
          <w:szCs w:val="22"/>
          <w:lang w:eastAsia="en-US"/>
        </w:rPr>
      </w:pPr>
      <w:r w:rsidRPr="00AE549A">
        <w:rPr>
          <w:bCs/>
          <w:noProof/>
        </w:rPr>
        <w:tab/>
        <w:t>VII.</w:t>
      </w:r>
      <w:r w:rsidRPr="00AE549A">
        <w:rPr>
          <w:rFonts w:ascii="Calibri" w:eastAsia="Times New Roman" w:hAnsi="Calibri"/>
          <w:noProof/>
          <w:sz w:val="22"/>
          <w:szCs w:val="22"/>
          <w:lang w:eastAsia="en-US"/>
        </w:rPr>
        <w:tab/>
      </w:r>
      <w:r w:rsidRPr="00AE549A">
        <w:rPr>
          <w:noProof/>
        </w:rPr>
        <w:t>Matters relating to the least developed countries</w:t>
      </w:r>
      <w:r w:rsidR="00463737" w:rsidRPr="00AE549A">
        <w:rPr>
          <w:noProof/>
        </w:rPr>
        <w:t xml:space="preserve"> </w:t>
      </w:r>
      <w:r w:rsidR="00DC0A09" w:rsidRPr="00AE549A">
        <w:rPr>
          <w:noProof/>
        </w:rPr>
        <w:br/>
      </w:r>
      <w:r w:rsidRPr="00AE549A">
        <w:rPr>
          <w:bCs/>
          <w:noProof/>
        </w:rPr>
        <w:t>(Agenda item 7)</w:t>
      </w:r>
      <w:r w:rsidRPr="00AE549A">
        <w:rPr>
          <w:noProof/>
          <w:webHidden/>
        </w:rPr>
        <w:tab/>
      </w:r>
      <w:r w:rsidR="00484AA4" w:rsidRPr="00AE549A">
        <w:rPr>
          <w:noProof/>
          <w:webHidden/>
        </w:rPr>
        <w:tab/>
      </w:r>
      <w:r w:rsidR="00B161D7" w:rsidRPr="00AE549A">
        <w:rPr>
          <w:noProof/>
          <w:webHidden/>
        </w:rPr>
        <w:t>74–89</w:t>
      </w:r>
      <w:r w:rsidR="00484AA4" w:rsidRPr="00AE549A">
        <w:rPr>
          <w:noProof/>
          <w:webHidden/>
        </w:rPr>
        <w:tab/>
      </w:r>
      <w:r w:rsidR="00DC0A09" w:rsidRPr="007550C2">
        <w:rPr>
          <w:noProof/>
          <w:webHidden/>
        </w:rPr>
        <w:t>1</w:t>
      </w:r>
      <w:r w:rsidR="00125136">
        <w:rPr>
          <w:noProof/>
          <w:webHidden/>
        </w:rPr>
        <w:t>6</w:t>
      </w:r>
    </w:p>
    <w:p w14:paraId="68B254DD" w14:textId="77777777" w:rsidR="0009045D" w:rsidRPr="007550C2" w:rsidRDefault="0009045D" w:rsidP="00482E73">
      <w:pPr>
        <w:pStyle w:val="TOC1"/>
        <w:ind w:left="1134" w:hanging="1134"/>
        <w:rPr>
          <w:rFonts w:ascii="Calibri" w:eastAsia="Times New Roman" w:hAnsi="Calibri"/>
          <w:noProof/>
          <w:sz w:val="22"/>
          <w:szCs w:val="22"/>
          <w:lang w:eastAsia="en-US"/>
        </w:rPr>
      </w:pPr>
      <w:r w:rsidRPr="007550C2">
        <w:rPr>
          <w:noProof/>
        </w:rPr>
        <w:tab/>
        <w:t>VIII.</w:t>
      </w:r>
      <w:r w:rsidRPr="007550C2">
        <w:rPr>
          <w:rFonts w:ascii="Calibri" w:eastAsia="Times New Roman" w:hAnsi="Calibri"/>
          <w:noProof/>
          <w:sz w:val="22"/>
          <w:szCs w:val="22"/>
          <w:lang w:eastAsia="en-US"/>
        </w:rPr>
        <w:tab/>
      </w:r>
      <w:r w:rsidRPr="007550C2">
        <w:rPr>
          <w:noProof/>
        </w:rPr>
        <w:t>National adaptation plans</w:t>
      </w:r>
      <w:r w:rsidR="00463737" w:rsidRPr="007550C2">
        <w:rPr>
          <w:noProof/>
        </w:rPr>
        <w:t xml:space="preserve"> </w:t>
      </w:r>
      <w:r w:rsidR="00DC0A09" w:rsidRPr="007550C2">
        <w:rPr>
          <w:noProof/>
        </w:rPr>
        <w:br/>
      </w:r>
      <w:r w:rsidRPr="007550C2">
        <w:rPr>
          <w:bCs/>
          <w:noProof/>
        </w:rPr>
        <w:t>(Agenda item 8)</w:t>
      </w:r>
      <w:r w:rsidRPr="000238B6">
        <w:rPr>
          <w:noProof/>
          <w:webHidden/>
        </w:rPr>
        <w:tab/>
      </w:r>
      <w:r w:rsidR="00484AA4" w:rsidRPr="000238B6">
        <w:rPr>
          <w:noProof/>
          <w:webHidden/>
        </w:rPr>
        <w:tab/>
      </w:r>
      <w:r w:rsidR="00B161D7" w:rsidRPr="000238B6">
        <w:rPr>
          <w:noProof/>
          <w:webHidden/>
        </w:rPr>
        <w:t>90–110</w:t>
      </w:r>
      <w:r w:rsidR="00484AA4" w:rsidRPr="000238B6">
        <w:rPr>
          <w:noProof/>
          <w:webHidden/>
        </w:rPr>
        <w:tab/>
      </w:r>
      <w:r w:rsidR="00DC0A09" w:rsidRPr="007550C2">
        <w:rPr>
          <w:noProof/>
          <w:webHidden/>
        </w:rPr>
        <w:t>1</w:t>
      </w:r>
      <w:r w:rsidR="00125136">
        <w:rPr>
          <w:noProof/>
          <w:webHidden/>
        </w:rPr>
        <w:t>7</w:t>
      </w:r>
    </w:p>
    <w:p w14:paraId="1C6E9F0B" w14:textId="77777777" w:rsidR="0009045D" w:rsidRPr="007550C2" w:rsidRDefault="0009045D" w:rsidP="00484AA4">
      <w:pPr>
        <w:pStyle w:val="TOC1"/>
        <w:ind w:left="1134" w:hanging="1134"/>
        <w:rPr>
          <w:rFonts w:ascii="Calibri" w:eastAsia="Times New Roman" w:hAnsi="Calibri"/>
          <w:noProof/>
          <w:sz w:val="22"/>
          <w:szCs w:val="22"/>
          <w:lang w:eastAsia="en-US"/>
        </w:rPr>
      </w:pPr>
      <w:r w:rsidRPr="007550C2">
        <w:rPr>
          <w:bCs/>
          <w:noProof/>
        </w:rPr>
        <w:tab/>
        <w:t>IX.</w:t>
      </w:r>
      <w:r w:rsidRPr="007550C2">
        <w:rPr>
          <w:rFonts w:ascii="Calibri" w:eastAsia="Times New Roman" w:hAnsi="Calibri"/>
          <w:noProof/>
          <w:sz w:val="22"/>
          <w:szCs w:val="22"/>
          <w:lang w:eastAsia="en-US"/>
        </w:rPr>
        <w:tab/>
      </w:r>
      <w:r w:rsidRPr="007550C2">
        <w:rPr>
          <w:noProof/>
        </w:rPr>
        <w:t>Warsaw International Mechanism for Loss and Damage associated</w:t>
      </w:r>
      <w:r w:rsidR="00484AA4" w:rsidRPr="007550C2">
        <w:rPr>
          <w:noProof/>
        </w:rPr>
        <w:br/>
      </w:r>
      <w:r w:rsidRPr="007550C2">
        <w:rPr>
          <w:noProof/>
        </w:rPr>
        <w:t>with Climate Change Impacts</w:t>
      </w:r>
      <w:r w:rsidR="00463737" w:rsidRPr="007550C2">
        <w:rPr>
          <w:noProof/>
        </w:rPr>
        <w:t xml:space="preserve"> </w:t>
      </w:r>
      <w:r w:rsidR="00DC0A09" w:rsidRPr="007550C2">
        <w:rPr>
          <w:noProof/>
        </w:rPr>
        <w:br/>
      </w:r>
      <w:r w:rsidRPr="000238B6">
        <w:rPr>
          <w:bCs/>
          <w:noProof/>
        </w:rPr>
        <w:t>(Agenda item 9)</w:t>
      </w:r>
      <w:r w:rsidRPr="000238B6">
        <w:rPr>
          <w:noProof/>
          <w:webHidden/>
        </w:rPr>
        <w:tab/>
      </w:r>
      <w:r w:rsidR="00484AA4" w:rsidRPr="000238B6">
        <w:rPr>
          <w:noProof/>
          <w:webHidden/>
        </w:rPr>
        <w:tab/>
      </w:r>
      <w:r w:rsidR="00B161D7" w:rsidRPr="000238B6">
        <w:rPr>
          <w:noProof/>
          <w:webHidden/>
        </w:rPr>
        <w:t>111–115</w:t>
      </w:r>
      <w:r w:rsidR="00484AA4" w:rsidRPr="00324DA3">
        <w:rPr>
          <w:noProof/>
          <w:webHidden/>
        </w:rPr>
        <w:tab/>
      </w:r>
      <w:r w:rsidR="00125136">
        <w:rPr>
          <w:noProof/>
          <w:webHidden/>
        </w:rPr>
        <w:t>20</w:t>
      </w:r>
    </w:p>
    <w:p w14:paraId="5AD82D08" w14:textId="77777777" w:rsidR="0009045D" w:rsidRPr="007550C2" w:rsidRDefault="0009045D" w:rsidP="00482E73">
      <w:pPr>
        <w:pStyle w:val="TOC1"/>
        <w:ind w:left="1134" w:hanging="1134"/>
        <w:rPr>
          <w:rFonts w:ascii="Calibri" w:eastAsia="Times New Roman" w:hAnsi="Calibri"/>
          <w:noProof/>
          <w:sz w:val="22"/>
          <w:szCs w:val="22"/>
          <w:lang w:eastAsia="en-US"/>
        </w:rPr>
      </w:pPr>
      <w:r w:rsidRPr="007550C2">
        <w:rPr>
          <w:bCs/>
          <w:noProof/>
        </w:rPr>
        <w:tab/>
        <w:t>X.</w:t>
      </w:r>
      <w:r w:rsidRPr="007550C2">
        <w:rPr>
          <w:rFonts w:ascii="Calibri" w:eastAsia="Times New Roman" w:hAnsi="Calibri"/>
          <w:noProof/>
          <w:sz w:val="22"/>
          <w:szCs w:val="22"/>
          <w:lang w:eastAsia="en-US"/>
        </w:rPr>
        <w:tab/>
      </w:r>
      <w:r w:rsidRPr="007550C2">
        <w:rPr>
          <w:noProof/>
        </w:rPr>
        <w:t>Second review of the Adaptation Fund</w:t>
      </w:r>
      <w:r w:rsidR="00463737" w:rsidRPr="007550C2">
        <w:rPr>
          <w:noProof/>
        </w:rPr>
        <w:t xml:space="preserve"> </w:t>
      </w:r>
      <w:r w:rsidR="00DC0A09" w:rsidRPr="007550C2">
        <w:rPr>
          <w:noProof/>
        </w:rPr>
        <w:br/>
      </w:r>
      <w:r w:rsidRPr="007550C2">
        <w:rPr>
          <w:bCs/>
          <w:noProof/>
        </w:rPr>
        <w:t>(Agenda item 10)</w:t>
      </w:r>
      <w:r w:rsidRPr="000238B6">
        <w:rPr>
          <w:noProof/>
          <w:webHidden/>
        </w:rPr>
        <w:tab/>
      </w:r>
      <w:r w:rsidR="00484AA4" w:rsidRPr="000238B6">
        <w:rPr>
          <w:noProof/>
          <w:webHidden/>
        </w:rPr>
        <w:tab/>
      </w:r>
      <w:r w:rsidR="00B161D7" w:rsidRPr="000238B6">
        <w:rPr>
          <w:noProof/>
          <w:webHidden/>
        </w:rPr>
        <w:t>116–128</w:t>
      </w:r>
      <w:r w:rsidR="00484AA4" w:rsidRPr="000238B6">
        <w:rPr>
          <w:noProof/>
          <w:webHidden/>
        </w:rPr>
        <w:tab/>
      </w:r>
      <w:r w:rsidR="00125136">
        <w:rPr>
          <w:noProof/>
          <w:webHidden/>
        </w:rPr>
        <w:t>20</w:t>
      </w:r>
    </w:p>
    <w:p w14:paraId="3244630D" w14:textId="77777777" w:rsidR="0009045D" w:rsidRPr="007550C2" w:rsidRDefault="0009045D" w:rsidP="00484AA4">
      <w:pPr>
        <w:pStyle w:val="TOC1"/>
        <w:ind w:left="1134" w:hanging="1134"/>
        <w:rPr>
          <w:rFonts w:ascii="Calibri" w:eastAsia="Times New Roman" w:hAnsi="Calibri"/>
          <w:noProof/>
          <w:sz w:val="22"/>
          <w:szCs w:val="22"/>
          <w:lang w:eastAsia="en-US"/>
        </w:rPr>
      </w:pPr>
      <w:r w:rsidRPr="007550C2">
        <w:rPr>
          <w:noProof/>
          <w:lang w:eastAsia="en-US"/>
        </w:rPr>
        <w:tab/>
        <w:t>XI.</w:t>
      </w:r>
      <w:r w:rsidRPr="007550C2">
        <w:rPr>
          <w:rFonts w:ascii="Calibri" w:eastAsia="Times New Roman" w:hAnsi="Calibri"/>
          <w:noProof/>
          <w:sz w:val="22"/>
          <w:szCs w:val="22"/>
          <w:lang w:eastAsia="en-US"/>
        </w:rPr>
        <w:tab/>
      </w:r>
      <w:r w:rsidRPr="007550C2">
        <w:rPr>
          <w:noProof/>
        </w:rPr>
        <w:t>Development and transfer of technologies and implementation</w:t>
      </w:r>
      <w:r w:rsidR="00484AA4" w:rsidRPr="007550C2">
        <w:rPr>
          <w:noProof/>
        </w:rPr>
        <w:br/>
      </w:r>
      <w:r w:rsidRPr="007550C2">
        <w:rPr>
          <w:noProof/>
        </w:rPr>
        <w:t xml:space="preserve">of the Technology Mechanism </w:t>
      </w:r>
      <w:r w:rsidR="00DC0A09" w:rsidRPr="007550C2">
        <w:rPr>
          <w:noProof/>
        </w:rPr>
        <w:br/>
      </w:r>
      <w:r w:rsidRPr="000238B6">
        <w:rPr>
          <w:noProof/>
          <w:lang w:eastAsia="en-US"/>
        </w:rPr>
        <w:t>(Agenda item 11)</w:t>
      </w:r>
      <w:r w:rsidRPr="000238B6">
        <w:rPr>
          <w:noProof/>
          <w:webHidden/>
        </w:rPr>
        <w:tab/>
      </w:r>
      <w:r w:rsidR="00484AA4" w:rsidRPr="000238B6">
        <w:rPr>
          <w:noProof/>
          <w:webHidden/>
        </w:rPr>
        <w:tab/>
      </w:r>
      <w:r w:rsidR="00B161D7" w:rsidRPr="000238B6">
        <w:rPr>
          <w:noProof/>
          <w:webHidden/>
        </w:rPr>
        <w:t>129–145</w:t>
      </w:r>
      <w:r w:rsidR="00484AA4" w:rsidRPr="00324DA3">
        <w:rPr>
          <w:noProof/>
          <w:webHidden/>
        </w:rPr>
        <w:tab/>
      </w:r>
      <w:r w:rsidR="00DC0A09" w:rsidRPr="007550C2">
        <w:rPr>
          <w:noProof/>
          <w:webHidden/>
        </w:rPr>
        <w:t>2</w:t>
      </w:r>
      <w:r w:rsidR="00125136">
        <w:rPr>
          <w:noProof/>
          <w:webHidden/>
        </w:rPr>
        <w:t>2</w:t>
      </w:r>
    </w:p>
    <w:p w14:paraId="0498A6B8" w14:textId="77777777" w:rsidR="0009045D" w:rsidRPr="00AE549A" w:rsidRDefault="0009045D" w:rsidP="00484AA4">
      <w:pPr>
        <w:pStyle w:val="TOC2"/>
        <w:ind w:left="1559" w:hanging="1559"/>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Joint annual report of the Technology Executive Committee and</w:t>
      </w:r>
      <w:r w:rsidR="00484AA4" w:rsidRPr="007550C2">
        <w:rPr>
          <w:noProof/>
        </w:rPr>
        <w:br/>
      </w:r>
      <w:r w:rsidRPr="007550C2">
        <w:rPr>
          <w:noProof/>
        </w:rPr>
        <w:t>the Climate Technology Centre and Network for 2013</w:t>
      </w:r>
      <w:r w:rsidRPr="007550C2">
        <w:rPr>
          <w:noProof/>
          <w:webHidden/>
        </w:rPr>
        <w:tab/>
      </w:r>
      <w:r w:rsidR="00484AA4" w:rsidRPr="000238B6">
        <w:rPr>
          <w:noProof/>
          <w:webHidden/>
        </w:rPr>
        <w:tab/>
      </w:r>
      <w:r w:rsidR="00B161D7" w:rsidRPr="000238B6">
        <w:rPr>
          <w:noProof/>
          <w:webHidden/>
        </w:rPr>
        <w:t>129–134</w:t>
      </w:r>
      <w:r w:rsidR="00484AA4" w:rsidRPr="000238B6">
        <w:rPr>
          <w:noProof/>
          <w:webHidden/>
        </w:rPr>
        <w:tab/>
      </w:r>
      <w:r w:rsidR="00DC0A09" w:rsidRPr="00AE549A">
        <w:rPr>
          <w:noProof/>
          <w:webHidden/>
        </w:rPr>
        <w:t>2</w:t>
      </w:r>
      <w:r w:rsidR="00125136">
        <w:rPr>
          <w:noProof/>
          <w:webHidden/>
        </w:rPr>
        <w:t>2</w:t>
      </w:r>
    </w:p>
    <w:p w14:paraId="6F408EC6" w14:textId="77777777" w:rsidR="0009045D" w:rsidRPr="00AE549A" w:rsidRDefault="0009045D">
      <w:pPr>
        <w:pStyle w:val="TOC2"/>
        <w:rPr>
          <w:rFonts w:ascii="Calibri" w:eastAsia="Times New Roman" w:hAnsi="Calibri"/>
          <w:noProof/>
          <w:sz w:val="22"/>
          <w:szCs w:val="22"/>
          <w:lang w:eastAsia="en-US"/>
        </w:rPr>
      </w:pPr>
      <w:r w:rsidRPr="00AE549A">
        <w:rPr>
          <w:noProof/>
          <w:lang w:eastAsia="en-US"/>
        </w:rPr>
        <w:tab/>
      </w:r>
      <w:r w:rsidRPr="00AE549A">
        <w:rPr>
          <w:noProof/>
          <w:lang w:eastAsia="en-US"/>
        </w:rPr>
        <w:tab/>
        <w:t>B.</w:t>
      </w:r>
      <w:r w:rsidRPr="00AE549A">
        <w:rPr>
          <w:rFonts w:ascii="Calibri" w:eastAsia="Times New Roman" w:hAnsi="Calibri"/>
          <w:noProof/>
          <w:sz w:val="22"/>
          <w:szCs w:val="22"/>
          <w:lang w:eastAsia="en-US"/>
        </w:rPr>
        <w:tab/>
      </w:r>
      <w:r w:rsidRPr="00AE549A">
        <w:rPr>
          <w:noProof/>
        </w:rPr>
        <w:t>Poznan strategic programme on technology transfer</w:t>
      </w:r>
      <w:r w:rsidRPr="00AE549A">
        <w:rPr>
          <w:noProof/>
          <w:webHidden/>
        </w:rPr>
        <w:tab/>
      </w:r>
      <w:r w:rsidR="00484AA4" w:rsidRPr="00AE549A">
        <w:rPr>
          <w:noProof/>
          <w:webHidden/>
        </w:rPr>
        <w:tab/>
      </w:r>
      <w:r w:rsidR="00B161D7" w:rsidRPr="00AE549A">
        <w:rPr>
          <w:noProof/>
          <w:webHidden/>
        </w:rPr>
        <w:t>135–145</w:t>
      </w:r>
      <w:r w:rsidR="00484AA4" w:rsidRPr="00AE549A">
        <w:rPr>
          <w:noProof/>
          <w:webHidden/>
        </w:rPr>
        <w:tab/>
      </w:r>
      <w:r w:rsidR="00DC0A09" w:rsidRPr="00AE549A">
        <w:rPr>
          <w:noProof/>
          <w:webHidden/>
        </w:rPr>
        <w:t>2</w:t>
      </w:r>
      <w:r w:rsidR="00125136">
        <w:rPr>
          <w:noProof/>
          <w:webHidden/>
        </w:rPr>
        <w:t>2</w:t>
      </w:r>
    </w:p>
    <w:p w14:paraId="1AB22909"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AE549A">
        <w:rPr>
          <w:noProof/>
        </w:rPr>
        <w:tab/>
        <w:t>XII.</w:t>
      </w:r>
      <w:r w:rsidRPr="00AE549A">
        <w:rPr>
          <w:rFonts w:ascii="Calibri" w:eastAsia="Times New Roman" w:hAnsi="Calibri"/>
          <w:noProof/>
          <w:sz w:val="22"/>
          <w:szCs w:val="22"/>
          <w:lang w:eastAsia="en-US"/>
        </w:rPr>
        <w:tab/>
      </w:r>
      <w:r w:rsidRPr="00AE549A">
        <w:rPr>
          <w:noProof/>
        </w:rPr>
        <w:t>Capacity-building</w:t>
      </w:r>
      <w:r w:rsidR="00F848B8">
        <w:rPr>
          <w:noProof/>
        </w:rPr>
        <w:t xml:space="preserve"> </w:t>
      </w:r>
      <w:r w:rsidR="00DC0A09" w:rsidRPr="007550C2">
        <w:rPr>
          <w:noProof/>
        </w:rPr>
        <w:br/>
      </w:r>
      <w:r w:rsidRPr="007550C2">
        <w:rPr>
          <w:noProof/>
          <w:lang w:eastAsia="en-US"/>
        </w:rPr>
        <w:t>(Agenda item 12)</w:t>
      </w:r>
      <w:r w:rsidRPr="007550C2">
        <w:rPr>
          <w:noProof/>
          <w:webHidden/>
        </w:rPr>
        <w:tab/>
      </w:r>
      <w:r w:rsidR="00484AA4" w:rsidRPr="007550C2">
        <w:rPr>
          <w:noProof/>
          <w:webHidden/>
        </w:rPr>
        <w:tab/>
      </w:r>
      <w:r w:rsidR="00B161D7" w:rsidRPr="007550C2">
        <w:rPr>
          <w:noProof/>
          <w:webHidden/>
        </w:rPr>
        <w:t>146–159</w:t>
      </w:r>
      <w:r w:rsidR="00484AA4" w:rsidRPr="007550C2">
        <w:rPr>
          <w:noProof/>
          <w:webHidden/>
        </w:rPr>
        <w:tab/>
      </w:r>
      <w:r w:rsidR="00DC0A09" w:rsidRPr="007550C2">
        <w:rPr>
          <w:noProof/>
          <w:webHidden/>
        </w:rPr>
        <w:t>2</w:t>
      </w:r>
      <w:r w:rsidR="00125136">
        <w:rPr>
          <w:noProof/>
          <w:webHidden/>
        </w:rPr>
        <w:t>4</w:t>
      </w:r>
    </w:p>
    <w:p w14:paraId="3FDCEF59" w14:textId="77777777" w:rsidR="0009045D" w:rsidRPr="00AE549A" w:rsidRDefault="0009045D">
      <w:pPr>
        <w:pStyle w:val="TOC2"/>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Capacit</w:t>
      </w:r>
      <w:r w:rsidR="00463737" w:rsidRPr="007550C2">
        <w:rPr>
          <w:noProof/>
        </w:rPr>
        <w:t>y-building under the Convention</w:t>
      </w:r>
      <w:r w:rsidRPr="007550C2">
        <w:rPr>
          <w:noProof/>
          <w:webHidden/>
        </w:rPr>
        <w:tab/>
      </w:r>
      <w:r w:rsidR="00484AA4" w:rsidRPr="007550C2">
        <w:rPr>
          <w:noProof/>
          <w:webHidden/>
        </w:rPr>
        <w:tab/>
      </w:r>
      <w:r w:rsidR="00736734" w:rsidRPr="007550C2">
        <w:rPr>
          <w:noProof/>
          <w:webHidden/>
        </w:rPr>
        <w:t>146–152</w:t>
      </w:r>
      <w:r w:rsidR="00484AA4" w:rsidRPr="000238B6">
        <w:rPr>
          <w:noProof/>
          <w:webHidden/>
        </w:rPr>
        <w:tab/>
      </w:r>
      <w:r w:rsidR="00DC0A09" w:rsidRPr="00AE549A">
        <w:rPr>
          <w:noProof/>
          <w:webHidden/>
        </w:rPr>
        <w:t>2</w:t>
      </w:r>
      <w:r w:rsidR="00125136">
        <w:rPr>
          <w:noProof/>
          <w:webHidden/>
        </w:rPr>
        <w:t>4</w:t>
      </w:r>
    </w:p>
    <w:p w14:paraId="19D70233" w14:textId="77777777" w:rsidR="0009045D" w:rsidRPr="00AE549A" w:rsidRDefault="0009045D">
      <w:pPr>
        <w:pStyle w:val="TOC2"/>
        <w:rPr>
          <w:rFonts w:ascii="Calibri" w:eastAsia="Times New Roman" w:hAnsi="Calibri"/>
          <w:noProof/>
          <w:sz w:val="22"/>
          <w:szCs w:val="22"/>
          <w:lang w:eastAsia="en-US"/>
        </w:rPr>
      </w:pPr>
      <w:r w:rsidRPr="00AE549A">
        <w:rPr>
          <w:noProof/>
          <w:lang w:eastAsia="en-US"/>
        </w:rPr>
        <w:tab/>
      </w:r>
      <w:r w:rsidRPr="00AE549A">
        <w:rPr>
          <w:noProof/>
          <w:lang w:eastAsia="en-US"/>
        </w:rPr>
        <w:tab/>
        <w:t>B.</w:t>
      </w:r>
      <w:r w:rsidRPr="00AE549A">
        <w:rPr>
          <w:rFonts w:ascii="Calibri" w:eastAsia="Times New Roman" w:hAnsi="Calibri"/>
          <w:noProof/>
          <w:sz w:val="22"/>
          <w:szCs w:val="22"/>
          <w:lang w:eastAsia="en-US"/>
        </w:rPr>
        <w:tab/>
      </w:r>
      <w:r w:rsidRPr="00AE549A">
        <w:rPr>
          <w:noProof/>
        </w:rPr>
        <w:t>Capacity-building under the Kyoto Protocol</w:t>
      </w:r>
      <w:r w:rsidRPr="00AE549A">
        <w:rPr>
          <w:noProof/>
          <w:webHidden/>
        </w:rPr>
        <w:tab/>
      </w:r>
      <w:r w:rsidR="00484AA4" w:rsidRPr="00AE549A">
        <w:rPr>
          <w:noProof/>
          <w:webHidden/>
        </w:rPr>
        <w:tab/>
      </w:r>
      <w:r w:rsidR="00736734" w:rsidRPr="00AE549A">
        <w:rPr>
          <w:noProof/>
          <w:webHidden/>
        </w:rPr>
        <w:t>153–159</w:t>
      </w:r>
      <w:r w:rsidR="00484AA4" w:rsidRPr="00AE549A">
        <w:rPr>
          <w:noProof/>
          <w:webHidden/>
        </w:rPr>
        <w:tab/>
      </w:r>
      <w:r w:rsidR="00DC0A09" w:rsidRPr="00AE549A">
        <w:rPr>
          <w:noProof/>
          <w:webHidden/>
        </w:rPr>
        <w:t>2</w:t>
      </w:r>
      <w:r w:rsidR="00125136">
        <w:rPr>
          <w:noProof/>
          <w:webHidden/>
        </w:rPr>
        <w:t>4</w:t>
      </w:r>
    </w:p>
    <w:p w14:paraId="687C2256" w14:textId="77777777" w:rsidR="0009045D" w:rsidRPr="007550C2" w:rsidRDefault="0009045D" w:rsidP="00484AA4">
      <w:pPr>
        <w:pStyle w:val="TOC1"/>
        <w:ind w:left="1134" w:hanging="1134"/>
        <w:rPr>
          <w:rFonts w:ascii="Calibri" w:eastAsia="Times New Roman" w:hAnsi="Calibri"/>
          <w:noProof/>
          <w:sz w:val="22"/>
          <w:szCs w:val="22"/>
          <w:lang w:eastAsia="en-US"/>
        </w:rPr>
      </w:pPr>
      <w:r w:rsidRPr="00AE549A">
        <w:rPr>
          <w:noProof/>
          <w:lang w:eastAsia="en-US"/>
        </w:rPr>
        <w:tab/>
        <w:t>XIII.</w:t>
      </w:r>
      <w:r w:rsidRPr="00AE549A">
        <w:rPr>
          <w:rFonts w:ascii="Calibri" w:eastAsia="Times New Roman" w:hAnsi="Calibri"/>
          <w:noProof/>
          <w:sz w:val="22"/>
          <w:szCs w:val="22"/>
          <w:lang w:eastAsia="en-US"/>
        </w:rPr>
        <w:tab/>
      </w:r>
      <w:r w:rsidRPr="00AE549A">
        <w:rPr>
          <w:noProof/>
        </w:rPr>
        <w:t>Parties included in Annex I to the Convention whose special circumstances</w:t>
      </w:r>
      <w:r w:rsidR="00484AA4" w:rsidRPr="00AE549A">
        <w:rPr>
          <w:noProof/>
        </w:rPr>
        <w:br/>
      </w:r>
      <w:r w:rsidRPr="00AE549A">
        <w:rPr>
          <w:noProof/>
        </w:rPr>
        <w:t>are recognized by the Conference of the Parties</w:t>
      </w:r>
      <w:r w:rsidR="00F848B8">
        <w:rPr>
          <w:noProof/>
        </w:rPr>
        <w:t xml:space="preserve"> </w:t>
      </w:r>
      <w:r w:rsidR="00DC0A09" w:rsidRPr="007550C2">
        <w:rPr>
          <w:noProof/>
        </w:rPr>
        <w:br/>
      </w:r>
      <w:r w:rsidRPr="007550C2">
        <w:rPr>
          <w:noProof/>
          <w:lang w:eastAsia="en-US"/>
        </w:rPr>
        <w:t>(Agenda item 13)</w:t>
      </w:r>
      <w:r w:rsidRPr="007550C2">
        <w:rPr>
          <w:noProof/>
          <w:webHidden/>
        </w:rPr>
        <w:tab/>
      </w:r>
      <w:r w:rsidR="00484AA4" w:rsidRPr="007550C2">
        <w:rPr>
          <w:noProof/>
          <w:webHidden/>
        </w:rPr>
        <w:tab/>
      </w:r>
      <w:r w:rsidR="00736734" w:rsidRPr="007550C2">
        <w:rPr>
          <w:noProof/>
          <w:webHidden/>
        </w:rPr>
        <w:t>160–165</w:t>
      </w:r>
      <w:r w:rsidR="00484AA4" w:rsidRPr="007550C2">
        <w:rPr>
          <w:noProof/>
          <w:webHidden/>
        </w:rPr>
        <w:tab/>
      </w:r>
      <w:r w:rsidR="00DC0A09" w:rsidRPr="007550C2">
        <w:rPr>
          <w:noProof/>
          <w:webHidden/>
        </w:rPr>
        <w:t>2</w:t>
      </w:r>
      <w:r w:rsidR="00125136">
        <w:rPr>
          <w:noProof/>
          <w:webHidden/>
        </w:rPr>
        <w:t>5</w:t>
      </w:r>
    </w:p>
    <w:p w14:paraId="7D3E25D7"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7550C2">
        <w:rPr>
          <w:noProof/>
        </w:rPr>
        <w:tab/>
        <w:t>XIV.</w:t>
      </w:r>
      <w:r w:rsidRPr="007550C2">
        <w:rPr>
          <w:rFonts w:ascii="Calibri" w:eastAsia="Times New Roman" w:hAnsi="Calibri"/>
          <w:noProof/>
          <w:sz w:val="22"/>
          <w:szCs w:val="22"/>
          <w:lang w:eastAsia="en-US"/>
        </w:rPr>
        <w:tab/>
      </w:r>
      <w:r w:rsidRPr="007550C2">
        <w:rPr>
          <w:noProof/>
        </w:rPr>
        <w:t>Article 6 of the Convention</w:t>
      </w:r>
      <w:r w:rsidR="00F848B8">
        <w:rPr>
          <w:noProof/>
        </w:rPr>
        <w:t xml:space="preserve"> </w:t>
      </w:r>
      <w:r w:rsidR="00DC0A09" w:rsidRPr="007550C2">
        <w:rPr>
          <w:noProof/>
        </w:rPr>
        <w:br/>
      </w:r>
      <w:r w:rsidRPr="007550C2">
        <w:rPr>
          <w:noProof/>
          <w:lang w:eastAsia="en-US"/>
        </w:rPr>
        <w:t>(Agenda item 14)</w:t>
      </w:r>
      <w:r w:rsidRPr="007550C2">
        <w:rPr>
          <w:noProof/>
          <w:webHidden/>
        </w:rPr>
        <w:tab/>
      </w:r>
      <w:r w:rsidR="00484AA4" w:rsidRPr="007550C2">
        <w:rPr>
          <w:noProof/>
          <w:webHidden/>
        </w:rPr>
        <w:tab/>
      </w:r>
      <w:r w:rsidR="00736734" w:rsidRPr="007550C2">
        <w:rPr>
          <w:noProof/>
          <w:webHidden/>
        </w:rPr>
        <w:t>166–173</w:t>
      </w:r>
      <w:r w:rsidR="00484AA4" w:rsidRPr="007550C2">
        <w:rPr>
          <w:noProof/>
          <w:webHidden/>
        </w:rPr>
        <w:tab/>
      </w:r>
      <w:r w:rsidR="00DC0A09" w:rsidRPr="007550C2">
        <w:rPr>
          <w:noProof/>
          <w:webHidden/>
        </w:rPr>
        <w:t>2</w:t>
      </w:r>
      <w:r w:rsidR="00125136">
        <w:rPr>
          <w:noProof/>
          <w:webHidden/>
        </w:rPr>
        <w:t>6</w:t>
      </w:r>
    </w:p>
    <w:p w14:paraId="543E98D3"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7550C2">
        <w:rPr>
          <w:noProof/>
          <w:lang w:eastAsia="en-US"/>
        </w:rPr>
        <w:tab/>
        <w:t>XV.</w:t>
      </w:r>
      <w:r w:rsidRPr="007550C2">
        <w:rPr>
          <w:rFonts w:ascii="Calibri" w:eastAsia="Times New Roman" w:hAnsi="Calibri"/>
          <w:noProof/>
          <w:sz w:val="22"/>
          <w:szCs w:val="22"/>
          <w:lang w:eastAsia="en-US"/>
        </w:rPr>
        <w:tab/>
      </w:r>
      <w:r w:rsidRPr="007550C2">
        <w:rPr>
          <w:noProof/>
        </w:rPr>
        <w:t>Impact of the implementation of response measures</w:t>
      </w:r>
      <w:r w:rsidR="00F848B8">
        <w:rPr>
          <w:noProof/>
        </w:rPr>
        <w:t xml:space="preserve"> </w:t>
      </w:r>
      <w:r w:rsidR="00DC0A09" w:rsidRPr="007550C2">
        <w:rPr>
          <w:noProof/>
        </w:rPr>
        <w:br/>
      </w:r>
      <w:r w:rsidRPr="007550C2">
        <w:rPr>
          <w:noProof/>
          <w:lang w:eastAsia="en-US"/>
        </w:rPr>
        <w:t>(Agenda item 15)</w:t>
      </w:r>
      <w:r w:rsidRPr="007550C2">
        <w:rPr>
          <w:noProof/>
          <w:webHidden/>
        </w:rPr>
        <w:tab/>
      </w:r>
      <w:r w:rsidR="00484AA4" w:rsidRPr="007550C2">
        <w:rPr>
          <w:noProof/>
          <w:webHidden/>
        </w:rPr>
        <w:tab/>
      </w:r>
      <w:r w:rsidR="00736734" w:rsidRPr="007550C2">
        <w:rPr>
          <w:noProof/>
          <w:webHidden/>
        </w:rPr>
        <w:t>174–186</w:t>
      </w:r>
      <w:r w:rsidR="00484AA4" w:rsidRPr="007550C2">
        <w:rPr>
          <w:noProof/>
          <w:webHidden/>
        </w:rPr>
        <w:tab/>
      </w:r>
      <w:r w:rsidR="00DC0A09" w:rsidRPr="007550C2">
        <w:rPr>
          <w:noProof/>
          <w:webHidden/>
        </w:rPr>
        <w:t>2</w:t>
      </w:r>
      <w:r w:rsidR="00125136">
        <w:rPr>
          <w:noProof/>
          <w:webHidden/>
        </w:rPr>
        <w:t>6</w:t>
      </w:r>
    </w:p>
    <w:p w14:paraId="0079A9E7" w14:textId="77777777" w:rsidR="0009045D" w:rsidRPr="00AE549A" w:rsidRDefault="0009045D">
      <w:pPr>
        <w:pStyle w:val="TOC2"/>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 xml:space="preserve">Forum and work programme </w:t>
      </w:r>
      <w:r w:rsidRPr="007550C2">
        <w:rPr>
          <w:noProof/>
          <w:webHidden/>
        </w:rPr>
        <w:tab/>
      </w:r>
      <w:r w:rsidR="00484AA4" w:rsidRPr="007550C2">
        <w:rPr>
          <w:noProof/>
          <w:webHidden/>
        </w:rPr>
        <w:tab/>
      </w:r>
      <w:r w:rsidR="00736734" w:rsidRPr="007550C2">
        <w:rPr>
          <w:noProof/>
          <w:webHidden/>
        </w:rPr>
        <w:t>174–182</w:t>
      </w:r>
      <w:r w:rsidR="00484AA4" w:rsidRPr="007550C2">
        <w:rPr>
          <w:noProof/>
          <w:webHidden/>
        </w:rPr>
        <w:tab/>
      </w:r>
      <w:r w:rsidR="00DC0A09" w:rsidRPr="00AE549A">
        <w:rPr>
          <w:noProof/>
          <w:webHidden/>
        </w:rPr>
        <w:t>2</w:t>
      </w:r>
      <w:r w:rsidR="00125136">
        <w:rPr>
          <w:noProof/>
          <w:webHidden/>
        </w:rPr>
        <w:t>6</w:t>
      </w:r>
    </w:p>
    <w:p w14:paraId="5677AED3" w14:textId="77777777" w:rsidR="0009045D" w:rsidRPr="00AE549A" w:rsidRDefault="0009045D" w:rsidP="00484AA4">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B.</w:t>
      </w:r>
      <w:r w:rsidRPr="00AE549A">
        <w:rPr>
          <w:rFonts w:ascii="Calibri" w:eastAsia="Times New Roman" w:hAnsi="Calibri"/>
          <w:noProof/>
          <w:sz w:val="22"/>
          <w:szCs w:val="22"/>
          <w:lang w:eastAsia="en-US"/>
        </w:rPr>
        <w:tab/>
      </w:r>
      <w:r w:rsidRPr="00AE549A">
        <w:rPr>
          <w:noProof/>
        </w:rPr>
        <w:t>Matters relating to Article 3, paragraph 14, of the Kyoto Protocol</w:t>
      </w:r>
      <w:r w:rsidRPr="00AE549A">
        <w:rPr>
          <w:noProof/>
          <w:webHidden/>
        </w:rPr>
        <w:tab/>
      </w:r>
      <w:r w:rsidR="00484AA4" w:rsidRPr="00AE549A">
        <w:rPr>
          <w:noProof/>
          <w:webHidden/>
        </w:rPr>
        <w:tab/>
      </w:r>
      <w:r w:rsidR="00736734" w:rsidRPr="00AE549A">
        <w:rPr>
          <w:noProof/>
          <w:webHidden/>
        </w:rPr>
        <w:t>183–184</w:t>
      </w:r>
      <w:r w:rsidR="00484AA4" w:rsidRPr="00AE549A">
        <w:rPr>
          <w:noProof/>
          <w:webHidden/>
        </w:rPr>
        <w:tab/>
      </w:r>
      <w:r w:rsidR="00DC0A09" w:rsidRPr="00AE549A">
        <w:rPr>
          <w:noProof/>
          <w:webHidden/>
        </w:rPr>
        <w:t>2</w:t>
      </w:r>
      <w:r w:rsidR="00125136">
        <w:rPr>
          <w:noProof/>
          <w:webHidden/>
        </w:rPr>
        <w:t>8</w:t>
      </w:r>
    </w:p>
    <w:p w14:paraId="487ABF6D" w14:textId="77777777" w:rsidR="0009045D" w:rsidRPr="00AE549A" w:rsidRDefault="0009045D">
      <w:pPr>
        <w:pStyle w:val="TOC2"/>
        <w:rPr>
          <w:rFonts w:ascii="Calibri" w:eastAsia="Times New Roman" w:hAnsi="Calibri"/>
          <w:noProof/>
          <w:sz w:val="22"/>
          <w:szCs w:val="22"/>
          <w:lang w:eastAsia="en-US"/>
        </w:rPr>
      </w:pPr>
      <w:r w:rsidRPr="00AE549A">
        <w:rPr>
          <w:noProof/>
          <w:lang w:eastAsia="en-US"/>
        </w:rPr>
        <w:tab/>
      </w:r>
      <w:r w:rsidRPr="00AE549A">
        <w:rPr>
          <w:noProof/>
          <w:lang w:eastAsia="en-US"/>
        </w:rPr>
        <w:tab/>
        <w:t>C.</w:t>
      </w:r>
      <w:r w:rsidRPr="00AE549A">
        <w:rPr>
          <w:rFonts w:ascii="Calibri" w:eastAsia="Times New Roman" w:hAnsi="Calibri"/>
          <w:noProof/>
          <w:sz w:val="22"/>
          <w:szCs w:val="22"/>
          <w:lang w:eastAsia="en-US"/>
        </w:rPr>
        <w:tab/>
      </w:r>
      <w:r w:rsidRPr="00AE549A">
        <w:rPr>
          <w:noProof/>
        </w:rPr>
        <w:t>Progress on the imp</w:t>
      </w:r>
      <w:r w:rsidR="00463737" w:rsidRPr="00AE549A">
        <w:rPr>
          <w:noProof/>
        </w:rPr>
        <w:t>lementation of decision 1/CP.10</w:t>
      </w:r>
      <w:r w:rsidRPr="00AE549A">
        <w:rPr>
          <w:noProof/>
          <w:webHidden/>
        </w:rPr>
        <w:tab/>
      </w:r>
      <w:r w:rsidR="00484AA4" w:rsidRPr="00AE549A">
        <w:rPr>
          <w:noProof/>
          <w:webHidden/>
        </w:rPr>
        <w:tab/>
      </w:r>
      <w:r w:rsidR="00736734" w:rsidRPr="00AE549A">
        <w:rPr>
          <w:noProof/>
          <w:webHidden/>
        </w:rPr>
        <w:t>185–186</w:t>
      </w:r>
      <w:r w:rsidR="00484AA4" w:rsidRPr="00AE549A">
        <w:rPr>
          <w:noProof/>
          <w:webHidden/>
        </w:rPr>
        <w:tab/>
      </w:r>
      <w:r w:rsidR="00DC0A09" w:rsidRPr="00AE549A">
        <w:rPr>
          <w:noProof/>
          <w:webHidden/>
        </w:rPr>
        <w:t>2</w:t>
      </w:r>
      <w:r w:rsidR="00125136">
        <w:rPr>
          <w:noProof/>
          <w:webHidden/>
        </w:rPr>
        <w:t>8</w:t>
      </w:r>
    </w:p>
    <w:p w14:paraId="280E97AF"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AE549A">
        <w:rPr>
          <w:noProof/>
          <w:lang w:eastAsia="en-US"/>
        </w:rPr>
        <w:tab/>
        <w:t>XVI.</w:t>
      </w:r>
      <w:r w:rsidRPr="00AE549A">
        <w:rPr>
          <w:rFonts w:ascii="Calibri" w:eastAsia="Times New Roman" w:hAnsi="Calibri"/>
          <w:noProof/>
          <w:sz w:val="22"/>
          <w:szCs w:val="22"/>
          <w:lang w:eastAsia="en-US"/>
        </w:rPr>
        <w:tab/>
      </w:r>
      <w:r w:rsidRPr="00AE549A">
        <w:rPr>
          <w:noProof/>
        </w:rPr>
        <w:t>The 2013-2015 review</w:t>
      </w:r>
      <w:r w:rsidR="00F848B8">
        <w:rPr>
          <w:noProof/>
        </w:rPr>
        <w:t xml:space="preserve"> </w:t>
      </w:r>
      <w:r w:rsidR="00DC0A09" w:rsidRPr="007550C2">
        <w:rPr>
          <w:noProof/>
        </w:rPr>
        <w:br/>
      </w:r>
      <w:r w:rsidRPr="007550C2">
        <w:rPr>
          <w:noProof/>
          <w:lang w:eastAsia="en-US"/>
        </w:rPr>
        <w:t>(Agenda item 16)</w:t>
      </w:r>
      <w:r w:rsidRPr="007550C2">
        <w:rPr>
          <w:noProof/>
          <w:webHidden/>
        </w:rPr>
        <w:tab/>
      </w:r>
      <w:r w:rsidR="00484AA4" w:rsidRPr="007550C2">
        <w:rPr>
          <w:noProof/>
          <w:webHidden/>
        </w:rPr>
        <w:tab/>
      </w:r>
      <w:r w:rsidR="00736734" w:rsidRPr="007550C2">
        <w:rPr>
          <w:noProof/>
          <w:webHidden/>
        </w:rPr>
        <w:t>187–199</w:t>
      </w:r>
      <w:r w:rsidR="00484AA4" w:rsidRPr="007550C2">
        <w:rPr>
          <w:noProof/>
          <w:webHidden/>
        </w:rPr>
        <w:tab/>
      </w:r>
      <w:r w:rsidR="00DC0A09" w:rsidRPr="007550C2">
        <w:rPr>
          <w:noProof/>
          <w:webHidden/>
        </w:rPr>
        <w:t>2</w:t>
      </w:r>
      <w:r w:rsidR="00125136">
        <w:rPr>
          <w:noProof/>
          <w:webHidden/>
        </w:rPr>
        <w:t>8</w:t>
      </w:r>
    </w:p>
    <w:p w14:paraId="52DDDB4E"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7550C2">
        <w:rPr>
          <w:noProof/>
          <w:lang w:eastAsia="en-US"/>
        </w:rPr>
        <w:lastRenderedPageBreak/>
        <w:tab/>
        <w:t>XVII.</w:t>
      </w:r>
      <w:r w:rsidRPr="007550C2">
        <w:rPr>
          <w:rFonts w:ascii="Calibri" w:eastAsia="Times New Roman" w:hAnsi="Calibri"/>
          <w:noProof/>
          <w:sz w:val="22"/>
          <w:szCs w:val="22"/>
          <w:lang w:eastAsia="en-US"/>
        </w:rPr>
        <w:tab/>
      </w:r>
      <w:r w:rsidRPr="007550C2">
        <w:rPr>
          <w:noProof/>
        </w:rPr>
        <w:t>Arrangements for intergovernmental meetings</w:t>
      </w:r>
      <w:r w:rsidR="00DC0A09" w:rsidRPr="007550C2">
        <w:rPr>
          <w:noProof/>
        </w:rPr>
        <w:br/>
      </w:r>
      <w:r w:rsidRPr="007550C2">
        <w:rPr>
          <w:noProof/>
          <w:lang w:eastAsia="en-US"/>
        </w:rPr>
        <w:t>(Agenda item 17)</w:t>
      </w:r>
      <w:r w:rsidRPr="007550C2">
        <w:rPr>
          <w:noProof/>
          <w:webHidden/>
        </w:rPr>
        <w:tab/>
      </w:r>
      <w:r w:rsidR="00484AA4" w:rsidRPr="000238B6">
        <w:rPr>
          <w:noProof/>
          <w:webHidden/>
        </w:rPr>
        <w:tab/>
      </w:r>
      <w:r w:rsidR="00736734" w:rsidRPr="000238B6">
        <w:rPr>
          <w:noProof/>
          <w:webHidden/>
        </w:rPr>
        <w:t>200–225</w:t>
      </w:r>
      <w:r w:rsidR="00484AA4" w:rsidRPr="000238B6">
        <w:rPr>
          <w:noProof/>
          <w:webHidden/>
        </w:rPr>
        <w:tab/>
      </w:r>
      <w:r w:rsidR="00125136">
        <w:rPr>
          <w:noProof/>
          <w:webHidden/>
        </w:rPr>
        <w:t>30</w:t>
      </w:r>
    </w:p>
    <w:p w14:paraId="24332B29"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7550C2">
        <w:rPr>
          <w:noProof/>
          <w:lang w:eastAsia="en-US"/>
        </w:rPr>
        <w:tab/>
        <w:t>XVIII.</w:t>
      </w:r>
      <w:r w:rsidRPr="007550C2">
        <w:rPr>
          <w:rFonts w:ascii="Calibri" w:eastAsia="Times New Roman" w:hAnsi="Calibri"/>
          <w:noProof/>
          <w:sz w:val="22"/>
          <w:szCs w:val="22"/>
          <w:lang w:eastAsia="en-US"/>
        </w:rPr>
        <w:tab/>
      </w:r>
      <w:r w:rsidRPr="007550C2">
        <w:rPr>
          <w:noProof/>
        </w:rPr>
        <w:t>Administrative, financial and institutional matters</w:t>
      </w:r>
      <w:r w:rsidR="00DC0A09" w:rsidRPr="007550C2">
        <w:rPr>
          <w:noProof/>
        </w:rPr>
        <w:br/>
      </w:r>
      <w:r w:rsidRPr="007550C2">
        <w:rPr>
          <w:noProof/>
          <w:lang w:eastAsia="en-US"/>
        </w:rPr>
        <w:t>(Agenda item 18)</w:t>
      </w:r>
      <w:r w:rsidRPr="007550C2">
        <w:rPr>
          <w:noProof/>
          <w:webHidden/>
        </w:rPr>
        <w:tab/>
      </w:r>
      <w:r w:rsidR="00484AA4" w:rsidRPr="007550C2">
        <w:rPr>
          <w:noProof/>
          <w:webHidden/>
        </w:rPr>
        <w:tab/>
      </w:r>
      <w:r w:rsidR="00736734" w:rsidRPr="007550C2">
        <w:rPr>
          <w:noProof/>
          <w:webHidden/>
        </w:rPr>
        <w:t>226–251</w:t>
      </w:r>
      <w:r w:rsidR="00484AA4" w:rsidRPr="000238B6">
        <w:rPr>
          <w:noProof/>
          <w:webHidden/>
        </w:rPr>
        <w:tab/>
      </w:r>
      <w:r w:rsidR="00DC0A09" w:rsidRPr="007550C2">
        <w:rPr>
          <w:noProof/>
          <w:webHidden/>
        </w:rPr>
        <w:t>3</w:t>
      </w:r>
      <w:r w:rsidR="00125136">
        <w:rPr>
          <w:noProof/>
          <w:webHidden/>
        </w:rPr>
        <w:t>3</w:t>
      </w:r>
    </w:p>
    <w:p w14:paraId="5A0B85FB" w14:textId="77777777" w:rsidR="0009045D" w:rsidRPr="00AE549A" w:rsidRDefault="0009045D">
      <w:pPr>
        <w:pStyle w:val="TOC2"/>
        <w:rPr>
          <w:rFonts w:ascii="Calibri" w:eastAsia="Times New Roman" w:hAnsi="Calibri"/>
          <w:noProof/>
          <w:sz w:val="22"/>
          <w:szCs w:val="22"/>
          <w:lang w:eastAsia="en-US"/>
        </w:rPr>
      </w:pPr>
      <w:r w:rsidRPr="007550C2">
        <w:rPr>
          <w:noProof/>
          <w:lang w:eastAsia="en-US"/>
        </w:rPr>
        <w:tab/>
      </w:r>
      <w:r w:rsidRPr="007550C2">
        <w:rPr>
          <w:noProof/>
          <w:lang w:eastAsia="en-US"/>
        </w:rPr>
        <w:tab/>
        <w:t>A.</w:t>
      </w:r>
      <w:r w:rsidRPr="007550C2">
        <w:rPr>
          <w:rFonts w:ascii="Calibri" w:eastAsia="Times New Roman" w:hAnsi="Calibri"/>
          <w:noProof/>
          <w:sz w:val="22"/>
          <w:szCs w:val="22"/>
          <w:lang w:eastAsia="en-US"/>
        </w:rPr>
        <w:tab/>
      </w:r>
      <w:r w:rsidRPr="007550C2">
        <w:rPr>
          <w:noProof/>
        </w:rPr>
        <w:t>F</w:t>
      </w:r>
      <w:r w:rsidR="00463737" w:rsidRPr="007550C2">
        <w:rPr>
          <w:noProof/>
        </w:rPr>
        <w:t>inancial matters</w:t>
      </w:r>
      <w:r w:rsidRPr="007550C2">
        <w:rPr>
          <w:noProof/>
          <w:webHidden/>
        </w:rPr>
        <w:tab/>
      </w:r>
      <w:r w:rsidR="00484AA4" w:rsidRPr="007550C2">
        <w:rPr>
          <w:noProof/>
          <w:webHidden/>
        </w:rPr>
        <w:tab/>
      </w:r>
      <w:r w:rsidR="00736734" w:rsidRPr="007550C2">
        <w:rPr>
          <w:noProof/>
          <w:webHidden/>
        </w:rPr>
        <w:t>226–231</w:t>
      </w:r>
      <w:r w:rsidR="00484AA4" w:rsidRPr="000238B6">
        <w:rPr>
          <w:noProof/>
          <w:webHidden/>
        </w:rPr>
        <w:tab/>
      </w:r>
      <w:r w:rsidR="00DC0A09" w:rsidRPr="00AE549A">
        <w:rPr>
          <w:noProof/>
          <w:webHidden/>
        </w:rPr>
        <w:t>3</w:t>
      </w:r>
      <w:r w:rsidR="00125136">
        <w:rPr>
          <w:noProof/>
          <w:webHidden/>
        </w:rPr>
        <w:t>3</w:t>
      </w:r>
    </w:p>
    <w:p w14:paraId="071FCFF8" w14:textId="77777777" w:rsidR="0009045D" w:rsidRPr="00AE549A" w:rsidRDefault="0009045D" w:rsidP="00484AA4">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B.</w:t>
      </w:r>
      <w:r w:rsidRPr="00AE549A">
        <w:rPr>
          <w:rFonts w:ascii="Calibri" w:eastAsia="Times New Roman" w:hAnsi="Calibri"/>
          <w:noProof/>
          <w:sz w:val="22"/>
          <w:szCs w:val="22"/>
          <w:lang w:eastAsia="en-US"/>
        </w:rPr>
        <w:tab/>
      </w:r>
      <w:r w:rsidRPr="00AE549A">
        <w:rPr>
          <w:noProof/>
        </w:rPr>
        <w:t>Continuing review of the functions and operations of the secretariat</w:t>
      </w:r>
      <w:r w:rsidRPr="00AE549A">
        <w:rPr>
          <w:noProof/>
          <w:webHidden/>
        </w:rPr>
        <w:tab/>
      </w:r>
      <w:r w:rsidR="00484AA4" w:rsidRPr="00AE549A">
        <w:rPr>
          <w:noProof/>
          <w:webHidden/>
        </w:rPr>
        <w:tab/>
      </w:r>
      <w:r w:rsidR="00736734" w:rsidRPr="00AE549A">
        <w:rPr>
          <w:noProof/>
          <w:webHidden/>
        </w:rPr>
        <w:t>232</w:t>
      </w:r>
      <w:r w:rsidR="00484AA4" w:rsidRPr="00AE549A">
        <w:rPr>
          <w:noProof/>
          <w:webHidden/>
        </w:rPr>
        <w:tab/>
      </w:r>
      <w:r w:rsidR="00DC0A09" w:rsidRPr="00AE549A">
        <w:rPr>
          <w:noProof/>
          <w:webHidden/>
        </w:rPr>
        <w:t>3</w:t>
      </w:r>
      <w:r w:rsidR="00125136">
        <w:rPr>
          <w:noProof/>
          <w:webHidden/>
        </w:rPr>
        <w:t>4</w:t>
      </w:r>
    </w:p>
    <w:p w14:paraId="6A7A1224" w14:textId="77777777" w:rsidR="0009045D" w:rsidRPr="00AE549A" w:rsidRDefault="0009045D">
      <w:pPr>
        <w:pStyle w:val="TOC2"/>
        <w:rPr>
          <w:rFonts w:ascii="Calibri" w:eastAsia="Times New Roman" w:hAnsi="Calibri"/>
          <w:noProof/>
          <w:sz w:val="22"/>
          <w:szCs w:val="22"/>
          <w:lang w:eastAsia="en-US"/>
        </w:rPr>
      </w:pPr>
      <w:r w:rsidRPr="00AE549A">
        <w:rPr>
          <w:noProof/>
          <w:lang w:eastAsia="en-US"/>
        </w:rPr>
        <w:tab/>
      </w:r>
      <w:r w:rsidRPr="00AE549A">
        <w:rPr>
          <w:noProof/>
          <w:lang w:eastAsia="en-US"/>
        </w:rPr>
        <w:tab/>
        <w:t>C.</w:t>
      </w:r>
      <w:r w:rsidRPr="00AE549A">
        <w:rPr>
          <w:rFonts w:ascii="Calibri" w:eastAsia="Times New Roman" w:hAnsi="Calibri"/>
          <w:noProof/>
          <w:sz w:val="22"/>
          <w:szCs w:val="22"/>
          <w:lang w:eastAsia="en-US"/>
        </w:rPr>
        <w:tab/>
      </w:r>
      <w:r w:rsidRPr="00AE549A">
        <w:rPr>
          <w:noProof/>
        </w:rPr>
        <w:t>Implementation of the Headquarters Agree</w:t>
      </w:r>
      <w:r w:rsidR="00463737" w:rsidRPr="00AE549A">
        <w:rPr>
          <w:noProof/>
        </w:rPr>
        <w:t>ment</w:t>
      </w:r>
      <w:r w:rsidRPr="00AE549A">
        <w:rPr>
          <w:noProof/>
          <w:webHidden/>
        </w:rPr>
        <w:tab/>
      </w:r>
      <w:r w:rsidR="00484AA4" w:rsidRPr="00AE549A">
        <w:rPr>
          <w:noProof/>
          <w:webHidden/>
        </w:rPr>
        <w:tab/>
      </w:r>
      <w:r w:rsidR="00736734" w:rsidRPr="00AE549A">
        <w:rPr>
          <w:noProof/>
          <w:webHidden/>
        </w:rPr>
        <w:t>233–241</w:t>
      </w:r>
      <w:r w:rsidR="00484AA4" w:rsidRPr="00AE549A">
        <w:rPr>
          <w:noProof/>
          <w:webHidden/>
        </w:rPr>
        <w:tab/>
      </w:r>
      <w:r w:rsidR="00DC0A09" w:rsidRPr="00AE549A">
        <w:rPr>
          <w:noProof/>
          <w:webHidden/>
        </w:rPr>
        <w:t>3</w:t>
      </w:r>
      <w:r w:rsidR="00125136">
        <w:rPr>
          <w:noProof/>
          <w:webHidden/>
        </w:rPr>
        <w:t>4</w:t>
      </w:r>
    </w:p>
    <w:p w14:paraId="6816DFFE" w14:textId="77777777" w:rsidR="0009045D" w:rsidRPr="00AE549A" w:rsidRDefault="0009045D" w:rsidP="00484AA4">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D.</w:t>
      </w:r>
      <w:r w:rsidRPr="00AE549A">
        <w:rPr>
          <w:rFonts w:ascii="Calibri" w:eastAsia="Times New Roman" w:hAnsi="Calibri"/>
          <w:noProof/>
          <w:sz w:val="22"/>
          <w:szCs w:val="22"/>
          <w:lang w:eastAsia="en-US"/>
        </w:rPr>
        <w:tab/>
      </w:r>
      <w:r w:rsidRPr="00AE549A">
        <w:rPr>
          <w:noProof/>
        </w:rPr>
        <w:t xml:space="preserve">Privileges and immunities for individuals serving on constituted </w:t>
      </w:r>
      <w:r w:rsidR="00484AA4" w:rsidRPr="00AE549A">
        <w:rPr>
          <w:noProof/>
        </w:rPr>
        <w:br/>
      </w:r>
      <w:r w:rsidRPr="00AE549A">
        <w:rPr>
          <w:noProof/>
        </w:rPr>
        <w:t>bodies established under the Kyoto Protocol</w:t>
      </w:r>
      <w:r w:rsidRPr="00AE549A">
        <w:rPr>
          <w:noProof/>
          <w:webHidden/>
        </w:rPr>
        <w:tab/>
      </w:r>
      <w:r w:rsidR="00484AA4" w:rsidRPr="00AE549A">
        <w:rPr>
          <w:noProof/>
          <w:webHidden/>
        </w:rPr>
        <w:tab/>
      </w:r>
      <w:r w:rsidR="00736734" w:rsidRPr="00AE549A">
        <w:rPr>
          <w:noProof/>
          <w:webHidden/>
        </w:rPr>
        <w:t>242–246</w:t>
      </w:r>
      <w:r w:rsidR="00484AA4" w:rsidRPr="00AE549A">
        <w:rPr>
          <w:noProof/>
          <w:webHidden/>
        </w:rPr>
        <w:tab/>
      </w:r>
      <w:r w:rsidR="00DC0A09" w:rsidRPr="00AE549A">
        <w:rPr>
          <w:noProof/>
          <w:webHidden/>
        </w:rPr>
        <w:t>3</w:t>
      </w:r>
      <w:r w:rsidR="00125136">
        <w:rPr>
          <w:noProof/>
          <w:webHidden/>
        </w:rPr>
        <w:t>5</w:t>
      </w:r>
    </w:p>
    <w:p w14:paraId="509C0936" w14:textId="77777777" w:rsidR="0009045D" w:rsidRPr="00AE549A" w:rsidRDefault="0009045D" w:rsidP="00484AA4">
      <w:pPr>
        <w:pStyle w:val="TOC2"/>
        <w:ind w:left="1559" w:hanging="1559"/>
        <w:rPr>
          <w:rFonts w:ascii="Calibri" w:eastAsia="Times New Roman" w:hAnsi="Calibri"/>
          <w:noProof/>
          <w:sz w:val="22"/>
          <w:szCs w:val="22"/>
          <w:lang w:eastAsia="en-US"/>
        </w:rPr>
      </w:pPr>
      <w:r w:rsidRPr="00AE549A">
        <w:rPr>
          <w:noProof/>
          <w:lang w:eastAsia="en-US"/>
        </w:rPr>
        <w:tab/>
      </w:r>
      <w:r w:rsidRPr="00AE549A">
        <w:rPr>
          <w:noProof/>
          <w:lang w:eastAsia="en-US"/>
        </w:rPr>
        <w:tab/>
        <w:t>E.</w:t>
      </w:r>
      <w:r w:rsidRPr="00AE549A">
        <w:rPr>
          <w:rFonts w:ascii="Calibri" w:eastAsia="Times New Roman" w:hAnsi="Calibri"/>
          <w:noProof/>
          <w:sz w:val="22"/>
          <w:szCs w:val="22"/>
          <w:lang w:eastAsia="en-US"/>
        </w:rPr>
        <w:tab/>
      </w:r>
      <w:r w:rsidRPr="00AE549A">
        <w:rPr>
          <w:noProof/>
        </w:rPr>
        <w:t>Privileges and immunities for individuals serving on constituted</w:t>
      </w:r>
      <w:r w:rsidR="00484AA4" w:rsidRPr="00AE549A">
        <w:rPr>
          <w:noProof/>
        </w:rPr>
        <w:br/>
      </w:r>
      <w:r w:rsidRPr="00AE549A">
        <w:rPr>
          <w:noProof/>
        </w:rPr>
        <w:t xml:space="preserve">bodies established under the Convention </w:t>
      </w:r>
      <w:r w:rsidRPr="00AE549A">
        <w:rPr>
          <w:noProof/>
          <w:webHidden/>
        </w:rPr>
        <w:tab/>
      </w:r>
      <w:r w:rsidR="00484AA4" w:rsidRPr="00AE549A">
        <w:rPr>
          <w:noProof/>
          <w:webHidden/>
        </w:rPr>
        <w:tab/>
      </w:r>
      <w:r w:rsidR="00736734" w:rsidRPr="00AE549A">
        <w:rPr>
          <w:noProof/>
          <w:webHidden/>
        </w:rPr>
        <w:t>247–251</w:t>
      </w:r>
      <w:r w:rsidR="00484AA4" w:rsidRPr="00AE549A">
        <w:rPr>
          <w:noProof/>
          <w:webHidden/>
        </w:rPr>
        <w:tab/>
      </w:r>
      <w:r w:rsidR="00DC0A09" w:rsidRPr="00AE549A">
        <w:rPr>
          <w:noProof/>
          <w:webHidden/>
        </w:rPr>
        <w:t>3</w:t>
      </w:r>
      <w:r w:rsidR="00125136">
        <w:rPr>
          <w:noProof/>
          <w:webHidden/>
        </w:rPr>
        <w:t>6</w:t>
      </w:r>
    </w:p>
    <w:p w14:paraId="0D1A32B7"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AE549A">
        <w:rPr>
          <w:noProof/>
          <w:lang w:eastAsia="en-US"/>
        </w:rPr>
        <w:tab/>
        <w:t>XIX.</w:t>
      </w:r>
      <w:r w:rsidRPr="00AE549A">
        <w:rPr>
          <w:rFonts w:ascii="Calibri" w:eastAsia="Times New Roman" w:hAnsi="Calibri"/>
          <w:noProof/>
          <w:sz w:val="22"/>
          <w:szCs w:val="22"/>
          <w:lang w:eastAsia="en-US"/>
        </w:rPr>
        <w:tab/>
      </w:r>
      <w:r w:rsidRPr="00AE549A">
        <w:rPr>
          <w:noProof/>
        </w:rPr>
        <w:t xml:space="preserve">Other matters </w:t>
      </w:r>
      <w:r w:rsidR="00DC0A09" w:rsidRPr="00AE549A">
        <w:rPr>
          <w:noProof/>
        </w:rPr>
        <w:br/>
      </w:r>
      <w:r w:rsidRPr="00AE549A">
        <w:rPr>
          <w:noProof/>
          <w:lang w:eastAsia="en-US"/>
        </w:rPr>
        <w:t>(Agenda item 19)</w:t>
      </w:r>
      <w:r w:rsidRPr="00AE549A">
        <w:rPr>
          <w:noProof/>
          <w:webHidden/>
        </w:rPr>
        <w:tab/>
      </w:r>
      <w:r w:rsidR="00484AA4" w:rsidRPr="00AE549A">
        <w:rPr>
          <w:noProof/>
          <w:webHidden/>
        </w:rPr>
        <w:tab/>
      </w:r>
      <w:r w:rsidR="00736734" w:rsidRPr="00AE549A">
        <w:rPr>
          <w:noProof/>
          <w:webHidden/>
        </w:rPr>
        <w:t>252</w:t>
      </w:r>
      <w:r w:rsidR="00484AA4" w:rsidRPr="00AE549A">
        <w:rPr>
          <w:noProof/>
          <w:webHidden/>
        </w:rPr>
        <w:tab/>
      </w:r>
      <w:r w:rsidR="00DC0A09" w:rsidRPr="007550C2">
        <w:rPr>
          <w:noProof/>
          <w:webHidden/>
        </w:rPr>
        <w:t>3</w:t>
      </w:r>
      <w:r w:rsidR="00125136">
        <w:rPr>
          <w:noProof/>
          <w:webHidden/>
        </w:rPr>
        <w:t>6</w:t>
      </w:r>
    </w:p>
    <w:p w14:paraId="41183EA4" w14:textId="77777777" w:rsidR="0009045D" w:rsidRPr="007550C2" w:rsidRDefault="0009045D" w:rsidP="00AE549A">
      <w:pPr>
        <w:pStyle w:val="TOC1"/>
        <w:ind w:left="1134" w:hanging="1134"/>
        <w:rPr>
          <w:rFonts w:ascii="Calibri" w:eastAsia="Times New Roman" w:hAnsi="Calibri"/>
          <w:noProof/>
          <w:sz w:val="22"/>
          <w:szCs w:val="22"/>
          <w:lang w:eastAsia="en-US"/>
        </w:rPr>
      </w:pPr>
      <w:r w:rsidRPr="007550C2">
        <w:rPr>
          <w:noProof/>
          <w:lang w:eastAsia="en-US"/>
        </w:rPr>
        <w:tab/>
        <w:t>XX.</w:t>
      </w:r>
      <w:r w:rsidRPr="007550C2">
        <w:rPr>
          <w:rFonts w:ascii="Calibri" w:eastAsia="Times New Roman" w:hAnsi="Calibri"/>
          <w:noProof/>
          <w:sz w:val="22"/>
          <w:szCs w:val="22"/>
          <w:lang w:eastAsia="en-US"/>
        </w:rPr>
        <w:tab/>
      </w:r>
      <w:r w:rsidRPr="007550C2">
        <w:rPr>
          <w:noProof/>
        </w:rPr>
        <w:t>Report on the session</w:t>
      </w:r>
      <w:r w:rsidR="00DC0A09" w:rsidRPr="007550C2">
        <w:rPr>
          <w:noProof/>
        </w:rPr>
        <w:br/>
      </w:r>
      <w:r w:rsidRPr="007550C2">
        <w:rPr>
          <w:noProof/>
          <w:lang w:eastAsia="en-US"/>
        </w:rPr>
        <w:t>(Agenda item 20)</w:t>
      </w:r>
      <w:r w:rsidRPr="007550C2">
        <w:rPr>
          <w:noProof/>
          <w:webHidden/>
        </w:rPr>
        <w:tab/>
      </w:r>
      <w:r w:rsidR="00484AA4" w:rsidRPr="007550C2">
        <w:rPr>
          <w:noProof/>
          <w:webHidden/>
        </w:rPr>
        <w:tab/>
      </w:r>
      <w:r w:rsidR="00736734" w:rsidRPr="000238B6">
        <w:rPr>
          <w:noProof/>
          <w:webHidden/>
        </w:rPr>
        <w:t>253</w:t>
      </w:r>
      <w:r w:rsidR="00484AA4" w:rsidRPr="000238B6">
        <w:rPr>
          <w:noProof/>
          <w:webHidden/>
        </w:rPr>
        <w:tab/>
      </w:r>
      <w:r w:rsidR="00DC0A09" w:rsidRPr="007550C2">
        <w:rPr>
          <w:noProof/>
          <w:webHidden/>
        </w:rPr>
        <w:t>3</w:t>
      </w:r>
      <w:r w:rsidR="00125136">
        <w:rPr>
          <w:noProof/>
          <w:webHidden/>
        </w:rPr>
        <w:t>6</w:t>
      </w:r>
    </w:p>
    <w:p w14:paraId="5A280134" w14:textId="77777777" w:rsidR="0009045D" w:rsidRPr="007550C2" w:rsidRDefault="0009045D">
      <w:pPr>
        <w:pStyle w:val="TOC1"/>
        <w:rPr>
          <w:rFonts w:ascii="Calibri" w:eastAsia="Times New Roman" w:hAnsi="Calibri"/>
          <w:noProof/>
          <w:sz w:val="22"/>
          <w:szCs w:val="22"/>
          <w:lang w:eastAsia="en-US"/>
        </w:rPr>
      </w:pPr>
      <w:r w:rsidRPr="007550C2">
        <w:rPr>
          <w:noProof/>
        </w:rPr>
        <w:tab/>
        <w:t>XXI.</w:t>
      </w:r>
      <w:r w:rsidRPr="007550C2">
        <w:rPr>
          <w:rFonts w:ascii="Calibri" w:eastAsia="Times New Roman" w:hAnsi="Calibri"/>
          <w:noProof/>
          <w:sz w:val="22"/>
          <w:szCs w:val="22"/>
          <w:lang w:eastAsia="en-US"/>
        </w:rPr>
        <w:tab/>
      </w:r>
      <w:r w:rsidRPr="007550C2">
        <w:rPr>
          <w:noProof/>
        </w:rPr>
        <w:t>Closure of the session</w:t>
      </w:r>
      <w:r w:rsidRPr="007550C2">
        <w:rPr>
          <w:noProof/>
          <w:webHidden/>
        </w:rPr>
        <w:tab/>
      </w:r>
      <w:r w:rsidR="00484AA4" w:rsidRPr="007550C2">
        <w:rPr>
          <w:noProof/>
          <w:webHidden/>
        </w:rPr>
        <w:tab/>
      </w:r>
      <w:r w:rsidR="00736734" w:rsidRPr="007550C2">
        <w:rPr>
          <w:noProof/>
          <w:webHidden/>
        </w:rPr>
        <w:t>254–259</w:t>
      </w:r>
      <w:r w:rsidR="00484AA4" w:rsidRPr="007550C2">
        <w:rPr>
          <w:noProof/>
          <w:webHidden/>
        </w:rPr>
        <w:tab/>
      </w:r>
      <w:r w:rsidR="00DC0A09" w:rsidRPr="007550C2">
        <w:rPr>
          <w:noProof/>
          <w:webHidden/>
        </w:rPr>
        <w:t>3</w:t>
      </w:r>
      <w:r w:rsidR="00125136">
        <w:rPr>
          <w:noProof/>
          <w:webHidden/>
        </w:rPr>
        <w:t>6</w:t>
      </w:r>
    </w:p>
    <w:p w14:paraId="4BC309BF" w14:textId="77777777" w:rsidR="005950A3" w:rsidRPr="000238B6" w:rsidRDefault="00DC0A09" w:rsidP="005950A3">
      <w:pPr>
        <w:tabs>
          <w:tab w:val="right" w:pos="850"/>
          <w:tab w:val="left" w:pos="1134"/>
          <w:tab w:val="left" w:pos="1559"/>
          <w:tab w:val="left" w:pos="1984"/>
          <w:tab w:val="left" w:leader="dot" w:pos="8929"/>
          <w:tab w:val="right" w:pos="9638"/>
        </w:tabs>
        <w:spacing w:before="360" w:after="120"/>
        <w:ind w:left="1134" w:right="1140"/>
        <w:rPr>
          <w:rFonts w:eastAsia="Times New Roman"/>
          <w:b/>
          <w:bCs/>
          <w:noProof/>
          <w:sz w:val="28"/>
          <w:szCs w:val="28"/>
          <w:lang w:eastAsia="en-US"/>
        </w:rPr>
      </w:pPr>
      <w:r w:rsidRPr="000238B6">
        <w:rPr>
          <w:rFonts w:eastAsia="Times New Roman"/>
          <w:b/>
          <w:bCs/>
          <w:noProof/>
          <w:sz w:val="28"/>
          <w:szCs w:val="28"/>
          <w:lang w:eastAsia="en-US"/>
        </w:rPr>
        <w:br w:type="page"/>
      </w:r>
      <w:r w:rsidR="005950A3" w:rsidRPr="000238B6">
        <w:rPr>
          <w:rFonts w:eastAsia="Times New Roman"/>
          <w:b/>
          <w:bCs/>
          <w:noProof/>
          <w:sz w:val="28"/>
          <w:szCs w:val="28"/>
          <w:lang w:eastAsia="en-US"/>
        </w:rPr>
        <w:t>Addendum – FCCC/SBI/2014/</w:t>
      </w:r>
      <w:r w:rsidR="00D37AD4" w:rsidRPr="000238B6">
        <w:rPr>
          <w:rFonts w:eastAsia="Times New Roman"/>
          <w:b/>
          <w:bCs/>
          <w:noProof/>
          <w:sz w:val="28"/>
          <w:szCs w:val="28"/>
          <w:lang w:eastAsia="en-US"/>
        </w:rPr>
        <w:t>8</w:t>
      </w:r>
      <w:r w:rsidR="005950A3" w:rsidRPr="000238B6">
        <w:rPr>
          <w:rFonts w:eastAsia="Times New Roman"/>
          <w:b/>
          <w:bCs/>
          <w:noProof/>
          <w:sz w:val="28"/>
          <w:szCs w:val="28"/>
          <w:lang w:eastAsia="en-US"/>
        </w:rPr>
        <w:t>/Add.1</w:t>
      </w:r>
    </w:p>
    <w:p w14:paraId="1459C6C5" w14:textId="77777777" w:rsidR="005950A3" w:rsidRPr="00324DA3" w:rsidRDefault="005950A3" w:rsidP="005950A3">
      <w:pPr>
        <w:tabs>
          <w:tab w:val="right" w:pos="850"/>
          <w:tab w:val="left" w:pos="1134"/>
          <w:tab w:val="left" w:pos="1559"/>
          <w:tab w:val="left" w:pos="1984"/>
          <w:tab w:val="left" w:leader="dot" w:pos="8929"/>
          <w:tab w:val="right" w:pos="9638"/>
        </w:tabs>
        <w:spacing w:after="120"/>
        <w:ind w:left="1134" w:right="1138"/>
        <w:rPr>
          <w:rFonts w:eastAsia="Times New Roman"/>
          <w:b/>
          <w:bCs/>
          <w:noProof/>
          <w:sz w:val="28"/>
          <w:szCs w:val="28"/>
          <w:lang w:eastAsia="en-US"/>
        </w:rPr>
      </w:pPr>
      <w:r w:rsidRPr="00324DA3">
        <w:rPr>
          <w:rFonts w:eastAsia="Times New Roman"/>
          <w:b/>
          <w:bCs/>
          <w:noProof/>
          <w:sz w:val="28"/>
          <w:szCs w:val="28"/>
          <w:lang w:eastAsia="en-US"/>
        </w:rPr>
        <w:t>Draft decisions forwarded for consideration and adoption by the Conference of the Parties and the Conference of the Parties serving as the meeting of the Parties to the Kyoto Protocol</w:t>
      </w:r>
    </w:p>
    <w:p w14:paraId="532B3A00" w14:textId="77777777" w:rsidR="005950A3" w:rsidRPr="00FE4BFB" w:rsidRDefault="005950A3" w:rsidP="005950A3">
      <w:pPr>
        <w:tabs>
          <w:tab w:val="left" w:pos="8000"/>
          <w:tab w:val="left" w:pos="8400"/>
          <w:tab w:val="left" w:pos="8500"/>
        </w:tabs>
        <w:spacing w:before="240" w:after="120"/>
        <w:ind w:left="1134" w:right="1140"/>
        <w:rPr>
          <w:noProof/>
          <w:highlight w:val="lightGray"/>
        </w:rPr>
      </w:pPr>
    </w:p>
    <w:p w14:paraId="3C5CE1F3" w14:textId="77777777" w:rsidR="005950A3" w:rsidRPr="009828C0" w:rsidRDefault="005950A3" w:rsidP="005950A3">
      <w:pPr>
        <w:tabs>
          <w:tab w:val="right" w:pos="850"/>
          <w:tab w:val="left" w:pos="1134"/>
          <w:tab w:val="left" w:pos="1559"/>
          <w:tab w:val="left" w:pos="1984"/>
          <w:tab w:val="left" w:leader="dot" w:pos="8929"/>
          <w:tab w:val="right" w:pos="9638"/>
        </w:tabs>
        <w:spacing w:after="120"/>
      </w:pPr>
      <w:r w:rsidRPr="00303799">
        <w:tab/>
      </w:r>
      <w:r w:rsidRPr="00303799">
        <w:tab/>
        <w:t>Draft decision -/CP.20. Joint annual report of the Technology Executive Committee</w:t>
      </w:r>
      <w:r w:rsidRPr="00303799">
        <w:br/>
      </w:r>
      <w:r w:rsidRPr="00303799">
        <w:tab/>
      </w:r>
      <w:r w:rsidRPr="00303799">
        <w:tab/>
        <w:t>and the C</w:t>
      </w:r>
      <w:r w:rsidRPr="009828C0">
        <w:t>limate Technology Centre and Network for 2013</w:t>
      </w:r>
    </w:p>
    <w:p w14:paraId="5254F9D9" w14:textId="77777777" w:rsidR="005950A3" w:rsidRPr="009828C0" w:rsidRDefault="005950A3" w:rsidP="005950A3">
      <w:pPr>
        <w:tabs>
          <w:tab w:val="right" w:pos="850"/>
          <w:tab w:val="left" w:pos="1134"/>
          <w:tab w:val="left" w:pos="1559"/>
          <w:tab w:val="left" w:pos="1984"/>
          <w:tab w:val="left" w:leader="dot" w:pos="8929"/>
          <w:tab w:val="right" w:pos="9638"/>
        </w:tabs>
        <w:spacing w:after="120"/>
      </w:pPr>
      <w:r w:rsidRPr="009828C0">
        <w:tab/>
      </w:r>
      <w:r w:rsidRPr="009828C0">
        <w:tab/>
        <w:t xml:space="preserve">Draft decision -/CP.20. </w:t>
      </w:r>
      <w:r w:rsidR="006D33BF" w:rsidRPr="006D33BF">
        <w:t>Revisions to the financial procedures for the Conference</w:t>
      </w:r>
      <w:r w:rsidR="006D33BF" w:rsidRPr="006D33BF">
        <w:br/>
      </w:r>
      <w:r w:rsidR="006D33BF" w:rsidRPr="006D33BF">
        <w:tab/>
      </w:r>
      <w:r w:rsidR="006D33BF" w:rsidRPr="006D33BF">
        <w:tab/>
        <w:t>of the Parties, its subsidiary bodies and the secretariat</w:t>
      </w:r>
    </w:p>
    <w:p w14:paraId="2101DA1E" w14:textId="77777777" w:rsidR="005950A3" w:rsidRPr="009828C0" w:rsidRDefault="005950A3" w:rsidP="005950A3">
      <w:pPr>
        <w:tabs>
          <w:tab w:val="right" w:pos="850"/>
          <w:tab w:val="left" w:pos="1134"/>
          <w:tab w:val="left" w:pos="1559"/>
          <w:tab w:val="left" w:pos="1984"/>
          <w:tab w:val="left" w:leader="dot" w:pos="8929"/>
          <w:tab w:val="right" w:pos="9638"/>
        </w:tabs>
        <w:spacing w:after="120"/>
        <w:ind w:left="1134"/>
      </w:pPr>
      <w:r w:rsidRPr="009828C0">
        <w:t>Draft decision -/CP.20. Parties included in Annex I to the Convention whose</w:t>
      </w:r>
      <w:r w:rsidRPr="009828C0">
        <w:br/>
        <w:t>special circumstances are recognized by the Conference of the Parties</w:t>
      </w:r>
    </w:p>
    <w:p w14:paraId="5F197408" w14:textId="77777777" w:rsidR="005950A3" w:rsidRPr="00C741ED" w:rsidRDefault="005950A3" w:rsidP="005950A3">
      <w:pPr>
        <w:tabs>
          <w:tab w:val="right" w:pos="850"/>
          <w:tab w:val="left" w:pos="1134"/>
          <w:tab w:val="left" w:pos="1559"/>
          <w:tab w:val="left" w:pos="1984"/>
          <w:tab w:val="left" w:leader="dot" w:pos="8929"/>
          <w:tab w:val="right" w:pos="9638"/>
        </w:tabs>
        <w:spacing w:after="120"/>
        <w:ind w:left="1134"/>
      </w:pPr>
      <w:r w:rsidRPr="00C842A6">
        <w:t>Draft decision -/CMP</w:t>
      </w:r>
      <w:r w:rsidRPr="00C741ED">
        <w:t xml:space="preserve">.10. Synergy relating to accreditation under the mechanisms of the </w:t>
      </w:r>
      <w:r w:rsidRPr="00C741ED">
        <w:br/>
        <w:t>Kyoto Protocol</w:t>
      </w:r>
    </w:p>
    <w:p w14:paraId="6E854D84" w14:textId="77777777" w:rsidR="005950A3" w:rsidRPr="0096485E" w:rsidRDefault="005950A3" w:rsidP="005950A3">
      <w:pPr>
        <w:tabs>
          <w:tab w:val="right" w:pos="850"/>
          <w:tab w:val="left" w:pos="1134"/>
          <w:tab w:val="left" w:pos="1559"/>
          <w:tab w:val="left" w:pos="1984"/>
          <w:tab w:val="left" w:leader="dot" w:pos="8929"/>
          <w:tab w:val="right" w:pos="9638"/>
        </w:tabs>
        <w:spacing w:after="120"/>
        <w:ind w:left="1134"/>
      </w:pPr>
      <w:r w:rsidRPr="006C5299">
        <w:t xml:space="preserve">Draft decision -/CMP.10. </w:t>
      </w:r>
      <w:r w:rsidRPr="00FC617B">
        <w:rPr>
          <w:lang w:eastAsia="en-GB"/>
        </w:rPr>
        <w:t>Date of the completion of the expert review process under</w:t>
      </w:r>
      <w:r w:rsidRPr="00FC617B">
        <w:rPr>
          <w:lang w:eastAsia="en-GB"/>
        </w:rPr>
        <w:br/>
        <w:t xml:space="preserve">Article 8 of the </w:t>
      </w:r>
      <w:r w:rsidRPr="008A4292">
        <w:rPr>
          <w:rFonts w:eastAsia="Times New Roman"/>
          <w:lang w:eastAsia="en-GB"/>
        </w:rPr>
        <w:t>Kyoto Protocol for the first commitment period</w:t>
      </w:r>
    </w:p>
    <w:p w14:paraId="0AFBAF67" w14:textId="77777777" w:rsidR="00A61BEC" w:rsidRPr="007550C2" w:rsidRDefault="005C0537" w:rsidP="00794FF0">
      <w:pPr>
        <w:pStyle w:val="HChG"/>
        <w:rPr>
          <w:sz w:val="20"/>
        </w:rPr>
      </w:pPr>
      <w:bookmarkStart w:id="2" w:name="_Toc391983275"/>
      <w:r w:rsidRPr="007550C2">
        <w:br w:type="page"/>
      </w:r>
      <w:r w:rsidR="00794FF0">
        <w:tab/>
        <w:t>I.</w:t>
      </w:r>
      <w:r w:rsidR="00794FF0">
        <w:tab/>
      </w:r>
      <w:r w:rsidR="00A61BEC" w:rsidRPr="007550C2">
        <w:t>Opening of the session</w:t>
      </w:r>
      <w:bookmarkEnd w:id="2"/>
      <w:r w:rsidRPr="007550C2">
        <w:br/>
      </w:r>
      <w:r w:rsidR="00A61BEC" w:rsidRPr="00327414">
        <w:rPr>
          <w:b w:val="0"/>
          <w:sz w:val="20"/>
        </w:rPr>
        <w:t>(Agenda item 1)</w:t>
      </w:r>
    </w:p>
    <w:p w14:paraId="7484AC00" w14:textId="77777777" w:rsidR="00A61BEC" w:rsidRPr="000238B6" w:rsidRDefault="00794FF0" w:rsidP="00794FF0">
      <w:pPr>
        <w:pStyle w:val="SingleTxtG"/>
      </w:pPr>
      <w:r>
        <w:t>1.</w:t>
      </w:r>
      <w:r>
        <w:tab/>
      </w:r>
      <w:r w:rsidR="008E6F4B" w:rsidRPr="007550C2">
        <w:t xml:space="preserve">The </w:t>
      </w:r>
      <w:r w:rsidR="00DA17D7" w:rsidRPr="007550C2">
        <w:t>fortieth</w:t>
      </w:r>
      <w:r w:rsidR="008E6F4B" w:rsidRPr="007550C2">
        <w:t xml:space="preserve"> session of the Subsidiary Body for Implementation (SBI) was held at the </w:t>
      </w:r>
      <w:proofErr w:type="spellStart"/>
      <w:r w:rsidR="00DA17D7" w:rsidRPr="007550C2">
        <w:t>Maritim</w:t>
      </w:r>
      <w:proofErr w:type="spellEnd"/>
      <w:r w:rsidR="00DA17D7" w:rsidRPr="007550C2">
        <w:t xml:space="preserve"> Hotel </w:t>
      </w:r>
      <w:r w:rsidR="002219DE" w:rsidRPr="000238B6">
        <w:t xml:space="preserve">in </w:t>
      </w:r>
      <w:r w:rsidR="00DA17D7" w:rsidRPr="000238B6">
        <w:t>Bonn, Germany,</w:t>
      </w:r>
      <w:r w:rsidR="008E6F4B" w:rsidRPr="000238B6">
        <w:t xml:space="preserve"> from </w:t>
      </w:r>
      <w:r w:rsidR="00DA17D7" w:rsidRPr="000238B6">
        <w:t>4</w:t>
      </w:r>
      <w:r w:rsidR="008E6F4B" w:rsidRPr="000238B6">
        <w:t xml:space="preserve"> to 1</w:t>
      </w:r>
      <w:r w:rsidR="00DA17D7" w:rsidRPr="000238B6">
        <w:t>5</w:t>
      </w:r>
      <w:r w:rsidR="008E6F4B" w:rsidRPr="000238B6">
        <w:t xml:space="preserve"> </w:t>
      </w:r>
      <w:r w:rsidR="00DA17D7" w:rsidRPr="000238B6">
        <w:t>June 2014</w:t>
      </w:r>
      <w:r w:rsidR="008E6F4B" w:rsidRPr="000238B6">
        <w:t>.</w:t>
      </w:r>
    </w:p>
    <w:p w14:paraId="20C774F0" w14:textId="77777777" w:rsidR="00A61BEC" w:rsidRPr="00CC2764" w:rsidRDefault="00794FF0" w:rsidP="00794FF0">
      <w:pPr>
        <w:pStyle w:val="SingleTxtG"/>
      </w:pPr>
      <w:r>
        <w:t>2.</w:t>
      </w:r>
      <w:r>
        <w:tab/>
      </w:r>
      <w:r w:rsidR="00A61BEC" w:rsidRPr="00324DA3">
        <w:t xml:space="preserve">The Chair of the SBI, </w:t>
      </w:r>
      <w:proofErr w:type="spellStart"/>
      <w:r w:rsidR="00A61BEC" w:rsidRPr="00324DA3">
        <w:t>Mr.</w:t>
      </w:r>
      <w:proofErr w:type="spellEnd"/>
      <w:r w:rsidR="00A61BEC" w:rsidRPr="00324DA3">
        <w:t> </w:t>
      </w:r>
      <w:proofErr w:type="spellStart"/>
      <w:r w:rsidR="00DA17D7" w:rsidRPr="00324DA3">
        <w:t>Amena</w:t>
      </w:r>
      <w:proofErr w:type="spellEnd"/>
      <w:r w:rsidR="00A61BEC" w:rsidRPr="00324DA3">
        <w:t xml:space="preserve"> </w:t>
      </w:r>
      <w:proofErr w:type="spellStart"/>
      <w:r w:rsidR="00DA17D7" w:rsidRPr="00FE4BFB">
        <w:t>Yauvoli</w:t>
      </w:r>
      <w:proofErr w:type="spellEnd"/>
      <w:r w:rsidR="00A61BEC" w:rsidRPr="00303799">
        <w:t xml:space="preserve"> (</w:t>
      </w:r>
      <w:r w:rsidR="00DA17D7" w:rsidRPr="009828C0">
        <w:t>Fiji</w:t>
      </w:r>
      <w:r w:rsidR="00A61BEC" w:rsidRPr="009828C0">
        <w:t xml:space="preserve">), opened the session on </w:t>
      </w:r>
      <w:r w:rsidR="00DA17D7" w:rsidRPr="009828C0">
        <w:t>Wednesday</w:t>
      </w:r>
      <w:r w:rsidR="00A61BEC" w:rsidRPr="00C842A6">
        <w:t xml:space="preserve">, </w:t>
      </w:r>
      <w:r w:rsidR="00DA17D7" w:rsidRPr="00C741ED">
        <w:t>4</w:t>
      </w:r>
      <w:r w:rsidR="00A61BEC" w:rsidRPr="006C5299">
        <w:t xml:space="preserve"> </w:t>
      </w:r>
      <w:r w:rsidR="00DA17D7" w:rsidRPr="00FC617B">
        <w:t>June</w:t>
      </w:r>
      <w:r w:rsidR="00A94F68" w:rsidRPr="008A4292">
        <w:t>,</w:t>
      </w:r>
      <w:r w:rsidR="00A61BEC" w:rsidRPr="0096485E">
        <w:t xml:space="preserve"> and welcomed</w:t>
      </w:r>
      <w:r w:rsidR="00A61BEC" w:rsidRPr="00506FB7">
        <w:t xml:space="preserve"> all Parties and observers. He also welcomed </w:t>
      </w:r>
      <w:proofErr w:type="spellStart"/>
      <w:r w:rsidR="00DA17D7" w:rsidRPr="00097135">
        <w:t>Mr.</w:t>
      </w:r>
      <w:proofErr w:type="spellEnd"/>
      <w:r w:rsidR="00DA17D7" w:rsidRPr="00097135">
        <w:t xml:space="preserve"> </w:t>
      </w:r>
      <w:proofErr w:type="spellStart"/>
      <w:r w:rsidR="00DA17D7" w:rsidRPr="00097135">
        <w:t>Ilhomjon</w:t>
      </w:r>
      <w:proofErr w:type="spellEnd"/>
      <w:r w:rsidR="00DA17D7" w:rsidRPr="00097135">
        <w:t xml:space="preserve"> </w:t>
      </w:r>
      <w:proofErr w:type="spellStart"/>
      <w:r w:rsidR="00DA17D7" w:rsidRPr="00097135">
        <w:t>Rajabov</w:t>
      </w:r>
      <w:proofErr w:type="spellEnd"/>
      <w:r w:rsidR="00DA17D7" w:rsidRPr="00097135">
        <w:t xml:space="preserve"> (Tajikistan) </w:t>
      </w:r>
      <w:r w:rsidR="00A61BEC" w:rsidRPr="00C44077">
        <w:t xml:space="preserve">as Vice-Chair of the SBI and </w:t>
      </w:r>
      <w:proofErr w:type="spellStart"/>
      <w:r w:rsidR="00A61BEC" w:rsidRPr="00C44077">
        <w:t>Ms.</w:t>
      </w:r>
      <w:proofErr w:type="spellEnd"/>
      <w:r w:rsidR="00A94F68" w:rsidRPr="00D32526">
        <w:t> </w:t>
      </w:r>
      <w:proofErr w:type="spellStart"/>
      <w:r w:rsidR="00A61BEC" w:rsidRPr="00CC2764">
        <w:t>Mabafokeng</w:t>
      </w:r>
      <w:proofErr w:type="spellEnd"/>
      <w:r w:rsidR="00A61BEC" w:rsidRPr="00CC2764">
        <w:t xml:space="preserve"> F. </w:t>
      </w:r>
      <w:proofErr w:type="spellStart"/>
      <w:r w:rsidR="00A61BEC" w:rsidRPr="00CC2764">
        <w:t>Mahahabisa</w:t>
      </w:r>
      <w:proofErr w:type="spellEnd"/>
      <w:r w:rsidR="00A61BEC" w:rsidRPr="00CC2764">
        <w:t xml:space="preserve"> (Lesotho) as Rapporteur.</w:t>
      </w:r>
    </w:p>
    <w:p w14:paraId="1EDDD542" w14:textId="77777777" w:rsidR="00A61BEC" w:rsidRPr="00AE549A" w:rsidRDefault="00794FF0" w:rsidP="00794FF0">
      <w:pPr>
        <w:pStyle w:val="HChG"/>
      </w:pPr>
      <w:bookmarkStart w:id="3" w:name="_Toc391983276"/>
      <w:r>
        <w:tab/>
        <w:t>II.</w:t>
      </w:r>
      <w:r>
        <w:tab/>
      </w:r>
      <w:r w:rsidR="00A61BEC" w:rsidRPr="00AE549A">
        <w:t>Organizational matters</w:t>
      </w:r>
      <w:bookmarkEnd w:id="3"/>
      <w:r w:rsidR="005C0537" w:rsidRPr="00AE549A">
        <w:br/>
      </w:r>
      <w:r w:rsidR="00A61BEC" w:rsidRPr="00327414">
        <w:rPr>
          <w:b w:val="0"/>
          <w:sz w:val="20"/>
        </w:rPr>
        <w:t>(Agenda item 2)</w:t>
      </w:r>
    </w:p>
    <w:p w14:paraId="3F4B160D" w14:textId="77777777" w:rsidR="003D5573" w:rsidRPr="007550C2" w:rsidRDefault="00794FF0" w:rsidP="00794FF0">
      <w:pPr>
        <w:pStyle w:val="H1G"/>
        <w:tabs>
          <w:tab w:val="right" w:pos="850"/>
        </w:tabs>
        <w:rPr>
          <w:rStyle w:val="SingleTxtGChar"/>
          <w:b w:val="0"/>
          <w:sz w:val="20"/>
        </w:rPr>
      </w:pPr>
      <w:bookmarkStart w:id="4" w:name="_Toc391983277"/>
      <w:r>
        <w:tab/>
        <w:t>A.</w:t>
      </w:r>
      <w:r>
        <w:tab/>
      </w:r>
      <w:r w:rsidR="003D5573" w:rsidRPr="00AE549A">
        <w:t>Adoption of the agenda</w:t>
      </w:r>
      <w:r w:rsidR="003D5573" w:rsidRPr="00AE549A">
        <w:br/>
      </w:r>
      <w:r w:rsidR="003D5573" w:rsidRPr="00AE549A">
        <w:rPr>
          <w:rStyle w:val="SingleTxtGChar"/>
          <w:b w:val="0"/>
          <w:sz w:val="20"/>
        </w:rPr>
        <w:t xml:space="preserve">(Agenda </w:t>
      </w:r>
      <w:r w:rsidR="0016758E" w:rsidRPr="00AE549A">
        <w:rPr>
          <w:rStyle w:val="SingleTxtGChar"/>
          <w:b w:val="0"/>
          <w:sz w:val="20"/>
        </w:rPr>
        <w:t>su</w:t>
      </w:r>
      <w:r w:rsidR="0016758E" w:rsidRPr="007550C2">
        <w:rPr>
          <w:rStyle w:val="SingleTxtGChar"/>
          <w:b w:val="0"/>
          <w:sz w:val="20"/>
        </w:rPr>
        <w:t>b-item</w:t>
      </w:r>
      <w:r w:rsidR="003D5573" w:rsidRPr="007550C2">
        <w:rPr>
          <w:rStyle w:val="SingleTxtGChar"/>
          <w:b w:val="0"/>
          <w:sz w:val="20"/>
        </w:rPr>
        <w:t xml:space="preserve"> 2(a))</w:t>
      </w:r>
      <w:bookmarkEnd w:id="4"/>
    </w:p>
    <w:p w14:paraId="3E99B8BB" w14:textId="77777777" w:rsidR="00A61BEC" w:rsidRPr="007550C2" w:rsidRDefault="00794FF0" w:rsidP="00794FF0">
      <w:pPr>
        <w:pStyle w:val="SingleTxtG"/>
      </w:pPr>
      <w:r>
        <w:t>3.</w:t>
      </w:r>
      <w:r>
        <w:tab/>
      </w:r>
      <w:r w:rsidR="00A61BEC" w:rsidRPr="000238B6">
        <w:t>At its 1</w:t>
      </w:r>
      <w:r w:rsidR="00A61BEC" w:rsidRPr="000238B6">
        <w:rPr>
          <w:vertAlign w:val="superscript"/>
        </w:rPr>
        <w:t>st</w:t>
      </w:r>
      <w:r w:rsidR="00A61BEC" w:rsidRPr="000238B6">
        <w:t xml:space="preserve"> meeting, on </w:t>
      </w:r>
      <w:r w:rsidR="0051158B" w:rsidRPr="000238B6">
        <w:t>4</w:t>
      </w:r>
      <w:r w:rsidR="00A61BEC" w:rsidRPr="000238B6">
        <w:t xml:space="preserve"> </w:t>
      </w:r>
      <w:r w:rsidR="0051158B" w:rsidRPr="000238B6">
        <w:t>June</w:t>
      </w:r>
      <w:r w:rsidR="00A61BEC" w:rsidRPr="000238B6">
        <w:t>, the SBI considered a note by the Executive Secretary containing the provisional agenda and annotations (</w:t>
      </w:r>
      <w:r w:rsidR="00A61BEC" w:rsidRPr="007550C2">
        <w:t>FCCC/SBI/201</w:t>
      </w:r>
      <w:r w:rsidR="0051158B" w:rsidRPr="007550C2">
        <w:t>4</w:t>
      </w:r>
      <w:r w:rsidR="00A61BEC" w:rsidRPr="007550C2">
        <w:t>/</w:t>
      </w:r>
      <w:r w:rsidR="0051158B" w:rsidRPr="007550C2">
        <w:t>1</w:t>
      </w:r>
      <w:r w:rsidR="00A61BEC" w:rsidRPr="007550C2">
        <w:t>).</w:t>
      </w:r>
    </w:p>
    <w:p w14:paraId="2A50A6C4" w14:textId="77777777" w:rsidR="00A61BEC" w:rsidRPr="007550C2" w:rsidRDefault="00794FF0" w:rsidP="00794FF0">
      <w:pPr>
        <w:pStyle w:val="SingleTxtG"/>
      </w:pPr>
      <w:r>
        <w:t>4.</w:t>
      </w:r>
      <w:r>
        <w:tab/>
      </w:r>
      <w:r w:rsidR="00A61BEC" w:rsidRPr="000238B6">
        <w:t xml:space="preserve">At the same meeting, the agenda was adopted as follows, with </w:t>
      </w:r>
      <w:r w:rsidR="0016758E" w:rsidRPr="000238B6">
        <w:t>age</w:t>
      </w:r>
      <w:r w:rsidR="0016758E" w:rsidRPr="007550C2">
        <w:t>nda sub-</w:t>
      </w:r>
      <w:r w:rsidR="00114878" w:rsidRPr="007550C2">
        <w:t>item</w:t>
      </w:r>
      <w:r w:rsidR="00A61BEC" w:rsidRPr="007550C2">
        <w:t xml:space="preserve"> 4(</w:t>
      </w:r>
      <w:r w:rsidR="0051158B" w:rsidRPr="007550C2">
        <w:t>a</w:t>
      </w:r>
      <w:r w:rsidR="00A61BEC" w:rsidRPr="007550C2">
        <w:t>) held in abeyance</w:t>
      </w:r>
      <w:r w:rsidR="00B56F63" w:rsidRPr="007550C2">
        <w:t xml:space="preserve"> (</w:t>
      </w:r>
      <w:r w:rsidR="009D42E3" w:rsidRPr="007550C2">
        <w:t xml:space="preserve">the Chair </w:t>
      </w:r>
      <w:r w:rsidR="00B56F63" w:rsidRPr="007550C2">
        <w:t xml:space="preserve">proposed </w:t>
      </w:r>
      <w:r w:rsidR="009D42E3" w:rsidRPr="007550C2">
        <w:t xml:space="preserve">to conduct consultations with interested Parties on how to move forward with </w:t>
      </w:r>
      <w:r w:rsidR="0016758E" w:rsidRPr="007550C2">
        <w:t>agenda sub-</w:t>
      </w:r>
      <w:r w:rsidR="00114878" w:rsidRPr="007550C2">
        <w:t>item</w:t>
      </w:r>
      <w:r w:rsidR="009D42E3" w:rsidRPr="007550C2">
        <w:t xml:space="preserve"> 4(a) at subsequent sessions</w:t>
      </w:r>
      <w:r w:rsidR="00B56F63" w:rsidRPr="007550C2">
        <w:t>)</w:t>
      </w:r>
      <w:r w:rsidR="002219DE" w:rsidRPr="007550C2">
        <w:t>:</w:t>
      </w:r>
    </w:p>
    <w:p w14:paraId="731A75F5" w14:textId="77777777" w:rsidR="00A61BEC" w:rsidRPr="000238B6" w:rsidRDefault="00A61BEC" w:rsidP="00A61BEC">
      <w:pPr>
        <w:pStyle w:val="SingleTxtG"/>
        <w:ind w:firstLine="566"/>
      </w:pPr>
      <w:r w:rsidRPr="000238B6">
        <w:t>1.</w:t>
      </w:r>
      <w:r w:rsidRPr="000238B6">
        <w:tab/>
        <w:t>Opening of the session.</w:t>
      </w:r>
    </w:p>
    <w:p w14:paraId="592C2027" w14:textId="77777777" w:rsidR="00A61BEC" w:rsidRPr="00324DA3" w:rsidRDefault="00A61BEC" w:rsidP="00A61BEC">
      <w:pPr>
        <w:pStyle w:val="SingleTxtG"/>
        <w:ind w:firstLine="567"/>
      </w:pPr>
      <w:bookmarkStart w:id="5" w:name="OLE_LINK10"/>
      <w:bookmarkStart w:id="6" w:name="OLE_LINK12"/>
      <w:r w:rsidRPr="00324DA3">
        <w:t>2.</w:t>
      </w:r>
      <w:r w:rsidRPr="00324DA3">
        <w:tab/>
        <w:t>Organizational matters</w:t>
      </w:r>
      <w:bookmarkEnd w:id="5"/>
      <w:r w:rsidRPr="00324DA3">
        <w:t>:</w:t>
      </w:r>
    </w:p>
    <w:p w14:paraId="0CDA6498" w14:textId="77777777" w:rsidR="00A61BEC" w:rsidRPr="00FE4BFB" w:rsidRDefault="00A61BEC" w:rsidP="00A61BEC">
      <w:pPr>
        <w:pStyle w:val="SingleTxtG"/>
        <w:ind w:left="2835" w:hanging="567"/>
      </w:pPr>
      <w:bookmarkStart w:id="7" w:name="OLE_LINK13"/>
      <w:bookmarkEnd w:id="6"/>
      <w:r w:rsidRPr="00FE4BFB">
        <w:t>(a)</w:t>
      </w:r>
      <w:r w:rsidRPr="00FE4BFB">
        <w:tab/>
        <w:t>Adoption of the agenda</w:t>
      </w:r>
      <w:bookmarkEnd w:id="7"/>
      <w:r w:rsidRPr="00FE4BFB">
        <w:t>;</w:t>
      </w:r>
    </w:p>
    <w:p w14:paraId="3151C854" w14:textId="77777777" w:rsidR="00B1389E" w:rsidRPr="009828C0" w:rsidRDefault="00A61BEC" w:rsidP="0051158B">
      <w:pPr>
        <w:pStyle w:val="SingleTxtG"/>
        <w:ind w:left="2835" w:hanging="567"/>
      </w:pPr>
      <w:bookmarkStart w:id="8" w:name="OLE_LINK14"/>
      <w:r w:rsidRPr="00303799">
        <w:t>(b)</w:t>
      </w:r>
      <w:r w:rsidRPr="00303799">
        <w:tab/>
        <w:t>Organization of the work of the session</w:t>
      </w:r>
      <w:bookmarkStart w:id="9" w:name="OLE_LINK3"/>
      <w:bookmarkStart w:id="10" w:name="OLE_LINK8"/>
      <w:bookmarkEnd w:id="8"/>
      <w:r w:rsidR="0051158B" w:rsidRPr="009828C0">
        <w:t>.</w:t>
      </w:r>
    </w:p>
    <w:p w14:paraId="297EFF55" w14:textId="77777777" w:rsidR="0051158B" w:rsidRPr="00C842A6" w:rsidRDefault="00A61BEC" w:rsidP="0051158B">
      <w:pPr>
        <w:pStyle w:val="SingleTxtG"/>
        <w:ind w:firstLine="566"/>
      </w:pPr>
      <w:bookmarkStart w:id="11" w:name="OLE_LINK48"/>
      <w:r w:rsidRPr="009828C0">
        <w:t>3.</w:t>
      </w:r>
      <w:r w:rsidRPr="009828C0">
        <w:tab/>
      </w:r>
      <w:bookmarkStart w:id="12" w:name="OLE_LINK44"/>
      <w:bookmarkEnd w:id="9"/>
      <w:bookmarkEnd w:id="10"/>
      <w:bookmarkEnd w:id="11"/>
      <w:r w:rsidR="0051158B" w:rsidRPr="00C842A6">
        <w:t>Reporting and review of Parties included in Annex I to the Convention:</w:t>
      </w:r>
    </w:p>
    <w:p w14:paraId="081617EE" w14:textId="77777777" w:rsidR="0051158B" w:rsidRPr="00C741ED" w:rsidRDefault="0051158B" w:rsidP="0051158B">
      <w:pPr>
        <w:pStyle w:val="SingleTxtG"/>
        <w:ind w:left="2835" w:hanging="567"/>
      </w:pPr>
      <w:r w:rsidRPr="00C741ED">
        <w:t>(a)</w:t>
      </w:r>
      <w:r w:rsidRPr="00C741ED">
        <w:tab/>
        <w:t>Status of submission and review of sixth national communications and first biennial reports from Parties included in Annex I to the Convention;</w:t>
      </w:r>
      <w:bookmarkStart w:id="13" w:name="OLE_LINK4"/>
      <w:bookmarkStart w:id="14" w:name="OLE_LINK5"/>
    </w:p>
    <w:bookmarkEnd w:id="13"/>
    <w:bookmarkEnd w:id="14"/>
    <w:p w14:paraId="52A0B3D7" w14:textId="77777777" w:rsidR="0051158B" w:rsidRPr="00097135" w:rsidRDefault="0051158B" w:rsidP="0051158B">
      <w:pPr>
        <w:pStyle w:val="SingleTxtG"/>
        <w:ind w:left="2835" w:hanging="567"/>
      </w:pPr>
      <w:r w:rsidRPr="006C5299">
        <w:t>(b)</w:t>
      </w:r>
      <w:r w:rsidRPr="006C5299">
        <w:tab/>
        <w:t xml:space="preserve">Revision of the </w:t>
      </w:r>
      <w:r w:rsidR="00B56F63" w:rsidRPr="00FC617B">
        <w:t>“</w:t>
      </w:r>
      <w:r w:rsidRPr="008A4292">
        <w:t>Guidelines f</w:t>
      </w:r>
      <w:r w:rsidRPr="0096485E">
        <w:t>or the preparation of national communications by Parties included in Annex I to the Convention, Part II: UNFCCC reporting guidelines on national communications</w:t>
      </w:r>
      <w:r w:rsidR="00B56F63" w:rsidRPr="00506FB7">
        <w:t>”</w:t>
      </w:r>
      <w:r w:rsidRPr="00097135">
        <w:t>;</w:t>
      </w:r>
    </w:p>
    <w:p w14:paraId="7A2029A6" w14:textId="77777777" w:rsidR="0051158B" w:rsidRPr="00D32526" w:rsidRDefault="0051158B" w:rsidP="0051158B">
      <w:pPr>
        <w:pStyle w:val="SingleTxtG"/>
        <w:ind w:left="2835" w:hanging="567"/>
      </w:pPr>
      <w:r w:rsidRPr="00C44077">
        <w:t>(c)</w:t>
      </w:r>
      <w:r w:rsidRPr="00C44077">
        <w:tab/>
        <w:t xml:space="preserve">Date of the completion of the expert review process under Article 8 of the Kyoto Protocol </w:t>
      </w:r>
      <w:r w:rsidRPr="00D32526">
        <w:t>for the first commitment period.</w:t>
      </w:r>
    </w:p>
    <w:p w14:paraId="3EEAD0BF" w14:textId="77777777" w:rsidR="0051158B" w:rsidRPr="00CC2764" w:rsidRDefault="0051158B" w:rsidP="0051158B">
      <w:pPr>
        <w:pStyle w:val="SingleTxtG"/>
        <w:ind w:firstLine="566"/>
      </w:pPr>
      <w:bookmarkStart w:id="15" w:name="OLE_LINK20"/>
      <w:r w:rsidRPr="00CC2764">
        <w:t>4.</w:t>
      </w:r>
      <w:r w:rsidRPr="00CC2764">
        <w:tab/>
        <w:t>Reporting from Parties not included in Annex I to the Convention</w:t>
      </w:r>
      <w:bookmarkEnd w:id="15"/>
      <w:r w:rsidRPr="00CC2764">
        <w:t xml:space="preserve">: </w:t>
      </w:r>
    </w:p>
    <w:p w14:paraId="51570A93" w14:textId="77777777" w:rsidR="0051158B" w:rsidRPr="00AE549A" w:rsidRDefault="0051158B" w:rsidP="0051158B">
      <w:pPr>
        <w:pStyle w:val="SingleTxtG"/>
        <w:ind w:left="2835" w:hanging="567"/>
      </w:pPr>
      <w:bookmarkStart w:id="16" w:name="OLE_LINK22"/>
      <w:r w:rsidRPr="00AE549A">
        <w:t>(a)</w:t>
      </w:r>
      <w:r w:rsidRPr="00AE549A">
        <w:tab/>
        <w:t>Information contained in national communications from Parties not included in Annex I to the Convention</w:t>
      </w:r>
      <w:r w:rsidR="007B3C2F" w:rsidRPr="00AE549A">
        <w:t xml:space="preserve"> (agenda item held in abeyance)</w:t>
      </w:r>
      <w:r w:rsidRPr="00AE549A">
        <w:t>;</w:t>
      </w:r>
      <w:r w:rsidRPr="00AE549A">
        <w:rPr>
          <w:sz w:val="18"/>
        </w:rPr>
        <w:t xml:space="preserve"> </w:t>
      </w:r>
    </w:p>
    <w:p w14:paraId="133D856B" w14:textId="77777777" w:rsidR="0051158B" w:rsidRPr="00AE549A" w:rsidRDefault="0051158B" w:rsidP="0051158B">
      <w:pPr>
        <w:pStyle w:val="SingleTxtG"/>
        <w:ind w:left="2835" w:hanging="567"/>
      </w:pPr>
      <w:r w:rsidRPr="00AE549A">
        <w:t>(b)</w:t>
      </w:r>
      <w:r w:rsidRPr="00AE549A">
        <w:tab/>
        <w:t>Provision of financial and technical support.</w:t>
      </w:r>
    </w:p>
    <w:p w14:paraId="3A340F72" w14:textId="77777777" w:rsidR="0051158B" w:rsidRPr="00AE549A" w:rsidRDefault="0051158B" w:rsidP="00E251E9">
      <w:pPr>
        <w:pStyle w:val="SingleTxtG"/>
        <w:ind w:left="2268" w:hanging="568"/>
      </w:pPr>
      <w:bookmarkStart w:id="17" w:name="OLE_LINK51"/>
      <w:bookmarkEnd w:id="16"/>
      <w:r w:rsidRPr="00AE549A">
        <w:t>5.</w:t>
      </w:r>
      <w:r w:rsidRPr="00AE549A">
        <w:tab/>
        <w:t>Work programme to further the understanding of the diversity of nationally appropriate mitigation actions.</w:t>
      </w:r>
    </w:p>
    <w:bookmarkEnd w:id="17"/>
    <w:p w14:paraId="7A415D61" w14:textId="77777777" w:rsidR="0051158B" w:rsidRPr="00AE549A" w:rsidRDefault="0051158B" w:rsidP="00E251E9">
      <w:pPr>
        <w:pStyle w:val="SingleTxtG"/>
        <w:ind w:left="2268" w:hanging="568"/>
      </w:pPr>
      <w:r w:rsidRPr="00AE549A">
        <w:t>6.</w:t>
      </w:r>
      <w:r w:rsidRPr="00AE549A">
        <w:tab/>
        <w:t>Matters relating to the mechanisms under the Kyoto Protocol:</w:t>
      </w:r>
    </w:p>
    <w:p w14:paraId="38A851B1" w14:textId="77777777" w:rsidR="0051158B" w:rsidRPr="00AE549A" w:rsidRDefault="0051158B" w:rsidP="00E251E9">
      <w:pPr>
        <w:pStyle w:val="SingleTxtG"/>
        <w:ind w:left="2835" w:hanging="567"/>
      </w:pPr>
      <w:r w:rsidRPr="00AE549A">
        <w:t>(a)</w:t>
      </w:r>
      <w:r w:rsidRPr="00AE549A">
        <w:tab/>
        <w:t>Review of the modalities and procedures for the clean development mechanism;</w:t>
      </w:r>
    </w:p>
    <w:p w14:paraId="2C52CC18" w14:textId="77777777" w:rsidR="0051158B" w:rsidRPr="00AE549A" w:rsidRDefault="0051158B" w:rsidP="00E251E9">
      <w:pPr>
        <w:pStyle w:val="SingleTxtG"/>
        <w:ind w:left="2835" w:hanging="567"/>
      </w:pPr>
      <w:r w:rsidRPr="00AE549A">
        <w:t>(b)</w:t>
      </w:r>
      <w:r w:rsidRPr="00AE549A">
        <w:tab/>
        <w:t>Review of the joint implementation guidelines;</w:t>
      </w:r>
    </w:p>
    <w:p w14:paraId="7F6C718F" w14:textId="77777777" w:rsidR="0051158B" w:rsidRPr="00AE549A" w:rsidRDefault="0051158B" w:rsidP="00E251E9">
      <w:pPr>
        <w:pStyle w:val="SingleTxtG"/>
        <w:ind w:left="2835" w:hanging="567"/>
      </w:pPr>
      <w:r w:rsidRPr="00AE549A">
        <w:t>(c)</w:t>
      </w:r>
      <w:r w:rsidRPr="00AE549A">
        <w:tab/>
        <w:t>Synergy relating to accreditation under the mechanisms of the Kyoto Protocol;</w:t>
      </w:r>
    </w:p>
    <w:p w14:paraId="7E4D67AB" w14:textId="77777777" w:rsidR="0051158B" w:rsidRPr="00AE549A" w:rsidRDefault="0051158B" w:rsidP="00E251E9">
      <w:pPr>
        <w:pStyle w:val="SingleTxtG"/>
        <w:ind w:left="2835" w:hanging="567"/>
      </w:pPr>
      <w:r w:rsidRPr="00AE549A">
        <w:t>(d)</w:t>
      </w:r>
      <w:r w:rsidRPr="00AE549A">
        <w:tab/>
        <w:t>Modalities for expediting the continued issuance, transfer and acquisition of joint implementation emission reduction units;</w:t>
      </w:r>
    </w:p>
    <w:p w14:paraId="7A8EFA89" w14:textId="77777777" w:rsidR="0051158B" w:rsidRPr="00AE549A" w:rsidRDefault="0051158B" w:rsidP="00E251E9">
      <w:pPr>
        <w:pStyle w:val="SingleTxtG"/>
        <w:ind w:left="2835" w:hanging="567"/>
      </w:pPr>
      <w:r w:rsidRPr="00AE549A">
        <w:t>(e)</w:t>
      </w:r>
      <w:r w:rsidRPr="00AE549A">
        <w:tab/>
        <w:t>Procedures, mechanisms and institutional arrangements for appeals against decisions of the Executive Board of the clean development mechanism;</w:t>
      </w:r>
    </w:p>
    <w:p w14:paraId="5A2E5DDE" w14:textId="77777777" w:rsidR="0051158B" w:rsidRPr="00AE549A" w:rsidRDefault="0051158B" w:rsidP="00E251E9">
      <w:pPr>
        <w:pStyle w:val="SingleTxtG"/>
        <w:ind w:left="2835" w:hanging="567"/>
      </w:pPr>
      <w:r w:rsidRPr="00AE549A">
        <w:t>(f)</w:t>
      </w:r>
      <w:r w:rsidRPr="00AE549A">
        <w:tab/>
        <w:t>Matters relating to the international transaction log under the Kyoto Protocol.</w:t>
      </w:r>
    </w:p>
    <w:p w14:paraId="3FD3F07B" w14:textId="77777777" w:rsidR="0051158B" w:rsidRPr="00AE549A" w:rsidRDefault="0051158B" w:rsidP="00F74BD7">
      <w:pPr>
        <w:pStyle w:val="SingleTxtG"/>
        <w:ind w:left="2268" w:hanging="568"/>
      </w:pPr>
      <w:bookmarkStart w:id="18" w:name="OLE_LINK29"/>
      <w:r w:rsidRPr="00AE549A">
        <w:t>7.</w:t>
      </w:r>
      <w:r w:rsidRPr="00AE549A">
        <w:tab/>
        <w:t>Matters relating to the least developed countries</w:t>
      </w:r>
      <w:bookmarkStart w:id="19" w:name="OLE_LINK30"/>
      <w:bookmarkEnd w:id="18"/>
      <w:r w:rsidRPr="00AE549A">
        <w:t>.</w:t>
      </w:r>
    </w:p>
    <w:p w14:paraId="40BD6890" w14:textId="77777777" w:rsidR="0051158B" w:rsidRPr="00AE549A" w:rsidRDefault="0051158B" w:rsidP="00F74BD7">
      <w:pPr>
        <w:pStyle w:val="SingleTxtG"/>
        <w:ind w:left="2268" w:hanging="568"/>
      </w:pPr>
      <w:r w:rsidRPr="00AE549A">
        <w:t>8.</w:t>
      </w:r>
      <w:r w:rsidRPr="00AE549A">
        <w:tab/>
        <w:t>National adaptation plans</w:t>
      </w:r>
      <w:bookmarkEnd w:id="19"/>
      <w:r w:rsidRPr="00AE549A">
        <w:t>.</w:t>
      </w:r>
    </w:p>
    <w:p w14:paraId="3D6139E6" w14:textId="77777777" w:rsidR="0051158B" w:rsidRPr="00AE549A" w:rsidRDefault="0051158B" w:rsidP="00F74BD7">
      <w:pPr>
        <w:pStyle w:val="SingleTxtG"/>
        <w:ind w:left="2268" w:hanging="568"/>
      </w:pPr>
      <w:r w:rsidRPr="00AE549A">
        <w:t>9.</w:t>
      </w:r>
      <w:r w:rsidRPr="00AE549A">
        <w:tab/>
      </w:r>
      <w:r w:rsidR="00144B53" w:rsidRPr="00AE549A">
        <w:t xml:space="preserve">Warsaw </w:t>
      </w:r>
      <w:r w:rsidR="005D47F2" w:rsidRPr="00AE549A">
        <w:t>I</w:t>
      </w:r>
      <w:r w:rsidR="007A4582" w:rsidRPr="00AE549A">
        <w:t xml:space="preserve">nternational </w:t>
      </w:r>
      <w:r w:rsidR="005D47F2" w:rsidRPr="00AE549A">
        <w:t>M</w:t>
      </w:r>
      <w:r w:rsidR="007A4582" w:rsidRPr="00AE549A">
        <w:t xml:space="preserve">echanism </w:t>
      </w:r>
      <w:r w:rsidR="005D47F2" w:rsidRPr="00AE549A">
        <w:t>for Loss</w:t>
      </w:r>
      <w:r w:rsidRPr="00AE549A">
        <w:t xml:space="preserve"> </w:t>
      </w:r>
      <w:r w:rsidR="007A4582" w:rsidRPr="00AE549A">
        <w:t xml:space="preserve">and </w:t>
      </w:r>
      <w:r w:rsidR="005D47F2" w:rsidRPr="00AE549A">
        <w:t>Damage</w:t>
      </w:r>
      <w:r w:rsidRPr="00AE549A">
        <w:t xml:space="preserve"> </w:t>
      </w:r>
      <w:r w:rsidR="007A4582" w:rsidRPr="00AE549A">
        <w:t xml:space="preserve">associated with </w:t>
      </w:r>
      <w:r w:rsidR="005D47F2" w:rsidRPr="00AE549A">
        <w:t>Climate</w:t>
      </w:r>
      <w:r w:rsidRPr="00AE549A">
        <w:t xml:space="preserve"> </w:t>
      </w:r>
      <w:r w:rsidR="005D47F2" w:rsidRPr="00AE549A">
        <w:t>Change</w:t>
      </w:r>
      <w:r w:rsidRPr="00AE549A">
        <w:t xml:space="preserve"> </w:t>
      </w:r>
      <w:r w:rsidR="005D47F2" w:rsidRPr="00AE549A">
        <w:t>Impacts</w:t>
      </w:r>
      <w:r w:rsidRPr="00AE549A">
        <w:t>.</w:t>
      </w:r>
    </w:p>
    <w:p w14:paraId="55F7015F" w14:textId="77777777" w:rsidR="0051158B" w:rsidRPr="00AE549A" w:rsidRDefault="0051158B" w:rsidP="00F74BD7">
      <w:pPr>
        <w:pStyle w:val="SingleTxtG"/>
        <w:ind w:left="2268" w:hanging="568"/>
      </w:pPr>
      <w:r w:rsidRPr="00AE549A">
        <w:t>10.</w:t>
      </w:r>
      <w:r w:rsidRPr="00AE549A">
        <w:tab/>
        <w:t>Second review of the Adaptation Fund.</w:t>
      </w:r>
    </w:p>
    <w:p w14:paraId="7FFC8B06" w14:textId="77777777" w:rsidR="0051158B" w:rsidRPr="00AE549A" w:rsidRDefault="0051158B" w:rsidP="00F74BD7">
      <w:pPr>
        <w:pStyle w:val="SingleTxtG"/>
        <w:ind w:left="2268" w:hanging="568"/>
      </w:pPr>
      <w:bookmarkStart w:id="20" w:name="OLE_LINK35"/>
      <w:r w:rsidRPr="00AE549A">
        <w:t>11.</w:t>
      </w:r>
      <w:r w:rsidRPr="00AE549A">
        <w:tab/>
        <w:t>Development and transfer of technologies and implementation of the Technology Mechanism:</w:t>
      </w:r>
    </w:p>
    <w:p w14:paraId="166E6C81" w14:textId="77777777" w:rsidR="0051158B" w:rsidRPr="00AE549A" w:rsidRDefault="0051158B" w:rsidP="00F74BD7">
      <w:pPr>
        <w:pStyle w:val="SingleTxtG"/>
        <w:ind w:left="2835" w:hanging="567"/>
      </w:pPr>
      <w:r w:rsidRPr="00AE549A">
        <w:t>(a)</w:t>
      </w:r>
      <w:r w:rsidRPr="00AE549A">
        <w:tab/>
        <w:t>Joint annual report of the Technology Executive Committee and the Climate Technology Centre and Network for 2013;</w:t>
      </w:r>
    </w:p>
    <w:p w14:paraId="25454624" w14:textId="77777777" w:rsidR="0051158B" w:rsidRPr="00AE549A" w:rsidRDefault="0051158B" w:rsidP="00F74BD7">
      <w:pPr>
        <w:pStyle w:val="SingleTxtG"/>
        <w:ind w:left="2835" w:hanging="567"/>
      </w:pPr>
      <w:r w:rsidRPr="00AE549A">
        <w:t>(b)</w:t>
      </w:r>
      <w:r w:rsidRPr="00AE549A">
        <w:tab/>
        <w:t>Poznan strategic programme on technology transfer.</w:t>
      </w:r>
    </w:p>
    <w:p w14:paraId="6DA08C2C" w14:textId="77777777" w:rsidR="0051158B" w:rsidRPr="00AE549A" w:rsidRDefault="0051158B" w:rsidP="00F74BD7">
      <w:pPr>
        <w:pStyle w:val="SingleTxtG"/>
        <w:ind w:left="2268" w:hanging="568"/>
      </w:pPr>
      <w:bookmarkStart w:id="21" w:name="OLE_LINK38"/>
      <w:r w:rsidRPr="00AE549A">
        <w:t>12.</w:t>
      </w:r>
      <w:r w:rsidRPr="00AE549A">
        <w:tab/>
      </w:r>
      <w:bookmarkEnd w:id="21"/>
      <w:r w:rsidRPr="00AE549A">
        <w:t>Capacity-building:</w:t>
      </w:r>
    </w:p>
    <w:p w14:paraId="432E5D8F" w14:textId="77777777" w:rsidR="0051158B" w:rsidRPr="00AE549A" w:rsidRDefault="0051158B" w:rsidP="00F74BD7">
      <w:pPr>
        <w:pStyle w:val="SingleTxtG"/>
        <w:ind w:left="2835" w:hanging="567"/>
      </w:pPr>
      <w:r w:rsidRPr="00AE549A">
        <w:t>(a)</w:t>
      </w:r>
      <w:r w:rsidRPr="00AE549A">
        <w:tab/>
        <w:t>Capacity-building under the Convention;</w:t>
      </w:r>
    </w:p>
    <w:p w14:paraId="64C80E3D" w14:textId="77777777" w:rsidR="0051158B" w:rsidRPr="00AE549A" w:rsidRDefault="0051158B" w:rsidP="00F74BD7">
      <w:pPr>
        <w:pStyle w:val="SingleTxtG"/>
        <w:ind w:left="2835" w:hanging="567"/>
      </w:pPr>
      <w:r w:rsidRPr="00AE549A">
        <w:t>(b)</w:t>
      </w:r>
      <w:r w:rsidRPr="00AE549A">
        <w:tab/>
        <w:t>Capacity-building under the Kyoto Protocol.</w:t>
      </w:r>
    </w:p>
    <w:p w14:paraId="69D72B73" w14:textId="77777777" w:rsidR="0051158B" w:rsidRPr="00AE549A" w:rsidRDefault="0051158B" w:rsidP="00F74BD7">
      <w:pPr>
        <w:pStyle w:val="SingleTxtG"/>
        <w:ind w:left="2268" w:hanging="568"/>
      </w:pPr>
      <w:bookmarkStart w:id="22" w:name="OLE_LINK36"/>
      <w:bookmarkEnd w:id="20"/>
      <w:r w:rsidRPr="00AE549A">
        <w:t>13.</w:t>
      </w:r>
      <w:r w:rsidRPr="00AE549A">
        <w:tab/>
        <w:t>Parties included in Annex I to the Convention whose special circumstances are recognized by the Conference of the Parties.</w:t>
      </w:r>
    </w:p>
    <w:p w14:paraId="7EAACD30" w14:textId="77777777" w:rsidR="0051158B" w:rsidRPr="00AE549A" w:rsidRDefault="0051158B" w:rsidP="00F74BD7">
      <w:pPr>
        <w:pStyle w:val="SingleTxtG"/>
        <w:ind w:left="2268" w:hanging="568"/>
      </w:pPr>
      <w:r w:rsidRPr="00AE549A">
        <w:t>14.</w:t>
      </w:r>
      <w:r w:rsidRPr="00AE549A">
        <w:tab/>
        <w:t>Article 6 of the Convention.</w:t>
      </w:r>
    </w:p>
    <w:p w14:paraId="798EB8A6" w14:textId="77777777" w:rsidR="0051158B" w:rsidRPr="00AE549A" w:rsidRDefault="0051158B" w:rsidP="00F74BD7">
      <w:pPr>
        <w:pStyle w:val="SingleTxtG"/>
        <w:ind w:left="2268" w:hanging="568"/>
      </w:pPr>
      <w:r w:rsidRPr="00AE549A">
        <w:t>15</w:t>
      </w:r>
      <w:r w:rsidRPr="00AE549A">
        <w:rPr>
          <w:i/>
        </w:rPr>
        <w:t>.</w:t>
      </w:r>
      <w:r w:rsidRPr="00AE549A">
        <w:tab/>
        <w:t>Impact of the implementation of response measures</w:t>
      </w:r>
      <w:bookmarkStart w:id="23" w:name="OLE_LINK42"/>
      <w:bookmarkEnd w:id="22"/>
      <w:r w:rsidRPr="00AE549A">
        <w:t>:</w:t>
      </w:r>
    </w:p>
    <w:p w14:paraId="734EAF37" w14:textId="77777777" w:rsidR="0051158B" w:rsidRPr="00AE549A" w:rsidRDefault="0051158B" w:rsidP="00F74BD7">
      <w:pPr>
        <w:pStyle w:val="SingleTxtG"/>
        <w:ind w:left="2835" w:hanging="567"/>
      </w:pPr>
      <w:r w:rsidRPr="00AE549A">
        <w:t>(a)</w:t>
      </w:r>
      <w:r w:rsidRPr="00AE549A">
        <w:tab/>
        <w:t>Forum and work programme;</w:t>
      </w:r>
    </w:p>
    <w:p w14:paraId="2CA4B503" w14:textId="77777777" w:rsidR="0051158B" w:rsidRPr="00AE549A" w:rsidRDefault="0051158B" w:rsidP="00F74BD7">
      <w:pPr>
        <w:pStyle w:val="SingleTxtG"/>
        <w:ind w:left="2835" w:hanging="567"/>
      </w:pPr>
      <w:r w:rsidRPr="00AE549A">
        <w:t>(b)</w:t>
      </w:r>
      <w:r w:rsidRPr="00AE549A">
        <w:tab/>
        <w:t>Matters relating to Article 3, paragraph 14, of the Kyoto Protocol;</w:t>
      </w:r>
    </w:p>
    <w:p w14:paraId="45C0FA73" w14:textId="77777777" w:rsidR="0051158B" w:rsidRPr="00AE549A" w:rsidRDefault="0051158B" w:rsidP="00F74BD7">
      <w:pPr>
        <w:pStyle w:val="SingleTxtG"/>
        <w:ind w:left="2835" w:hanging="567"/>
      </w:pPr>
      <w:r w:rsidRPr="00AE549A">
        <w:t>(c)</w:t>
      </w:r>
      <w:r w:rsidRPr="00AE549A">
        <w:tab/>
        <w:t>Progress on the implementation of decision 1/CP.10.</w:t>
      </w:r>
    </w:p>
    <w:bookmarkEnd w:id="23"/>
    <w:p w14:paraId="1754D6C3" w14:textId="77777777" w:rsidR="0051158B" w:rsidRPr="00AE549A" w:rsidRDefault="0051158B" w:rsidP="00F74BD7">
      <w:pPr>
        <w:pStyle w:val="SingleTxtG"/>
        <w:ind w:left="2268" w:hanging="568"/>
      </w:pPr>
      <w:r w:rsidRPr="00AE549A">
        <w:t>16.</w:t>
      </w:r>
      <w:r w:rsidRPr="00AE549A">
        <w:tab/>
        <w:t>The 2013–2015 review.</w:t>
      </w:r>
    </w:p>
    <w:p w14:paraId="2CBFA72C" w14:textId="77777777" w:rsidR="0051158B" w:rsidRPr="00AE549A" w:rsidRDefault="0051158B" w:rsidP="00F74BD7">
      <w:pPr>
        <w:pStyle w:val="SingleTxtG"/>
        <w:ind w:left="2268" w:hanging="568"/>
      </w:pPr>
      <w:r w:rsidRPr="00AE549A">
        <w:t>17.</w:t>
      </w:r>
      <w:r w:rsidRPr="00AE549A">
        <w:tab/>
        <w:t>Arrangements for intergovernmental meetings.</w:t>
      </w:r>
    </w:p>
    <w:p w14:paraId="4F7CFC87" w14:textId="77777777" w:rsidR="0051158B" w:rsidRPr="00AE549A" w:rsidRDefault="0051158B" w:rsidP="00F74BD7">
      <w:pPr>
        <w:pStyle w:val="SingleTxtG"/>
        <w:ind w:left="2268" w:hanging="568"/>
      </w:pPr>
      <w:r w:rsidRPr="00AE549A">
        <w:t>18.</w:t>
      </w:r>
      <w:r w:rsidRPr="00AE549A">
        <w:tab/>
        <w:t>Administrative, financial and institutional matters:</w:t>
      </w:r>
      <w:bookmarkStart w:id="24" w:name="OLE_LINK45"/>
    </w:p>
    <w:p w14:paraId="08F0B411" w14:textId="77777777" w:rsidR="0051158B" w:rsidRPr="00AE549A" w:rsidRDefault="0051158B" w:rsidP="00F74BD7">
      <w:pPr>
        <w:pStyle w:val="SingleTxtG"/>
        <w:ind w:left="2835" w:hanging="567"/>
      </w:pPr>
      <w:bookmarkStart w:id="25" w:name="OLE_LINK43"/>
      <w:bookmarkEnd w:id="24"/>
      <w:r w:rsidRPr="00AE549A">
        <w:t>(a)</w:t>
      </w:r>
      <w:r w:rsidRPr="00AE549A">
        <w:tab/>
        <w:t>Financial matters;</w:t>
      </w:r>
    </w:p>
    <w:p w14:paraId="1538AEAB" w14:textId="77777777" w:rsidR="0051158B" w:rsidRPr="00AE549A" w:rsidRDefault="0051158B" w:rsidP="00F74BD7">
      <w:pPr>
        <w:pStyle w:val="SingleTxtG"/>
        <w:ind w:left="2835" w:hanging="567"/>
      </w:pPr>
      <w:r w:rsidRPr="00AE549A">
        <w:t>(b)</w:t>
      </w:r>
      <w:r w:rsidRPr="00AE549A">
        <w:tab/>
        <w:t xml:space="preserve">Continuing review of the functions and operations of the secretariat; </w:t>
      </w:r>
    </w:p>
    <w:p w14:paraId="3A919C54" w14:textId="77777777" w:rsidR="0051158B" w:rsidRPr="00AE549A" w:rsidRDefault="0051158B" w:rsidP="00F74BD7">
      <w:pPr>
        <w:pStyle w:val="SingleTxtG"/>
        <w:ind w:left="2835" w:hanging="567"/>
      </w:pPr>
      <w:r w:rsidRPr="00AE549A">
        <w:t>(c)</w:t>
      </w:r>
      <w:r w:rsidRPr="00AE549A">
        <w:tab/>
        <w:t>Implementation of the Headquarters Agreement;</w:t>
      </w:r>
    </w:p>
    <w:p w14:paraId="7F2723EB" w14:textId="77777777" w:rsidR="0051158B" w:rsidRPr="00AE549A" w:rsidRDefault="0051158B" w:rsidP="00F74BD7">
      <w:pPr>
        <w:pStyle w:val="SingleTxtG"/>
        <w:ind w:left="2835" w:hanging="567"/>
      </w:pPr>
      <w:r w:rsidRPr="00AE549A">
        <w:t>(d)</w:t>
      </w:r>
      <w:r w:rsidRPr="00AE549A">
        <w:tab/>
        <w:t>Privileges and immunities for individuals serving on constituted bodies established under the Kyoto Protocol;</w:t>
      </w:r>
    </w:p>
    <w:p w14:paraId="1B99F3AC" w14:textId="77777777" w:rsidR="0051158B" w:rsidRPr="00AE549A" w:rsidRDefault="0051158B" w:rsidP="00F74BD7">
      <w:pPr>
        <w:pStyle w:val="SingleTxtG"/>
        <w:ind w:left="2835" w:hanging="567"/>
      </w:pPr>
      <w:r w:rsidRPr="00AE549A">
        <w:t>(e)</w:t>
      </w:r>
      <w:r w:rsidRPr="00AE549A">
        <w:tab/>
        <w:t>Privileges and immunities for individuals serving on constituted bodies established under the Convention.</w:t>
      </w:r>
    </w:p>
    <w:p w14:paraId="7C25C65A" w14:textId="77777777" w:rsidR="0051158B" w:rsidRPr="00AE549A" w:rsidRDefault="0051158B" w:rsidP="00F74BD7">
      <w:pPr>
        <w:pStyle w:val="SingleTxtG"/>
        <w:ind w:left="2268" w:hanging="568"/>
      </w:pPr>
      <w:r w:rsidRPr="00AE549A">
        <w:t>19.</w:t>
      </w:r>
      <w:r w:rsidRPr="00AE549A">
        <w:tab/>
        <w:t>Other matters</w:t>
      </w:r>
      <w:bookmarkEnd w:id="25"/>
      <w:r w:rsidRPr="00AE549A">
        <w:t>.</w:t>
      </w:r>
    </w:p>
    <w:p w14:paraId="503765BA" w14:textId="77777777" w:rsidR="0051158B" w:rsidRPr="00AE549A" w:rsidRDefault="0051158B" w:rsidP="00F74BD7">
      <w:pPr>
        <w:pStyle w:val="SingleTxtG"/>
        <w:ind w:left="2268" w:hanging="568"/>
      </w:pPr>
      <w:r w:rsidRPr="00AE549A">
        <w:t>20.</w:t>
      </w:r>
      <w:r w:rsidRPr="00AE549A">
        <w:tab/>
        <w:t>Report on the session.</w:t>
      </w:r>
    </w:p>
    <w:p w14:paraId="7846744C" w14:textId="77777777" w:rsidR="00976CF0" w:rsidRPr="000238B6" w:rsidRDefault="00794FF0" w:rsidP="00794FF0">
      <w:pPr>
        <w:pStyle w:val="SingleTxtG"/>
      </w:pPr>
      <w:bookmarkStart w:id="26" w:name="_Ref344973485"/>
      <w:r>
        <w:t>5.</w:t>
      </w:r>
      <w:r>
        <w:tab/>
      </w:r>
      <w:r w:rsidR="00976CF0" w:rsidRPr="00AE549A">
        <w:t>At the 1</w:t>
      </w:r>
      <w:r w:rsidR="00976CF0" w:rsidRPr="00AE549A">
        <w:rPr>
          <w:vertAlign w:val="superscript"/>
        </w:rPr>
        <w:t>st</w:t>
      </w:r>
      <w:r w:rsidR="00976CF0" w:rsidRPr="00AE549A">
        <w:t xml:space="preserve"> meeting, a statement was made by a representative of one Party on behalf of the Environmental Integrity Group. At the resumed 1</w:t>
      </w:r>
      <w:r w:rsidR="00976CF0" w:rsidRPr="00AE549A">
        <w:rPr>
          <w:vertAlign w:val="superscript"/>
        </w:rPr>
        <w:t>st</w:t>
      </w:r>
      <w:r w:rsidR="00976CF0" w:rsidRPr="00AE549A">
        <w:t xml:space="preserve"> meeting, held in the afternoon of 4 June, statements were made by representatives of 12 Parties, including one speaking on behalf of the Group of 77 and China (G77 and China), one on behalf of the Umbrella Group, one on behalf of the Alliance of Small Island States (AOSIS), one on behalf of the African States, one on behalf of the European Union and its member States, one on behalf of the least developed countries (LDCs), one on behalf of the </w:t>
      </w:r>
      <w:r w:rsidR="00976CF0" w:rsidRPr="000238B6">
        <w:t>Like-</w:t>
      </w:r>
      <w:r w:rsidR="00B56F63" w:rsidRPr="000238B6">
        <w:t>minded Developing Countries</w:t>
      </w:r>
      <w:r w:rsidR="00976CF0" w:rsidRPr="000238B6">
        <w:t>, one on behalf of the Independent Association for Latin America and the Caribbean, one on behalf of the Central American Integration System and one on behalf of the Bolivarian Alliance for the Peoples of Our America – People’s Trade Treaty. Statements were also made on behalf of business and industry non-governmental organizations, indigenous peoples organizations (IP</w:t>
      </w:r>
      <w:r w:rsidR="00976CF0" w:rsidRPr="00324DA3">
        <w:t>Os), women and gender, youth non-governmental organizations (YOUNGOs) and by representatives of environmental non-governmental organizations (ENGOs).</w:t>
      </w:r>
    </w:p>
    <w:p w14:paraId="41E87EBF" w14:textId="77777777" w:rsidR="00CB2B2B" w:rsidRPr="000238B6" w:rsidRDefault="00794FF0" w:rsidP="00794FF0">
      <w:pPr>
        <w:pStyle w:val="SingleTxtG"/>
      </w:pPr>
      <w:r>
        <w:t>6.</w:t>
      </w:r>
      <w:r>
        <w:tab/>
      </w:r>
      <w:r w:rsidR="00057383" w:rsidRPr="000238B6">
        <w:t>At the 2</w:t>
      </w:r>
      <w:r w:rsidR="00057383" w:rsidRPr="000238B6">
        <w:rPr>
          <w:vertAlign w:val="superscript"/>
        </w:rPr>
        <w:t>nd</w:t>
      </w:r>
      <w:r w:rsidR="00057383" w:rsidRPr="000238B6">
        <w:t xml:space="preserve"> meeting, held on 14 June, the Chair reported back on his informal consultations on agenda sub-item 4(a), “Information contained in national communications from Parties not included in Annex I to the Convention”. He informed Parties that there was no consensus on the way forward with regard to this item. On a proposal by the Chair, the SBI agreed to include this issue on the provisional agenda </w:t>
      </w:r>
      <w:r w:rsidR="00032CEF" w:rsidRPr="000238B6">
        <w:t>for</w:t>
      </w:r>
      <w:r w:rsidR="00057383" w:rsidRPr="000238B6">
        <w:t xml:space="preserve"> SBI 41 with the following footnote: “At SBI 40 there was no consensus to include this issue on the agenda. It was therefore held in abeyance. On a proposal by the Chair, the SBI decided that this issue be included on the provisional agenda </w:t>
      </w:r>
      <w:r w:rsidR="00032CEF" w:rsidRPr="000238B6">
        <w:t>for</w:t>
      </w:r>
      <w:r w:rsidR="00057383" w:rsidRPr="000238B6">
        <w:t xml:space="preserve"> SBI 41.”</w:t>
      </w:r>
    </w:p>
    <w:p w14:paraId="0F533809" w14:textId="77777777" w:rsidR="001C4594" w:rsidRPr="00324DA3" w:rsidRDefault="00794FF0" w:rsidP="00794FF0">
      <w:pPr>
        <w:pStyle w:val="H1G"/>
        <w:tabs>
          <w:tab w:val="right" w:pos="850"/>
        </w:tabs>
        <w:rPr>
          <w:sz w:val="20"/>
        </w:rPr>
      </w:pPr>
      <w:bookmarkStart w:id="27" w:name="_Toc391983278"/>
      <w:bookmarkEnd w:id="26"/>
      <w:r>
        <w:rPr>
          <w:lang w:eastAsia="en-US"/>
        </w:rPr>
        <w:tab/>
        <w:t>B.</w:t>
      </w:r>
      <w:r>
        <w:rPr>
          <w:lang w:eastAsia="en-US"/>
        </w:rPr>
        <w:tab/>
      </w:r>
      <w:r w:rsidR="001C4594" w:rsidRPr="000238B6">
        <w:rPr>
          <w:lang w:eastAsia="en-US"/>
        </w:rPr>
        <w:t>Organization of the work of the session</w:t>
      </w:r>
      <w:r w:rsidR="001C4594" w:rsidRPr="000238B6">
        <w:rPr>
          <w:lang w:eastAsia="en-US"/>
        </w:rPr>
        <w:br/>
      </w:r>
      <w:r w:rsidR="001C4594" w:rsidRPr="00327414">
        <w:rPr>
          <w:b w:val="0"/>
          <w:sz w:val="20"/>
        </w:rPr>
        <w:t xml:space="preserve">(Agenda </w:t>
      </w:r>
      <w:r w:rsidR="00DC0A09" w:rsidRPr="00327414">
        <w:rPr>
          <w:b w:val="0"/>
          <w:sz w:val="20"/>
        </w:rPr>
        <w:t>sub-</w:t>
      </w:r>
      <w:r w:rsidR="001C4594" w:rsidRPr="00327414">
        <w:rPr>
          <w:b w:val="0"/>
          <w:sz w:val="20"/>
        </w:rPr>
        <w:t>item 2(b))</w:t>
      </w:r>
      <w:bookmarkEnd w:id="27"/>
    </w:p>
    <w:p w14:paraId="06997229" w14:textId="77777777" w:rsidR="001C4594" w:rsidRPr="00324DA3" w:rsidRDefault="00794FF0" w:rsidP="00794FF0">
      <w:pPr>
        <w:pStyle w:val="SingleTxtG"/>
      </w:pPr>
      <w:r>
        <w:t>7.</w:t>
      </w:r>
      <w:r>
        <w:tab/>
      </w:r>
      <w:r w:rsidR="00114878" w:rsidRPr="00324DA3">
        <w:t xml:space="preserve">The SBI considered this </w:t>
      </w:r>
      <w:r w:rsidR="00D92FC3" w:rsidRPr="00324DA3">
        <w:t xml:space="preserve">agenda </w:t>
      </w:r>
      <w:r w:rsidR="0016758E" w:rsidRPr="00324DA3">
        <w:t>sub-item</w:t>
      </w:r>
      <w:r w:rsidR="00D92FC3" w:rsidRPr="00324DA3">
        <w:t xml:space="preserve"> at its 1</w:t>
      </w:r>
      <w:r w:rsidR="00D92FC3" w:rsidRPr="00324DA3">
        <w:rPr>
          <w:vertAlign w:val="superscript"/>
        </w:rPr>
        <w:t>st</w:t>
      </w:r>
      <w:r w:rsidR="00D92FC3" w:rsidRPr="00324DA3">
        <w:t xml:space="preserve"> meeting, at which the Chair drew attention to the proposed programme of work posted on the UNFCCC website. On a proposal by the Chair, the SBI agreed to proceed on the </w:t>
      </w:r>
      <w:r w:rsidR="00EC3FF5" w:rsidRPr="00324DA3">
        <w:t>basis of that programme of work.</w:t>
      </w:r>
    </w:p>
    <w:p w14:paraId="47BD4DE9" w14:textId="77777777" w:rsidR="00D5636D" w:rsidRPr="00324DA3" w:rsidRDefault="00794FF0" w:rsidP="00794FF0">
      <w:pPr>
        <w:pStyle w:val="HChG"/>
      </w:pPr>
      <w:bookmarkStart w:id="28" w:name="_Toc391983279"/>
      <w:bookmarkEnd w:id="12"/>
      <w:r>
        <w:tab/>
        <w:t>III.</w:t>
      </w:r>
      <w:r>
        <w:tab/>
      </w:r>
      <w:r w:rsidR="00D5636D" w:rsidRPr="00324DA3">
        <w:t>Reporting and review of Parties included in Annex I to the Convention</w:t>
      </w:r>
      <w:bookmarkEnd w:id="28"/>
      <w:r w:rsidR="005C0537" w:rsidRPr="00324DA3">
        <w:br/>
      </w:r>
      <w:r w:rsidR="00D5636D" w:rsidRPr="00327414">
        <w:rPr>
          <w:b w:val="0"/>
          <w:sz w:val="20"/>
        </w:rPr>
        <w:t>(Agenda item 3)</w:t>
      </w:r>
    </w:p>
    <w:p w14:paraId="4462B444" w14:textId="77777777" w:rsidR="00D5636D" w:rsidRPr="00324DA3" w:rsidRDefault="00794FF0" w:rsidP="00794FF0">
      <w:pPr>
        <w:pStyle w:val="H1G"/>
        <w:tabs>
          <w:tab w:val="right" w:pos="850"/>
        </w:tabs>
        <w:rPr>
          <w:rStyle w:val="SingleTxtGChar"/>
          <w:b w:val="0"/>
          <w:sz w:val="20"/>
        </w:rPr>
      </w:pPr>
      <w:bookmarkStart w:id="29" w:name="_Toc326589621"/>
      <w:bookmarkStart w:id="30" w:name="_Toc344970698"/>
      <w:bookmarkStart w:id="31" w:name="_Toc344971771"/>
      <w:bookmarkStart w:id="32" w:name="_Toc391983280"/>
      <w:r>
        <w:tab/>
        <w:t>A.</w:t>
      </w:r>
      <w:r>
        <w:tab/>
      </w:r>
      <w:r w:rsidR="00D5636D" w:rsidRPr="00324DA3">
        <w:t>Status of submission and review of sixth national communications and first biennial reports from Parties included in Annex I to the Convention</w:t>
      </w:r>
      <w:r w:rsidR="00D5636D" w:rsidRPr="00324DA3">
        <w:br/>
      </w:r>
      <w:r w:rsidR="00D5636D" w:rsidRPr="00324DA3">
        <w:rPr>
          <w:rStyle w:val="SingleTxtGChar"/>
          <w:b w:val="0"/>
          <w:sz w:val="20"/>
        </w:rPr>
        <w:t xml:space="preserve">(Agenda </w:t>
      </w:r>
      <w:r w:rsidR="0016758E" w:rsidRPr="00324DA3">
        <w:rPr>
          <w:rStyle w:val="SingleTxtGChar"/>
          <w:b w:val="0"/>
          <w:sz w:val="20"/>
        </w:rPr>
        <w:t>sub-item</w:t>
      </w:r>
      <w:r w:rsidR="00D5636D" w:rsidRPr="00324DA3">
        <w:rPr>
          <w:rStyle w:val="SingleTxtGChar"/>
          <w:b w:val="0"/>
          <w:sz w:val="20"/>
        </w:rPr>
        <w:t xml:space="preserve"> 3(a))</w:t>
      </w:r>
      <w:bookmarkEnd w:id="29"/>
      <w:bookmarkEnd w:id="30"/>
      <w:bookmarkEnd w:id="31"/>
      <w:bookmarkEnd w:id="32"/>
    </w:p>
    <w:p w14:paraId="19AA7FA1" w14:textId="77777777" w:rsidR="00636FEE" w:rsidRPr="00324DA3" w:rsidRDefault="00636FEE" w:rsidP="00636FEE">
      <w:pPr>
        <w:pStyle w:val="RegH23G"/>
        <w:numPr>
          <w:ilvl w:val="0"/>
          <w:numId w:val="0"/>
        </w:numPr>
        <w:ind w:left="851" w:firstLine="283"/>
        <w:rPr>
          <w:lang w:eastAsia="en-US"/>
        </w:rPr>
      </w:pPr>
      <w:r w:rsidRPr="00324DA3">
        <w:t>Proceedings</w:t>
      </w:r>
      <w:r w:rsidRPr="00324DA3">
        <w:tab/>
      </w:r>
    </w:p>
    <w:p w14:paraId="3CEEFEAF" w14:textId="77777777" w:rsidR="00D5636D" w:rsidRPr="00324DA3" w:rsidRDefault="00794FF0" w:rsidP="00794FF0">
      <w:pPr>
        <w:pStyle w:val="SingleTxtG"/>
      </w:pPr>
      <w:bookmarkStart w:id="33" w:name="_Ref344973520"/>
      <w:r>
        <w:t>8.</w:t>
      </w:r>
      <w:r>
        <w:tab/>
      </w:r>
      <w:r w:rsidR="00D5636D" w:rsidRPr="00324DA3">
        <w:t xml:space="preserve">The SBI considered this agenda </w:t>
      </w:r>
      <w:r w:rsidR="0016758E" w:rsidRPr="00324DA3">
        <w:t>sub-item</w:t>
      </w:r>
      <w:r w:rsidR="00D5636D" w:rsidRPr="00324DA3">
        <w:t xml:space="preserve"> at its 1</w:t>
      </w:r>
      <w:r w:rsidR="00D5636D" w:rsidRPr="00324DA3">
        <w:rPr>
          <w:vertAlign w:val="superscript"/>
        </w:rPr>
        <w:t>st</w:t>
      </w:r>
      <w:r w:rsidR="00D5636D" w:rsidRPr="00324DA3">
        <w:t xml:space="preserve"> meeting and took note of the information contained in document FCCC/SBI/2014/</w:t>
      </w:r>
      <w:bookmarkEnd w:id="33"/>
      <w:r w:rsidR="00D5636D" w:rsidRPr="00324DA3">
        <w:t>INF.5</w:t>
      </w:r>
      <w:r w:rsidR="00E1383E" w:rsidRPr="00324DA3">
        <w:t>.</w:t>
      </w:r>
    </w:p>
    <w:p w14:paraId="37AD4615" w14:textId="77777777" w:rsidR="00D5636D" w:rsidRPr="00324DA3" w:rsidRDefault="00794FF0" w:rsidP="00794FF0">
      <w:pPr>
        <w:pStyle w:val="H1G"/>
        <w:tabs>
          <w:tab w:val="right" w:pos="850"/>
        </w:tabs>
        <w:rPr>
          <w:rStyle w:val="SingleTxtGChar"/>
          <w:b w:val="0"/>
          <w:sz w:val="20"/>
        </w:rPr>
      </w:pPr>
      <w:bookmarkStart w:id="34" w:name="_Toc391983281"/>
      <w:r>
        <w:tab/>
        <w:t>B.</w:t>
      </w:r>
      <w:r>
        <w:tab/>
      </w:r>
      <w:r w:rsidR="00327C56" w:rsidRPr="00324DA3">
        <w:t xml:space="preserve">Revision of the </w:t>
      </w:r>
      <w:r w:rsidR="00B56F63" w:rsidRPr="00324DA3">
        <w:t>“</w:t>
      </w:r>
      <w:r w:rsidR="00327C56" w:rsidRPr="00324DA3">
        <w:t>Guidelines for the preparation of national communications by Parties included in Annex I to the Convention, Part II: UNFCCC reporting guidelines on national communications</w:t>
      </w:r>
      <w:r w:rsidR="00B56F63" w:rsidRPr="00324DA3">
        <w:t>”</w:t>
      </w:r>
      <w:r w:rsidR="00D5636D" w:rsidRPr="00324DA3">
        <w:br/>
      </w:r>
      <w:r w:rsidR="00D5636D" w:rsidRPr="00324DA3">
        <w:rPr>
          <w:rStyle w:val="SingleTxtGChar"/>
          <w:b w:val="0"/>
          <w:sz w:val="20"/>
        </w:rPr>
        <w:t xml:space="preserve">(Agenda </w:t>
      </w:r>
      <w:r w:rsidR="0016758E" w:rsidRPr="00324DA3">
        <w:rPr>
          <w:rStyle w:val="SingleTxtGChar"/>
          <w:b w:val="0"/>
          <w:sz w:val="20"/>
        </w:rPr>
        <w:t>sub-item</w:t>
      </w:r>
      <w:r w:rsidR="00D5636D" w:rsidRPr="00324DA3">
        <w:rPr>
          <w:rStyle w:val="SingleTxtGChar"/>
          <w:b w:val="0"/>
          <w:sz w:val="20"/>
        </w:rPr>
        <w:t xml:space="preserve"> 3(b))</w:t>
      </w:r>
      <w:bookmarkEnd w:id="34"/>
    </w:p>
    <w:p w14:paraId="0D666A8D" w14:textId="77777777" w:rsidR="003B4888" w:rsidRPr="00324DA3" w:rsidRDefault="00794FF0" w:rsidP="00794FF0">
      <w:pPr>
        <w:pStyle w:val="H23G"/>
        <w:rPr>
          <w:lang w:eastAsia="en-US"/>
        </w:rPr>
      </w:pPr>
      <w:r>
        <w:tab/>
        <w:t>1.</w:t>
      </w:r>
      <w:r>
        <w:tab/>
      </w:r>
      <w:r w:rsidR="003B4888" w:rsidRPr="00324DA3">
        <w:t>Proceedings</w:t>
      </w:r>
    </w:p>
    <w:p w14:paraId="2D124B50" w14:textId="77777777" w:rsidR="00327C56" w:rsidRPr="00324DA3" w:rsidRDefault="00794FF0" w:rsidP="00794FF0">
      <w:pPr>
        <w:pStyle w:val="SingleTxtG"/>
      </w:pPr>
      <w:bookmarkStart w:id="35" w:name="_Ref344973589"/>
      <w:r>
        <w:t>9.</w:t>
      </w:r>
      <w:r>
        <w:tab/>
      </w:r>
      <w:r w:rsidR="00327C56" w:rsidRPr="00324DA3">
        <w:t xml:space="preserve">The SBI considered this agenda </w:t>
      </w:r>
      <w:r w:rsidR="0016758E" w:rsidRPr="00324DA3">
        <w:t>sub-item</w:t>
      </w:r>
      <w:r w:rsidR="00327C56" w:rsidRPr="00324DA3">
        <w:t xml:space="preserve"> at its </w:t>
      </w:r>
      <w:r w:rsidR="00327C56" w:rsidRPr="00324DA3">
        <w:rPr>
          <w:snapToGrid w:val="0"/>
        </w:rPr>
        <w:t>1</w:t>
      </w:r>
      <w:r w:rsidR="00327C56" w:rsidRPr="00324DA3">
        <w:rPr>
          <w:snapToGrid w:val="0"/>
          <w:vertAlign w:val="superscript"/>
        </w:rPr>
        <w:t>st</w:t>
      </w:r>
      <w:r w:rsidR="00327C56" w:rsidRPr="00324DA3">
        <w:rPr>
          <w:snapToGrid w:val="0"/>
        </w:rPr>
        <w:t xml:space="preserve"> </w:t>
      </w:r>
      <w:r w:rsidR="005F562F" w:rsidRPr="00324DA3">
        <w:rPr>
          <w:snapToGrid w:val="0"/>
        </w:rPr>
        <w:t>and 2</w:t>
      </w:r>
      <w:r w:rsidR="005F562F" w:rsidRPr="00324DA3">
        <w:rPr>
          <w:snapToGrid w:val="0"/>
          <w:vertAlign w:val="superscript"/>
        </w:rPr>
        <w:t>nd</w:t>
      </w:r>
      <w:r w:rsidR="005F562F" w:rsidRPr="00324DA3">
        <w:rPr>
          <w:snapToGrid w:val="0"/>
        </w:rPr>
        <w:t xml:space="preserve"> </w:t>
      </w:r>
      <w:r w:rsidR="00AA64A6" w:rsidRPr="00324DA3">
        <w:rPr>
          <w:snapToGrid w:val="0"/>
        </w:rPr>
        <w:t>meeting</w:t>
      </w:r>
      <w:r w:rsidR="005F562F" w:rsidRPr="00324DA3">
        <w:rPr>
          <w:snapToGrid w:val="0"/>
        </w:rPr>
        <w:t>s</w:t>
      </w:r>
      <w:r w:rsidR="00327C56" w:rsidRPr="00324DA3">
        <w:t>.</w:t>
      </w:r>
      <w:bookmarkEnd w:id="35"/>
      <w:r w:rsidR="00327C56" w:rsidRPr="00324DA3">
        <w:t xml:space="preserve"> At its </w:t>
      </w:r>
      <w:r w:rsidR="00327C56" w:rsidRPr="00324DA3">
        <w:rPr>
          <w:snapToGrid w:val="0"/>
        </w:rPr>
        <w:t>1</w:t>
      </w:r>
      <w:r w:rsidR="00327C56" w:rsidRPr="00324DA3">
        <w:rPr>
          <w:snapToGrid w:val="0"/>
          <w:vertAlign w:val="superscript"/>
        </w:rPr>
        <w:t>st</w:t>
      </w:r>
      <w:r w:rsidR="00327C56" w:rsidRPr="00324DA3">
        <w:rPr>
          <w:snapToGrid w:val="0"/>
        </w:rPr>
        <w:t xml:space="preserve"> </w:t>
      </w:r>
      <w:r w:rsidR="00327C56" w:rsidRPr="00324DA3">
        <w:t xml:space="preserve">meeting, the SBI agreed to consider this </w:t>
      </w:r>
      <w:r w:rsidR="00442EA9" w:rsidRPr="00324DA3">
        <w:t xml:space="preserve">agenda </w:t>
      </w:r>
      <w:r w:rsidR="0016758E" w:rsidRPr="00324DA3">
        <w:t>sub-item</w:t>
      </w:r>
      <w:r w:rsidR="00327C56" w:rsidRPr="00324DA3">
        <w:t xml:space="preserve"> in informal consultations co-facilitated by </w:t>
      </w:r>
      <w:proofErr w:type="spellStart"/>
      <w:r w:rsidR="00327C56" w:rsidRPr="00324DA3">
        <w:t>Ms.</w:t>
      </w:r>
      <w:proofErr w:type="spellEnd"/>
      <w:r w:rsidR="00327C56" w:rsidRPr="00324DA3">
        <w:t xml:space="preserve"> </w:t>
      </w:r>
      <w:proofErr w:type="spellStart"/>
      <w:r w:rsidR="00327C56" w:rsidRPr="00324DA3">
        <w:t>Fatuma</w:t>
      </w:r>
      <w:proofErr w:type="spellEnd"/>
      <w:r w:rsidR="00327C56" w:rsidRPr="00324DA3">
        <w:t xml:space="preserve"> Hussein (Kenya)</w:t>
      </w:r>
      <w:r w:rsidR="00327C56" w:rsidRPr="00324DA3">
        <w:rPr>
          <w:color w:val="000000"/>
        </w:rPr>
        <w:t xml:space="preserve"> and </w:t>
      </w:r>
      <w:proofErr w:type="spellStart"/>
      <w:r w:rsidR="00327C56" w:rsidRPr="00324DA3">
        <w:rPr>
          <w:color w:val="000000"/>
        </w:rPr>
        <w:t>M</w:t>
      </w:r>
      <w:r w:rsidR="0072781B" w:rsidRPr="00324DA3">
        <w:rPr>
          <w:color w:val="000000"/>
        </w:rPr>
        <w:t>s</w:t>
      </w:r>
      <w:r w:rsidR="002F496E" w:rsidRPr="00324DA3">
        <w:rPr>
          <w:color w:val="000000"/>
        </w:rPr>
        <w:t>.</w:t>
      </w:r>
      <w:proofErr w:type="spellEnd"/>
      <w:r w:rsidR="002F496E" w:rsidRPr="00324DA3">
        <w:rPr>
          <w:color w:val="000000"/>
        </w:rPr>
        <w:t> </w:t>
      </w:r>
      <w:r w:rsidR="0072781B" w:rsidRPr="00324DA3">
        <w:rPr>
          <w:color w:val="000000"/>
        </w:rPr>
        <w:t>Helen Plume (New Zealand</w:t>
      </w:r>
      <w:r w:rsidR="00327C56" w:rsidRPr="00324DA3">
        <w:rPr>
          <w:color w:val="000000"/>
        </w:rPr>
        <w:t>).</w:t>
      </w:r>
    </w:p>
    <w:p w14:paraId="31DFF65C" w14:textId="77777777" w:rsidR="00327C56" w:rsidRPr="00324DA3" w:rsidRDefault="00794FF0" w:rsidP="00794FF0">
      <w:pPr>
        <w:pStyle w:val="SingleTxtG"/>
      </w:pPr>
      <w:r>
        <w:rPr>
          <w:color w:val="000000"/>
        </w:rPr>
        <w:t>10.</w:t>
      </w:r>
      <w:r>
        <w:rPr>
          <w:color w:val="000000"/>
        </w:rPr>
        <w:tab/>
      </w:r>
      <w:r w:rsidR="00327C56" w:rsidRPr="00324DA3">
        <w:rPr>
          <w:color w:val="000000"/>
        </w:rPr>
        <w:t>A</w:t>
      </w:r>
      <w:r w:rsidR="00327C56" w:rsidRPr="00324DA3">
        <w:t xml:space="preserve">t its </w:t>
      </w:r>
      <w:r w:rsidR="0072781B" w:rsidRPr="00324DA3">
        <w:t>2</w:t>
      </w:r>
      <w:r w:rsidR="0072781B" w:rsidRPr="00324DA3">
        <w:rPr>
          <w:vertAlign w:val="superscript"/>
        </w:rPr>
        <w:t>nd</w:t>
      </w:r>
      <w:r w:rsidR="00327C56" w:rsidRPr="00324DA3">
        <w:t xml:space="preserve"> meeting, the SBI considered and adopted the conclusions below.</w:t>
      </w:r>
      <w:r w:rsidR="00327C56" w:rsidRPr="00324DA3">
        <w:rPr>
          <w:rStyle w:val="FootnoteReference"/>
          <w:color w:val="000000"/>
        </w:rPr>
        <w:footnoteReference w:id="1"/>
      </w:r>
    </w:p>
    <w:p w14:paraId="77FAE708" w14:textId="77777777" w:rsidR="00327C56" w:rsidRPr="00324DA3" w:rsidRDefault="00794FF0" w:rsidP="00794FF0">
      <w:pPr>
        <w:pStyle w:val="H23G"/>
      </w:pPr>
      <w:r>
        <w:tab/>
        <w:t>2.</w:t>
      </w:r>
      <w:r>
        <w:tab/>
      </w:r>
      <w:r w:rsidR="00327C56" w:rsidRPr="00324DA3">
        <w:t>Conclusions</w:t>
      </w:r>
    </w:p>
    <w:p w14:paraId="6F7E2646" w14:textId="77777777" w:rsidR="00B23F83" w:rsidRPr="00324DA3" w:rsidRDefault="00794FF0" w:rsidP="00794FF0">
      <w:pPr>
        <w:pStyle w:val="SingleTxtG"/>
      </w:pPr>
      <w:r>
        <w:t>11.</w:t>
      </w:r>
      <w:r>
        <w:tab/>
      </w:r>
      <w:r w:rsidR="00B23F83" w:rsidRPr="00324DA3">
        <w:t xml:space="preserve">The SBI initiated its consideration of the revision of the </w:t>
      </w:r>
      <w:r w:rsidR="00B56F63" w:rsidRPr="00324DA3">
        <w:t>“</w:t>
      </w:r>
      <w:r w:rsidR="00B23F83" w:rsidRPr="00324DA3">
        <w:t>Guidelines for the preparation of national communications by Parties included in Annex I to the Convention, Part II: UNFCCC reporting guidelines on national communications</w:t>
      </w:r>
      <w:r w:rsidR="00B56F63" w:rsidRPr="00324DA3">
        <w:t>”</w:t>
      </w:r>
      <w:r w:rsidR="00B23F83" w:rsidRPr="00324DA3">
        <w:t xml:space="preserve"> (hereinafter referred to as the reporting guidelines on national communications). </w:t>
      </w:r>
    </w:p>
    <w:p w14:paraId="558F3BBF" w14:textId="77777777" w:rsidR="00B23F83" w:rsidRPr="00324DA3" w:rsidRDefault="00794FF0" w:rsidP="00794FF0">
      <w:pPr>
        <w:pStyle w:val="SingleTxtG"/>
      </w:pPr>
      <w:r>
        <w:t>12.</w:t>
      </w:r>
      <w:r>
        <w:tab/>
      </w:r>
      <w:r w:rsidR="00B23F83" w:rsidRPr="00324DA3">
        <w:t>The SBI took note of the views submitted by Parties included in Annex I to the Convention (Annex I Parties)</w:t>
      </w:r>
      <w:r w:rsidR="00B23F83" w:rsidRPr="00324DA3">
        <w:rPr>
          <w:rStyle w:val="FootnoteReference"/>
        </w:rPr>
        <w:footnoteReference w:id="2"/>
      </w:r>
      <w:r w:rsidR="00B23F83" w:rsidRPr="00324DA3">
        <w:t xml:space="preserve"> in response to the invitation of the Conference of the Parties (COP) at its seventeenth session</w:t>
      </w:r>
      <w:r w:rsidR="00B23F83" w:rsidRPr="00324DA3">
        <w:rPr>
          <w:rStyle w:val="FootnoteReference"/>
          <w:iCs/>
          <w:color w:val="000000"/>
        </w:rPr>
        <w:footnoteReference w:id="3"/>
      </w:r>
      <w:r w:rsidR="00B23F83" w:rsidRPr="00324DA3">
        <w:t xml:space="preserve"> on their experience with preparing their first biennial reports. </w:t>
      </w:r>
    </w:p>
    <w:p w14:paraId="72F3F303" w14:textId="77777777" w:rsidR="00B23F83" w:rsidRPr="00324DA3" w:rsidRDefault="00794FF0" w:rsidP="00794FF0">
      <w:pPr>
        <w:pStyle w:val="SingleTxtG"/>
      </w:pPr>
      <w:r>
        <w:t>13.</w:t>
      </w:r>
      <w:r>
        <w:tab/>
      </w:r>
      <w:r w:rsidR="00B23F83" w:rsidRPr="00324DA3">
        <w:t xml:space="preserve">It recognized that, in the submissions made so far, Parties identified inconsistencies between the reporting guidelines on national communications and the </w:t>
      </w:r>
      <w:r w:rsidR="00B56F63" w:rsidRPr="00324DA3">
        <w:t>“</w:t>
      </w:r>
      <w:r w:rsidR="00B23F83" w:rsidRPr="00324DA3">
        <w:t>UNFCCC biennial reporting guidelines for developed country Parties</w:t>
      </w:r>
      <w:r w:rsidR="00B56F63" w:rsidRPr="00324DA3">
        <w:t>”</w:t>
      </w:r>
      <w:r w:rsidR="00B23F83" w:rsidRPr="00324DA3">
        <w:rPr>
          <w:rStyle w:val="FootnoteReference"/>
        </w:rPr>
        <w:footnoteReference w:id="4"/>
      </w:r>
      <w:r w:rsidR="00B23F83" w:rsidRPr="00324DA3">
        <w:t xml:space="preserve"> and indicated where the reporting guidelines on national communications need to be updated. </w:t>
      </w:r>
    </w:p>
    <w:p w14:paraId="13BEB81F" w14:textId="77777777" w:rsidR="00B23F83" w:rsidRPr="004061AF" w:rsidRDefault="00794FF0" w:rsidP="00794FF0">
      <w:pPr>
        <w:pStyle w:val="SingleTxtG"/>
      </w:pPr>
      <w:r>
        <w:t>14.</w:t>
      </w:r>
      <w:r>
        <w:tab/>
      </w:r>
      <w:r w:rsidR="00B23F83" w:rsidRPr="004061AF">
        <w:t xml:space="preserve">Recalling the invitation of the COP referred to in paragraph </w:t>
      </w:r>
      <w:r w:rsidR="00141340" w:rsidRPr="004061AF">
        <w:t>1</w:t>
      </w:r>
      <w:r w:rsidR="00415700" w:rsidRPr="004061AF">
        <w:t>2</w:t>
      </w:r>
      <w:r w:rsidR="00B23F83" w:rsidRPr="004061AF">
        <w:t xml:space="preserve"> above, the SBI invited Annex I Parties that have not yet done so to submit their views on their experience with preparing their first biennial reports</w:t>
      </w:r>
      <w:r w:rsidR="00B23F83" w:rsidRPr="004061AF" w:rsidDel="00832E20">
        <w:t xml:space="preserve"> </w:t>
      </w:r>
      <w:r w:rsidR="00B23F83" w:rsidRPr="004061AF">
        <w:t xml:space="preserve">to the secretariat by 20 August 2014, recognizing that more information will be needed to complete the revision of the reporting guidelines on national communications. </w:t>
      </w:r>
    </w:p>
    <w:p w14:paraId="16AA44D2" w14:textId="77777777" w:rsidR="00B23F83" w:rsidRPr="004061AF" w:rsidRDefault="00794FF0" w:rsidP="00794FF0">
      <w:pPr>
        <w:pStyle w:val="SingleTxtG"/>
      </w:pPr>
      <w:r>
        <w:t>15.</w:t>
      </w:r>
      <w:r>
        <w:tab/>
      </w:r>
      <w:r w:rsidR="00B23F83" w:rsidRPr="004061AF">
        <w:t xml:space="preserve">The SBI acknowledged that, owing to the scope of the call for the submissions referred to in paragraphs </w:t>
      </w:r>
      <w:r w:rsidR="004D199C" w:rsidRPr="004061AF">
        <w:t>1</w:t>
      </w:r>
      <w:r w:rsidR="00415700" w:rsidRPr="004061AF">
        <w:t>2</w:t>
      </w:r>
      <w:r w:rsidR="00B23F83" w:rsidRPr="004061AF">
        <w:t xml:space="preserve"> and </w:t>
      </w:r>
      <w:r w:rsidR="00BA52EA" w:rsidRPr="004061AF">
        <w:t>1</w:t>
      </w:r>
      <w:r w:rsidR="00415700" w:rsidRPr="004061AF">
        <w:t>3</w:t>
      </w:r>
      <w:r w:rsidR="00B23F83" w:rsidRPr="004061AF">
        <w:t xml:space="preserve"> above, the submissions do not necessarily cover all of the types of information reported in national communications. </w:t>
      </w:r>
    </w:p>
    <w:p w14:paraId="1D1EF1AD" w14:textId="77777777" w:rsidR="00B23F83" w:rsidRPr="00324DA3" w:rsidRDefault="00794FF0" w:rsidP="00794FF0">
      <w:pPr>
        <w:pStyle w:val="SingleTxtG"/>
      </w:pPr>
      <w:r>
        <w:t>16.</w:t>
      </w:r>
      <w:r>
        <w:tab/>
      </w:r>
      <w:r w:rsidR="00B23F83" w:rsidRPr="00324DA3">
        <w:t xml:space="preserve">To further inform Parties in the preparation for the revision of the reporting guidelines on national communications, the SBI invited Parties to submit their views on </w:t>
      </w:r>
      <w:r w:rsidR="00B23F83" w:rsidRPr="00324DA3">
        <w:rPr>
          <w:iCs/>
          <w:color w:val="000000"/>
        </w:rPr>
        <w:t xml:space="preserve">the reporting guidelines on national communications to the secretariat by 20 August 2014. </w:t>
      </w:r>
    </w:p>
    <w:p w14:paraId="472A34F7" w14:textId="77777777" w:rsidR="00B23F83" w:rsidRPr="00324DA3" w:rsidRDefault="00794FF0" w:rsidP="00794FF0">
      <w:pPr>
        <w:pStyle w:val="SingleTxtG"/>
      </w:pPr>
      <w:r>
        <w:t>17.</w:t>
      </w:r>
      <w:r>
        <w:tab/>
      </w:r>
      <w:r w:rsidR="00B23F83" w:rsidRPr="00324DA3">
        <w:t>It recalled the request made by the COP</w:t>
      </w:r>
      <w:r w:rsidR="00B23F83" w:rsidRPr="00324DA3">
        <w:rPr>
          <w:rStyle w:val="FootnoteReference"/>
        </w:rPr>
        <w:footnoteReference w:id="5"/>
      </w:r>
      <w:r w:rsidR="00B23F83" w:rsidRPr="00324DA3">
        <w:t xml:space="preserve"> for the SBI to work on the revision of the reporting guidelines on national communications with a view to the revised guidelines being adopted at COP 20 (December 2014). </w:t>
      </w:r>
    </w:p>
    <w:p w14:paraId="393ECDA2" w14:textId="77777777" w:rsidR="00B23F83" w:rsidRPr="004061AF" w:rsidRDefault="00794FF0" w:rsidP="00794FF0">
      <w:pPr>
        <w:pStyle w:val="SingleTxtG"/>
      </w:pPr>
      <w:r>
        <w:t>18.</w:t>
      </w:r>
      <w:r>
        <w:tab/>
      </w:r>
      <w:r w:rsidR="00B23F83" w:rsidRPr="004061AF">
        <w:t xml:space="preserve">The SBI noted that, should Parties require additional time beyond SBI 41 (December 2014) to complete the work referred to in paragraph </w:t>
      </w:r>
      <w:r w:rsidR="00141340" w:rsidRPr="004061AF">
        <w:t>1</w:t>
      </w:r>
      <w:r w:rsidR="00415700" w:rsidRPr="004061AF">
        <w:t>7</w:t>
      </w:r>
      <w:r w:rsidR="00B23F83" w:rsidRPr="004061AF">
        <w:t xml:space="preserve"> above, events such as workshops for the continuation of that work will be considered at SBI 41. </w:t>
      </w:r>
    </w:p>
    <w:p w14:paraId="39639AE4" w14:textId="77777777" w:rsidR="00B23F83" w:rsidRPr="004061AF" w:rsidRDefault="00794FF0" w:rsidP="00794FF0">
      <w:pPr>
        <w:pStyle w:val="SingleTxtG"/>
        <w:rPr>
          <w:sz w:val="28"/>
        </w:rPr>
      </w:pPr>
      <w:r>
        <w:t>19.</w:t>
      </w:r>
      <w:r>
        <w:tab/>
      </w:r>
      <w:r w:rsidR="00B23F83" w:rsidRPr="004061AF">
        <w:t xml:space="preserve">The SBI requested the secretariat to include a synthesis of the views of Parties referred to in paragraphs </w:t>
      </w:r>
      <w:r w:rsidR="00141340" w:rsidRPr="004061AF">
        <w:t>1</w:t>
      </w:r>
      <w:r w:rsidR="00632E93" w:rsidRPr="004061AF">
        <w:t>4</w:t>
      </w:r>
      <w:r w:rsidR="00141340" w:rsidRPr="004061AF">
        <w:t xml:space="preserve"> and 1</w:t>
      </w:r>
      <w:r w:rsidR="00632E93" w:rsidRPr="004061AF">
        <w:t>6</w:t>
      </w:r>
      <w:r w:rsidR="00B23F83" w:rsidRPr="004061AF">
        <w:t xml:space="preserve"> above in the technical paper referred to in paragraph 20 of decision 2/CP.17. The technical paper should facilitate consideration at SBI 41 of the revision of the reporting guidelines on national communications and should also highlight the issues referred to in paragraph </w:t>
      </w:r>
      <w:r w:rsidR="00141340" w:rsidRPr="004061AF">
        <w:t>1</w:t>
      </w:r>
      <w:r w:rsidR="00632E93" w:rsidRPr="004061AF">
        <w:t>3</w:t>
      </w:r>
      <w:r w:rsidR="00B23F83" w:rsidRPr="004061AF">
        <w:t xml:space="preserve"> above. </w:t>
      </w:r>
    </w:p>
    <w:p w14:paraId="3D39EAE7" w14:textId="77777777" w:rsidR="00205B59" w:rsidRPr="004061AF" w:rsidRDefault="00794FF0" w:rsidP="00794FF0">
      <w:pPr>
        <w:pStyle w:val="SingleTxtG"/>
      </w:pPr>
      <w:r>
        <w:t>20.</w:t>
      </w:r>
      <w:r>
        <w:tab/>
      </w:r>
      <w:r w:rsidR="00B23F83" w:rsidRPr="004061AF">
        <w:t xml:space="preserve">The SBI took note of the estimated budgetary implications of the activities to be undertaken by the secretariat referred to in paragraph </w:t>
      </w:r>
      <w:r w:rsidR="00F011FC" w:rsidRPr="004061AF">
        <w:t>1</w:t>
      </w:r>
      <w:r w:rsidR="00632E93" w:rsidRPr="004061AF">
        <w:t>9</w:t>
      </w:r>
      <w:r w:rsidR="00B23F83" w:rsidRPr="004061AF">
        <w:t xml:space="preserve"> above. It requested that the actions of the secretariat called for in these conclusions be undertaken subject to the availability of financial resources.</w:t>
      </w:r>
    </w:p>
    <w:p w14:paraId="71F58418" w14:textId="77777777" w:rsidR="00336919" w:rsidRPr="00FE4BFB" w:rsidRDefault="00794FF0" w:rsidP="00794FF0">
      <w:pPr>
        <w:pStyle w:val="H1G"/>
        <w:tabs>
          <w:tab w:val="right" w:pos="850"/>
        </w:tabs>
        <w:rPr>
          <w:rStyle w:val="SingleTxtGChar"/>
          <w:b w:val="0"/>
          <w:sz w:val="20"/>
        </w:rPr>
      </w:pPr>
      <w:bookmarkStart w:id="36" w:name="_Toc391983282"/>
      <w:r>
        <w:tab/>
        <w:t>C.</w:t>
      </w:r>
      <w:r>
        <w:tab/>
      </w:r>
      <w:r w:rsidR="00336919" w:rsidRPr="00324DA3">
        <w:t>Date of the completion of the expert review process under Article 8 of the Kyoto Protocol for the first commitment period</w:t>
      </w:r>
      <w:r w:rsidR="00336919" w:rsidRPr="00324DA3">
        <w:br/>
      </w:r>
      <w:r w:rsidR="00336919" w:rsidRPr="00324DA3">
        <w:rPr>
          <w:rStyle w:val="SingleTxtGChar"/>
          <w:b w:val="0"/>
          <w:sz w:val="20"/>
        </w:rPr>
        <w:t xml:space="preserve">(Agenda </w:t>
      </w:r>
      <w:r w:rsidR="0016758E" w:rsidRPr="00FE4BFB">
        <w:rPr>
          <w:rStyle w:val="SingleTxtGChar"/>
          <w:b w:val="0"/>
          <w:sz w:val="20"/>
        </w:rPr>
        <w:t>sub-item</w:t>
      </w:r>
      <w:r w:rsidR="00336919" w:rsidRPr="00FE4BFB">
        <w:rPr>
          <w:rStyle w:val="SingleTxtGChar"/>
          <w:b w:val="0"/>
          <w:sz w:val="20"/>
        </w:rPr>
        <w:t xml:space="preserve"> 3(c))</w:t>
      </w:r>
      <w:bookmarkEnd w:id="36"/>
    </w:p>
    <w:p w14:paraId="72D9874C" w14:textId="77777777" w:rsidR="00C80BB5" w:rsidRPr="00FE4BFB" w:rsidRDefault="00C80BB5" w:rsidP="00636FEE">
      <w:pPr>
        <w:pStyle w:val="RegH23G"/>
        <w:numPr>
          <w:ilvl w:val="0"/>
          <w:numId w:val="0"/>
        </w:numPr>
        <w:ind w:left="851" w:firstLine="283"/>
        <w:rPr>
          <w:lang w:eastAsia="en-US"/>
        </w:rPr>
      </w:pPr>
      <w:r w:rsidRPr="00FE4BFB">
        <w:t>Proceedings</w:t>
      </w:r>
    </w:p>
    <w:p w14:paraId="1E28751C" w14:textId="77777777" w:rsidR="00336919" w:rsidRPr="00FE4BFB" w:rsidRDefault="00794FF0" w:rsidP="00794FF0">
      <w:pPr>
        <w:pStyle w:val="SingleTxtG"/>
      </w:pPr>
      <w:r>
        <w:t>21.</w:t>
      </w:r>
      <w:r>
        <w:tab/>
      </w:r>
      <w:r w:rsidR="00336919" w:rsidRPr="00FE4BFB">
        <w:t xml:space="preserve">The SBI considered this agenda </w:t>
      </w:r>
      <w:r w:rsidR="0016758E" w:rsidRPr="00FE4BFB">
        <w:t>sub-item</w:t>
      </w:r>
      <w:r w:rsidR="00336919" w:rsidRPr="00FE4BFB">
        <w:t xml:space="preserve"> at its </w:t>
      </w:r>
      <w:r w:rsidR="00336919" w:rsidRPr="00FE4BFB">
        <w:rPr>
          <w:snapToGrid w:val="0"/>
        </w:rPr>
        <w:t>1</w:t>
      </w:r>
      <w:r w:rsidR="00336919" w:rsidRPr="00FE4BFB">
        <w:rPr>
          <w:snapToGrid w:val="0"/>
          <w:vertAlign w:val="superscript"/>
        </w:rPr>
        <w:t>st</w:t>
      </w:r>
      <w:r w:rsidR="00336919" w:rsidRPr="00FE4BFB">
        <w:rPr>
          <w:snapToGrid w:val="0"/>
        </w:rPr>
        <w:t xml:space="preserve"> </w:t>
      </w:r>
      <w:r w:rsidR="00AA64A6" w:rsidRPr="00FE4BFB">
        <w:rPr>
          <w:snapToGrid w:val="0"/>
        </w:rPr>
        <w:t>meeting</w:t>
      </w:r>
      <w:r w:rsidR="00AE07EE" w:rsidRPr="00FE4BFB">
        <w:rPr>
          <w:snapToGrid w:val="0"/>
        </w:rPr>
        <w:t xml:space="preserve">, as well as at </w:t>
      </w:r>
      <w:r w:rsidR="002F496E" w:rsidRPr="00FE4BFB">
        <w:rPr>
          <w:snapToGrid w:val="0"/>
        </w:rPr>
        <w:t xml:space="preserve">its </w:t>
      </w:r>
      <w:r w:rsidR="00AA64A6" w:rsidRPr="00FE4BFB">
        <w:rPr>
          <w:snapToGrid w:val="0"/>
        </w:rPr>
        <w:t xml:space="preserve">resumed </w:t>
      </w:r>
      <w:r w:rsidR="00F67289" w:rsidRPr="00FE4BFB">
        <w:rPr>
          <w:snapToGrid w:val="0"/>
        </w:rPr>
        <w:t>2</w:t>
      </w:r>
      <w:r w:rsidR="00F67289" w:rsidRPr="00FE4BFB">
        <w:rPr>
          <w:snapToGrid w:val="0"/>
          <w:vertAlign w:val="superscript"/>
        </w:rPr>
        <w:t>nd</w:t>
      </w:r>
      <w:r w:rsidR="00F67289" w:rsidRPr="00FE4BFB">
        <w:rPr>
          <w:snapToGrid w:val="0"/>
        </w:rPr>
        <w:t xml:space="preserve"> </w:t>
      </w:r>
      <w:r w:rsidR="00336919" w:rsidRPr="00FE4BFB">
        <w:rPr>
          <w:snapToGrid w:val="0"/>
        </w:rPr>
        <w:t>meeting</w:t>
      </w:r>
      <w:r w:rsidR="00AA64A6" w:rsidRPr="00FE4BFB">
        <w:rPr>
          <w:snapToGrid w:val="0"/>
        </w:rPr>
        <w:t>, held on 15 June</w:t>
      </w:r>
      <w:r w:rsidR="00336919" w:rsidRPr="00FE4BFB">
        <w:t xml:space="preserve">. At its </w:t>
      </w:r>
      <w:r w:rsidR="00336919" w:rsidRPr="00FE4BFB">
        <w:rPr>
          <w:snapToGrid w:val="0"/>
        </w:rPr>
        <w:t>1</w:t>
      </w:r>
      <w:r w:rsidR="00336919" w:rsidRPr="00FE4BFB">
        <w:rPr>
          <w:snapToGrid w:val="0"/>
          <w:vertAlign w:val="superscript"/>
        </w:rPr>
        <w:t>st</w:t>
      </w:r>
      <w:r w:rsidR="00336919" w:rsidRPr="00FE4BFB">
        <w:rPr>
          <w:snapToGrid w:val="0"/>
        </w:rPr>
        <w:t xml:space="preserve"> </w:t>
      </w:r>
      <w:r w:rsidR="00336919" w:rsidRPr="00FE4BFB">
        <w:t xml:space="preserve">meeting, the SBI agreed to consider this agenda </w:t>
      </w:r>
      <w:r w:rsidR="0016758E" w:rsidRPr="00FE4BFB">
        <w:t>sub-item</w:t>
      </w:r>
      <w:r w:rsidR="00336919" w:rsidRPr="00FE4BFB">
        <w:t xml:space="preserve"> in informal consultations co-facilitated by </w:t>
      </w:r>
      <w:proofErr w:type="spellStart"/>
      <w:r w:rsidR="007B3DE2" w:rsidRPr="00FE4BFB">
        <w:t>Mr.</w:t>
      </w:r>
      <w:proofErr w:type="spellEnd"/>
      <w:r w:rsidR="007B3DE2" w:rsidRPr="00FE4BFB">
        <w:t xml:space="preserve"> Gerhard </w:t>
      </w:r>
      <w:proofErr w:type="spellStart"/>
      <w:r w:rsidR="007B3DE2" w:rsidRPr="00FE4BFB">
        <w:t>Loibl</w:t>
      </w:r>
      <w:proofErr w:type="spellEnd"/>
      <w:r w:rsidR="00336919" w:rsidRPr="00FE4BFB">
        <w:t xml:space="preserve"> (</w:t>
      </w:r>
      <w:r w:rsidR="007B3DE2" w:rsidRPr="00FE4BFB">
        <w:t>Austria</w:t>
      </w:r>
      <w:r w:rsidR="00336919" w:rsidRPr="00FE4BFB">
        <w:t>)</w:t>
      </w:r>
      <w:r w:rsidR="00336919" w:rsidRPr="00FE4BFB">
        <w:rPr>
          <w:color w:val="000000"/>
        </w:rPr>
        <w:t xml:space="preserve"> and </w:t>
      </w:r>
      <w:proofErr w:type="spellStart"/>
      <w:r w:rsidR="00336919" w:rsidRPr="00FE4BFB">
        <w:rPr>
          <w:color w:val="000000"/>
        </w:rPr>
        <w:t>M</w:t>
      </w:r>
      <w:r w:rsidR="007B3DE2" w:rsidRPr="00FE4BFB">
        <w:rPr>
          <w:color w:val="000000"/>
        </w:rPr>
        <w:t>s</w:t>
      </w:r>
      <w:r w:rsidR="00336919" w:rsidRPr="00FE4BFB">
        <w:rPr>
          <w:color w:val="000000"/>
        </w:rPr>
        <w:t>.</w:t>
      </w:r>
      <w:proofErr w:type="spellEnd"/>
      <w:r w:rsidR="00336919" w:rsidRPr="00FE4BFB">
        <w:rPr>
          <w:color w:val="000000"/>
        </w:rPr>
        <w:t xml:space="preserve"> </w:t>
      </w:r>
      <w:r w:rsidR="007B3DE2" w:rsidRPr="00FE4BFB">
        <w:rPr>
          <w:color w:val="000000"/>
        </w:rPr>
        <w:t>Thelma Krug</w:t>
      </w:r>
      <w:r w:rsidR="00336919" w:rsidRPr="00FE4BFB">
        <w:rPr>
          <w:color w:val="000000"/>
        </w:rPr>
        <w:t xml:space="preserve"> (</w:t>
      </w:r>
      <w:r w:rsidR="007B3DE2" w:rsidRPr="00FE4BFB">
        <w:rPr>
          <w:color w:val="000000"/>
        </w:rPr>
        <w:t>Brazil</w:t>
      </w:r>
      <w:r w:rsidR="00336919" w:rsidRPr="00FE4BFB">
        <w:rPr>
          <w:color w:val="000000"/>
        </w:rPr>
        <w:t>).</w:t>
      </w:r>
    </w:p>
    <w:p w14:paraId="11216873" w14:textId="77777777" w:rsidR="007952B3" w:rsidRPr="007952B3" w:rsidRDefault="00794FF0" w:rsidP="00794FF0">
      <w:pPr>
        <w:pStyle w:val="SingleTxtG"/>
      </w:pPr>
      <w:r>
        <w:t>22.</w:t>
      </w:r>
      <w:r>
        <w:tab/>
      </w:r>
      <w:r w:rsidR="00336919" w:rsidRPr="007952B3">
        <w:t>A</w:t>
      </w:r>
      <w:r w:rsidR="00336919" w:rsidRPr="00FE4BFB">
        <w:t>t its 2</w:t>
      </w:r>
      <w:r w:rsidR="00336919" w:rsidRPr="007952B3">
        <w:rPr>
          <w:vertAlign w:val="superscript"/>
        </w:rPr>
        <w:t>nd</w:t>
      </w:r>
      <w:r w:rsidR="00336919" w:rsidRPr="00FE4BFB">
        <w:t xml:space="preserve"> meeting, the SBI considered and </w:t>
      </w:r>
      <w:r w:rsidR="00D0260F" w:rsidRPr="00FE4BFB">
        <w:t>recommended a draft decision on this matter for consideration and adoption by the Conference of the Parties serving as the meeting of the Parties to the Kyoto Protocol (CMP)</w:t>
      </w:r>
      <w:r w:rsidR="0029185D" w:rsidRPr="00FE4BFB">
        <w:t xml:space="preserve"> </w:t>
      </w:r>
      <w:r w:rsidR="00D0260F" w:rsidRPr="00FE4BFB">
        <w:t>at its tenth session</w:t>
      </w:r>
      <w:r w:rsidR="00FE4BFB">
        <w:t xml:space="preserve"> (</w:t>
      </w:r>
      <w:r w:rsidR="00C741ED">
        <w:t>f</w:t>
      </w:r>
      <w:r w:rsidR="00FE4BFB" w:rsidRPr="00FE4BFB">
        <w:t>or the text of the draft decision, see document FCCC/SBI/2014/8/Add.1</w:t>
      </w:r>
      <w:r w:rsidR="00FE4BFB">
        <w:t>)</w:t>
      </w:r>
      <w:r w:rsidR="00D0260F" w:rsidRPr="00FE4BFB">
        <w:t>.</w:t>
      </w:r>
      <w:r w:rsidR="00F12D92" w:rsidRPr="00FE4BFB">
        <w:t xml:space="preserve"> </w:t>
      </w:r>
      <w:bookmarkStart w:id="37" w:name="_Toc391983283"/>
    </w:p>
    <w:p w14:paraId="49B0BCDF" w14:textId="77777777" w:rsidR="00A61BEC" w:rsidRPr="00FE4BFB" w:rsidRDefault="00794FF0" w:rsidP="00794FF0">
      <w:pPr>
        <w:pStyle w:val="HChG"/>
      </w:pPr>
      <w:r>
        <w:tab/>
        <w:t>IV.</w:t>
      </w:r>
      <w:r>
        <w:tab/>
      </w:r>
      <w:r w:rsidR="00604580" w:rsidRPr="007952B3">
        <w:t>Reporting from Parties not included in Annex I to the Convention</w:t>
      </w:r>
      <w:bookmarkEnd w:id="37"/>
      <w:r w:rsidR="00976CF0" w:rsidRPr="007952B3">
        <w:br/>
      </w:r>
      <w:r w:rsidR="00A61BEC" w:rsidRPr="007952B3">
        <w:rPr>
          <w:rStyle w:val="SingleTxtGChar"/>
          <w:b w:val="0"/>
          <w:sz w:val="20"/>
        </w:rPr>
        <w:t xml:space="preserve">(Agenda item </w:t>
      </w:r>
      <w:r w:rsidR="00604580" w:rsidRPr="007952B3">
        <w:rPr>
          <w:rStyle w:val="SingleTxtGChar"/>
          <w:b w:val="0"/>
          <w:sz w:val="20"/>
        </w:rPr>
        <w:t>4</w:t>
      </w:r>
      <w:r w:rsidR="00A61BEC" w:rsidRPr="007952B3">
        <w:rPr>
          <w:rStyle w:val="SingleTxtGChar"/>
          <w:b w:val="0"/>
          <w:sz w:val="20"/>
        </w:rPr>
        <w:t>)</w:t>
      </w:r>
    </w:p>
    <w:p w14:paraId="1C4AA097" w14:textId="77777777" w:rsidR="00604580" w:rsidRPr="00303799" w:rsidRDefault="00794FF0" w:rsidP="00794FF0">
      <w:pPr>
        <w:pStyle w:val="H1G"/>
        <w:tabs>
          <w:tab w:val="right" w:pos="850"/>
        </w:tabs>
        <w:rPr>
          <w:rStyle w:val="SingleTxtGChar"/>
          <w:b w:val="0"/>
          <w:sz w:val="20"/>
        </w:rPr>
      </w:pPr>
      <w:bookmarkStart w:id="38" w:name="_Toc391983284"/>
      <w:r>
        <w:tab/>
        <w:t>A.</w:t>
      </w:r>
      <w:r>
        <w:tab/>
      </w:r>
      <w:r w:rsidR="00604580" w:rsidRPr="00FE4BFB">
        <w:t>Information contained in national communications from Parties not included in Annex I to the Convention</w:t>
      </w:r>
      <w:r w:rsidR="00604580" w:rsidRPr="00FE4BFB">
        <w:br/>
      </w:r>
      <w:r w:rsidR="00604580" w:rsidRPr="00FE4BFB">
        <w:rPr>
          <w:rStyle w:val="SingleTxtGChar"/>
          <w:b w:val="0"/>
          <w:sz w:val="20"/>
        </w:rPr>
        <w:t xml:space="preserve">(Agenda </w:t>
      </w:r>
      <w:r w:rsidR="0016758E" w:rsidRPr="00303799">
        <w:rPr>
          <w:rStyle w:val="SingleTxtGChar"/>
          <w:b w:val="0"/>
          <w:sz w:val="20"/>
        </w:rPr>
        <w:t>sub-item</w:t>
      </w:r>
      <w:r w:rsidR="00604580" w:rsidRPr="00303799">
        <w:rPr>
          <w:rStyle w:val="SingleTxtGChar"/>
          <w:b w:val="0"/>
          <w:sz w:val="20"/>
        </w:rPr>
        <w:t xml:space="preserve"> </w:t>
      </w:r>
      <w:r w:rsidR="00226371" w:rsidRPr="00303799">
        <w:rPr>
          <w:rStyle w:val="SingleTxtGChar"/>
          <w:b w:val="0"/>
          <w:sz w:val="20"/>
        </w:rPr>
        <w:t>4</w:t>
      </w:r>
      <w:r w:rsidR="00604580" w:rsidRPr="00303799">
        <w:rPr>
          <w:rStyle w:val="SingleTxtGChar"/>
          <w:b w:val="0"/>
          <w:sz w:val="20"/>
        </w:rPr>
        <w:t>(</w:t>
      </w:r>
      <w:r w:rsidR="00226371" w:rsidRPr="00303799">
        <w:rPr>
          <w:rStyle w:val="SingleTxtGChar"/>
          <w:b w:val="0"/>
          <w:sz w:val="20"/>
        </w:rPr>
        <w:t>a</w:t>
      </w:r>
      <w:r w:rsidR="00604580" w:rsidRPr="00303799">
        <w:rPr>
          <w:rStyle w:val="SingleTxtGChar"/>
          <w:b w:val="0"/>
          <w:sz w:val="20"/>
        </w:rPr>
        <w:t>)</w:t>
      </w:r>
      <w:r w:rsidR="009410B5" w:rsidRPr="00303799">
        <w:rPr>
          <w:rStyle w:val="SingleTxtGChar"/>
          <w:b w:val="0"/>
          <w:sz w:val="20"/>
        </w:rPr>
        <w:t xml:space="preserve"> </w:t>
      </w:r>
      <w:r w:rsidR="009410B5" w:rsidRPr="00303799">
        <w:rPr>
          <w:rStyle w:val="SingleTxtGChar"/>
          <w:b w:val="0"/>
          <w:i/>
          <w:sz w:val="20"/>
        </w:rPr>
        <w:t>held in abeyance</w:t>
      </w:r>
      <w:r w:rsidR="00604580" w:rsidRPr="00303799">
        <w:rPr>
          <w:rStyle w:val="SingleTxtGChar"/>
          <w:b w:val="0"/>
          <w:sz w:val="20"/>
        </w:rPr>
        <w:t>)</w:t>
      </w:r>
      <w:bookmarkEnd w:id="38"/>
    </w:p>
    <w:p w14:paraId="75FF71B5" w14:textId="77777777" w:rsidR="00226371" w:rsidRPr="00303799" w:rsidRDefault="00794FF0" w:rsidP="00794FF0">
      <w:pPr>
        <w:pStyle w:val="H1G"/>
        <w:tabs>
          <w:tab w:val="right" w:pos="850"/>
        </w:tabs>
        <w:rPr>
          <w:rStyle w:val="SingleTxtGChar"/>
          <w:b w:val="0"/>
          <w:sz w:val="20"/>
        </w:rPr>
      </w:pPr>
      <w:bookmarkStart w:id="39" w:name="_Toc391983285"/>
      <w:r>
        <w:tab/>
        <w:t>B.</w:t>
      </w:r>
      <w:r>
        <w:tab/>
      </w:r>
      <w:r w:rsidR="00226371" w:rsidRPr="00303799">
        <w:t>Provision of financial and technical support</w:t>
      </w:r>
      <w:r w:rsidR="00226371" w:rsidRPr="00303799">
        <w:br/>
      </w:r>
      <w:r w:rsidR="00226371" w:rsidRPr="00303799">
        <w:rPr>
          <w:rStyle w:val="SingleTxtGChar"/>
          <w:b w:val="0"/>
          <w:sz w:val="20"/>
        </w:rPr>
        <w:t xml:space="preserve">(Agenda </w:t>
      </w:r>
      <w:r w:rsidR="0016758E" w:rsidRPr="00303799">
        <w:rPr>
          <w:rStyle w:val="SingleTxtGChar"/>
          <w:b w:val="0"/>
          <w:sz w:val="20"/>
        </w:rPr>
        <w:t>sub-item</w:t>
      </w:r>
      <w:r w:rsidR="00226371" w:rsidRPr="00303799">
        <w:rPr>
          <w:rStyle w:val="SingleTxtGChar"/>
          <w:b w:val="0"/>
          <w:sz w:val="20"/>
        </w:rPr>
        <w:t xml:space="preserve"> 4(b))</w:t>
      </w:r>
      <w:bookmarkEnd w:id="39"/>
    </w:p>
    <w:p w14:paraId="63BA1713" w14:textId="77777777" w:rsidR="00E134E7" w:rsidRPr="00303799" w:rsidRDefault="00794FF0" w:rsidP="00794FF0">
      <w:pPr>
        <w:pStyle w:val="H23G"/>
        <w:rPr>
          <w:lang w:eastAsia="en-US"/>
        </w:rPr>
      </w:pPr>
      <w:r>
        <w:tab/>
        <w:t>1.</w:t>
      </w:r>
      <w:r>
        <w:tab/>
      </w:r>
      <w:r w:rsidR="00E134E7" w:rsidRPr="00303799">
        <w:t>Proceedings</w:t>
      </w:r>
    </w:p>
    <w:p w14:paraId="75142A83" w14:textId="77777777" w:rsidR="00F950BF" w:rsidRPr="009D373E" w:rsidRDefault="00794FF0" w:rsidP="00794FF0">
      <w:pPr>
        <w:pStyle w:val="SingleTxtG"/>
      </w:pPr>
      <w:r>
        <w:t>23.</w:t>
      </w:r>
      <w:r>
        <w:tab/>
      </w:r>
      <w:r w:rsidR="00226371" w:rsidRPr="009D373E">
        <w:t xml:space="preserve">The SBI considered this agenda </w:t>
      </w:r>
      <w:r w:rsidR="0016758E" w:rsidRPr="009D373E">
        <w:t>sub-item</w:t>
      </w:r>
      <w:r w:rsidR="00226371" w:rsidRPr="009D373E">
        <w:t xml:space="preserve"> at its </w:t>
      </w:r>
      <w:r w:rsidR="00226371" w:rsidRPr="009D373E">
        <w:rPr>
          <w:snapToGrid w:val="0"/>
        </w:rPr>
        <w:t>1</w:t>
      </w:r>
      <w:r w:rsidR="00226371" w:rsidRPr="009D373E">
        <w:rPr>
          <w:snapToGrid w:val="0"/>
          <w:vertAlign w:val="superscript"/>
        </w:rPr>
        <w:t>st</w:t>
      </w:r>
      <w:r w:rsidR="00226371" w:rsidRPr="009D373E">
        <w:rPr>
          <w:snapToGrid w:val="0"/>
        </w:rPr>
        <w:t xml:space="preserve"> </w:t>
      </w:r>
      <w:r w:rsidR="00F950BF" w:rsidRPr="009D373E">
        <w:rPr>
          <w:snapToGrid w:val="0"/>
        </w:rPr>
        <w:t>and 2</w:t>
      </w:r>
      <w:r w:rsidR="00F950BF" w:rsidRPr="009D373E">
        <w:rPr>
          <w:snapToGrid w:val="0"/>
          <w:vertAlign w:val="superscript"/>
        </w:rPr>
        <w:t>nd</w:t>
      </w:r>
      <w:r w:rsidR="00F950BF" w:rsidRPr="009D373E">
        <w:rPr>
          <w:snapToGrid w:val="0"/>
        </w:rPr>
        <w:t xml:space="preserve"> </w:t>
      </w:r>
      <w:r w:rsidR="00226371" w:rsidRPr="009D373E">
        <w:rPr>
          <w:snapToGrid w:val="0"/>
        </w:rPr>
        <w:t>meetings</w:t>
      </w:r>
      <w:r w:rsidR="00226371" w:rsidRPr="009D373E">
        <w:t>.</w:t>
      </w:r>
      <w:r w:rsidR="002044B5" w:rsidRPr="009D373E">
        <w:t xml:space="preserve"> </w:t>
      </w:r>
      <w:r w:rsidR="00151870" w:rsidRPr="009D373E">
        <w:t xml:space="preserve">It had before it document FCCC/SBI/2014/INF.7. </w:t>
      </w:r>
    </w:p>
    <w:p w14:paraId="21AFD209" w14:textId="77777777" w:rsidR="00226371" w:rsidRPr="00303799" w:rsidRDefault="00794FF0" w:rsidP="00794FF0">
      <w:pPr>
        <w:pStyle w:val="SingleTxtG"/>
      </w:pPr>
      <w:r>
        <w:t>24.</w:t>
      </w:r>
      <w:r>
        <w:tab/>
      </w:r>
      <w:r w:rsidR="00226371" w:rsidRPr="00303799">
        <w:t xml:space="preserve">At </w:t>
      </w:r>
      <w:r w:rsidR="00D41062" w:rsidRPr="00303799">
        <w:t xml:space="preserve">the </w:t>
      </w:r>
      <w:r w:rsidR="00226371" w:rsidRPr="00303799">
        <w:rPr>
          <w:snapToGrid w:val="0"/>
        </w:rPr>
        <w:t>1</w:t>
      </w:r>
      <w:r w:rsidR="00226371" w:rsidRPr="00303799">
        <w:rPr>
          <w:snapToGrid w:val="0"/>
          <w:vertAlign w:val="superscript"/>
        </w:rPr>
        <w:t>st</w:t>
      </w:r>
      <w:r w:rsidR="00226371" w:rsidRPr="00303799">
        <w:rPr>
          <w:snapToGrid w:val="0"/>
        </w:rPr>
        <w:t xml:space="preserve"> </w:t>
      </w:r>
      <w:r w:rsidR="00226371" w:rsidRPr="00303799">
        <w:t xml:space="preserve">meeting, </w:t>
      </w:r>
      <w:r w:rsidR="00F950BF" w:rsidRPr="00303799">
        <w:t xml:space="preserve">the Chair of the SBI invited </w:t>
      </w:r>
      <w:r w:rsidR="00C72FB7" w:rsidRPr="00303799">
        <w:t>a</w:t>
      </w:r>
      <w:r w:rsidR="00F950BF" w:rsidRPr="00303799">
        <w:t xml:space="preserve"> representative of the secretariat of the Global Environment Facility (GEF) to make a statement.</w:t>
      </w:r>
      <w:r w:rsidR="00C72FB7" w:rsidRPr="00303799">
        <w:rPr>
          <w:rStyle w:val="FootnoteReference"/>
          <w:color w:val="000000"/>
        </w:rPr>
        <w:footnoteReference w:id="6"/>
      </w:r>
      <w:r w:rsidR="00F950BF" w:rsidRPr="00303799">
        <w:t xml:space="preserve"> At the same meeting, </w:t>
      </w:r>
      <w:r w:rsidR="00226371" w:rsidRPr="00303799">
        <w:t xml:space="preserve">the SBI agreed to consider this agenda </w:t>
      </w:r>
      <w:r w:rsidR="0016758E" w:rsidRPr="00303799">
        <w:t>sub-item</w:t>
      </w:r>
      <w:r w:rsidR="00226371" w:rsidRPr="00303799">
        <w:t xml:space="preserve"> in informal consultations co-facilitated by </w:t>
      </w:r>
      <w:proofErr w:type="spellStart"/>
      <w:r w:rsidR="00226371" w:rsidRPr="00303799">
        <w:t>Ms</w:t>
      </w:r>
      <w:r w:rsidR="00D41062" w:rsidRPr="00303799">
        <w:t>.</w:t>
      </w:r>
      <w:proofErr w:type="spellEnd"/>
      <w:r w:rsidR="00D41062" w:rsidRPr="00303799">
        <w:t> </w:t>
      </w:r>
      <w:r w:rsidR="00226371" w:rsidRPr="00303799">
        <w:t xml:space="preserve">Hussein </w:t>
      </w:r>
      <w:r w:rsidR="00226371" w:rsidRPr="00303799">
        <w:rPr>
          <w:color w:val="000000"/>
        </w:rPr>
        <w:t xml:space="preserve">and </w:t>
      </w:r>
      <w:proofErr w:type="spellStart"/>
      <w:r w:rsidR="00226371" w:rsidRPr="00303799">
        <w:rPr>
          <w:color w:val="000000"/>
        </w:rPr>
        <w:t>Ms.</w:t>
      </w:r>
      <w:proofErr w:type="spellEnd"/>
      <w:r w:rsidR="00226371" w:rsidRPr="00303799">
        <w:rPr>
          <w:color w:val="000000"/>
        </w:rPr>
        <w:t xml:space="preserve"> Plume.</w:t>
      </w:r>
    </w:p>
    <w:p w14:paraId="71197337" w14:textId="77777777" w:rsidR="00226371" w:rsidRPr="00303799" w:rsidRDefault="00794FF0" w:rsidP="00794FF0">
      <w:pPr>
        <w:pStyle w:val="SingleTxtG"/>
      </w:pPr>
      <w:r>
        <w:rPr>
          <w:color w:val="000000"/>
        </w:rPr>
        <w:t>25.</w:t>
      </w:r>
      <w:r>
        <w:rPr>
          <w:color w:val="000000"/>
        </w:rPr>
        <w:tab/>
      </w:r>
      <w:r w:rsidR="00226371" w:rsidRPr="00303799">
        <w:rPr>
          <w:color w:val="000000"/>
        </w:rPr>
        <w:t>A</w:t>
      </w:r>
      <w:r w:rsidR="00226371" w:rsidRPr="00303799">
        <w:t>t its 2</w:t>
      </w:r>
      <w:r w:rsidR="00353A16" w:rsidRPr="00303799">
        <w:rPr>
          <w:vertAlign w:val="superscript"/>
        </w:rPr>
        <w:t>nd</w:t>
      </w:r>
      <w:r w:rsidR="00353A16" w:rsidRPr="00303799">
        <w:t xml:space="preserve"> </w:t>
      </w:r>
      <w:r w:rsidR="00226371" w:rsidRPr="00303799">
        <w:t>meeting, the SBI considered and adopted the conclusions below.</w:t>
      </w:r>
      <w:r w:rsidR="00226371" w:rsidRPr="00303799">
        <w:rPr>
          <w:rStyle w:val="FootnoteReference"/>
          <w:color w:val="000000"/>
        </w:rPr>
        <w:footnoteReference w:id="7"/>
      </w:r>
    </w:p>
    <w:p w14:paraId="7865FDE9" w14:textId="77777777" w:rsidR="004C5ECA" w:rsidRPr="00303799" w:rsidRDefault="00794FF0" w:rsidP="00794FF0">
      <w:pPr>
        <w:pStyle w:val="H23G"/>
      </w:pPr>
      <w:r>
        <w:tab/>
        <w:t>2.</w:t>
      </w:r>
      <w:r>
        <w:tab/>
      </w:r>
      <w:r w:rsidR="00226371" w:rsidRPr="00303799">
        <w:t>Conclusions</w:t>
      </w:r>
    </w:p>
    <w:p w14:paraId="7BCADA70" w14:textId="77777777" w:rsidR="004C5ECA" w:rsidRPr="00303799" w:rsidRDefault="00794FF0" w:rsidP="00794FF0">
      <w:pPr>
        <w:pStyle w:val="SingleTxtG"/>
      </w:pPr>
      <w:r>
        <w:t>26.</w:t>
      </w:r>
      <w:r>
        <w:tab/>
      </w:r>
      <w:r w:rsidR="00761C37" w:rsidRPr="00303799">
        <w:t>The SBI took note of the information provided by the secretariat of the GEF on the financial support provided by the GEF for the preparation of biennial update reports (BURs) by Parties not included in Annex I to the Convention (non-Annex I Parties).</w:t>
      </w:r>
      <w:r w:rsidR="00761C37" w:rsidRPr="00C73BC8">
        <w:rPr>
          <w:sz w:val="18"/>
          <w:vertAlign w:val="superscript"/>
        </w:rPr>
        <w:footnoteReference w:id="8"/>
      </w:r>
      <w:r w:rsidR="00761C37" w:rsidRPr="00303799">
        <w:t xml:space="preserve"> The SBI invited the GEF to continue providing detailed, accurate, timely and complete information on its activities relating to the preparation of BURs, including information on the dates of requests for funding, approval of funding and disbursement of funds, as well as the amount of funding disbursed to non-Annex I Parties for the preparation of BURs, and the amount of funding provided for the preparation of national communications during the same peri</w:t>
      </w:r>
      <w:r w:rsidR="00353A16" w:rsidRPr="00303799">
        <w:t>od, for consideration at</w:t>
      </w:r>
      <w:r w:rsidR="009C2FAF" w:rsidRPr="00303799">
        <w:t xml:space="preserve"> </w:t>
      </w:r>
      <w:r w:rsidR="00353A16" w:rsidRPr="00303799">
        <w:t>SBI 41</w:t>
      </w:r>
      <w:r w:rsidR="00761C37" w:rsidRPr="00303799">
        <w:t>.</w:t>
      </w:r>
    </w:p>
    <w:p w14:paraId="302AF233" w14:textId="77777777" w:rsidR="00162E68" w:rsidRPr="00303799" w:rsidRDefault="00794FF0" w:rsidP="00794FF0">
      <w:pPr>
        <w:pStyle w:val="SingleTxtG"/>
      </w:pPr>
      <w:r>
        <w:t>27.</w:t>
      </w:r>
      <w:r>
        <w:tab/>
      </w:r>
      <w:r w:rsidR="00761C37" w:rsidRPr="00303799">
        <w:t>The SBI noted that as at 4 June 2014 the GEF secretariat had received 36 requests for support to prepare BURs. Recalling decision 2/CP.17, paragraph 41(d), the SBI urged non-Annex I Parties that have yet to submit, as applicable, their requests to the GEF for support for the preparation of their first BURs to do so in a timely manner. In addition, it encouraged the GEF implementing agencies to continue facilitating the preparation and submission of project proposals by non-Annex I Parties for the preparation of their BURs.</w:t>
      </w:r>
    </w:p>
    <w:p w14:paraId="7A9A5D93" w14:textId="77777777" w:rsidR="00162E68" w:rsidRPr="00303799" w:rsidRDefault="00794FF0" w:rsidP="00794FF0">
      <w:pPr>
        <w:pStyle w:val="SingleTxtG"/>
      </w:pPr>
      <w:r>
        <w:t>28.</w:t>
      </w:r>
      <w:r>
        <w:tab/>
      </w:r>
      <w:r w:rsidR="00761C37" w:rsidRPr="00303799">
        <w:t>The SBI invited the GEF to provide, in its report to COP</w:t>
      </w:r>
      <w:r w:rsidR="004B165B" w:rsidRPr="00303799">
        <w:t xml:space="preserve"> 20</w:t>
      </w:r>
      <w:r w:rsidR="00761C37" w:rsidRPr="00303799">
        <w:t>, detailed information on the funding available under its latest replenishment to non-Annex I Parties for the preparation of national communications and BURs, and the total amount of funding available in its climate change focal area.</w:t>
      </w:r>
    </w:p>
    <w:p w14:paraId="0F04C272" w14:textId="77777777" w:rsidR="00162E68" w:rsidRPr="00303799" w:rsidRDefault="00794FF0" w:rsidP="00794FF0">
      <w:pPr>
        <w:pStyle w:val="SingleTxtG"/>
      </w:pPr>
      <w:r>
        <w:t>29.</w:t>
      </w:r>
      <w:r>
        <w:tab/>
      </w:r>
      <w:r w:rsidR="00761C37" w:rsidRPr="00303799">
        <w:t>The SBI recommended that COP 20 request the GEF to continue to work with its implementing agencies to further simplify its procedures and improve the effectiveness and efficiency of the process through which non-Annex I Parties receive funding to meet their obligations under Article 12, paragraph 1, of the Convention.</w:t>
      </w:r>
    </w:p>
    <w:p w14:paraId="44A45493" w14:textId="77777777" w:rsidR="00162E68" w:rsidRPr="00303799" w:rsidRDefault="00794FF0" w:rsidP="00794FF0">
      <w:pPr>
        <w:pStyle w:val="SingleTxtG"/>
      </w:pPr>
      <w:r>
        <w:t>30.</w:t>
      </w:r>
      <w:r>
        <w:tab/>
      </w:r>
      <w:r w:rsidR="00761C37" w:rsidRPr="00303799">
        <w:t>The SBI, recalling decision 9/CP.18, reiterated its encouragement</w:t>
      </w:r>
      <w:r w:rsidR="00761C37" w:rsidRPr="00303799">
        <w:rPr>
          <w:rStyle w:val="FootnoteReference"/>
        </w:rPr>
        <w:footnoteReference w:id="9"/>
      </w:r>
      <w:r w:rsidR="00761C37" w:rsidRPr="00303799">
        <w:t xml:space="preserve"> of the GEF to make support available to non-Annex I Parties for preparing their subsequent BURs in a timely manner, taking fully into account decision 2/CP.17, paragraph 41(a) and (e).</w:t>
      </w:r>
    </w:p>
    <w:p w14:paraId="6F4D57FA" w14:textId="77777777" w:rsidR="00162E68" w:rsidRPr="00303799" w:rsidRDefault="00794FF0" w:rsidP="00794FF0">
      <w:pPr>
        <w:pStyle w:val="SingleTxtG"/>
      </w:pPr>
      <w:r>
        <w:t>31.</w:t>
      </w:r>
      <w:r>
        <w:tab/>
      </w:r>
      <w:r w:rsidR="00761C37" w:rsidRPr="00303799">
        <w:t xml:space="preserve">The SBI noted the announcement made by the representative of the GEF on the successful completion, at a record level, of the sixth replenishment of the GEF and the upcoming operationalization of its Global Support Programme for </w:t>
      </w:r>
      <w:r w:rsidR="0097036B" w:rsidRPr="00303799">
        <w:t>P</w:t>
      </w:r>
      <w:r w:rsidR="00761C37" w:rsidRPr="00303799">
        <w:t xml:space="preserve">reparation of </w:t>
      </w:r>
      <w:r w:rsidR="0097036B" w:rsidRPr="00303799">
        <w:t xml:space="preserve">National Communications </w:t>
      </w:r>
      <w:r w:rsidR="00761C37" w:rsidRPr="00303799">
        <w:t xml:space="preserve">and </w:t>
      </w:r>
      <w:r w:rsidR="0097036B" w:rsidRPr="00303799">
        <w:t xml:space="preserve">Biennial Update Reports </w:t>
      </w:r>
      <w:r w:rsidR="00761C37" w:rsidRPr="00303799">
        <w:t xml:space="preserve">by non-Annex I Parties (a five-year project administered jointly by the United Nations Development Programme and the United Nations Environment Programme, with the objective of enhancing the support provided to non-Annex I Parties for the preparation of their national communications and BURs). </w:t>
      </w:r>
    </w:p>
    <w:p w14:paraId="05350417" w14:textId="77777777" w:rsidR="00162E68" w:rsidRPr="00303799" w:rsidRDefault="00794FF0" w:rsidP="00794FF0">
      <w:pPr>
        <w:pStyle w:val="SingleTxtG"/>
      </w:pPr>
      <w:r>
        <w:t>32.</w:t>
      </w:r>
      <w:r>
        <w:tab/>
      </w:r>
      <w:r w:rsidR="00761C37" w:rsidRPr="00303799">
        <w:t>The SBI welcomed the efforts made by the secretariat to release updated versions of the national greenhouse gas (GHG) inventory software for non-Annex I Parties in 2013</w:t>
      </w:r>
      <w:r w:rsidR="00761C37" w:rsidRPr="00303799">
        <w:rPr>
          <w:rStyle w:val="FootnoteReference"/>
        </w:rPr>
        <w:footnoteReference w:id="10"/>
      </w:r>
      <w:r w:rsidR="00761C37" w:rsidRPr="00303799">
        <w:t xml:space="preserve"> and encouraged non-Annex I Parties to use the software for the development of their national GHG inventories. It acknowledged the usefulness of the updated software and requested the secretariat to make it available to non-Annex I Parties in other United Nations languages by June 2015. </w:t>
      </w:r>
    </w:p>
    <w:p w14:paraId="5DEA99FB" w14:textId="77777777" w:rsidR="00162E68" w:rsidRPr="00303799" w:rsidRDefault="00794FF0" w:rsidP="00794FF0">
      <w:pPr>
        <w:pStyle w:val="SingleTxtG"/>
      </w:pPr>
      <w:r>
        <w:t>33.</w:t>
      </w:r>
      <w:r>
        <w:tab/>
      </w:r>
      <w:r w:rsidR="00761C37" w:rsidRPr="00303799">
        <w:t xml:space="preserve">The SBI also welcomed the efforts made by the secretariat to provide relevant training to national experts from all non-Annex I Parties with a view to facilitating the efficient use of the software. The SBI thanked the Governments of the Philippines, Gabon and Colombia for having hosted the regional hands-on training workshops on the use of the software that were organized by the secretariat. It also requested the secretariat to report, at SBI 41, on the regional hands-on training workshops on the use of the software that it organized in 2013–2014. </w:t>
      </w:r>
    </w:p>
    <w:p w14:paraId="0C2211CC" w14:textId="77777777" w:rsidR="00162E68" w:rsidRPr="009828C0" w:rsidRDefault="00794FF0" w:rsidP="00794FF0">
      <w:pPr>
        <w:pStyle w:val="SingleTxtG"/>
      </w:pPr>
      <w:r>
        <w:t>34.</w:t>
      </w:r>
      <w:r>
        <w:tab/>
      </w:r>
      <w:r w:rsidR="00761C37" w:rsidRPr="00303799">
        <w:t xml:space="preserve">The SBI took note of the estimated budgetary implications of the activities to be undertaken by the secretariat referred to in paragraph </w:t>
      </w:r>
      <w:r w:rsidR="0016758E" w:rsidRPr="00360525">
        <w:t xml:space="preserve">32 </w:t>
      </w:r>
      <w:r w:rsidR="00761C37" w:rsidRPr="00360525">
        <w:t>a</w:t>
      </w:r>
      <w:r w:rsidR="00761C37" w:rsidRPr="009828C0">
        <w:t xml:space="preserve">bove. </w:t>
      </w:r>
    </w:p>
    <w:p w14:paraId="121169E6" w14:textId="77777777" w:rsidR="00761C37" w:rsidRPr="009828C0" w:rsidRDefault="00794FF0" w:rsidP="00794FF0">
      <w:pPr>
        <w:pStyle w:val="SingleTxtG"/>
      </w:pPr>
      <w:r>
        <w:t>35.</w:t>
      </w:r>
      <w:r>
        <w:tab/>
      </w:r>
      <w:r w:rsidR="00761C37" w:rsidRPr="009828C0">
        <w:t>It requested that the actions of the secretariat called for in these conclusions be undertaken subject to the availability of financial resources.</w:t>
      </w:r>
    </w:p>
    <w:p w14:paraId="4118452B" w14:textId="77777777" w:rsidR="008000C9" w:rsidRPr="009828C0" w:rsidRDefault="00794FF0" w:rsidP="00794FF0">
      <w:pPr>
        <w:pStyle w:val="HChG"/>
        <w:rPr>
          <w:bCs/>
          <w:sz w:val="20"/>
        </w:rPr>
      </w:pPr>
      <w:bookmarkStart w:id="40" w:name="_Toc391983286"/>
      <w:r>
        <w:tab/>
        <w:t>V.</w:t>
      </w:r>
      <w:r>
        <w:tab/>
      </w:r>
      <w:r w:rsidR="000F0125" w:rsidRPr="009828C0">
        <w:t xml:space="preserve">Work programme to further the understanding of the diversity of nationally appropriate mitigation </w:t>
      </w:r>
      <w:r w:rsidR="005F0915" w:rsidRPr="009828C0">
        <w:t xml:space="preserve">actions </w:t>
      </w:r>
      <w:r w:rsidR="000F0125" w:rsidRPr="009828C0">
        <w:br/>
      </w:r>
      <w:r w:rsidR="000F0125" w:rsidRPr="00327414">
        <w:rPr>
          <w:b w:val="0"/>
          <w:bCs/>
          <w:sz w:val="20"/>
        </w:rPr>
        <w:t>(Agenda item 5)</w:t>
      </w:r>
      <w:bookmarkEnd w:id="40"/>
    </w:p>
    <w:p w14:paraId="5B224754" w14:textId="77777777" w:rsidR="007F78A9" w:rsidRPr="009828C0" w:rsidRDefault="00794FF0" w:rsidP="00794FF0">
      <w:pPr>
        <w:pStyle w:val="H23G"/>
        <w:rPr>
          <w:lang w:eastAsia="en-US"/>
        </w:rPr>
      </w:pPr>
      <w:r>
        <w:tab/>
        <w:t>1.</w:t>
      </w:r>
      <w:r>
        <w:tab/>
      </w:r>
      <w:r w:rsidR="00DF3D19" w:rsidRPr="009828C0">
        <w:t>Proceedings</w:t>
      </w:r>
    </w:p>
    <w:p w14:paraId="4D175102" w14:textId="77777777" w:rsidR="004459B5" w:rsidRPr="009D373E" w:rsidRDefault="00794FF0" w:rsidP="00794FF0">
      <w:pPr>
        <w:pStyle w:val="SingleTxtG"/>
      </w:pPr>
      <w:r>
        <w:t>36.</w:t>
      </w:r>
      <w:r>
        <w:tab/>
      </w:r>
      <w:r w:rsidR="008000C9" w:rsidRPr="009D373E">
        <w:t>The</w:t>
      </w:r>
      <w:r w:rsidR="004459B5" w:rsidRPr="009D373E">
        <w:t xml:space="preserve"> SBI considered this agenda </w:t>
      </w:r>
      <w:r w:rsidR="008000C9" w:rsidRPr="009D373E">
        <w:t xml:space="preserve">item at its </w:t>
      </w:r>
      <w:r w:rsidR="008000C9" w:rsidRPr="009D373E">
        <w:rPr>
          <w:snapToGrid w:val="0"/>
        </w:rPr>
        <w:t>1</w:t>
      </w:r>
      <w:r w:rsidR="008000C9" w:rsidRPr="009D373E">
        <w:rPr>
          <w:snapToGrid w:val="0"/>
          <w:vertAlign w:val="superscript"/>
        </w:rPr>
        <w:t>st</w:t>
      </w:r>
      <w:r w:rsidR="008000C9" w:rsidRPr="009D373E">
        <w:rPr>
          <w:snapToGrid w:val="0"/>
        </w:rPr>
        <w:t xml:space="preserve"> </w:t>
      </w:r>
      <w:r w:rsidR="004459B5" w:rsidRPr="009D373E">
        <w:rPr>
          <w:snapToGrid w:val="0"/>
        </w:rPr>
        <w:t>and 2</w:t>
      </w:r>
      <w:r w:rsidR="004459B5" w:rsidRPr="009D373E">
        <w:rPr>
          <w:snapToGrid w:val="0"/>
          <w:vertAlign w:val="superscript"/>
        </w:rPr>
        <w:t>nd</w:t>
      </w:r>
      <w:r w:rsidR="004459B5" w:rsidRPr="009D373E">
        <w:rPr>
          <w:snapToGrid w:val="0"/>
        </w:rPr>
        <w:t xml:space="preserve"> </w:t>
      </w:r>
      <w:r w:rsidR="008000C9" w:rsidRPr="009D373E">
        <w:rPr>
          <w:snapToGrid w:val="0"/>
        </w:rPr>
        <w:t>meetings</w:t>
      </w:r>
      <w:r w:rsidR="008000C9" w:rsidRPr="009D373E">
        <w:t xml:space="preserve">. </w:t>
      </w:r>
      <w:r w:rsidR="004459B5" w:rsidRPr="009D373E">
        <w:t>It had before it document</w:t>
      </w:r>
      <w:r w:rsidR="00F848B8" w:rsidRPr="009D373E">
        <w:t>s</w:t>
      </w:r>
      <w:r w:rsidR="004459B5" w:rsidRPr="009D373E">
        <w:t xml:space="preserve"> FCCC/SBI/2014/INF.1</w:t>
      </w:r>
      <w:r w:rsidR="00B613B5" w:rsidRPr="009D373E">
        <w:t xml:space="preserve"> and FCCC/SBI/2014/INF.10</w:t>
      </w:r>
      <w:r w:rsidR="004459B5" w:rsidRPr="009D373E">
        <w:t>.</w:t>
      </w:r>
    </w:p>
    <w:p w14:paraId="128B9E5C" w14:textId="77777777" w:rsidR="008000C9" w:rsidRPr="009828C0" w:rsidRDefault="00794FF0" w:rsidP="00794FF0">
      <w:pPr>
        <w:pStyle w:val="SingleTxtG"/>
      </w:pPr>
      <w:r>
        <w:t>37.</w:t>
      </w:r>
      <w:r>
        <w:tab/>
      </w:r>
      <w:r w:rsidR="008000C9" w:rsidRPr="009828C0">
        <w:t xml:space="preserve">At its </w:t>
      </w:r>
      <w:r w:rsidR="008000C9" w:rsidRPr="009828C0">
        <w:rPr>
          <w:snapToGrid w:val="0"/>
        </w:rPr>
        <w:t>1</w:t>
      </w:r>
      <w:r w:rsidR="008000C9" w:rsidRPr="009828C0">
        <w:rPr>
          <w:snapToGrid w:val="0"/>
          <w:vertAlign w:val="superscript"/>
        </w:rPr>
        <w:t>st</w:t>
      </w:r>
      <w:r w:rsidR="008000C9" w:rsidRPr="009828C0">
        <w:rPr>
          <w:snapToGrid w:val="0"/>
        </w:rPr>
        <w:t xml:space="preserve"> </w:t>
      </w:r>
      <w:r w:rsidR="008000C9" w:rsidRPr="009828C0">
        <w:t>meeting, the SBI agr</w:t>
      </w:r>
      <w:r w:rsidR="00354AF6" w:rsidRPr="009828C0">
        <w:t xml:space="preserve">eed to consider this agenda </w:t>
      </w:r>
      <w:r w:rsidR="008000C9" w:rsidRPr="009828C0">
        <w:t xml:space="preserve">item in informal consultations co-facilitated by </w:t>
      </w:r>
      <w:proofErr w:type="spellStart"/>
      <w:r w:rsidR="008000C9" w:rsidRPr="009828C0">
        <w:t>Ms.</w:t>
      </w:r>
      <w:proofErr w:type="spellEnd"/>
      <w:r w:rsidR="008000C9" w:rsidRPr="009828C0">
        <w:t xml:space="preserve"> Ann Gann (Singapore)</w:t>
      </w:r>
      <w:r w:rsidR="008000C9" w:rsidRPr="009828C0">
        <w:rPr>
          <w:color w:val="000000"/>
        </w:rPr>
        <w:t xml:space="preserve"> and </w:t>
      </w:r>
      <w:proofErr w:type="spellStart"/>
      <w:r w:rsidR="008000C9" w:rsidRPr="009828C0">
        <w:rPr>
          <w:color w:val="000000"/>
        </w:rPr>
        <w:t>Mr.</w:t>
      </w:r>
      <w:proofErr w:type="spellEnd"/>
      <w:r w:rsidR="008000C9" w:rsidRPr="009828C0">
        <w:rPr>
          <w:color w:val="000000"/>
        </w:rPr>
        <w:t xml:space="preserve"> </w:t>
      </w:r>
      <w:proofErr w:type="spellStart"/>
      <w:r w:rsidR="008000C9" w:rsidRPr="009828C0">
        <w:rPr>
          <w:color w:val="000000"/>
        </w:rPr>
        <w:t>Dimitar</w:t>
      </w:r>
      <w:proofErr w:type="spellEnd"/>
      <w:r w:rsidR="008000C9" w:rsidRPr="009828C0">
        <w:rPr>
          <w:color w:val="000000"/>
        </w:rPr>
        <w:t xml:space="preserve"> </w:t>
      </w:r>
      <w:proofErr w:type="spellStart"/>
      <w:r w:rsidR="008000C9" w:rsidRPr="009828C0">
        <w:rPr>
          <w:color w:val="000000"/>
        </w:rPr>
        <w:t>Nikov</w:t>
      </w:r>
      <w:proofErr w:type="spellEnd"/>
      <w:r w:rsidR="008000C9" w:rsidRPr="009828C0">
        <w:rPr>
          <w:color w:val="000000"/>
        </w:rPr>
        <w:t xml:space="preserve"> (France).</w:t>
      </w:r>
    </w:p>
    <w:p w14:paraId="1146E0BA" w14:textId="77777777" w:rsidR="008000C9" w:rsidRPr="009828C0" w:rsidRDefault="00794FF0" w:rsidP="00794FF0">
      <w:pPr>
        <w:pStyle w:val="SingleTxtG"/>
      </w:pPr>
      <w:r>
        <w:rPr>
          <w:color w:val="000000"/>
        </w:rPr>
        <w:t>38.</w:t>
      </w:r>
      <w:r>
        <w:rPr>
          <w:color w:val="000000"/>
        </w:rPr>
        <w:tab/>
      </w:r>
      <w:r w:rsidR="008000C9" w:rsidRPr="009828C0">
        <w:rPr>
          <w:color w:val="000000"/>
        </w:rPr>
        <w:t>A</w:t>
      </w:r>
      <w:r w:rsidR="008000C9" w:rsidRPr="009828C0">
        <w:t>t its 2</w:t>
      </w:r>
      <w:r w:rsidR="0082316D" w:rsidRPr="009828C0">
        <w:rPr>
          <w:vertAlign w:val="superscript"/>
        </w:rPr>
        <w:t>nd</w:t>
      </w:r>
      <w:r w:rsidR="0082316D" w:rsidRPr="009828C0">
        <w:t xml:space="preserve"> </w:t>
      </w:r>
      <w:r w:rsidR="008000C9" w:rsidRPr="009828C0">
        <w:t>meeting, the SBI considered and adopted the conclusions below.</w:t>
      </w:r>
      <w:r w:rsidR="00B25700" w:rsidRPr="009828C0">
        <w:rPr>
          <w:rStyle w:val="FootnoteReference"/>
          <w:color w:val="000000"/>
        </w:rPr>
        <w:footnoteReference w:id="11"/>
      </w:r>
    </w:p>
    <w:p w14:paraId="672806FA" w14:textId="77777777" w:rsidR="008000C9" w:rsidRPr="009828C0" w:rsidRDefault="00794FF0" w:rsidP="00794FF0">
      <w:pPr>
        <w:pStyle w:val="H23G"/>
      </w:pPr>
      <w:r>
        <w:tab/>
        <w:t>2.</w:t>
      </w:r>
      <w:r>
        <w:tab/>
      </w:r>
      <w:r w:rsidR="008000C9" w:rsidRPr="009828C0">
        <w:t>Conclusions</w:t>
      </w:r>
    </w:p>
    <w:p w14:paraId="05A082A2" w14:textId="77777777" w:rsidR="000B2DCF" w:rsidRPr="009828C0" w:rsidRDefault="00794FF0" w:rsidP="00794FF0">
      <w:pPr>
        <w:pStyle w:val="SingleTxtG"/>
      </w:pPr>
      <w:r>
        <w:t>39.</w:t>
      </w:r>
      <w:r>
        <w:tab/>
      </w:r>
      <w:r w:rsidR="00D02E4B" w:rsidRPr="009828C0">
        <w:t>The SBI</w:t>
      </w:r>
      <w:r w:rsidR="00066EDD" w:rsidRPr="009828C0">
        <w:t xml:space="preserve"> continued to advance the work programme to further the understanding of the diversity of nationally appropriate mitigation actions (NAMAs) in accordance with decision 1/CP.18, paragraph 19 (hereinafter referred to as the work programme).</w:t>
      </w:r>
    </w:p>
    <w:p w14:paraId="79C04435" w14:textId="77777777" w:rsidR="000B2DCF" w:rsidRPr="009828C0" w:rsidRDefault="00794FF0" w:rsidP="00794FF0">
      <w:pPr>
        <w:pStyle w:val="SingleTxtG"/>
      </w:pPr>
      <w:r>
        <w:t>40.</w:t>
      </w:r>
      <w:r>
        <w:tab/>
      </w:r>
      <w:r w:rsidR="00066EDD" w:rsidRPr="009828C0">
        <w:t xml:space="preserve">The SBI welcomed the information provided during the relevant in-session workshop and expressed its appreciation to the presenters and panellists, who shared information and experiences relating to the issues addressed under the work programme. </w:t>
      </w:r>
    </w:p>
    <w:p w14:paraId="6005B0C5" w14:textId="77777777" w:rsidR="000B2DCF" w:rsidRPr="009828C0" w:rsidRDefault="00794FF0" w:rsidP="00794FF0">
      <w:pPr>
        <w:pStyle w:val="SingleTxtG"/>
      </w:pPr>
      <w:r>
        <w:t>41.</w:t>
      </w:r>
      <w:r>
        <w:tab/>
      </w:r>
      <w:r w:rsidR="00066EDD" w:rsidRPr="009828C0">
        <w:t>The SBI took note of the information contained in document FCCC/SBI/2014/INF.10 on the extent of the matching of mitigation actions with financial, technical and capacity-building support under the NAMA registry.</w:t>
      </w:r>
    </w:p>
    <w:p w14:paraId="555B57CC" w14:textId="77777777" w:rsidR="000B2DCF" w:rsidRPr="009828C0" w:rsidRDefault="00794FF0" w:rsidP="00794FF0">
      <w:pPr>
        <w:pStyle w:val="SingleTxtG"/>
      </w:pPr>
      <w:r>
        <w:t>42.</w:t>
      </w:r>
      <w:r>
        <w:tab/>
      </w:r>
      <w:r w:rsidR="00066EDD" w:rsidRPr="009828C0">
        <w:t>The SBI recalled decision 2/CP.17, paragraph 52, and requested the secretariat to arrange annual technical briefings in conjunction with the meetings of the subsidiary bodies and, in this regard, prepare written information, including an update to document FCCC/SBI/2014/INF.10, to allow for an exchange of views on updated information on NAMAs and support for NAMAs under the registry, including the extent of matching between them.</w:t>
      </w:r>
    </w:p>
    <w:p w14:paraId="2C440BF8" w14:textId="77777777" w:rsidR="000B2DCF" w:rsidRPr="009828C0" w:rsidRDefault="00794FF0" w:rsidP="00794FF0">
      <w:pPr>
        <w:pStyle w:val="SingleTxtG"/>
      </w:pPr>
      <w:r>
        <w:t>43.</w:t>
      </w:r>
      <w:r>
        <w:tab/>
      </w:r>
      <w:r w:rsidR="00066EDD" w:rsidRPr="009828C0">
        <w:t xml:space="preserve">Taking note of the action taken so far under the work programme, the SBI recalled its mandate to report on the outcome of the work programme </w:t>
      </w:r>
      <w:r w:rsidR="002062C7" w:rsidRPr="009828C0">
        <w:t>at</w:t>
      </w:r>
      <w:r w:rsidR="00066EDD" w:rsidRPr="009828C0">
        <w:t xml:space="preserve"> </w:t>
      </w:r>
      <w:r w:rsidR="000B2DCF" w:rsidRPr="009828C0">
        <w:t>COP 20.</w:t>
      </w:r>
      <w:r w:rsidR="00066EDD" w:rsidRPr="009828C0">
        <w:t xml:space="preserve"> With a view to conclud</w:t>
      </w:r>
      <w:r w:rsidR="000B2DCF" w:rsidRPr="009828C0">
        <w:t>ing the work programme at SBI 4</w:t>
      </w:r>
      <w:r w:rsidR="002062C7" w:rsidRPr="009828C0">
        <w:t>1</w:t>
      </w:r>
      <w:r w:rsidR="00066EDD" w:rsidRPr="009828C0">
        <w:t>, in accordance with all of the elements contained in decision 1/CP.18, paragraph 19(a–c), the SBI agreed to prepare conclusions at that session on the process of furthering the understanding of the diversity of NAMAs, which will describe:</w:t>
      </w:r>
    </w:p>
    <w:p w14:paraId="498C0149" w14:textId="77777777" w:rsidR="000B2DCF" w:rsidRPr="009828C0" w:rsidRDefault="00794FF0" w:rsidP="00794FF0">
      <w:pPr>
        <w:pStyle w:val="SingleTxtG"/>
      </w:pPr>
      <w:r>
        <w:tab/>
        <w:t>(a)</w:t>
      </w:r>
      <w:r>
        <w:tab/>
      </w:r>
      <w:r w:rsidR="00066EDD" w:rsidRPr="009828C0">
        <w:t>The activities conducted under the work programme, relevant submissions from Parties, the reports prepared by the secretariat on those activities and on the operation of the NAMA registry, and the presentations made and discussions held at the relevant in-session workshops;</w:t>
      </w:r>
    </w:p>
    <w:p w14:paraId="1B1A1F58" w14:textId="77777777" w:rsidR="00066EDD" w:rsidRPr="009828C0" w:rsidRDefault="00794FF0" w:rsidP="00794FF0">
      <w:pPr>
        <w:pStyle w:val="SingleTxtG"/>
      </w:pPr>
      <w:r>
        <w:tab/>
        <w:t>(b)</w:t>
      </w:r>
      <w:r>
        <w:tab/>
      </w:r>
      <w:r w:rsidR="00066EDD" w:rsidRPr="009828C0">
        <w:t>Information on issues addressed and experiences shared during the work programme in relation to the preparation and implementation of, and support to, a diverse range of NAMAs.</w:t>
      </w:r>
    </w:p>
    <w:p w14:paraId="543133EE" w14:textId="77777777" w:rsidR="00991CD5" w:rsidRPr="009828C0" w:rsidRDefault="00794FF0" w:rsidP="00794FF0">
      <w:pPr>
        <w:pStyle w:val="HChG"/>
        <w:rPr>
          <w:sz w:val="22"/>
        </w:rPr>
      </w:pPr>
      <w:bookmarkStart w:id="41" w:name="_Toc391983287"/>
      <w:r>
        <w:tab/>
        <w:t>VI.</w:t>
      </w:r>
      <w:r>
        <w:tab/>
      </w:r>
      <w:r w:rsidR="008000C9" w:rsidRPr="009828C0">
        <w:t xml:space="preserve">Matters relating to the mechanisms under the Kyoto </w:t>
      </w:r>
      <w:r w:rsidR="00A60106" w:rsidRPr="009828C0">
        <w:t xml:space="preserve">Protocol </w:t>
      </w:r>
      <w:r w:rsidR="008000C9" w:rsidRPr="009828C0">
        <w:br/>
      </w:r>
      <w:r w:rsidR="008000C9" w:rsidRPr="00327414">
        <w:rPr>
          <w:b w:val="0"/>
          <w:sz w:val="20"/>
        </w:rPr>
        <w:t>(Agenda item 6)</w:t>
      </w:r>
      <w:bookmarkEnd w:id="41"/>
    </w:p>
    <w:p w14:paraId="7EA21DCE" w14:textId="77777777" w:rsidR="00991CD5" w:rsidRPr="00C842A6" w:rsidRDefault="00794FF0" w:rsidP="00794FF0">
      <w:pPr>
        <w:pStyle w:val="H1G"/>
        <w:tabs>
          <w:tab w:val="right" w:pos="850"/>
        </w:tabs>
        <w:rPr>
          <w:rStyle w:val="SingleTxtGChar"/>
          <w:b w:val="0"/>
          <w:sz w:val="20"/>
        </w:rPr>
      </w:pPr>
      <w:bookmarkStart w:id="42" w:name="_Toc391983288"/>
      <w:r>
        <w:tab/>
        <w:t>A.</w:t>
      </w:r>
      <w:r>
        <w:tab/>
      </w:r>
      <w:r w:rsidR="00640CCC" w:rsidRPr="009828C0">
        <w:t>Review of the modalities and procedures for the clean development mechanism</w:t>
      </w:r>
      <w:r w:rsidR="00991CD5" w:rsidRPr="009828C0">
        <w:br/>
      </w:r>
      <w:r w:rsidR="00991CD5" w:rsidRPr="009828C0">
        <w:rPr>
          <w:rStyle w:val="SingleTxtGChar"/>
          <w:b w:val="0"/>
          <w:sz w:val="20"/>
        </w:rPr>
        <w:t xml:space="preserve">(Agenda </w:t>
      </w:r>
      <w:r w:rsidR="0016758E" w:rsidRPr="00C842A6">
        <w:rPr>
          <w:rStyle w:val="SingleTxtGChar"/>
          <w:b w:val="0"/>
          <w:sz w:val="20"/>
        </w:rPr>
        <w:t>sub-item</w:t>
      </w:r>
      <w:r w:rsidR="00991CD5" w:rsidRPr="00C842A6">
        <w:rPr>
          <w:rStyle w:val="SingleTxtGChar"/>
          <w:b w:val="0"/>
          <w:sz w:val="20"/>
        </w:rPr>
        <w:t xml:space="preserve"> 6(a))</w:t>
      </w:r>
      <w:bookmarkEnd w:id="42"/>
    </w:p>
    <w:p w14:paraId="2C5E5AB4" w14:textId="77777777" w:rsidR="00CB4A81" w:rsidRPr="00C842A6" w:rsidRDefault="00CB4A81" w:rsidP="00CB4A81">
      <w:pPr>
        <w:pStyle w:val="RegH23G"/>
        <w:numPr>
          <w:ilvl w:val="0"/>
          <w:numId w:val="0"/>
        </w:numPr>
        <w:ind w:left="851" w:firstLine="283"/>
        <w:rPr>
          <w:lang w:eastAsia="en-US"/>
        </w:rPr>
      </w:pPr>
      <w:r w:rsidRPr="00C842A6">
        <w:t>Proceedings</w:t>
      </w:r>
    </w:p>
    <w:p w14:paraId="3ACA7066" w14:textId="77777777" w:rsidR="00354AF6" w:rsidRPr="009D373E" w:rsidRDefault="00794FF0" w:rsidP="00794FF0">
      <w:pPr>
        <w:pStyle w:val="SingleTxtG"/>
      </w:pPr>
      <w:r>
        <w:t>44.</w:t>
      </w:r>
      <w:r>
        <w:tab/>
      </w:r>
      <w:r w:rsidR="00991CD5" w:rsidRPr="009D373E">
        <w:t xml:space="preserve">The SBI considered this agenda </w:t>
      </w:r>
      <w:r w:rsidR="0016758E" w:rsidRPr="009D373E">
        <w:t>sub-item</w:t>
      </w:r>
      <w:r w:rsidR="00991CD5" w:rsidRPr="009D373E">
        <w:t xml:space="preserve"> at its </w:t>
      </w:r>
      <w:r w:rsidR="00991CD5" w:rsidRPr="009D373E">
        <w:rPr>
          <w:snapToGrid w:val="0"/>
        </w:rPr>
        <w:t>1</w:t>
      </w:r>
      <w:r w:rsidR="00991CD5" w:rsidRPr="009D373E">
        <w:rPr>
          <w:snapToGrid w:val="0"/>
          <w:vertAlign w:val="superscript"/>
        </w:rPr>
        <w:t>st</w:t>
      </w:r>
      <w:r w:rsidR="00991CD5" w:rsidRPr="009D373E">
        <w:rPr>
          <w:snapToGrid w:val="0"/>
        </w:rPr>
        <w:t xml:space="preserve"> </w:t>
      </w:r>
      <w:r w:rsidR="00354AF6" w:rsidRPr="009D373E">
        <w:rPr>
          <w:snapToGrid w:val="0"/>
        </w:rPr>
        <w:t>and 2</w:t>
      </w:r>
      <w:r w:rsidR="00354AF6" w:rsidRPr="009D373E">
        <w:rPr>
          <w:snapToGrid w:val="0"/>
          <w:vertAlign w:val="superscript"/>
        </w:rPr>
        <w:t>nd</w:t>
      </w:r>
      <w:r w:rsidR="00354AF6" w:rsidRPr="009D373E">
        <w:rPr>
          <w:snapToGrid w:val="0"/>
        </w:rPr>
        <w:t xml:space="preserve"> </w:t>
      </w:r>
      <w:r w:rsidR="00991CD5" w:rsidRPr="009D373E">
        <w:rPr>
          <w:snapToGrid w:val="0"/>
        </w:rPr>
        <w:t>meetings</w:t>
      </w:r>
      <w:r w:rsidR="00991CD5" w:rsidRPr="009D373E">
        <w:t xml:space="preserve">. </w:t>
      </w:r>
      <w:r w:rsidR="00354AF6" w:rsidRPr="009D373E">
        <w:t>It had before it document FCCC/TP/2014/1</w:t>
      </w:r>
      <w:r w:rsidR="009E56BC" w:rsidRPr="009D373E">
        <w:t xml:space="preserve"> and a consolidated list of suggested changes to the modalities and procedures for the </w:t>
      </w:r>
      <w:r w:rsidR="0016758E" w:rsidRPr="009D373E">
        <w:t>clean development mechanism</w:t>
      </w:r>
      <w:r w:rsidR="009E56BC" w:rsidRPr="009D373E">
        <w:t>.</w:t>
      </w:r>
      <w:r w:rsidR="009E56BC" w:rsidRPr="009D373E">
        <w:rPr>
          <w:rStyle w:val="FootnoteReference"/>
          <w:color w:val="000000"/>
        </w:rPr>
        <w:footnoteReference w:id="12"/>
      </w:r>
      <w:r w:rsidR="0004310F" w:rsidRPr="009D373E">
        <w:rPr>
          <w:color w:val="000000"/>
        </w:rPr>
        <w:t xml:space="preserve"> </w:t>
      </w:r>
      <w:r w:rsidR="00FF46FA" w:rsidRPr="009D373E">
        <w:rPr>
          <w:color w:val="000000"/>
        </w:rPr>
        <w:t xml:space="preserve">Representative of three </w:t>
      </w:r>
      <w:r w:rsidR="0004310F" w:rsidRPr="009D373E">
        <w:rPr>
          <w:color w:val="000000"/>
        </w:rPr>
        <w:t>Part</w:t>
      </w:r>
      <w:r w:rsidR="00FF46FA" w:rsidRPr="009D373E">
        <w:rPr>
          <w:color w:val="000000"/>
        </w:rPr>
        <w:t>ies</w:t>
      </w:r>
      <w:r w:rsidR="0004310F" w:rsidRPr="009D373E">
        <w:rPr>
          <w:color w:val="000000"/>
        </w:rPr>
        <w:t xml:space="preserve"> made statement</w:t>
      </w:r>
      <w:r w:rsidR="00FF46FA" w:rsidRPr="009D373E">
        <w:rPr>
          <w:color w:val="000000"/>
        </w:rPr>
        <w:t>s, including one on behalf of the E</w:t>
      </w:r>
      <w:r w:rsidR="00ED3552" w:rsidRPr="009D373E">
        <w:rPr>
          <w:color w:val="000000"/>
        </w:rPr>
        <w:t xml:space="preserve">uropean </w:t>
      </w:r>
      <w:r w:rsidR="00FF46FA" w:rsidRPr="009D373E">
        <w:rPr>
          <w:color w:val="000000"/>
        </w:rPr>
        <w:t>U</w:t>
      </w:r>
      <w:r w:rsidR="00ED3552" w:rsidRPr="009D373E">
        <w:rPr>
          <w:color w:val="000000"/>
        </w:rPr>
        <w:t>nion and its me</w:t>
      </w:r>
      <w:r w:rsidR="00676425" w:rsidRPr="009D373E">
        <w:rPr>
          <w:color w:val="000000"/>
        </w:rPr>
        <w:t>mber S</w:t>
      </w:r>
      <w:r w:rsidR="00ED3552" w:rsidRPr="009D373E">
        <w:rPr>
          <w:color w:val="000000"/>
        </w:rPr>
        <w:t>tates</w:t>
      </w:r>
      <w:r w:rsidR="00EB7038" w:rsidRPr="009D373E">
        <w:rPr>
          <w:color w:val="000000"/>
        </w:rPr>
        <w:t xml:space="preserve"> and one on behalf of the African </w:t>
      </w:r>
      <w:r w:rsidR="002062C7" w:rsidRPr="009D373E">
        <w:rPr>
          <w:color w:val="000000"/>
        </w:rPr>
        <w:t>States</w:t>
      </w:r>
      <w:r w:rsidR="00FF46FA" w:rsidRPr="009D373E">
        <w:rPr>
          <w:color w:val="000000"/>
        </w:rPr>
        <w:t>.</w:t>
      </w:r>
    </w:p>
    <w:p w14:paraId="0346DE10" w14:textId="77777777" w:rsidR="004B5F5F" w:rsidRPr="00C842A6" w:rsidRDefault="00794FF0" w:rsidP="00794FF0">
      <w:pPr>
        <w:pStyle w:val="SingleTxtG"/>
      </w:pPr>
      <w:r>
        <w:t>45.</w:t>
      </w:r>
      <w:r>
        <w:tab/>
      </w:r>
      <w:r w:rsidR="00991CD5" w:rsidRPr="00C842A6">
        <w:t xml:space="preserve">At its </w:t>
      </w:r>
      <w:r w:rsidR="00991CD5" w:rsidRPr="00C842A6">
        <w:rPr>
          <w:snapToGrid w:val="0"/>
        </w:rPr>
        <w:t>1</w:t>
      </w:r>
      <w:r w:rsidR="00991CD5" w:rsidRPr="00C842A6">
        <w:rPr>
          <w:snapToGrid w:val="0"/>
          <w:vertAlign w:val="superscript"/>
        </w:rPr>
        <w:t>st</w:t>
      </w:r>
      <w:r w:rsidR="00991CD5" w:rsidRPr="00C842A6">
        <w:rPr>
          <w:snapToGrid w:val="0"/>
        </w:rPr>
        <w:t xml:space="preserve"> </w:t>
      </w:r>
      <w:r w:rsidR="00991CD5" w:rsidRPr="00C842A6">
        <w:t xml:space="preserve">meeting, the SBI agreed to consider this agenda </w:t>
      </w:r>
      <w:r w:rsidR="0016758E" w:rsidRPr="00C842A6">
        <w:t>sub-item</w:t>
      </w:r>
      <w:r w:rsidR="00991CD5" w:rsidRPr="00C842A6">
        <w:t xml:space="preserve"> in informal consultations co-facilitated by </w:t>
      </w:r>
      <w:proofErr w:type="spellStart"/>
      <w:r w:rsidR="00991CD5" w:rsidRPr="00C842A6">
        <w:t>Mr.</w:t>
      </w:r>
      <w:proofErr w:type="spellEnd"/>
      <w:r w:rsidR="00991CD5" w:rsidRPr="00C842A6">
        <w:t xml:space="preserve"> </w:t>
      </w:r>
      <w:r w:rsidR="00640CCC" w:rsidRPr="00C842A6">
        <w:t>Marko Berglund (Finland</w:t>
      </w:r>
      <w:r w:rsidR="00991CD5" w:rsidRPr="00C842A6">
        <w:t>)</w:t>
      </w:r>
      <w:r w:rsidR="00991CD5" w:rsidRPr="00C842A6">
        <w:rPr>
          <w:color w:val="000000"/>
        </w:rPr>
        <w:t xml:space="preserve"> and </w:t>
      </w:r>
      <w:proofErr w:type="spellStart"/>
      <w:r w:rsidR="00991CD5" w:rsidRPr="00C842A6">
        <w:rPr>
          <w:color w:val="000000"/>
        </w:rPr>
        <w:t>M</w:t>
      </w:r>
      <w:r w:rsidR="00640CCC" w:rsidRPr="00C842A6">
        <w:rPr>
          <w:color w:val="000000"/>
        </w:rPr>
        <w:t>r</w:t>
      </w:r>
      <w:r w:rsidR="00991CD5" w:rsidRPr="00C842A6">
        <w:rPr>
          <w:color w:val="000000"/>
        </w:rPr>
        <w:t>.</w:t>
      </w:r>
      <w:proofErr w:type="spellEnd"/>
      <w:r w:rsidR="00991CD5" w:rsidRPr="00C842A6">
        <w:rPr>
          <w:color w:val="000000"/>
        </w:rPr>
        <w:t xml:space="preserve"> </w:t>
      </w:r>
      <w:r w:rsidR="00640CCC" w:rsidRPr="00C842A6">
        <w:rPr>
          <w:color w:val="000000"/>
        </w:rPr>
        <w:t>P</w:t>
      </w:r>
      <w:r w:rsidR="00DF6735" w:rsidRPr="00C842A6">
        <w:rPr>
          <w:color w:val="000000"/>
        </w:rPr>
        <w:t xml:space="preserve">hilip </w:t>
      </w:r>
      <w:proofErr w:type="spellStart"/>
      <w:r w:rsidR="00640CCC" w:rsidRPr="00C842A6">
        <w:rPr>
          <w:color w:val="000000"/>
        </w:rPr>
        <w:t>Gwage</w:t>
      </w:r>
      <w:proofErr w:type="spellEnd"/>
      <w:r w:rsidR="00640CCC" w:rsidRPr="00C842A6">
        <w:rPr>
          <w:color w:val="000000"/>
        </w:rPr>
        <w:t xml:space="preserve"> (Uganda).</w:t>
      </w:r>
      <w:r w:rsidR="00FD095B" w:rsidRPr="00C842A6">
        <w:rPr>
          <w:color w:val="000000"/>
        </w:rPr>
        <w:t xml:space="preserve"> </w:t>
      </w:r>
    </w:p>
    <w:p w14:paraId="50C1B998" w14:textId="77777777" w:rsidR="001E70C9" w:rsidRPr="00C842A6" w:rsidRDefault="00794FF0" w:rsidP="00794FF0">
      <w:pPr>
        <w:pStyle w:val="SingleTxtG"/>
      </w:pPr>
      <w:r>
        <w:t>46.</w:t>
      </w:r>
      <w:r>
        <w:tab/>
      </w:r>
      <w:r w:rsidR="001E70C9" w:rsidRPr="00C842A6">
        <w:t>At the 2</w:t>
      </w:r>
      <w:r w:rsidR="001E70C9" w:rsidRPr="00C842A6">
        <w:rPr>
          <w:vertAlign w:val="superscript"/>
        </w:rPr>
        <w:t>nd</w:t>
      </w:r>
      <w:r w:rsidR="001E70C9" w:rsidRPr="00C842A6">
        <w:t xml:space="preserve"> meeting, the Chair reported that the consultations did not result in any conclusions. In accordance with rule 16 of the </w:t>
      </w:r>
      <w:r w:rsidR="00032CEF" w:rsidRPr="00C842A6">
        <w:t xml:space="preserve">draft </w:t>
      </w:r>
      <w:r w:rsidR="001E70C9" w:rsidRPr="00C842A6">
        <w:t>rules of procedure being applied, this matter will be included on the provisional agenda for SBI 41.</w:t>
      </w:r>
    </w:p>
    <w:p w14:paraId="32F9D563" w14:textId="77777777" w:rsidR="00DF6735" w:rsidRPr="00C842A6" w:rsidRDefault="00794FF0" w:rsidP="00794FF0">
      <w:pPr>
        <w:pStyle w:val="H1G"/>
        <w:tabs>
          <w:tab w:val="right" w:pos="850"/>
        </w:tabs>
        <w:rPr>
          <w:rStyle w:val="SingleTxtGChar"/>
          <w:b w:val="0"/>
          <w:sz w:val="20"/>
        </w:rPr>
      </w:pPr>
      <w:bookmarkStart w:id="43" w:name="_Toc391983289"/>
      <w:r>
        <w:tab/>
        <w:t>B.</w:t>
      </w:r>
      <w:r>
        <w:tab/>
      </w:r>
      <w:r w:rsidR="00DF6735" w:rsidRPr="00C842A6">
        <w:t>Review of the joint implementation guidelines</w:t>
      </w:r>
      <w:r w:rsidR="00DF6735" w:rsidRPr="00C842A6">
        <w:br/>
      </w:r>
      <w:r w:rsidR="00DF6735" w:rsidRPr="00C842A6">
        <w:rPr>
          <w:rStyle w:val="SingleTxtGChar"/>
          <w:b w:val="0"/>
          <w:sz w:val="20"/>
        </w:rPr>
        <w:t xml:space="preserve">(Agenda </w:t>
      </w:r>
      <w:r w:rsidR="0016758E" w:rsidRPr="00C842A6">
        <w:rPr>
          <w:rStyle w:val="SingleTxtGChar"/>
          <w:b w:val="0"/>
          <w:sz w:val="20"/>
        </w:rPr>
        <w:t>sub-item</w:t>
      </w:r>
      <w:r w:rsidR="00DF6735" w:rsidRPr="00C842A6">
        <w:rPr>
          <w:rStyle w:val="SingleTxtGChar"/>
          <w:b w:val="0"/>
          <w:sz w:val="20"/>
        </w:rPr>
        <w:t xml:space="preserve"> 6(b))</w:t>
      </w:r>
      <w:bookmarkEnd w:id="43"/>
    </w:p>
    <w:p w14:paraId="357C074A" w14:textId="77777777" w:rsidR="000C125A" w:rsidRPr="00C842A6" w:rsidRDefault="00794FF0" w:rsidP="00794FF0">
      <w:pPr>
        <w:pStyle w:val="H23G"/>
        <w:rPr>
          <w:lang w:eastAsia="en-US"/>
        </w:rPr>
      </w:pPr>
      <w:r>
        <w:tab/>
        <w:t>1.</w:t>
      </w:r>
      <w:r>
        <w:tab/>
      </w:r>
      <w:r w:rsidR="000C125A" w:rsidRPr="00C842A6">
        <w:t>Proceedings</w:t>
      </w:r>
    </w:p>
    <w:p w14:paraId="723070EE" w14:textId="77777777" w:rsidR="00354AF6" w:rsidRPr="00C842A6" w:rsidRDefault="00794FF0" w:rsidP="00794FF0">
      <w:pPr>
        <w:pStyle w:val="SingleTxtG"/>
      </w:pPr>
      <w:r>
        <w:t>47.</w:t>
      </w:r>
      <w:r>
        <w:tab/>
      </w:r>
      <w:r w:rsidR="00DF6735" w:rsidRPr="00C842A6">
        <w:t xml:space="preserve">The SBI considered this agenda </w:t>
      </w:r>
      <w:r w:rsidR="0016758E" w:rsidRPr="00C842A6">
        <w:t>sub-item</w:t>
      </w:r>
      <w:r w:rsidR="00DF6735" w:rsidRPr="00C842A6">
        <w:t xml:space="preserve"> at its </w:t>
      </w:r>
      <w:r w:rsidR="00DF6735" w:rsidRPr="00C842A6">
        <w:rPr>
          <w:snapToGrid w:val="0"/>
        </w:rPr>
        <w:t>1</w:t>
      </w:r>
      <w:r w:rsidR="00DF6735" w:rsidRPr="00C842A6">
        <w:rPr>
          <w:snapToGrid w:val="0"/>
          <w:vertAlign w:val="superscript"/>
        </w:rPr>
        <w:t>st</w:t>
      </w:r>
      <w:r w:rsidR="00DF6735" w:rsidRPr="00C842A6">
        <w:rPr>
          <w:snapToGrid w:val="0"/>
        </w:rPr>
        <w:t xml:space="preserve"> </w:t>
      </w:r>
      <w:r w:rsidR="00354AF6" w:rsidRPr="00C842A6">
        <w:rPr>
          <w:snapToGrid w:val="0"/>
        </w:rPr>
        <w:t>and 2</w:t>
      </w:r>
      <w:r w:rsidR="00354AF6" w:rsidRPr="00C842A6">
        <w:rPr>
          <w:snapToGrid w:val="0"/>
          <w:vertAlign w:val="superscript"/>
        </w:rPr>
        <w:t>nd</w:t>
      </w:r>
      <w:r w:rsidR="00354AF6" w:rsidRPr="00C842A6">
        <w:rPr>
          <w:snapToGrid w:val="0"/>
        </w:rPr>
        <w:t xml:space="preserve"> </w:t>
      </w:r>
      <w:r w:rsidR="00DF6735" w:rsidRPr="00C842A6">
        <w:rPr>
          <w:snapToGrid w:val="0"/>
        </w:rPr>
        <w:t>meetings</w:t>
      </w:r>
      <w:r w:rsidR="00DF6735" w:rsidRPr="00C842A6">
        <w:t xml:space="preserve">. </w:t>
      </w:r>
    </w:p>
    <w:p w14:paraId="47694C80" w14:textId="77777777" w:rsidR="00DF6735" w:rsidRPr="00C842A6" w:rsidRDefault="00794FF0" w:rsidP="00794FF0">
      <w:pPr>
        <w:pStyle w:val="SingleTxtG"/>
      </w:pPr>
      <w:r>
        <w:t>48.</w:t>
      </w:r>
      <w:r>
        <w:tab/>
      </w:r>
      <w:r w:rsidR="00DF6735" w:rsidRPr="00C842A6">
        <w:t xml:space="preserve">At its </w:t>
      </w:r>
      <w:r w:rsidR="00DF6735" w:rsidRPr="00C842A6">
        <w:rPr>
          <w:snapToGrid w:val="0"/>
        </w:rPr>
        <w:t>1</w:t>
      </w:r>
      <w:r w:rsidR="00DF6735" w:rsidRPr="00C842A6">
        <w:rPr>
          <w:snapToGrid w:val="0"/>
          <w:vertAlign w:val="superscript"/>
        </w:rPr>
        <w:t>st</w:t>
      </w:r>
      <w:r w:rsidR="00DF6735" w:rsidRPr="00C842A6">
        <w:rPr>
          <w:snapToGrid w:val="0"/>
        </w:rPr>
        <w:t xml:space="preserve"> </w:t>
      </w:r>
      <w:r w:rsidR="00DF6735" w:rsidRPr="00C842A6">
        <w:t xml:space="preserve">meeting, the SBI agreed to consider this agenda </w:t>
      </w:r>
      <w:r w:rsidR="0016758E" w:rsidRPr="00C842A6">
        <w:t>sub-item</w:t>
      </w:r>
      <w:r w:rsidR="00DF6735" w:rsidRPr="00C842A6">
        <w:t xml:space="preserve"> in informal consultations co-facilitated by </w:t>
      </w:r>
      <w:proofErr w:type="spellStart"/>
      <w:r w:rsidR="00DF6735" w:rsidRPr="00C842A6">
        <w:t>Mr.</w:t>
      </w:r>
      <w:proofErr w:type="spellEnd"/>
      <w:r w:rsidR="00DF6735" w:rsidRPr="00C842A6">
        <w:t xml:space="preserve"> </w:t>
      </w:r>
      <w:proofErr w:type="spellStart"/>
      <w:r w:rsidR="00327993" w:rsidRPr="00C842A6">
        <w:t>Nikov</w:t>
      </w:r>
      <w:proofErr w:type="spellEnd"/>
      <w:r w:rsidR="00327993" w:rsidRPr="00C842A6">
        <w:t xml:space="preserve"> </w:t>
      </w:r>
      <w:r w:rsidR="00DF6735" w:rsidRPr="00C842A6">
        <w:rPr>
          <w:color w:val="000000"/>
        </w:rPr>
        <w:t xml:space="preserve">and </w:t>
      </w:r>
      <w:proofErr w:type="spellStart"/>
      <w:r w:rsidR="00DF6735" w:rsidRPr="00C842A6">
        <w:rPr>
          <w:color w:val="000000"/>
        </w:rPr>
        <w:t>Mr.</w:t>
      </w:r>
      <w:proofErr w:type="spellEnd"/>
      <w:r w:rsidR="00DF6735" w:rsidRPr="00C842A6">
        <w:rPr>
          <w:color w:val="000000"/>
        </w:rPr>
        <w:t xml:space="preserve"> </w:t>
      </w:r>
      <w:r w:rsidR="00327993" w:rsidRPr="00C842A6">
        <w:rPr>
          <w:color w:val="000000"/>
        </w:rPr>
        <w:t xml:space="preserve">Yaw </w:t>
      </w:r>
      <w:proofErr w:type="spellStart"/>
      <w:r w:rsidR="00327993" w:rsidRPr="00C842A6">
        <w:rPr>
          <w:color w:val="000000"/>
        </w:rPr>
        <w:t>Osafo</w:t>
      </w:r>
      <w:proofErr w:type="spellEnd"/>
      <w:r w:rsidR="00DF6735" w:rsidRPr="00C842A6">
        <w:rPr>
          <w:color w:val="000000"/>
        </w:rPr>
        <w:t xml:space="preserve"> (</w:t>
      </w:r>
      <w:r w:rsidR="00327993" w:rsidRPr="00C842A6">
        <w:rPr>
          <w:color w:val="000000"/>
        </w:rPr>
        <w:t>Ghana</w:t>
      </w:r>
      <w:r w:rsidR="00DF6735" w:rsidRPr="00C842A6">
        <w:rPr>
          <w:color w:val="000000"/>
        </w:rPr>
        <w:t>).</w:t>
      </w:r>
    </w:p>
    <w:p w14:paraId="2DA8B606" w14:textId="77777777" w:rsidR="00DF6735" w:rsidRPr="00C842A6" w:rsidRDefault="00794FF0" w:rsidP="00794FF0">
      <w:pPr>
        <w:pStyle w:val="SingleTxtG"/>
      </w:pPr>
      <w:r>
        <w:rPr>
          <w:color w:val="000000"/>
        </w:rPr>
        <w:t>49.</w:t>
      </w:r>
      <w:r>
        <w:rPr>
          <w:color w:val="000000"/>
        </w:rPr>
        <w:tab/>
      </w:r>
      <w:r w:rsidR="00DF6735" w:rsidRPr="00C842A6">
        <w:rPr>
          <w:color w:val="000000"/>
        </w:rPr>
        <w:t>A</w:t>
      </w:r>
      <w:r w:rsidR="00DF6735" w:rsidRPr="00C842A6">
        <w:t>t its 2</w:t>
      </w:r>
      <w:r w:rsidR="00B32A4C" w:rsidRPr="00C842A6">
        <w:rPr>
          <w:vertAlign w:val="superscript"/>
        </w:rPr>
        <w:t>nd</w:t>
      </w:r>
      <w:r w:rsidR="00B32A4C" w:rsidRPr="00C842A6">
        <w:t xml:space="preserve"> </w:t>
      </w:r>
      <w:r w:rsidR="00DF6735" w:rsidRPr="00C842A6">
        <w:t>meeting, the SBI considered and adopted the conclusions below.</w:t>
      </w:r>
      <w:r w:rsidR="00B25700" w:rsidRPr="00C842A6">
        <w:rPr>
          <w:rStyle w:val="FootnoteReference"/>
          <w:color w:val="000000"/>
        </w:rPr>
        <w:footnoteReference w:id="13"/>
      </w:r>
    </w:p>
    <w:p w14:paraId="3C5BD0C2" w14:textId="77777777" w:rsidR="00DF6735" w:rsidRPr="00C842A6" w:rsidRDefault="00794FF0" w:rsidP="00794FF0">
      <w:pPr>
        <w:pStyle w:val="H23G"/>
      </w:pPr>
      <w:r>
        <w:tab/>
        <w:t>2.</w:t>
      </w:r>
      <w:r>
        <w:tab/>
      </w:r>
      <w:r w:rsidR="00DF6735" w:rsidRPr="00C842A6">
        <w:t>Conclusions</w:t>
      </w:r>
    </w:p>
    <w:p w14:paraId="29646E61" w14:textId="77777777" w:rsidR="007F7632" w:rsidRPr="00C842A6" w:rsidRDefault="00794FF0" w:rsidP="00794FF0">
      <w:pPr>
        <w:pStyle w:val="SingleTxtG"/>
      </w:pPr>
      <w:r>
        <w:t>50.</w:t>
      </w:r>
      <w:r>
        <w:tab/>
      </w:r>
      <w:r w:rsidR="00987572" w:rsidRPr="00C842A6">
        <w:t>The SBI continued its consideration of the review of the guidelines for the implementation of Article 6 of the Kyoto Protocol</w:t>
      </w:r>
      <w:r w:rsidR="00987572" w:rsidRPr="00C842A6">
        <w:rPr>
          <w:rStyle w:val="FootnoteReference"/>
        </w:rPr>
        <w:footnoteReference w:id="14"/>
      </w:r>
      <w:r w:rsidR="00987572" w:rsidRPr="00C842A6">
        <w:rPr>
          <w:sz w:val="12"/>
          <w:szCs w:val="12"/>
        </w:rPr>
        <w:t xml:space="preserve"> </w:t>
      </w:r>
      <w:r w:rsidR="00987572" w:rsidRPr="00C842A6">
        <w:t xml:space="preserve">(joint implementation guidelines), with a view to recommending a draft decision on the matter for consideration and adoption </w:t>
      </w:r>
      <w:r w:rsidR="00956C08" w:rsidRPr="00C842A6">
        <w:t xml:space="preserve">at </w:t>
      </w:r>
      <w:r w:rsidR="00FF017A" w:rsidRPr="00C842A6">
        <w:t>CMP 10</w:t>
      </w:r>
      <w:r w:rsidR="00987572" w:rsidRPr="00C842A6">
        <w:t xml:space="preserve">, in accordance with decision 6/CMP.8, paragraphs14–16. </w:t>
      </w:r>
    </w:p>
    <w:p w14:paraId="0CEB5928" w14:textId="77777777" w:rsidR="00987572" w:rsidRPr="009D373E" w:rsidRDefault="00794FF0" w:rsidP="00794FF0">
      <w:pPr>
        <w:pStyle w:val="SingleTxtG"/>
      </w:pPr>
      <w:r>
        <w:t>51.</w:t>
      </w:r>
      <w:r>
        <w:tab/>
      </w:r>
      <w:r w:rsidR="007F7632" w:rsidRPr="009D373E">
        <w:t xml:space="preserve">The SBI agreed to continue its consideration of this matter at SBI 41 on the basis of the draft decision text proposed by the co-chairs of the informal consultations on this agenda </w:t>
      </w:r>
      <w:r w:rsidR="0016758E" w:rsidRPr="009D373E">
        <w:t>sub-item</w:t>
      </w:r>
      <w:r w:rsidR="007F7632" w:rsidRPr="009D373E">
        <w:t xml:space="preserve"> and contained in the annex to document FCCC/SBI/2014/L.11.</w:t>
      </w:r>
    </w:p>
    <w:p w14:paraId="3BC805CF" w14:textId="77777777" w:rsidR="000A4891" w:rsidRPr="00C741ED" w:rsidRDefault="00794FF0" w:rsidP="00794FF0">
      <w:pPr>
        <w:pStyle w:val="H1G"/>
        <w:tabs>
          <w:tab w:val="right" w:pos="850"/>
        </w:tabs>
        <w:rPr>
          <w:rStyle w:val="SingleTxtGChar"/>
          <w:b w:val="0"/>
          <w:sz w:val="20"/>
        </w:rPr>
      </w:pPr>
      <w:bookmarkStart w:id="44" w:name="_Toc391983290"/>
      <w:r>
        <w:tab/>
        <w:t>C.</w:t>
      </w:r>
      <w:r>
        <w:tab/>
      </w:r>
      <w:r w:rsidR="005D5012" w:rsidRPr="00C842A6">
        <w:t>Synergy relating to accreditation under the mechanisms of the Kyoto Protocol</w:t>
      </w:r>
      <w:r w:rsidR="000A4891" w:rsidRPr="00C842A6">
        <w:br/>
      </w:r>
      <w:r w:rsidR="000A4891" w:rsidRPr="00C842A6">
        <w:rPr>
          <w:rStyle w:val="SingleTxtGChar"/>
          <w:b w:val="0"/>
          <w:sz w:val="20"/>
        </w:rPr>
        <w:t xml:space="preserve">(Agenda </w:t>
      </w:r>
      <w:r w:rsidR="0016758E" w:rsidRPr="00C741ED">
        <w:rPr>
          <w:rStyle w:val="SingleTxtGChar"/>
          <w:b w:val="0"/>
          <w:sz w:val="20"/>
        </w:rPr>
        <w:t>sub-item</w:t>
      </w:r>
      <w:r w:rsidR="000A4891" w:rsidRPr="00C741ED">
        <w:rPr>
          <w:rStyle w:val="SingleTxtGChar"/>
          <w:b w:val="0"/>
          <w:sz w:val="20"/>
        </w:rPr>
        <w:t xml:space="preserve"> 6(</w:t>
      </w:r>
      <w:r w:rsidR="005D5012" w:rsidRPr="00C741ED">
        <w:rPr>
          <w:rStyle w:val="SingleTxtGChar"/>
          <w:b w:val="0"/>
          <w:sz w:val="20"/>
        </w:rPr>
        <w:t>c</w:t>
      </w:r>
      <w:r w:rsidR="000A4891" w:rsidRPr="00C741ED">
        <w:rPr>
          <w:rStyle w:val="SingleTxtGChar"/>
          <w:b w:val="0"/>
          <w:sz w:val="20"/>
        </w:rPr>
        <w:t>))</w:t>
      </w:r>
      <w:bookmarkEnd w:id="44"/>
    </w:p>
    <w:p w14:paraId="0393AB79" w14:textId="77777777" w:rsidR="00DB35D5" w:rsidRPr="00C741ED" w:rsidRDefault="00794FF0" w:rsidP="00794FF0">
      <w:pPr>
        <w:pStyle w:val="H23G"/>
        <w:rPr>
          <w:lang w:eastAsia="en-US"/>
        </w:rPr>
      </w:pPr>
      <w:r>
        <w:tab/>
        <w:t>1.</w:t>
      </w:r>
      <w:r>
        <w:tab/>
      </w:r>
      <w:r w:rsidR="00DB35D5" w:rsidRPr="00C741ED">
        <w:t>Proceedings</w:t>
      </w:r>
    </w:p>
    <w:p w14:paraId="5325E931" w14:textId="77777777" w:rsidR="00354AF6" w:rsidRPr="009D373E" w:rsidRDefault="00794FF0" w:rsidP="00794FF0">
      <w:pPr>
        <w:pStyle w:val="SingleTxtG"/>
      </w:pPr>
      <w:r>
        <w:t>52.</w:t>
      </w:r>
      <w:r>
        <w:tab/>
      </w:r>
      <w:r w:rsidR="000A4891" w:rsidRPr="009D373E">
        <w:t xml:space="preserve">The SBI considered this agenda </w:t>
      </w:r>
      <w:r w:rsidR="0016758E" w:rsidRPr="009D373E">
        <w:t>sub-item</w:t>
      </w:r>
      <w:r w:rsidR="000A4891" w:rsidRPr="009D373E">
        <w:t xml:space="preserve"> at its </w:t>
      </w:r>
      <w:r w:rsidR="000A4891" w:rsidRPr="009D373E">
        <w:rPr>
          <w:snapToGrid w:val="0"/>
        </w:rPr>
        <w:t>1</w:t>
      </w:r>
      <w:r w:rsidR="000A4891" w:rsidRPr="009D373E">
        <w:rPr>
          <w:snapToGrid w:val="0"/>
          <w:vertAlign w:val="superscript"/>
        </w:rPr>
        <w:t>st</w:t>
      </w:r>
      <w:r w:rsidR="000A4891" w:rsidRPr="009D373E">
        <w:rPr>
          <w:snapToGrid w:val="0"/>
        </w:rPr>
        <w:t xml:space="preserve"> </w:t>
      </w:r>
      <w:r w:rsidR="00354AF6" w:rsidRPr="009D373E">
        <w:rPr>
          <w:snapToGrid w:val="0"/>
        </w:rPr>
        <w:t>and 2</w:t>
      </w:r>
      <w:r w:rsidR="00354AF6" w:rsidRPr="009D373E">
        <w:rPr>
          <w:snapToGrid w:val="0"/>
          <w:vertAlign w:val="superscript"/>
        </w:rPr>
        <w:t>nd</w:t>
      </w:r>
      <w:r w:rsidR="00354AF6" w:rsidRPr="009D373E">
        <w:rPr>
          <w:snapToGrid w:val="0"/>
        </w:rPr>
        <w:t xml:space="preserve"> </w:t>
      </w:r>
      <w:r w:rsidR="000A4891" w:rsidRPr="009D373E">
        <w:rPr>
          <w:snapToGrid w:val="0"/>
        </w:rPr>
        <w:t>meetings</w:t>
      </w:r>
      <w:r w:rsidR="000A4891" w:rsidRPr="009D373E">
        <w:t xml:space="preserve">. </w:t>
      </w:r>
      <w:r w:rsidR="00354AF6" w:rsidRPr="009D373E">
        <w:t>It had before it document FCCC/SBI/2014/5.</w:t>
      </w:r>
    </w:p>
    <w:p w14:paraId="706FEB64" w14:textId="77777777" w:rsidR="000A4891" w:rsidRPr="00C741ED" w:rsidRDefault="00794FF0" w:rsidP="00794FF0">
      <w:pPr>
        <w:pStyle w:val="SingleTxtG"/>
      </w:pPr>
      <w:r>
        <w:t>53.</w:t>
      </w:r>
      <w:r>
        <w:tab/>
      </w:r>
      <w:r w:rsidR="000A4891" w:rsidRPr="00C741ED">
        <w:t xml:space="preserve">At its </w:t>
      </w:r>
      <w:r w:rsidR="000A4891" w:rsidRPr="00C741ED">
        <w:rPr>
          <w:snapToGrid w:val="0"/>
        </w:rPr>
        <w:t>1</w:t>
      </w:r>
      <w:r w:rsidR="000A4891" w:rsidRPr="00C741ED">
        <w:rPr>
          <w:snapToGrid w:val="0"/>
          <w:vertAlign w:val="superscript"/>
        </w:rPr>
        <w:t>st</w:t>
      </w:r>
      <w:r w:rsidR="000A4891" w:rsidRPr="00C741ED">
        <w:rPr>
          <w:snapToGrid w:val="0"/>
        </w:rPr>
        <w:t xml:space="preserve"> </w:t>
      </w:r>
      <w:r w:rsidR="000A4891" w:rsidRPr="00C741ED">
        <w:t xml:space="preserve">meeting, the SBI agreed to consider this agenda </w:t>
      </w:r>
      <w:r w:rsidR="0016758E" w:rsidRPr="00C741ED">
        <w:t>sub-item</w:t>
      </w:r>
      <w:r w:rsidR="000A4891" w:rsidRPr="00C741ED">
        <w:t xml:space="preserve"> in informal consultations co-facilitated by </w:t>
      </w:r>
      <w:proofErr w:type="spellStart"/>
      <w:r w:rsidR="000A4891" w:rsidRPr="00C741ED">
        <w:t>Mr.</w:t>
      </w:r>
      <w:proofErr w:type="spellEnd"/>
      <w:r w:rsidR="000A4891" w:rsidRPr="00C741ED">
        <w:t xml:space="preserve"> </w:t>
      </w:r>
      <w:r w:rsidR="005D5012" w:rsidRPr="00C741ED">
        <w:t xml:space="preserve">Martin </w:t>
      </w:r>
      <w:proofErr w:type="spellStart"/>
      <w:r w:rsidR="005D5012" w:rsidRPr="00C741ED">
        <w:t>Hession</w:t>
      </w:r>
      <w:proofErr w:type="spellEnd"/>
      <w:r w:rsidR="005D5012" w:rsidRPr="00C741ED">
        <w:t xml:space="preserve"> (E</w:t>
      </w:r>
      <w:r w:rsidR="004065A3" w:rsidRPr="00C741ED">
        <w:t>uropean Union</w:t>
      </w:r>
      <w:r w:rsidR="000A4891" w:rsidRPr="00C741ED">
        <w:t>)</w:t>
      </w:r>
      <w:r w:rsidR="000A4891" w:rsidRPr="00C741ED">
        <w:rPr>
          <w:color w:val="000000"/>
        </w:rPr>
        <w:t xml:space="preserve"> and </w:t>
      </w:r>
      <w:proofErr w:type="spellStart"/>
      <w:r w:rsidR="000A4891" w:rsidRPr="00C741ED">
        <w:rPr>
          <w:color w:val="000000"/>
        </w:rPr>
        <w:t>Mr.</w:t>
      </w:r>
      <w:proofErr w:type="spellEnd"/>
      <w:r w:rsidR="000A4891" w:rsidRPr="00C741ED">
        <w:rPr>
          <w:color w:val="000000"/>
        </w:rPr>
        <w:t xml:space="preserve"> </w:t>
      </w:r>
      <w:r w:rsidR="005D5012" w:rsidRPr="00C741ED">
        <w:rPr>
          <w:color w:val="000000"/>
        </w:rPr>
        <w:t>Jeffery Spoon</w:t>
      </w:r>
      <w:r w:rsidR="006378A8" w:rsidRPr="00C741ED">
        <w:rPr>
          <w:color w:val="000000"/>
        </w:rPr>
        <w:t>er</w:t>
      </w:r>
      <w:r w:rsidR="000A4891" w:rsidRPr="00C741ED">
        <w:rPr>
          <w:color w:val="000000"/>
        </w:rPr>
        <w:t xml:space="preserve"> (</w:t>
      </w:r>
      <w:r w:rsidR="005D5012" w:rsidRPr="00C741ED">
        <w:rPr>
          <w:color w:val="000000"/>
        </w:rPr>
        <w:t>Jamaica</w:t>
      </w:r>
      <w:r w:rsidR="000A4891" w:rsidRPr="00C741ED">
        <w:rPr>
          <w:color w:val="000000"/>
        </w:rPr>
        <w:t>).</w:t>
      </w:r>
    </w:p>
    <w:p w14:paraId="10A65F6E" w14:textId="77777777" w:rsidR="000A4891" w:rsidRPr="00C741ED" w:rsidRDefault="00794FF0" w:rsidP="00794FF0">
      <w:pPr>
        <w:pStyle w:val="SingleTxtG"/>
      </w:pPr>
      <w:r>
        <w:rPr>
          <w:color w:val="000000"/>
        </w:rPr>
        <w:t>54.</w:t>
      </w:r>
      <w:r>
        <w:rPr>
          <w:color w:val="000000"/>
        </w:rPr>
        <w:tab/>
      </w:r>
      <w:r w:rsidR="000A4891" w:rsidRPr="00C741ED">
        <w:rPr>
          <w:color w:val="000000"/>
        </w:rPr>
        <w:t>A</w:t>
      </w:r>
      <w:r w:rsidR="000A4891" w:rsidRPr="00C741ED">
        <w:t>t its 2</w:t>
      </w:r>
      <w:r w:rsidR="00DB35D5" w:rsidRPr="00C741ED">
        <w:rPr>
          <w:vertAlign w:val="superscript"/>
        </w:rPr>
        <w:t>nd</w:t>
      </w:r>
      <w:r w:rsidR="00DB35D5" w:rsidRPr="00C741ED">
        <w:t xml:space="preserve"> </w:t>
      </w:r>
      <w:r w:rsidR="000A4891" w:rsidRPr="00C741ED">
        <w:t>meeting, the SBI considered and adopted the conclusions below.</w:t>
      </w:r>
      <w:r w:rsidR="00B25700" w:rsidRPr="00C741ED">
        <w:rPr>
          <w:rStyle w:val="FootnoteReference"/>
          <w:color w:val="000000"/>
        </w:rPr>
        <w:footnoteReference w:id="15"/>
      </w:r>
    </w:p>
    <w:p w14:paraId="59A7BB6D" w14:textId="77777777" w:rsidR="002C5D90" w:rsidRPr="00C741ED" w:rsidRDefault="00794FF0" w:rsidP="00794FF0">
      <w:pPr>
        <w:pStyle w:val="H23G"/>
      </w:pPr>
      <w:r>
        <w:tab/>
        <w:t>2.</w:t>
      </w:r>
      <w:r>
        <w:tab/>
      </w:r>
      <w:r w:rsidR="000A4891" w:rsidRPr="00C741ED">
        <w:t>Conclusions</w:t>
      </w:r>
    </w:p>
    <w:p w14:paraId="12CE34D8" w14:textId="77777777" w:rsidR="002C5D90" w:rsidRPr="00C741ED" w:rsidRDefault="00794FF0" w:rsidP="00794FF0">
      <w:pPr>
        <w:pStyle w:val="SingleTxtG"/>
      </w:pPr>
      <w:r>
        <w:t>55.</w:t>
      </w:r>
      <w:r>
        <w:tab/>
      </w:r>
      <w:r w:rsidR="00D02E4B" w:rsidRPr="00C741ED">
        <w:t>The SBI</w:t>
      </w:r>
      <w:r w:rsidR="002C5D90" w:rsidRPr="00C741ED">
        <w:t xml:space="preserve"> initiated its consideration of synergy relating to accreditation under the mechanisms established under Articles 6 and 12 of the Kyoto Protocol. </w:t>
      </w:r>
    </w:p>
    <w:p w14:paraId="0BCDF9B2" w14:textId="77777777" w:rsidR="002C5D90" w:rsidRPr="006C5299" w:rsidRDefault="00794FF0" w:rsidP="00794FF0">
      <w:pPr>
        <w:pStyle w:val="SingleTxtG"/>
      </w:pPr>
      <w:r>
        <w:t>56.</w:t>
      </w:r>
      <w:r>
        <w:tab/>
      </w:r>
      <w:r w:rsidR="002C5D90" w:rsidRPr="006C5299">
        <w:t xml:space="preserve">The SBI took note of the recommendation of the Joint Implementation Supervisory Committee on the accreditation system for joint implementation aligned with that of the clean development mechanism. </w:t>
      </w:r>
    </w:p>
    <w:p w14:paraId="77F0D01E" w14:textId="77777777" w:rsidR="002C5D90" w:rsidRPr="006C5299" w:rsidRDefault="00794FF0" w:rsidP="00794FF0">
      <w:pPr>
        <w:pStyle w:val="SingleTxtG"/>
      </w:pPr>
      <w:r>
        <w:t>57.</w:t>
      </w:r>
      <w:r>
        <w:tab/>
      </w:r>
      <w:r w:rsidR="002C5D90" w:rsidRPr="006C5299">
        <w:t xml:space="preserve">The SBI recommended a draft decision on this matter for consideration and adoption </w:t>
      </w:r>
      <w:r w:rsidR="00E2476E" w:rsidRPr="006C5299">
        <w:t>at CMP 10</w:t>
      </w:r>
      <w:r w:rsidR="006C5299">
        <w:t xml:space="preserve"> (f</w:t>
      </w:r>
      <w:r w:rsidR="006C5299" w:rsidRPr="006C5299">
        <w:t>or the text of the draft decision, see document FCCC/SBI/2014/8/Add.1</w:t>
      </w:r>
      <w:r w:rsidR="006C5299">
        <w:t>)</w:t>
      </w:r>
      <w:r w:rsidR="00E2476E" w:rsidRPr="006C5299">
        <w:t>.</w:t>
      </w:r>
    </w:p>
    <w:p w14:paraId="6C6D006A" w14:textId="77777777" w:rsidR="000A4891" w:rsidRPr="00FC617B" w:rsidRDefault="00794FF0" w:rsidP="00794FF0">
      <w:pPr>
        <w:pStyle w:val="H1G"/>
        <w:tabs>
          <w:tab w:val="right" w:pos="850"/>
        </w:tabs>
        <w:rPr>
          <w:rStyle w:val="SingleTxtGChar"/>
          <w:b w:val="0"/>
          <w:sz w:val="20"/>
        </w:rPr>
      </w:pPr>
      <w:bookmarkStart w:id="45" w:name="_Toc391983291"/>
      <w:r>
        <w:tab/>
        <w:t>D.</w:t>
      </w:r>
      <w:r>
        <w:tab/>
      </w:r>
      <w:r w:rsidR="005D5012" w:rsidRPr="006C5299">
        <w:t>Modalities for expediting the continued issuance, transfer and acquisition of joint implementation emission reduction units</w:t>
      </w:r>
      <w:r w:rsidR="000A4891" w:rsidRPr="006C5299">
        <w:br/>
      </w:r>
      <w:r w:rsidR="000A4891" w:rsidRPr="006C5299">
        <w:rPr>
          <w:rStyle w:val="SingleTxtGChar"/>
          <w:b w:val="0"/>
          <w:sz w:val="20"/>
        </w:rPr>
        <w:t xml:space="preserve">(Agenda </w:t>
      </w:r>
      <w:r w:rsidR="0016758E" w:rsidRPr="00FC617B">
        <w:rPr>
          <w:rStyle w:val="SingleTxtGChar"/>
          <w:b w:val="0"/>
          <w:sz w:val="20"/>
        </w:rPr>
        <w:t>sub-item</w:t>
      </w:r>
      <w:r w:rsidR="000A4891" w:rsidRPr="00FC617B">
        <w:rPr>
          <w:rStyle w:val="SingleTxtGChar"/>
          <w:b w:val="0"/>
          <w:sz w:val="20"/>
        </w:rPr>
        <w:t xml:space="preserve"> 6(</w:t>
      </w:r>
      <w:r w:rsidR="005D5012" w:rsidRPr="00FC617B">
        <w:rPr>
          <w:rStyle w:val="SingleTxtGChar"/>
          <w:b w:val="0"/>
          <w:sz w:val="20"/>
        </w:rPr>
        <w:t>d</w:t>
      </w:r>
      <w:r w:rsidR="000A4891" w:rsidRPr="00FC617B">
        <w:rPr>
          <w:rStyle w:val="SingleTxtGChar"/>
          <w:b w:val="0"/>
          <w:sz w:val="20"/>
        </w:rPr>
        <w:t>))</w:t>
      </w:r>
      <w:bookmarkEnd w:id="45"/>
    </w:p>
    <w:p w14:paraId="2CB5C38B" w14:textId="77777777" w:rsidR="002325D4" w:rsidRPr="00FC617B" w:rsidRDefault="00794FF0" w:rsidP="00794FF0">
      <w:pPr>
        <w:pStyle w:val="H23G"/>
        <w:rPr>
          <w:lang w:eastAsia="en-US"/>
        </w:rPr>
      </w:pPr>
      <w:r>
        <w:tab/>
        <w:t>1.</w:t>
      </w:r>
      <w:r>
        <w:tab/>
      </w:r>
      <w:r w:rsidR="002325D4" w:rsidRPr="00FC617B">
        <w:t>Proceedings</w:t>
      </w:r>
    </w:p>
    <w:p w14:paraId="541B67AA" w14:textId="77777777" w:rsidR="000A4891" w:rsidRPr="00FC617B" w:rsidRDefault="00794FF0" w:rsidP="00794FF0">
      <w:pPr>
        <w:pStyle w:val="SingleTxtG"/>
      </w:pPr>
      <w:r>
        <w:t>58.</w:t>
      </w:r>
      <w:r>
        <w:tab/>
      </w:r>
      <w:r w:rsidR="000A4891" w:rsidRPr="00FC617B">
        <w:t xml:space="preserve">The SBI considered this agenda </w:t>
      </w:r>
      <w:r w:rsidR="0016758E" w:rsidRPr="00FC617B">
        <w:t>sub-item</w:t>
      </w:r>
      <w:r w:rsidR="000A4891" w:rsidRPr="00FC617B">
        <w:t xml:space="preserve"> at its </w:t>
      </w:r>
      <w:r w:rsidR="000A4891" w:rsidRPr="00FC617B">
        <w:rPr>
          <w:snapToGrid w:val="0"/>
        </w:rPr>
        <w:t>1</w:t>
      </w:r>
      <w:r w:rsidR="000A4891" w:rsidRPr="00FC617B">
        <w:rPr>
          <w:snapToGrid w:val="0"/>
          <w:vertAlign w:val="superscript"/>
        </w:rPr>
        <w:t>st</w:t>
      </w:r>
      <w:r w:rsidR="000A4891" w:rsidRPr="00FC617B">
        <w:rPr>
          <w:snapToGrid w:val="0"/>
        </w:rPr>
        <w:t xml:space="preserve"> </w:t>
      </w:r>
      <w:r w:rsidR="00354AF6" w:rsidRPr="00FC617B">
        <w:rPr>
          <w:snapToGrid w:val="0"/>
        </w:rPr>
        <w:t>and 2</w:t>
      </w:r>
      <w:r w:rsidR="00354AF6" w:rsidRPr="00FC617B">
        <w:rPr>
          <w:snapToGrid w:val="0"/>
          <w:vertAlign w:val="superscript"/>
        </w:rPr>
        <w:t>nd</w:t>
      </w:r>
      <w:r w:rsidR="00354AF6" w:rsidRPr="00FC617B">
        <w:rPr>
          <w:snapToGrid w:val="0"/>
        </w:rPr>
        <w:t xml:space="preserve"> </w:t>
      </w:r>
      <w:r w:rsidR="000A4891" w:rsidRPr="00FC617B">
        <w:rPr>
          <w:snapToGrid w:val="0"/>
        </w:rPr>
        <w:t>meetings</w:t>
      </w:r>
      <w:r w:rsidR="000A4891" w:rsidRPr="00FC617B">
        <w:t xml:space="preserve">. At its </w:t>
      </w:r>
      <w:r w:rsidR="000A4891" w:rsidRPr="00FC617B">
        <w:rPr>
          <w:snapToGrid w:val="0"/>
        </w:rPr>
        <w:t>1</w:t>
      </w:r>
      <w:r w:rsidR="000A4891" w:rsidRPr="00FC617B">
        <w:rPr>
          <w:snapToGrid w:val="0"/>
          <w:vertAlign w:val="superscript"/>
        </w:rPr>
        <w:t>st</w:t>
      </w:r>
      <w:r w:rsidR="000A4891" w:rsidRPr="00FC617B">
        <w:rPr>
          <w:snapToGrid w:val="0"/>
        </w:rPr>
        <w:t xml:space="preserve"> </w:t>
      </w:r>
      <w:r w:rsidR="000A4891" w:rsidRPr="00FC617B">
        <w:t xml:space="preserve">meeting, the SBI agreed to consider this agenda </w:t>
      </w:r>
      <w:r w:rsidR="0016758E" w:rsidRPr="00FC617B">
        <w:t>sub-item</w:t>
      </w:r>
      <w:r w:rsidR="000A4891" w:rsidRPr="00FC617B">
        <w:t xml:space="preserve"> in informal consultations co-facilitated by </w:t>
      </w:r>
      <w:proofErr w:type="spellStart"/>
      <w:r w:rsidR="000A4891" w:rsidRPr="00FC617B">
        <w:t>Mr.</w:t>
      </w:r>
      <w:proofErr w:type="spellEnd"/>
      <w:r w:rsidR="000A4891" w:rsidRPr="00FC617B">
        <w:t xml:space="preserve"> </w:t>
      </w:r>
      <w:proofErr w:type="spellStart"/>
      <w:r w:rsidR="000D5F6C" w:rsidRPr="00FC617B">
        <w:rPr>
          <w:color w:val="000000"/>
        </w:rPr>
        <w:t>Osafo</w:t>
      </w:r>
      <w:proofErr w:type="spellEnd"/>
      <w:r w:rsidR="000D5F6C" w:rsidRPr="00FC617B">
        <w:t xml:space="preserve"> </w:t>
      </w:r>
      <w:r w:rsidR="000A4891" w:rsidRPr="00FC617B">
        <w:rPr>
          <w:color w:val="000000"/>
        </w:rPr>
        <w:t xml:space="preserve">and </w:t>
      </w:r>
      <w:proofErr w:type="spellStart"/>
      <w:r w:rsidR="000A4891" w:rsidRPr="00FC617B">
        <w:rPr>
          <w:color w:val="000000"/>
        </w:rPr>
        <w:t>Mr.</w:t>
      </w:r>
      <w:proofErr w:type="spellEnd"/>
      <w:r w:rsidR="000D5F6C" w:rsidRPr="00FC617B">
        <w:t xml:space="preserve"> </w:t>
      </w:r>
      <w:proofErr w:type="spellStart"/>
      <w:r w:rsidR="000D5F6C" w:rsidRPr="00FC617B">
        <w:t>Nikov</w:t>
      </w:r>
      <w:proofErr w:type="spellEnd"/>
      <w:r w:rsidR="000D5F6C" w:rsidRPr="00FC617B">
        <w:t>.</w:t>
      </w:r>
    </w:p>
    <w:p w14:paraId="3A64B921" w14:textId="77777777" w:rsidR="000A4891" w:rsidRPr="00FC617B" w:rsidRDefault="00794FF0" w:rsidP="00794FF0">
      <w:pPr>
        <w:pStyle w:val="SingleTxtG"/>
      </w:pPr>
      <w:r>
        <w:rPr>
          <w:color w:val="000000"/>
        </w:rPr>
        <w:t>59.</w:t>
      </w:r>
      <w:r>
        <w:rPr>
          <w:color w:val="000000"/>
        </w:rPr>
        <w:tab/>
      </w:r>
      <w:r w:rsidR="000A4891" w:rsidRPr="00FC617B">
        <w:rPr>
          <w:color w:val="000000"/>
        </w:rPr>
        <w:t>A</w:t>
      </w:r>
      <w:r w:rsidR="000A4891" w:rsidRPr="00FC617B">
        <w:t>t its 2</w:t>
      </w:r>
      <w:r w:rsidR="00017203" w:rsidRPr="00FC617B">
        <w:rPr>
          <w:vertAlign w:val="superscript"/>
        </w:rPr>
        <w:t>nd</w:t>
      </w:r>
      <w:r w:rsidR="00017203" w:rsidRPr="00FC617B">
        <w:t xml:space="preserve"> </w:t>
      </w:r>
      <w:r w:rsidR="000A4891" w:rsidRPr="00FC617B">
        <w:t>meeting, the SBI considered and adopted the conclusions below.</w:t>
      </w:r>
      <w:r w:rsidR="00B25700" w:rsidRPr="00FC617B">
        <w:rPr>
          <w:rStyle w:val="FootnoteReference"/>
          <w:color w:val="000000"/>
        </w:rPr>
        <w:footnoteReference w:id="16"/>
      </w:r>
    </w:p>
    <w:p w14:paraId="451EEEB2" w14:textId="77777777" w:rsidR="000A4891" w:rsidRPr="00FC617B" w:rsidRDefault="00794FF0" w:rsidP="00794FF0">
      <w:pPr>
        <w:pStyle w:val="H23G"/>
      </w:pPr>
      <w:r>
        <w:tab/>
        <w:t>2.</w:t>
      </w:r>
      <w:r>
        <w:tab/>
      </w:r>
      <w:r w:rsidR="000A4891" w:rsidRPr="00FC617B">
        <w:t>Conclusions</w:t>
      </w:r>
    </w:p>
    <w:p w14:paraId="4EB7F5FC" w14:textId="77777777" w:rsidR="00160679" w:rsidRPr="00FC617B" w:rsidRDefault="00794FF0" w:rsidP="00794FF0">
      <w:pPr>
        <w:pStyle w:val="SingleTxtG"/>
      </w:pPr>
      <w:r>
        <w:t>60.</w:t>
      </w:r>
      <w:r>
        <w:tab/>
      </w:r>
      <w:r w:rsidR="00D02E4B" w:rsidRPr="00FC617B">
        <w:t>The SBI</w:t>
      </w:r>
      <w:r w:rsidR="00160679" w:rsidRPr="00FC617B">
        <w:t xml:space="preserve"> continued its consideration of modalities for expediting the continued issuance, transfer and acquisition of joint implementation (JI) emission reduction units (ERUs), in accordance with decision 1/CMP.8, paragraph 16.</w:t>
      </w:r>
    </w:p>
    <w:p w14:paraId="02649DCA" w14:textId="77777777" w:rsidR="00160679" w:rsidRPr="009D373E" w:rsidRDefault="00794FF0" w:rsidP="00794FF0">
      <w:pPr>
        <w:pStyle w:val="SingleTxtG"/>
      </w:pPr>
      <w:r>
        <w:t>61.</w:t>
      </w:r>
      <w:r>
        <w:tab/>
      </w:r>
      <w:r w:rsidR="00160679" w:rsidRPr="009D373E">
        <w:t xml:space="preserve">The SBI agreed to continue its consideration of this matter at SBI 41 on the basis of the draft decision text proposed by the co-chairs of the informal consultations on this agenda </w:t>
      </w:r>
      <w:r w:rsidR="0016758E" w:rsidRPr="009D373E">
        <w:t>sub-item</w:t>
      </w:r>
      <w:r w:rsidR="00160679" w:rsidRPr="009D373E">
        <w:t xml:space="preserve"> and contained in </w:t>
      </w:r>
      <w:r w:rsidR="006E75BB" w:rsidRPr="009D373E">
        <w:t xml:space="preserve">the </w:t>
      </w:r>
      <w:r w:rsidR="00160679" w:rsidRPr="009D373E">
        <w:t>annex</w:t>
      </w:r>
      <w:r w:rsidR="006E75BB" w:rsidRPr="009D373E">
        <w:t xml:space="preserve"> to document FCCC/SBI/2014/L.9</w:t>
      </w:r>
      <w:r w:rsidR="00160679" w:rsidRPr="009D373E">
        <w:t>.</w:t>
      </w:r>
    </w:p>
    <w:p w14:paraId="69060EAB" w14:textId="77777777" w:rsidR="00160679" w:rsidRPr="009D373E" w:rsidRDefault="00794FF0" w:rsidP="00794FF0">
      <w:pPr>
        <w:pStyle w:val="SingleTxtG"/>
      </w:pPr>
      <w:r>
        <w:t>62.</w:t>
      </w:r>
      <w:r>
        <w:tab/>
      </w:r>
      <w:r w:rsidR="00160679" w:rsidRPr="009D373E">
        <w:t>To further inform this consideration, the SBI requested the secretariat to prepare a technical paper, for consideration at SBI 41, on any technical implications for the processes and systems under the Kyoto Protocol, including but not limited to reporting and review requirements under the Kyoto Protocol and the functions of the international transaction log</w:t>
      </w:r>
      <w:r w:rsidR="0099606B" w:rsidRPr="009D373E">
        <w:t xml:space="preserve"> (ITL)</w:t>
      </w:r>
      <w:r w:rsidR="00160679" w:rsidRPr="009D373E">
        <w:t xml:space="preserve">, arising from the modalities referred to in the draft text contained in the annex to document FCCC/SBI/2014/L.9. </w:t>
      </w:r>
    </w:p>
    <w:p w14:paraId="286DB07C" w14:textId="77777777" w:rsidR="00160679" w:rsidRPr="009D373E" w:rsidRDefault="00794FF0" w:rsidP="00794FF0">
      <w:pPr>
        <w:pStyle w:val="SingleTxtG"/>
      </w:pPr>
      <w:r>
        <w:t>63.</w:t>
      </w:r>
      <w:r>
        <w:tab/>
      </w:r>
      <w:r w:rsidR="00160679" w:rsidRPr="009D373E">
        <w:t xml:space="preserve">The technical paper referred to in paragraph </w:t>
      </w:r>
      <w:r w:rsidR="00157736" w:rsidRPr="009D373E">
        <w:t>6</w:t>
      </w:r>
      <w:r w:rsidR="00BA455F" w:rsidRPr="009D373E">
        <w:t>2</w:t>
      </w:r>
      <w:r w:rsidR="00160679" w:rsidRPr="009D373E">
        <w:t xml:space="preserve"> above shall also contain information on budgetary implications, the current status of ratification or provisional application of the Doha Amendment and the status of the JI projects. The information on JI projects shall include, but shall not be limited to, an update on letters of approval and their validity for the respective commitment periods, the number of projects, annual and total ERUs issued to date, the annual and total ERU generation potential, and the remaining crediting periods of JI projects in the pipeline for Parties with quantified emission limitation and reduction commitments in the second commitment period, noting any difficulties in accessing information due to the absence of designated focal points in some Parties.</w:t>
      </w:r>
    </w:p>
    <w:p w14:paraId="131840EB" w14:textId="77777777" w:rsidR="000A4891" w:rsidRPr="008A4292" w:rsidRDefault="00794FF0" w:rsidP="00794FF0">
      <w:pPr>
        <w:pStyle w:val="H1G"/>
        <w:tabs>
          <w:tab w:val="right" w:pos="850"/>
        </w:tabs>
        <w:rPr>
          <w:rStyle w:val="SingleTxtGChar"/>
          <w:b w:val="0"/>
          <w:sz w:val="20"/>
        </w:rPr>
      </w:pPr>
      <w:bookmarkStart w:id="46" w:name="_Toc391983292"/>
      <w:r>
        <w:tab/>
        <w:t>E.</w:t>
      </w:r>
      <w:r>
        <w:tab/>
      </w:r>
      <w:r w:rsidR="005D5012" w:rsidRPr="00FC617B">
        <w:t>Procedures, mechanisms and institutional arrangements for appeals against decisions of the Executive Board of the clean development mechanism</w:t>
      </w:r>
      <w:r w:rsidR="000A4891" w:rsidRPr="00FC617B">
        <w:br/>
      </w:r>
      <w:r w:rsidR="000A4891" w:rsidRPr="00FC617B">
        <w:rPr>
          <w:rStyle w:val="SingleTxtGChar"/>
          <w:b w:val="0"/>
          <w:sz w:val="20"/>
        </w:rPr>
        <w:t xml:space="preserve">(Agenda </w:t>
      </w:r>
      <w:r w:rsidR="0016758E" w:rsidRPr="008A4292">
        <w:rPr>
          <w:rStyle w:val="SingleTxtGChar"/>
          <w:b w:val="0"/>
          <w:sz w:val="20"/>
        </w:rPr>
        <w:t>sub-item</w:t>
      </w:r>
      <w:r w:rsidR="000A4891" w:rsidRPr="008A4292">
        <w:rPr>
          <w:rStyle w:val="SingleTxtGChar"/>
          <w:b w:val="0"/>
          <w:sz w:val="20"/>
        </w:rPr>
        <w:t xml:space="preserve"> 6(</w:t>
      </w:r>
      <w:r w:rsidR="005D5012" w:rsidRPr="008A4292">
        <w:rPr>
          <w:rStyle w:val="SingleTxtGChar"/>
          <w:b w:val="0"/>
          <w:sz w:val="20"/>
        </w:rPr>
        <w:t>e</w:t>
      </w:r>
      <w:r w:rsidR="000A4891" w:rsidRPr="008A4292">
        <w:rPr>
          <w:rStyle w:val="SingleTxtGChar"/>
          <w:b w:val="0"/>
          <w:sz w:val="20"/>
        </w:rPr>
        <w:t>))</w:t>
      </w:r>
      <w:bookmarkEnd w:id="46"/>
    </w:p>
    <w:p w14:paraId="247F2FDE" w14:textId="77777777" w:rsidR="00017203" w:rsidRPr="008A4292" w:rsidRDefault="00794FF0" w:rsidP="00794FF0">
      <w:pPr>
        <w:pStyle w:val="H23G"/>
        <w:rPr>
          <w:lang w:eastAsia="en-US"/>
        </w:rPr>
      </w:pPr>
      <w:r>
        <w:tab/>
        <w:t>1.</w:t>
      </w:r>
      <w:r>
        <w:tab/>
      </w:r>
      <w:r w:rsidR="00017203" w:rsidRPr="008A4292">
        <w:t>Proceedings</w:t>
      </w:r>
    </w:p>
    <w:p w14:paraId="3E5C2FD7" w14:textId="77777777" w:rsidR="000A4891" w:rsidRPr="008A4292" w:rsidRDefault="00794FF0" w:rsidP="00794FF0">
      <w:pPr>
        <w:pStyle w:val="SingleTxtG"/>
      </w:pPr>
      <w:r>
        <w:t>64.</w:t>
      </w:r>
      <w:r>
        <w:tab/>
      </w:r>
      <w:r w:rsidR="000A4891" w:rsidRPr="008A4292">
        <w:t xml:space="preserve">The SBI considered this agenda </w:t>
      </w:r>
      <w:r w:rsidR="0016758E" w:rsidRPr="008A4292">
        <w:t>sub-item</w:t>
      </w:r>
      <w:r w:rsidR="000A4891" w:rsidRPr="008A4292">
        <w:t xml:space="preserve"> at its </w:t>
      </w:r>
      <w:r w:rsidR="000A4891" w:rsidRPr="008A4292">
        <w:rPr>
          <w:snapToGrid w:val="0"/>
        </w:rPr>
        <w:t>1</w:t>
      </w:r>
      <w:r w:rsidR="000A4891" w:rsidRPr="008A4292">
        <w:rPr>
          <w:snapToGrid w:val="0"/>
          <w:vertAlign w:val="superscript"/>
        </w:rPr>
        <w:t>st</w:t>
      </w:r>
      <w:r w:rsidR="000A4891" w:rsidRPr="008A4292">
        <w:rPr>
          <w:snapToGrid w:val="0"/>
        </w:rPr>
        <w:t xml:space="preserve"> </w:t>
      </w:r>
      <w:r w:rsidR="00354AF6" w:rsidRPr="008A4292">
        <w:rPr>
          <w:snapToGrid w:val="0"/>
        </w:rPr>
        <w:t>and 2</w:t>
      </w:r>
      <w:r w:rsidR="00354AF6" w:rsidRPr="008A4292">
        <w:rPr>
          <w:snapToGrid w:val="0"/>
          <w:vertAlign w:val="superscript"/>
        </w:rPr>
        <w:t>nd</w:t>
      </w:r>
      <w:r w:rsidR="00354AF6" w:rsidRPr="008A4292">
        <w:rPr>
          <w:snapToGrid w:val="0"/>
        </w:rPr>
        <w:t xml:space="preserve"> </w:t>
      </w:r>
      <w:r w:rsidR="000A4891" w:rsidRPr="008A4292">
        <w:rPr>
          <w:snapToGrid w:val="0"/>
        </w:rPr>
        <w:t>meetings</w:t>
      </w:r>
      <w:r w:rsidR="000A4891" w:rsidRPr="008A4292">
        <w:t xml:space="preserve">. At its </w:t>
      </w:r>
      <w:r w:rsidR="000A4891" w:rsidRPr="008A4292">
        <w:rPr>
          <w:snapToGrid w:val="0"/>
        </w:rPr>
        <w:t>1</w:t>
      </w:r>
      <w:r w:rsidR="000A4891" w:rsidRPr="008A4292">
        <w:rPr>
          <w:snapToGrid w:val="0"/>
          <w:vertAlign w:val="superscript"/>
        </w:rPr>
        <w:t>st</w:t>
      </w:r>
      <w:r w:rsidR="000A4891" w:rsidRPr="008A4292">
        <w:rPr>
          <w:snapToGrid w:val="0"/>
        </w:rPr>
        <w:t xml:space="preserve"> </w:t>
      </w:r>
      <w:r w:rsidR="000A4891" w:rsidRPr="008A4292">
        <w:t xml:space="preserve">meeting, the SBI agreed to consider this agenda </w:t>
      </w:r>
      <w:r w:rsidR="0016758E" w:rsidRPr="008A4292">
        <w:t>sub-item</w:t>
      </w:r>
      <w:r w:rsidR="000A4891" w:rsidRPr="008A4292">
        <w:t xml:space="preserve"> in informal consultations co-facilitated by </w:t>
      </w:r>
      <w:proofErr w:type="spellStart"/>
      <w:r w:rsidR="000A4891" w:rsidRPr="008A4292">
        <w:t>Mr.</w:t>
      </w:r>
      <w:proofErr w:type="spellEnd"/>
      <w:r w:rsidR="000A4891" w:rsidRPr="008A4292">
        <w:t xml:space="preserve"> </w:t>
      </w:r>
      <w:proofErr w:type="spellStart"/>
      <w:r w:rsidR="005D5012" w:rsidRPr="008A4292">
        <w:t>Kuni</w:t>
      </w:r>
      <w:r w:rsidR="00B96F32" w:rsidRPr="008A4292">
        <w:t>hiko</w:t>
      </w:r>
      <w:proofErr w:type="spellEnd"/>
      <w:r w:rsidR="005D5012" w:rsidRPr="008A4292">
        <w:t xml:space="preserve"> Shimada</w:t>
      </w:r>
      <w:r w:rsidR="000A4891" w:rsidRPr="008A4292">
        <w:t xml:space="preserve"> (</w:t>
      </w:r>
      <w:r w:rsidR="005D5012" w:rsidRPr="008A4292">
        <w:t>Japan</w:t>
      </w:r>
      <w:r w:rsidR="000A4891" w:rsidRPr="008A4292">
        <w:t>)</w:t>
      </w:r>
      <w:r w:rsidR="000A4891" w:rsidRPr="008A4292">
        <w:rPr>
          <w:color w:val="000000"/>
        </w:rPr>
        <w:t xml:space="preserve"> and </w:t>
      </w:r>
      <w:proofErr w:type="spellStart"/>
      <w:r w:rsidR="000A4891" w:rsidRPr="008A4292">
        <w:rPr>
          <w:color w:val="000000"/>
        </w:rPr>
        <w:t>Mr.</w:t>
      </w:r>
      <w:proofErr w:type="spellEnd"/>
      <w:r w:rsidR="000A4891" w:rsidRPr="008A4292">
        <w:rPr>
          <w:color w:val="000000"/>
        </w:rPr>
        <w:t xml:space="preserve"> </w:t>
      </w:r>
      <w:proofErr w:type="spellStart"/>
      <w:r w:rsidR="000A4891" w:rsidRPr="008A4292">
        <w:rPr>
          <w:color w:val="000000"/>
        </w:rPr>
        <w:t>Osafo</w:t>
      </w:r>
      <w:proofErr w:type="spellEnd"/>
      <w:r w:rsidR="000A4891" w:rsidRPr="008A4292">
        <w:rPr>
          <w:color w:val="000000"/>
        </w:rPr>
        <w:t>.</w:t>
      </w:r>
    </w:p>
    <w:p w14:paraId="71A41CED" w14:textId="77777777" w:rsidR="000A4891" w:rsidRPr="008A4292" w:rsidRDefault="00794FF0" w:rsidP="00794FF0">
      <w:pPr>
        <w:pStyle w:val="SingleTxtG"/>
      </w:pPr>
      <w:r>
        <w:rPr>
          <w:color w:val="000000"/>
        </w:rPr>
        <w:t>65.</w:t>
      </w:r>
      <w:r>
        <w:rPr>
          <w:color w:val="000000"/>
        </w:rPr>
        <w:tab/>
      </w:r>
      <w:r w:rsidR="000A4891" w:rsidRPr="008A4292">
        <w:rPr>
          <w:color w:val="000000"/>
        </w:rPr>
        <w:t>A</w:t>
      </w:r>
      <w:r w:rsidR="000A4891" w:rsidRPr="008A4292">
        <w:t>t its 2</w:t>
      </w:r>
      <w:r w:rsidR="00017203" w:rsidRPr="008A4292">
        <w:rPr>
          <w:vertAlign w:val="superscript"/>
        </w:rPr>
        <w:t>nd</w:t>
      </w:r>
      <w:r w:rsidR="00017203" w:rsidRPr="008A4292">
        <w:t xml:space="preserve"> </w:t>
      </w:r>
      <w:r w:rsidR="000A4891" w:rsidRPr="008A4292">
        <w:t>meeting, the SBI considered and adopted the conclusions below.</w:t>
      </w:r>
      <w:r w:rsidR="00E1508D" w:rsidRPr="008A4292">
        <w:rPr>
          <w:rStyle w:val="FootnoteReference"/>
          <w:color w:val="000000"/>
        </w:rPr>
        <w:footnoteReference w:id="17"/>
      </w:r>
    </w:p>
    <w:p w14:paraId="3FF6976D" w14:textId="77777777" w:rsidR="003E1F9A" w:rsidRPr="008A4292" w:rsidRDefault="00794FF0" w:rsidP="00794FF0">
      <w:pPr>
        <w:pStyle w:val="H23G"/>
      </w:pPr>
      <w:r>
        <w:tab/>
        <w:t>2.</w:t>
      </w:r>
      <w:r>
        <w:tab/>
      </w:r>
      <w:r w:rsidR="000A4891" w:rsidRPr="008A4292">
        <w:t>Conclusions</w:t>
      </w:r>
    </w:p>
    <w:p w14:paraId="721BF6A7" w14:textId="77777777" w:rsidR="002170F1" w:rsidRPr="008A4292" w:rsidRDefault="00794FF0" w:rsidP="00794FF0">
      <w:pPr>
        <w:pStyle w:val="SingleTxtG"/>
      </w:pPr>
      <w:r>
        <w:t>66.</w:t>
      </w:r>
      <w:r>
        <w:tab/>
      </w:r>
      <w:r w:rsidR="00D02E4B" w:rsidRPr="008A4292">
        <w:t>The SBI</w:t>
      </w:r>
      <w:r w:rsidR="002170F1" w:rsidRPr="008A4292">
        <w:t xml:space="preserve"> continued its discussion of the issue of procedures, mechanisms and institutional arrangements for appeals against the decisions of the Executive Board of the clean development mechanism. Parties continued to maintain different views on the scope of appeals, among other issues.</w:t>
      </w:r>
    </w:p>
    <w:p w14:paraId="35D25E81" w14:textId="77777777" w:rsidR="002170F1" w:rsidRPr="008A4292" w:rsidRDefault="00794FF0" w:rsidP="00794FF0">
      <w:pPr>
        <w:pStyle w:val="SingleTxtG"/>
      </w:pPr>
      <w:r>
        <w:t>67.</w:t>
      </w:r>
      <w:r>
        <w:tab/>
      </w:r>
      <w:r w:rsidR="002170F1" w:rsidRPr="008A4292">
        <w:t>The SBI agreed to continue its consideration of this matter on the basis of, inter alia, the co-facilitators’ draft text contained in document FCCC/SBI/2012/33/Add.1, with a view to preparing a draft decision for c</w:t>
      </w:r>
      <w:r w:rsidR="0022506E" w:rsidRPr="008A4292">
        <w:t>onsideration and adoption at CMP 10</w:t>
      </w:r>
      <w:r w:rsidR="002170F1" w:rsidRPr="008A4292">
        <w:t>.</w:t>
      </w:r>
    </w:p>
    <w:p w14:paraId="62803BD3" w14:textId="77777777" w:rsidR="000A4891" w:rsidRPr="008A4292" w:rsidRDefault="00794FF0" w:rsidP="00794FF0">
      <w:pPr>
        <w:pStyle w:val="H1G"/>
        <w:tabs>
          <w:tab w:val="right" w:pos="850"/>
        </w:tabs>
        <w:rPr>
          <w:rStyle w:val="SingleTxtGChar"/>
          <w:b w:val="0"/>
          <w:sz w:val="20"/>
        </w:rPr>
      </w:pPr>
      <w:bookmarkStart w:id="47" w:name="_Toc391983293"/>
      <w:r>
        <w:tab/>
        <w:t>F.</w:t>
      </w:r>
      <w:r>
        <w:tab/>
      </w:r>
      <w:r w:rsidR="005D5012" w:rsidRPr="008A4292">
        <w:t>Matters relating to the international transaction log under the Kyoto Protocol</w:t>
      </w:r>
      <w:r w:rsidR="000A4891" w:rsidRPr="008A4292">
        <w:br/>
      </w:r>
      <w:r w:rsidR="000A4891" w:rsidRPr="008A4292">
        <w:rPr>
          <w:rStyle w:val="SingleTxtGChar"/>
          <w:b w:val="0"/>
          <w:sz w:val="20"/>
        </w:rPr>
        <w:t xml:space="preserve">(Agenda </w:t>
      </w:r>
      <w:r w:rsidR="0016758E" w:rsidRPr="008A4292">
        <w:rPr>
          <w:rStyle w:val="SingleTxtGChar"/>
          <w:b w:val="0"/>
          <w:sz w:val="20"/>
        </w:rPr>
        <w:t>sub-item</w:t>
      </w:r>
      <w:r w:rsidR="000A4891" w:rsidRPr="008A4292">
        <w:rPr>
          <w:rStyle w:val="SingleTxtGChar"/>
          <w:b w:val="0"/>
          <w:sz w:val="20"/>
        </w:rPr>
        <w:t xml:space="preserve"> 6(</w:t>
      </w:r>
      <w:r w:rsidR="005D5012" w:rsidRPr="008A4292">
        <w:rPr>
          <w:rStyle w:val="SingleTxtGChar"/>
          <w:b w:val="0"/>
          <w:sz w:val="20"/>
        </w:rPr>
        <w:t>f</w:t>
      </w:r>
      <w:r w:rsidR="000A4891" w:rsidRPr="008A4292">
        <w:rPr>
          <w:rStyle w:val="SingleTxtGChar"/>
          <w:b w:val="0"/>
          <w:sz w:val="20"/>
        </w:rPr>
        <w:t>))</w:t>
      </w:r>
      <w:bookmarkEnd w:id="47"/>
    </w:p>
    <w:p w14:paraId="6C83F9FF" w14:textId="77777777" w:rsidR="00453C7E" w:rsidRPr="008A4292" w:rsidRDefault="00794FF0" w:rsidP="00794FF0">
      <w:pPr>
        <w:pStyle w:val="H23G"/>
        <w:rPr>
          <w:lang w:eastAsia="en-US"/>
        </w:rPr>
      </w:pPr>
      <w:r>
        <w:tab/>
        <w:t>1.</w:t>
      </w:r>
      <w:r>
        <w:tab/>
      </w:r>
      <w:r w:rsidR="00453C7E" w:rsidRPr="008A4292">
        <w:t>Proceedings</w:t>
      </w:r>
    </w:p>
    <w:p w14:paraId="1E1A9E81" w14:textId="77777777" w:rsidR="00354AF6" w:rsidRPr="009D373E" w:rsidRDefault="00794FF0" w:rsidP="00794FF0">
      <w:pPr>
        <w:pStyle w:val="SingleTxtG"/>
      </w:pPr>
      <w:r>
        <w:t>68.</w:t>
      </w:r>
      <w:r>
        <w:tab/>
      </w:r>
      <w:r w:rsidR="000A4891" w:rsidRPr="009D373E">
        <w:t xml:space="preserve">The SBI considered this agenda </w:t>
      </w:r>
      <w:r w:rsidR="0016758E" w:rsidRPr="009D373E">
        <w:t>sub-item</w:t>
      </w:r>
      <w:r w:rsidR="000A4891" w:rsidRPr="009D373E">
        <w:t xml:space="preserve"> at its </w:t>
      </w:r>
      <w:r w:rsidR="000A4891" w:rsidRPr="009D373E">
        <w:rPr>
          <w:snapToGrid w:val="0"/>
        </w:rPr>
        <w:t>1</w:t>
      </w:r>
      <w:r w:rsidR="000A4891" w:rsidRPr="009D373E">
        <w:rPr>
          <w:snapToGrid w:val="0"/>
          <w:vertAlign w:val="superscript"/>
        </w:rPr>
        <w:t>st</w:t>
      </w:r>
      <w:r w:rsidR="000A4891" w:rsidRPr="009D373E">
        <w:rPr>
          <w:snapToGrid w:val="0"/>
        </w:rPr>
        <w:t xml:space="preserve"> </w:t>
      </w:r>
      <w:r w:rsidR="00354AF6" w:rsidRPr="009D373E">
        <w:rPr>
          <w:snapToGrid w:val="0"/>
        </w:rPr>
        <w:t>and 2</w:t>
      </w:r>
      <w:r w:rsidR="00354AF6" w:rsidRPr="009D373E">
        <w:rPr>
          <w:snapToGrid w:val="0"/>
          <w:vertAlign w:val="superscript"/>
        </w:rPr>
        <w:t>nd</w:t>
      </w:r>
      <w:r w:rsidR="00354AF6" w:rsidRPr="009D373E">
        <w:rPr>
          <w:snapToGrid w:val="0"/>
        </w:rPr>
        <w:t xml:space="preserve"> </w:t>
      </w:r>
      <w:r w:rsidR="000A4891" w:rsidRPr="009D373E">
        <w:rPr>
          <w:snapToGrid w:val="0"/>
        </w:rPr>
        <w:t>meetings</w:t>
      </w:r>
      <w:r w:rsidR="000A4891" w:rsidRPr="009D373E">
        <w:t xml:space="preserve">. </w:t>
      </w:r>
      <w:r w:rsidR="00354AF6" w:rsidRPr="009D373E">
        <w:t>It had before it document FCCC/SBI/2014/INF.6</w:t>
      </w:r>
      <w:r w:rsidR="0099606B" w:rsidRPr="009D373E">
        <w:t>.</w:t>
      </w:r>
    </w:p>
    <w:p w14:paraId="7E3F7FDE" w14:textId="77777777" w:rsidR="000A4891" w:rsidRPr="008A4292" w:rsidRDefault="00794FF0" w:rsidP="00794FF0">
      <w:pPr>
        <w:pStyle w:val="SingleTxtG"/>
      </w:pPr>
      <w:r>
        <w:t>69.</w:t>
      </w:r>
      <w:r>
        <w:tab/>
      </w:r>
      <w:r w:rsidR="000A4891" w:rsidRPr="008A4292">
        <w:t xml:space="preserve">At its </w:t>
      </w:r>
      <w:r w:rsidR="000A4891" w:rsidRPr="008A4292">
        <w:rPr>
          <w:snapToGrid w:val="0"/>
        </w:rPr>
        <w:t>1</w:t>
      </w:r>
      <w:r w:rsidR="000A4891" w:rsidRPr="008A4292">
        <w:rPr>
          <w:snapToGrid w:val="0"/>
          <w:vertAlign w:val="superscript"/>
        </w:rPr>
        <w:t>st</w:t>
      </w:r>
      <w:r w:rsidR="000A4891" w:rsidRPr="008A4292">
        <w:rPr>
          <w:snapToGrid w:val="0"/>
        </w:rPr>
        <w:t xml:space="preserve"> </w:t>
      </w:r>
      <w:r w:rsidR="000A4891" w:rsidRPr="008A4292">
        <w:t xml:space="preserve">meeting, the SBI agreed to consider this agenda </w:t>
      </w:r>
      <w:r w:rsidR="0016758E" w:rsidRPr="008A4292">
        <w:t>sub-item</w:t>
      </w:r>
      <w:r w:rsidR="000A4891" w:rsidRPr="008A4292">
        <w:t xml:space="preserve"> in informal consultations facilitated by </w:t>
      </w:r>
      <w:proofErr w:type="spellStart"/>
      <w:r w:rsidR="000A4891" w:rsidRPr="008A4292">
        <w:t>Mr</w:t>
      </w:r>
      <w:r w:rsidR="005D5012" w:rsidRPr="008A4292">
        <w:t>.</w:t>
      </w:r>
      <w:proofErr w:type="spellEnd"/>
      <w:r w:rsidR="005D5012" w:rsidRPr="008A4292">
        <w:t xml:space="preserve"> Yuji Mizuno</w:t>
      </w:r>
      <w:r w:rsidR="000A4891" w:rsidRPr="008A4292">
        <w:t xml:space="preserve"> (</w:t>
      </w:r>
      <w:r w:rsidR="005D5012" w:rsidRPr="008A4292">
        <w:t>Japan</w:t>
      </w:r>
      <w:r w:rsidR="000A4891" w:rsidRPr="008A4292">
        <w:t>)</w:t>
      </w:r>
      <w:r w:rsidR="005D5012" w:rsidRPr="008A4292">
        <w:rPr>
          <w:color w:val="000000"/>
        </w:rPr>
        <w:t>.</w:t>
      </w:r>
    </w:p>
    <w:p w14:paraId="65197303" w14:textId="77777777" w:rsidR="000A4891" w:rsidRPr="008A4292" w:rsidRDefault="00794FF0" w:rsidP="00794FF0">
      <w:pPr>
        <w:pStyle w:val="SingleTxtG"/>
      </w:pPr>
      <w:r>
        <w:rPr>
          <w:color w:val="000000"/>
        </w:rPr>
        <w:t>70.</w:t>
      </w:r>
      <w:r>
        <w:rPr>
          <w:color w:val="000000"/>
        </w:rPr>
        <w:tab/>
      </w:r>
      <w:r w:rsidR="000A4891" w:rsidRPr="008A4292">
        <w:rPr>
          <w:color w:val="000000"/>
        </w:rPr>
        <w:t>A</w:t>
      </w:r>
      <w:r w:rsidR="000A4891" w:rsidRPr="008A4292">
        <w:t>t its 2</w:t>
      </w:r>
      <w:r w:rsidR="00453C7E" w:rsidRPr="008A4292">
        <w:rPr>
          <w:vertAlign w:val="superscript"/>
        </w:rPr>
        <w:t>nd</w:t>
      </w:r>
      <w:r w:rsidR="00453C7E" w:rsidRPr="008A4292">
        <w:t xml:space="preserve"> </w:t>
      </w:r>
      <w:r w:rsidR="000A4891" w:rsidRPr="008A4292">
        <w:t>meeting, the SBI considered and adopted the conclusions below.</w:t>
      </w:r>
      <w:r w:rsidR="0087486C" w:rsidRPr="008A4292">
        <w:rPr>
          <w:sz w:val="18"/>
          <w:vertAlign w:val="superscript"/>
        </w:rPr>
        <w:footnoteReference w:id="18"/>
      </w:r>
    </w:p>
    <w:p w14:paraId="1C5E349A" w14:textId="77777777" w:rsidR="00184581" w:rsidRPr="008A4292" w:rsidRDefault="00794FF0" w:rsidP="00794FF0">
      <w:pPr>
        <w:pStyle w:val="H23G"/>
      </w:pPr>
      <w:r>
        <w:tab/>
        <w:t>2.</w:t>
      </w:r>
      <w:r>
        <w:tab/>
      </w:r>
      <w:r w:rsidR="000A4891" w:rsidRPr="008A4292">
        <w:t>Conclusions</w:t>
      </w:r>
    </w:p>
    <w:p w14:paraId="6514AABF" w14:textId="77777777" w:rsidR="00184581" w:rsidRPr="008A4292" w:rsidRDefault="00794FF0" w:rsidP="00794FF0">
      <w:pPr>
        <w:pStyle w:val="SingleTxtG"/>
      </w:pPr>
      <w:r>
        <w:t>71.</w:t>
      </w:r>
      <w:r>
        <w:tab/>
      </w:r>
      <w:r w:rsidR="00D02E4B" w:rsidRPr="008A4292">
        <w:t>The SBI</w:t>
      </w:r>
      <w:r w:rsidR="00184581" w:rsidRPr="008A4292">
        <w:t xml:space="preserve"> continued its consideration of information security management in systems supporting emissions trading under the Kyoto Protocol. It welcomed the document prepared by the ITL administrator and the Security Working Group under the Registry System Administrators Forum</w:t>
      </w:r>
      <w:r w:rsidR="00184581" w:rsidRPr="00C73BC8">
        <w:rPr>
          <w:sz w:val="18"/>
          <w:szCs w:val="18"/>
          <w:vertAlign w:val="superscript"/>
        </w:rPr>
        <w:footnoteReference w:id="19"/>
      </w:r>
      <w:r w:rsidR="00184581" w:rsidRPr="008A4292">
        <w:t xml:space="preserve"> and took note of the options for, and </w:t>
      </w:r>
      <w:r w:rsidR="00F0409A" w:rsidRPr="008A4292">
        <w:t xml:space="preserve">the </w:t>
      </w:r>
      <w:r w:rsidR="00184581" w:rsidRPr="008A4292">
        <w:t>road map to, information security implementation in the registry system.</w:t>
      </w:r>
    </w:p>
    <w:p w14:paraId="64E74111" w14:textId="77777777" w:rsidR="00184581" w:rsidRPr="008A4292" w:rsidRDefault="00794FF0" w:rsidP="00794FF0">
      <w:pPr>
        <w:pStyle w:val="SingleTxtG"/>
      </w:pPr>
      <w:r>
        <w:t>72.</w:t>
      </w:r>
      <w:r>
        <w:tab/>
      </w:r>
      <w:r w:rsidR="00184581" w:rsidRPr="008A4292">
        <w:t>The SBI requested the ITL administrator and the Security Working Group to execute the further implementation option</w:t>
      </w:r>
      <w:r w:rsidR="00184581" w:rsidRPr="00C73BC8">
        <w:rPr>
          <w:sz w:val="18"/>
          <w:vertAlign w:val="superscript"/>
        </w:rPr>
        <w:footnoteReference w:id="20"/>
      </w:r>
      <w:r w:rsidR="00184581" w:rsidRPr="008A4292">
        <w:t xml:space="preserve"> by extending</w:t>
      </w:r>
      <w:r w:rsidR="00184581" w:rsidRPr="008A4292" w:rsidDel="006D3943">
        <w:t xml:space="preserve"> </w:t>
      </w:r>
      <w:r w:rsidR="00184581" w:rsidRPr="008A4292">
        <w:t xml:space="preserve">the current information security control implementation on the basis of a registry-specific and quantitative risk assessment, followed by an in-depth control implementation analysis. It also requested the ITL administrator and the Security Working Group to prepare a document containing a final implementation option for information security management, including the related resource requirements for registry systems and budget requirements for the ITL, for consideration at SBI 42 (June 2015). </w:t>
      </w:r>
    </w:p>
    <w:p w14:paraId="16B827A8" w14:textId="77777777" w:rsidR="00184581" w:rsidRPr="009D373E" w:rsidRDefault="00794FF0" w:rsidP="00794FF0">
      <w:pPr>
        <w:pStyle w:val="SingleTxtG"/>
      </w:pPr>
      <w:r>
        <w:t>73.</w:t>
      </w:r>
      <w:r>
        <w:tab/>
      </w:r>
      <w:r w:rsidR="00184581" w:rsidRPr="009D373E">
        <w:t xml:space="preserve">The SBI agreed to consider the final implementation option referred to in paragraph </w:t>
      </w:r>
      <w:r w:rsidR="000F02B8" w:rsidRPr="009D373E">
        <w:t>7</w:t>
      </w:r>
      <w:r w:rsidR="006E537B" w:rsidRPr="009D373E">
        <w:t>2</w:t>
      </w:r>
      <w:r w:rsidR="00184581" w:rsidRPr="009D373E">
        <w:t xml:space="preserve"> above at SBI 42, with a view to recommending a draft decision on the matter for consideration and adoption </w:t>
      </w:r>
      <w:r w:rsidR="00453C7E" w:rsidRPr="009D373E">
        <w:t>at CMP 11</w:t>
      </w:r>
      <w:r w:rsidR="00184581" w:rsidRPr="009D373E">
        <w:t xml:space="preserve"> (November–December 2015).</w:t>
      </w:r>
    </w:p>
    <w:p w14:paraId="31D622E3" w14:textId="77777777" w:rsidR="008000C9" w:rsidRPr="008A4292" w:rsidRDefault="00794FF0" w:rsidP="00794FF0">
      <w:pPr>
        <w:pStyle w:val="HChG"/>
        <w:rPr>
          <w:bCs/>
          <w:sz w:val="20"/>
        </w:rPr>
      </w:pPr>
      <w:bookmarkStart w:id="48" w:name="_Toc391983294"/>
      <w:r>
        <w:tab/>
        <w:t>VII.</w:t>
      </w:r>
      <w:r>
        <w:tab/>
      </w:r>
      <w:r w:rsidR="00215A3A" w:rsidRPr="008A4292">
        <w:t xml:space="preserve">Matters relating to the </w:t>
      </w:r>
      <w:r w:rsidR="00143B51" w:rsidRPr="008A4292">
        <w:t xml:space="preserve">least developed </w:t>
      </w:r>
      <w:r w:rsidR="00362186" w:rsidRPr="008A4292">
        <w:t xml:space="preserve">countries </w:t>
      </w:r>
      <w:r w:rsidR="008000C9" w:rsidRPr="008A4292">
        <w:br/>
      </w:r>
      <w:r w:rsidR="008000C9" w:rsidRPr="00327414">
        <w:rPr>
          <w:b w:val="0"/>
          <w:bCs/>
          <w:sz w:val="20"/>
        </w:rPr>
        <w:t xml:space="preserve">(Agenda item </w:t>
      </w:r>
      <w:r w:rsidR="00143B51" w:rsidRPr="00327414">
        <w:rPr>
          <w:b w:val="0"/>
          <w:bCs/>
          <w:sz w:val="20"/>
        </w:rPr>
        <w:t>7</w:t>
      </w:r>
      <w:r w:rsidR="008000C9" w:rsidRPr="00327414">
        <w:rPr>
          <w:b w:val="0"/>
          <w:bCs/>
          <w:sz w:val="20"/>
        </w:rPr>
        <w:t>)</w:t>
      </w:r>
      <w:bookmarkEnd w:id="48"/>
    </w:p>
    <w:p w14:paraId="7F05238C" w14:textId="77777777" w:rsidR="0014500B" w:rsidRPr="008A4292" w:rsidRDefault="00794FF0" w:rsidP="00794FF0">
      <w:pPr>
        <w:pStyle w:val="H23G"/>
        <w:rPr>
          <w:lang w:eastAsia="en-US"/>
        </w:rPr>
      </w:pPr>
      <w:r>
        <w:tab/>
        <w:t>1.</w:t>
      </w:r>
      <w:r>
        <w:tab/>
      </w:r>
      <w:r w:rsidR="0014500B" w:rsidRPr="008A4292">
        <w:t>Proceedings</w:t>
      </w:r>
    </w:p>
    <w:p w14:paraId="03319DD6" w14:textId="77777777" w:rsidR="00464D21" w:rsidRPr="009D373E" w:rsidRDefault="00794FF0" w:rsidP="00794FF0">
      <w:pPr>
        <w:pStyle w:val="SingleTxtG"/>
      </w:pPr>
      <w:r>
        <w:t>74.</w:t>
      </w:r>
      <w:r>
        <w:tab/>
      </w:r>
      <w:r w:rsidR="00143B51" w:rsidRPr="009D373E">
        <w:t>The</w:t>
      </w:r>
      <w:r w:rsidR="001D487D" w:rsidRPr="009D373E">
        <w:t xml:space="preserve"> SBI considered this agenda </w:t>
      </w:r>
      <w:r w:rsidR="00143B51" w:rsidRPr="009D373E">
        <w:t xml:space="preserve">item at its </w:t>
      </w:r>
      <w:r w:rsidR="00143B51" w:rsidRPr="009D373E">
        <w:rPr>
          <w:snapToGrid w:val="0"/>
        </w:rPr>
        <w:t>1</w:t>
      </w:r>
      <w:r w:rsidR="00143B51" w:rsidRPr="009D373E">
        <w:rPr>
          <w:snapToGrid w:val="0"/>
          <w:vertAlign w:val="superscript"/>
        </w:rPr>
        <w:t>st</w:t>
      </w:r>
      <w:r w:rsidR="00143B51" w:rsidRPr="009D373E">
        <w:rPr>
          <w:snapToGrid w:val="0"/>
        </w:rPr>
        <w:t xml:space="preserve"> </w:t>
      </w:r>
      <w:r w:rsidR="001D487D" w:rsidRPr="009D373E">
        <w:rPr>
          <w:snapToGrid w:val="0"/>
        </w:rPr>
        <w:t>and 2</w:t>
      </w:r>
      <w:r w:rsidR="001D487D" w:rsidRPr="009D373E">
        <w:rPr>
          <w:snapToGrid w:val="0"/>
          <w:vertAlign w:val="superscript"/>
        </w:rPr>
        <w:t>nd</w:t>
      </w:r>
      <w:r w:rsidR="001D487D" w:rsidRPr="009D373E">
        <w:rPr>
          <w:snapToGrid w:val="0"/>
        </w:rPr>
        <w:t xml:space="preserve"> </w:t>
      </w:r>
      <w:r w:rsidR="00143B51" w:rsidRPr="009D373E">
        <w:rPr>
          <w:snapToGrid w:val="0"/>
        </w:rPr>
        <w:t>meetings</w:t>
      </w:r>
      <w:r w:rsidR="00143B51" w:rsidRPr="009D373E">
        <w:t xml:space="preserve">. </w:t>
      </w:r>
      <w:r w:rsidR="00464D21" w:rsidRPr="009D373E">
        <w:t xml:space="preserve">It had before it </w:t>
      </w:r>
      <w:r w:rsidR="00723757" w:rsidRPr="009D373E">
        <w:t xml:space="preserve">document FCCC/SBI/2014/4. </w:t>
      </w:r>
      <w:r w:rsidR="00464D21" w:rsidRPr="009D373E">
        <w:t xml:space="preserve">Statements were made by </w:t>
      </w:r>
      <w:r w:rsidR="006271E6" w:rsidRPr="009D373E">
        <w:t xml:space="preserve">representatives of </w:t>
      </w:r>
      <w:r w:rsidR="00464D21" w:rsidRPr="009D373E">
        <w:t>three Parties</w:t>
      </w:r>
      <w:r w:rsidR="006271E6" w:rsidRPr="009D373E">
        <w:t xml:space="preserve">: </w:t>
      </w:r>
      <w:r w:rsidR="00C908B2" w:rsidRPr="009D373E">
        <w:t xml:space="preserve">one </w:t>
      </w:r>
      <w:r w:rsidR="006271E6" w:rsidRPr="009D373E">
        <w:t xml:space="preserve">spoke </w:t>
      </w:r>
      <w:r w:rsidR="00C908B2" w:rsidRPr="009D373E">
        <w:t>on behalf of</w:t>
      </w:r>
      <w:r w:rsidR="001D487D" w:rsidRPr="009D373E">
        <w:t xml:space="preserve"> </w:t>
      </w:r>
      <w:r w:rsidR="006271E6" w:rsidRPr="009D373E">
        <w:t>G77 and China</w:t>
      </w:r>
      <w:r w:rsidR="00C908B2" w:rsidRPr="009D373E">
        <w:t>, one on behalf of the LD</w:t>
      </w:r>
      <w:r w:rsidR="0049390B" w:rsidRPr="009D373E">
        <w:t>C</w:t>
      </w:r>
      <w:r w:rsidR="00C908B2" w:rsidRPr="009D373E">
        <w:t>s</w:t>
      </w:r>
      <w:r w:rsidR="001D487D" w:rsidRPr="009D373E">
        <w:t xml:space="preserve"> and </w:t>
      </w:r>
      <w:r w:rsidR="0049390B" w:rsidRPr="009D373E">
        <w:t xml:space="preserve">one on behalf of </w:t>
      </w:r>
      <w:r w:rsidR="001D487D" w:rsidRPr="009D373E">
        <w:t xml:space="preserve">the African </w:t>
      </w:r>
      <w:r w:rsidR="006271E6" w:rsidRPr="009D373E">
        <w:t>States</w:t>
      </w:r>
      <w:r w:rsidR="001D487D" w:rsidRPr="009D373E">
        <w:t>.</w:t>
      </w:r>
    </w:p>
    <w:p w14:paraId="2180C47B" w14:textId="77777777" w:rsidR="00143B51" w:rsidRPr="008A4292" w:rsidRDefault="00794FF0" w:rsidP="00794FF0">
      <w:pPr>
        <w:pStyle w:val="SingleTxtG"/>
      </w:pPr>
      <w:r>
        <w:t>75.</w:t>
      </w:r>
      <w:r>
        <w:tab/>
      </w:r>
      <w:r w:rsidR="00464D21" w:rsidRPr="008A4292">
        <w:t xml:space="preserve">At </w:t>
      </w:r>
      <w:r w:rsidR="00212FA8" w:rsidRPr="008A4292">
        <w:t>the</w:t>
      </w:r>
      <w:r w:rsidR="00464D21" w:rsidRPr="008A4292">
        <w:t xml:space="preserve"> </w:t>
      </w:r>
      <w:r w:rsidR="00212FA8" w:rsidRPr="008A4292">
        <w:t>1</w:t>
      </w:r>
      <w:r w:rsidR="00212FA8" w:rsidRPr="008A4292">
        <w:rPr>
          <w:vertAlign w:val="superscript"/>
        </w:rPr>
        <w:t>st</w:t>
      </w:r>
      <w:r w:rsidR="00212FA8" w:rsidRPr="008A4292">
        <w:t xml:space="preserve"> </w:t>
      </w:r>
      <w:r w:rsidR="00464D21" w:rsidRPr="008A4292">
        <w:t xml:space="preserve">meeting, the Chair invited </w:t>
      </w:r>
      <w:proofErr w:type="spellStart"/>
      <w:r w:rsidR="00464D21" w:rsidRPr="008A4292">
        <w:t>Mr.</w:t>
      </w:r>
      <w:proofErr w:type="spellEnd"/>
      <w:r w:rsidR="00464D21" w:rsidRPr="008A4292">
        <w:t xml:space="preserve"> </w:t>
      </w:r>
      <w:proofErr w:type="spellStart"/>
      <w:r w:rsidR="00464D21" w:rsidRPr="008A4292">
        <w:t>Batu</w:t>
      </w:r>
      <w:proofErr w:type="spellEnd"/>
      <w:r w:rsidR="00464D21" w:rsidRPr="008A4292">
        <w:t xml:space="preserve"> Krishna </w:t>
      </w:r>
      <w:proofErr w:type="spellStart"/>
      <w:r w:rsidR="00464D21" w:rsidRPr="008A4292">
        <w:t>Uprety</w:t>
      </w:r>
      <w:proofErr w:type="spellEnd"/>
      <w:r w:rsidR="00464D21" w:rsidRPr="008A4292">
        <w:t xml:space="preserve"> (Nepal), Chair of the Least Developed Countries Expert Group (LEG</w:t>
      </w:r>
      <w:r w:rsidR="00184581" w:rsidRPr="008A4292">
        <w:t>),</w:t>
      </w:r>
      <w:r w:rsidR="00464D21" w:rsidRPr="008A4292">
        <w:t xml:space="preserve"> to report on the group’</w:t>
      </w:r>
      <w:r w:rsidR="00212FA8" w:rsidRPr="008A4292">
        <w:t>s</w:t>
      </w:r>
      <w:r w:rsidR="00464D21" w:rsidRPr="008A4292">
        <w:t xml:space="preserve"> activities. </w:t>
      </w:r>
      <w:r w:rsidR="00143B51" w:rsidRPr="008A4292">
        <w:t xml:space="preserve">At </w:t>
      </w:r>
      <w:r w:rsidR="00464D21" w:rsidRPr="008A4292">
        <w:t xml:space="preserve">the same </w:t>
      </w:r>
      <w:r w:rsidR="00143B51" w:rsidRPr="008A4292">
        <w:t xml:space="preserve">meeting, the SBI agreed to consider this agenda item in informal consultations facilitated by </w:t>
      </w:r>
      <w:proofErr w:type="spellStart"/>
      <w:r w:rsidR="00E1508D" w:rsidRPr="008A4292">
        <w:t>Mr.</w:t>
      </w:r>
      <w:proofErr w:type="spellEnd"/>
      <w:r w:rsidR="00E1508D" w:rsidRPr="008A4292">
        <w:t xml:space="preserve"> Collin Beck (</w:t>
      </w:r>
      <w:r w:rsidR="00212FA8" w:rsidRPr="008A4292">
        <w:t xml:space="preserve">Solomon </w:t>
      </w:r>
      <w:r w:rsidR="00E1508D" w:rsidRPr="008A4292">
        <w:t xml:space="preserve">Islands). As </w:t>
      </w:r>
      <w:proofErr w:type="spellStart"/>
      <w:r w:rsidR="00E1508D" w:rsidRPr="008A4292">
        <w:t>Mr.</w:t>
      </w:r>
      <w:proofErr w:type="spellEnd"/>
      <w:r w:rsidR="00E1508D" w:rsidRPr="008A4292">
        <w:t xml:space="preserve"> Beck was unable to attend the session, </w:t>
      </w:r>
      <w:proofErr w:type="spellStart"/>
      <w:r w:rsidR="00143B51" w:rsidRPr="008A4292">
        <w:t>Ms.</w:t>
      </w:r>
      <w:proofErr w:type="spellEnd"/>
      <w:r w:rsidR="00143B51" w:rsidRPr="008A4292">
        <w:t xml:space="preserve"> Patience </w:t>
      </w:r>
      <w:proofErr w:type="spellStart"/>
      <w:r w:rsidR="00143B51" w:rsidRPr="008A4292">
        <w:t>Damptey</w:t>
      </w:r>
      <w:proofErr w:type="spellEnd"/>
      <w:r w:rsidR="00143B51" w:rsidRPr="008A4292">
        <w:t xml:space="preserve"> (Ghana)</w:t>
      </w:r>
      <w:r w:rsidR="00E1508D" w:rsidRPr="008A4292">
        <w:rPr>
          <w:color w:val="000000"/>
        </w:rPr>
        <w:t xml:space="preserve"> was invited to facilitate these consultations. </w:t>
      </w:r>
    </w:p>
    <w:p w14:paraId="63FE5CD4" w14:textId="77777777" w:rsidR="00143B51" w:rsidRPr="008A4292" w:rsidRDefault="00794FF0" w:rsidP="00794FF0">
      <w:pPr>
        <w:pStyle w:val="SingleTxtG"/>
      </w:pPr>
      <w:r>
        <w:rPr>
          <w:color w:val="000000"/>
        </w:rPr>
        <w:t>76.</w:t>
      </w:r>
      <w:r>
        <w:rPr>
          <w:color w:val="000000"/>
        </w:rPr>
        <w:tab/>
      </w:r>
      <w:r w:rsidR="00143B51" w:rsidRPr="008A4292">
        <w:rPr>
          <w:color w:val="000000"/>
        </w:rPr>
        <w:t>A</w:t>
      </w:r>
      <w:r w:rsidR="00143B51" w:rsidRPr="008A4292">
        <w:t>t its 2</w:t>
      </w:r>
      <w:r w:rsidR="00C5589E" w:rsidRPr="008A4292">
        <w:rPr>
          <w:vertAlign w:val="superscript"/>
        </w:rPr>
        <w:t>nd</w:t>
      </w:r>
      <w:r w:rsidR="00C5589E" w:rsidRPr="008A4292">
        <w:t xml:space="preserve"> </w:t>
      </w:r>
      <w:r w:rsidR="00143B51" w:rsidRPr="008A4292">
        <w:t>meeting, the SBI considered and adopted the conclusions below.</w:t>
      </w:r>
      <w:r w:rsidR="00C32B22" w:rsidRPr="008A4292">
        <w:rPr>
          <w:rStyle w:val="FootnoteReference"/>
          <w:color w:val="000000"/>
        </w:rPr>
        <w:footnoteReference w:id="21"/>
      </w:r>
    </w:p>
    <w:p w14:paraId="303C2010" w14:textId="77777777" w:rsidR="00B74444" w:rsidRPr="008A4292" w:rsidRDefault="00794FF0" w:rsidP="00794FF0">
      <w:pPr>
        <w:pStyle w:val="H23G"/>
      </w:pPr>
      <w:r>
        <w:tab/>
        <w:t>2.</w:t>
      </w:r>
      <w:r>
        <w:tab/>
      </w:r>
      <w:r w:rsidR="00143B51" w:rsidRPr="008A4292">
        <w:t>Conclusions</w:t>
      </w:r>
    </w:p>
    <w:p w14:paraId="0DA6C0A2" w14:textId="77777777" w:rsidR="00B74444" w:rsidRPr="008A4292" w:rsidRDefault="00794FF0" w:rsidP="00794FF0">
      <w:pPr>
        <w:pStyle w:val="SingleTxtG"/>
      </w:pPr>
      <w:r>
        <w:t>77.</w:t>
      </w:r>
      <w:r>
        <w:tab/>
      </w:r>
      <w:r w:rsidR="00B74444" w:rsidRPr="008A4292">
        <w:t>The SBI took note of the oral report by the Chair of the LEG</w:t>
      </w:r>
      <w:r w:rsidR="00B74444" w:rsidRPr="00C73BC8">
        <w:rPr>
          <w:sz w:val="18"/>
          <w:vertAlign w:val="superscript"/>
        </w:rPr>
        <w:footnoteReference w:id="22"/>
      </w:r>
      <w:r w:rsidR="00B74444" w:rsidRPr="008A4292">
        <w:t xml:space="preserve"> on the implementation of the LEG work programme for 2013–2014 and acknowledged the progress made by the LEG thereunder.</w:t>
      </w:r>
    </w:p>
    <w:p w14:paraId="5138D0E1" w14:textId="77777777" w:rsidR="00B74444" w:rsidRPr="008A4292" w:rsidRDefault="00794FF0" w:rsidP="00794FF0">
      <w:pPr>
        <w:pStyle w:val="SingleTxtG"/>
      </w:pPr>
      <w:r>
        <w:t>78.</w:t>
      </w:r>
      <w:r>
        <w:tab/>
      </w:r>
      <w:r w:rsidR="00B74444" w:rsidRPr="008A4292">
        <w:t>It welcomed the report on the 25</w:t>
      </w:r>
      <w:r w:rsidR="00B74444" w:rsidRPr="008A4292">
        <w:rPr>
          <w:vertAlign w:val="superscript"/>
        </w:rPr>
        <w:t>th</w:t>
      </w:r>
      <w:r w:rsidR="00B74444" w:rsidRPr="008A4292">
        <w:t xml:space="preserve"> meeting of the LEG,</w:t>
      </w:r>
      <w:r w:rsidR="00B74444" w:rsidRPr="00C73BC8">
        <w:rPr>
          <w:sz w:val="18"/>
          <w:vertAlign w:val="superscript"/>
        </w:rPr>
        <w:footnoteReference w:id="23"/>
      </w:r>
      <w:r w:rsidR="00B74444" w:rsidRPr="008A4292">
        <w:t xml:space="preserve"> held in Dar </w:t>
      </w:r>
      <w:proofErr w:type="spellStart"/>
      <w:r w:rsidR="00B74444" w:rsidRPr="008A4292">
        <w:t>es</w:t>
      </w:r>
      <w:proofErr w:type="spellEnd"/>
      <w:r w:rsidR="00B74444" w:rsidRPr="008A4292">
        <w:t xml:space="preserve"> Salaam, United Republic of Tanzania, on 27 and 28 February 2014, and the outcome of the LEG technical meeting on national adaptation plans (NAPs) held in Dar </w:t>
      </w:r>
      <w:proofErr w:type="spellStart"/>
      <w:r w:rsidR="00B74444" w:rsidRPr="008A4292">
        <w:t>es</w:t>
      </w:r>
      <w:proofErr w:type="spellEnd"/>
      <w:r w:rsidR="00B74444" w:rsidRPr="008A4292">
        <w:t xml:space="preserve"> Salaam from 24 to 26 February 2014.</w:t>
      </w:r>
    </w:p>
    <w:p w14:paraId="0BB23344" w14:textId="77777777" w:rsidR="00B74444" w:rsidRPr="008A4292" w:rsidRDefault="00794FF0" w:rsidP="00794FF0">
      <w:pPr>
        <w:pStyle w:val="SingleTxtG"/>
      </w:pPr>
      <w:r>
        <w:t>79.</w:t>
      </w:r>
      <w:r>
        <w:tab/>
      </w:r>
      <w:r w:rsidR="00B74444" w:rsidRPr="008A4292">
        <w:t>The SBI expressed its gratitude to the Government of the United Republic of Tanzania for hosting these meetings. It expressed its appreciation to the Governments of Belgium, Canada, Finland and Norway for providing financial support for the work of the LEG.</w:t>
      </w:r>
    </w:p>
    <w:p w14:paraId="4E655DEA" w14:textId="77777777" w:rsidR="00B74444" w:rsidRPr="008A4292" w:rsidRDefault="00794FF0" w:rsidP="00794FF0">
      <w:pPr>
        <w:pStyle w:val="SingleTxtG"/>
      </w:pPr>
      <w:r>
        <w:t>80.</w:t>
      </w:r>
      <w:r>
        <w:tab/>
      </w:r>
      <w:r w:rsidR="00B74444" w:rsidRPr="008A4292">
        <w:t>The SBI noted with appreciation the contributions made by some Parties to the Least Developed Countries Fund (LDCF), totalling USD 831.54 million as at 28 February 2014,</w:t>
      </w:r>
      <w:r w:rsidR="00B74444" w:rsidRPr="00C73BC8">
        <w:rPr>
          <w:sz w:val="18"/>
          <w:vertAlign w:val="superscript"/>
        </w:rPr>
        <w:footnoteReference w:id="24"/>
      </w:r>
      <w:r w:rsidR="00B74444" w:rsidRPr="008A4292">
        <w:t xml:space="preserve"> and encouraged other Parties to also contribute.</w:t>
      </w:r>
    </w:p>
    <w:p w14:paraId="21D0CC47" w14:textId="77777777" w:rsidR="00B74444" w:rsidRPr="008A4292" w:rsidRDefault="00794FF0" w:rsidP="00794FF0">
      <w:pPr>
        <w:pStyle w:val="SingleTxtG"/>
      </w:pPr>
      <w:r>
        <w:t>81.</w:t>
      </w:r>
      <w:r>
        <w:tab/>
      </w:r>
      <w:r w:rsidR="00B74444" w:rsidRPr="008A4292">
        <w:t>The SBI welcomed the submission of proposals for the funding of the implementation of national adaptation programme of action (NAPA) projects to the LDCF. It noted with appreciation that as at 20 April 2014, 48 countries had accessed USD 817.25 million for 150 projects to implement NAPAs.</w:t>
      </w:r>
    </w:p>
    <w:p w14:paraId="62397358" w14:textId="77777777" w:rsidR="00B74444" w:rsidRPr="008A4292" w:rsidRDefault="00794FF0" w:rsidP="00794FF0">
      <w:pPr>
        <w:pStyle w:val="SingleTxtG"/>
      </w:pPr>
      <w:r>
        <w:t>82.</w:t>
      </w:r>
      <w:r>
        <w:tab/>
      </w:r>
      <w:r w:rsidR="00B74444" w:rsidRPr="008A4292">
        <w:t>The SBI also welcomed the approval of resources totalling USD 6.73 million for the National Adaptation Plan Global Support Programme for the LDCs</w:t>
      </w:r>
      <w:r w:rsidR="00DA3B00" w:rsidRPr="00C73BC8">
        <w:rPr>
          <w:sz w:val="18"/>
          <w:vertAlign w:val="superscript"/>
        </w:rPr>
        <w:footnoteReference w:id="25"/>
      </w:r>
      <w:r w:rsidR="00B74444" w:rsidRPr="008A4292">
        <w:t xml:space="preserve"> and for a project to build the capacity of LDCs to participate effectively in the intergovernmental climate change process under the LDC work programme.</w:t>
      </w:r>
      <w:r w:rsidR="00276E66" w:rsidRPr="00C73BC8">
        <w:rPr>
          <w:sz w:val="18"/>
          <w:vertAlign w:val="superscript"/>
        </w:rPr>
        <w:footnoteReference w:id="26"/>
      </w:r>
    </w:p>
    <w:p w14:paraId="510ACF9C" w14:textId="77777777" w:rsidR="00B74444" w:rsidRPr="008A4292" w:rsidRDefault="00794FF0" w:rsidP="00794FF0">
      <w:pPr>
        <w:pStyle w:val="SingleTxtG"/>
      </w:pPr>
      <w:r>
        <w:t>83.</w:t>
      </w:r>
      <w:r>
        <w:tab/>
      </w:r>
      <w:r w:rsidR="00B74444" w:rsidRPr="008A4292">
        <w:t>The SBI noted the importance of continuing to support the full implementation of NAPAs to address urgent and immediate adaptation needs and to build capacity for medium- and long-term adaptation planning and implementation.</w:t>
      </w:r>
    </w:p>
    <w:p w14:paraId="26CB68F1" w14:textId="77777777" w:rsidR="00B74444" w:rsidRPr="008A4292" w:rsidRDefault="00794FF0" w:rsidP="00794FF0">
      <w:pPr>
        <w:pStyle w:val="SingleTxtG"/>
      </w:pPr>
      <w:r>
        <w:t>84.</w:t>
      </w:r>
      <w:r>
        <w:tab/>
      </w:r>
      <w:r w:rsidR="00B74444" w:rsidRPr="008A4292">
        <w:t>The SBI expressed its satisfaction with the work of the LEG and the support provided to the LEG by the secretariat. It welcomed the LEG work programme for 2014–2015,</w:t>
      </w:r>
      <w:r w:rsidR="00B74444" w:rsidRPr="00C73BC8">
        <w:rPr>
          <w:sz w:val="18"/>
          <w:vertAlign w:val="superscript"/>
        </w:rPr>
        <w:footnoteReference w:id="27"/>
      </w:r>
      <w:r w:rsidR="00B74444" w:rsidRPr="008A4292">
        <w:t xml:space="preserve"> and encouraged the LEG to maintain flexibility in the management of its work programme, taking into account available resources.</w:t>
      </w:r>
    </w:p>
    <w:p w14:paraId="6485B426" w14:textId="77777777" w:rsidR="00B74444" w:rsidRPr="008A4292" w:rsidRDefault="00794FF0" w:rsidP="00794FF0">
      <w:pPr>
        <w:pStyle w:val="SingleTxtG"/>
      </w:pPr>
      <w:r>
        <w:t>85.</w:t>
      </w:r>
      <w:r>
        <w:tab/>
      </w:r>
      <w:r w:rsidR="00B74444" w:rsidRPr="008A4292">
        <w:t>The SBI recognized the importance of the LEG regional training workshops</w:t>
      </w:r>
      <w:r w:rsidR="00B74444" w:rsidRPr="00C73BC8">
        <w:rPr>
          <w:sz w:val="18"/>
          <w:vertAlign w:val="superscript"/>
        </w:rPr>
        <w:footnoteReference w:id="28"/>
      </w:r>
      <w:r w:rsidR="00B74444" w:rsidRPr="008A4292">
        <w:t xml:space="preserve"> on building capacity, facilitating peer-to-peer learning and promoting South–South cooperation.</w:t>
      </w:r>
    </w:p>
    <w:p w14:paraId="785D0465" w14:textId="77777777" w:rsidR="00B74444" w:rsidRPr="008A4292" w:rsidRDefault="00794FF0" w:rsidP="00794FF0">
      <w:pPr>
        <w:pStyle w:val="SingleTxtG"/>
      </w:pPr>
      <w:r>
        <w:t>86.</w:t>
      </w:r>
      <w:r>
        <w:tab/>
      </w:r>
      <w:r w:rsidR="00B74444" w:rsidRPr="008A4292">
        <w:t>The SBI welcomed the materials being prepared as supplements to the LEG Technical Guidelines for the NAP process</w:t>
      </w:r>
      <w:r w:rsidR="00B74444" w:rsidRPr="00C73BC8">
        <w:rPr>
          <w:sz w:val="18"/>
          <w:vertAlign w:val="superscript"/>
        </w:rPr>
        <w:footnoteReference w:id="29"/>
      </w:r>
      <w:r w:rsidR="00B74444" w:rsidRPr="008A4292">
        <w:t xml:space="preserve"> by relevant organizations and stressed the importance of their alignment with these guidelines.</w:t>
      </w:r>
    </w:p>
    <w:p w14:paraId="237E9ACB" w14:textId="77777777" w:rsidR="00B74444" w:rsidRPr="008A4292" w:rsidRDefault="00794FF0" w:rsidP="00794FF0">
      <w:pPr>
        <w:pStyle w:val="SingleTxtG"/>
      </w:pPr>
      <w:r>
        <w:t>87.</w:t>
      </w:r>
      <w:r>
        <w:tab/>
      </w:r>
      <w:r w:rsidR="00B74444" w:rsidRPr="008A4292">
        <w:t>The SBI welcomed the engagement and collaboration of the LEG with other constituted bodies and programmes under the Convention, in particular the Adaptation Committee, the Consultative Group of Experts on National Communications from Parties not included in Annex I to the Convention, the Technology Executive Committee</w:t>
      </w:r>
      <w:r w:rsidR="00E03AF1" w:rsidRPr="008A4292">
        <w:t xml:space="preserve"> (TEC)</w:t>
      </w:r>
      <w:r w:rsidR="00B74444" w:rsidRPr="008A4292">
        <w:t>, the Executive Committee of the Warsaw International Mechanism for Loss and Damage associated with Climate Change Impacts and the Nairobi work programme on impacts, vulnerability and adaptation to climate change, and its constructive collaboration with a wide range of organizations. It requested the LEG to expand these efforts.</w:t>
      </w:r>
    </w:p>
    <w:p w14:paraId="4B051A36" w14:textId="77777777" w:rsidR="00B74444" w:rsidRPr="008A4292" w:rsidRDefault="00794FF0" w:rsidP="00794FF0">
      <w:pPr>
        <w:pStyle w:val="SingleTxtG"/>
      </w:pPr>
      <w:r>
        <w:t>88.</w:t>
      </w:r>
      <w:r>
        <w:tab/>
      </w:r>
      <w:r w:rsidR="00B74444" w:rsidRPr="008A4292">
        <w:t xml:space="preserve">The SBI requested that </w:t>
      </w:r>
      <w:r w:rsidR="00882605" w:rsidRPr="008A4292">
        <w:t xml:space="preserve">the </w:t>
      </w:r>
      <w:r w:rsidR="00B74444" w:rsidRPr="008A4292">
        <w:t>actions of the secretariat called for in these conclusions be undertaken subject to the availability of financial resources.</w:t>
      </w:r>
    </w:p>
    <w:p w14:paraId="1DCB79DD" w14:textId="77777777" w:rsidR="00B74444" w:rsidRPr="008A4292" w:rsidRDefault="00794FF0" w:rsidP="00794FF0">
      <w:pPr>
        <w:pStyle w:val="SingleTxtG"/>
      </w:pPr>
      <w:r>
        <w:t>89.</w:t>
      </w:r>
      <w:r>
        <w:tab/>
      </w:r>
      <w:r w:rsidR="00B74444" w:rsidRPr="008A4292">
        <w:t>The SBI invited Parties in a position to do so to continue to provide support for the implementation of the LEG work programme.</w:t>
      </w:r>
    </w:p>
    <w:p w14:paraId="220ECA82" w14:textId="77777777" w:rsidR="00C07A54" w:rsidRPr="008A4292" w:rsidRDefault="00794FF0" w:rsidP="00794FF0">
      <w:pPr>
        <w:pStyle w:val="HChG"/>
      </w:pPr>
      <w:bookmarkStart w:id="49" w:name="_Toc391983295"/>
      <w:r>
        <w:tab/>
        <w:t>VIII.</w:t>
      </w:r>
      <w:r>
        <w:tab/>
      </w:r>
      <w:r w:rsidR="00C07A54" w:rsidRPr="008A4292">
        <w:t xml:space="preserve">National adaptation </w:t>
      </w:r>
      <w:r w:rsidR="00532284" w:rsidRPr="008A4292">
        <w:t xml:space="preserve">plans </w:t>
      </w:r>
      <w:r w:rsidR="008000C9" w:rsidRPr="008A4292">
        <w:br/>
      </w:r>
      <w:r w:rsidR="008000C9" w:rsidRPr="00327414">
        <w:rPr>
          <w:b w:val="0"/>
          <w:bCs/>
          <w:sz w:val="20"/>
        </w:rPr>
        <w:t xml:space="preserve">(Agenda item </w:t>
      </w:r>
      <w:r w:rsidR="00C07A54" w:rsidRPr="00327414">
        <w:rPr>
          <w:b w:val="0"/>
          <w:bCs/>
          <w:sz w:val="20"/>
        </w:rPr>
        <w:t>8</w:t>
      </w:r>
      <w:r w:rsidR="008000C9" w:rsidRPr="00327414">
        <w:rPr>
          <w:b w:val="0"/>
          <w:bCs/>
          <w:sz w:val="20"/>
        </w:rPr>
        <w:t>)</w:t>
      </w:r>
      <w:bookmarkEnd w:id="49"/>
    </w:p>
    <w:p w14:paraId="2C7BB20C" w14:textId="77777777" w:rsidR="008A58A0" w:rsidRPr="008A4292" w:rsidRDefault="00794FF0" w:rsidP="00794FF0">
      <w:pPr>
        <w:pStyle w:val="H23G"/>
        <w:rPr>
          <w:lang w:eastAsia="en-US"/>
        </w:rPr>
      </w:pPr>
      <w:r>
        <w:tab/>
        <w:t>1.</w:t>
      </w:r>
      <w:r>
        <w:tab/>
      </w:r>
      <w:r w:rsidR="008A58A0" w:rsidRPr="008A4292">
        <w:t>Proceedings</w:t>
      </w:r>
    </w:p>
    <w:p w14:paraId="206A4184" w14:textId="77777777" w:rsidR="00C908B2" w:rsidRPr="0036706B" w:rsidRDefault="00794FF0" w:rsidP="00794FF0">
      <w:pPr>
        <w:pStyle w:val="SingleTxtG"/>
      </w:pPr>
      <w:r>
        <w:t>90.</w:t>
      </w:r>
      <w:r>
        <w:tab/>
      </w:r>
      <w:r w:rsidR="00C908B2" w:rsidRPr="0036706B">
        <w:t xml:space="preserve">The SBI considered this agenda item at its </w:t>
      </w:r>
      <w:r w:rsidR="00C908B2" w:rsidRPr="0036706B">
        <w:rPr>
          <w:snapToGrid w:val="0"/>
        </w:rPr>
        <w:t>1</w:t>
      </w:r>
      <w:r w:rsidR="00C908B2" w:rsidRPr="0036706B">
        <w:rPr>
          <w:snapToGrid w:val="0"/>
          <w:vertAlign w:val="superscript"/>
        </w:rPr>
        <w:t>st</w:t>
      </w:r>
      <w:r w:rsidR="00C908B2" w:rsidRPr="0036706B">
        <w:rPr>
          <w:snapToGrid w:val="0"/>
        </w:rPr>
        <w:t xml:space="preserve"> and 2</w:t>
      </w:r>
      <w:r w:rsidR="00C908B2" w:rsidRPr="0036706B">
        <w:rPr>
          <w:snapToGrid w:val="0"/>
          <w:vertAlign w:val="superscript"/>
        </w:rPr>
        <w:t>nd</w:t>
      </w:r>
      <w:r w:rsidR="00C908B2" w:rsidRPr="0036706B">
        <w:rPr>
          <w:snapToGrid w:val="0"/>
        </w:rPr>
        <w:t xml:space="preserve"> meetings</w:t>
      </w:r>
      <w:r w:rsidR="00C908B2" w:rsidRPr="0036706B">
        <w:t>. It had before it</w:t>
      </w:r>
      <w:r w:rsidR="00096C2E" w:rsidRPr="0036706B">
        <w:t xml:space="preserve"> documents FCCC/SBI2014/4 and FCCC/SBI/2014/MISC.1. </w:t>
      </w:r>
      <w:r w:rsidR="00C908B2" w:rsidRPr="0036706B">
        <w:t xml:space="preserve">Statements were made </w:t>
      </w:r>
      <w:r w:rsidR="00197EE9" w:rsidRPr="0036706B">
        <w:t xml:space="preserve">by representatives of </w:t>
      </w:r>
      <w:r w:rsidR="00C908B2" w:rsidRPr="0036706B">
        <w:t>four Parties, including one speaking on behalf of the G77 and China, one on behalf of AOSIS and one on behalf of the LDCs.</w:t>
      </w:r>
    </w:p>
    <w:p w14:paraId="27601F8D" w14:textId="77777777" w:rsidR="00C07A54" w:rsidRPr="008A4292" w:rsidRDefault="00794FF0" w:rsidP="00794FF0">
      <w:pPr>
        <w:pStyle w:val="SingleTxtG"/>
      </w:pPr>
      <w:r>
        <w:t>91.</w:t>
      </w:r>
      <w:r>
        <w:tab/>
      </w:r>
      <w:r w:rsidR="00C07A54" w:rsidRPr="008A4292">
        <w:t xml:space="preserve">At its </w:t>
      </w:r>
      <w:r w:rsidR="00C07A54" w:rsidRPr="008A4292">
        <w:rPr>
          <w:snapToGrid w:val="0"/>
        </w:rPr>
        <w:t>1</w:t>
      </w:r>
      <w:r w:rsidR="00C07A54" w:rsidRPr="008A4292">
        <w:rPr>
          <w:snapToGrid w:val="0"/>
          <w:vertAlign w:val="superscript"/>
        </w:rPr>
        <w:t>st</w:t>
      </w:r>
      <w:r w:rsidR="00C07A54" w:rsidRPr="008A4292">
        <w:rPr>
          <w:snapToGrid w:val="0"/>
        </w:rPr>
        <w:t xml:space="preserve"> </w:t>
      </w:r>
      <w:r w:rsidR="00C07A54" w:rsidRPr="008A4292">
        <w:t>meeting, the SBI agr</w:t>
      </w:r>
      <w:r w:rsidR="00FC3CEE" w:rsidRPr="008A4292">
        <w:t xml:space="preserve">eed to consider this agenda </w:t>
      </w:r>
      <w:r w:rsidR="00C07A54" w:rsidRPr="008A4292">
        <w:t xml:space="preserve">item in informal consultations co-facilitated by </w:t>
      </w:r>
      <w:proofErr w:type="spellStart"/>
      <w:r w:rsidR="00C07A54" w:rsidRPr="008A4292">
        <w:t>Ms.</w:t>
      </w:r>
      <w:proofErr w:type="spellEnd"/>
      <w:r w:rsidR="00C07A54" w:rsidRPr="008A4292">
        <w:t xml:space="preserve"> Margaret </w:t>
      </w:r>
      <w:proofErr w:type="spellStart"/>
      <w:r w:rsidR="00C07A54" w:rsidRPr="008A4292">
        <w:t>Muk</w:t>
      </w:r>
      <w:r w:rsidR="00197EE9" w:rsidRPr="008A4292">
        <w:t>a</w:t>
      </w:r>
      <w:r w:rsidR="00C07A54" w:rsidRPr="008A4292">
        <w:t>hanana-Sangarw</w:t>
      </w:r>
      <w:r w:rsidR="009B3094" w:rsidRPr="008A4292">
        <w:t>e</w:t>
      </w:r>
      <w:proofErr w:type="spellEnd"/>
      <w:r w:rsidR="00C07A54" w:rsidRPr="008A4292">
        <w:t xml:space="preserve"> (Zimbabwe) and </w:t>
      </w:r>
      <w:proofErr w:type="spellStart"/>
      <w:r w:rsidR="00C07A54" w:rsidRPr="008A4292">
        <w:t>Mr</w:t>
      </w:r>
      <w:r w:rsidR="00197EE9" w:rsidRPr="008A4292">
        <w:t>.</w:t>
      </w:r>
      <w:proofErr w:type="spellEnd"/>
      <w:r w:rsidR="00197EE9" w:rsidRPr="008A4292">
        <w:t> </w:t>
      </w:r>
      <w:r w:rsidR="00C07A54" w:rsidRPr="008A4292">
        <w:t>Tom</w:t>
      </w:r>
      <w:r w:rsidR="009B3094" w:rsidRPr="008A4292">
        <w:t xml:space="preserve">asz </w:t>
      </w:r>
      <w:proofErr w:type="spellStart"/>
      <w:r w:rsidR="009B3094" w:rsidRPr="008A4292">
        <w:t>Chruszczow</w:t>
      </w:r>
      <w:proofErr w:type="spellEnd"/>
      <w:r w:rsidR="009B3094" w:rsidRPr="008A4292">
        <w:t xml:space="preserve"> (Poland)</w:t>
      </w:r>
      <w:r w:rsidR="00C07A54" w:rsidRPr="008A4292">
        <w:rPr>
          <w:color w:val="000000"/>
        </w:rPr>
        <w:t>.</w:t>
      </w:r>
    </w:p>
    <w:p w14:paraId="2DA71959" w14:textId="77777777" w:rsidR="00C07A54" w:rsidRPr="008A4292" w:rsidRDefault="00794FF0" w:rsidP="00794FF0">
      <w:pPr>
        <w:pStyle w:val="SingleTxtG"/>
      </w:pPr>
      <w:r>
        <w:rPr>
          <w:color w:val="000000"/>
        </w:rPr>
        <w:t>92.</w:t>
      </w:r>
      <w:r>
        <w:rPr>
          <w:color w:val="000000"/>
        </w:rPr>
        <w:tab/>
      </w:r>
      <w:r w:rsidR="00C07A54" w:rsidRPr="008A4292">
        <w:rPr>
          <w:color w:val="000000"/>
        </w:rPr>
        <w:t>A</w:t>
      </w:r>
      <w:r w:rsidR="00C07A54" w:rsidRPr="008A4292">
        <w:t>t its 2</w:t>
      </w:r>
      <w:r w:rsidR="00C5589E" w:rsidRPr="008A4292">
        <w:rPr>
          <w:vertAlign w:val="superscript"/>
        </w:rPr>
        <w:t>nd</w:t>
      </w:r>
      <w:r w:rsidR="00C5589E" w:rsidRPr="008A4292">
        <w:t xml:space="preserve"> </w:t>
      </w:r>
      <w:r w:rsidR="00C07A54" w:rsidRPr="008A4292">
        <w:t>meeting, the SBI considered and adopted the conclusions below.</w:t>
      </w:r>
      <w:r w:rsidR="00605713" w:rsidRPr="008A4292">
        <w:rPr>
          <w:rStyle w:val="FootnoteReference"/>
          <w:color w:val="000000"/>
        </w:rPr>
        <w:footnoteReference w:id="30"/>
      </w:r>
    </w:p>
    <w:p w14:paraId="7E843CDA" w14:textId="77777777" w:rsidR="008000C9" w:rsidRPr="008A4292" w:rsidRDefault="00794FF0" w:rsidP="00794FF0">
      <w:pPr>
        <w:pStyle w:val="H23G"/>
      </w:pPr>
      <w:r>
        <w:tab/>
        <w:t>2.</w:t>
      </w:r>
      <w:r>
        <w:tab/>
      </w:r>
      <w:r w:rsidR="00C07A54" w:rsidRPr="008A4292">
        <w:t>Conclusions</w:t>
      </w:r>
    </w:p>
    <w:p w14:paraId="321F6903" w14:textId="77777777" w:rsidR="00163CE6" w:rsidRPr="008A4292" w:rsidRDefault="00794FF0" w:rsidP="00794FF0">
      <w:pPr>
        <w:pStyle w:val="SingleTxtG"/>
      </w:pPr>
      <w:r>
        <w:t>93.</w:t>
      </w:r>
      <w:r>
        <w:tab/>
      </w:r>
      <w:r w:rsidR="00163CE6" w:rsidRPr="008A4292">
        <w:t xml:space="preserve">The </w:t>
      </w:r>
      <w:r w:rsidR="00D02E4B" w:rsidRPr="008A4292">
        <w:t>SBI</w:t>
      </w:r>
      <w:r w:rsidR="00163CE6" w:rsidRPr="008A4292">
        <w:t xml:space="preserve"> welcomed the information on experiences with the application of the initial guidelines for the formulation of NAPs</w:t>
      </w:r>
      <w:r w:rsidR="008B5F81" w:rsidRPr="008A4292">
        <w:t>,</w:t>
      </w:r>
      <w:r w:rsidR="00163CE6" w:rsidRPr="008A4292">
        <w:t xml:space="preserve"> as well as information relevant to the formulation and implementation of NAPs provided by Parties and relevant organizations through their submissions.</w:t>
      </w:r>
      <w:r w:rsidR="00163CE6" w:rsidRPr="008A4292">
        <w:rPr>
          <w:rStyle w:val="FootnoteReference"/>
        </w:rPr>
        <w:footnoteReference w:id="31"/>
      </w:r>
    </w:p>
    <w:p w14:paraId="7A0C6EA1" w14:textId="77777777" w:rsidR="00163CE6" w:rsidRPr="0036706B" w:rsidRDefault="00794FF0" w:rsidP="00794FF0">
      <w:pPr>
        <w:pStyle w:val="SingleTxtG"/>
      </w:pPr>
      <w:r>
        <w:t>94.</w:t>
      </w:r>
      <w:r>
        <w:tab/>
      </w:r>
      <w:r w:rsidR="00163CE6" w:rsidRPr="0036706B">
        <w:t xml:space="preserve">The SBI took note of work undertaken by relevant organizations and institutions that is related to the NAP process, based on the submissions mentioned in paragraph </w:t>
      </w:r>
      <w:r w:rsidR="00A02B8E" w:rsidRPr="0036706B">
        <w:t>9</w:t>
      </w:r>
      <w:r w:rsidR="006E537B" w:rsidRPr="0036706B">
        <w:t>3</w:t>
      </w:r>
      <w:r w:rsidR="00163CE6" w:rsidRPr="0036706B">
        <w:t xml:space="preserve"> above, and invited such organizations and institutions to continue this work.</w:t>
      </w:r>
    </w:p>
    <w:p w14:paraId="49FD0ED3" w14:textId="77777777" w:rsidR="00163CE6" w:rsidRPr="008A4292" w:rsidRDefault="00794FF0" w:rsidP="00794FF0">
      <w:pPr>
        <w:pStyle w:val="SingleTxtG"/>
      </w:pPr>
      <w:r>
        <w:t>95.</w:t>
      </w:r>
      <w:r>
        <w:tab/>
      </w:r>
      <w:r w:rsidR="00163CE6" w:rsidRPr="008A4292">
        <w:t>The SBI noted with appreciation the support provided by multilateral, bilateral and other organizations in support of the NAP process in LDC Parties and other developing country Parties that are not LDCs.</w:t>
      </w:r>
    </w:p>
    <w:p w14:paraId="0C2E83B5" w14:textId="77777777" w:rsidR="00163CE6" w:rsidRPr="008A4292" w:rsidRDefault="00794FF0" w:rsidP="00794FF0">
      <w:pPr>
        <w:pStyle w:val="SingleTxtG"/>
      </w:pPr>
      <w:r>
        <w:t>96.</w:t>
      </w:r>
      <w:r>
        <w:tab/>
      </w:r>
      <w:r w:rsidR="00163CE6" w:rsidRPr="008A4292">
        <w:t xml:space="preserve">The SBI also noted with appreciation the contributions made by developed country Parties to the LDCF, and invited these Parties to further contribute to the LDCF to enable activities for the preparation of the NAP process by the LDC Parties, while maintaining progress in the implementation of </w:t>
      </w:r>
      <w:r w:rsidR="008B5F81" w:rsidRPr="008A4292">
        <w:t>NAPAs</w:t>
      </w:r>
      <w:r w:rsidR="00163CE6" w:rsidRPr="008A4292">
        <w:t>.</w:t>
      </w:r>
    </w:p>
    <w:p w14:paraId="6F7F5C11" w14:textId="77777777" w:rsidR="00163CE6" w:rsidRPr="0096485E" w:rsidRDefault="00794FF0" w:rsidP="00794FF0">
      <w:pPr>
        <w:pStyle w:val="SingleTxtG"/>
      </w:pPr>
      <w:r>
        <w:t>97.</w:t>
      </w:r>
      <w:r>
        <w:tab/>
      </w:r>
      <w:r w:rsidR="00163CE6" w:rsidRPr="008A4292">
        <w:t xml:space="preserve">The SBI further took note of the activities carried out by the </w:t>
      </w:r>
      <w:r w:rsidR="008B5F81" w:rsidRPr="008A4292">
        <w:t>National Adaptation Plan Global Support Programme</w:t>
      </w:r>
      <w:r w:rsidR="00163CE6" w:rsidRPr="008A4292">
        <w:t xml:space="preserve"> for the </w:t>
      </w:r>
      <w:r w:rsidR="008B5F81" w:rsidRPr="008A4292">
        <w:t>LDCs</w:t>
      </w:r>
      <w:r w:rsidR="00163CE6" w:rsidRPr="008A4292">
        <w:t>,</w:t>
      </w:r>
      <w:r w:rsidR="004E4D79" w:rsidRPr="0096485E">
        <w:rPr>
          <w:rStyle w:val="FootnoteReference"/>
        </w:rPr>
        <w:footnoteReference w:id="32"/>
      </w:r>
      <w:r w:rsidR="00163CE6" w:rsidRPr="0096485E">
        <w:t xml:space="preserve"> and invited developed country Parties, United Nations organizations, specialized agencies, and other relevant organizations, as well as bilateral and multilateral agencies, to enhance support to the programme, and to other relevant programmes, to address the needs of all LDC Parties in initiating the NAP process.</w:t>
      </w:r>
    </w:p>
    <w:p w14:paraId="03FBE38D" w14:textId="77777777" w:rsidR="00163CE6" w:rsidRPr="0096485E" w:rsidRDefault="00794FF0" w:rsidP="00794FF0">
      <w:pPr>
        <w:pStyle w:val="SingleTxtG"/>
      </w:pPr>
      <w:r>
        <w:t>98.</w:t>
      </w:r>
      <w:r>
        <w:tab/>
      </w:r>
      <w:r w:rsidR="00163CE6" w:rsidRPr="0096485E">
        <w:t xml:space="preserve">The SBI welcomed the approval by the </w:t>
      </w:r>
      <w:r w:rsidR="008B5F81" w:rsidRPr="0096485E">
        <w:t xml:space="preserve">GEF </w:t>
      </w:r>
      <w:r w:rsidR="00163CE6" w:rsidRPr="0096485E">
        <w:t xml:space="preserve">of the global project titled </w:t>
      </w:r>
      <w:r w:rsidR="00B56F63" w:rsidRPr="0096485E">
        <w:t>“</w:t>
      </w:r>
      <w:r w:rsidR="00163CE6" w:rsidRPr="0096485E">
        <w:t>Assisting non-LDC developing countries with country-driven processes to advance national adaptation plans</w:t>
      </w:r>
      <w:r w:rsidR="00B56F63" w:rsidRPr="0096485E">
        <w:t>”</w:t>
      </w:r>
      <w:r w:rsidR="00163CE6" w:rsidRPr="0096485E">
        <w:t>.</w:t>
      </w:r>
      <w:r w:rsidR="00E447DB" w:rsidRPr="0096485E">
        <w:rPr>
          <w:rStyle w:val="FootnoteReference"/>
          <w:iCs/>
        </w:rPr>
        <w:footnoteReference w:id="33"/>
      </w:r>
    </w:p>
    <w:p w14:paraId="715556EF" w14:textId="77777777" w:rsidR="00163CE6" w:rsidRPr="0096485E" w:rsidRDefault="00794FF0" w:rsidP="00794FF0">
      <w:pPr>
        <w:pStyle w:val="SingleTxtG"/>
      </w:pPr>
      <w:r>
        <w:t>99.</w:t>
      </w:r>
      <w:r>
        <w:tab/>
      </w:r>
      <w:r w:rsidR="00163CE6" w:rsidRPr="0096485E">
        <w:t>The SBI noted with appreciation the contributions made by developed country Parties to the Special Climate Change Fund and invited Parties, United Nations organizations, specialized agencies and other relevant organizations to continue to enhance support programmes for the NAP process, within their mandates, as appropriate, to facilitate the provision of financial and technical support to developing country Parties that are not LDCs.</w:t>
      </w:r>
    </w:p>
    <w:p w14:paraId="71F5104C" w14:textId="77777777" w:rsidR="00163CE6" w:rsidRPr="0096485E" w:rsidRDefault="00794FF0" w:rsidP="00794FF0">
      <w:pPr>
        <w:pStyle w:val="SingleTxtG"/>
      </w:pPr>
      <w:r>
        <w:t>100.</w:t>
      </w:r>
      <w:r>
        <w:tab/>
      </w:r>
      <w:r w:rsidR="00163CE6" w:rsidRPr="0096485E">
        <w:t>The SBI expressed its appreciation to the LEG for its work on technical guidance and support to the NAP process for LDCs, and to the Adaptation Committee for its work on considering the modalities for supporting developing country Parties that are not LDCs.</w:t>
      </w:r>
    </w:p>
    <w:p w14:paraId="617F2F04" w14:textId="77777777" w:rsidR="00163CE6" w:rsidRPr="0096485E" w:rsidRDefault="00794FF0" w:rsidP="00794FF0">
      <w:pPr>
        <w:pStyle w:val="SingleTxtG"/>
      </w:pPr>
      <w:r>
        <w:t>101.</w:t>
      </w:r>
      <w:r>
        <w:tab/>
      </w:r>
      <w:r w:rsidR="00163CE6" w:rsidRPr="0096485E">
        <w:t>The SBI invited the Adaptation Committee to urge its task force on NAPs to expedite its work.</w:t>
      </w:r>
    </w:p>
    <w:p w14:paraId="673B8C96" w14:textId="77777777" w:rsidR="00163CE6" w:rsidRPr="0096485E" w:rsidRDefault="00794FF0" w:rsidP="00794FF0">
      <w:pPr>
        <w:pStyle w:val="SingleTxtG"/>
      </w:pPr>
      <w:r>
        <w:t>102.</w:t>
      </w:r>
      <w:r>
        <w:tab/>
      </w:r>
      <w:r w:rsidR="00163CE6" w:rsidRPr="0096485E">
        <w:t>The SBI invited the LEG and the Adaptation Committee to explore ways in which developing country Parties that are not LDCs can be accommodated in the NAP Expo,</w:t>
      </w:r>
      <w:r w:rsidR="00163CE6" w:rsidRPr="0096485E">
        <w:rPr>
          <w:rStyle w:val="FootnoteReference"/>
        </w:rPr>
        <w:footnoteReference w:id="34"/>
      </w:r>
      <w:r w:rsidR="00163CE6" w:rsidRPr="0096485E">
        <w:t xml:space="preserve"> to be organized by the LEG as part of its work programme for 2014–2015.</w:t>
      </w:r>
      <w:r w:rsidR="00163CE6" w:rsidRPr="0096485E">
        <w:rPr>
          <w:rStyle w:val="FootnoteReference"/>
        </w:rPr>
        <w:footnoteReference w:id="35"/>
      </w:r>
    </w:p>
    <w:p w14:paraId="728D320D" w14:textId="77777777" w:rsidR="00163CE6" w:rsidRPr="0096485E" w:rsidRDefault="00794FF0" w:rsidP="00794FF0">
      <w:pPr>
        <w:pStyle w:val="SingleTxtG"/>
      </w:pPr>
      <w:r>
        <w:t>103.</w:t>
      </w:r>
      <w:r>
        <w:tab/>
      </w:r>
      <w:r w:rsidR="00163CE6" w:rsidRPr="0096485E">
        <w:t>The SBI acknowledged the invitation by COP</w:t>
      </w:r>
      <w:r w:rsidR="00C061AF" w:rsidRPr="0096485E">
        <w:t xml:space="preserve"> 19</w:t>
      </w:r>
      <w:r w:rsidR="00163CE6" w:rsidRPr="0096485E">
        <w:t xml:space="preserve"> to Parties and relevant organizations to submit to the secretariat, by 26 March 2014, information on their experiences with the application of the initial guidelines for the formulation of NAPs, as well as any other information relevant to the formulation and implementation of the NAPs.</w:t>
      </w:r>
      <w:r w:rsidR="00163CE6" w:rsidRPr="0096485E">
        <w:rPr>
          <w:rStyle w:val="FootnoteReference"/>
        </w:rPr>
        <w:footnoteReference w:id="36"/>
      </w:r>
      <w:r w:rsidR="00163CE6" w:rsidRPr="0096485E">
        <w:t xml:space="preserve"> It extended that invitation until 18 August 2014.</w:t>
      </w:r>
    </w:p>
    <w:p w14:paraId="2DC61B94" w14:textId="77777777" w:rsidR="00163CE6" w:rsidRPr="0096485E" w:rsidRDefault="00794FF0" w:rsidP="00794FF0">
      <w:pPr>
        <w:pStyle w:val="SingleTxtG"/>
      </w:pPr>
      <w:r>
        <w:t>104.</w:t>
      </w:r>
      <w:r>
        <w:tab/>
      </w:r>
      <w:r w:rsidR="00163CE6" w:rsidRPr="0096485E">
        <w:t xml:space="preserve">The SBI noted the invitation by the Subsidiary Body for Scientific and Technological Advice </w:t>
      </w:r>
      <w:r w:rsidR="00902F0E" w:rsidRPr="0096485E">
        <w:t xml:space="preserve">(SBSTA) </w:t>
      </w:r>
      <w:r w:rsidR="00163CE6" w:rsidRPr="0096485E">
        <w:t>to Parties and partner organizations to the Nairobi work programme on impacts, vulnerability and adaptation to climate change to submit information on good practices in, and lessons learned from, national adaptation planning, and noted that an information document containing these submissions will be made available in December 2014.</w:t>
      </w:r>
      <w:r w:rsidR="00163CE6" w:rsidRPr="0096485E">
        <w:rPr>
          <w:rStyle w:val="FootnoteReference"/>
        </w:rPr>
        <w:footnoteReference w:id="37"/>
      </w:r>
    </w:p>
    <w:p w14:paraId="241CC42D" w14:textId="77777777" w:rsidR="00163CE6" w:rsidRPr="0096485E" w:rsidRDefault="00794FF0" w:rsidP="00794FF0">
      <w:pPr>
        <w:pStyle w:val="SingleTxtG"/>
      </w:pPr>
      <w:r>
        <w:t>105.</w:t>
      </w:r>
      <w:r>
        <w:tab/>
      </w:r>
      <w:r w:rsidR="00163CE6" w:rsidRPr="0096485E">
        <w:t>The SBI took note of the NAP Expo to be held in August 2014 to further promote and mobilize actions and support for the NAP process, and encouraged Parties, relevant organizations and practitioners to attend the event.</w:t>
      </w:r>
    </w:p>
    <w:p w14:paraId="7E9EA9CB" w14:textId="77777777" w:rsidR="00163CE6" w:rsidRPr="0096485E" w:rsidRDefault="00794FF0" w:rsidP="00794FF0">
      <w:pPr>
        <w:pStyle w:val="SingleTxtG"/>
      </w:pPr>
      <w:r>
        <w:t>106.</w:t>
      </w:r>
      <w:r>
        <w:tab/>
      </w:r>
      <w:r w:rsidR="00163CE6" w:rsidRPr="0096485E">
        <w:t>The SBI invited the Adaptation Committee in collaboration with the LEG to organize a workshop, back to back with a relevant meeting where possible, drawing upon experts and practitioners at different levels to share experiences, good practices, lessons learned, gaps and needs on the process to formulate and implement national adaptation plans</w:t>
      </w:r>
      <w:r w:rsidR="008B5F81" w:rsidRPr="0096485E">
        <w:t>,</w:t>
      </w:r>
      <w:r w:rsidR="00902F0E" w:rsidRPr="0096485E">
        <w:t xml:space="preserve"> to be held prior to SBI 42</w:t>
      </w:r>
      <w:r w:rsidR="00163CE6" w:rsidRPr="0096485E">
        <w:t>.</w:t>
      </w:r>
    </w:p>
    <w:p w14:paraId="27E4BA79" w14:textId="77777777" w:rsidR="00163CE6" w:rsidRPr="0036706B" w:rsidRDefault="00794FF0" w:rsidP="00794FF0">
      <w:pPr>
        <w:pStyle w:val="SingleTxtG"/>
      </w:pPr>
      <w:r>
        <w:t>107.</w:t>
      </w:r>
      <w:r>
        <w:tab/>
      </w:r>
      <w:r w:rsidR="00163CE6" w:rsidRPr="0036706B">
        <w:t xml:space="preserve">The SBI invited the LEG and the Adaptation Committee to prepare an information paper on experiences, good practices, lessons learned, gaps and needs in the process to formulate and implement national adaptation plans based on the NAP Expo and relevant documents, including the submissions referred to in paragraphs </w:t>
      </w:r>
      <w:r w:rsidR="00215EAA" w:rsidRPr="0036706B">
        <w:t>9</w:t>
      </w:r>
      <w:r w:rsidR="006E537B" w:rsidRPr="0036706B">
        <w:t>3</w:t>
      </w:r>
      <w:r w:rsidR="00163CE6" w:rsidRPr="0036706B">
        <w:t xml:space="preserve">, </w:t>
      </w:r>
      <w:r w:rsidR="00215EAA" w:rsidRPr="0036706B">
        <w:t>10</w:t>
      </w:r>
      <w:r w:rsidR="006E537B" w:rsidRPr="0036706B">
        <w:t>3</w:t>
      </w:r>
      <w:r w:rsidR="00163CE6" w:rsidRPr="0036706B">
        <w:t xml:space="preserve"> and </w:t>
      </w:r>
      <w:r w:rsidR="00215EAA" w:rsidRPr="0036706B">
        <w:t>104</w:t>
      </w:r>
      <w:r w:rsidR="00163CE6" w:rsidRPr="0036706B">
        <w:t xml:space="preserve"> above, for consideration </w:t>
      </w:r>
      <w:r w:rsidR="00902F0E" w:rsidRPr="0036706B">
        <w:t>at SBI 41</w:t>
      </w:r>
      <w:r w:rsidR="00163CE6" w:rsidRPr="0036706B">
        <w:t xml:space="preserve">, as well as to serve as an input to the workshop mentioned in paragraph </w:t>
      </w:r>
      <w:r w:rsidR="00215EAA" w:rsidRPr="0036706B">
        <w:t>10</w:t>
      </w:r>
      <w:r w:rsidR="006E537B" w:rsidRPr="0036706B">
        <w:t>6</w:t>
      </w:r>
      <w:r w:rsidR="00163CE6" w:rsidRPr="0036706B">
        <w:t xml:space="preserve"> above.</w:t>
      </w:r>
    </w:p>
    <w:p w14:paraId="0CD272D3" w14:textId="77777777" w:rsidR="00163CE6" w:rsidRPr="0036706B" w:rsidRDefault="00794FF0" w:rsidP="00794FF0">
      <w:pPr>
        <w:pStyle w:val="SingleTxtG"/>
      </w:pPr>
      <w:r>
        <w:t>108.</w:t>
      </w:r>
      <w:r>
        <w:tab/>
      </w:r>
      <w:r w:rsidR="00163CE6" w:rsidRPr="0036706B">
        <w:t xml:space="preserve">The SBI invited the Adaptation Committee, in collaboration with the LEG and with the support of the secretariat, to prepare a report on the workshop mentioned in paragraph </w:t>
      </w:r>
      <w:r w:rsidR="00215EAA" w:rsidRPr="0036706B">
        <w:t>10</w:t>
      </w:r>
      <w:r w:rsidR="006E537B" w:rsidRPr="0036706B">
        <w:t>6</w:t>
      </w:r>
      <w:r w:rsidR="00163CE6" w:rsidRPr="0036706B">
        <w:t xml:space="preserve"> above. The SBI will consider this report, the submissions referred to in paragraphs </w:t>
      </w:r>
      <w:r w:rsidR="00215EAA" w:rsidRPr="0036706B">
        <w:t>9</w:t>
      </w:r>
      <w:r w:rsidR="006E537B" w:rsidRPr="0036706B">
        <w:t>3</w:t>
      </w:r>
      <w:r w:rsidR="00163CE6" w:rsidRPr="0036706B">
        <w:t xml:space="preserve">, </w:t>
      </w:r>
      <w:r w:rsidR="00215EAA" w:rsidRPr="0036706B">
        <w:t>10</w:t>
      </w:r>
      <w:r w:rsidR="006E537B" w:rsidRPr="0036706B">
        <w:t>3</w:t>
      </w:r>
      <w:r w:rsidR="00163CE6" w:rsidRPr="0036706B">
        <w:t xml:space="preserve"> and </w:t>
      </w:r>
      <w:r w:rsidR="00215EAA" w:rsidRPr="0036706B">
        <w:t>10</w:t>
      </w:r>
      <w:r w:rsidR="006E537B" w:rsidRPr="0036706B">
        <w:t>4</w:t>
      </w:r>
      <w:r w:rsidR="00163CE6" w:rsidRPr="0036706B">
        <w:t xml:space="preserve"> above, and all other relevant documents, at </w:t>
      </w:r>
      <w:r w:rsidR="003B307A" w:rsidRPr="0036706B">
        <w:t>SBI 42</w:t>
      </w:r>
      <w:r w:rsidR="00163CE6" w:rsidRPr="0036706B">
        <w:t>, as it monitors and evaluates progress made in the NAP process,</w:t>
      </w:r>
      <w:r w:rsidR="00163CE6" w:rsidRPr="0036706B">
        <w:rPr>
          <w:rStyle w:val="FootnoteReference"/>
        </w:rPr>
        <w:footnoteReference w:id="38"/>
      </w:r>
      <w:r w:rsidR="00163CE6" w:rsidRPr="0036706B">
        <w:t xml:space="preserve"> with a view to making recommendations to the COP, as appropriate.</w:t>
      </w:r>
    </w:p>
    <w:p w14:paraId="008BCB58" w14:textId="77777777" w:rsidR="00163CE6" w:rsidRPr="0036706B" w:rsidRDefault="00794FF0" w:rsidP="00794FF0">
      <w:pPr>
        <w:pStyle w:val="SingleTxtG"/>
      </w:pPr>
      <w:r>
        <w:t>109.</w:t>
      </w:r>
      <w:r>
        <w:tab/>
      </w:r>
      <w:r w:rsidR="00163CE6" w:rsidRPr="0036706B">
        <w:t xml:space="preserve">The SBI took note of the estimated budgetary implications of the activities to be undertaken by the secretariat referred to in paragraphs </w:t>
      </w:r>
      <w:r w:rsidR="00E722B8" w:rsidRPr="0036706B">
        <w:t>10</w:t>
      </w:r>
      <w:r w:rsidR="006E537B" w:rsidRPr="0036706B">
        <w:t>6</w:t>
      </w:r>
      <w:r w:rsidR="00790C0C" w:rsidRPr="0036706B">
        <w:t>–</w:t>
      </w:r>
      <w:r w:rsidR="00E722B8" w:rsidRPr="0036706B">
        <w:t>10</w:t>
      </w:r>
      <w:r w:rsidR="006E537B" w:rsidRPr="0036706B">
        <w:t>8</w:t>
      </w:r>
      <w:r w:rsidR="00163CE6" w:rsidRPr="0036706B">
        <w:t xml:space="preserve"> above. It requested that the actions of the secretariat called for in these conclusions be undertaken subject to the availability of financial resources.</w:t>
      </w:r>
    </w:p>
    <w:p w14:paraId="0E049569" w14:textId="77777777" w:rsidR="00163CE6" w:rsidRPr="0036706B" w:rsidRDefault="00794FF0" w:rsidP="00794FF0">
      <w:pPr>
        <w:pStyle w:val="SingleTxtG"/>
      </w:pPr>
      <w:r>
        <w:t>110.</w:t>
      </w:r>
      <w:r>
        <w:tab/>
      </w:r>
      <w:r w:rsidR="00163CE6" w:rsidRPr="0036706B">
        <w:t xml:space="preserve">The SBI decided to continue its consideration of the matter at SBI 41, on the basis of the information paper referred to in paragraph </w:t>
      </w:r>
      <w:r w:rsidR="00744329" w:rsidRPr="0036706B">
        <w:t>107</w:t>
      </w:r>
      <w:r w:rsidR="00163CE6" w:rsidRPr="0036706B">
        <w:t xml:space="preserve"> above, of the submissions referred to in paragraphs </w:t>
      </w:r>
      <w:r w:rsidR="00744329" w:rsidRPr="0036706B">
        <w:t>9</w:t>
      </w:r>
      <w:r w:rsidR="006E537B" w:rsidRPr="0036706B">
        <w:t>3</w:t>
      </w:r>
      <w:r w:rsidR="006C0BF1" w:rsidRPr="0036706B">
        <w:t xml:space="preserve">, </w:t>
      </w:r>
      <w:r w:rsidR="00744329" w:rsidRPr="0036706B">
        <w:t>10</w:t>
      </w:r>
      <w:r w:rsidR="006E537B" w:rsidRPr="0036706B">
        <w:t>3</w:t>
      </w:r>
      <w:r w:rsidR="006C0BF1" w:rsidRPr="0036706B">
        <w:t xml:space="preserve"> and </w:t>
      </w:r>
      <w:r w:rsidR="00744329" w:rsidRPr="0036706B">
        <w:t>104</w:t>
      </w:r>
      <w:r w:rsidR="006C0BF1" w:rsidRPr="0036706B">
        <w:t xml:space="preserve"> </w:t>
      </w:r>
      <w:r w:rsidR="00163CE6" w:rsidRPr="0036706B">
        <w:t>above and the notes contained in the annex to document FCCC/SBI/2014/L.19.</w:t>
      </w:r>
    </w:p>
    <w:p w14:paraId="60E49797" w14:textId="77777777" w:rsidR="008000C9" w:rsidRPr="00506FB7" w:rsidRDefault="00794FF0" w:rsidP="00794FF0">
      <w:pPr>
        <w:pStyle w:val="HChG"/>
        <w:rPr>
          <w:bCs/>
          <w:sz w:val="20"/>
        </w:rPr>
      </w:pPr>
      <w:bookmarkStart w:id="50" w:name="_Toc391983296"/>
      <w:r>
        <w:tab/>
        <w:t>IX.</w:t>
      </w:r>
      <w:r>
        <w:tab/>
      </w:r>
      <w:r w:rsidR="001362F1" w:rsidRPr="00506FB7">
        <w:t xml:space="preserve">Warsaw International Mechanism for Loss and Damage associated with Climate Change </w:t>
      </w:r>
      <w:r w:rsidR="00532284" w:rsidRPr="00506FB7">
        <w:t xml:space="preserve">Impacts </w:t>
      </w:r>
      <w:r w:rsidR="008000C9" w:rsidRPr="00506FB7">
        <w:br/>
      </w:r>
      <w:r w:rsidR="008000C9" w:rsidRPr="00327414">
        <w:rPr>
          <w:b w:val="0"/>
          <w:bCs/>
          <w:sz w:val="20"/>
        </w:rPr>
        <w:t xml:space="preserve">(Agenda item </w:t>
      </w:r>
      <w:r w:rsidR="009B3094" w:rsidRPr="00327414">
        <w:rPr>
          <w:b w:val="0"/>
          <w:bCs/>
          <w:sz w:val="20"/>
        </w:rPr>
        <w:t>9</w:t>
      </w:r>
      <w:r w:rsidR="008000C9" w:rsidRPr="00327414">
        <w:rPr>
          <w:b w:val="0"/>
          <w:bCs/>
          <w:sz w:val="20"/>
        </w:rPr>
        <w:t>)</w:t>
      </w:r>
      <w:bookmarkEnd w:id="50"/>
    </w:p>
    <w:p w14:paraId="3C9854E9" w14:textId="77777777" w:rsidR="0018467E" w:rsidRPr="00506FB7" w:rsidRDefault="00794FF0" w:rsidP="00794FF0">
      <w:pPr>
        <w:pStyle w:val="H23G"/>
        <w:rPr>
          <w:lang w:eastAsia="en-US"/>
        </w:rPr>
      </w:pPr>
      <w:r>
        <w:tab/>
        <w:t>1.</w:t>
      </w:r>
      <w:r>
        <w:tab/>
      </w:r>
      <w:r w:rsidR="0018467E" w:rsidRPr="00506FB7">
        <w:t>Proceedings</w:t>
      </w:r>
    </w:p>
    <w:p w14:paraId="3AFE30BB" w14:textId="77777777" w:rsidR="0052769C" w:rsidRPr="00506FB7" w:rsidRDefault="00794FF0" w:rsidP="00794FF0">
      <w:pPr>
        <w:pStyle w:val="SingleTxtG"/>
      </w:pPr>
      <w:r>
        <w:t>111.</w:t>
      </w:r>
      <w:r>
        <w:tab/>
      </w:r>
      <w:r w:rsidR="0052769C" w:rsidRPr="00506FB7">
        <w:t xml:space="preserve">The SBI considered this agenda item at its </w:t>
      </w:r>
      <w:r w:rsidR="0052769C" w:rsidRPr="00506FB7">
        <w:rPr>
          <w:snapToGrid w:val="0"/>
        </w:rPr>
        <w:t>1</w:t>
      </w:r>
      <w:r w:rsidR="0052769C" w:rsidRPr="00506FB7">
        <w:rPr>
          <w:snapToGrid w:val="0"/>
          <w:vertAlign w:val="superscript"/>
        </w:rPr>
        <w:t>st</w:t>
      </w:r>
      <w:r w:rsidR="0052769C" w:rsidRPr="00506FB7">
        <w:rPr>
          <w:snapToGrid w:val="0"/>
        </w:rPr>
        <w:t xml:space="preserve"> </w:t>
      </w:r>
      <w:r w:rsidR="008A58A0" w:rsidRPr="00506FB7">
        <w:rPr>
          <w:snapToGrid w:val="0"/>
        </w:rPr>
        <w:t xml:space="preserve">meeting </w:t>
      </w:r>
      <w:r w:rsidR="0052769C" w:rsidRPr="00506FB7">
        <w:rPr>
          <w:snapToGrid w:val="0"/>
        </w:rPr>
        <w:t xml:space="preserve">and </w:t>
      </w:r>
      <w:r w:rsidR="008A58A0" w:rsidRPr="00506FB7">
        <w:rPr>
          <w:snapToGrid w:val="0"/>
        </w:rPr>
        <w:t xml:space="preserve">resumed </w:t>
      </w:r>
      <w:r w:rsidR="0052769C" w:rsidRPr="00506FB7">
        <w:rPr>
          <w:snapToGrid w:val="0"/>
        </w:rPr>
        <w:t>2</w:t>
      </w:r>
      <w:r w:rsidR="0052769C" w:rsidRPr="00506FB7">
        <w:rPr>
          <w:snapToGrid w:val="0"/>
          <w:vertAlign w:val="superscript"/>
        </w:rPr>
        <w:t>nd</w:t>
      </w:r>
      <w:r w:rsidR="0052769C" w:rsidRPr="00506FB7">
        <w:rPr>
          <w:snapToGrid w:val="0"/>
        </w:rPr>
        <w:t xml:space="preserve"> meeting</w:t>
      </w:r>
      <w:r w:rsidR="0052769C" w:rsidRPr="00506FB7">
        <w:t xml:space="preserve">. Statements were made by </w:t>
      </w:r>
      <w:r w:rsidR="00972626" w:rsidRPr="00506FB7">
        <w:t>six</w:t>
      </w:r>
      <w:r w:rsidR="0052769C" w:rsidRPr="00506FB7">
        <w:t xml:space="preserve"> Parties, including one speaking on behalf of AOSIS</w:t>
      </w:r>
      <w:r w:rsidR="00972626" w:rsidRPr="00506FB7">
        <w:t>,</w:t>
      </w:r>
      <w:r w:rsidR="0052769C" w:rsidRPr="00506FB7">
        <w:t xml:space="preserve"> one on behalf of the LDCs</w:t>
      </w:r>
      <w:r w:rsidR="00972626" w:rsidRPr="00506FB7">
        <w:t xml:space="preserve"> and one behalf of </w:t>
      </w:r>
      <w:r w:rsidR="00F848B8" w:rsidRPr="00506FB7">
        <w:t xml:space="preserve">the </w:t>
      </w:r>
      <w:r w:rsidR="00972626" w:rsidRPr="00506FB7">
        <w:t xml:space="preserve">African </w:t>
      </w:r>
      <w:r w:rsidR="00845447" w:rsidRPr="00506FB7">
        <w:t>States</w:t>
      </w:r>
      <w:r w:rsidR="0052769C" w:rsidRPr="00506FB7">
        <w:t>.</w:t>
      </w:r>
    </w:p>
    <w:p w14:paraId="44A057B7" w14:textId="77777777" w:rsidR="009B3094" w:rsidRPr="00506FB7" w:rsidRDefault="00794FF0" w:rsidP="00794FF0">
      <w:pPr>
        <w:pStyle w:val="SingleTxtG"/>
      </w:pPr>
      <w:r>
        <w:t>112.</w:t>
      </w:r>
      <w:r>
        <w:tab/>
      </w:r>
      <w:r w:rsidR="009B3094" w:rsidRPr="00506FB7">
        <w:t xml:space="preserve">At its </w:t>
      </w:r>
      <w:r w:rsidR="009B3094" w:rsidRPr="00506FB7">
        <w:rPr>
          <w:snapToGrid w:val="0"/>
        </w:rPr>
        <w:t>1</w:t>
      </w:r>
      <w:r w:rsidR="009B3094" w:rsidRPr="00506FB7">
        <w:rPr>
          <w:snapToGrid w:val="0"/>
          <w:vertAlign w:val="superscript"/>
        </w:rPr>
        <w:t>st</w:t>
      </w:r>
      <w:r w:rsidR="009B3094" w:rsidRPr="00506FB7">
        <w:rPr>
          <w:snapToGrid w:val="0"/>
        </w:rPr>
        <w:t xml:space="preserve"> </w:t>
      </w:r>
      <w:r w:rsidR="009B3094" w:rsidRPr="00506FB7">
        <w:t>meeting, the SBI agr</w:t>
      </w:r>
      <w:r w:rsidR="00FC3CEE" w:rsidRPr="00506FB7">
        <w:t xml:space="preserve">eed to consider this agenda </w:t>
      </w:r>
      <w:r w:rsidR="009B3094" w:rsidRPr="00506FB7">
        <w:t xml:space="preserve">item in informal consultations co-facilitated by </w:t>
      </w:r>
      <w:proofErr w:type="spellStart"/>
      <w:r w:rsidR="009B3094" w:rsidRPr="00506FB7">
        <w:t>Mr.</w:t>
      </w:r>
      <w:proofErr w:type="spellEnd"/>
      <w:r w:rsidR="009B3094" w:rsidRPr="00506FB7">
        <w:t xml:space="preserve"> Alf Wills (South Africa) and </w:t>
      </w:r>
      <w:proofErr w:type="spellStart"/>
      <w:r w:rsidR="009B3094" w:rsidRPr="00506FB7">
        <w:t>Ms.</w:t>
      </w:r>
      <w:proofErr w:type="spellEnd"/>
      <w:r w:rsidR="009B3094" w:rsidRPr="00506FB7">
        <w:t xml:space="preserve"> Beth </w:t>
      </w:r>
      <w:r w:rsidR="00834801" w:rsidRPr="00506FB7">
        <w:t xml:space="preserve">Lavender </w:t>
      </w:r>
      <w:r w:rsidR="009B3094" w:rsidRPr="00506FB7">
        <w:t>(Canada)</w:t>
      </w:r>
      <w:r w:rsidR="009B3094" w:rsidRPr="00506FB7">
        <w:rPr>
          <w:color w:val="000000"/>
        </w:rPr>
        <w:t>.</w:t>
      </w:r>
    </w:p>
    <w:p w14:paraId="5651E2E4" w14:textId="77777777" w:rsidR="009B3094" w:rsidRPr="00506FB7" w:rsidRDefault="00794FF0" w:rsidP="00794FF0">
      <w:pPr>
        <w:pStyle w:val="SingleTxtG"/>
      </w:pPr>
      <w:r>
        <w:rPr>
          <w:color w:val="000000"/>
        </w:rPr>
        <w:t>113.</w:t>
      </w:r>
      <w:r>
        <w:rPr>
          <w:color w:val="000000"/>
        </w:rPr>
        <w:tab/>
      </w:r>
      <w:r w:rsidR="009B3094" w:rsidRPr="00506FB7">
        <w:rPr>
          <w:color w:val="000000"/>
        </w:rPr>
        <w:t>A</w:t>
      </w:r>
      <w:r w:rsidR="009B3094" w:rsidRPr="00506FB7">
        <w:t>t its 2</w:t>
      </w:r>
      <w:r w:rsidR="008A58A0" w:rsidRPr="00506FB7">
        <w:rPr>
          <w:vertAlign w:val="superscript"/>
        </w:rPr>
        <w:t>nd</w:t>
      </w:r>
      <w:r w:rsidR="008A58A0" w:rsidRPr="00506FB7">
        <w:t xml:space="preserve"> </w:t>
      </w:r>
      <w:r w:rsidR="009B3094" w:rsidRPr="00506FB7">
        <w:t>meeting, the SBI considered and adopted the conclusions below.</w:t>
      </w:r>
      <w:r w:rsidR="00BA36B2" w:rsidRPr="00506FB7">
        <w:rPr>
          <w:rStyle w:val="FootnoteReference"/>
          <w:color w:val="000000"/>
        </w:rPr>
        <w:footnoteReference w:id="39"/>
      </w:r>
    </w:p>
    <w:p w14:paraId="1E7A35BF" w14:textId="77777777" w:rsidR="009B3094" w:rsidRPr="00506FB7" w:rsidRDefault="00794FF0" w:rsidP="00794FF0">
      <w:pPr>
        <w:pStyle w:val="H23G"/>
      </w:pPr>
      <w:r>
        <w:tab/>
        <w:t>2.</w:t>
      </w:r>
      <w:r>
        <w:tab/>
      </w:r>
      <w:r w:rsidR="009B3094" w:rsidRPr="00506FB7">
        <w:t>Conclusions</w:t>
      </w:r>
    </w:p>
    <w:p w14:paraId="516CAFF6" w14:textId="77777777" w:rsidR="0018467E" w:rsidRPr="00506FB7" w:rsidRDefault="00794FF0" w:rsidP="00794FF0">
      <w:pPr>
        <w:pStyle w:val="SingleTxtG"/>
      </w:pPr>
      <w:r>
        <w:t>114.</w:t>
      </w:r>
      <w:r>
        <w:tab/>
      </w:r>
      <w:r w:rsidR="00337765" w:rsidRPr="00506FB7">
        <w:t>The SBSTA and the SBI, in accordance with decision 2/CP.19, initiated their consideration of the composition of, and procedures for, the Executive Committee of the Warsaw International Mechanism for Loss and Damage associated with Climate Change Impacts, with a view to finalizing the organization and governance of the Executive Committee.</w:t>
      </w:r>
    </w:p>
    <w:p w14:paraId="51A74676" w14:textId="77777777" w:rsidR="00337765" w:rsidRPr="0036706B" w:rsidRDefault="00794FF0" w:rsidP="00794FF0">
      <w:pPr>
        <w:pStyle w:val="SingleTxtG"/>
      </w:pPr>
      <w:r>
        <w:t>115.</w:t>
      </w:r>
      <w:r>
        <w:tab/>
      </w:r>
      <w:r w:rsidR="00337765" w:rsidRPr="0036706B">
        <w:t>The SBSTA and the SBI concluded that they would continue their consideration of this matter at SBSTA 41 and SBI 41, taking into account the elements reflected in the draft decision contained in the annex to document FCCC/SB/2014/L.4, with a view to making recommendations thereon for adoption at COP 20.</w:t>
      </w:r>
      <w:r w:rsidR="00337765" w:rsidRPr="0036706B">
        <w:rPr>
          <w:rStyle w:val="FootnoteReference"/>
        </w:rPr>
        <w:footnoteReference w:id="40"/>
      </w:r>
    </w:p>
    <w:p w14:paraId="1946EB65" w14:textId="77777777" w:rsidR="009B3094" w:rsidRPr="00506FB7" w:rsidRDefault="00794FF0" w:rsidP="00794FF0">
      <w:pPr>
        <w:pStyle w:val="HChG"/>
        <w:rPr>
          <w:bCs/>
          <w:sz w:val="20"/>
        </w:rPr>
      </w:pPr>
      <w:bookmarkStart w:id="51" w:name="_Toc391983297"/>
      <w:r>
        <w:tab/>
        <w:t>X.</w:t>
      </w:r>
      <w:r>
        <w:tab/>
      </w:r>
      <w:r w:rsidR="002C562D" w:rsidRPr="00506FB7">
        <w:t xml:space="preserve">Second review of the Adaptation </w:t>
      </w:r>
      <w:r w:rsidR="008D1628" w:rsidRPr="00506FB7">
        <w:t xml:space="preserve">Fund </w:t>
      </w:r>
      <w:r w:rsidR="002C562D" w:rsidRPr="00506FB7">
        <w:br/>
      </w:r>
      <w:r w:rsidR="008000C9" w:rsidRPr="00327414">
        <w:rPr>
          <w:b w:val="0"/>
          <w:bCs/>
          <w:sz w:val="20"/>
        </w:rPr>
        <w:t xml:space="preserve">(Agenda item </w:t>
      </w:r>
      <w:r w:rsidR="009B3094" w:rsidRPr="00327414">
        <w:rPr>
          <w:b w:val="0"/>
          <w:bCs/>
          <w:sz w:val="20"/>
        </w:rPr>
        <w:t>10</w:t>
      </w:r>
      <w:r w:rsidR="008000C9" w:rsidRPr="00327414">
        <w:rPr>
          <w:b w:val="0"/>
          <w:bCs/>
          <w:sz w:val="20"/>
        </w:rPr>
        <w:t>)</w:t>
      </w:r>
      <w:bookmarkEnd w:id="51"/>
    </w:p>
    <w:p w14:paraId="50C142F4" w14:textId="77777777" w:rsidR="001E16AD" w:rsidRPr="00506FB7" w:rsidRDefault="00794FF0" w:rsidP="00794FF0">
      <w:pPr>
        <w:pStyle w:val="H23G"/>
        <w:rPr>
          <w:lang w:eastAsia="en-US"/>
        </w:rPr>
      </w:pPr>
      <w:r>
        <w:tab/>
        <w:t>1.</w:t>
      </w:r>
      <w:r>
        <w:tab/>
      </w:r>
      <w:r w:rsidR="001E16AD" w:rsidRPr="00506FB7">
        <w:t>Proceedings</w:t>
      </w:r>
    </w:p>
    <w:p w14:paraId="21326C80" w14:textId="77777777" w:rsidR="00FE0A3E" w:rsidRPr="00506FB7" w:rsidRDefault="00794FF0" w:rsidP="00794FF0">
      <w:pPr>
        <w:pStyle w:val="SingleTxtG"/>
      </w:pPr>
      <w:r>
        <w:t>116.</w:t>
      </w:r>
      <w:r>
        <w:tab/>
      </w:r>
      <w:r w:rsidR="00FE0A3E" w:rsidRPr="00506FB7">
        <w:t xml:space="preserve">The SBI considered this agenda item at its </w:t>
      </w:r>
      <w:r w:rsidR="00FE0A3E" w:rsidRPr="00506FB7">
        <w:rPr>
          <w:snapToGrid w:val="0"/>
        </w:rPr>
        <w:t>1</w:t>
      </w:r>
      <w:r w:rsidR="00FE0A3E" w:rsidRPr="00506FB7">
        <w:rPr>
          <w:snapToGrid w:val="0"/>
          <w:vertAlign w:val="superscript"/>
        </w:rPr>
        <w:t>st</w:t>
      </w:r>
      <w:r w:rsidR="00FE0A3E" w:rsidRPr="00506FB7">
        <w:rPr>
          <w:snapToGrid w:val="0"/>
        </w:rPr>
        <w:t xml:space="preserve"> and 2</w:t>
      </w:r>
      <w:r w:rsidR="00FE0A3E" w:rsidRPr="00506FB7">
        <w:rPr>
          <w:snapToGrid w:val="0"/>
          <w:vertAlign w:val="superscript"/>
        </w:rPr>
        <w:t>nd</w:t>
      </w:r>
      <w:r w:rsidR="00FE0A3E" w:rsidRPr="00506FB7">
        <w:rPr>
          <w:snapToGrid w:val="0"/>
        </w:rPr>
        <w:t xml:space="preserve"> meetings</w:t>
      </w:r>
      <w:r w:rsidR="00FE0A3E" w:rsidRPr="00506FB7">
        <w:t xml:space="preserve">. Statements were made by </w:t>
      </w:r>
      <w:r w:rsidR="007A7574" w:rsidRPr="00506FB7">
        <w:t xml:space="preserve">representatives of </w:t>
      </w:r>
      <w:r w:rsidR="00FE0A3E" w:rsidRPr="00506FB7">
        <w:t>three Parties, including one speaking on behalf of the LDCs.</w:t>
      </w:r>
    </w:p>
    <w:p w14:paraId="26792685" w14:textId="77777777" w:rsidR="009B3094" w:rsidRPr="00506FB7" w:rsidRDefault="00794FF0" w:rsidP="00794FF0">
      <w:pPr>
        <w:pStyle w:val="SingleTxtG"/>
      </w:pPr>
      <w:r>
        <w:t>117.</w:t>
      </w:r>
      <w:r>
        <w:tab/>
      </w:r>
      <w:r w:rsidR="009B3094" w:rsidRPr="00506FB7">
        <w:t xml:space="preserve">At its </w:t>
      </w:r>
      <w:r w:rsidR="009B3094" w:rsidRPr="00506FB7">
        <w:rPr>
          <w:snapToGrid w:val="0"/>
        </w:rPr>
        <w:t>1</w:t>
      </w:r>
      <w:r w:rsidR="009B3094" w:rsidRPr="00506FB7">
        <w:rPr>
          <w:snapToGrid w:val="0"/>
          <w:vertAlign w:val="superscript"/>
        </w:rPr>
        <w:t>st</w:t>
      </w:r>
      <w:r w:rsidR="009B3094" w:rsidRPr="00506FB7">
        <w:rPr>
          <w:snapToGrid w:val="0"/>
        </w:rPr>
        <w:t xml:space="preserve"> </w:t>
      </w:r>
      <w:r w:rsidR="009B3094" w:rsidRPr="00506FB7">
        <w:t>meeting, the SBI agr</w:t>
      </w:r>
      <w:r w:rsidR="00FC3CEE" w:rsidRPr="00506FB7">
        <w:t xml:space="preserve">eed to consider this agenda </w:t>
      </w:r>
      <w:r w:rsidR="009B3094" w:rsidRPr="00506FB7">
        <w:t xml:space="preserve">item in informal consultations co-facilitated by </w:t>
      </w:r>
      <w:proofErr w:type="spellStart"/>
      <w:r w:rsidR="009B3094" w:rsidRPr="00506FB7">
        <w:t>Ms.</w:t>
      </w:r>
      <w:proofErr w:type="spellEnd"/>
      <w:r w:rsidR="009B3094" w:rsidRPr="00506FB7">
        <w:t xml:space="preserve"> Ana </w:t>
      </w:r>
      <w:proofErr w:type="spellStart"/>
      <w:r w:rsidR="009B3094" w:rsidRPr="00506FB7">
        <w:t>Fornells</w:t>
      </w:r>
      <w:proofErr w:type="spellEnd"/>
      <w:r w:rsidR="009B3094" w:rsidRPr="00506FB7">
        <w:t xml:space="preserve"> de </w:t>
      </w:r>
      <w:proofErr w:type="spellStart"/>
      <w:r w:rsidR="009B3094" w:rsidRPr="00506FB7">
        <w:t>Frutos</w:t>
      </w:r>
      <w:proofErr w:type="spellEnd"/>
      <w:r w:rsidR="009B3094" w:rsidRPr="00506FB7">
        <w:t xml:space="preserve"> (Spain) and </w:t>
      </w:r>
      <w:proofErr w:type="spellStart"/>
      <w:r w:rsidR="009B3094" w:rsidRPr="00506FB7">
        <w:t>Ms.</w:t>
      </w:r>
      <w:proofErr w:type="spellEnd"/>
      <w:r w:rsidR="009B3094" w:rsidRPr="00506FB7">
        <w:t xml:space="preserve"> </w:t>
      </w:r>
      <w:proofErr w:type="spellStart"/>
      <w:r w:rsidR="009B3094" w:rsidRPr="00506FB7">
        <w:t>Suzanty</w:t>
      </w:r>
      <w:proofErr w:type="spellEnd"/>
      <w:r w:rsidR="009B3094" w:rsidRPr="00506FB7">
        <w:t xml:space="preserve"> </w:t>
      </w:r>
      <w:proofErr w:type="spellStart"/>
      <w:r w:rsidR="009B3094" w:rsidRPr="00506FB7">
        <w:t>Sitorus</w:t>
      </w:r>
      <w:proofErr w:type="spellEnd"/>
      <w:r w:rsidR="009B3094" w:rsidRPr="00506FB7">
        <w:t xml:space="preserve"> (Indonesia)</w:t>
      </w:r>
      <w:r w:rsidR="009B3094" w:rsidRPr="00506FB7">
        <w:rPr>
          <w:color w:val="000000"/>
        </w:rPr>
        <w:t>.</w:t>
      </w:r>
    </w:p>
    <w:p w14:paraId="10C782C1" w14:textId="77777777" w:rsidR="009B3094" w:rsidRPr="00506FB7" w:rsidRDefault="00794FF0" w:rsidP="00794FF0">
      <w:pPr>
        <w:pStyle w:val="SingleTxtG"/>
      </w:pPr>
      <w:r>
        <w:rPr>
          <w:color w:val="000000"/>
        </w:rPr>
        <w:t>118.</w:t>
      </w:r>
      <w:r>
        <w:rPr>
          <w:color w:val="000000"/>
        </w:rPr>
        <w:tab/>
      </w:r>
      <w:r w:rsidR="009B3094" w:rsidRPr="00506FB7">
        <w:rPr>
          <w:color w:val="000000"/>
        </w:rPr>
        <w:t>A</w:t>
      </w:r>
      <w:r w:rsidR="009B3094" w:rsidRPr="00506FB7">
        <w:t>t its 2</w:t>
      </w:r>
      <w:r w:rsidR="00A97569" w:rsidRPr="00506FB7">
        <w:rPr>
          <w:vertAlign w:val="superscript"/>
        </w:rPr>
        <w:t>nd</w:t>
      </w:r>
      <w:r w:rsidR="00A97569" w:rsidRPr="00506FB7">
        <w:t xml:space="preserve"> </w:t>
      </w:r>
      <w:r w:rsidR="009B3094" w:rsidRPr="00506FB7">
        <w:t>meeting, the SBI considered and adopted the conclusions below.</w:t>
      </w:r>
      <w:r w:rsidR="001E16AD" w:rsidRPr="00506FB7">
        <w:rPr>
          <w:rStyle w:val="FootnoteReference"/>
          <w:color w:val="000000"/>
        </w:rPr>
        <w:footnoteReference w:id="41"/>
      </w:r>
    </w:p>
    <w:p w14:paraId="50EFCFB3" w14:textId="77777777" w:rsidR="009B3094" w:rsidRPr="00506FB7" w:rsidRDefault="00794FF0" w:rsidP="00794FF0">
      <w:pPr>
        <w:pStyle w:val="H23G"/>
      </w:pPr>
      <w:r>
        <w:tab/>
        <w:t>2.</w:t>
      </w:r>
      <w:r>
        <w:tab/>
      </w:r>
      <w:r w:rsidR="009B3094" w:rsidRPr="00506FB7">
        <w:t>Conclusions</w:t>
      </w:r>
    </w:p>
    <w:p w14:paraId="1AFFD89A" w14:textId="77777777" w:rsidR="00B13472" w:rsidRPr="00506FB7" w:rsidRDefault="00794FF0" w:rsidP="00794FF0">
      <w:pPr>
        <w:pStyle w:val="SingleTxtG"/>
      </w:pPr>
      <w:r>
        <w:t>119.</w:t>
      </w:r>
      <w:r>
        <w:tab/>
      </w:r>
      <w:r w:rsidR="00B13472" w:rsidRPr="00506FB7">
        <w:t>The SBI considered the second review of the Adaptation Fund in accordance with the terms of reference for the second review of the Adaptation Fund</w:t>
      </w:r>
      <w:r w:rsidR="00B13472" w:rsidRPr="00506FB7">
        <w:rPr>
          <w:rStyle w:val="FootnoteReference"/>
          <w:lang w:eastAsia="ja-JP"/>
        </w:rPr>
        <w:footnoteReference w:id="42"/>
      </w:r>
      <w:r w:rsidR="00B13472" w:rsidRPr="00506FB7">
        <w:t xml:space="preserve"> (hereinafter referred to as the terms of reference).</w:t>
      </w:r>
    </w:p>
    <w:p w14:paraId="642545DD" w14:textId="77777777" w:rsidR="00B13472" w:rsidRPr="00506FB7" w:rsidRDefault="00794FF0" w:rsidP="00794FF0">
      <w:pPr>
        <w:pStyle w:val="SingleTxtG"/>
      </w:pPr>
      <w:r>
        <w:t>120.</w:t>
      </w:r>
      <w:r>
        <w:tab/>
      </w:r>
      <w:r w:rsidR="005A3422" w:rsidRPr="00506FB7">
        <w:t xml:space="preserve">The SBI welcomed the financial contributions and pledges that were made to the Adaptation Fund by Parties pursuant to paragraph 12 of decision 1/CMP.9, adopted </w:t>
      </w:r>
      <w:r w:rsidR="007A7574" w:rsidRPr="00506FB7">
        <w:t>at</w:t>
      </w:r>
      <w:r w:rsidR="00B13472" w:rsidRPr="00506FB7">
        <w:t xml:space="preserve"> </w:t>
      </w:r>
      <w:r w:rsidR="007A7574" w:rsidRPr="00506FB7">
        <w:t>CMP </w:t>
      </w:r>
      <w:r w:rsidR="00B13472" w:rsidRPr="00506FB7">
        <w:t>9</w:t>
      </w:r>
      <w:r w:rsidR="005A3422" w:rsidRPr="00506FB7">
        <w:t>. These contributions and pledges enabled the Adaptation Fund to achieve its fundraising goal of USD 100 million by the end of 2013. The SBI would like to express the hope that more funds could be generated to meet the current needs of the Adaptation Fund.</w:t>
      </w:r>
      <w:r w:rsidR="005A3422" w:rsidRPr="00506FB7">
        <w:rPr>
          <w:rFonts w:eastAsia="MS Mincho"/>
        </w:rPr>
        <w:t xml:space="preserve"> </w:t>
      </w:r>
    </w:p>
    <w:p w14:paraId="04F618CA" w14:textId="77777777" w:rsidR="00B13472" w:rsidRPr="00506FB7" w:rsidRDefault="00794FF0" w:rsidP="00794FF0">
      <w:pPr>
        <w:pStyle w:val="SingleTxtG"/>
      </w:pPr>
      <w:r>
        <w:t>121.</w:t>
      </w:r>
      <w:r>
        <w:tab/>
      </w:r>
      <w:r w:rsidR="005A3422" w:rsidRPr="00506FB7">
        <w:t>The SBI took note of the oral report of the Adaptation Fund Board secretariat on the Board’s new fundraising target of USD 80 million per calendar year for 2014 and 2015</w:t>
      </w:r>
      <w:r w:rsidR="005A3422" w:rsidRPr="00506FB7">
        <w:rPr>
          <w:rFonts w:eastAsia="MS Mincho"/>
        </w:rPr>
        <w:t>,</w:t>
      </w:r>
      <w:r w:rsidR="005A3422" w:rsidRPr="00506FB7">
        <w:t xml:space="preserve"> and requested the </w:t>
      </w:r>
      <w:r w:rsidR="005A3422" w:rsidRPr="00506FB7">
        <w:rPr>
          <w:rFonts w:eastAsia="MS Mincho"/>
        </w:rPr>
        <w:t>Board</w:t>
      </w:r>
      <w:r w:rsidR="005A3422" w:rsidRPr="00506FB7">
        <w:t xml:space="preserve"> to include an update on the implementation of its fundraising strategy in its report to CMP 10.</w:t>
      </w:r>
    </w:p>
    <w:p w14:paraId="7021A744" w14:textId="77777777" w:rsidR="00602295" w:rsidRPr="00506FB7" w:rsidRDefault="00794FF0" w:rsidP="00794FF0">
      <w:pPr>
        <w:pStyle w:val="SingleTxtG"/>
      </w:pPr>
      <w:r>
        <w:t>122.</w:t>
      </w:r>
      <w:r>
        <w:tab/>
      </w:r>
      <w:r w:rsidR="005A3422" w:rsidRPr="00506FB7">
        <w:t xml:space="preserve">The SBI continued to note with concern the </w:t>
      </w:r>
      <w:r w:rsidR="005A3422" w:rsidRPr="00506FB7">
        <w:rPr>
          <w:rFonts w:eastAsia="MS Mincho"/>
        </w:rPr>
        <w:t xml:space="preserve">lack of sustainable, predictable and </w:t>
      </w:r>
      <w:r w:rsidR="005A3422" w:rsidRPr="00506FB7">
        <w:t>adequa</w:t>
      </w:r>
      <w:r w:rsidR="005A3422" w:rsidRPr="00506FB7">
        <w:rPr>
          <w:rFonts w:eastAsia="MS Mincho"/>
        </w:rPr>
        <w:t>te financial</w:t>
      </w:r>
      <w:r w:rsidR="005A3422" w:rsidRPr="00506FB7">
        <w:t xml:space="preserve"> resources for the Adaptation Fund</w:t>
      </w:r>
      <w:r w:rsidR="005A3422" w:rsidRPr="00506FB7">
        <w:rPr>
          <w:rFonts w:eastAsia="MS Mincho"/>
        </w:rPr>
        <w:t xml:space="preserve"> </w:t>
      </w:r>
      <w:r w:rsidR="005A3422" w:rsidRPr="00506FB7">
        <w:t xml:space="preserve">to support projects and programmes </w:t>
      </w:r>
      <w:r w:rsidR="005A3422" w:rsidRPr="00506FB7">
        <w:rPr>
          <w:rFonts w:eastAsia="MS Mincho"/>
        </w:rPr>
        <w:t>in</w:t>
      </w:r>
      <w:r w:rsidR="005A3422" w:rsidRPr="00506FB7">
        <w:t xml:space="preserve"> developing countries.</w:t>
      </w:r>
    </w:p>
    <w:p w14:paraId="561ACA25" w14:textId="77777777" w:rsidR="00602295" w:rsidRPr="00506FB7" w:rsidRDefault="00794FF0" w:rsidP="00794FF0">
      <w:pPr>
        <w:pStyle w:val="SingleTxtG"/>
      </w:pPr>
      <w:r>
        <w:t>123.</w:t>
      </w:r>
      <w:r>
        <w:tab/>
      </w:r>
      <w:r w:rsidR="005A3422" w:rsidRPr="00506FB7">
        <w:t>The SBI highlighted that the implementation of the Adaptation Fund has led to the</w:t>
      </w:r>
      <w:r w:rsidR="005A3422" w:rsidRPr="00506FB7">
        <w:rPr>
          <w:rFonts w:eastAsia="MS Mincho"/>
          <w:lang w:eastAsia="ja-JP"/>
        </w:rPr>
        <w:t xml:space="preserve"> </w:t>
      </w:r>
      <w:r w:rsidR="005A3422" w:rsidRPr="00506FB7">
        <w:t>enhancement of direct access and country ownership.</w:t>
      </w:r>
    </w:p>
    <w:p w14:paraId="5CC9E3C0" w14:textId="77777777" w:rsidR="00602295" w:rsidRPr="00506FB7" w:rsidRDefault="00794FF0" w:rsidP="00794FF0">
      <w:pPr>
        <w:pStyle w:val="SingleTxtG"/>
      </w:pPr>
      <w:r>
        <w:t>124.</w:t>
      </w:r>
      <w:r>
        <w:tab/>
      </w:r>
      <w:r w:rsidR="005A3422" w:rsidRPr="00506FB7">
        <w:t>The SBI recalled that the Adaptation Fund is a fund under the Kyoto Protocol, which is a legal instrument of the Convention and guided by Article 3 of the Convention, and noted the issues raised by Parties, on the basis of the terms of reference, related to</w:t>
      </w:r>
      <w:r w:rsidR="005A3422" w:rsidRPr="00506FB7">
        <w:rPr>
          <w:rFonts w:eastAsia="MS Mincho"/>
        </w:rPr>
        <w:t>:</w:t>
      </w:r>
    </w:p>
    <w:p w14:paraId="483335AF" w14:textId="77777777" w:rsidR="00602295" w:rsidRPr="00506FB7" w:rsidRDefault="00794FF0" w:rsidP="00794FF0">
      <w:pPr>
        <w:pStyle w:val="SingleTxtG"/>
      </w:pPr>
      <w:r>
        <w:tab/>
        <w:t>(a)</w:t>
      </w:r>
      <w:r>
        <w:tab/>
      </w:r>
      <w:r w:rsidR="005A3422" w:rsidRPr="00506FB7">
        <w:t>The provision of sustainable, predictable and adequate financial resources, including the potential diversification of revenue streams, to fund concrete adaptation projects and programmes that are country</w:t>
      </w:r>
      <w:r w:rsidR="007A7574" w:rsidRPr="00506FB7">
        <w:t>-</w:t>
      </w:r>
      <w:r w:rsidR="005A3422" w:rsidRPr="00506FB7">
        <w:t>driven and based on the needs, views and priorities of eligible Parties;</w:t>
      </w:r>
    </w:p>
    <w:p w14:paraId="6F9F5ADB" w14:textId="77777777" w:rsidR="00602295" w:rsidRPr="00506FB7" w:rsidRDefault="00794FF0" w:rsidP="00794FF0">
      <w:pPr>
        <w:pStyle w:val="SingleTxtG"/>
      </w:pPr>
      <w:r>
        <w:tab/>
        <w:t>(b)</w:t>
      </w:r>
      <w:r>
        <w:tab/>
      </w:r>
      <w:r w:rsidR="005A3422" w:rsidRPr="00506FB7">
        <w:t>Lessons learned from the application of the access modalities of the Adaptation Fund;</w:t>
      </w:r>
    </w:p>
    <w:p w14:paraId="4F6D6D0F" w14:textId="77777777" w:rsidR="00602295" w:rsidRPr="00506FB7" w:rsidRDefault="00794FF0" w:rsidP="00794FF0">
      <w:pPr>
        <w:pStyle w:val="SingleTxtG"/>
      </w:pPr>
      <w:r>
        <w:tab/>
        <w:t>(c)</w:t>
      </w:r>
      <w:r>
        <w:tab/>
      </w:r>
      <w:r w:rsidR="005A3422" w:rsidRPr="00506FB7">
        <w:t>The institutional linkages and relations, as appropriate, between the Adaptation Fund and other institutions, in particular institutions under the Convention;</w:t>
      </w:r>
    </w:p>
    <w:p w14:paraId="33FDA8B3" w14:textId="77777777" w:rsidR="00602295" w:rsidRPr="00506FB7" w:rsidRDefault="00794FF0" w:rsidP="00794FF0">
      <w:pPr>
        <w:pStyle w:val="SingleTxtG"/>
      </w:pPr>
      <w:r>
        <w:tab/>
        <w:t>(d)</w:t>
      </w:r>
      <w:r>
        <w:tab/>
      </w:r>
      <w:r w:rsidR="005A3422" w:rsidRPr="00506FB7">
        <w:t>The institutional arrangements for the Adaptation Fund, in particular the arrangements with the interim secretariat and the interim trustee.</w:t>
      </w:r>
    </w:p>
    <w:p w14:paraId="253DA31C" w14:textId="77777777" w:rsidR="00602295" w:rsidRPr="00506FB7" w:rsidRDefault="00794FF0" w:rsidP="00794FF0">
      <w:pPr>
        <w:pStyle w:val="SingleTxtG"/>
      </w:pPr>
      <w:r>
        <w:t>125.</w:t>
      </w:r>
      <w:r>
        <w:tab/>
      </w:r>
      <w:r w:rsidR="005A3422" w:rsidRPr="00506FB7">
        <w:t>The SBI invited Parties and observer organizations, as well as other interested international organizations, stakeholders and non-governmental organizations involved in the activities of the Adaptation Fund and multinational, regional and national implementing entities accredited by the Adaptation Fund Board, to submit to the secretariat</w:t>
      </w:r>
      <w:r w:rsidR="005A3422" w:rsidRPr="00506FB7">
        <w:rPr>
          <w:rFonts w:eastAsia="MS Mincho"/>
        </w:rPr>
        <w:t>,</w:t>
      </w:r>
      <w:r w:rsidR="005A3422" w:rsidRPr="00506FB7">
        <w:t xml:space="preserve"> by 22 September 2014, further views on the second review of the Adaptation Fund, in accordance with the terms of reference.</w:t>
      </w:r>
    </w:p>
    <w:p w14:paraId="48A738F8" w14:textId="77777777" w:rsidR="004626FC" w:rsidRPr="0036706B" w:rsidRDefault="00794FF0" w:rsidP="00794FF0">
      <w:pPr>
        <w:pStyle w:val="SingleTxtG"/>
      </w:pPr>
      <w:r>
        <w:t>126.</w:t>
      </w:r>
      <w:r>
        <w:tab/>
      </w:r>
      <w:r w:rsidR="005A3422" w:rsidRPr="0036706B">
        <w:t xml:space="preserve">The SBI requested the secretariat to make the submissions referred to in paragraph </w:t>
      </w:r>
      <w:r w:rsidR="00802D2A" w:rsidRPr="0036706B">
        <w:t>12</w:t>
      </w:r>
      <w:r w:rsidR="001B28D7" w:rsidRPr="0036706B">
        <w:t>5</w:t>
      </w:r>
      <w:r w:rsidR="005A3422" w:rsidRPr="0036706B">
        <w:t xml:space="preserve"> above available on the UNFCCC website and to compile them into a miscellaneous document, for consideration at SBI 41.</w:t>
      </w:r>
    </w:p>
    <w:p w14:paraId="52416D17" w14:textId="77777777" w:rsidR="004626FC" w:rsidRPr="00506FB7" w:rsidRDefault="00794FF0" w:rsidP="00794FF0">
      <w:pPr>
        <w:pStyle w:val="SingleTxtG"/>
      </w:pPr>
      <w:r>
        <w:rPr>
          <w:lang w:eastAsia="ja-JP"/>
        </w:rPr>
        <w:t>127.</w:t>
      </w:r>
      <w:r>
        <w:rPr>
          <w:lang w:eastAsia="ja-JP"/>
        </w:rPr>
        <w:tab/>
      </w:r>
      <w:r w:rsidR="005A3422" w:rsidRPr="00506FB7">
        <w:rPr>
          <w:lang w:eastAsia="ja-JP"/>
        </w:rPr>
        <w:t xml:space="preserve">The SBI </w:t>
      </w:r>
      <w:r w:rsidR="005A3422" w:rsidRPr="00506FB7">
        <w:rPr>
          <w:rFonts w:eastAsia="MS Mincho"/>
          <w:lang w:eastAsia="ja-JP"/>
        </w:rPr>
        <w:t xml:space="preserve">also </w:t>
      </w:r>
      <w:r w:rsidR="005A3422" w:rsidRPr="00506FB7">
        <w:t xml:space="preserve">requested the secretariat, when preparing the technical paper requested </w:t>
      </w:r>
      <w:r w:rsidR="005A3422" w:rsidRPr="00506FB7">
        <w:rPr>
          <w:rFonts w:eastAsia="MS Mincho"/>
          <w:lang w:eastAsia="ja-JP"/>
        </w:rPr>
        <w:t xml:space="preserve">at </w:t>
      </w:r>
      <w:r w:rsidR="005A3422" w:rsidRPr="00506FB7">
        <w:t>CMP 9</w:t>
      </w:r>
      <w:r w:rsidR="005A3422" w:rsidRPr="00506FB7">
        <w:rPr>
          <w:rFonts w:eastAsia="MS Mincho"/>
          <w:lang w:eastAsia="ja-JP"/>
        </w:rPr>
        <w:t>,</w:t>
      </w:r>
      <w:r w:rsidR="005A3422" w:rsidRPr="00506FB7">
        <w:rPr>
          <w:rStyle w:val="FootnoteReference"/>
        </w:rPr>
        <w:footnoteReference w:id="43"/>
      </w:r>
      <w:r w:rsidR="005A3422" w:rsidRPr="00506FB7">
        <w:rPr>
          <w:rStyle w:val="FootnoteReference"/>
          <w:vertAlign w:val="baseline"/>
          <w:lang w:eastAsia="ja-JP"/>
        </w:rPr>
        <w:t xml:space="preserve"> </w:t>
      </w:r>
      <w:r w:rsidR="005A3422" w:rsidRPr="00506FB7">
        <w:t xml:space="preserve">to </w:t>
      </w:r>
      <w:r w:rsidR="005A3422" w:rsidRPr="00506FB7">
        <w:rPr>
          <w:rFonts w:eastAsia="MS Mincho"/>
          <w:lang w:eastAsia="ja-JP"/>
        </w:rPr>
        <w:t xml:space="preserve">take into consideration </w:t>
      </w:r>
      <w:r w:rsidR="005A3422" w:rsidRPr="00506FB7">
        <w:t>the views expressed by Parties at this session and the written submissions provided before and at this session</w:t>
      </w:r>
      <w:r w:rsidR="005A3422" w:rsidRPr="00506FB7">
        <w:rPr>
          <w:lang w:eastAsia="ja-JP"/>
        </w:rPr>
        <w:t>.</w:t>
      </w:r>
      <w:r w:rsidR="005A3422" w:rsidRPr="00506FB7">
        <w:rPr>
          <w:rStyle w:val="FootnoteReference"/>
          <w:lang w:eastAsia="ja-JP"/>
        </w:rPr>
        <w:footnoteReference w:id="44"/>
      </w:r>
    </w:p>
    <w:p w14:paraId="3302F3E2" w14:textId="77777777" w:rsidR="005A3422" w:rsidRPr="0036706B" w:rsidRDefault="00794FF0" w:rsidP="00794FF0">
      <w:pPr>
        <w:pStyle w:val="SingleTxtG"/>
      </w:pPr>
      <w:r>
        <w:t>128.</w:t>
      </w:r>
      <w:r>
        <w:tab/>
      </w:r>
      <w:r w:rsidR="005A3422" w:rsidRPr="0036706B">
        <w:t xml:space="preserve">The SBI agreed to complete its consideration of the second review of the Adaptation Fund at SBI 41 on the basis of all the information provided in accordance with </w:t>
      </w:r>
      <w:r w:rsidR="005A3422" w:rsidRPr="0036706B">
        <w:rPr>
          <w:rFonts w:eastAsia="MS Mincho"/>
        </w:rPr>
        <w:t xml:space="preserve">the </w:t>
      </w:r>
      <w:r w:rsidR="005A3422" w:rsidRPr="0036706B">
        <w:t xml:space="preserve">terms of reference and the submissions referred to in paragraph </w:t>
      </w:r>
      <w:r w:rsidR="00602295" w:rsidRPr="0036706B">
        <w:t>1</w:t>
      </w:r>
      <w:r w:rsidR="0097761B" w:rsidRPr="0036706B">
        <w:t>2</w:t>
      </w:r>
      <w:r w:rsidR="001B28D7" w:rsidRPr="0036706B">
        <w:t>5</w:t>
      </w:r>
      <w:r w:rsidR="005A3422" w:rsidRPr="0036706B">
        <w:t xml:space="preserve"> above, with a view to recommending a draft decision on this matter for consideration and adoption at CMP 10.</w:t>
      </w:r>
    </w:p>
    <w:p w14:paraId="1352E77E" w14:textId="77777777" w:rsidR="009B3094" w:rsidRPr="00506FB7" w:rsidRDefault="00794FF0" w:rsidP="00794FF0">
      <w:pPr>
        <w:pStyle w:val="HChG"/>
        <w:rPr>
          <w:rStyle w:val="SingleTxtGChar"/>
          <w:b w:val="0"/>
          <w:sz w:val="20"/>
        </w:rPr>
      </w:pPr>
      <w:bookmarkStart w:id="52" w:name="_Toc391983298"/>
      <w:r>
        <w:tab/>
        <w:t>XI.</w:t>
      </w:r>
      <w:r>
        <w:tab/>
      </w:r>
      <w:r w:rsidR="007F03BF" w:rsidRPr="00506FB7">
        <w:t xml:space="preserve">Development and transfer of technologies and implementation of the Technology </w:t>
      </w:r>
      <w:r w:rsidR="00180EF3" w:rsidRPr="00506FB7">
        <w:t xml:space="preserve">Mechanism </w:t>
      </w:r>
      <w:r w:rsidR="008000C9" w:rsidRPr="00506FB7">
        <w:br/>
      </w:r>
      <w:r w:rsidR="008000C9" w:rsidRPr="00506FB7">
        <w:rPr>
          <w:rStyle w:val="SingleTxtGChar"/>
          <w:b w:val="0"/>
          <w:sz w:val="20"/>
        </w:rPr>
        <w:t xml:space="preserve">(Agenda item </w:t>
      </w:r>
      <w:r w:rsidR="007F03BF" w:rsidRPr="00506FB7">
        <w:rPr>
          <w:rStyle w:val="SingleTxtGChar"/>
          <w:b w:val="0"/>
          <w:sz w:val="20"/>
        </w:rPr>
        <w:t>11</w:t>
      </w:r>
      <w:r w:rsidR="008000C9" w:rsidRPr="00506FB7">
        <w:rPr>
          <w:rStyle w:val="SingleTxtGChar"/>
          <w:b w:val="0"/>
          <w:sz w:val="20"/>
        </w:rPr>
        <w:t>)</w:t>
      </w:r>
      <w:bookmarkEnd w:id="52"/>
    </w:p>
    <w:p w14:paraId="6E877DB3" w14:textId="77777777" w:rsidR="007F03BF" w:rsidRPr="00506FB7" w:rsidRDefault="00794FF0" w:rsidP="00794FF0">
      <w:pPr>
        <w:pStyle w:val="H1G"/>
        <w:tabs>
          <w:tab w:val="right" w:pos="850"/>
        </w:tabs>
        <w:rPr>
          <w:rStyle w:val="SingleTxtGChar"/>
          <w:b w:val="0"/>
          <w:sz w:val="20"/>
        </w:rPr>
      </w:pPr>
      <w:bookmarkStart w:id="53" w:name="_Toc391983299"/>
      <w:r>
        <w:tab/>
        <w:t>A.</w:t>
      </w:r>
      <w:r>
        <w:tab/>
      </w:r>
      <w:r w:rsidR="007F03BF" w:rsidRPr="00506FB7">
        <w:t>Joint annual report of the Technology Executive Committee and the Climate Technology Centre and Network for 2013</w:t>
      </w:r>
      <w:r w:rsidR="007F03BF" w:rsidRPr="00506FB7">
        <w:br/>
      </w:r>
      <w:r w:rsidR="007F03BF" w:rsidRPr="00506FB7">
        <w:rPr>
          <w:rStyle w:val="SingleTxtGChar"/>
          <w:b w:val="0"/>
          <w:sz w:val="20"/>
        </w:rPr>
        <w:t xml:space="preserve">(Agenda </w:t>
      </w:r>
      <w:r w:rsidR="0016758E" w:rsidRPr="00506FB7">
        <w:rPr>
          <w:rStyle w:val="SingleTxtGChar"/>
          <w:b w:val="0"/>
          <w:sz w:val="20"/>
        </w:rPr>
        <w:t>sub-item</w:t>
      </w:r>
      <w:r w:rsidR="007F03BF" w:rsidRPr="00506FB7">
        <w:rPr>
          <w:rStyle w:val="SingleTxtGChar"/>
          <w:b w:val="0"/>
          <w:sz w:val="20"/>
        </w:rPr>
        <w:t xml:space="preserve"> 11(a))</w:t>
      </w:r>
      <w:bookmarkEnd w:id="53"/>
    </w:p>
    <w:p w14:paraId="5EEE2D51" w14:textId="77777777" w:rsidR="00602295" w:rsidRPr="00506FB7" w:rsidRDefault="00794FF0" w:rsidP="00794FF0">
      <w:pPr>
        <w:pStyle w:val="H23G"/>
        <w:rPr>
          <w:lang w:eastAsia="en-US"/>
        </w:rPr>
      </w:pPr>
      <w:r>
        <w:tab/>
        <w:t>1.</w:t>
      </w:r>
      <w:r>
        <w:tab/>
      </w:r>
      <w:r w:rsidR="00602295" w:rsidRPr="00506FB7">
        <w:t>Proceedings</w:t>
      </w:r>
    </w:p>
    <w:p w14:paraId="724D6ED7" w14:textId="77777777" w:rsidR="00345B62" w:rsidRPr="00506FB7" w:rsidRDefault="00794FF0" w:rsidP="00794FF0">
      <w:pPr>
        <w:pStyle w:val="SingleTxtG"/>
      </w:pPr>
      <w:r>
        <w:t>129.</w:t>
      </w:r>
      <w:r>
        <w:tab/>
      </w:r>
      <w:r w:rsidR="00345B62" w:rsidRPr="00506FB7">
        <w:t xml:space="preserve">The SBI considered this agenda </w:t>
      </w:r>
      <w:r w:rsidR="0016758E" w:rsidRPr="00506FB7">
        <w:t>sub-item</w:t>
      </w:r>
      <w:r w:rsidR="00345B62" w:rsidRPr="00506FB7">
        <w:t xml:space="preserve"> at its </w:t>
      </w:r>
      <w:r w:rsidR="00345B62" w:rsidRPr="00506FB7">
        <w:rPr>
          <w:snapToGrid w:val="0"/>
        </w:rPr>
        <w:t>1</w:t>
      </w:r>
      <w:r w:rsidR="00345B62" w:rsidRPr="00506FB7">
        <w:rPr>
          <w:snapToGrid w:val="0"/>
          <w:vertAlign w:val="superscript"/>
        </w:rPr>
        <w:t>st</w:t>
      </w:r>
      <w:r w:rsidR="00345B62" w:rsidRPr="00506FB7">
        <w:rPr>
          <w:snapToGrid w:val="0"/>
        </w:rPr>
        <w:t xml:space="preserve"> and 2</w:t>
      </w:r>
      <w:r w:rsidR="00345B62" w:rsidRPr="00506FB7">
        <w:rPr>
          <w:snapToGrid w:val="0"/>
          <w:vertAlign w:val="superscript"/>
        </w:rPr>
        <w:t>nd</w:t>
      </w:r>
      <w:r w:rsidR="00345B62" w:rsidRPr="00506FB7">
        <w:rPr>
          <w:snapToGrid w:val="0"/>
        </w:rPr>
        <w:t xml:space="preserve"> meetings</w:t>
      </w:r>
      <w:r w:rsidR="00345B62" w:rsidRPr="00506FB7">
        <w:t xml:space="preserve">. </w:t>
      </w:r>
      <w:r w:rsidR="00602295" w:rsidRPr="00506FB7">
        <w:t>S</w:t>
      </w:r>
      <w:r w:rsidR="00345B62" w:rsidRPr="00506FB7">
        <w:t xml:space="preserve">tatements were made by </w:t>
      </w:r>
      <w:r w:rsidR="007A7574" w:rsidRPr="00506FB7">
        <w:t xml:space="preserve">representatives of </w:t>
      </w:r>
      <w:r w:rsidR="003A291B" w:rsidRPr="00506FB7">
        <w:t>three</w:t>
      </w:r>
      <w:r w:rsidR="00345B62" w:rsidRPr="00506FB7">
        <w:t xml:space="preserve"> Parties, including one speaking on behalf of </w:t>
      </w:r>
      <w:r w:rsidR="003A291B" w:rsidRPr="00506FB7">
        <w:t xml:space="preserve">AOSIS and one on behalf of </w:t>
      </w:r>
      <w:r w:rsidR="00345B62" w:rsidRPr="00506FB7">
        <w:t>the LDCs.</w:t>
      </w:r>
    </w:p>
    <w:p w14:paraId="1FA215F5" w14:textId="77777777" w:rsidR="007F03BF" w:rsidRPr="00506FB7" w:rsidRDefault="00794FF0" w:rsidP="00794FF0">
      <w:pPr>
        <w:pStyle w:val="SingleTxtG"/>
      </w:pPr>
      <w:r>
        <w:t>130.</w:t>
      </w:r>
      <w:r>
        <w:tab/>
      </w:r>
      <w:r w:rsidR="007F03BF" w:rsidRPr="00506FB7">
        <w:t xml:space="preserve">At its </w:t>
      </w:r>
      <w:r w:rsidR="007F03BF" w:rsidRPr="00506FB7">
        <w:rPr>
          <w:snapToGrid w:val="0"/>
        </w:rPr>
        <w:t>1</w:t>
      </w:r>
      <w:r w:rsidR="007F03BF" w:rsidRPr="00506FB7">
        <w:rPr>
          <w:snapToGrid w:val="0"/>
          <w:vertAlign w:val="superscript"/>
        </w:rPr>
        <w:t>st</w:t>
      </w:r>
      <w:r w:rsidR="007F03BF" w:rsidRPr="00506FB7">
        <w:rPr>
          <w:snapToGrid w:val="0"/>
        </w:rPr>
        <w:t xml:space="preserve"> </w:t>
      </w:r>
      <w:r w:rsidR="007F03BF" w:rsidRPr="00506FB7">
        <w:t xml:space="preserve">meeting, the SBI agreed to consider this agenda </w:t>
      </w:r>
      <w:r w:rsidR="0016758E" w:rsidRPr="00506FB7">
        <w:t>sub-item</w:t>
      </w:r>
      <w:r w:rsidR="007F03BF" w:rsidRPr="00506FB7">
        <w:t xml:space="preserve"> </w:t>
      </w:r>
      <w:r w:rsidR="008C2C74" w:rsidRPr="00506FB7">
        <w:t xml:space="preserve">in </w:t>
      </w:r>
      <w:r w:rsidR="007F03BF" w:rsidRPr="00506FB7">
        <w:t xml:space="preserve">informal consultations co-facilitated by </w:t>
      </w:r>
      <w:proofErr w:type="spellStart"/>
      <w:r w:rsidR="007F03BF" w:rsidRPr="00506FB7">
        <w:t>Mr.</w:t>
      </w:r>
      <w:proofErr w:type="spellEnd"/>
      <w:r w:rsidR="007F03BF" w:rsidRPr="00506FB7">
        <w:t xml:space="preserve"> Carlos Fuller (Belize)</w:t>
      </w:r>
      <w:r w:rsidR="007F03BF" w:rsidRPr="00506FB7">
        <w:rPr>
          <w:color w:val="000000"/>
        </w:rPr>
        <w:t xml:space="preserve"> and </w:t>
      </w:r>
      <w:proofErr w:type="spellStart"/>
      <w:r w:rsidR="007F03BF" w:rsidRPr="00506FB7">
        <w:rPr>
          <w:color w:val="000000"/>
        </w:rPr>
        <w:t>M</w:t>
      </w:r>
      <w:r w:rsidR="00FB24B0" w:rsidRPr="00506FB7">
        <w:rPr>
          <w:color w:val="000000"/>
        </w:rPr>
        <w:t>s</w:t>
      </w:r>
      <w:r w:rsidR="007F03BF" w:rsidRPr="00506FB7">
        <w:rPr>
          <w:color w:val="000000"/>
        </w:rPr>
        <w:t>.</w:t>
      </w:r>
      <w:proofErr w:type="spellEnd"/>
      <w:r w:rsidR="007F03BF" w:rsidRPr="00506FB7">
        <w:rPr>
          <w:color w:val="000000"/>
        </w:rPr>
        <w:t xml:space="preserve"> </w:t>
      </w:r>
      <w:proofErr w:type="spellStart"/>
      <w:r w:rsidR="00FB24B0" w:rsidRPr="00506FB7">
        <w:rPr>
          <w:color w:val="000000"/>
        </w:rPr>
        <w:t>Elfriede</w:t>
      </w:r>
      <w:proofErr w:type="spellEnd"/>
      <w:r w:rsidR="00FB24B0" w:rsidRPr="00506FB7">
        <w:rPr>
          <w:color w:val="000000"/>
        </w:rPr>
        <w:t xml:space="preserve"> More</w:t>
      </w:r>
      <w:r w:rsidR="007F03BF" w:rsidRPr="00506FB7">
        <w:rPr>
          <w:color w:val="000000"/>
        </w:rPr>
        <w:t xml:space="preserve"> (</w:t>
      </w:r>
      <w:r w:rsidR="00FB24B0" w:rsidRPr="00506FB7">
        <w:rPr>
          <w:color w:val="000000"/>
        </w:rPr>
        <w:t>Austria</w:t>
      </w:r>
      <w:r w:rsidR="007F03BF" w:rsidRPr="00506FB7">
        <w:rPr>
          <w:color w:val="000000"/>
        </w:rPr>
        <w:t>).</w:t>
      </w:r>
    </w:p>
    <w:p w14:paraId="2831288E" w14:textId="77777777" w:rsidR="007F03BF" w:rsidRPr="00506FB7" w:rsidRDefault="00794FF0" w:rsidP="00794FF0">
      <w:pPr>
        <w:pStyle w:val="SingleTxtG"/>
      </w:pPr>
      <w:r>
        <w:rPr>
          <w:color w:val="000000"/>
        </w:rPr>
        <w:t>131.</w:t>
      </w:r>
      <w:r>
        <w:rPr>
          <w:color w:val="000000"/>
        </w:rPr>
        <w:tab/>
      </w:r>
      <w:r w:rsidR="007F03BF" w:rsidRPr="00506FB7">
        <w:rPr>
          <w:color w:val="000000"/>
        </w:rPr>
        <w:t>A</w:t>
      </w:r>
      <w:r w:rsidR="007F03BF" w:rsidRPr="00506FB7">
        <w:t>t its 2</w:t>
      </w:r>
      <w:r w:rsidR="00A97569" w:rsidRPr="00506FB7">
        <w:rPr>
          <w:vertAlign w:val="superscript"/>
        </w:rPr>
        <w:t>nd</w:t>
      </w:r>
      <w:r w:rsidR="00A97569" w:rsidRPr="00506FB7">
        <w:t xml:space="preserve"> </w:t>
      </w:r>
      <w:r w:rsidR="007F03BF" w:rsidRPr="00506FB7">
        <w:t>meeting, the SBI considered and adopted the conclusions below.</w:t>
      </w:r>
      <w:r w:rsidR="00BA36B2" w:rsidRPr="00506FB7">
        <w:rPr>
          <w:rStyle w:val="FootnoteReference"/>
          <w:color w:val="000000"/>
        </w:rPr>
        <w:footnoteReference w:id="45"/>
      </w:r>
    </w:p>
    <w:p w14:paraId="00ED8D2E" w14:textId="77777777" w:rsidR="009B3094" w:rsidRPr="00506FB7" w:rsidRDefault="00794FF0" w:rsidP="00794FF0">
      <w:pPr>
        <w:pStyle w:val="H23G"/>
      </w:pPr>
      <w:r>
        <w:tab/>
        <w:t>2.</w:t>
      </w:r>
      <w:r>
        <w:tab/>
      </w:r>
      <w:r w:rsidR="007F03BF" w:rsidRPr="00506FB7">
        <w:t>Conclusions</w:t>
      </w:r>
    </w:p>
    <w:p w14:paraId="344DDD07" w14:textId="77777777" w:rsidR="00D56E94" w:rsidRPr="00506FB7" w:rsidRDefault="00794FF0" w:rsidP="00794FF0">
      <w:pPr>
        <w:pStyle w:val="SingleTxtG"/>
      </w:pPr>
      <w:r>
        <w:t>132.</w:t>
      </w:r>
      <w:r>
        <w:tab/>
      </w:r>
      <w:r w:rsidR="00D56E94" w:rsidRPr="00506FB7">
        <w:t>The SBSTA and the SBI, as requested at COP 19, continued consideration of the joint annual report of the TEC and the Climate Technology Centre and Network (CTCN) for 2013</w:t>
      </w:r>
      <w:r w:rsidR="00D56E94" w:rsidRPr="00C73BC8">
        <w:rPr>
          <w:sz w:val="18"/>
          <w:szCs w:val="18"/>
          <w:vertAlign w:val="superscript"/>
        </w:rPr>
        <w:footnoteReference w:id="46"/>
      </w:r>
      <w:r w:rsidR="00D56E94" w:rsidRPr="00506FB7">
        <w:t xml:space="preserve"> with a view to forwarding a draft decision for consideration and adoption at </w:t>
      </w:r>
      <w:r w:rsidR="002F496E" w:rsidRPr="00506FB7">
        <w:t>COP </w:t>
      </w:r>
      <w:r w:rsidR="00D56E94" w:rsidRPr="00506FB7">
        <w:t>20.</w:t>
      </w:r>
      <w:r w:rsidR="00D56E94" w:rsidRPr="00C73BC8">
        <w:rPr>
          <w:sz w:val="18"/>
          <w:szCs w:val="18"/>
          <w:vertAlign w:val="superscript"/>
        </w:rPr>
        <w:footnoteReference w:id="47"/>
      </w:r>
      <w:r w:rsidR="00D56E94" w:rsidRPr="00506FB7">
        <w:t xml:space="preserve"> </w:t>
      </w:r>
    </w:p>
    <w:p w14:paraId="2A251BAE" w14:textId="77777777" w:rsidR="00D56E94" w:rsidRPr="00506FB7" w:rsidRDefault="00794FF0" w:rsidP="00794FF0">
      <w:pPr>
        <w:pStyle w:val="SingleTxtG"/>
      </w:pPr>
      <w:r>
        <w:t>133.</w:t>
      </w:r>
      <w:r>
        <w:tab/>
      </w:r>
      <w:r w:rsidR="00D56E94" w:rsidRPr="00506FB7">
        <w:t>The SBSTA and the SBI invited the TEC to further strengthen the linkages with organizations inside and outside the Convention, as referred to in document FCCC/SB/2012/1, annex II, paragraph 3, which undertake work relating to enabling environments for and barriers to the development and transfer of technology, including those issues referred to in document FCCC/SB/2012/2, paragraph 35.</w:t>
      </w:r>
    </w:p>
    <w:p w14:paraId="6CA3A1C9" w14:textId="77777777" w:rsidR="00D56E94" w:rsidRPr="0036706B" w:rsidRDefault="00794FF0" w:rsidP="00794FF0">
      <w:pPr>
        <w:pStyle w:val="SingleTxtG"/>
      </w:pPr>
      <w:r>
        <w:t>134.</w:t>
      </w:r>
      <w:r>
        <w:tab/>
      </w:r>
      <w:r w:rsidR="00D56E94" w:rsidRPr="0036706B">
        <w:t>The SBSTA and the SBI recommended a draft decision on the joint annual report of the TEC and the CTCN for 2013 for consideration and adoption at COP 20</w:t>
      </w:r>
      <w:r w:rsidR="00AE549A" w:rsidRPr="0036706B">
        <w:t xml:space="preserve"> (for the text of the draft decision, see document FCCC/SBI/2014/8/Add.1)</w:t>
      </w:r>
      <w:r w:rsidR="00D56E94" w:rsidRPr="0036706B">
        <w:t>.</w:t>
      </w:r>
    </w:p>
    <w:p w14:paraId="5C828DB9" w14:textId="77777777" w:rsidR="007F03BF" w:rsidRPr="00D32526" w:rsidRDefault="00794FF0" w:rsidP="00794FF0">
      <w:pPr>
        <w:pStyle w:val="H1G"/>
        <w:tabs>
          <w:tab w:val="right" w:pos="850"/>
        </w:tabs>
        <w:rPr>
          <w:rStyle w:val="SingleTxtGChar"/>
          <w:b w:val="0"/>
          <w:sz w:val="20"/>
        </w:rPr>
      </w:pPr>
      <w:bookmarkStart w:id="54" w:name="_Toc391983300"/>
      <w:r>
        <w:tab/>
        <w:t>B.</w:t>
      </w:r>
      <w:r>
        <w:tab/>
      </w:r>
      <w:r w:rsidR="00FB24B0" w:rsidRPr="00506FB7">
        <w:t>Poznan strategic programme on technology transfer</w:t>
      </w:r>
      <w:r w:rsidR="007F03BF" w:rsidRPr="00506FB7">
        <w:br/>
      </w:r>
      <w:r w:rsidR="007F03BF" w:rsidRPr="00506FB7">
        <w:rPr>
          <w:rStyle w:val="SingleTxtGChar"/>
          <w:b w:val="0"/>
          <w:sz w:val="20"/>
        </w:rPr>
        <w:t xml:space="preserve">(Agenda </w:t>
      </w:r>
      <w:r w:rsidR="0016758E" w:rsidRPr="00C44077">
        <w:rPr>
          <w:rStyle w:val="SingleTxtGChar"/>
          <w:b w:val="0"/>
          <w:sz w:val="20"/>
        </w:rPr>
        <w:t>sub-item</w:t>
      </w:r>
      <w:r w:rsidR="007F03BF" w:rsidRPr="00D32526">
        <w:rPr>
          <w:rStyle w:val="SingleTxtGChar"/>
          <w:b w:val="0"/>
          <w:sz w:val="20"/>
        </w:rPr>
        <w:t xml:space="preserve"> 11(b))</w:t>
      </w:r>
      <w:bookmarkEnd w:id="54"/>
    </w:p>
    <w:p w14:paraId="1783D172" w14:textId="77777777" w:rsidR="008976C6" w:rsidRPr="00AE549A" w:rsidRDefault="00794FF0" w:rsidP="00794FF0">
      <w:pPr>
        <w:pStyle w:val="H23G"/>
        <w:rPr>
          <w:lang w:eastAsia="en-US"/>
        </w:rPr>
      </w:pPr>
      <w:r>
        <w:tab/>
        <w:t>1.</w:t>
      </w:r>
      <w:r>
        <w:tab/>
      </w:r>
      <w:r w:rsidR="008976C6" w:rsidRPr="00CC2764">
        <w:t>Proceedings</w:t>
      </w:r>
    </w:p>
    <w:p w14:paraId="3706B0B8" w14:textId="77777777" w:rsidR="008E3B52" w:rsidRPr="0036706B" w:rsidRDefault="00794FF0" w:rsidP="00794FF0">
      <w:pPr>
        <w:pStyle w:val="SingleTxtG"/>
      </w:pPr>
      <w:r>
        <w:t>135.</w:t>
      </w:r>
      <w:r>
        <w:tab/>
      </w:r>
      <w:r w:rsidR="008E3B52" w:rsidRPr="0036706B">
        <w:t xml:space="preserve">The SBI considered this agenda </w:t>
      </w:r>
      <w:r w:rsidR="0016758E" w:rsidRPr="0036706B">
        <w:t>sub-item</w:t>
      </w:r>
      <w:r w:rsidR="008E3B52" w:rsidRPr="0036706B">
        <w:t xml:space="preserve"> at its </w:t>
      </w:r>
      <w:r w:rsidR="008E3B52" w:rsidRPr="0036706B">
        <w:rPr>
          <w:snapToGrid w:val="0"/>
        </w:rPr>
        <w:t>1</w:t>
      </w:r>
      <w:r w:rsidR="008E3B52" w:rsidRPr="0036706B">
        <w:rPr>
          <w:snapToGrid w:val="0"/>
          <w:vertAlign w:val="superscript"/>
        </w:rPr>
        <w:t>st</w:t>
      </w:r>
      <w:r w:rsidR="008E3B52" w:rsidRPr="0036706B">
        <w:rPr>
          <w:snapToGrid w:val="0"/>
        </w:rPr>
        <w:t xml:space="preserve"> and 2</w:t>
      </w:r>
      <w:r w:rsidR="008E3B52" w:rsidRPr="0036706B">
        <w:rPr>
          <w:snapToGrid w:val="0"/>
          <w:vertAlign w:val="superscript"/>
        </w:rPr>
        <w:t>nd</w:t>
      </w:r>
      <w:r w:rsidR="008E3B52" w:rsidRPr="0036706B">
        <w:rPr>
          <w:snapToGrid w:val="0"/>
        </w:rPr>
        <w:t xml:space="preserve"> meetings</w:t>
      </w:r>
      <w:r w:rsidR="008E3B52" w:rsidRPr="0036706B">
        <w:t xml:space="preserve">. It had before it </w:t>
      </w:r>
      <w:r w:rsidR="004C4910" w:rsidRPr="0036706B">
        <w:t xml:space="preserve">document FCCC/SBI/2014/INF.3. </w:t>
      </w:r>
      <w:r w:rsidR="008E3B52" w:rsidRPr="0036706B">
        <w:t xml:space="preserve">Statements were made by </w:t>
      </w:r>
      <w:r w:rsidR="00F21441" w:rsidRPr="0036706B">
        <w:t xml:space="preserve">representatives of </w:t>
      </w:r>
      <w:r w:rsidR="008E3B52" w:rsidRPr="0036706B">
        <w:t>one Party.</w:t>
      </w:r>
    </w:p>
    <w:p w14:paraId="16B6666D" w14:textId="77777777" w:rsidR="00FB24B0" w:rsidRPr="00E25B01" w:rsidRDefault="00794FF0" w:rsidP="00794FF0">
      <w:pPr>
        <w:pStyle w:val="SingleTxtG"/>
      </w:pPr>
      <w:r>
        <w:t>136.</w:t>
      </w:r>
      <w:r>
        <w:tab/>
      </w:r>
      <w:r w:rsidR="00FB24B0" w:rsidRPr="00AE549A">
        <w:t xml:space="preserve">At its </w:t>
      </w:r>
      <w:r w:rsidR="00FB24B0" w:rsidRPr="00AE549A">
        <w:rPr>
          <w:snapToGrid w:val="0"/>
        </w:rPr>
        <w:t>1</w:t>
      </w:r>
      <w:r w:rsidR="00FB24B0" w:rsidRPr="00AE549A">
        <w:rPr>
          <w:snapToGrid w:val="0"/>
          <w:vertAlign w:val="superscript"/>
        </w:rPr>
        <w:t>st</w:t>
      </w:r>
      <w:r w:rsidR="00FB24B0" w:rsidRPr="00AE549A">
        <w:rPr>
          <w:snapToGrid w:val="0"/>
        </w:rPr>
        <w:t xml:space="preserve"> </w:t>
      </w:r>
      <w:r w:rsidR="00FB24B0" w:rsidRPr="00AE549A">
        <w:t xml:space="preserve">meeting, the SBI agreed to consider this agenda </w:t>
      </w:r>
      <w:r w:rsidR="0016758E" w:rsidRPr="00AE549A">
        <w:t>sub-item</w:t>
      </w:r>
      <w:r w:rsidR="00FB24B0" w:rsidRPr="00AE549A">
        <w:t xml:space="preserve"> in informal consultations co-facilitated by </w:t>
      </w:r>
      <w:proofErr w:type="spellStart"/>
      <w:r w:rsidR="00FB24B0" w:rsidRPr="00E25B01">
        <w:rPr>
          <w:color w:val="000000"/>
        </w:rPr>
        <w:t>Ms.</w:t>
      </w:r>
      <w:proofErr w:type="spellEnd"/>
      <w:r w:rsidR="00FB24B0" w:rsidRPr="00E25B01">
        <w:rPr>
          <w:color w:val="000000"/>
        </w:rPr>
        <w:t xml:space="preserve"> More</w:t>
      </w:r>
      <w:r w:rsidR="00A62D92" w:rsidRPr="00E25B01">
        <w:rPr>
          <w:color w:val="000000"/>
        </w:rPr>
        <w:t xml:space="preserve"> and </w:t>
      </w:r>
      <w:proofErr w:type="spellStart"/>
      <w:r w:rsidR="00A62D92" w:rsidRPr="00E25B01">
        <w:t>Mr.</w:t>
      </w:r>
      <w:proofErr w:type="spellEnd"/>
      <w:r w:rsidR="00A62D92" w:rsidRPr="00E25B01">
        <w:t xml:space="preserve"> Fuller.</w:t>
      </w:r>
    </w:p>
    <w:p w14:paraId="6E84266E" w14:textId="77777777" w:rsidR="007F03BF" w:rsidRPr="00E25B01" w:rsidRDefault="00794FF0" w:rsidP="00794FF0">
      <w:pPr>
        <w:pStyle w:val="SingleTxtG"/>
      </w:pPr>
      <w:r>
        <w:rPr>
          <w:color w:val="000000"/>
        </w:rPr>
        <w:t>137.</w:t>
      </w:r>
      <w:r>
        <w:rPr>
          <w:color w:val="000000"/>
        </w:rPr>
        <w:tab/>
      </w:r>
      <w:r w:rsidR="007F03BF" w:rsidRPr="00E25B01">
        <w:rPr>
          <w:color w:val="000000"/>
        </w:rPr>
        <w:t>A</w:t>
      </w:r>
      <w:r w:rsidR="007F03BF" w:rsidRPr="00E25B01">
        <w:t>t its 2</w:t>
      </w:r>
      <w:r w:rsidR="00A97569" w:rsidRPr="00E25B01">
        <w:rPr>
          <w:vertAlign w:val="superscript"/>
        </w:rPr>
        <w:t>nd</w:t>
      </w:r>
      <w:r w:rsidR="00A97569" w:rsidRPr="00E25B01">
        <w:t xml:space="preserve"> </w:t>
      </w:r>
      <w:r w:rsidR="007F03BF" w:rsidRPr="00E25B01">
        <w:t>meeting, the SBI considered and adopted the conclusions below.</w:t>
      </w:r>
      <w:r w:rsidR="00BA36B2" w:rsidRPr="00E25B01">
        <w:rPr>
          <w:rStyle w:val="FootnoteReference"/>
          <w:color w:val="000000"/>
        </w:rPr>
        <w:footnoteReference w:id="48"/>
      </w:r>
    </w:p>
    <w:p w14:paraId="5EC34B10" w14:textId="77777777" w:rsidR="007F03BF" w:rsidRPr="00E25B01" w:rsidRDefault="00794FF0" w:rsidP="00794FF0">
      <w:pPr>
        <w:pStyle w:val="H23G"/>
      </w:pPr>
      <w:r>
        <w:tab/>
        <w:t>2.</w:t>
      </w:r>
      <w:r>
        <w:tab/>
      </w:r>
      <w:r w:rsidR="007F03BF" w:rsidRPr="00E25B01">
        <w:t>Conclusions</w:t>
      </w:r>
    </w:p>
    <w:p w14:paraId="05237D75" w14:textId="77777777" w:rsidR="00334CFE" w:rsidRPr="00E25B01" w:rsidRDefault="00794FF0" w:rsidP="00794FF0">
      <w:pPr>
        <w:pStyle w:val="SingleTxtG"/>
      </w:pPr>
      <w:r>
        <w:t>138.</w:t>
      </w:r>
      <w:r>
        <w:tab/>
      </w:r>
      <w:r w:rsidR="00D02E4B" w:rsidRPr="00E25B01">
        <w:t>The SBI</w:t>
      </w:r>
      <w:r w:rsidR="00334CFE" w:rsidRPr="00E25B01">
        <w:t xml:space="preserve"> noted the report of </w:t>
      </w:r>
      <w:r w:rsidR="00F848B8" w:rsidRPr="00E25B01">
        <w:t xml:space="preserve">the </w:t>
      </w:r>
      <w:r w:rsidR="00334CFE" w:rsidRPr="00E25B01">
        <w:t>GEF on the progress made in carrying out the Poznan strategic programme on technology transfer,</w:t>
      </w:r>
      <w:r w:rsidR="00334CFE" w:rsidRPr="00E25B01">
        <w:rPr>
          <w:rStyle w:val="FootnoteReference"/>
        </w:rPr>
        <w:footnoteReference w:id="49"/>
      </w:r>
      <w:r w:rsidR="00334CFE" w:rsidRPr="00E25B01">
        <w:t xml:space="preserve"> including the findings arising from the consultations between the GEF and the Advisory Board of the CTCN on the support that the GEF will provide for the work of the CTCN.</w:t>
      </w:r>
    </w:p>
    <w:p w14:paraId="3D90A069" w14:textId="77777777" w:rsidR="00334CFE" w:rsidRPr="00E25B01" w:rsidRDefault="00794FF0" w:rsidP="00794FF0">
      <w:pPr>
        <w:pStyle w:val="SingleTxtG"/>
      </w:pPr>
      <w:r>
        <w:t>139.</w:t>
      </w:r>
      <w:r>
        <w:tab/>
      </w:r>
      <w:r w:rsidR="00334CFE" w:rsidRPr="00E25B01">
        <w:t>The SBI invited the GEF to continue to consult with the Advisory Board of the CTCN on the support that the GEF will provide for the implementation of the five-year programme of work of the CTCN and to report on its findi</w:t>
      </w:r>
      <w:r w:rsidR="00F35A57" w:rsidRPr="00E25B01">
        <w:t>ngs for consideration at SBI 41</w:t>
      </w:r>
      <w:r w:rsidR="00334CFE" w:rsidRPr="00E25B01">
        <w:t>.</w:t>
      </w:r>
    </w:p>
    <w:p w14:paraId="7066AABE" w14:textId="77777777" w:rsidR="00334CFE" w:rsidRPr="00E25B01" w:rsidRDefault="00794FF0" w:rsidP="00794FF0">
      <w:pPr>
        <w:pStyle w:val="SingleTxtG"/>
      </w:pPr>
      <w:r>
        <w:t>140.</w:t>
      </w:r>
      <w:r>
        <w:tab/>
      </w:r>
      <w:r w:rsidR="00334CFE" w:rsidRPr="00E25B01">
        <w:t xml:space="preserve">The SBI also invited the CTCN to include information on the support that it has received from the GEF and other relevant organizations in the 2014 joint annual report of the TEC and the CTCN for consideration </w:t>
      </w:r>
      <w:r w:rsidR="00F35A57" w:rsidRPr="00E25B01">
        <w:t>at COP 20</w:t>
      </w:r>
      <w:r w:rsidR="00334CFE" w:rsidRPr="00E25B01">
        <w:t>.</w:t>
      </w:r>
    </w:p>
    <w:p w14:paraId="2DB1299E" w14:textId="77777777" w:rsidR="00334CFE" w:rsidRPr="00E25B01" w:rsidRDefault="00794FF0" w:rsidP="00794FF0">
      <w:pPr>
        <w:pStyle w:val="SingleTxtG"/>
      </w:pPr>
      <w:r>
        <w:t>141.</w:t>
      </w:r>
      <w:r>
        <w:tab/>
      </w:r>
      <w:r w:rsidR="00334CFE" w:rsidRPr="00E25B01">
        <w:t>The SBI recalled its conclusions at SBI 39, namely the need for the GEF to align the further implementation of the element of the Poznan strategic programme on support for climate technology centres and a climate technology network with the operationalization and activities of the CTCN, taking into account decision 2/CP.17, paragraph 140,</w:t>
      </w:r>
      <w:r w:rsidR="00334CFE" w:rsidRPr="00E25B01">
        <w:rPr>
          <w:rStyle w:val="FootnoteReference"/>
        </w:rPr>
        <w:footnoteReference w:id="50"/>
      </w:r>
      <w:r w:rsidR="00334CFE" w:rsidRPr="00E25B01">
        <w:t xml:space="preserve"> and to consult with the Advisory Board of the CTCN on this matter and report on its findings for consideration at SBI 41. </w:t>
      </w:r>
    </w:p>
    <w:p w14:paraId="00967023" w14:textId="77777777" w:rsidR="00334CFE" w:rsidRPr="00E25B01" w:rsidRDefault="00794FF0" w:rsidP="00794FF0">
      <w:pPr>
        <w:pStyle w:val="SingleTxtG"/>
      </w:pPr>
      <w:r>
        <w:t>142.</w:t>
      </w:r>
      <w:r>
        <w:tab/>
      </w:r>
      <w:r w:rsidR="00334CFE" w:rsidRPr="00E25B01">
        <w:t>The SBI invited the TEC to evaluate the Poznan strategic programme with the aim of enhancing the effectiveness of the Technology Mechanism and to report back to COP 20 through SBI 41.</w:t>
      </w:r>
    </w:p>
    <w:p w14:paraId="2658AB1C" w14:textId="77777777" w:rsidR="00334CFE" w:rsidRPr="00E25B01" w:rsidRDefault="00794FF0" w:rsidP="00794FF0">
      <w:pPr>
        <w:pStyle w:val="SingleTxtG"/>
      </w:pPr>
      <w:r>
        <w:t>143.</w:t>
      </w:r>
      <w:r>
        <w:tab/>
      </w:r>
      <w:r w:rsidR="00334CFE" w:rsidRPr="00E25B01">
        <w:t>The SBI welcomed the approval by the GEF Council of a new project of the United Nations Environment Programme which provides technical and financial support to 27 non-Annex I Parties for conducting or updating their technology needs assessments (TNAs) and technology action plans, as well as the approval of six national projects incorporating TNA support activities.</w:t>
      </w:r>
    </w:p>
    <w:p w14:paraId="32A91416" w14:textId="77777777" w:rsidR="00334CFE" w:rsidRPr="00E25B01" w:rsidRDefault="00794FF0" w:rsidP="00794FF0">
      <w:pPr>
        <w:pStyle w:val="SingleTxtG"/>
      </w:pPr>
      <w:r>
        <w:t>144.</w:t>
      </w:r>
      <w:r>
        <w:tab/>
      </w:r>
      <w:r w:rsidR="00334CFE" w:rsidRPr="00E25B01">
        <w:t>The SBI noted the need for Parties to enhance and follow up the TNA process by further promoting the development and implementation of economically, environmentally and socially sound project proposals.</w:t>
      </w:r>
    </w:p>
    <w:p w14:paraId="1B7456D7" w14:textId="77777777" w:rsidR="00334CFE" w:rsidRPr="00E25B01" w:rsidRDefault="00794FF0" w:rsidP="00794FF0">
      <w:pPr>
        <w:pStyle w:val="SingleTxtG"/>
      </w:pPr>
      <w:r>
        <w:t>145.</w:t>
      </w:r>
      <w:r>
        <w:tab/>
      </w:r>
      <w:r w:rsidR="00334CFE" w:rsidRPr="00E25B01">
        <w:t>The SBI invited the GEF to further support the implementation of the results of TNAs, including technology action plans and project ideas prepared by non-Annex I Parties.</w:t>
      </w:r>
    </w:p>
    <w:p w14:paraId="593432D5" w14:textId="77777777" w:rsidR="008000C9" w:rsidRPr="00E25B01" w:rsidRDefault="00794FF0" w:rsidP="00794FF0">
      <w:pPr>
        <w:pStyle w:val="HChG"/>
      </w:pPr>
      <w:bookmarkStart w:id="55" w:name="_Toc391983301"/>
      <w:r>
        <w:tab/>
        <w:t>XII.</w:t>
      </w:r>
      <w:r>
        <w:tab/>
      </w:r>
      <w:r w:rsidR="004D0E30" w:rsidRPr="00E25B01">
        <w:t>Capacity</w:t>
      </w:r>
      <w:r w:rsidR="00A227F2" w:rsidRPr="00E25B01">
        <w:t>-</w:t>
      </w:r>
      <w:r w:rsidR="00F976C1" w:rsidRPr="00E25B01">
        <w:t xml:space="preserve">building </w:t>
      </w:r>
      <w:r w:rsidR="008000C9" w:rsidRPr="00E25B01">
        <w:br/>
      </w:r>
      <w:r w:rsidR="008000C9" w:rsidRPr="00E25B01">
        <w:rPr>
          <w:rStyle w:val="SingleTxtGChar"/>
          <w:b w:val="0"/>
          <w:sz w:val="20"/>
        </w:rPr>
        <w:t xml:space="preserve">(Agenda item </w:t>
      </w:r>
      <w:r w:rsidR="004D0E30" w:rsidRPr="00E25B01">
        <w:rPr>
          <w:rStyle w:val="SingleTxtGChar"/>
          <w:b w:val="0"/>
          <w:sz w:val="20"/>
        </w:rPr>
        <w:t>12</w:t>
      </w:r>
      <w:r w:rsidR="008000C9" w:rsidRPr="00E25B01">
        <w:rPr>
          <w:rStyle w:val="SingleTxtGChar"/>
          <w:b w:val="0"/>
          <w:sz w:val="20"/>
        </w:rPr>
        <w:t>)</w:t>
      </w:r>
      <w:bookmarkEnd w:id="55"/>
    </w:p>
    <w:p w14:paraId="428F0AD4" w14:textId="77777777" w:rsidR="004D0E30" w:rsidRPr="00E25B01" w:rsidRDefault="00794FF0" w:rsidP="00794FF0">
      <w:pPr>
        <w:pStyle w:val="H1G"/>
        <w:tabs>
          <w:tab w:val="right" w:pos="850"/>
        </w:tabs>
        <w:rPr>
          <w:rStyle w:val="SingleTxtGChar"/>
          <w:b w:val="0"/>
          <w:sz w:val="20"/>
        </w:rPr>
      </w:pPr>
      <w:bookmarkStart w:id="56" w:name="_Toc391983302"/>
      <w:r>
        <w:tab/>
        <w:t>A.</w:t>
      </w:r>
      <w:r>
        <w:tab/>
      </w:r>
      <w:r w:rsidR="004D0E30" w:rsidRPr="00E25B01">
        <w:t>Capacity-building under the Convention</w:t>
      </w:r>
      <w:r w:rsidR="004D0E30" w:rsidRPr="00E25B01">
        <w:br/>
      </w:r>
      <w:r w:rsidR="004D0E30" w:rsidRPr="00E25B01">
        <w:rPr>
          <w:rStyle w:val="SingleTxtGChar"/>
          <w:b w:val="0"/>
          <w:sz w:val="20"/>
        </w:rPr>
        <w:t xml:space="preserve">(Agenda </w:t>
      </w:r>
      <w:r w:rsidR="0016758E" w:rsidRPr="00E25B01">
        <w:rPr>
          <w:rStyle w:val="SingleTxtGChar"/>
          <w:b w:val="0"/>
          <w:sz w:val="20"/>
        </w:rPr>
        <w:t>sub-item</w:t>
      </w:r>
      <w:r w:rsidR="004D0E30" w:rsidRPr="00E25B01">
        <w:rPr>
          <w:rStyle w:val="SingleTxtGChar"/>
          <w:b w:val="0"/>
          <w:sz w:val="20"/>
        </w:rPr>
        <w:t xml:space="preserve"> 12(a))</w:t>
      </w:r>
      <w:bookmarkEnd w:id="56"/>
    </w:p>
    <w:p w14:paraId="049F4953" w14:textId="77777777" w:rsidR="008C7074" w:rsidRPr="00E25B01" w:rsidRDefault="00794FF0" w:rsidP="00794FF0">
      <w:pPr>
        <w:pStyle w:val="H23G"/>
        <w:rPr>
          <w:lang w:eastAsia="en-US"/>
        </w:rPr>
      </w:pPr>
      <w:r>
        <w:tab/>
        <w:t>1.</w:t>
      </w:r>
      <w:r>
        <w:tab/>
      </w:r>
      <w:r w:rsidR="008C7074" w:rsidRPr="00E25B01">
        <w:t>Proceedings</w:t>
      </w:r>
    </w:p>
    <w:p w14:paraId="6DCCB49D" w14:textId="77777777" w:rsidR="00CC4B95" w:rsidRPr="0097390C" w:rsidRDefault="00794FF0" w:rsidP="00794FF0">
      <w:pPr>
        <w:pStyle w:val="SingleTxtG"/>
      </w:pPr>
      <w:r>
        <w:t>146.</w:t>
      </w:r>
      <w:r>
        <w:tab/>
      </w:r>
      <w:r w:rsidR="00CC4B95" w:rsidRPr="0097390C">
        <w:t xml:space="preserve">The SBI considered this agenda </w:t>
      </w:r>
      <w:r w:rsidR="0016758E" w:rsidRPr="0097390C">
        <w:t>sub-item</w:t>
      </w:r>
      <w:r w:rsidR="00CC4B95" w:rsidRPr="0097390C">
        <w:t xml:space="preserve"> at its </w:t>
      </w:r>
      <w:r w:rsidR="00CC4B95" w:rsidRPr="0097390C">
        <w:rPr>
          <w:snapToGrid w:val="0"/>
        </w:rPr>
        <w:t>1</w:t>
      </w:r>
      <w:r w:rsidR="00CC4B95" w:rsidRPr="0097390C">
        <w:rPr>
          <w:snapToGrid w:val="0"/>
          <w:vertAlign w:val="superscript"/>
        </w:rPr>
        <w:t>st</w:t>
      </w:r>
      <w:r w:rsidR="00CC4B95" w:rsidRPr="0097390C">
        <w:rPr>
          <w:snapToGrid w:val="0"/>
        </w:rPr>
        <w:t xml:space="preserve"> </w:t>
      </w:r>
      <w:r w:rsidR="003819C7" w:rsidRPr="0097390C">
        <w:rPr>
          <w:snapToGrid w:val="0"/>
        </w:rPr>
        <w:t>and 2</w:t>
      </w:r>
      <w:r w:rsidR="003819C7" w:rsidRPr="0097390C">
        <w:rPr>
          <w:snapToGrid w:val="0"/>
          <w:vertAlign w:val="superscript"/>
        </w:rPr>
        <w:t>nd</w:t>
      </w:r>
      <w:r w:rsidR="003819C7" w:rsidRPr="0097390C">
        <w:rPr>
          <w:snapToGrid w:val="0"/>
        </w:rPr>
        <w:t xml:space="preserve"> </w:t>
      </w:r>
      <w:r w:rsidR="008C7074" w:rsidRPr="0097390C">
        <w:rPr>
          <w:snapToGrid w:val="0"/>
        </w:rPr>
        <w:t>meeting</w:t>
      </w:r>
      <w:r w:rsidR="003819C7" w:rsidRPr="0097390C">
        <w:rPr>
          <w:snapToGrid w:val="0"/>
        </w:rPr>
        <w:t>s</w:t>
      </w:r>
      <w:r w:rsidR="00CC4B95" w:rsidRPr="0097390C">
        <w:t>. It had before it documents</w:t>
      </w:r>
      <w:r w:rsidR="00783419" w:rsidRPr="0097390C">
        <w:t xml:space="preserve"> FCCC/SB</w:t>
      </w:r>
      <w:r w:rsidR="008824FD" w:rsidRPr="0097390C">
        <w:t>I/2014/2</w:t>
      </w:r>
      <w:r w:rsidR="002F496E" w:rsidRPr="0097390C">
        <w:t xml:space="preserve"> and </w:t>
      </w:r>
      <w:r w:rsidR="00A227F2" w:rsidRPr="0097390C">
        <w:t>Add</w:t>
      </w:r>
      <w:r w:rsidR="008824FD" w:rsidRPr="0097390C">
        <w:t>.1</w:t>
      </w:r>
      <w:r w:rsidR="00674A00" w:rsidRPr="0097390C">
        <w:t>,</w:t>
      </w:r>
      <w:r w:rsidR="008824FD" w:rsidRPr="0097390C">
        <w:t xml:space="preserve"> </w:t>
      </w:r>
      <w:r w:rsidR="00674A00" w:rsidRPr="0097390C">
        <w:t>FCCC/SBI/2014/7</w:t>
      </w:r>
      <w:r w:rsidR="006B28DB" w:rsidRPr="0097390C">
        <w:t xml:space="preserve"> </w:t>
      </w:r>
      <w:r w:rsidR="00783419" w:rsidRPr="0097390C">
        <w:t>and FCCC/SBI/2014/MISC.2</w:t>
      </w:r>
      <w:r w:rsidR="007A7C8E" w:rsidRPr="0097390C">
        <w:t xml:space="preserve"> and Add.1 and 2</w:t>
      </w:r>
      <w:r w:rsidR="00783419" w:rsidRPr="0097390C">
        <w:t xml:space="preserve">. </w:t>
      </w:r>
      <w:r w:rsidR="00CC4B95" w:rsidRPr="0097390C">
        <w:t>Statements were made by</w:t>
      </w:r>
      <w:r w:rsidR="00A227F2" w:rsidRPr="0097390C">
        <w:t xml:space="preserve"> representatives of</w:t>
      </w:r>
      <w:r w:rsidR="00CC4B95" w:rsidRPr="0097390C">
        <w:t xml:space="preserve"> two Parties, including one speaking on behalf of the LDCs.</w:t>
      </w:r>
    </w:p>
    <w:p w14:paraId="6139E577" w14:textId="77777777" w:rsidR="004D0E30" w:rsidRPr="00E25B01" w:rsidRDefault="00794FF0" w:rsidP="00794FF0">
      <w:pPr>
        <w:pStyle w:val="SingleTxtG"/>
      </w:pPr>
      <w:r>
        <w:t>147.</w:t>
      </w:r>
      <w:r>
        <w:tab/>
      </w:r>
      <w:r w:rsidR="004D0E30" w:rsidRPr="00E25B01">
        <w:t xml:space="preserve">At its </w:t>
      </w:r>
      <w:r w:rsidR="004D0E30" w:rsidRPr="00E25B01">
        <w:rPr>
          <w:snapToGrid w:val="0"/>
        </w:rPr>
        <w:t>1</w:t>
      </w:r>
      <w:r w:rsidR="004D0E30" w:rsidRPr="00E25B01">
        <w:rPr>
          <w:snapToGrid w:val="0"/>
          <w:vertAlign w:val="superscript"/>
        </w:rPr>
        <w:t>st</w:t>
      </w:r>
      <w:r w:rsidR="004D0E30" w:rsidRPr="00E25B01">
        <w:rPr>
          <w:snapToGrid w:val="0"/>
        </w:rPr>
        <w:t xml:space="preserve"> </w:t>
      </w:r>
      <w:r w:rsidR="004D0E30" w:rsidRPr="00E25B01">
        <w:t xml:space="preserve">meeting, the SBI agreed to consider this agenda </w:t>
      </w:r>
      <w:r w:rsidR="0016758E" w:rsidRPr="00E25B01">
        <w:t>sub-item</w:t>
      </w:r>
      <w:r w:rsidR="004D0E30" w:rsidRPr="00E25B01">
        <w:t xml:space="preserve"> in informal consultations facilitated by </w:t>
      </w:r>
      <w:proofErr w:type="spellStart"/>
      <w:r w:rsidR="004D0E30" w:rsidRPr="00E25B01">
        <w:t>Mr.</w:t>
      </w:r>
      <w:proofErr w:type="spellEnd"/>
      <w:r w:rsidR="004D0E30" w:rsidRPr="00E25B01">
        <w:t xml:space="preserve"> </w:t>
      </w:r>
      <w:proofErr w:type="spellStart"/>
      <w:r w:rsidR="004D0E30" w:rsidRPr="00E25B01">
        <w:t>Tosi</w:t>
      </w:r>
      <w:proofErr w:type="spellEnd"/>
      <w:r w:rsidR="004D0E30" w:rsidRPr="00E25B01">
        <w:t xml:space="preserve"> </w:t>
      </w:r>
      <w:proofErr w:type="spellStart"/>
      <w:r w:rsidR="004D0E30" w:rsidRPr="00E25B01">
        <w:t>Mpanu</w:t>
      </w:r>
      <w:proofErr w:type="spellEnd"/>
      <w:r w:rsidR="004D0E30" w:rsidRPr="00E25B01">
        <w:t xml:space="preserve"> </w:t>
      </w:r>
      <w:proofErr w:type="spellStart"/>
      <w:r w:rsidR="004D0E30" w:rsidRPr="00E25B01">
        <w:t>Mpanu</w:t>
      </w:r>
      <w:proofErr w:type="spellEnd"/>
      <w:r w:rsidR="004D0E30" w:rsidRPr="00E25B01">
        <w:t xml:space="preserve"> (</w:t>
      </w:r>
      <w:r w:rsidR="00180B3E" w:rsidRPr="00E25B01">
        <w:t>Democratic Republic of the Congo</w:t>
      </w:r>
      <w:r w:rsidR="004D0E30" w:rsidRPr="00E25B01">
        <w:t>)</w:t>
      </w:r>
      <w:r w:rsidR="00CA0A0B" w:rsidRPr="00E25B01">
        <w:rPr>
          <w:color w:val="000000"/>
        </w:rPr>
        <w:t>.</w:t>
      </w:r>
      <w:r w:rsidR="003819C7" w:rsidRPr="00E25B01">
        <w:rPr>
          <w:color w:val="000000"/>
        </w:rPr>
        <w:t xml:space="preserve"> </w:t>
      </w:r>
      <w:r w:rsidR="003819C7" w:rsidRPr="00E25B01">
        <w:t xml:space="preserve">As </w:t>
      </w:r>
      <w:proofErr w:type="spellStart"/>
      <w:r w:rsidR="003819C7" w:rsidRPr="00E25B01">
        <w:t>Mr.</w:t>
      </w:r>
      <w:proofErr w:type="spellEnd"/>
      <w:r w:rsidR="003819C7" w:rsidRPr="00E25B01">
        <w:t xml:space="preserve"> </w:t>
      </w:r>
      <w:proofErr w:type="spellStart"/>
      <w:r w:rsidR="003819C7" w:rsidRPr="00E25B01">
        <w:t>Mpanu</w:t>
      </w:r>
      <w:proofErr w:type="spellEnd"/>
      <w:r w:rsidR="003819C7" w:rsidRPr="00E25B01">
        <w:t xml:space="preserve"> </w:t>
      </w:r>
      <w:proofErr w:type="spellStart"/>
      <w:r w:rsidR="003819C7" w:rsidRPr="00E25B01">
        <w:t>Mpanu</w:t>
      </w:r>
      <w:proofErr w:type="spellEnd"/>
      <w:r w:rsidR="003819C7" w:rsidRPr="00E25B01">
        <w:t xml:space="preserve"> was unable to attend the entire session, </w:t>
      </w:r>
      <w:proofErr w:type="spellStart"/>
      <w:r w:rsidR="003819C7" w:rsidRPr="00E25B01">
        <w:t>Mr.</w:t>
      </w:r>
      <w:proofErr w:type="spellEnd"/>
      <w:r w:rsidR="003819C7" w:rsidRPr="00E25B01">
        <w:t xml:space="preserve"> </w:t>
      </w:r>
      <w:proofErr w:type="spellStart"/>
      <w:r w:rsidR="003819C7" w:rsidRPr="00E25B01">
        <w:t>Gwage</w:t>
      </w:r>
      <w:proofErr w:type="spellEnd"/>
      <w:r w:rsidR="003819C7" w:rsidRPr="00E25B01">
        <w:rPr>
          <w:color w:val="000000"/>
        </w:rPr>
        <w:t xml:space="preserve"> was invited to facilitate the last of these consultations.</w:t>
      </w:r>
    </w:p>
    <w:p w14:paraId="0524FEF2" w14:textId="77777777" w:rsidR="004D0E30" w:rsidRPr="00E25B01" w:rsidRDefault="00794FF0" w:rsidP="00794FF0">
      <w:pPr>
        <w:pStyle w:val="SingleTxtG"/>
      </w:pPr>
      <w:r>
        <w:rPr>
          <w:color w:val="000000"/>
        </w:rPr>
        <w:t>148.</w:t>
      </w:r>
      <w:r>
        <w:rPr>
          <w:color w:val="000000"/>
        </w:rPr>
        <w:tab/>
      </w:r>
      <w:r w:rsidR="004D0E30" w:rsidRPr="00E25B01">
        <w:rPr>
          <w:color w:val="000000"/>
        </w:rPr>
        <w:t>A</w:t>
      </w:r>
      <w:r w:rsidR="004D0E30" w:rsidRPr="00E25B01">
        <w:t>t its 2</w:t>
      </w:r>
      <w:r w:rsidR="003819C7" w:rsidRPr="00E25B01">
        <w:rPr>
          <w:vertAlign w:val="superscript"/>
        </w:rPr>
        <w:t>nd</w:t>
      </w:r>
      <w:r w:rsidR="003819C7" w:rsidRPr="00E25B01">
        <w:t xml:space="preserve"> </w:t>
      </w:r>
      <w:r w:rsidR="004D0E30" w:rsidRPr="00E25B01">
        <w:t>meeting, the SBI considered and adopted the conclusions below.</w:t>
      </w:r>
      <w:r w:rsidR="00BA36B2" w:rsidRPr="00E25B01">
        <w:rPr>
          <w:rStyle w:val="FootnoteReference"/>
          <w:color w:val="000000"/>
        </w:rPr>
        <w:footnoteReference w:id="51"/>
      </w:r>
    </w:p>
    <w:p w14:paraId="77552EED" w14:textId="77777777" w:rsidR="004D0E30" w:rsidRPr="00E25B01" w:rsidRDefault="00794FF0" w:rsidP="00794FF0">
      <w:pPr>
        <w:pStyle w:val="H23G"/>
      </w:pPr>
      <w:r>
        <w:tab/>
        <w:t>2.</w:t>
      </w:r>
      <w:r>
        <w:tab/>
      </w:r>
      <w:r w:rsidR="004D0E30" w:rsidRPr="00E25B01">
        <w:t>Conclusions</w:t>
      </w:r>
    </w:p>
    <w:p w14:paraId="19F62FF6" w14:textId="77777777" w:rsidR="0076182E" w:rsidRPr="00E25B01" w:rsidRDefault="00794FF0" w:rsidP="00794FF0">
      <w:pPr>
        <w:pStyle w:val="SingleTxtG"/>
      </w:pPr>
      <w:r>
        <w:rPr>
          <w:rFonts w:eastAsia="Arial Unicode MS"/>
          <w:u w:color="000000"/>
        </w:rPr>
        <w:t>149.</w:t>
      </w:r>
      <w:r>
        <w:rPr>
          <w:rFonts w:eastAsia="Arial Unicode MS"/>
          <w:u w:color="000000"/>
        </w:rPr>
        <w:tab/>
      </w:r>
      <w:r w:rsidR="0076182E" w:rsidRPr="00E25B01">
        <w:rPr>
          <w:rFonts w:eastAsia="Arial Unicode MS"/>
          <w:u w:color="000000"/>
        </w:rPr>
        <w:t xml:space="preserve">The </w:t>
      </w:r>
      <w:r w:rsidR="0076182E" w:rsidRPr="00E25B01">
        <w:t xml:space="preserve">SBI </w:t>
      </w:r>
      <w:r w:rsidR="0076182E" w:rsidRPr="00E25B01">
        <w:rPr>
          <w:rFonts w:eastAsia="Arial Unicode MS"/>
          <w:u w:color="000000"/>
        </w:rPr>
        <w:t>welcomed</w:t>
      </w:r>
      <w:r w:rsidR="0076182E" w:rsidRPr="00E25B01">
        <w:rPr>
          <w:rFonts w:eastAsia="Arial Unicode MS"/>
          <w:i/>
          <w:u w:color="000000"/>
        </w:rPr>
        <w:t xml:space="preserve"> </w:t>
      </w:r>
      <w:r w:rsidR="0076182E" w:rsidRPr="00E25B01">
        <w:rPr>
          <w:rFonts w:eastAsia="Arial Unicode MS"/>
          <w:u w:color="000000"/>
        </w:rPr>
        <w:t>the success of the 2</w:t>
      </w:r>
      <w:r w:rsidR="0076182E" w:rsidRPr="00E25B01">
        <w:rPr>
          <w:rFonts w:eastAsia="Arial Unicode MS"/>
          <w:u w:color="000000"/>
          <w:vertAlign w:val="superscript"/>
        </w:rPr>
        <w:t>nd</w:t>
      </w:r>
      <w:r w:rsidR="0076182E" w:rsidRPr="00E25B01">
        <w:rPr>
          <w:rFonts w:eastAsia="Arial Unicode MS"/>
          <w:u w:color="000000"/>
        </w:rPr>
        <w:t xml:space="preserve"> and 3</w:t>
      </w:r>
      <w:r w:rsidR="0076182E" w:rsidRPr="00E25B01">
        <w:rPr>
          <w:rFonts w:eastAsia="Arial Unicode MS"/>
          <w:u w:color="000000"/>
          <w:vertAlign w:val="superscript"/>
        </w:rPr>
        <w:t>rd</w:t>
      </w:r>
      <w:r w:rsidR="0076182E" w:rsidRPr="00E25B01">
        <w:rPr>
          <w:rFonts w:eastAsia="Arial Unicode MS"/>
          <w:u w:color="000000"/>
        </w:rPr>
        <w:t xml:space="preserve"> meetings of the Durban Forum for in-depth discussion on capacity-building, held during SBI 38 and 40.</w:t>
      </w:r>
    </w:p>
    <w:p w14:paraId="149ABF92" w14:textId="77777777" w:rsidR="0076182E" w:rsidRPr="00E25B01" w:rsidRDefault="00794FF0" w:rsidP="00794FF0">
      <w:pPr>
        <w:pStyle w:val="SingleTxtG"/>
      </w:pPr>
      <w:r>
        <w:rPr>
          <w:rFonts w:eastAsia="Arial Unicode MS" w:hAnsi="Arial Unicode MS"/>
          <w:u w:color="000000"/>
        </w:rPr>
        <w:t>150.</w:t>
      </w:r>
      <w:r>
        <w:rPr>
          <w:rFonts w:eastAsia="Arial Unicode MS" w:hAnsi="Arial Unicode MS"/>
          <w:u w:color="000000"/>
        </w:rPr>
        <w:tab/>
      </w:r>
      <w:r w:rsidR="001B28D7" w:rsidRPr="00E25B01">
        <w:rPr>
          <w:rFonts w:eastAsia="Arial Unicode MS" w:hAnsi="Arial Unicode MS"/>
          <w:u w:color="000000"/>
        </w:rPr>
        <w:t xml:space="preserve">The </w:t>
      </w:r>
      <w:r w:rsidR="0076182E" w:rsidRPr="00E25B01">
        <w:rPr>
          <w:rFonts w:eastAsia="Arial Unicode MS" w:hAnsi="Arial Unicode MS"/>
          <w:u w:color="000000"/>
        </w:rPr>
        <w:t>SBI ex</w:t>
      </w:r>
      <w:r w:rsidR="0076182E" w:rsidRPr="00E25B01">
        <w:rPr>
          <w:rFonts w:eastAsia="Arial Unicode MS"/>
          <w:u w:color="000000"/>
        </w:rPr>
        <w:t xml:space="preserve">pressed its </w:t>
      </w:r>
      <w:r w:rsidR="0076182E" w:rsidRPr="00E25B01">
        <w:rPr>
          <w:rFonts w:eastAsia="Arial Unicode MS" w:hAnsi="Arial Unicode MS"/>
          <w:u w:color="000000"/>
          <w:lang w:eastAsia="en-GB"/>
        </w:rPr>
        <w:t>appreciation</w:t>
      </w:r>
      <w:r w:rsidR="0076182E" w:rsidRPr="00E25B01">
        <w:rPr>
          <w:rFonts w:eastAsia="Arial Unicode MS"/>
          <w:u w:color="000000"/>
        </w:rPr>
        <w:t xml:space="preserve"> to Parties and representatives of intergovernmental and non-governmental </w:t>
      </w:r>
      <w:r w:rsidR="0076182E" w:rsidRPr="00E25B01">
        <w:t>organizations</w:t>
      </w:r>
      <w:r w:rsidR="0076182E" w:rsidRPr="00E25B01">
        <w:rPr>
          <w:rFonts w:eastAsia="Arial Unicode MS"/>
          <w:u w:color="000000"/>
        </w:rPr>
        <w:t xml:space="preserve"> and the private sector for their active participation in the 2</w:t>
      </w:r>
      <w:r w:rsidR="0076182E" w:rsidRPr="00E25B01">
        <w:rPr>
          <w:rFonts w:eastAsia="Arial Unicode MS"/>
          <w:u w:color="000000"/>
          <w:vertAlign w:val="superscript"/>
        </w:rPr>
        <w:t>nd</w:t>
      </w:r>
      <w:r w:rsidR="0076182E" w:rsidRPr="00E25B01">
        <w:rPr>
          <w:rFonts w:eastAsia="Arial Unicode MS"/>
          <w:u w:color="000000"/>
        </w:rPr>
        <w:t xml:space="preserve"> and 3</w:t>
      </w:r>
      <w:r w:rsidR="0076182E" w:rsidRPr="00E25B01">
        <w:rPr>
          <w:rFonts w:eastAsia="Arial Unicode MS"/>
          <w:u w:color="000000"/>
          <w:vertAlign w:val="superscript"/>
        </w:rPr>
        <w:t>rd</w:t>
      </w:r>
      <w:r w:rsidR="0076182E" w:rsidRPr="00E25B01">
        <w:rPr>
          <w:rFonts w:eastAsia="Arial Unicode MS"/>
          <w:u w:color="000000"/>
        </w:rPr>
        <w:t xml:space="preserve"> meetings of the Durban Forum and for the sharing of experiences and exchanging of ideas, best practices and lessons learned regarding the implementation of capacity-building activities.</w:t>
      </w:r>
    </w:p>
    <w:p w14:paraId="0FB3F74B" w14:textId="77777777" w:rsidR="0076182E" w:rsidRPr="00E25B01" w:rsidRDefault="00794FF0" w:rsidP="00794FF0">
      <w:pPr>
        <w:pStyle w:val="SingleTxtG"/>
      </w:pPr>
      <w:r>
        <w:rPr>
          <w:rFonts w:eastAsia="Arial Unicode MS"/>
          <w:u w:color="000000"/>
        </w:rPr>
        <w:t>151.</w:t>
      </w:r>
      <w:r>
        <w:rPr>
          <w:rFonts w:eastAsia="Arial Unicode MS"/>
          <w:u w:color="000000"/>
        </w:rPr>
        <w:tab/>
      </w:r>
      <w:r w:rsidR="0076182E" w:rsidRPr="00E25B01">
        <w:rPr>
          <w:rFonts w:eastAsia="Arial Unicode MS"/>
          <w:u w:color="000000"/>
        </w:rPr>
        <w:t xml:space="preserve">The SBI welcomed the </w:t>
      </w:r>
      <w:r w:rsidR="0076182E" w:rsidRPr="00E25B01">
        <w:t>launch</w:t>
      </w:r>
      <w:r w:rsidR="0076182E" w:rsidRPr="00E25B01">
        <w:rPr>
          <w:rFonts w:eastAsia="Arial Unicode MS"/>
          <w:u w:color="000000"/>
        </w:rPr>
        <w:t xml:space="preserve"> of the UNFCCC </w:t>
      </w:r>
      <w:r w:rsidR="00A227F2" w:rsidRPr="00E25B01">
        <w:rPr>
          <w:rFonts w:eastAsia="Arial Unicode MS"/>
          <w:u w:color="000000"/>
        </w:rPr>
        <w:t>capacity-building portal</w:t>
      </w:r>
      <w:r w:rsidR="0076182E" w:rsidRPr="00E25B01">
        <w:rPr>
          <w:rFonts w:eastAsia="Arial Unicode MS"/>
          <w:u w:color="000000"/>
        </w:rPr>
        <w:t>.</w:t>
      </w:r>
      <w:r w:rsidR="0076182E" w:rsidRPr="00E25B01">
        <w:rPr>
          <w:rStyle w:val="FootnoteReference"/>
          <w:rFonts w:eastAsia="Arial Unicode MS"/>
          <w:color w:val="000000"/>
          <w:u w:color="000000"/>
        </w:rPr>
        <w:footnoteReference w:id="52"/>
      </w:r>
      <w:r w:rsidR="0076182E" w:rsidRPr="00E25B01">
        <w:rPr>
          <w:rFonts w:eastAsia="Arial Unicode MS"/>
          <w:u w:color="000000"/>
        </w:rPr>
        <w:t xml:space="preserve"> </w:t>
      </w:r>
    </w:p>
    <w:p w14:paraId="0622B504" w14:textId="77777777" w:rsidR="0076182E" w:rsidRPr="0097390C" w:rsidRDefault="00794FF0" w:rsidP="00794FF0">
      <w:pPr>
        <w:pStyle w:val="SingleTxtG"/>
      </w:pPr>
      <w:r>
        <w:rPr>
          <w:rFonts w:eastAsia="Arial Unicode MS"/>
          <w:u w:color="000000"/>
        </w:rPr>
        <w:t>152.</w:t>
      </w:r>
      <w:r>
        <w:rPr>
          <w:rFonts w:eastAsia="Arial Unicode MS"/>
          <w:u w:color="000000"/>
        </w:rPr>
        <w:tab/>
      </w:r>
      <w:r w:rsidR="0076182E" w:rsidRPr="00E25B01">
        <w:rPr>
          <w:rFonts w:eastAsia="Arial Unicode MS"/>
          <w:u w:color="000000"/>
        </w:rPr>
        <w:t xml:space="preserve">The SBI continued, but did not conclude, its consideration of capacity-building for </w:t>
      </w:r>
      <w:r w:rsidR="0076182E" w:rsidRPr="0097390C">
        <w:rPr>
          <w:rFonts w:eastAsia="Arial Unicode MS"/>
          <w:u w:color="000000"/>
        </w:rPr>
        <w:t xml:space="preserve">developing countries under the Convention. It agreed to continue its consideration of the matter at SBI 41 on the basis of the draft decision text contained in the annex </w:t>
      </w:r>
      <w:r w:rsidR="00A227F2" w:rsidRPr="0097390C">
        <w:rPr>
          <w:rFonts w:eastAsia="Arial Unicode MS"/>
          <w:u w:color="000000"/>
        </w:rPr>
        <w:t xml:space="preserve">to document </w:t>
      </w:r>
      <w:r w:rsidR="0076182E" w:rsidRPr="0097390C">
        <w:rPr>
          <w:rFonts w:eastAsia="Arial Unicode MS"/>
          <w:u w:color="000000"/>
        </w:rPr>
        <w:t>FCCC/SBI/2014/L.13</w:t>
      </w:r>
      <w:r w:rsidR="00502F4B" w:rsidRPr="0097390C">
        <w:rPr>
          <w:rFonts w:eastAsia="Arial Unicode MS"/>
          <w:u w:color="000000"/>
        </w:rPr>
        <w:t>,</w:t>
      </w:r>
      <w:r w:rsidR="0076182E" w:rsidRPr="0097390C">
        <w:rPr>
          <w:rFonts w:eastAsia="Arial Unicode MS"/>
          <w:u w:color="000000"/>
        </w:rPr>
        <w:t xml:space="preserve"> with a view to recommending a draft decision for consideration and adoption at COP </w:t>
      </w:r>
      <w:r w:rsidR="00502F4B" w:rsidRPr="0097390C">
        <w:rPr>
          <w:rFonts w:eastAsia="Arial Unicode MS"/>
          <w:u w:color="000000"/>
        </w:rPr>
        <w:t>20</w:t>
      </w:r>
      <w:r w:rsidR="0076182E" w:rsidRPr="0097390C">
        <w:rPr>
          <w:rFonts w:eastAsia="Arial Unicode MS"/>
          <w:u w:color="000000"/>
        </w:rPr>
        <w:t>.</w:t>
      </w:r>
    </w:p>
    <w:p w14:paraId="7C8719D7" w14:textId="77777777" w:rsidR="004D0E30" w:rsidRPr="0097390C" w:rsidRDefault="00794FF0" w:rsidP="00794FF0">
      <w:pPr>
        <w:pStyle w:val="H1G"/>
        <w:tabs>
          <w:tab w:val="right" w:pos="850"/>
        </w:tabs>
        <w:rPr>
          <w:rStyle w:val="SingleTxtGChar"/>
          <w:b w:val="0"/>
          <w:sz w:val="20"/>
        </w:rPr>
      </w:pPr>
      <w:bookmarkStart w:id="57" w:name="_Toc391983303"/>
      <w:r>
        <w:tab/>
        <w:t>B.</w:t>
      </w:r>
      <w:r>
        <w:tab/>
      </w:r>
      <w:r w:rsidR="00A7428F" w:rsidRPr="0097390C">
        <w:t>Capacity-building under the Kyoto Protocol</w:t>
      </w:r>
      <w:r w:rsidR="004D0E30" w:rsidRPr="0097390C">
        <w:br/>
      </w:r>
      <w:r w:rsidR="004D0E30" w:rsidRPr="0097390C">
        <w:rPr>
          <w:rStyle w:val="SingleTxtGChar"/>
          <w:b w:val="0"/>
          <w:sz w:val="20"/>
        </w:rPr>
        <w:t xml:space="preserve">(Agenda </w:t>
      </w:r>
      <w:r w:rsidR="0016758E" w:rsidRPr="0097390C">
        <w:rPr>
          <w:rStyle w:val="SingleTxtGChar"/>
          <w:b w:val="0"/>
          <w:sz w:val="20"/>
        </w:rPr>
        <w:t>sub-item</w:t>
      </w:r>
      <w:r w:rsidR="004D0E30" w:rsidRPr="0097390C">
        <w:rPr>
          <w:rStyle w:val="SingleTxtGChar"/>
          <w:b w:val="0"/>
          <w:sz w:val="20"/>
        </w:rPr>
        <w:t xml:space="preserve"> 12(b))</w:t>
      </w:r>
      <w:bookmarkEnd w:id="57"/>
    </w:p>
    <w:p w14:paraId="65F74091" w14:textId="77777777" w:rsidR="0076182E" w:rsidRPr="0097390C" w:rsidRDefault="00794FF0" w:rsidP="00794FF0">
      <w:pPr>
        <w:pStyle w:val="H23G"/>
        <w:rPr>
          <w:lang w:eastAsia="en-US"/>
        </w:rPr>
      </w:pPr>
      <w:r>
        <w:tab/>
        <w:t>1.</w:t>
      </w:r>
      <w:r>
        <w:tab/>
      </w:r>
      <w:r w:rsidR="0076182E" w:rsidRPr="0097390C">
        <w:t>Proceedings</w:t>
      </w:r>
    </w:p>
    <w:p w14:paraId="5974F76E" w14:textId="77777777" w:rsidR="006367E4" w:rsidRPr="0097390C" w:rsidRDefault="00794FF0" w:rsidP="00794FF0">
      <w:pPr>
        <w:pStyle w:val="SingleTxtG"/>
      </w:pPr>
      <w:r>
        <w:t>153.</w:t>
      </w:r>
      <w:r>
        <w:tab/>
      </w:r>
      <w:r w:rsidR="00A7428F" w:rsidRPr="0097390C">
        <w:t xml:space="preserve">The SBI considered this agenda </w:t>
      </w:r>
      <w:r w:rsidR="0016758E" w:rsidRPr="0097390C">
        <w:t>sub-item</w:t>
      </w:r>
      <w:r w:rsidR="00A7428F" w:rsidRPr="0097390C">
        <w:t xml:space="preserve"> at its </w:t>
      </w:r>
      <w:r w:rsidR="00A7428F" w:rsidRPr="0097390C">
        <w:rPr>
          <w:snapToGrid w:val="0"/>
        </w:rPr>
        <w:t>1</w:t>
      </w:r>
      <w:r w:rsidR="00A7428F" w:rsidRPr="0097390C">
        <w:rPr>
          <w:snapToGrid w:val="0"/>
          <w:vertAlign w:val="superscript"/>
        </w:rPr>
        <w:t>st</w:t>
      </w:r>
      <w:r w:rsidR="00A7428F" w:rsidRPr="0097390C">
        <w:rPr>
          <w:snapToGrid w:val="0"/>
        </w:rPr>
        <w:t xml:space="preserve"> </w:t>
      </w:r>
      <w:r w:rsidR="004B4B98" w:rsidRPr="0097390C">
        <w:rPr>
          <w:snapToGrid w:val="0"/>
        </w:rPr>
        <w:t>and 2</w:t>
      </w:r>
      <w:r w:rsidR="004B4B98" w:rsidRPr="0097390C">
        <w:rPr>
          <w:snapToGrid w:val="0"/>
          <w:vertAlign w:val="superscript"/>
        </w:rPr>
        <w:t>nd</w:t>
      </w:r>
      <w:r w:rsidR="004B4B98" w:rsidRPr="0097390C">
        <w:rPr>
          <w:snapToGrid w:val="0"/>
        </w:rPr>
        <w:t xml:space="preserve"> </w:t>
      </w:r>
      <w:r w:rsidR="00A7428F" w:rsidRPr="0097390C">
        <w:rPr>
          <w:snapToGrid w:val="0"/>
        </w:rPr>
        <w:t>meetings</w:t>
      </w:r>
      <w:r w:rsidR="00A7428F" w:rsidRPr="0097390C">
        <w:t xml:space="preserve">. </w:t>
      </w:r>
      <w:r w:rsidR="006367E4" w:rsidRPr="0097390C">
        <w:t xml:space="preserve">It had before it documents FCCC/SBI/2014/2 and Add.1, FCCC/SBI/2014/7 and FCCC/SBI/2014/MISC.2 and Add.1 and 2. </w:t>
      </w:r>
    </w:p>
    <w:p w14:paraId="7745215B" w14:textId="77777777" w:rsidR="00A7428F" w:rsidRPr="0097390C" w:rsidRDefault="00794FF0" w:rsidP="00794FF0">
      <w:pPr>
        <w:pStyle w:val="SingleTxtG"/>
      </w:pPr>
      <w:r>
        <w:t>154.</w:t>
      </w:r>
      <w:r>
        <w:tab/>
      </w:r>
      <w:r w:rsidR="00A7428F" w:rsidRPr="0097390C">
        <w:t xml:space="preserve">At its </w:t>
      </w:r>
      <w:r w:rsidR="00A7428F" w:rsidRPr="0097390C">
        <w:rPr>
          <w:snapToGrid w:val="0"/>
        </w:rPr>
        <w:t>1</w:t>
      </w:r>
      <w:r w:rsidR="00A7428F" w:rsidRPr="0097390C">
        <w:rPr>
          <w:snapToGrid w:val="0"/>
          <w:vertAlign w:val="superscript"/>
        </w:rPr>
        <w:t>st</w:t>
      </w:r>
      <w:r w:rsidR="00A7428F" w:rsidRPr="0097390C">
        <w:rPr>
          <w:snapToGrid w:val="0"/>
        </w:rPr>
        <w:t xml:space="preserve"> </w:t>
      </w:r>
      <w:r w:rsidR="00A7428F" w:rsidRPr="0097390C">
        <w:t xml:space="preserve">meeting, the SBI agreed to consider this agenda </w:t>
      </w:r>
      <w:r w:rsidR="0016758E" w:rsidRPr="0097390C">
        <w:t>sub-item</w:t>
      </w:r>
      <w:r w:rsidR="00A7428F" w:rsidRPr="0097390C">
        <w:t xml:space="preserve"> in informal consultations co-facilitated by </w:t>
      </w:r>
      <w:proofErr w:type="spellStart"/>
      <w:r w:rsidR="00A7428F" w:rsidRPr="0097390C">
        <w:t>Mr.</w:t>
      </w:r>
      <w:proofErr w:type="spellEnd"/>
      <w:r w:rsidR="00A7428F" w:rsidRPr="0097390C">
        <w:t xml:space="preserve"> </w:t>
      </w:r>
      <w:proofErr w:type="spellStart"/>
      <w:r w:rsidR="00D701F6" w:rsidRPr="0097390C">
        <w:t>Mpanu</w:t>
      </w:r>
      <w:proofErr w:type="spellEnd"/>
      <w:r w:rsidR="00D701F6" w:rsidRPr="0097390C">
        <w:t xml:space="preserve"> </w:t>
      </w:r>
      <w:proofErr w:type="spellStart"/>
      <w:r w:rsidR="00D701F6" w:rsidRPr="0097390C">
        <w:t>Mpanu</w:t>
      </w:r>
      <w:proofErr w:type="spellEnd"/>
      <w:r w:rsidR="00180B3E" w:rsidRPr="0097390C">
        <w:t>.</w:t>
      </w:r>
      <w:r w:rsidR="00B67B6B" w:rsidRPr="0097390C">
        <w:t xml:space="preserve"> As </w:t>
      </w:r>
      <w:proofErr w:type="spellStart"/>
      <w:r w:rsidR="00B67B6B" w:rsidRPr="0097390C">
        <w:t>Mr.</w:t>
      </w:r>
      <w:proofErr w:type="spellEnd"/>
      <w:r w:rsidR="00B67B6B" w:rsidRPr="0097390C">
        <w:t xml:space="preserve"> </w:t>
      </w:r>
      <w:proofErr w:type="spellStart"/>
      <w:r w:rsidR="00B67B6B" w:rsidRPr="0097390C">
        <w:t>Mpanu</w:t>
      </w:r>
      <w:proofErr w:type="spellEnd"/>
      <w:r w:rsidR="00B67B6B" w:rsidRPr="0097390C">
        <w:t xml:space="preserve"> </w:t>
      </w:r>
      <w:proofErr w:type="spellStart"/>
      <w:r w:rsidR="00B67B6B" w:rsidRPr="0097390C">
        <w:t>Mpanu</w:t>
      </w:r>
      <w:proofErr w:type="spellEnd"/>
      <w:r w:rsidR="00B67B6B" w:rsidRPr="0097390C">
        <w:t xml:space="preserve"> was unable to attend the entire session, </w:t>
      </w:r>
      <w:proofErr w:type="spellStart"/>
      <w:r w:rsidR="00B67B6B" w:rsidRPr="0097390C">
        <w:t>Mr.</w:t>
      </w:r>
      <w:proofErr w:type="spellEnd"/>
      <w:r w:rsidR="00B67B6B" w:rsidRPr="0097390C">
        <w:t xml:space="preserve"> </w:t>
      </w:r>
      <w:proofErr w:type="spellStart"/>
      <w:r w:rsidR="00B67B6B" w:rsidRPr="0097390C">
        <w:t>Gwage</w:t>
      </w:r>
      <w:proofErr w:type="spellEnd"/>
      <w:r w:rsidR="00B67B6B" w:rsidRPr="0097390C">
        <w:rPr>
          <w:color w:val="000000"/>
        </w:rPr>
        <w:t xml:space="preserve"> was invited to facilitate the last of these consultations.</w:t>
      </w:r>
    </w:p>
    <w:p w14:paraId="321D9D91" w14:textId="77777777" w:rsidR="004D0E30" w:rsidRPr="00E25B01" w:rsidRDefault="00794FF0" w:rsidP="00794FF0">
      <w:pPr>
        <w:pStyle w:val="SingleTxtG"/>
      </w:pPr>
      <w:r>
        <w:rPr>
          <w:color w:val="000000"/>
        </w:rPr>
        <w:t>155.</w:t>
      </w:r>
      <w:r>
        <w:rPr>
          <w:color w:val="000000"/>
        </w:rPr>
        <w:tab/>
      </w:r>
      <w:r w:rsidR="004D0E30" w:rsidRPr="0097390C">
        <w:rPr>
          <w:color w:val="000000"/>
        </w:rPr>
        <w:t>A</w:t>
      </w:r>
      <w:r w:rsidR="004D0E30" w:rsidRPr="0097390C">
        <w:t>t its 2</w:t>
      </w:r>
      <w:r w:rsidR="00B67B6B" w:rsidRPr="0097390C">
        <w:rPr>
          <w:vertAlign w:val="superscript"/>
        </w:rPr>
        <w:t>nd</w:t>
      </w:r>
      <w:r w:rsidR="00B67B6B" w:rsidRPr="0097390C">
        <w:t xml:space="preserve"> </w:t>
      </w:r>
      <w:r w:rsidR="004D0E30" w:rsidRPr="0097390C">
        <w:t>meeting, the SBI considered and adopted the conclusions below</w:t>
      </w:r>
      <w:r w:rsidR="004D0E30" w:rsidRPr="00E25B01">
        <w:t>.</w:t>
      </w:r>
      <w:r w:rsidR="00BA36B2" w:rsidRPr="00E25B01">
        <w:rPr>
          <w:rStyle w:val="FootnoteReference"/>
          <w:color w:val="000000"/>
        </w:rPr>
        <w:footnoteReference w:id="53"/>
      </w:r>
    </w:p>
    <w:p w14:paraId="353280BE" w14:textId="77777777" w:rsidR="004D0E30" w:rsidRPr="00E25B01" w:rsidRDefault="00794FF0" w:rsidP="00794FF0">
      <w:pPr>
        <w:pStyle w:val="H23G"/>
      </w:pPr>
      <w:r>
        <w:tab/>
        <w:t>2.</w:t>
      </w:r>
      <w:r>
        <w:tab/>
      </w:r>
      <w:r w:rsidR="004D0E30" w:rsidRPr="00E25B01">
        <w:t>Conclusions</w:t>
      </w:r>
    </w:p>
    <w:p w14:paraId="6D81D449" w14:textId="77777777" w:rsidR="00952995" w:rsidRPr="00E25B01" w:rsidRDefault="00794FF0" w:rsidP="00794FF0">
      <w:pPr>
        <w:pStyle w:val="SingleTxtG"/>
      </w:pPr>
      <w:r>
        <w:rPr>
          <w:u w:color="000000"/>
        </w:rPr>
        <w:t>156.</w:t>
      </w:r>
      <w:r>
        <w:rPr>
          <w:u w:color="000000"/>
        </w:rPr>
        <w:tab/>
      </w:r>
      <w:r w:rsidR="00952995" w:rsidRPr="00E25B01">
        <w:rPr>
          <w:u w:color="000000"/>
        </w:rPr>
        <w:t xml:space="preserve">The </w:t>
      </w:r>
      <w:r w:rsidR="00952995" w:rsidRPr="00E25B01">
        <w:t xml:space="preserve">SBI </w:t>
      </w:r>
      <w:r w:rsidR="00952995" w:rsidRPr="00E25B01">
        <w:rPr>
          <w:u w:color="000000"/>
        </w:rPr>
        <w:t>welcomed</w:t>
      </w:r>
      <w:r w:rsidR="00952995" w:rsidRPr="00E25B01">
        <w:rPr>
          <w:i/>
          <w:u w:color="000000"/>
        </w:rPr>
        <w:t xml:space="preserve"> </w:t>
      </w:r>
      <w:r w:rsidR="00952995" w:rsidRPr="00E25B01">
        <w:rPr>
          <w:u w:color="000000"/>
        </w:rPr>
        <w:t>the success of the 2</w:t>
      </w:r>
      <w:r w:rsidR="00952995" w:rsidRPr="00E25B01">
        <w:rPr>
          <w:u w:color="000000"/>
          <w:vertAlign w:val="superscript"/>
        </w:rPr>
        <w:t>nd</w:t>
      </w:r>
      <w:r w:rsidR="00952995" w:rsidRPr="00E25B01">
        <w:rPr>
          <w:u w:color="000000"/>
        </w:rPr>
        <w:t xml:space="preserve"> and 3</w:t>
      </w:r>
      <w:r w:rsidR="00952995" w:rsidRPr="00E25B01">
        <w:rPr>
          <w:u w:color="000000"/>
          <w:vertAlign w:val="superscript"/>
        </w:rPr>
        <w:t>rd</w:t>
      </w:r>
      <w:r w:rsidR="00952995" w:rsidRPr="00E25B01">
        <w:rPr>
          <w:u w:color="000000"/>
        </w:rPr>
        <w:t xml:space="preserve"> meetings of the Durban Forum for in-depth discussion on capacity-building, held during SBI 38 and 40.</w:t>
      </w:r>
    </w:p>
    <w:p w14:paraId="28B9D780" w14:textId="77777777" w:rsidR="00952995" w:rsidRPr="00E25B01" w:rsidRDefault="00794FF0" w:rsidP="00794FF0">
      <w:pPr>
        <w:pStyle w:val="SingleTxtG"/>
      </w:pPr>
      <w:r>
        <w:rPr>
          <w:u w:color="000000"/>
        </w:rPr>
        <w:t>157.</w:t>
      </w:r>
      <w:r>
        <w:rPr>
          <w:u w:color="000000"/>
        </w:rPr>
        <w:tab/>
      </w:r>
      <w:r w:rsidR="00952995" w:rsidRPr="00E25B01">
        <w:rPr>
          <w:u w:color="000000"/>
        </w:rPr>
        <w:t xml:space="preserve">The SBI expressed its </w:t>
      </w:r>
      <w:r w:rsidR="00952995" w:rsidRPr="00E25B01">
        <w:rPr>
          <w:u w:color="000000"/>
          <w:lang w:eastAsia="en-GB"/>
        </w:rPr>
        <w:t>appreciation</w:t>
      </w:r>
      <w:r w:rsidR="00952995" w:rsidRPr="00E25B01">
        <w:rPr>
          <w:u w:color="000000"/>
        </w:rPr>
        <w:t xml:space="preserve"> to Parties and representatives of intergovernmental and non-governmental organizations and the private sector for their active participation in the 2</w:t>
      </w:r>
      <w:r w:rsidR="00952995" w:rsidRPr="00E25B01">
        <w:rPr>
          <w:u w:color="000000"/>
          <w:vertAlign w:val="superscript"/>
        </w:rPr>
        <w:t>nd</w:t>
      </w:r>
      <w:r w:rsidR="00952995" w:rsidRPr="00E25B01">
        <w:rPr>
          <w:u w:color="000000"/>
        </w:rPr>
        <w:t xml:space="preserve"> and 3</w:t>
      </w:r>
      <w:r w:rsidR="00952995" w:rsidRPr="00E25B01">
        <w:rPr>
          <w:u w:color="000000"/>
          <w:vertAlign w:val="superscript"/>
        </w:rPr>
        <w:t>rd</w:t>
      </w:r>
      <w:r w:rsidR="00952995" w:rsidRPr="00E25B01">
        <w:rPr>
          <w:u w:color="000000"/>
        </w:rPr>
        <w:t xml:space="preserve"> meetings of the Durban Forum and for the sharing of experiences and exchanging of ideas, best practices and lessons learned regarding the implementation of capacity-building activities related to the implementation of the Kyoto Protocol.</w:t>
      </w:r>
    </w:p>
    <w:p w14:paraId="7C8D2163" w14:textId="77777777" w:rsidR="00952995" w:rsidRPr="00E25B01" w:rsidRDefault="00794FF0" w:rsidP="00794FF0">
      <w:pPr>
        <w:pStyle w:val="SingleTxtG"/>
      </w:pPr>
      <w:r>
        <w:rPr>
          <w:u w:color="000000"/>
        </w:rPr>
        <w:t>158.</w:t>
      </w:r>
      <w:r>
        <w:rPr>
          <w:u w:color="000000"/>
        </w:rPr>
        <w:tab/>
      </w:r>
      <w:r w:rsidR="00A86C99" w:rsidRPr="00E25B01">
        <w:rPr>
          <w:u w:color="000000"/>
        </w:rPr>
        <w:t xml:space="preserve">The SBI welcomed the launch of the UNFCCC </w:t>
      </w:r>
      <w:r w:rsidR="001657CD" w:rsidRPr="00E25B01">
        <w:rPr>
          <w:u w:color="000000"/>
        </w:rPr>
        <w:t>capacity-building portal</w:t>
      </w:r>
      <w:r w:rsidR="00A86C99" w:rsidRPr="00E25B01">
        <w:rPr>
          <w:u w:color="000000"/>
        </w:rPr>
        <w:t>.</w:t>
      </w:r>
      <w:r w:rsidR="00A86C99" w:rsidRPr="00E25B01">
        <w:rPr>
          <w:rFonts w:eastAsia="Arial Unicode MS"/>
          <w:color w:val="000000"/>
          <w:sz w:val="18"/>
          <w:szCs w:val="18"/>
          <w:u w:color="000000"/>
          <w:vertAlign w:val="superscript"/>
        </w:rPr>
        <w:footnoteReference w:id="54"/>
      </w:r>
    </w:p>
    <w:p w14:paraId="4D46D5A4" w14:textId="77777777" w:rsidR="00A86C99" w:rsidRPr="00E25B01" w:rsidRDefault="00794FF0" w:rsidP="00794FF0">
      <w:pPr>
        <w:pStyle w:val="SingleTxtG"/>
      </w:pPr>
      <w:r>
        <w:rPr>
          <w:u w:color="000000"/>
        </w:rPr>
        <w:t>159.</w:t>
      </w:r>
      <w:r>
        <w:rPr>
          <w:u w:color="000000"/>
        </w:rPr>
        <w:tab/>
      </w:r>
      <w:r w:rsidR="00A86C99" w:rsidRPr="00E25B01">
        <w:rPr>
          <w:u w:color="000000"/>
        </w:rPr>
        <w:t xml:space="preserve">The SBI continued, but did not conclude, its consideration of capacity-building for developing countries under the Kyoto Protocol. It agreed to continue its consideration of the matter at SBI 41 on the basis of the draft decision text contained in the annex to document FCCC/SBI/2013/L.18/Rev.1, with a view to recommending a draft decision for consideration and adoption </w:t>
      </w:r>
      <w:r w:rsidR="00B67B6B" w:rsidRPr="00E25B01">
        <w:rPr>
          <w:u w:color="000000"/>
        </w:rPr>
        <w:t>at CMP 10</w:t>
      </w:r>
      <w:r w:rsidR="00A86C99" w:rsidRPr="00E25B01">
        <w:rPr>
          <w:u w:color="000000"/>
        </w:rPr>
        <w:t xml:space="preserve">. </w:t>
      </w:r>
    </w:p>
    <w:p w14:paraId="317EC607" w14:textId="77777777" w:rsidR="00CA0A0B" w:rsidRPr="00E25B01" w:rsidRDefault="00794FF0" w:rsidP="00794FF0">
      <w:pPr>
        <w:pStyle w:val="HChG"/>
        <w:rPr>
          <w:rStyle w:val="SingleTxtGChar"/>
          <w:b w:val="0"/>
          <w:sz w:val="20"/>
        </w:rPr>
      </w:pPr>
      <w:bookmarkStart w:id="58" w:name="_Toc391983304"/>
      <w:r>
        <w:tab/>
        <w:t>XIII.</w:t>
      </w:r>
      <w:r>
        <w:tab/>
      </w:r>
      <w:r w:rsidR="00CA0A0B" w:rsidRPr="00E25B01">
        <w:t xml:space="preserve">Parties included in Annex I to the Convention whose special circumstances are recognized by the Conference of the </w:t>
      </w:r>
      <w:r w:rsidR="00913EC3" w:rsidRPr="00E25B01">
        <w:t xml:space="preserve">Parties </w:t>
      </w:r>
      <w:r w:rsidR="008000C9" w:rsidRPr="00E25B01">
        <w:br/>
      </w:r>
      <w:r w:rsidR="008000C9" w:rsidRPr="00E25B01">
        <w:rPr>
          <w:rStyle w:val="SingleTxtGChar"/>
          <w:b w:val="0"/>
          <w:sz w:val="20"/>
        </w:rPr>
        <w:t xml:space="preserve">(Agenda item </w:t>
      </w:r>
      <w:r w:rsidR="00CA0A0B" w:rsidRPr="00E25B01">
        <w:rPr>
          <w:rStyle w:val="SingleTxtGChar"/>
          <w:b w:val="0"/>
          <w:sz w:val="20"/>
        </w:rPr>
        <w:t>13</w:t>
      </w:r>
      <w:r w:rsidR="008000C9" w:rsidRPr="00E25B01">
        <w:rPr>
          <w:rStyle w:val="SingleTxtGChar"/>
          <w:b w:val="0"/>
          <w:sz w:val="20"/>
        </w:rPr>
        <w:t>)</w:t>
      </w:r>
      <w:bookmarkEnd w:id="58"/>
    </w:p>
    <w:p w14:paraId="677FBF06" w14:textId="77777777" w:rsidR="0076182E" w:rsidRPr="00E25B01" w:rsidRDefault="00794FF0" w:rsidP="00794FF0">
      <w:pPr>
        <w:pStyle w:val="H23G"/>
        <w:rPr>
          <w:lang w:eastAsia="en-US"/>
        </w:rPr>
      </w:pPr>
      <w:r>
        <w:tab/>
        <w:t>1.</w:t>
      </w:r>
      <w:r>
        <w:tab/>
      </w:r>
      <w:r w:rsidR="0076182E" w:rsidRPr="00E25B01">
        <w:t>Proceedings</w:t>
      </w:r>
    </w:p>
    <w:p w14:paraId="2AD04A22" w14:textId="77777777" w:rsidR="00CA0A0B" w:rsidRPr="00E25B01" w:rsidRDefault="00794FF0" w:rsidP="00794FF0">
      <w:pPr>
        <w:pStyle w:val="SingleTxtG"/>
      </w:pPr>
      <w:r>
        <w:t>160.</w:t>
      </w:r>
      <w:r>
        <w:tab/>
      </w:r>
      <w:r w:rsidR="00CA0A0B" w:rsidRPr="00E25B01">
        <w:t>The</w:t>
      </w:r>
      <w:r w:rsidR="004B4B98" w:rsidRPr="00E25B01">
        <w:t xml:space="preserve"> SBI considered this agenda </w:t>
      </w:r>
      <w:r w:rsidR="00CA0A0B" w:rsidRPr="00E25B01">
        <w:t xml:space="preserve">item at its </w:t>
      </w:r>
      <w:r w:rsidR="00CA0A0B" w:rsidRPr="00E25B01">
        <w:rPr>
          <w:snapToGrid w:val="0"/>
        </w:rPr>
        <w:t>1</w:t>
      </w:r>
      <w:r w:rsidR="00CA0A0B" w:rsidRPr="00E25B01">
        <w:rPr>
          <w:snapToGrid w:val="0"/>
          <w:vertAlign w:val="superscript"/>
        </w:rPr>
        <w:t>st</w:t>
      </w:r>
      <w:r w:rsidR="00CA0A0B" w:rsidRPr="00E25B01">
        <w:rPr>
          <w:snapToGrid w:val="0"/>
        </w:rPr>
        <w:t xml:space="preserve"> </w:t>
      </w:r>
      <w:r w:rsidR="008D6537" w:rsidRPr="00E25B01">
        <w:rPr>
          <w:snapToGrid w:val="0"/>
        </w:rPr>
        <w:t xml:space="preserve">meeting </w:t>
      </w:r>
      <w:r w:rsidR="004B4B98" w:rsidRPr="00E25B01">
        <w:rPr>
          <w:snapToGrid w:val="0"/>
        </w:rPr>
        <w:t xml:space="preserve">and </w:t>
      </w:r>
      <w:r w:rsidR="008D6537" w:rsidRPr="00E25B01">
        <w:rPr>
          <w:snapToGrid w:val="0"/>
        </w:rPr>
        <w:t xml:space="preserve">resumed </w:t>
      </w:r>
      <w:r w:rsidR="004B4B98" w:rsidRPr="00E25B01">
        <w:rPr>
          <w:snapToGrid w:val="0"/>
        </w:rPr>
        <w:t>2</w:t>
      </w:r>
      <w:r w:rsidR="004B4B98" w:rsidRPr="00E25B01">
        <w:rPr>
          <w:snapToGrid w:val="0"/>
          <w:vertAlign w:val="superscript"/>
        </w:rPr>
        <w:t>nd</w:t>
      </w:r>
      <w:r w:rsidR="004B4B98" w:rsidRPr="00E25B01">
        <w:rPr>
          <w:snapToGrid w:val="0"/>
        </w:rPr>
        <w:t xml:space="preserve"> </w:t>
      </w:r>
      <w:r w:rsidR="00CA0A0B" w:rsidRPr="00E25B01">
        <w:rPr>
          <w:snapToGrid w:val="0"/>
        </w:rPr>
        <w:t>meeting</w:t>
      </w:r>
      <w:r w:rsidR="00CA0A0B" w:rsidRPr="00E25B01">
        <w:t xml:space="preserve">. At its </w:t>
      </w:r>
      <w:r w:rsidR="00CA0A0B" w:rsidRPr="00E25B01">
        <w:rPr>
          <w:snapToGrid w:val="0"/>
        </w:rPr>
        <w:t>1</w:t>
      </w:r>
      <w:r w:rsidR="00CA0A0B" w:rsidRPr="00E25B01">
        <w:rPr>
          <w:snapToGrid w:val="0"/>
          <w:vertAlign w:val="superscript"/>
        </w:rPr>
        <w:t>st</w:t>
      </w:r>
      <w:r w:rsidR="00CA0A0B" w:rsidRPr="00E25B01">
        <w:rPr>
          <w:snapToGrid w:val="0"/>
        </w:rPr>
        <w:t xml:space="preserve"> </w:t>
      </w:r>
      <w:r w:rsidR="00CA0A0B" w:rsidRPr="00E25B01">
        <w:t>meeting, the SBI agr</w:t>
      </w:r>
      <w:r w:rsidR="006378A8" w:rsidRPr="00E25B01">
        <w:t xml:space="preserve">eed to consider this agenda </w:t>
      </w:r>
      <w:r w:rsidR="00CA0A0B" w:rsidRPr="00E25B01">
        <w:t xml:space="preserve">item in informal consultations facilitated by </w:t>
      </w:r>
      <w:proofErr w:type="spellStart"/>
      <w:r w:rsidR="00CA0A0B" w:rsidRPr="00E25B01">
        <w:rPr>
          <w:color w:val="000000"/>
        </w:rPr>
        <w:t>Ms.</w:t>
      </w:r>
      <w:proofErr w:type="spellEnd"/>
      <w:r w:rsidR="00CA0A0B" w:rsidRPr="00E25B01">
        <w:rPr>
          <w:color w:val="000000"/>
        </w:rPr>
        <w:t xml:space="preserve"> </w:t>
      </w:r>
      <w:proofErr w:type="spellStart"/>
      <w:r w:rsidR="00CA0A0B" w:rsidRPr="00E25B01">
        <w:rPr>
          <w:color w:val="000000"/>
        </w:rPr>
        <w:t>Marzena</w:t>
      </w:r>
      <w:proofErr w:type="spellEnd"/>
      <w:r w:rsidR="00CA0A0B" w:rsidRPr="00E25B01">
        <w:rPr>
          <w:color w:val="000000"/>
        </w:rPr>
        <w:t xml:space="preserve"> </w:t>
      </w:r>
      <w:proofErr w:type="spellStart"/>
      <w:r w:rsidR="00CA0A0B" w:rsidRPr="00E25B01">
        <w:rPr>
          <w:color w:val="000000"/>
        </w:rPr>
        <w:t>Chodor</w:t>
      </w:r>
      <w:proofErr w:type="spellEnd"/>
      <w:r w:rsidR="00CA0A0B" w:rsidRPr="00E25B01">
        <w:rPr>
          <w:color w:val="000000"/>
        </w:rPr>
        <w:t xml:space="preserve"> (Poland).</w:t>
      </w:r>
      <w:r w:rsidR="008D6537" w:rsidRPr="00E25B01">
        <w:rPr>
          <w:color w:val="000000"/>
        </w:rPr>
        <w:t xml:space="preserve"> The representative of one Party made a statement.</w:t>
      </w:r>
    </w:p>
    <w:p w14:paraId="13B8C4FC" w14:textId="77777777" w:rsidR="00CA0A0B" w:rsidRPr="00E25B01" w:rsidRDefault="00794FF0" w:rsidP="00794FF0">
      <w:pPr>
        <w:pStyle w:val="SingleTxtG"/>
      </w:pPr>
      <w:r>
        <w:rPr>
          <w:color w:val="000000"/>
        </w:rPr>
        <w:t>161.</w:t>
      </w:r>
      <w:r>
        <w:rPr>
          <w:color w:val="000000"/>
        </w:rPr>
        <w:tab/>
      </w:r>
      <w:r w:rsidR="00CA0A0B" w:rsidRPr="00E25B01">
        <w:rPr>
          <w:color w:val="000000"/>
        </w:rPr>
        <w:t>A</w:t>
      </w:r>
      <w:r w:rsidR="00CA0A0B" w:rsidRPr="00E25B01">
        <w:t>t its 2</w:t>
      </w:r>
      <w:r w:rsidR="008D6537" w:rsidRPr="00E25B01">
        <w:rPr>
          <w:vertAlign w:val="superscript"/>
        </w:rPr>
        <w:t>nd</w:t>
      </w:r>
      <w:r w:rsidR="008D6537" w:rsidRPr="00E25B01">
        <w:t xml:space="preserve"> </w:t>
      </w:r>
      <w:r w:rsidR="00CA0A0B" w:rsidRPr="00E25B01">
        <w:t xml:space="preserve">meeting, </w:t>
      </w:r>
      <w:r w:rsidR="00A6442F" w:rsidRPr="00E25B01">
        <w:t>the SBI considered and adopted the conclusions below</w:t>
      </w:r>
      <w:r w:rsidR="00B95B4A" w:rsidRPr="00E25B01">
        <w:t>.</w:t>
      </w:r>
      <w:r w:rsidR="00A6442F" w:rsidRPr="00E25B01">
        <w:rPr>
          <w:rStyle w:val="FootnoteReference"/>
          <w:color w:val="000000"/>
        </w:rPr>
        <w:footnoteReference w:id="55"/>
      </w:r>
    </w:p>
    <w:p w14:paraId="3269A7BA" w14:textId="77777777" w:rsidR="00CA0A0B" w:rsidRPr="00E25B01" w:rsidRDefault="00794FF0" w:rsidP="00794FF0">
      <w:pPr>
        <w:pStyle w:val="H23G"/>
      </w:pPr>
      <w:r>
        <w:tab/>
        <w:t>2.</w:t>
      </w:r>
      <w:r>
        <w:tab/>
      </w:r>
      <w:r w:rsidR="00CA0A0B" w:rsidRPr="00E25B01">
        <w:t>Conclusions</w:t>
      </w:r>
    </w:p>
    <w:p w14:paraId="1A545C8B" w14:textId="77777777" w:rsidR="00B95B4A" w:rsidRPr="0097390C" w:rsidRDefault="00794FF0" w:rsidP="00794FF0">
      <w:pPr>
        <w:pStyle w:val="SingleTxtG"/>
      </w:pPr>
      <w:r>
        <w:t>162.</w:t>
      </w:r>
      <w:r>
        <w:tab/>
      </w:r>
      <w:r w:rsidR="00B95B4A" w:rsidRPr="00E25B01">
        <w:t>In accordance with decision 1/CP.18, paragraph 96, SBI 40 continued its consideration of the technical paper prepared by the secretariat</w:t>
      </w:r>
      <w:r w:rsidR="00B95B4A" w:rsidRPr="00E25B01">
        <w:rPr>
          <w:rStyle w:val="FootnoteReference"/>
        </w:rPr>
        <w:footnoteReference w:id="56"/>
      </w:r>
      <w:r w:rsidR="00B95B4A" w:rsidRPr="00E25B01">
        <w:t xml:space="preserve"> in line with decision 1/CP.18</w:t>
      </w:r>
      <w:r w:rsidR="00B95B4A" w:rsidRPr="0097390C">
        <w:t>, paragraph 95.</w:t>
      </w:r>
    </w:p>
    <w:p w14:paraId="316F0F66" w14:textId="77777777" w:rsidR="00B95B4A" w:rsidRPr="0097390C" w:rsidRDefault="00794FF0" w:rsidP="00794FF0">
      <w:pPr>
        <w:pStyle w:val="SingleTxtG"/>
      </w:pPr>
      <w:r>
        <w:t>163.</w:t>
      </w:r>
      <w:r>
        <w:tab/>
      </w:r>
      <w:r w:rsidR="00B95B4A" w:rsidRPr="0097390C">
        <w:t>The SBI took note of information contained in the technical paper referred to in paragraph 1</w:t>
      </w:r>
      <w:r w:rsidR="00A86CDF" w:rsidRPr="0097390C">
        <w:t>6</w:t>
      </w:r>
      <w:r w:rsidR="00462B6E" w:rsidRPr="0097390C">
        <w:t>2</w:t>
      </w:r>
      <w:r w:rsidR="00B95B4A" w:rsidRPr="0097390C">
        <w:t xml:space="preserve"> above. </w:t>
      </w:r>
    </w:p>
    <w:p w14:paraId="0CAE79CD" w14:textId="77777777" w:rsidR="00B95B4A" w:rsidRPr="0097390C" w:rsidRDefault="00794FF0" w:rsidP="00794FF0">
      <w:pPr>
        <w:pStyle w:val="SingleTxtG"/>
      </w:pPr>
      <w:r>
        <w:t>164.</w:t>
      </w:r>
      <w:r>
        <w:tab/>
      </w:r>
      <w:r w:rsidR="00B95B4A" w:rsidRPr="0097390C">
        <w:t>The SBI also took note of the submission from Turkey dated 14 February 2014.</w:t>
      </w:r>
      <w:r w:rsidR="00B95B4A" w:rsidRPr="0097390C">
        <w:rPr>
          <w:rStyle w:val="FootnoteReference"/>
        </w:rPr>
        <w:footnoteReference w:id="57"/>
      </w:r>
    </w:p>
    <w:p w14:paraId="1C83545D" w14:textId="77777777" w:rsidR="00B95B4A" w:rsidRPr="0097390C" w:rsidRDefault="00794FF0" w:rsidP="00794FF0">
      <w:pPr>
        <w:pStyle w:val="SingleTxtG"/>
      </w:pPr>
      <w:r>
        <w:t>165.</w:t>
      </w:r>
      <w:r>
        <w:tab/>
      </w:r>
      <w:r w:rsidR="00B95B4A" w:rsidRPr="0097390C">
        <w:t>The SBI concluded that no further discussion was required under this agenda item, deemed its consideration of this agenda item completed and recommended a draft decision on this matter for consideration and adoption at COP 20</w:t>
      </w:r>
      <w:r w:rsidR="00506FB7" w:rsidRPr="0097390C">
        <w:t xml:space="preserve"> (for the text of the draft decision, see document FCCC/SBI/2014/8/Add.1)</w:t>
      </w:r>
      <w:r w:rsidR="00B95B4A" w:rsidRPr="0097390C">
        <w:t>.</w:t>
      </w:r>
    </w:p>
    <w:p w14:paraId="754831AC" w14:textId="77777777" w:rsidR="00440B1D" w:rsidRPr="00097135" w:rsidRDefault="00794FF0" w:rsidP="00794FF0">
      <w:pPr>
        <w:pStyle w:val="HChG"/>
      </w:pPr>
      <w:bookmarkStart w:id="59" w:name="_Toc391983305"/>
      <w:r>
        <w:tab/>
        <w:t>XIV.</w:t>
      </w:r>
      <w:r>
        <w:tab/>
      </w:r>
      <w:r w:rsidR="00BF05AE" w:rsidRPr="00097135">
        <w:t xml:space="preserve">Article 6 of the </w:t>
      </w:r>
      <w:r w:rsidR="00AF124A" w:rsidRPr="00097135">
        <w:t xml:space="preserve">Convention </w:t>
      </w:r>
      <w:r w:rsidR="008000C9" w:rsidRPr="00097135">
        <w:br/>
      </w:r>
      <w:r w:rsidR="008000C9" w:rsidRPr="00097135">
        <w:rPr>
          <w:rStyle w:val="SingleTxtGChar"/>
          <w:b w:val="0"/>
          <w:sz w:val="20"/>
        </w:rPr>
        <w:t xml:space="preserve">(Agenda item </w:t>
      </w:r>
      <w:r w:rsidR="00440B1D" w:rsidRPr="00097135">
        <w:rPr>
          <w:rStyle w:val="SingleTxtGChar"/>
          <w:b w:val="0"/>
          <w:sz w:val="20"/>
        </w:rPr>
        <w:t>14</w:t>
      </w:r>
      <w:r w:rsidR="008000C9" w:rsidRPr="00097135">
        <w:rPr>
          <w:rStyle w:val="SingleTxtGChar"/>
          <w:b w:val="0"/>
          <w:sz w:val="20"/>
        </w:rPr>
        <w:t>)</w:t>
      </w:r>
      <w:bookmarkEnd w:id="59"/>
    </w:p>
    <w:p w14:paraId="6DA69508" w14:textId="77777777" w:rsidR="00BE0532" w:rsidRPr="00097135" w:rsidRDefault="00794FF0" w:rsidP="00794FF0">
      <w:pPr>
        <w:pStyle w:val="H23G"/>
        <w:rPr>
          <w:lang w:eastAsia="en-US"/>
        </w:rPr>
      </w:pPr>
      <w:r>
        <w:tab/>
        <w:t>1.</w:t>
      </w:r>
      <w:r>
        <w:tab/>
      </w:r>
      <w:r w:rsidR="00BE0532" w:rsidRPr="00097135">
        <w:t>Proceedings</w:t>
      </w:r>
    </w:p>
    <w:p w14:paraId="2AB0565C" w14:textId="77777777" w:rsidR="006378A8" w:rsidRPr="0097390C" w:rsidRDefault="00794FF0" w:rsidP="00794FF0">
      <w:pPr>
        <w:pStyle w:val="SingleTxtG"/>
      </w:pPr>
      <w:r>
        <w:t>166.</w:t>
      </w:r>
      <w:r>
        <w:tab/>
      </w:r>
      <w:r w:rsidR="006378A8" w:rsidRPr="0097390C">
        <w:t xml:space="preserve">The SBI considered this agenda item at its </w:t>
      </w:r>
      <w:r w:rsidR="009E0845" w:rsidRPr="0097390C">
        <w:rPr>
          <w:snapToGrid w:val="0"/>
        </w:rPr>
        <w:t>1</w:t>
      </w:r>
      <w:r w:rsidR="009E0845" w:rsidRPr="0097390C">
        <w:rPr>
          <w:snapToGrid w:val="0"/>
          <w:vertAlign w:val="superscript"/>
        </w:rPr>
        <w:t>st</w:t>
      </w:r>
      <w:r w:rsidR="009E0845" w:rsidRPr="0097390C">
        <w:rPr>
          <w:snapToGrid w:val="0"/>
        </w:rPr>
        <w:t xml:space="preserve"> meeting and resumed 2</w:t>
      </w:r>
      <w:r w:rsidR="009E0845" w:rsidRPr="0097390C">
        <w:rPr>
          <w:snapToGrid w:val="0"/>
          <w:vertAlign w:val="superscript"/>
        </w:rPr>
        <w:t>nd</w:t>
      </w:r>
      <w:r w:rsidR="009E0845" w:rsidRPr="0097390C">
        <w:rPr>
          <w:snapToGrid w:val="0"/>
        </w:rPr>
        <w:t xml:space="preserve"> meeting</w:t>
      </w:r>
      <w:r w:rsidR="006378A8" w:rsidRPr="0097390C">
        <w:t>. It had before it</w:t>
      </w:r>
      <w:r w:rsidR="004E51DB" w:rsidRPr="0097390C">
        <w:t xml:space="preserve"> document FCCC/SBI/2014/3. </w:t>
      </w:r>
      <w:r w:rsidR="006378A8" w:rsidRPr="0097390C">
        <w:t xml:space="preserve">Statements were made by </w:t>
      </w:r>
      <w:r w:rsidR="00F10653" w:rsidRPr="0097390C">
        <w:t xml:space="preserve">representatives of </w:t>
      </w:r>
      <w:r w:rsidR="006378A8" w:rsidRPr="0097390C">
        <w:t>two Parties</w:t>
      </w:r>
      <w:r w:rsidR="00A968D0" w:rsidRPr="0097390C">
        <w:t xml:space="preserve">: </w:t>
      </w:r>
      <w:r w:rsidR="006378A8" w:rsidRPr="0097390C">
        <w:t xml:space="preserve">one </w:t>
      </w:r>
      <w:r w:rsidR="00A968D0" w:rsidRPr="0097390C">
        <w:t xml:space="preserve">spoke </w:t>
      </w:r>
      <w:r w:rsidR="006378A8" w:rsidRPr="0097390C">
        <w:t xml:space="preserve">on behalf of </w:t>
      </w:r>
      <w:r w:rsidR="002E351F" w:rsidRPr="0097390C">
        <w:t xml:space="preserve">the </w:t>
      </w:r>
      <w:r w:rsidR="00190F91" w:rsidRPr="0097390C">
        <w:t xml:space="preserve">G77 and China, and one on behalf of the </w:t>
      </w:r>
      <w:r w:rsidR="006378A8" w:rsidRPr="0097390C">
        <w:t>LDCs.</w:t>
      </w:r>
    </w:p>
    <w:p w14:paraId="49EDC40A" w14:textId="77777777" w:rsidR="00440B1D" w:rsidRPr="00097135" w:rsidRDefault="00794FF0" w:rsidP="00794FF0">
      <w:pPr>
        <w:pStyle w:val="SingleTxtG"/>
      </w:pPr>
      <w:r>
        <w:t>167.</w:t>
      </w:r>
      <w:r>
        <w:tab/>
      </w:r>
      <w:r w:rsidR="00440B1D" w:rsidRPr="0097390C">
        <w:t xml:space="preserve">At its </w:t>
      </w:r>
      <w:r w:rsidR="00440B1D" w:rsidRPr="0097390C">
        <w:rPr>
          <w:snapToGrid w:val="0"/>
        </w:rPr>
        <w:t>1</w:t>
      </w:r>
      <w:r w:rsidR="00440B1D" w:rsidRPr="0097390C">
        <w:rPr>
          <w:snapToGrid w:val="0"/>
          <w:vertAlign w:val="superscript"/>
        </w:rPr>
        <w:t>st</w:t>
      </w:r>
      <w:r w:rsidR="00440B1D" w:rsidRPr="0097390C">
        <w:rPr>
          <w:snapToGrid w:val="0"/>
        </w:rPr>
        <w:t xml:space="preserve"> </w:t>
      </w:r>
      <w:r w:rsidR="00440B1D" w:rsidRPr="0097390C">
        <w:t>meeting, the SBI agreed to consider this agen</w:t>
      </w:r>
      <w:r w:rsidR="006378A8" w:rsidRPr="0097390C">
        <w:t>da</w:t>
      </w:r>
      <w:r w:rsidR="006378A8" w:rsidRPr="00097135">
        <w:t xml:space="preserve"> </w:t>
      </w:r>
      <w:r w:rsidR="00440B1D" w:rsidRPr="00097135">
        <w:t xml:space="preserve">item in informal consultations facilitated by </w:t>
      </w:r>
      <w:proofErr w:type="spellStart"/>
      <w:r w:rsidR="00440B1D" w:rsidRPr="00097135">
        <w:rPr>
          <w:color w:val="000000"/>
        </w:rPr>
        <w:t>Ms.</w:t>
      </w:r>
      <w:proofErr w:type="spellEnd"/>
      <w:r w:rsidR="00440B1D" w:rsidRPr="00097135">
        <w:rPr>
          <w:color w:val="000000"/>
        </w:rPr>
        <w:t xml:space="preserve"> </w:t>
      </w:r>
      <w:r w:rsidR="00BF05AE" w:rsidRPr="00097135">
        <w:rPr>
          <w:color w:val="000000"/>
        </w:rPr>
        <w:t>Anne Rasmussen (Samoa</w:t>
      </w:r>
      <w:r w:rsidR="00440B1D" w:rsidRPr="00097135">
        <w:rPr>
          <w:color w:val="000000"/>
        </w:rPr>
        <w:t>).</w:t>
      </w:r>
    </w:p>
    <w:p w14:paraId="41868B73" w14:textId="77777777" w:rsidR="00440B1D" w:rsidRPr="00097135" w:rsidRDefault="00794FF0" w:rsidP="00794FF0">
      <w:pPr>
        <w:pStyle w:val="SingleTxtG"/>
      </w:pPr>
      <w:r>
        <w:rPr>
          <w:color w:val="000000"/>
        </w:rPr>
        <w:t>168.</w:t>
      </w:r>
      <w:r>
        <w:rPr>
          <w:color w:val="000000"/>
        </w:rPr>
        <w:tab/>
      </w:r>
      <w:r w:rsidR="00440B1D" w:rsidRPr="00097135">
        <w:rPr>
          <w:color w:val="000000"/>
        </w:rPr>
        <w:t>A</w:t>
      </w:r>
      <w:r w:rsidR="00440B1D" w:rsidRPr="00097135">
        <w:t>t its 2</w:t>
      </w:r>
      <w:r w:rsidR="009E0845" w:rsidRPr="00097135">
        <w:rPr>
          <w:vertAlign w:val="superscript"/>
        </w:rPr>
        <w:t>nd</w:t>
      </w:r>
      <w:r w:rsidR="009E0845" w:rsidRPr="00097135">
        <w:t xml:space="preserve"> </w:t>
      </w:r>
      <w:r w:rsidR="00440B1D" w:rsidRPr="00097135">
        <w:t>meeting, the SBI considered and adopted the conclusions below.</w:t>
      </w:r>
      <w:r w:rsidR="009E0845" w:rsidRPr="00097135">
        <w:rPr>
          <w:rStyle w:val="FootnoteReference"/>
        </w:rPr>
        <w:footnoteReference w:id="58"/>
      </w:r>
    </w:p>
    <w:p w14:paraId="61A0901E" w14:textId="77777777" w:rsidR="00440B1D" w:rsidRPr="00097135" w:rsidRDefault="00794FF0" w:rsidP="00794FF0">
      <w:pPr>
        <w:pStyle w:val="H23G"/>
      </w:pPr>
      <w:r>
        <w:tab/>
        <w:t>2.</w:t>
      </w:r>
      <w:r>
        <w:tab/>
      </w:r>
      <w:r w:rsidR="00440B1D" w:rsidRPr="00097135">
        <w:t>Conclusions</w:t>
      </w:r>
    </w:p>
    <w:p w14:paraId="67C5CAD4" w14:textId="77777777" w:rsidR="009E0845" w:rsidRPr="00097135" w:rsidRDefault="00794FF0" w:rsidP="00794FF0">
      <w:pPr>
        <w:pStyle w:val="SingleTxtG"/>
      </w:pPr>
      <w:r>
        <w:t>169.</w:t>
      </w:r>
      <w:r>
        <w:tab/>
      </w:r>
      <w:r w:rsidR="009E0845" w:rsidRPr="00097135">
        <w:t>The SBI concluded that the 3</w:t>
      </w:r>
      <w:r w:rsidR="009E0845" w:rsidRPr="00097135">
        <w:rPr>
          <w:vertAlign w:val="superscript"/>
        </w:rPr>
        <w:t>rd</w:t>
      </w:r>
      <w:r w:rsidR="009E0845" w:rsidRPr="00097135">
        <w:t xml:space="preserve"> and 4</w:t>
      </w:r>
      <w:r w:rsidR="009E0845" w:rsidRPr="00097135">
        <w:rPr>
          <w:vertAlign w:val="superscript"/>
        </w:rPr>
        <w:t>th</w:t>
      </w:r>
      <w:r w:rsidR="009E0845" w:rsidRPr="00097135">
        <w:t xml:space="preserve"> Dialogues on Article 6 of the Convention will be convened during SBI 42</w:t>
      </w:r>
      <w:r w:rsidR="00207169" w:rsidRPr="00097135">
        <w:t>,</w:t>
      </w:r>
      <w:r w:rsidR="009E0845" w:rsidRPr="00097135">
        <w:t xml:space="preserve"> and SBI 44</w:t>
      </w:r>
      <w:r w:rsidR="001615C6" w:rsidRPr="00097135">
        <w:t xml:space="preserve"> (May 2016)</w:t>
      </w:r>
      <w:r w:rsidR="009E0845" w:rsidRPr="00097135">
        <w:t>, respectively, in Bonn, and agreed that it will consider the issue of subsequent meetings of the Dialogue as part of the intermediate review of the implementation of the Doha work programme on Article 6 of the Convention at SBI 44.</w:t>
      </w:r>
    </w:p>
    <w:p w14:paraId="2A03117E" w14:textId="77777777" w:rsidR="009E0845" w:rsidRPr="00097135" w:rsidRDefault="00794FF0" w:rsidP="00794FF0">
      <w:pPr>
        <w:pStyle w:val="SingleTxtG"/>
      </w:pPr>
      <w:r>
        <w:t>170.</w:t>
      </w:r>
      <w:r>
        <w:tab/>
      </w:r>
      <w:r w:rsidR="009E0845" w:rsidRPr="00097135">
        <w:t>The SBI invited Parties, admitted observer organizations and other stakeholders to submit to the secretariat, by 18 February 2015, their feedback on the organization of the 2</w:t>
      </w:r>
      <w:r w:rsidR="009E0845" w:rsidRPr="00097135">
        <w:rPr>
          <w:vertAlign w:val="superscript"/>
        </w:rPr>
        <w:t>nd</w:t>
      </w:r>
      <w:r w:rsidR="009E0845" w:rsidRPr="00097135">
        <w:t xml:space="preserve"> Dialogue and their views on the agenda for the 3</w:t>
      </w:r>
      <w:r w:rsidR="009E0845" w:rsidRPr="00097135">
        <w:rPr>
          <w:vertAlign w:val="superscript"/>
        </w:rPr>
        <w:t>rd</w:t>
      </w:r>
      <w:r w:rsidR="009E0845" w:rsidRPr="00097135">
        <w:t xml:space="preserve"> Dialogue, which will focus on education, training and international cooperation on these matters. </w:t>
      </w:r>
    </w:p>
    <w:p w14:paraId="52C2C685" w14:textId="77777777" w:rsidR="009E0845" w:rsidRPr="00097135" w:rsidRDefault="00794FF0" w:rsidP="00794FF0">
      <w:pPr>
        <w:pStyle w:val="SingleTxtG"/>
      </w:pPr>
      <w:r>
        <w:t>171.</w:t>
      </w:r>
      <w:r>
        <w:tab/>
      </w:r>
      <w:r w:rsidR="009E0845" w:rsidRPr="00097135">
        <w:t>The SBI took note of the report on good practices of stakeholder participation in implementing Article 6 of the Convention prepared by the secretariat</w:t>
      </w:r>
      <w:r w:rsidR="009E0845" w:rsidRPr="00097135">
        <w:rPr>
          <w:rStyle w:val="FootnoteReference"/>
        </w:rPr>
        <w:footnoteReference w:id="59"/>
      </w:r>
      <w:r w:rsidR="009E0845" w:rsidRPr="00097135">
        <w:t xml:space="preserve"> and invited Parties and other stakeholders to replicate the examples and approaches contained therein. </w:t>
      </w:r>
    </w:p>
    <w:p w14:paraId="1546BB8E" w14:textId="77777777" w:rsidR="009E0845" w:rsidRPr="00097135" w:rsidRDefault="00794FF0" w:rsidP="00794FF0">
      <w:pPr>
        <w:pStyle w:val="SingleTxtG"/>
      </w:pPr>
      <w:r>
        <w:t>172.</w:t>
      </w:r>
      <w:r>
        <w:tab/>
      </w:r>
      <w:r w:rsidR="009E0845" w:rsidRPr="00097135">
        <w:t xml:space="preserve">The SBI agreed to develop terms of reference for the intermediate review of the implementation of the Doha work programme to evaluate its effectiveness, identify any emerging gaps and needs and inform any decisions on improving the work programme’s effectiveness, as appropriate, for consideration at SBI 42, with a view to launching the review at SBI 44. </w:t>
      </w:r>
    </w:p>
    <w:p w14:paraId="5595E4E4" w14:textId="77777777" w:rsidR="009E0845" w:rsidRPr="00097135" w:rsidRDefault="00794FF0" w:rsidP="00794FF0">
      <w:pPr>
        <w:pStyle w:val="SingleTxtG"/>
      </w:pPr>
      <w:r>
        <w:t>173.</w:t>
      </w:r>
      <w:r>
        <w:tab/>
      </w:r>
      <w:r w:rsidR="009E0845" w:rsidRPr="00097135">
        <w:t>The SBI decided to take into account the proposals contained in the annex to document FCCC/</w:t>
      </w:r>
      <w:r w:rsidR="001615C6" w:rsidRPr="00097135">
        <w:t>SBI</w:t>
      </w:r>
      <w:r w:rsidR="009E0845" w:rsidRPr="00097135">
        <w:t>/2014/L.20 as input to the intermediate review of the implementation of the Doha work programme in 2016 and invited Parties, admitted observer organizations and other stakeholders to submit further ideas to the secretariat by 18 February 2015.</w:t>
      </w:r>
    </w:p>
    <w:p w14:paraId="727AE268" w14:textId="77777777" w:rsidR="008000C9" w:rsidRPr="00097135" w:rsidRDefault="00794FF0" w:rsidP="00794FF0">
      <w:pPr>
        <w:pStyle w:val="HChG"/>
        <w:rPr>
          <w:rStyle w:val="SingleTxtGChar"/>
          <w:b w:val="0"/>
          <w:sz w:val="20"/>
        </w:rPr>
      </w:pPr>
      <w:bookmarkStart w:id="60" w:name="_Toc391983306"/>
      <w:r>
        <w:tab/>
        <w:t>XV.</w:t>
      </w:r>
      <w:r>
        <w:tab/>
      </w:r>
      <w:r w:rsidR="00BF05AE" w:rsidRPr="00097135">
        <w:t xml:space="preserve">Impact of the implementation of response </w:t>
      </w:r>
      <w:r w:rsidR="00825EF8" w:rsidRPr="00097135">
        <w:t xml:space="preserve">measures </w:t>
      </w:r>
      <w:r w:rsidR="008000C9" w:rsidRPr="00097135">
        <w:br/>
      </w:r>
      <w:r w:rsidR="008000C9" w:rsidRPr="00097135">
        <w:rPr>
          <w:rStyle w:val="SingleTxtGChar"/>
          <w:b w:val="0"/>
          <w:sz w:val="20"/>
        </w:rPr>
        <w:t xml:space="preserve">(Agenda item </w:t>
      </w:r>
      <w:r w:rsidR="00BF05AE" w:rsidRPr="00097135">
        <w:rPr>
          <w:rStyle w:val="SingleTxtGChar"/>
          <w:b w:val="0"/>
          <w:sz w:val="20"/>
        </w:rPr>
        <w:t>1</w:t>
      </w:r>
      <w:r w:rsidR="008000C9" w:rsidRPr="00097135">
        <w:rPr>
          <w:rStyle w:val="SingleTxtGChar"/>
          <w:b w:val="0"/>
          <w:sz w:val="20"/>
        </w:rPr>
        <w:t>5)</w:t>
      </w:r>
      <w:bookmarkEnd w:id="60"/>
    </w:p>
    <w:p w14:paraId="6F4C98FA" w14:textId="77777777" w:rsidR="00BF05AE" w:rsidRPr="00C44077" w:rsidRDefault="00794FF0" w:rsidP="00794FF0">
      <w:pPr>
        <w:pStyle w:val="H1G"/>
        <w:tabs>
          <w:tab w:val="right" w:pos="850"/>
        </w:tabs>
        <w:rPr>
          <w:rStyle w:val="SingleTxtGChar"/>
          <w:b w:val="0"/>
          <w:sz w:val="20"/>
        </w:rPr>
      </w:pPr>
      <w:bookmarkStart w:id="61" w:name="_Toc391983307"/>
      <w:r>
        <w:tab/>
        <w:t>A.</w:t>
      </w:r>
      <w:r>
        <w:tab/>
      </w:r>
      <w:r w:rsidR="00BF05AE" w:rsidRPr="00097135">
        <w:t>Forum and work programme</w:t>
      </w:r>
      <w:r w:rsidR="00BF05AE" w:rsidRPr="00097135">
        <w:br/>
      </w:r>
      <w:r w:rsidR="00BF05AE" w:rsidRPr="00097135">
        <w:rPr>
          <w:rStyle w:val="SingleTxtGChar"/>
          <w:b w:val="0"/>
          <w:sz w:val="20"/>
        </w:rPr>
        <w:t xml:space="preserve">(Agenda </w:t>
      </w:r>
      <w:r w:rsidR="0016758E" w:rsidRPr="00C44077">
        <w:rPr>
          <w:rStyle w:val="SingleTxtGChar"/>
          <w:b w:val="0"/>
          <w:sz w:val="20"/>
        </w:rPr>
        <w:t>sub-item</w:t>
      </w:r>
      <w:r w:rsidR="00BF05AE" w:rsidRPr="00C44077">
        <w:rPr>
          <w:rStyle w:val="SingleTxtGChar"/>
          <w:b w:val="0"/>
          <w:sz w:val="20"/>
        </w:rPr>
        <w:t xml:space="preserve"> 15(a))</w:t>
      </w:r>
      <w:bookmarkEnd w:id="61"/>
    </w:p>
    <w:p w14:paraId="6895AFEB" w14:textId="77777777" w:rsidR="00BE0532" w:rsidRPr="00C44077" w:rsidRDefault="00794FF0" w:rsidP="00794FF0">
      <w:pPr>
        <w:pStyle w:val="H23G"/>
        <w:rPr>
          <w:lang w:eastAsia="en-US"/>
        </w:rPr>
      </w:pPr>
      <w:r>
        <w:tab/>
        <w:t>1.</w:t>
      </w:r>
      <w:r>
        <w:tab/>
      </w:r>
      <w:r w:rsidR="00BE0532" w:rsidRPr="00C44077">
        <w:t>Proceedings</w:t>
      </w:r>
    </w:p>
    <w:p w14:paraId="518AC960" w14:textId="77777777" w:rsidR="00F60FEC" w:rsidRPr="0097390C" w:rsidRDefault="00794FF0" w:rsidP="00794FF0">
      <w:pPr>
        <w:pStyle w:val="SingleTxtG"/>
      </w:pPr>
      <w:r>
        <w:t>174.</w:t>
      </w:r>
      <w:r>
        <w:tab/>
      </w:r>
      <w:r w:rsidR="00BF05AE" w:rsidRPr="00C44077">
        <w:t xml:space="preserve">The SBI considered this agenda </w:t>
      </w:r>
      <w:r w:rsidR="0016758E" w:rsidRPr="00C44077">
        <w:t>sub-item</w:t>
      </w:r>
      <w:r w:rsidR="00BF05AE" w:rsidRPr="00C44077">
        <w:t xml:space="preserve"> at its </w:t>
      </w:r>
      <w:r w:rsidR="00BF05AE" w:rsidRPr="00C44077">
        <w:rPr>
          <w:snapToGrid w:val="0"/>
        </w:rPr>
        <w:t>1</w:t>
      </w:r>
      <w:r w:rsidR="00BF05AE" w:rsidRPr="00C44077">
        <w:rPr>
          <w:snapToGrid w:val="0"/>
          <w:vertAlign w:val="superscript"/>
        </w:rPr>
        <w:t>st</w:t>
      </w:r>
      <w:r w:rsidR="00BF05AE" w:rsidRPr="00C44077">
        <w:rPr>
          <w:snapToGrid w:val="0"/>
        </w:rPr>
        <w:t xml:space="preserve"> </w:t>
      </w:r>
      <w:r w:rsidR="00E723FD" w:rsidRPr="00C44077">
        <w:rPr>
          <w:snapToGrid w:val="0"/>
        </w:rPr>
        <w:t>and 2</w:t>
      </w:r>
      <w:r w:rsidR="00E723FD" w:rsidRPr="00C44077">
        <w:rPr>
          <w:snapToGrid w:val="0"/>
          <w:vertAlign w:val="superscript"/>
        </w:rPr>
        <w:t>nd</w:t>
      </w:r>
      <w:r w:rsidR="00E723FD" w:rsidRPr="00C44077">
        <w:rPr>
          <w:snapToGrid w:val="0"/>
        </w:rPr>
        <w:t xml:space="preserve"> </w:t>
      </w:r>
      <w:r w:rsidR="00BF05AE" w:rsidRPr="00C44077">
        <w:rPr>
          <w:snapToGrid w:val="0"/>
        </w:rPr>
        <w:t>meetings</w:t>
      </w:r>
      <w:r w:rsidR="00BF05AE" w:rsidRPr="00C44077">
        <w:t xml:space="preserve">. </w:t>
      </w:r>
      <w:r w:rsidR="004E51DB" w:rsidRPr="00C44077">
        <w:t xml:space="preserve">It had before it document </w:t>
      </w:r>
      <w:r w:rsidR="004E51DB" w:rsidRPr="0097390C">
        <w:t>FCCC/SBI/2014/INF.1.</w:t>
      </w:r>
    </w:p>
    <w:p w14:paraId="545C3D24" w14:textId="77777777" w:rsidR="009F52F2" w:rsidRPr="0097390C" w:rsidRDefault="00794FF0" w:rsidP="00794FF0">
      <w:pPr>
        <w:pStyle w:val="SingleTxtG"/>
      </w:pPr>
      <w:r>
        <w:t>175.</w:t>
      </w:r>
      <w:r>
        <w:tab/>
      </w:r>
      <w:r w:rsidR="009F52F2" w:rsidRPr="0097390C">
        <w:t>At its 1</w:t>
      </w:r>
      <w:r w:rsidR="009F52F2" w:rsidRPr="0097390C">
        <w:rPr>
          <w:vertAlign w:val="superscript"/>
        </w:rPr>
        <w:t>st</w:t>
      </w:r>
      <w:r w:rsidR="009F52F2" w:rsidRPr="0097390C">
        <w:t xml:space="preserve"> meeting, the SBI agreed to consider this agenda </w:t>
      </w:r>
      <w:r w:rsidR="0016758E" w:rsidRPr="0097390C">
        <w:t>sub-item</w:t>
      </w:r>
      <w:r w:rsidR="009F52F2" w:rsidRPr="0097390C">
        <w:t xml:space="preserve"> jointly with agenda </w:t>
      </w:r>
      <w:r w:rsidR="0016758E" w:rsidRPr="0097390C">
        <w:t>sub-item</w:t>
      </w:r>
      <w:r w:rsidR="009F52F2" w:rsidRPr="0097390C">
        <w:t xml:space="preserve"> </w:t>
      </w:r>
      <w:r w:rsidR="005C2122" w:rsidRPr="0097390C">
        <w:t>10</w:t>
      </w:r>
      <w:r w:rsidR="004B466A" w:rsidRPr="0097390C">
        <w:t>(</w:t>
      </w:r>
      <w:r w:rsidR="009F52F2" w:rsidRPr="0097390C">
        <w:t xml:space="preserve">a) of the SBSTA in a </w:t>
      </w:r>
      <w:r w:rsidR="005C2122" w:rsidRPr="0097390C">
        <w:t>contact group</w:t>
      </w:r>
      <w:r w:rsidR="009F52F2" w:rsidRPr="0097390C">
        <w:t xml:space="preserve"> co-chaired by the Chair of the SBI, </w:t>
      </w:r>
      <w:proofErr w:type="spellStart"/>
      <w:r w:rsidR="009F52F2" w:rsidRPr="0097390C">
        <w:t>Mr.</w:t>
      </w:r>
      <w:proofErr w:type="spellEnd"/>
      <w:r w:rsidR="009F52F2" w:rsidRPr="0097390C">
        <w:t xml:space="preserve"> </w:t>
      </w:r>
      <w:proofErr w:type="spellStart"/>
      <w:r w:rsidR="004B466A" w:rsidRPr="0097390C">
        <w:t>Yauvoli</w:t>
      </w:r>
      <w:proofErr w:type="spellEnd"/>
      <w:r w:rsidR="009F52F2" w:rsidRPr="0097390C">
        <w:t xml:space="preserve">, and the Chair of the SBSTA, </w:t>
      </w:r>
      <w:proofErr w:type="spellStart"/>
      <w:r w:rsidR="009F52F2" w:rsidRPr="0097390C">
        <w:t>Mr</w:t>
      </w:r>
      <w:r w:rsidR="004B466A" w:rsidRPr="0097390C">
        <w:t>.</w:t>
      </w:r>
      <w:proofErr w:type="spellEnd"/>
      <w:r w:rsidR="004B466A" w:rsidRPr="0097390C">
        <w:t xml:space="preserve"> Emmanuel </w:t>
      </w:r>
      <w:proofErr w:type="spellStart"/>
      <w:r w:rsidR="004B466A" w:rsidRPr="0097390C">
        <w:t>Dumisani</w:t>
      </w:r>
      <w:proofErr w:type="spellEnd"/>
      <w:r w:rsidR="004B466A" w:rsidRPr="0097390C">
        <w:t xml:space="preserve"> </w:t>
      </w:r>
      <w:proofErr w:type="spellStart"/>
      <w:r w:rsidR="004B466A" w:rsidRPr="0097390C">
        <w:t>Dlamini</w:t>
      </w:r>
      <w:proofErr w:type="spellEnd"/>
      <w:r w:rsidR="001615C6" w:rsidRPr="0097390C">
        <w:t xml:space="preserve"> (Swaziland)</w:t>
      </w:r>
      <w:r w:rsidR="009F52F2" w:rsidRPr="0097390C">
        <w:t xml:space="preserve">. </w:t>
      </w:r>
      <w:r w:rsidR="001615C6" w:rsidRPr="0097390C">
        <w:t xml:space="preserve">The SBI </w:t>
      </w:r>
      <w:r w:rsidR="009F52F2" w:rsidRPr="0097390C">
        <w:t xml:space="preserve">also agreed to consider this agenda </w:t>
      </w:r>
      <w:r w:rsidR="0016758E" w:rsidRPr="0097390C">
        <w:t>sub-item</w:t>
      </w:r>
      <w:r w:rsidR="001615C6" w:rsidRPr="0097390C">
        <w:t>, at this session,</w:t>
      </w:r>
      <w:r w:rsidR="009F52F2" w:rsidRPr="0097390C">
        <w:t xml:space="preserve"> jointly with agenda </w:t>
      </w:r>
      <w:r w:rsidR="0016758E" w:rsidRPr="0097390C">
        <w:t>sub-item</w:t>
      </w:r>
      <w:r w:rsidR="009F52F2" w:rsidRPr="0097390C">
        <w:t>s 15(b) and (c).</w:t>
      </w:r>
    </w:p>
    <w:p w14:paraId="71A2830A" w14:textId="77777777" w:rsidR="00BF05AE" w:rsidRPr="00C44077" w:rsidRDefault="00794FF0" w:rsidP="00794FF0">
      <w:pPr>
        <w:pStyle w:val="SingleTxtG"/>
      </w:pPr>
      <w:r>
        <w:rPr>
          <w:color w:val="000000"/>
        </w:rPr>
        <w:t>176.</w:t>
      </w:r>
      <w:r>
        <w:rPr>
          <w:color w:val="000000"/>
        </w:rPr>
        <w:tab/>
      </w:r>
      <w:r w:rsidR="00BF05AE" w:rsidRPr="00C44077">
        <w:rPr>
          <w:color w:val="000000"/>
        </w:rPr>
        <w:t>A</w:t>
      </w:r>
      <w:r w:rsidR="00BF05AE" w:rsidRPr="00C44077">
        <w:t xml:space="preserve">t its </w:t>
      </w:r>
      <w:r w:rsidR="009F52F2" w:rsidRPr="00C44077">
        <w:t>2</w:t>
      </w:r>
      <w:r w:rsidR="009F52F2" w:rsidRPr="00C44077">
        <w:rPr>
          <w:vertAlign w:val="superscript"/>
        </w:rPr>
        <w:t>nd</w:t>
      </w:r>
      <w:r w:rsidR="009F52F2" w:rsidRPr="00C44077">
        <w:t xml:space="preserve"> </w:t>
      </w:r>
      <w:r w:rsidR="00BF05AE" w:rsidRPr="00C44077">
        <w:t>meeting, the SBI considered and adopted the conclusions below.</w:t>
      </w:r>
      <w:r w:rsidR="004537DC" w:rsidRPr="00C44077">
        <w:rPr>
          <w:rStyle w:val="FootnoteReference"/>
          <w:color w:val="000000"/>
        </w:rPr>
        <w:footnoteReference w:id="60"/>
      </w:r>
    </w:p>
    <w:p w14:paraId="028A053B" w14:textId="77777777" w:rsidR="00BF05AE" w:rsidRPr="00C44077" w:rsidRDefault="00794FF0" w:rsidP="00794FF0">
      <w:pPr>
        <w:pStyle w:val="H23G"/>
      </w:pPr>
      <w:r>
        <w:tab/>
        <w:t>2.</w:t>
      </w:r>
      <w:r>
        <w:tab/>
      </w:r>
      <w:r w:rsidR="00BF05AE" w:rsidRPr="00C44077">
        <w:t>Conclusions</w:t>
      </w:r>
    </w:p>
    <w:p w14:paraId="03F75FCF" w14:textId="77777777" w:rsidR="00F24652" w:rsidRPr="00C44077" w:rsidRDefault="00794FF0" w:rsidP="00794FF0">
      <w:pPr>
        <w:pStyle w:val="SingleTxtG"/>
      </w:pPr>
      <w:r>
        <w:t>177.</w:t>
      </w:r>
      <w:r>
        <w:tab/>
      </w:r>
      <w:r w:rsidR="00F24652" w:rsidRPr="00C44077">
        <w:t>The SBSTA and the SBI welcomed the report</w:t>
      </w:r>
      <w:r w:rsidR="00F24652" w:rsidRPr="00C44077">
        <w:rPr>
          <w:rStyle w:val="FootnoteReference"/>
          <w:color w:val="000000"/>
        </w:rPr>
        <w:footnoteReference w:id="61"/>
      </w:r>
      <w:r w:rsidR="00F24652" w:rsidRPr="00C44077">
        <w:t xml:space="preserve"> on the in-forum workshop on </w:t>
      </w:r>
      <w:r w:rsidR="001615C6" w:rsidRPr="00C44077">
        <w:t>area </w:t>
      </w:r>
      <w:r w:rsidR="00F24652" w:rsidRPr="00C44077">
        <w:t>(b)</w:t>
      </w:r>
      <w:r w:rsidR="00F24652" w:rsidRPr="00C44077">
        <w:rPr>
          <w:rStyle w:val="FootnoteReference"/>
          <w:color w:val="000000"/>
        </w:rPr>
        <w:footnoteReference w:id="62"/>
      </w:r>
      <w:r w:rsidR="00F24652" w:rsidRPr="00C44077">
        <w:t xml:space="preserve"> of the work programme on the impact of the implementation of response measures.</w:t>
      </w:r>
    </w:p>
    <w:p w14:paraId="44234498" w14:textId="77777777" w:rsidR="00F24652" w:rsidRPr="00C44077" w:rsidRDefault="00794FF0" w:rsidP="00794FF0">
      <w:pPr>
        <w:pStyle w:val="SingleTxtG"/>
      </w:pPr>
      <w:r>
        <w:t>178.</w:t>
      </w:r>
      <w:r>
        <w:tab/>
      </w:r>
      <w:r w:rsidR="00F24652" w:rsidRPr="00C44077">
        <w:t>The SBSTA and the SBI noted that a variety of submissions from Parties on the review of the work of the forum on the impact of the implementation of response measures, pursuant to decision 8/CP.17, paragraph 5, were received, and that the compilation of those submissions</w:t>
      </w:r>
      <w:r w:rsidR="00F24652" w:rsidRPr="00C44077">
        <w:rPr>
          <w:rStyle w:val="FootnoteReference"/>
          <w:color w:val="000000"/>
        </w:rPr>
        <w:footnoteReference w:id="63"/>
      </w:r>
      <w:r w:rsidR="00F24652" w:rsidRPr="00C44077">
        <w:t xml:space="preserve"> concluded the review.</w:t>
      </w:r>
    </w:p>
    <w:p w14:paraId="180B5520" w14:textId="77777777" w:rsidR="00F24652" w:rsidRPr="00C44077" w:rsidRDefault="00794FF0" w:rsidP="00794FF0">
      <w:pPr>
        <w:pStyle w:val="SingleTxtG"/>
      </w:pPr>
      <w:r>
        <w:t>179.</w:t>
      </w:r>
      <w:r>
        <w:tab/>
      </w:r>
      <w:r w:rsidR="00F24652" w:rsidRPr="00C44077">
        <w:t>The SBSTA and the SBI welcomed the constructive discussions and negotiations that took place among Parties under the forum during SBSTA 40 and SBI 40. They encouraged Parties to continue their fruitful engagement in order to enhance their work on the impact of the implementation of response measures under the Convention.</w:t>
      </w:r>
    </w:p>
    <w:p w14:paraId="05CD75FC" w14:textId="77777777" w:rsidR="00F24652" w:rsidRPr="0097390C" w:rsidRDefault="00794FF0" w:rsidP="00794FF0">
      <w:pPr>
        <w:pStyle w:val="SingleTxtG"/>
      </w:pPr>
      <w:r>
        <w:t>180.</w:t>
      </w:r>
      <w:r>
        <w:tab/>
      </w:r>
      <w:r w:rsidR="00F24652" w:rsidRPr="00C44077">
        <w:t xml:space="preserve">The SBSTA and the SBI invited Parties, experts, practitioners and relevant organizations to submit to the secretariat, by 22 September 2014, their views on options to strengthen opportunities for cooperation and collaboration among Parties related to this agenda </w:t>
      </w:r>
      <w:r w:rsidR="0016758E" w:rsidRPr="00C44077">
        <w:t>sub-item</w:t>
      </w:r>
      <w:r w:rsidR="00F24652" w:rsidRPr="00C44077">
        <w:t>, and requested the secretariat to prepare, subject to the availability of financial resources, a technical paper on areas of convergence related to areas of cooperation, as well as a synthesis paper, both based on the reports on the work of the forum,</w:t>
      </w:r>
      <w:r w:rsidR="00F24652" w:rsidRPr="00C44077">
        <w:rPr>
          <w:rStyle w:val="FootnoteReference"/>
          <w:color w:val="000000"/>
        </w:rPr>
        <w:footnoteReference w:id="64"/>
      </w:r>
      <w:r w:rsidR="00F24652" w:rsidRPr="00C44077">
        <w:t xml:space="preserve"> the submissions, </w:t>
      </w:r>
      <w:r w:rsidR="00F24652" w:rsidRPr="0097390C">
        <w:t xml:space="preserve">presentations and statements made and the review of the work of the forum, for consideration at SBSTA 41 and SBI 41, without prejudice to the consideration by the COP referred to in paragraph </w:t>
      </w:r>
      <w:r w:rsidR="00661680" w:rsidRPr="0097390C">
        <w:t>1</w:t>
      </w:r>
      <w:r w:rsidR="00825EF8" w:rsidRPr="0097390C">
        <w:t>8</w:t>
      </w:r>
      <w:r w:rsidR="00011C34" w:rsidRPr="0097390C">
        <w:t>1</w:t>
      </w:r>
      <w:r w:rsidR="00F24652" w:rsidRPr="0097390C">
        <w:t xml:space="preserve"> below.</w:t>
      </w:r>
    </w:p>
    <w:p w14:paraId="3633F15B" w14:textId="77777777" w:rsidR="00F24652" w:rsidRPr="0097390C" w:rsidRDefault="00794FF0" w:rsidP="00794FF0">
      <w:pPr>
        <w:pStyle w:val="SingleTxtG"/>
      </w:pPr>
      <w:r>
        <w:t>181.</w:t>
      </w:r>
      <w:r>
        <w:tab/>
      </w:r>
      <w:r w:rsidR="00F24652" w:rsidRPr="0097390C">
        <w:t>The SBSTA and the SBI took note of the submissions made by Parties of proposals regarding a draft decision to take the work forward</w:t>
      </w:r>
      <w:r w:rsidR="00F24652" w:rsidRPr="0097390C">
        <w:rPr>
          <w:rStyle w:val="FootnoteReference"/>
        </w:rPr>
        <w:footnoteReference w:id="65"/>
      </w:r>
      <w:r w:rsidR="00F24652" w:rsidRPr="0097390C">
        <w:t xml:space="preserve"> and agreed to forward them for consideration at SBSTA 41 and SBI 41 with a view to providing recommendations for consideration at COP 20.</w:t>
      </w:r>
    </w:p>
    <w:p w14:paraId="01BEFB5E" w14:textId="77777777" w:rsidR="00F24652" w:rsidRPr="0097390C" w:rsidRDefault="00794FF0" w:rsidP="00794FF0">
      <w:pPr>
        <w:pStyle w:val="SingleTxtG"/>
      </w:pPr>
      <w:r>
        <w:t>182.</w:t>
      </w:r>
      <w:r>
        <w:tab/>
      </w:r>
      <w:r w:rsidR="006E4F02" w:rsidRPr="0097390C">
        <w:t xml:space="preserve">The SBSTA and the SBI also took note of the estimated budgetary implications of the activities to be undertaken by the secretariat referred to in paragraph </w:t>
      </w:r>
      <w:r w:rsidR="00825EF8" w:rsidRPr="0097390C">
        <w:t>1</w:t>
      </w:r>
      <w:r w:rsidR="00011C34" w:rsidRPr="0097390C">
        <w:t>80</w:t>
      </w:r>
      <w:r w:rsidR="00825EF8" w:rsidRPr="0097390C">
        <w:t xml:space="preserve"> </w:t>
      </w:r>
      <w:r w:rsidR="006E4F02" w:rsidRPr="0097390C">
        <w:t>above. They requested that the actions of the secretariat called for in these conclusions be undertaken subject to the availability of financial resources.</w:t>
      </w:r>
    </w:p>
    <w:p w14:paraId="16BDE752" w14:textId="77777777" w:rsidR="00BF05AE" w:rsidRPr="00C44077" w:rsidRDefault="00794FF0" w:rsidP="00794FF0">
      <w:pPr>
        <w:pStyle w:val="H1G"/>
        <w:tabs>
          <w:tab w:val="right" w:pos="850"/>
        </w:tabs>
        <w:rPr>
          <w:rStyle w:val="SingleTxtGChar"/>
          <w:b w:val="0"/>
          <w:sz w:val="20"/>
        </w:rPr>
      </w:pPr>
      <w:bookmarkStart w:id="62" w:name="_Toc391983308"/>
      <w:r>
        <w:tab/>
        <w:t>B.</w:t>
      </w:r>
      <w:r>
        <w:tab/>
      </w:r>
      <w:r w:rsidR="00BF05AE" w:rsidRPr="00C44077">
        <w:t>Matters relating to Article 3, paragraph 14, of the Kyoto Protocol</w:t>
      </w:r>
      <w:r w:rsidR="00BF05AE" w:rsidRPr="00C44077">
        <w:br/>
      </w:r>
      <w:r w:rsidR="00BF05AE" w:rsidRPr="00C44077">
        <w:rPr>
          <w:rStyle w:val="SingleTxtGChar"/>
          <w:b w:val="0"/>
          <w:sz w:val="20"/>
        </w:rPr>
        <w:t>(Agenda</w:t>
      </w:r>
      <w:r w:rsidR="00753F94" w:rsidRPr="00C44077">
        <w:rPr>
          <w:rStyle w:val="SingleTxtGChar"/>
          <w:b w:val="0"/>
          <w:sz w:val="20"/>
        </w:rPr>
        <w:t xml:space="preserve"> </w:t>
      </w:r>
      <w:r w:rsidR="0016758E" w:rsidRPr="00C44077">
        <w:rPr>
          <w:rStyle w:val="SingleTxtGChar"/>
          <w:b w:val="0"/>
          <w:sz w:val="20"/>
        </w:rPr>
        <w:t>sub-item</w:t>
      </w:r>
      <w:r w:rsidR="00BF05AE" w:rsidRPr="00C44077">
        <w:rPr>
          <w:rStyle w:val="SingleTxtGChar"/>
          <w:b w:val="0"/>
          <w:sz w:val="20"/>
        </w:rPr>
        <w:t xml:space="preserve"> 15(b))</w:t>
      </w:r>
      <w:bookmarkEnd w:id="62"/>
    </w:p>
    <w:p w14:paraId="0E5FE1AD" w14:textId="77777777" w:rsidR="006E4F02" w:rsidRPr="00C44077" w:rsidRDefault="006E4F02" w:rsidP="006E4F02">
      <w:pPr>
        <w:pStyle w:val="RegH23G"/>
        <w:numPr>
          <w:ilvl w:val="0"/>
          <w:numId w:val="0"/>
        </w:numPr>
        <w:ind w:left="851" w:firstLine="283"/>
        <w:rPr>
          <w:lang w:eastAsia="en-US"/>
        </w:rPr>
      </w:pPr>
      <w:r w:rsidRPr="00C44077">
        <w:t>Proceedings</w:t>
      </w:r>
    </w:p>
    <w:p w14:paraId="0F616CC3" w14:textId="77777777" w:rsidR="00F60FEC" w:rsidRPr="00C44077" w:rsidRDefault="00794FF0" w:rsidP="00794FF0">
      <w:pPr>
        <w:pStyle w:val="SingleTxtG"/>
      </w:pPr>
      <w:r>
        <w:t>183.</w:t>
      </w:r>
      <w:r>
        <w:tab/>
      </w:r>
      <w:r w:rsidR="009F52F2" w:rsidRPr="00C44077">
        <w:t xml:space="preserve">The SBI considered this agenda </w:t>
      </w:r>
      <w:r w:rsidR="0016758E" w:rsidRPr="00C44077">
        <w:t>sub-item</w:t>
      </w:r>
      <w:r w:rsidR="009F52F2" w:rsidRPr="00C44077">
        <w:t>s at its 1</w:t>
      </w:r>
      <w:r w:rsidR="009F52F2" w:rsidRPr="00C44077">
        <w:rPr>
          <w:vertAlign w:val="superscript"/>
        </w:rPr>
        <w:t>st</w:t>
      </w:r>
      <w:r w:rsidR="009F52F2" w:rsidRPr="00C44077">
        <w:t xml:space="preserve"> and 2</w:t>
      </w:r>
      <w:r w:rsidR="009F52F2" w:rsidRPr="00C44077">
        <w:rPr>
          <w:vertAlign w:val="superscript"/>
        </w:rPr>
        <w:t>nd</w:t>
      </w:r>
      <w:r w:rsidR="009F52F2" w:rsidRPr="00C44077">
        <w:t xml:space="preserve"> meetings. At its 1</w:t>
      </w:r>
      <w:r w:rsidR="009F52F2" w:rsidRPr="00C44077">
        <w:rPr>
          <w:vertAlign w:val="superscript"/>
        </w:rPr>
        <w:t>st</w:t>
      </w:r>
      <w:r w:rsidR="009F52F2" w:rsidRPr="00C44077">
        <w:t xml:space="preserve"> meeting, on a proposal by the Chair, the SBI agreed to consider</w:t>
      </w:r>
      <w:r w:rsidR="002F496E" w:rsidRPr="00C44077">
        <w:t>,</w:t>
      </w:r>
      <w:r w:rsidR="009F52F2" w:rsidRPr="00C44077">
        <w:t xml:space="preserve"> at this session</w:t>
      </w:r>
      <w:r w:rsidR="002F496E" w:rsidRPr="00C44077">
        <w:t>,</w:t>
      </w:r>
      <w:r w:rsidR="009F52F2" w:rsidRPr="00C44077">
        <w:t xml:space="preserve"> this agenda </w:t>
      </w:r>
      <w:r w:rsidR="0016758E" w:rsidRPr="00C44077">
        <w:t>sub-item</w:t>
      </w:r>
      <w:r w:rsidR="009F52F2" w:rsidRPr="00C44077">
        <w:t xml:space="preserve"> jointly with agenda </w:t>
      </w:r>
      <w:r w:rsidR="0016758E" w:rsidRPr="00C44077">
        <w:t>sub-item</w:t>
      </w:r>
      <w:r w:rsidR="009F52F2" w:rsidRPr="00C44077">
        <w:t xml:space="preserve"> 15(a) </w:t>
      </w:r>
      <w:r w:rsidR="00F848B8" w:rsidRPr="00C44077">
        <w:t xml:space="preserve">of the SBI </w:t>
      </w:r>
      <w:r w:rsidR="009F52F2" w:rsidRPr="00C44077">
        <w:t xml:space="preserve">and agenda </w:t>
      </w:r>
      <w:r w:rsidR="0016758E" w:rsidRPr="00C44077">
        <w:t>sub-item</w:t>
      </w:r>
      <w:r w:rsidR="009F52F2" w:rsidRPr="00C44077">
        <w:t xml:space="preserve"> </w:t>
      </w:r>
      <w:r w:rsidR="00CE3F32" w:rsidRPr="00C44077">
        <w:t>10</w:t>
      </w:r>
      <w:r w:rsidR="00402F65" w:rsidRPr="00C44077">
        <w:t>(</w:t>
      </w:r>
      <w:r w:rsidR="009F52F2" w:rsidRPr="00C44077">
        <w:t xml:space="preserve">b) of the SBSTA. At the same meeting, the SBI also agreed that </w:t>
      </w:r>
      <w:r w:rsidR="004B466A" w:rsidRPr="00C44077">
        <w:t>the SBI Chair</w:t>
      </w:r>
      <w:r w:rsidR="00F848B8" w:rsidRPr="00C44077">
        <w:t xml:space="preserve"> </w:t>
      </w:r>
      <w:r w:rsidR="009F52F2" w:rsidRPr="00C44077">
        <w:t xml:space="preserve">would undertake consultations with interested Parties on how to take up this </w:t>
      </w:r>
      <w:r w:rsidR="00F848B8" w:rsidRPr="00C44077">
        <w:t xml:space="preserve">agenda </w:t>
      </w:r>
      <w:r w:rsidR="0016758E" w:rsidRPr="00C44077">
        <w:t>sub-item</w:t>
      </w:r>
      <w:r w:rsidR="009F52F2" w:rsidRPr="00C44077">
        <w:t xml:space="preserve"> at the next session.</w:t>
      </w:r>
    </w:p>
    <w:p w14:paraId="2796302F" w14:textId="77777777" w:rsidR="00BF05AE" w:rsidRPr="00C44077" w:rsidRDefault="00794FF0" w:rsidP="00794FF0">
      <w:pPr>
        <w:pStyle w:val="SingleTxtG"/>
      </w:pPr>
      <w:r>
        <w:rPr>
          <w:color w:val="000000"/>
        </w:rPr>
        <w:t>184.</w:t>
      </w:r>
      <w:r>
        <w:rPr>
          <w:color w:val="000000"/>
        </w:rPr>
        <w:tab/>
      </w:r>
      <w:r w:rsidR="00BF05AE" w:rsidRPr="00C44077">
        <w:rPr>
          <w:color w:val="000000"/>
        </w:rPr>
        <w:t>A</w:t>
      </w:r>
      <w:r w:rsidR="00BF05AE" w:rsidRPr="00C44077">
        <w:t>t its 2</w:t>
      </w:r>
      <w:r w:rsidR="0035359E" w:rsidRPr="00C44077">
        <w:rPr>
          <w:vertAlign w:val="superscript"/>
        </w:rPr>
        <w:t>nd</w:t>
      </w:r>
      <w:r w:rsidR="0035359E" w:rsidRPr="00C44077">
        <w:t xml:space="preserve"> </w:t>
      </w:r>
      <w:r w:rsidR="00BF05AE" w:rsidRPr="00C44077">
        <w:t>meeting, the SBI</w:t>
      </w:r>
      <w:r w:rsidR="00402F65" w:rsidRPr="00C44077">
        <w:t xml:space="preserve"> agreed to continue, at SBI 41, consultations on how to take up this agenda </w:t>
      </w:r>
      <w:r w:rsidR="0016758E" w:rsidRPr="00C44077">
        <w:t>sub-item</w:t>
      </w:r>
      <w:r w:rsidR="00BF05AE" w:rsidRPr="00C44077">
        <w:t>.</w:t>
      </w:r>
    </w:p>
    <w:p w14:paraId="47C34F85" w14:textId="77777777" w:rsidR="00BF05AE" w:rsidRPr="00C44077" w:rsidRDefault="00794FF0" w:rsidP="00794FF0">
      <w:pPr>
        <w:pStyle w:val="H1G"/>
        <w:tabs>
          <w:tab w:val="right" w:pos="850"/>
        </w:tabs>
        <w:rPr>
          <w:rStyle w:val="SingleTxtGChar"/>
          <w:b w:val="0"/>
          <w:sz w:val="20"/>
        </w:rPr>
      </w:pPr>
      <w:bookmarkStart w:id="63" w:name="_Toc391983309"/>
      <w:r>
        <w:tab/>
        <w:t>C.</w:t>
      </w:r>
      <w:r>
        <w:tab/>
      </w:r>
      <w:r w:rsidR="00BF05AE" w:rsidRPr="00C44077">
        <w:t>Progress on the implementation of decision 1/CP.10</w:t>
      </w:r>
      <w:r w:rsidR="00BF05AE" w:rsidRPr="00C44077">
        <w:br/>
      </w:r>
      <w:r w:rsidR="00BF05AE" w:rsidRPr="00C44077">
        <w:rPr>
          <w:rStyle w:val="SingleTxtGChar"/>
          <w:b w:val="0"/>
          <w:sz w:val="20"/>
        </w:rPr>
        <w:t xml:space="preserve">(Agenda </w:t>
      </w:r>
      <w:r w:rsidR="0016758E" w:rsidRPr="00C44077">
        <w:rPr>
          <w:rStyle w:val="SingleTxtGChar"/>
          <w:b w:val="0"/>
          <w:sz w:val="20"/>
        </w:rPr>
        <w:t>sub-item</w:t>
      </w:r>
      <w:r w:rsidR="00BF05AE" w:rsidRPr="00C44077">
        <w:rPr>
          <w:rStyle w:val="SingleTxtGChar"/>
          <w:b w:val="0"/>
          <w:sz w:val="20"/>
        </w:rPr>
        <w:t xml:space="preserve"> 15(c))</w:t>
      </w:r>
      <w:bookmarkEnd w:id="63"/>
    </w:p>
    <w:p w14:paraId="2ACE6FFE" w14:textId="77777777" w:rsidR="00D125EE" w:rsidRPr="00C44077" w:rsidRDefault="00D125EE" w:rsidP="00D125EE">
      <w:pPr>
        <w:pStyle w:val="RegH23G"/>
        <w:numPr>
          <w:ilvl w:val="0"/>
          <w:numId w:val="0"/>
        </w:numPr>
        <w:ind w:left="851" w:firstLine="283"/>
        <w:rPr>
          <w:lang w:eastAsia="en-US"/>
        </w:rPr>
      </w:pPr>
      <w:r w:rsidRPr="00C44077">
        <w:t>Proceedings</w:t>
      </w:r>
    </w:p>
    <w:p w14:paraId="4CAB3279" w14:textId="77777777" w:rsidR="002E351F" w:rsidRPr="00C44077" w:rsidRDefault="00794FF0" w:rsidP="00794FF0">
      <w:pPr>
        <w:pStyle w:val="SingleTxtG"/>
      </w:pPr>
      <w:r>
        <w:t>185.</w:t>
      </w:r>
      <w:r>
        <w:tab/>
      </w:r>
      <w:r w:rsidR="00402F65" w:rsidRPr="00C44077">
        <w:t xml:space="preserve">The SBI considered this agenda </w:t>
      </w:r>
      <w:r w:rsidR="0016758E" w:rsidRPr="00C44077">
        <w:t>sub-item</w:t>
      </w:r>
      <w:r w:rsidR="00402F65" w:rsidRPr="00C44077">
        <w:t xml:space="preserve"> at its 1</w:t>
      </w:r>
      <w:r w:rsidR="00402F65" w:rsidRPr="00C44077">
        <w:rPr>
          <w:vertAlign w:val="superscript"/>
        </w:rPr>
        <w:t>st</w:t>
      </w:r>
      <w:r w:rsidR="00402F65" w:rsidRPr="00C44077">
        <w:t xml:space="preserve"> and 2</w:t>
      </w:r>
      <w:r w:rsidR="00402F65" w:rsidRPr="00C44077">
        <w:rPr>
          <w:vertAlign w:val="superscript"/>
        </w:rPr>
        <w:t>nd</w:t>
      </w:r>
      <w:r w:rsidR="00402F65" w:rsidRPr="00C44077">
        <w:t xml:space="preserve"> meetings. At its 1</w:t>
      </w:r>
      <w:r w:rsidR="00402F65" w:rsidRPr="00C44077">
        <w:rPr>
          <w:vertAlign w:val="superscript"/>
        </w:rPr>
        <w:t>st</w:t>
      </w:r>
      <w:r w:rsidR="00402F65" w:rsidRPr="00C44077">
        <w:t xml:space="preserve"> meeting, on a proposal by the Chair, the SBI agreed to consider</w:t>
      </w:r>
      <w:r w:rsidR="0016112A" w:rsidRPr="00C44077">
        <w:t>,</w:t>
      </w:r>
      <w:r w:rsidR="00402F65" w:rsidRPr="00C44077">
        <w:t xml:space="preserve"> at this session</w:t>
      </w:r>
      <w:r w:rsidR="0016112A" w:rsidRPr="00C44077">
        <w:t>,</w:t>
      </w:r>
      <w:r w:rsidR="00402F65" w:rsidRPr="00C44077">
        <w:t xml:space="preserve"> this agenda </w:t>
      </w:r>
      <w:r w:rsidR="0016758E" w:rsidRPr="00C44077">
        <w:t>sub-item</w:t>
      </w:r>
      <w:r w:rsidR="00402F65" w:rsidRPr="00C44077">
        <w:t xml:space="preserve"> jointly with agenda </w:t>
      </w:r>
      <w:r w:rsidR="0016758E" w:rsidRPr="00C44077">
        <w:t>sub-item</w:t>
      </w:r>
      <w:r w:rsidR="00402F65" w:rsidRPr="00C44077">
        <w:t xml:space="preserve"> 15(a). At the same meeting, the SBI also agreed that the SBI Chair</w:t>
      </w:r>
      <w:r w:rsidR="00F848B8" w:rsidRPr="00C44077">
        <w:t xml:space="preserve"> </w:t>
      </w:r>
      <w:r w:rsidR="00402F65" w:rsidRPr="00C44077">
        <w:t xml:space="preserve">would undertake consultations with interested Parties on how to take up this </w:t>
      </w:r>
      <w:r w:rsidR="0016758E" w:rsidRPr="00C44077">
        <w:t>sub-item</w:t>
      </w:r>
      <w:r w:rsidR="00402F65" w:rsidRPr="00C44077">
        <w:t xml:space="preserve"> at the next session.</w:t>
      </w:r>
    </w:p>
    <w:p w14:paraId="5EBC2592" w14:textId="77777777" w:rsidR="00BF05AE" w:rsidRPr="00C44077" w:rsidRDefault="00794FF0" w:rsidP="00794FF0">
      <w:pPr>
        <w:pStyle w:val="SingleTxtG"/>
      </w:pPr>
      <w:r>
        <w:rPr>
          <w:color w:val="000000"/>
        </w:rPr>
        <w:t>186.</w:t>
      </w:r>
      <w:r>
        <w:rPr>
          <w:color w:val="000000"/>
        </w:rPr>
        <w:tab/>
      </w:r>
      <w:r w:rsidR="00BF05AE" w:rsidRPr="00C44077">
        <w:rPr>
          <w:color w:val="000000"/>
        </w:rPr>
        <w:t>A</w:t>
      </w:r>
      <w:r w:rsidR="00BF05AE" w:rsidRPr="00C44077">
        <w:t>t its 2</w:t>
      </w:r>
      <w:r w:rsidR="0035359E" w:rsidRPr="00C44077">
        <w:rPr>
          <w:vertAlign w:val="superscript"/>
        </w:rPr>
        <w:t>nd</w:t>
      </w:r>
      <w:r w:rsidR="0035359E" w:rsidRPr="00C44077">
        <w:t xml:space="preserve"> </w:t>
      </w:r>
      <w:r w:rsidR="00BF05AE" w:rsidRPr="00C44077">
        <w:t xml:space="preserve">meeting, the SBI </w:t>
      </w:r>
      <w:r w:rsidR="00402F65" w:rsidRPr="00C44077">
        <w:t xml:space="preserve">agreed to continue, at SBI 41, consultations on how to take up this agenda </w:t>
      </w:r>
      <w:r w:rsidR="0016758E" w:rsidRPr="00C44077">
        <w:t>sub-item</w:t>
      </w:r>
      <w:r w:rsidR="00BF05AE" w:rsidRPr="00C44077">
        <w:t>.</w:t>
      </w:r>
    </w:p>
    <w:p w14:paraId="72FA352B" w14:textId="77777777" w:rsidR="00BF05AE" w:rsidRPr="00C44077" w:rsidRDefault="00794FF0" w:rsidP="00794FF0">
      <w:pPr>
        <w:pStyle w:val="HChG"/>
        <w:rPr>
          <w:rStyle w:val="SingleTxtGChar"/>
          <w:b w:val="0"/>
          <w:sz w:val="20"/>
        </w:rPr>
      </w:pPr>
      <w:bookmarkStart w:id="64" w:name="_Toc391983310"/>
      <w:r>
        <w:tab/>
        <w:t>XVI.</w:t>
      </w:r>
      <w:r>
        <w:tab/>
      </w:r>
      <w:r w:rsidR="00BF05AE" w:rsidRPr="00C44077">
        <w:t>The 2013</w:t>
      </w:r>
      <w:r w:rsidR="00DC0A09" w:rsidRPr="00C44077">
        <w:t>–</w:t>
      </w:r>
      <w:r w:rsidR="00BF05AE" w:rsidRPr="00C44077">
        <w:t xml:space="preserve">2015 </w:t>
      </w:r>
      <w:r w:rsidR="00A848CE" w:rsidRPr="00C44077">
        <w:t xml:space="preserve">review </w:t>
      </w:r>
      <w:r w:rsidR="008000C9" w:rsidRPr="00C44077">
        <w:br/>
      </w:r>
      <w:r w:rsidR="008000C9" w:rsidRPr="00C44077">
        <w:rPr>
          <w:rStyle w:val="SingleTxtGChar"/>
          <w:b w:val="0"/>
          <w:sz w:val="20"/>
        </w:rPr>
        <w:t xml:space="preserve">(Agenda item </w:t>
      </w:r>
      <w:r w:rsidR="00BF05AE" w:rsidRPr="00C44077">
        <w:rPr>
          <w:rStyle w:val="SingleTxtGChar"/>
          <w:b w:val="0"/>
          <w:sz w:val="20"/>
        </w:rPr>
        <w:t>16</w:t>
      </w:r>
      <w:r w:rsidR="008000C9" w:rsidRPr="00C44077">
        <w:rPr>
          <w:rStyle w:val="SingleTxtGChar"/>
          <w:b w:val="0"/>
          <w:sz w:val="20"/>
        </w:rPr>
        <w:t>)</w:t>
      </w:r>
      <w:bookmarkEnd w:id="64"/>
    </w:p>
    <w:p w14:paraId="03D69861" w14:textId="77777777" w:rsidR="00AA30EE" w:rsidRPr="00C44077" w:rsidRDefault="00794FF0" w:rsidP="00794FF0">
      <w:pPr>
        <w:pStyle w:val="H23G"/>
        <w:rPr>
          <w:lang w:eastAsia="en-US"/>
        </w:rPr>
      </w:pPr>
      <w:r>
        <w:tab/>
        <w:t>1.</w:t>
      </w:r>
      <w:r>
        <w:tab/>
      </w:r>
      <w:r w:rsidR="00AA30EE" w:rsidRPr="00C44077">
        <w:t>Proceedings</w:t>
      </w:r>
    </w:p>
    <w:p w14:paraId="5AA06820" w14:textId="77777777" w:rsidR="004E51DB" w:rsidRPr="0097390C" w:rsidRDefault="00794FF0" w:rsidP="00794FF0">
      <w:pPr>
        <w:pStyle w:val="SingleTxtG"/>
      </w:pPr>
      <w:r>
        <w:t>187.</w:t>
      </w:r>
      <w:r>
        <w:tab/>
      </w:r>
      <w:r w:rsidR="00BF05AE" w:rsidRPr="00C44077">
        <w:t>The</w:t>
      </w:r>
      <w:r w:rsidR="00F60FEC" w:rsidRPr="00C44077">
        <w:t xml:space="preserve"> SBI considered this agenda </w:t>
      </w:r>
      <w:r w:rsidR="00BF05AE" w:rsidRPr="00C44077">
        <w:t xml:space="preserve">item at its </w:t>
      </w:r>
      <w:r w:rsidR="00BF05AE" w:rsidRPr="00C44077">
        <w:rPr>
          <w:snapToGrid w:val="0"/>
        </w:rPr>
        <w:t>1</w:t>
      </w:r>
      <w:r w:rsidR="00BF05AE" w:rsidRPr="00C44077">
        <w:rPr>
          <w:snapToGrid w:val="0"/>
          <w:vertAlign w:val="superscript"/>
        </w:rPr>
        <w:t>st</w:t>
      </w:r>
      <w:r w:rsidR="00BF05AE" w:rsidRPr="00C44077">
        <w:rPr>
          <w:snapToGrid w:val="0"/>
        </w:rPr>
        <w:t xml:space="preserve"> </w:t>
      </w:r>
      <w:r w:rsidR="00F60FEC" w:rsidRPr="00C44077">
        <w:rPr>
          <w:snapToGrid w:val="0"/>
        </w:rPr>
        <w:t>and 2</w:t>
      </w:r>
      <w:r w:rsidR="00F60FEC" w:rsidRPr="00C44077">
        <w:rPr>
          <w:snapToGrid w:val="0"/>
          <w:vertAlign w:val="superscript"/>
        </w:rPr>
        <w:t>nd</w:t>
      </w:r>
      <w:r w:rsidR="00F60FEC" w:rsidRPr="00C44077">
        <w:rPr>
          <w:snapToGrid w:val="0"/>
        </w:rPr>
        <w:t xml:space="preserve"> </w:t>
      </w:r>
      <w:r w:rsidR="00BF05AE" w:rsidRPr="00C44077">
        <w:rPr>
          <w:snapToGrid w:val="0"/>
        </w:rPr>
        <w:t>meetings</w:t>
      </w:r>
      <w:r w:rsidR="00BF05AE" w:rsidRPr="00C44077">
        <w:t xml:space="preserve">. </w:t>
      </w:r>
      <w:r w:rsidR="004E51DB" w:rsidRPr="00C44077">
        <w:t xml:space="preserve">It had before it </w:t>
      </w:r>
      <w:r w:rsidR="004E51DB" w:rsidRPr="0097390C">
        <w:t xml:space="preserve">documents FCCC/SB/2014/MISC.1 </w:t>
      </w:r>
      <w:r w:rsidR="00862920" w:rsidRPr="0097390C">
        <w:t xml:space="preserve">and Add.1 </w:t>
      </w:r>
      <w:r w:rsidR="004E51DB" w:rsidRPr="0097390C">
        <w:t>and FCCC/SB/2014/MISC.2</w:t>
      </w:r>
      <w:r w:rsidR="00862920" w:rsidRPr="0097390C">
        <w:t xml:space="preserve"> and Add.1</w:t>
      </w:r>
      <w:r w:rsidR="004E51DB" w:rsidRPr="0097390C">
        <w:t>.</w:t>
      </w:r>
    </w:p>
    <w:p w14:paraId="56C777E1" w14:textId="77777777" w:rsidR="00BF05AE" w:rsidRPr="0097390C" w:rsidRDefault="00794FF0" w:rsidP="00794FF0">
      <w:pPr>
        <w:pStyle w:val="SingleTxtG"/>
      </w:pPr>
      <w:r>
        <w:t>188.</w:t>
      </w:r>
      <w:r>
        <w:tab/>
      </w:r>
      <w:r w:rsidR="00BF05AE" w:rsidRPr="0097390C">
        <w:t xml:space="preserve">At its </w:t>
      </w:r>
      <w:r w:rsidR="00BF05AE" w:rsidRPr="0097390C">
        <w:rPr>
          <w:snapToGrid w:val="0"/>
        </w:rPr>
        <w:t>1</w:t>
      </w:r>
      <w:r w:rsidR="00BF05AE" w:rsidRPr="0097390C">
        <w:rPr>
          <w:snapToGrid w:val="0"/>
          <w:vertAlign w:val="superscript"/>
        </w:rPr>
        <w:t>st</w:t>
      </w:r>
      <w:r w:rsidR="00BF05AE" w:rsidRPr="0097390C">
        <w:rPr>
          <w:snapToGrid w:val="0"/>
        </w:rPr>
        <w:t xml:space="preserve"> </w:t>
      </w:r>
      <w:r w:rsidR="00BF05AE" w:rsidRPr="0097390C">
        <w:t>meeting, the SBI agr</w:t>
      </w:r>
      <w:r w:rsidR="00F60FEC" w:rsidRPr="0097390C">
        <w:t xml:space="preserve">eed to consider this agenda </w:t>
      </w:r>
      <w:r w:rsidR="00BF05AE" w:rsidRPr="0097390C">
        <w:t xml:space="preserve">item </w:t>
      </w:r>
      <w:r w:rsidR="0035359E" w:rsidRPr="0097390C">
        <w:t xml:space="preserve">jointly with agenda item </w:t>
      </w:r>
      <w:r w:rsidR="00F01A81" w:rsidRPr="0097390C">
        <w:t xml:space="preserve">7 </w:t>
      </w:r>
      <w:r w:rsidR="0035359E" w:rsidRPr="0097390C">
        <w:t xml:space="preserve">of the SBSTA </w:t>
      </w:r>
      <w:r w:rsidR="00BF05AE" w:rsidRPr="0097390C">
        <w:t xml:space="preserve">in </w:t>
      </w:r>
      <w:r w:rsidR="00F01A81" w:rsidRPr="0097390C">
        <w:t>a contact group</w:t>
      </w:r>
      <w:r w:rsidR="00BF05AE" w:rsidRPr="0097390C">
        <w:t xml:space="preserve"> co-</w:t>
      </w:r>
      <w:r w:rsidR="00F848B8" w:rsidRPr="0097390C">
        <w:t xml:space="preserve">chaired </w:t>
      </w:r>
      <w:r w:rsidR="00BF05AE" w:rsidRPr="0097390C">
        <w:t xml:space="preserve">by </w:t>
      </w:r>
      <w:proofErr w:type="spellStart"/>
      <w:r w:rsidR="00BF05AE" w:rsidRPr="0097390C">
        <w:rPr>
          <w:color w:val="000000"/>
        </w:rPr>
        <w:t>Ms.</w:t>
      </w:r>
      <w:proofErr w:type="spellEnd"/>
      <w:r w:rsidR="00BF05AE" w:rsidRPr="0097390C">
        <w:rPr>
          <w:color w:val="000000"/>
        </w:rPr>
        <w:t xml:space="preserve"> </w:t>
      </w:r>
      <w:proofErr w:type="spellStart"/>
      <w:r w:rsidR="00BF05AE" w:rsidRPr="0097390C">
        <w:rPr>
          <w:color w:val="000000"/>
        </w:rPr>
        <w:t>Gertraude</w:t>
      </w:r>
      <w:proofErr w:type="spellEnd"/>
      <w:r w:rsidR="00BF05AE" w:rsidRPr="0097390C">
        <w:rPr>
          <w:color w:val="000000"/>
        </w:rPr>
        <w:t xml:space="preserve"> </w:t>
      </w:r>
      <w:proofErr w:type="spellStart"/>
      <w:r w:rsidR="00BF05AE" w:rsidRPr="0097390C">
        <w:rPr>
          <w:color w:val="000000"/>
        </w:rPr>
        <w:t>Wollansky</w:t>
      </w:r>
      <w:proofErr w:type="spellEnd"/>
      <w:r w:rsidR="00BF05AE" w:rsidRPr="0097390C">
        <w:rPr>
          <w:color w:val="000000"/>
        </w:rPr>
        <w:t xml:space="preserve"> (Austria) and </w:t>
      </w:r>
      <w:proofErr w:type="spellStart"/>
      <w:r w:rsidR="00BF05AE" w:rsidRPr="0097390C">
        <w:rPr>
          <w:color w:val="000000"/>
        </w:rPr>
        <w:t>Mr.</w:t>
      </w:r>
      <w:proofErr w:type="spellEnd"/>
      <w:r w:rsidR="00BF05AE" w:rsidRPr="0097390C">
        <w:rPr>
          <w:color w:val="000000"/>
        </w:rPr>
        <w:t xml:space="preserve"> Leon Charles (Grenada).</w:t>
      </w:r>
    </w:p>
    <w:p w14:paraId="3D4ECDED" w14:textId="77777777" w:rsidR="00BF05AE" w:rsidRPr="0097390C" w:rsidRDefault="00794FF0" w:rsidP="00794FF0">
      <w:pPr>
        <w:pStyle w:val="SingleTxtG"/>
      </w:pPr>
      <w:r>
        <w:rPr>
          <w:color w:val="000000"/>
        </w:rPr>
        <w:t>189.</w:t>
      </w:r>
      <w:r>
        <w:rPr>
          <w:color w:val="000000"/>
        </w:rPr>
        <w:tab/>
      </w:r>
      <w:r w:rsidR="00BF05AE" w:rsidRPr="0097390C">
        <w:rPr>
          <w:color w:val="000000"/>
        </w:rPr>
        <w:t>A</w:t>
      </w:r>
      <w:r w:rsidR="00BF05AE" w:rsidRPr="0097390C">
        <w:t>t its 2</w:t>
      </w:r>
      <w:r w:rsidR="00BF05AE" w:rsidRPr="0097390C">
        <w:rPr>
          <w:vertAlign w:val="superscript"/>
        </w:rPr>
        <w:t>nd</w:t>
      </w:r>
      <w:r w:rsidR="00BF05AE" w:rsidRPr="0097390C">
        <w:t xml:space="preserve"> meeting, the SBI considered and adopted the conclusions below.</w:t>
      </w:r>
      <w:r w:rsidR="00F01A81" w:rsidRPr="0097390C">
        <w:rPr>
          <w:rStyle w:val="FootnoteReference"/>
          <w:color w:val="000000"/>
        </w:rPr>
        <w:footnoteReference w:id="66"/>
      </w:r>
    </w:p>
    <w:p w14:paraId="133ED91D" w14:textId="77777777" w:rsidR="00BF05AE" w:rsidRPr="0097390C" w:rsidRDefault="00794FF0" w:rsidP="00794FF0">
      <w:pPr>
        <w:pStyle w:val="H23G"/>
      </w:pPr>
      <w:r>
        <w:tab/>
        <w:t>2.</w:t>
      </w:r>
      <w:r>
        <w:tab/>
      </w:r>
      <w:r w:rsidR="00BF05AE" w:rsidRPr="0097390C">
        <w:t>Conclusions</w:t>
      </w:r>
    </w:p>
    <w:p w14:paraId="6D1BE31B" w14:textId="77777777" w:rsidR="00F90AC9" w:rsidRPr="0097390C" w:rsidRDefault="00794FF0" w:rsidP="00794FF0">
      <w:pPr>
        <w:pStyle w:val="SingleTxtG"/>
      </w:pPr>
      <w:r>
        <w:t>190.</w:t>
      </w:r>
      <w:r>
        <w:tab/>
      </w:r>
      <w:r w:rsidR="00F90AC9" w:rsidRPr="0097390C">
        <w:t>The SBSTA and the SBI took note of the views submitted by Parties</w:t>
      </w:r>
      <w:r w:rsidR="00F90AC9" w:rsidRPr="0097390C">
        <w:rPr>
          <w:rStyle w:val="FootnoteReference"/>
        </w:rPr>
        <w:footnoteReference w:id="67"/>
      </w:r>
      <w:r w:rsidR="00F90AC9" w:rsidRPr="0097390C">
        <w:t xml:space="preserve"> and of the summary report</w:t>
      </w:r>
      <w:r w:rsidR="00F90AC9" w:rsidRPr="0097390C">
        <w:rPr>
          <w:rStyle w:val="FootnoteReference"/>
        </w:rPr>
        <w:footnoteReference w:id="68"/>
      </w:r>
      <w:r w:rsidR="00F90AC9" w:rsidRPr="0097390C">
        <w:t xml:space="preserve"> on the second meeting of the structured expert dialogue (SED), held on 12 and 13 November 2013 in Warsaw, Poland.</w:t>
      </w:r>
      <w:r w:rsidR="00F90AC9" w:rsidRPr="0097390C">
        <w:rPr>
          <w:rStyle w:val="FootnoteReference"/>
        </w:rPr>
        <w:footnoteReference w:id="69"/>
      </w:r>
    </w:p>
    <w:p w14:paraId="61E47E24" w14:textId="77777777" w:rsidR="00F90AC9" w:rsidRPr="00506FB7" w:rsidRDefault="00794FF0" w:rsidP="00794FF0">
      <w:pPr>
        <w:pStyle w:val="SingleTxtG"/>
      </w:pPr>
      <w:r>
        <w:t>191.</w:t>
      </w:r>
      <w:r>
        <w:tab/>
      </w:r>
      <w:r w:rsidR="00F90AC9" w:rsidRPr="0097390C">
        <w:t>The SBSTA and the SBI welcomed the recently completed contributions of Working Groups II</w:t>
      </w:r>
      <w:r w:rsidR="00F90AC9" w:rsidRPr="0097390C">
        <w:rPr>
          <w:rStyle w:val="FootnoteReference"/>
        </w:rPr>
        <w:footnoteReference w:id="70"/>
      </w:r>
      <w:r w:rsidR="00F90AC9" w:rsidRPr="0097390C">
        <w:t xml:space="preserve"> and III</w:t>
      </w:r>
      <w:r w:rsidR="00F90AC9" w:rsidRPr="0097390C">
        <w:rPr>
          <w:rStyle w:val="FootnoteReference"/>
        </w:rPr>
        <w:footnoteReference w:id="71"/>
      </w:r>
      <w:r w:rsidR="00F90AC9" w:rsidRPr="0097390C">
        <w:t xml:space="preserve"> to the Intergovernmental Panel</w:t>
      </w:r>
      <w:r w:rsidR="00F90AC9" w:rsidRPr="008A4292">
        <w:t xml:space="preserve"> on Climate Change (IPCC) Fifth Assessment Report (AR5). Those contributions, together with the</w:t>
      </w:r>
      <w:r w:rsidR="00F90AC9" w:rsidRPr="0096485E">
        <w:t xml:space="preserve"> contribution of Working Group I,</w:t>
      </w:r>
      <w:r w:rsidR="00F90AC9" w:rsidRPr="00506FB7">
        <w:rPr>
          <w:rStyle w:val="FootnoteReference"/>
        </w:rPr>
        <w:footnoteReference w:id="72"/>
      </w:r>
      <w:r w:rsidR="00F90AC9" w:rsidRPr="00506FB7">
        <w:t xml:space="preserve"> provide information for assessing the adequacy of the long-term global goal and of the overall progress made towards achieving it.</w:t>
      </w:r>
    </w:p>
    <w:p w14:paraId="15C80452" w14:textId="77777777" w:rsidR="00DD24CD" w:rsidRPr="00C44077" w:rsidRDefault="00794FF0" w:rsidP="00794FF0">
      <w:pPr>
        <w:pStyle w:val="SingleTxtG"/>
      </w:pPr>
      <w:r>
        <w:t>192.</w:t>
      </w:r>
      <w:r>
        <w:tab/>
      </w:r>
      <w:r w:rsidR="00F90AC9" w:rsidRPr="00506FB7">
        <w:t>The SBSTA and the SBI also welcomed the third meeting of the SED, held from 6 to 8 June 20</w:t>
      </w:r>
      <w:r w:rsidR="00F90AC9" w:rsidRPr="00097135">
        <w:t>14 in Bonn, which, on the basis of the contributions of Working Groups II and III to the AR5, explored the adequacy of the long-term global goal and the overall progress made towards achieving it, and they looked forward to the summary report on that meeti</w:t>
      </w:r>
      <w:r w:rsidR="00F90AC9" w:rsidRPr="00C44077">
        <w:t>ng. They noted with appreciation the contributions made by the representatives of the IPCC at the meeting and encouraged the IPCC and other organizations to continue to support the future work of the SED. They also noted the value of the SED in enabling Parties to proactively contribute to the dialogue and engage with scientific and other experts.</w:t>
      </w:r>
    </w:p>
    <w:p w14:paraId="355A7E14" w14:textId="77777777" w:rsidR="00DD24CD" w:rsidRPr="00C44077" w:rsidRDefault="00794FF0" w:rsidP="00794FF0">
      <w:pPr>
        <w:pStyle w:val="SingleTxtG"/>
      </w:pPr>
      <w:r>
        <w:t>193.</w:t>
      </w:r>
      <w:r>
        <w:tab/>
      </w:r>
      <w:r w:rsidR="00F90AC9" w:rsidRPr="00C44077">
        <w:t>The SBSTA and the SBI noted that the IPCC will have released the AR5 Synthesis Report before SBSTA 41 and SBI 41 and agreed to consider that report, as well as information from the sources referred to in decision 2/CP.17, paragraph 161(b–d), at the meeting of the SED that will be held in conjunction with those sessions.</w:t>
      </w:r>
    </w:p>
    <w:p w14:paraId="6BA39942" w14:textId="77777777" w:rsidR="00DD24CD" w:rsidRPr="00C44077" w:rsidRDefault="00794FF0" w:rsidP="00794FF0">
      <w:pPr>
        <w:pStyle w:val="SingleTxtG"/>
      </w:pPr>
      <w:r>
        <w:t>194.</w:t>
      </w:r>
      <w:r>
        <w:tab/>
      </w:r>
      <w:r w:rsidR="00F90AC9" w:rsidRPr="00C44077">
        <w:t xml:space="preserve">The SBSTA and the SBI requested the co-facilitators of the SED, with the support of the secretariat, to convene an additional meeting of the SED after SBSTA 41 and SBI 41, in conjunction with a meeting of the </w:t>
      </w:r>
      <w:r w:rsidR="00F90AC9" w:rsidRPr="00C44077">
        <w:rPr>
          <w:iCs/>
        </w:rPr>
        <w:t>Ad Hoc Working Group on the Durban Platform for Enhanced Action</w:t>
      </w:r>
      <w:r w:rsidR="00F90AC9" w:rsidRPr="00C44077">
        <w:t xml:space="preserve"> (ADP)</w:t>
      </w:r>
      <w:r w:rsidR="00F90AC9" w:rsidRPr="00C44077">
        <w:rPr>
          <w:rStyle w:val="FootnoteReference"/>
        </w:rPr>
        <w:footnoteReference w:id="73"/>
      </w:r>
      <w:r w:rsidR="00F90AC9" w:rsidRPr="00C44077">
        <w:t xml:space="preserve"> and prior to SBSTA 42 and SBI 42, noting decision 1/CP.18, paragraph 88, to consider the inputs referred to in decision 2/CP.17, paragraph 161, in particular its subparagraphs (b–d), with a view to closing the SED prior to SBSTA 42 and SBI 42 in accordance with decision 1/CP.18, paragraph 91.</w:t>
      </w:r>
    </w:p>
    <w:p w14:paraId="7E3B6A90" w14:textId="77777777" w:rsidR="00DD24CD" w:rsidRPr="00C44077" w:rsidRDefault="00794FF0" w:rsidP="00794FF0">
      <w:pPr>
        <w:pStyle w:val="SingleTxtG"/>
      </w:pPr>
      <w:r>
        <w:t>195.</w:t>
      </w:r>
      <w:r>
        <w:tab/>
      </w:r>
      <w:r w:rsidR="00F90AC9" w:rsidRPr="00C44077">
        <w:t>The SBSTA and the SBI requested the secretariat to prepare a note containing an indicative, descriptive identification of what information, as listed in decision 2/CP.17, paragraph 161(b), will be available for consideration by the SED and by when, and to make it available to Parties no later than 1 October 2014.</w:t>
      </w:r>
    </w:p>
    <w:p w14:paraId="4874249A" w14:textId="77777777" w:rsidR="00DD24CD" w:rsidRPr="00C44077" w:rsidRDefault="00794FF0" w:rsidP="00794FF0">
      <w:pPr>
        <w:pStyle w:val="SingleTxtG"/>
      </w:pPr>
      <w:r>
        <w:t>196.</w:t>
      </w:r>
      <w:r>
        <w:tab/>
      </w:r>
      <w:r w:rsidR="00F90AC9" w:rsidRPr="00C44077">
        <w:t>Consistent with the objective to maintain the scientific integrity of the 2013–2015 review, as referred to in decision 1/CP.18, paragraph 85, the SBSTA and the SBI requested the co-facilitators of the SED to consult with recognized scientific experts, as needed, to identify potential additional inputs to the SED, taking into account decision 2/CP.17, paragraph 161(c) and (d), and decision 1/CP.18, paragraph 84.</w:t>
      </w:r>
    </w:p>
    <w:p w14:paraId="2AACFF63" w14:textId="77777777" w:rsidR="00DD24CD" w:rsidRPr="00C44077" w:rsidRDefault="00794FF0" w:rsidP="00794FF0">
      <w:pPr>
        <w:pStyle w:val="SingleTxtG"/>
      </w:pPr>
      <w:r>
        <w:t>197.</w:t>
      </w:r>
      <w:r>
        <w:tab/>
      </w:r>
      <w:r w:rsidR="00F90AC9" w:rsidRPr="00C44077">
        <w:t xml:space="preserve">The SBSTA and the SBI, consistent with decision 2/CP.17, paragraphs 164 and 166, and decision 1/CP.18, paragraph 86(b), invited Parties to submit to the secretariat, by 1 November 2014, their views on additional inputs to the SED, on how to conclude the 2013–2015 review and on the final reporting of the SBSTA and the SBI to </w:t>
      </w:r>
      <w:r w:rsidR="00DD24CD" w:rsidRPr="00C44077">
        <w:t>COP 21</w:t>
      </w:r>
      <w:r w:rsidR="00F90AC9" w:rsidRPr="00C44077">
        <w:t xml:space="preserve"> (November–December 2015), and requested the secretariat to make those submissions available on the UNFCCC website.</w:t>
      </w:r>
    </w:p>
    <w:p w14:paraId="49CE51D4" w14:textId="77777777" w:rsidR="00F90AC9" w:rsidRPr="00C44077" w:rsidRDefault="00794FF0" w:rsidP="00794FF0">
      <w:pPr>
        <w:pStyle w:val="SingleTxtG"/>
      </w:pPr>
      <w:r>
        <w:t>198.</w:t>
      </w:r>
      <w:r>
        <w:tab/>
      </w:r>
      <w:r w:rsidR="00F90AC9" w:rsidRPr="00C44077">
        <w:t>While noting that the work of the 2013–2015 review is still in progress, the SBSTA and the SBI also noted that the 2013–2015 review informs the broader UNFCCC process through, inter alia, the material provided by experts, the summary reports on the meetings of the SED and the co-facilitators’ reports to the COP. Mindful of decision 1/CP.17, paragraph 6, Parties are encouraged to continue to take note of the information from the 2013–2015 review as they engage in the ADP process.</w:t>
      </w:r>
    </w:p>
    <w:p w14:paraId="0B261C31" w14:textId="77777777" w:rsidR="00F01A81" w:rsidRPr="0097390C" w:rsidRDefault="00794FF0" w:rsidP="00794FF0">
      <w:pPr>
        <w:pStyle w:val="SingleTxtG"/>
      </w:pPr>
      <w:r>
        <w:t>199.</w:t>
      </w:r>
      <w:r>
        <w:tab/>
      </w:r>
      <w:r w:rsidR="00F90AC9" w:rsidRPr="0097390C">
        <w:t xml:space="preserve">The SBSTA and the SBI took note of the estimated budgetary implications of the activities to be undertaken by the secretariat referred to in paragraph </w:t>
      </w:r>
      <w:r w:rsidR="00DD24CD" w:rsidRPr="0097390C">
        <w:t>1</w:t>
      </w:r>
      <w:r w:rsidR="00AC0C5A" w:rsidRPr="0097390C">
        <w:t>9</w:t>
      </w:r>
      <w:r w:rsidR="00011C34" w:rsidRPr="0097390C">
        <w:t>4</w:t>
      </w:r>
      <w:r w:rsidR="00AC0C5A" w:rsidRPr="0097390C">
        <w:t xml:space="preserve"> </w:t>
      </w:r>
      <w:r w:rsidR="00F90AC9" w:rsidRPr="0097390C">
        <w:t>above. They requested that the actions of the secretariat called for in these conclusions be undertaken subject to the availability of financial resources.</w:t>
      </w:r>
    </w:p>
    <w:p w14:paraId="50144609" w14:textId="77777777" w:rsidR="00BF05AE" w:rsidRPr="00C44077" w:rsidRDefault="00794FF0" w:rsidP="00794FF0">
      <w:pPr>
        <w:pStyle w:val="HChG"/>
        <w:rPr>
          <w:rStyle w:val="SingleTxtGChar"/>
          <w:b w:val="0"/>
          <w:sz w:val="20"/>
        </w:rPr>
      </w:pPr>
      <w:bookmarkStart w:id="65" w:name="_Toc391983311"/>
      <w:r>
        <w:tab/>
        <w:t>XVII.</w:t>
      </w:r>
      <w:r>
        <w:tab/>
      </w:r>
      <w:r w:rsidR="00BF05AE" w:rsidRPr="00C44077">
        <w:t xml:space="preserve">Arrangements for intergovernmental </w:t>
      </w:r>
      <w:r w:rsidR="002F79FF" w:rsidRPr="00C44077">
        <w:t xml:space="preserve">meetings </w:t>
      </w:r>
      <w:r w:rsidR="008000C9" w:rsidRPr="00C44077">
        <w:br/>
      </w:r>
      <w:r w:rsidR="008000C9" w:rsidRPr="00C44077">
        <w:rPr>
          <w:rStyle w:val="SingleTxtGChar"/>
          <w:b w:val="0"/>
          <w:sz w:val="20"/>
        </w:rPr>
        <w:t xml:space="preserve">(Agenda item </w:t>
      </w:r>
      <w:r w:rsidR="00BF05AE" w:rsidRPr="00C44077">
        <w:rPr>
          <w:rStyle w:val="SingleTxtGChar"/>
          <w:b w:val="0"/>
          <w:sz w:val="20"/>
        </w:rPr>
        <w:t>17</w:t>
      </w:r>
      <w:r w:rsidR="008000C9" w:rsidRPr="00C44077">
        <w:rPr>
          <w:rStyle w:val="SingleTxtGChar"/>
          <w:b w:val="0"/>
          <w:sz w:val="20"/>
        </w:rPr>
        <w:t>)</w:t>
      </w:r>
      <w:bookmarkEnd w:id="65"/>
    </w:p>
    <w:p w14:paraId="34CFB6FD" w14:textId="77777777" w:rsidR="00F01A81" w:rsidRPr="00C44077" w:rsidRDefault="00794FF0" w:rsidP="00794FF0">
      <w:pPr>
        <w:pStyle w:val="H23G"/>
        <w:rPr>
          <w:lang w:eastAsia="en-US"/>
        </w:rPr>
      </w:pPr>
      <w:r>
        <w:tab/>
        <w:t>1.</w:t>
      </w:r>
      <w:r>
        <w:tab/>
      </w:r>
      <w:r w:rsidR="00F01A81" w:rsidRPr="00C44077">
        <w:t>Proceedings</w:t>
      </w:r>
    </w:p>
    <w:p w14:paraId="1FABDB15" w14:textId="77777777" w:rsidR="00F60FEC" w:rsidRPr="0097390C" w:rsidRDefault="00794FF0" w:rsidP="00794FF0">
      <w:pPr>
        <w:pStyle w:val="SingleTxtG"/>
      </w:pPr>
      <w:r>
        <w:t>200.</w:t>
      </w:r>
      <w:r>
        <w:tab/>
      </w:r>
      <w:r w:rsidR="00F60FEC" w:rsidRPr="00C44077">
        <w:t xml:space="preserve">The SBI considered this agenda item at its </w:t>
      </w:r>
      <w:r w:rsidR="00F60FEC" w:rsidRPr="00C44077">
        <w:rPr>
          <w:snapToGrid w:val="0"/>
        </w:rPr>
        <w:t>1</w:t>
      </w:r>
      <w:r w:rsidR="00F60FEC" w:rsidRPr="00C44077">
        <w:rPr>
          <w:snapToGrid w:val="0"/>
          <w:vertAlign w:val="superscript"/>
        </w:rPr>
        <w:t>st</w:t>
      </w:r>
      <w:r w:rsidR="00F60FEC" w:rsidRPr="00C44077">
        <w:rPr>
          <w:snapToGrid w:val="0"/>
        </w:rPr>
        <w:t xml:space="preserve"> </w:t>
      </w:r>
      <w:r w:rsidR="0016272D" w:rsidRPr="00C44077">
        <w:rPr>
          <w:snapToGrid w:val="0"/>
        </w:rPr>
        <w:t xml:space="preserve">meeting </w:t>
      </w:r>
      <w:r w:rsidR="00F60FEC" w:rsidRPr="00C44077">
        <w:rPr>
          <w:snapToGrid w:val="0"/>
        </w:rPr>
        <w:t xml:space="preserve">and </w:t>
      </w:r>
      <w:r w:rsidR="0016272D" w:rsidRPr="00C44077">
        <w:rPr>
          <w:snapToGrid w:val="0"/>
        </w:rPr>
        <w:t xml:space="preserve">resumed </w:t>
      </w:r>
      <w:r w:rsidR="00F60FEC" w:rsidRPr="00C44077">
        <w:rPr>
          <w:snapToGrid w:val="0"/>
        </w:rPr>
        <w:t>2</w:t>
      </w:r>
      <w:r w:rsidR="00F60FEC" w:rsidRPr="00C44077">
        <w:rPr>
          <w:snapToGrid w:val="0"/>
          <w:vertAlign w:val="superscript"/>
        </w:rPr>
        <w:t>nd</w:t>
      </w:r>
      <w:r w:rsidR="00F60FEC" w:rsidRPr="00C44077">
        <w:rPr>
          <w:snapToGrid w:val="0"/>
        </w:rPr>
        <w:t xml:space="preserve"> </w:t>
      </w:r>
      <w:r w:rsidR="0016272D" w:rsidRPr="00C44077">
        <w:rPr>
          <w:snapToGrid w:val="0"/>
        </w:rPr>
        <w:t>meeting</w:t>
      </w:r>
      <w:r w:rsidR="00F60FEC" w:rsidRPr="00C44077">
        <w:t>. It had before it</w:t>
      </w:r>
      <w:r w:rsidR="004E51DB" w:rsidRPr="00C44077">
        <w:t xml:space="preserve"> </w:t>
      </w:r>
      <w:r w:rsidR="004E51DB" w:rsidRPr="0097390C">
        <w:t xml:space="preserve">document FCCC/SBI/2014/6. </w:t>
      </w:r>
      <w:r w:rsidR="00BC48E6" w:rsidRPr="0097390C">
        <w:t>Representatives of four Parties made statements.</w:t>
      </w:r>
    </w:p>
    <w:p w14:paraId="1F007FEF" w14:textId="77777777" w:rsidR="00BF05AE" w:rsidRPr="0097390C" w:rsidRDefault="00794FF0" w:rsidP="00794FF0">
      <w:pPr>
        <w:pStyle w:val="SingleTxtG"/>
      </w:pPr>
      <w:r>
        <w:t>201.</w:t>
      </w:r>
      <w:r>
        <w:tab/>
      </w:r>
      <w:r w:rsidR="00BF05AE" w:rsidRPr="0097390C">
        <w:t xml:space="preserve">At its </w:t>
      </w:r>
      <w:r w:rsidR="00BF05AE" w:rsidRPr="0097390C">
        <w:rPr>
          <w:snapToGrid w:val="0"/>
        </w:rPr>
        <w:t>1</w:t>
      </w:r>
      <w:r w:rsidR="00BF05AE" w:rsidRPr="0097390C">
        <w:rPr>
          <w:snapToGrid w:val="0"/>
          <w:vertAlign w:val="superscript"/>
        </w:rPr>
        <w:t>st</w:t>
      </w:r>
      <w:r w:rsidR="00BF05AE" w:rsidRPr="0097390C">
        <w:rPr>
          <w:snapToGrid w:val="0"/>
        </w:rPr>
        <w:t xml:space="preserve"> </w:t>
      </w:r>
      <w:r w:rsidR="00BF05AE" w:rsidRPr="0097390C">
        <w:t>meeting, the SBI agr</w:t>
      </w:r>
      <w:r w:rsidR="00F60FEC" w:rsidRPr="0097390C">
        <w:t xml:space="preserve">eed to consider this agenda </w:t>
      </w:r>
      <w:r w:rsidR="00BF05AE" w:rsidRPr="0097390C">
        <w:t xml:space="preserve">item in </w:t>
      </w:r>
      <w:r w:rsidR="0016272D" w:rsidRPr="0097390C">
        <w:t>a contact group chaired by the SBI Chair.</w:t>
      </w:r>
    </w:p>
    <w:p w14:paraId="7138BC5A" w14:textId="77777777" w:rsidR="00BF4A17" w:rsidRPr="0097390C" w:rsidRDefault="00794FF0" w:rsidP="00794FF0">
      <w:pPr>
        <w:pStyle w:val="SingleTxtG"/>
      </w:pPr>
      <w:r>
        <w:rPr>
          <w:color w:val="000000"/>
        </w:rPr>
        <w:t>202.</w:t>
      </w:r>
      <w:r>
        <w:rPr>
          <w:color w:val="000000"/>
        </w:rPr>
        <w:tab/>
      </w:r>
      <w:r w:rsidR="00BF05AE" w:rsidRPr="0097390C">
        <w:rPr>
          <w:color w:val="000000"/>
        </w:rPr>
        <w:t>A</w:t>
      </w:r>
      <w:r w:rsidR="00BF05AE" w:rsidRPr="0097390C">
        <w:t>t its 2</w:t>
      </w:r>
      <w:r w:rsidR="0016272D" w:rsidRPr="0097390C">
        <w:rPr>
          <w:vertAlign w:val="superscript"/>
        </w:rPr>
        <w:t>nd</w:t>
      </w:r>
      <w:r w:rsidR="0016272D" w:rsidRPr="0097390C">
        <w:t xml:space="preserve"> </w:t>
      </w:r>
      <w:r w:rsidR="00BF05AE" w:rsidRPr="0097390C">
        <w:t>meeting, the SBI considered and adopted the conclusions below.</w:t>
      </w:r>
      <w:r w:rsidR="00BD0036" w:rsidRPr="0097390C">
        <w:rPr>
          <w:rStyle w:val="FootnoteReference"/>
          <w:color w:val="000000"/>
        </w:rPr>
        <w:footnoteReference w:id="74"/>
      </w:r>
      <w:r w:rsidR="00BF4A17" w:rsidRPr="0097390C">
        <w:t xml:space="preserve"> Also, at the same meeting, the Chair reported on his bilateral consultations with interested Parties held during the session, </w:t>
      </w:r>
      <w:r w:rsidR="004F74BA" w:rsidRPr="0097390C">
        <w:t xml:space="preserve">during which he </w:t>
      </w:r>
      <w:r w:rsidR="00BF4A17" w:rsidRPr="0097390C">
        <w:t>share</w:t>
      </w:r>
      <w:r w:rsidR="004F74BA" w:rsidRPr="0097390C">
        <w:t>d</w:t>
      </w:r>
      <w:r w:rsidR="00BF4A17" w:rsidRPr="0097390C">
        <w:t xml:space="preserve"> his views on how to organize the multilateral assessment</w:t>
      </w:r>
      <w:r w:rsidR="00BF4A17" w:rsidRPr="0097390C">
        <w:rPr>
          <w:sz w:val="28"/>
          <w:szCs w:val="28"/>
        </w:rPr>
        <w:t xml:space="preserve"> </w:t>
      </w:r>
      <w:r w:rsidR="00BF4A17" w:rsidRPr="0097390C">
        <w:t xml:space="preserve">working group session during SBI 41 </w:t>
      </w:r>
      <w:r w:rsidR="00496633" w:rsidRPr="0097390C">
        <w:t>and</w:t>
      </w:r>
      <w:r w:rsidR="00BF4A17" w:rsidRPr="0097390C">
        <w:t xml:space="preserve"> </w:t>
      </w:r>
      <w:r w:rsidR="004F74BA" w:rsidRPr="0097390C">
        <w:t xml:space="preserve">sought </w:t>
      </w:r>
      <w:r w:rsidR="00BF4A17" w:rsidRPr="0097390C">
        <w:t>further guidance from Parties</w:t>
      </w:r>
      <w:r w:rsidR="00496633" w:rsidRPr="0097390C">
        <w:t xml:space="preserve"> on this new process.</w:t>
      </w:r>
      <w:r w:rsidR="00496633" w:rsidRPr="0097390C">
        <w:rPr>
          <w:rStyle w:val="FootnoteReference"/>
          <w:color w:val="000000"/>
        </w:rPr>
        <w:footnoteReference w:id="75"/>
      </w:r>
      <w:r w:rsidR="00496633" w:rsidRPr="0097390C">
        <w:t xml:space="preserve"> </w:t>
      </w:r>
      <w:r w:rsidR="0023666D" w:rsidRPr="0097390C">
        <w:t xml:space="preserve">His oral report is available on the SBI 40 web page under item 17, </w:t>
      </w:r>
      <w:r w:rsidR="00B56F63" w:rsidRPr="0097390C">
        <w:t>“</w:t>
      </w:r>
      <w:r w:rsidR="0023666D" w:rsidRPr="0097390C">
        <w:t>Arrangements for intergovernmental meetings</w:t>
      </w:r>
      <w:r w:rsidR="00B56F63" w:rsidRPr="0097390C">
        <w:t>”</w:t>
      </w:r>
      <w:r w:rsidR="004F12DC" w:rsidRPr="0097390C">
        <w:t>.</w:t>
      </w:r>
      <w:r w:rsidR="0023666D" w:rsidRPr="0097390C">
        <w:rPr>
          <w:rStyle w:val="FootnoteReference"/>
          <w:color w:val="000000"/>
        </w:rPr>
        <w:footnoteReference w:id="76"/>
      </w:r>
    </w:p>
    <w:p w14:paraId="289EC24E" w14:textId="77777777" w:rsidR="00BF05AE" w:rsidRPr="0097390C" w:rsidRDefault="00794FF0" w:rsidP="00794FF0">
      <w:pPr>
        <w:pStyle w:val="H23G"/>
      </w:pPr>
      <w:r>
        <w:tab/>
        <w:t>2.</w:t>
      </w:r>
      <w:r>
        <w:tab/>
      </w:r>
      <w:r w:rsidR="00BF05AE" w:rsidRPr="0097390C">
        <w:t>Conclusions</w:t>
      </w:r>
    </w:p>
    <w:p w14:paraId="6D90FCAE" w14:textId="77777777" w:rsidR="001F769B" w:rsidRPr="0097390C" w:rsidRDefault="00794FF0" w:rsidP="00794FF0">
      <w:pPr>
        <w:pStyle w:val="SingleTxtG"/>
      </w:pPr>
      <w:r>
        <w:t>203.</w:t>
      </w:r>
      <w:r>
        <w:tab/>
      </w:r>
      <w:r w:rsidR="001F769B" w:rsidRPr="0097390C">
        <w:t xml:space="preserve">The SBI expressed its gratitude to the Government of Peru for offering to host </w:t>
      </w:r>
      <w:r w:rsidR="002F496E" w:rsidRPr="0097390C">
        <w:t>COP </w:t>
      </w:r>
      <w:r w:rsidR="001F769B" w:rsidRPr="0097390C">
        <w:t>20 and CMP 10 in Lima, Peru, from 1 to 12 December 2014. It took note with appreciation of the preparations and efforts of the Government of Peru and the secretariat to ensure the success of COP 20 and CMP 10.</w:t>
      </w:r>
    </w:p>
    <w:p w14:paraId="6E3A90F3" w14:textId="77777777" w:rsidR="001F769B" w:rsidRPr="00C44077" w:rsidRDefault="00794FF0" w:rsidP="00794FF0">
      <w:pPr>
        <w:pStyle w:val="SingleTxtG"/>
      </w:pPr>
      <w:r>
        <w:t>204.</w:t>
      </w:r>
      <w:r>
        <w:tab/>
      </w:r>
      <w:r w:rsidR="001F769B" w:rsidRPr="0097390C">
        <w:t>The SBI recommended that arrangements be made to organize the high-level segment of COP 20 and CMP 10 from Tuesday, 9 December, to Friday, 12 December, with statements delivered by ministers, other heads of delegation</w:t>
      </w:r>
      <w:r w:rsidR="001F769B" w:rsidRPr="00C44077">
        <w:t xml:space="preserve"> and representatives of intergovernmental organizations and non-governmental organizations (NGOs). In order to ensure the timely closure of the conference and that the COP and the CMP can adopt decisions and conclusions in the morning of Friday, 12 December, the inauguration of the high-level segment will take place in the morning of Tuesday, 9 December. </w:t>
      </w:r>
      <w:r w:rsidR="001F769B" w:rsidRPr="00C44077">
        <w:rPr>
          <w:szCs w:val="22"/>
        </w:rPr>
        <w:t>In the afternoon, following the inauguration, national statements by ministers and other heads of delegation will be heard at a joint meeting of the COP and the CMP. National statements will continue at joint meetings scheduled for Wednesday, 10 December, and Thursday, 11 December. Later that Thursday, a joint meeting of the COP and the CMP will be held where statements by observer organizations will be heard.</w:t>
      </w:r>
      <w:r w:rsidR="001F769B" w:rsidRPr="00C44077">
        <w:t xml:space="preserve"> </w:t>
      </w:r>
    </w:p>
    <w:p w14:paraId="57D7B04A" w14:textId="77777777" w:rsidR="001F769B" w:rsidRPr="00E469D2" w:rsidRDefault="00794FF0" w:rsidP="00794FF0">
      <w:pPr>
        <w:pStyle w:val="SingleTxtG"/>
      </w:pPr>
      <w:r>
        <w:t>205.</w:t>
      </w:r>
      <w:r>
        <w:tab/>
      </w:r>
      <w:r w:rsidR="001F769B" w:rsidRPr="00C44077">
        <w:t xml:space="preserve">The SBI concluded that arrangements be made for the delivery of concise national statements by ministers and other heads of delegation, with a recommended time limit of three minutes, and concise statements by representatives of intergovernmental </w:t>
      </w:r>
      <w:r w:rsidR="001F769B" w:rsidRPr="00E469D2">
        <w:t>organizations and NGOs, with a recommended time limit of two minutes, in the joint meetings of the COP and the CMP during the high-level segment.</w:t>
      </w:r>
    </w:p>
    <w:p w14:paraId="0892E406" w14:textId="77777777" w:rsidR="001F769B" w:rsidRPr="00E469D2" w:rsidRDefault="00794FF0" w:rsidP="00794FF0">
      <w:pPr>
        <w:pStyle w:val="SingleTxtG"/>
      </w:pPr>
      <w:r w:rsidRPr="00E469D2">
        <w:t>206.</w:t>
      </w:r>
      <w:r w:rsidRPr="00E469D2">
        <w:tab/>
      </w:r>
      <w:r w:rsidR="001F769B" w:rsidRPr="00E469D2">
        <w:t xml:space="preserve">The SBI requested the secretariat to take note of the views expressed by Parties on the possible elements of the provisional agendas for COP 20 and CMP 10. </w:t>
      </w:r>
    </w:p>
    <w:p w14:paraId="06426531" w14:textId="77777777" w:rsidR="001F769B" w:rsidRPr="00E469D2" w:rsidRDefault="00794FF0" w:rsidP="00794FF0">
      <w:pPr>
        <w:pStyle w:val="SingleTxtG"/>
      </w:pPr>
      <w:r w:rsidRPr="00E469D2">
        <w:t>207.</w:t>
      </w:r>
      <w:r w:rsidRPr="00E469D2">
        <w:tab/>
      </w:r>
      <w:r w:rsidR="001F769B" w:rsidRPr="00E469D2">
        <w:t>The SBI invited the Bureau to finalize the details of the arrangements for COP 20 and CMP 10, including arrangements for the high-level segment, in consultation with the President Designate of COP 20 and CMP 10 and the secretariat. It also stressed the importance of the principles of openness, transparency and inclusiveness in finalizing the arrangements for sessions.</w:t>
      </w:r>
    </w:p>
    <w:p w14:paraId="3C30C651" w14:textId="77777777" w:rsidR="001F769B" w:rsidRPr="00E469D2" w:rsidRDefault="00794FF0" w:rsidP="00794FF0">
      <w:pPr>
        <w:pStyle w:val="SingleTxtG"/>
      </w:pPr>
      <w:r w:rsidRPr="00E469D2">
        <w:t>208.</w:t>
      </w:r>
      <w:r w:rsidRPr="00E469D2">
        <w:tab/>
      </w:r>
      <w:r w:rsidR="001F769B" w:rsidRPr="00E469D2">
        <w:t>The SBI noted that, in keeping with the principle of rotation among regional groups, the President of COP 22 and CMP 12 would come from the African States. It recalled the offer of the Government of Senegal to host COP 22 and CMP 12.</w:t>
      </w:r>
      <w:r w:rsidR="001F769B" w:rsidRPr="00C73BC8">
        <w:rPr>
          <w:rStyle w:val="FootnoteReference"/>
        </w:rPr>
        <w:footnoteReference w:id="77"/>
      </w:r>
      <w:r w:rsidR="001F769B" w:rsidRPr="00E469D2">
        <w:t xml:space="preserve"> It further noted that, in keeping with the principle of rotation among regional groups, the President of COP 23 and CMP 13 would come from the Asia-Pacific States. </w:t>
      </w:r>
    </w:p>
    <w:p w14:paraId="3634F023" w14:textId="77777777" w:rsidR="001F769B" w:rsidRPr="00E469D2" w:rsidRDefault="00794FF0" w:rsidP="00794FF0">
      <w:pPr>
        <w:pStyle w:val="SingleTxtG"/>
      </w:pPr>
      <w:r w:rsidRPr="00E469D2">
        <w:t>209.</w:t>
      </w:r>
      <w:r w:rsidRPr="00E469D2">
        <w:tab/>
      </w:r>
      <w:r w:rsidR="001F769B" w:rsidRPr="00E469D2">
        <w:t>The SBI invited Parties to come forward with offers to host future sessions of the COP and the CMP.</w:t>
      </w:r>
    </w:p>
    <w:p w14:paraId="27ED38F8" w14:textId="77777777" w:rsidR="001F769B" w:rsidRPr="00E469D2" w:rsidRDefault="00794FF0" w:rsidP="00794FF0">
      <w:pPr>
        <w:pStyle w:val="SingleTxtG"/>
      </w:pPr>
      <w:r w:rsidRPr="00E469D2">
        <w:t>210.</w:t>
      </w:r>
      <w:r w:rsidRPr="00E469D2">
        <w:tab/>
      </w:r>
      <w:r w:rsidR="001F769B" w:rsidRPr="00E469D2">
        <w:t>The SBI discussed its previous conclusions</w:t>
      </w:r>
      <w:r w:rsidR="001F769B" w:rsidRPr="00C73BC8">
        <w:rPr>
          <w:rStyle w:val="FootnoteReference"/>
        </w:rPr>
        <w:footnoteReference w:id="78"/>
      </w:r>
      <w:r w:rsidR="001F769B" w:rsidRPr="00E469D2">
        <w:t xml:space="preserve"> on the dates for future sessional periods and agreed to recommend to the COP that future sessions of the COP and the CMP, including those for 2019, commence on a Monday with work being completed on the Friday of the second week.</w:t>
      </w:r>
    </w:p>
    <w:p w14:paraId="52AF5C28" w14:textId="77777777" w:rsidR="001F769B" w:rsidRPr="00E469D2" w:rsidRDefault="00794FF0" w:rsidP="00794FF0">
      <w:pPr>
        <w:pStyle w:val="SingleTxtG"/>
      </w:pPr>
      <w:r w:rsidRPr="00E469D2">
        <w:t>211.</w:t>
      </w:r>
      <w:r w:rsidRPr="00E469D2">
        <w:tab/>
      </w:r>
      <w:r w:rsidR="001F769B" w:rsidRPr="00E469D2">
        <w:t>The SBI recommended the following dates for future sessions of the COP and CMP:</w:t>
      </w:r>
      <w:r w:rsidR="001F769B" w:rsidRPr="00C73BC8">
        <w:rPr>
          <w:rStyle w:val="FootnoteReference"/>
        </w:rPr>
        <w:footnoteReference w:id="79"/>
      </w:r>
    </w:p>
    <w:p w14:paraId="2C6F511C" w14:textId="77777777" w:rsidR="001F769B" w:rsidRPr="00E469D2" w:rsidRDefault="00794FF0" w:rsidP="00794FF0">
      <w:pPr>
        <w:pStyle w:val="SingleTxtG"/>
      </w:pPr>
      <w:r w:rsidRPr="00E469D2">
        <w:tab/>
        <w:t>(a)</w:t>
      </w:r>
      <w:r w:rsidRPr="00E469D2">
        <w:tab/>
      </w:r>
      <w:r w:rsidR="00C52443">
        <w:t>2</w:t>
      </w:r>
      <w:r w:rsidR="001F769B" w:rsidRPr="00E469D2">
        <w:t>015: Monday, 30 November, to Friday, 11 December (COP 21/CMP 11);</w:t>
      </w:r>
      <w:r w:rsidR="001F769B" w:rsidRPr="00C73BC8">
        <w:rPr>
          <w:rStyle w:val="FootnoteReference"/>
        </w:rPr>
        <w:footnoteReference w:id="80"/>
      </w:r>
    </w:p>
    <w:p w14:paraId="45876C33" w14:textId="77777777" w:rsidR="001F769B" w:rsidRPr="00E469D2" w:rsidRDefault="00794FF0" w:rsidP="00794FF0">
      <w:pPr>
        <w:pStyle w:val="SingleTxtG"/>
      </w:pPr>
      <w:r w:rsidRPr="00E469D2">
        <w:tab/>
        <w:t>(b)</w:t>
      </w:r>
      <w:r w:rsidRPr="00E469D2">
        <w:tab/>
      </w:r>
      <w:r w:rsidR="00C52443">
        <w:t>2</w:t>
      </w:r>
      <w:r w:rsidR="001F769B" w:rsidRPr="00E469D2">
        <w:t>016: Monday, 7 November, to Friday</w:t>
      </w:r>
      <w:r w:rsidR="007379C6" w:rsidRPr="00E469D2">
        <w:t>,</w:t>
      </w:r>
      <w:r w:rsidR="001F769B" w:rsidRPr="00E469D2">
        <w:t xml:space="preserve"> 18 November (COP 22/CMP 12);</w:t>
      </w:r>
    </w:p>
    <w:p w14:paraId="774EAFE0" w14:textId="77777777" w:rsidR="001F769B" w:rsidRPr="00E469D2" w:rsidRDefault="00794FF0" w:rsidP="00794FF0">
      <w:pPr>
        <w:pStyle w:val="SingleTxtG"/>
      </w:pPr>
      <w:r w:rsidRPr="00E469D2">
        <w:tab/>
        <w:t>(c)</w:t>
      </w:r>
      <w:r w:rsidRPr="00E469D2">
        <w:tab/>
      </w:r>
      <w:r w:rsidR="00C52443">
        <w:t>2</w:t>
      </w:r>
      <w:r w:rsidR="001F769B" w:rsidRPr="00E469D2">
        <w:t>017: Monday, 6 November, to Friday</w:t>
      </w:r>
      <w:r w:rsidR="007379C6" w:rsidRPr="00E469D2">
        <w:t>,</w:t>
      </w:r>
      <w:r w:rsidR="001F769B" w:rsidRPr="00E469D2">
        <w:t xml:space="preserve"> 17 November (COP 23/CMP 13);</w:t>
      </w:r>
    </w:p>
    <w:p w14:paraId="20BE0BEE" w14:textId="77777777" w:rsidR="001F769B" w:rsidRPr="00E469D2" w:rsidRDefault="00794FF0" w:rsidP="00794FF0">
      <w:pPr>
        <w:pStyle w:val="SingleTxtG"/>
      </w:pPr>
      <w:r w:rsidRPr="00E469D2">
        <w:tab/>
        <w:t>(d)</w:t>
      </w:r>
      <w:r w:rsidRPr="00E469D2">
        <w:tab/>
      </w:r>
      <w:r w:rsidR="00C52443">
        <w:t>2</w:t>
      </w:r>
      <w:r w:rsidR="001F769B" w:rsidRPr="00E469D2">
        <w:t>018: Monday, 5 November, to Friday, 16 November (COP 24/CMP 14);</w:t>
      </w:r>
    </w:p>
    <w:p w14:paraId="35DC5E23" w14:textId="77777777" w:rsidR="001F769B" w:rsidRPr="00E469D2" w:rsidRDefault="00794FF0" w:rsidP="00794FF0">
      <w:pPr>
        <w:pStyle w:val="SingleTxtG"/>
      </w:pPr>
      <w:r w:rsidRPr="00E469D2">
        <w:tab/>
        <w:t>(e)</w:t>
      </w:r>
      <w:r w:rsidRPr="00E469D2">
        <w:tab/>
      </w:r>
      <w:r w:rsidR="00C52443">
        <w:t>2</w:t>
      </w:r>
      <w:r w:rsidR="001F769B" w:rsidRPr="00E469D2">
        <w:t>019: Monday, 11 November, to Friday, 22 November (COP 25/CMP 15).</w:t>
      </w:r>
    </w:p>
    <w:p w14:paraId="621432CA" w14:textId="77777777" w:rsidR="001F769B" w:rsidRPr="00E469D2" w:rsidRDefault="00794FF0" w:rsidP="00794FF0">
      <w:pPr>
        <w:pStyle w:val="SingleTxtG"/>
      </w:pPr>
      <w:r w:rsidRPr="00E469D2">
        <w:t>212.</w:t>
      </w:r>
      <w:r w:rsidRPr="00E469D2">
        <w:tab/>
      </w:r>
      <w:r w:rsidR="001F769B" w:rsidRPr="00E469D2">
        <w:t>The SBI discussed its previous conclusions</w:t>
      </w:r>
      <w:r w:rsidR="001F769B" w:rsidRPr="00C73BC8">
        <w:rPr>
          <w:rStyle w:val="FootnoteReference"/>
        </w:rPr>
        <w:footnoteReference w:id="81"/>
      </w:r>
      <w:r w:rsidR="001F769B" w:rsidRPr="00E469D2">
        <w:t xml:space="preserve"> on the dates for future sessional periods and agreed to recommend to the COP that future sessional dates for the May/June sessions of the subsidiary bodies, including those for 2019, should commence on a Monday and that, in order to enhance efficiency and time management, work should be completed one day earlier so as to finish on the Thursday of the second week. </w:t>
      </w:r>
    </w:p>
    <w:p w14:paraId="3BED5390" w14:textId="77777777" w:rsidR="001F769B" w:rsidRPr="00E469D2" w:rsidRDefault="00794FF0" w:rsidP="00794FF0">
      <w:pPr>
        <w:pStyle w:val="SingleTxtG"/>
      </w:pPr>
      <w:r w:rsidRPr="00E469D2">
        <w:t>213.</w:t>
      </w:r>
      <w:r w:rsidRPr="00E469D2">
        <w:tab/>
      </w:r>
      <w:r w:rsidR="001F769B" w:rsidRPr="00E469D2">
        <w:t>The SBI further recommended that all meetings, at the May/June sessions of the subsidiary bodies, taking place on a Saturday, be completed by midday in order to enhance the efficiency, timeliness and transparency of work.</w:t>
      </w:r>
    </w:p>
    <w:p w14:paraId="1AAB8F89" w14:textId="77777777" w:rsidR="001F769B" w:rsidRPr="00C44077" w:rsidRDefault="00794FF0" w:rsidP="00794FF0">
      <w:pPr>
        <w:pStyle w:val="SingleTxtG"/>
      </w:pPr>
      <w:r w:rsidRPr="00E469D2">
        <w:t>214.</w:t>
      </w:r>
      <w:r w:rsidRPr="00E469D2">
        <w:tab/>
      </w:r>
      <w:r w:rsidR="001F769B" w:rsidRPr="00E469D2">
        <w:t>The SBI recommended the following dates for future sessions of the May/June sessions of the subsidiary bodies:</w:t>
      </w:r>
      <w:r w:rsidR="001F769B" w:rsidRPr="00C73BC8">
        <w:rPr>
          <w:rStyle w:val="FootnoteReference"/>
        </w:rPr>
        <w:footnoteReference w:id="82"/>
      </w:r>
    </w:p>
    <w:p w14:paraId="42AE348A" w14:textId="77777777" w:rsidR="001F769B" w:rsidRPr="00C44077" w:rsidRDefault="00794FF0" w:rsidP="00794FF0">
      <w:pPr>
        <w:pStyle w:val="SingleTxtG"/>
      </w:pPr>
      <w:r>
        <w:tab/>
        <w:t>(a)</w:t>
      </w:r>
      <w:r>
        <w:tab/>
      </w:r>
      <w:r w:rsidR="00C52443">
        <w:t>2</w:t>
      </w:r>
      <w:r w:rsidR="001F769B" w:rsidRPr="00794FF0">
        <w:t>015</w:t>
      </w:r>
      <w:r w:rsidR="001F769B" w:rsidRPr="00C44077">
        <w:t xml:space="preserve">: Monday, 1 June, to Thursday, 11 June (SBSTA/SBI 42); </w:t>
      </w:r>
    </w:p>
    <w:p w14:paraId="30226DB2" w14:textId="77777777" w:rsidR="001F769B" w:rsidRPr="00C44077" w:rsidRDefault="00794FF0" w:rsidP="00794FF0">
      <w:pPr>
        <w:pStyle w:val="SingleTxtG"/>
      </w:pPr>
      <w:r>
        <w:tab/>
        <w:t>(b)</w:t>
      </w:r>
      <w:r>
        <w:tab/>
      </w:r>
      <w:r w:rsidR="00C52443">
        <w:t>2</w:t>
      </w:r>
      <w:r w:rsidR="001F769B" w:rsidRPr="00794FF0">
        <w:t>016</w:t>
      </w:r>
      <w:r w:rsidR="001F769B" w:rsidRPr="00C44077">
        <w:t>: Monday, 16 May, to Thursday, 26 May (SBSTA/SBI 44);</w:t>
      </w:r>
    </w:p>
    <w:p w14:paraId="33D71E28" w14:textId="77777777" w:rsidR="001F769B" w:rsidRPr="00C44077" w:rsidRDefault="00794FF0" w:rsidP="00794FF0">
      <w:pPr>
        <w:pStyle w:val="SingleTxtG"/>
      </w:pPr>
      <w:r>
        <w:tab/>
        <w:t>(c)</w:t>
      </w:r>
      <w:r>
        <w:tab/>
      </w:r>
      <w:r w:rsidR="00C52443">
        <w:t>2</w:t>
      </w:r>
      <w:r w:rsidR="001F769B" w:rsidRPr="00794FF0">
        <w:t>017</w:t>
      </w:r>
      <w:r w:rsidR="001F769B" w:rsidRPr="00C44077">
        <w:t>: Monday, 8 May, to Thursday, 18 May (SBSTA/SBI 46);</w:t>
      </w:r>
    </w:p>
    <w:p w14:paraId="5EACABDD" w14:textId="77777777" w:rsidR="001F769B" w:rsidRPr="00C44077" w:rsidRDefault="00794FF0" w:rsidP="00794FF0">
      <w:pPr>
        <w:pStyle w:val="SingleTxtG"/>
      </w:pPr>
      <w:r>
        <w:tab/>
        <w:t>(d)</w:t>
      </w:r>
      <w:r>
        <w:tab/>
      </w:r>
      <w:r w:rsidR="00C52443">
        <w:t>2</w:t>
      </w:r>
      <w:r w:rsidR="001F769B" w:rsidRPr="00794FF0">
        <w:t>018</w:t>
      </w:r>
      <w:r w:rsidR="001F769B" w:rsidRPr="00C44077">
        <w:t>: Monday, 30 April, to Thursday, 10 May (SBSTA/SBI 48);</w:t>
      </w:r>
    </w:p>
    <w:p w14:paraId="214A1421" w14:textId="77777777" w:rsidR="001F769B" w:rsidRPr="00C44077" w:rsidRDefault="00794FF0" w:rsidP="00794FF0">
      <w:pPr>
        <w:pStyle w:val="SingleTxtG"/>
      </w:pPr>
      <w:r>
        <w:tab/>
        <w:t>(e)</w:t>
      </w:r>
      <w:r>
        <w:tab/>
      </w:r>
      <w:r w:rsidR="00C52443">
        <w:t>2</w:t>
      </w:r>
      <w:r w:rsidR="001F769B" w:rsidRPr="00794FF0">
        <w:t>019</w:t>
      </w:r>
      <w:r w:rsidR="001F769B" w:rsidRPr="00C44077">
        <w:t>: Monday, 17 June, to Thursday, 27 June (SBSTA/SBI 50).</w:t>
      </w:r>
    </w:p>
    <w:p w14:paraId="31F2FD79" w14:textId="77777777" w:rsidR="001F769B" w:rsidRPr="00E469D2" w:rsidRDefault="00794FF0" w:rsidP="00794FF0">
      <w:pPr>
        <w:pStyle w:val="SingleTxtG"/>
      </w:pPr>
      <w:r w:rsidRPr="00E469D2">
        <w:t>215.</w:t>
      </w:r>
      <w:r w:rsidRPr="00E469D2">
        <w:tab/>
      </w:r>
      <w:r w:rsidR="001F769B" w:rsidRPr="00E469D2">
        <w:t xml:space="preserve">The SBI welcomed the views expressed by Parties on ways to improve the organization of the intergovernmental process and affirmed the need to consider this matter with a sense of urgency. It also stressed the need to take into account, in considering this matter, the principles of openness, transparency and inclusiveness as well as the importance of effectiveness, credibility and legitimacy. </w:t>
      </w:r>
    </w:p>
    <w:p w14:paraId="51F2C95F" w14:textId="77777777" w:rsidR="001F769B" w:rsidRPr="00E469D2" w:rsidRDefault="00794FF0" w:rsidP="00794FF0">
      <w:pPr>
        <w:pStyle w:val="SingleTxtG"/>
      </w:pPr>
      <w:r w:rsidRPr="00E469D2">
        <w:t>216.</w:t>
      </w:r>
      <w:r w:rsidRPr="00E469D2">
        <w:tab/>
      </w:r>
      <w:r w:rsidR="001F769B" w:rsidRPr="00E469D2">
        <w:t>In this regard, the SBI requested the secretariat to prepare the following two documents for consideration at SBI 41:</w:t>
      </w:r>
    </w:p>
    <w:p w14:paraId="6A24271D" w14:textId="77777777" w:rsidR="001F769B" w:rsidRPr="00E469D2" w:rsidRDefault="00794FF0" w:rsidP="00794FF0">
      <w:pPr>
        <w:pStyle w:val="SingleTxtG"/>
      </w:pPr>
      <w:r w:rsidRPr="00E469D2">
        <w:tab/>
        <w:t>(a)</w:t>
      </w:r>
      <w:r w:rsidRPr="00E469D2">
        <w:tab/>
      </w:r>
      <w:r w:rsidR="001F769B" w:rsidRPr="00E469D2">
        <w:t>A document outlining various options relating to the frequency and organization of the sessions of the COP, the CMP and their subsidiary bodies. The document should also include scenarios and related implications for various options for the periodicity and venue, and for whether future sessions of the subsidiary bodies should be held in conjunction with the COP and the CMP. The document should further include the scenarios and related implications for various options including, but not limited to, current arrangements for annual COP and CMP sessions; biennial COP and CMP sessions; and annual COP and CMP sessions at venues alternating every year between a host country and the seat of the secretariat and in keeping with the principle of rotation among regional groups. The document should also explore whether every session of the COP and the CMP requires a high-level segment.</w:t>
      </w:r>
    </w:p>
    <w:p w14:paraId="07FD6911" w14:textId="77777777" w:rsidR="001F769B" w:rsidRPr="00E469D2" w:rsidRDefault="001F769B" w:rsidP="001F769B">
      <w:pPr>
        <w:ind w:left="1134" w:right="1133" w:firstLine="567"/>
        <w:jc w:val="both"/>
      </w:pPr>
      <w:r w:rsidRPr="00E469D2">
        <w:t>The document should also include an analysis of the impacts of the options, including budgetary implications (and funding available for the participation of eligible developing countries) and impact on the work of the COP and the CMP and their subsidiary bodies. The document would be guided by the principles of openness, transparency and inclusiveness;</w:t>
      </w:r>
    </w:p>
    <w:p w14:paraId="1FB46960" w14:textId="77777777" w:rsidR="001F769B" w:rsidRPr="00E469D2" w:rsidRDefault="00794FF0" w:rsidP="00794FF0">
      <w:pPr>
        <w:pStyle w:val="SingleTxtG"/>
        <w:spacing w:before="120"/>
      </w:pPr>
      <w:r w:rsidRPr="00E469D2">
        <w:tab/>
        <w:t>(b)</w:t>
      </w:r>
      <w:r w:rsidRPr="00E469D2">
        <w:tab/>
      </w:r>
      <w:r w:rsidR="001F769B" w:rsidRPr="00E469D2">
        <w:t xml:space="preserve">A document on adjusting the timing of the election of the President, including options for strengthened coordination between the President and incoming Presidencies to ensure smooth transition. </w:t>
      </w:r>
    </w:p>
    <w:p w14:paraId="673B4431" w14:textId="77777777" w:rsidR="00C63C09" w:rsidRPr="00E469D2" w:rsidRDefault="00794FF0" w:rsidP="00794FF0">
      <w:pPr>
        <w:pStyle w:val="SingleTxtG"/>
      </w:pPr>
      <w:r w:rsidRPr="00E469D2">
        <w:t>217.</w:t>
      </w:r>
      <w:r w:rsidRPr="00E469D2">
        <w:tab/>
      </w:r>
      <w:r w:rsidR="001F769B" w:rsidRPr="00E469D2">
        <w:t xml:space="preserve">The SBI noted that the documents outlined in paragraph </w:t>
      </w:r>
      <w:r w:rsidR="007379C6" w:rsidRPr="00E469D2">
        <w:t>2</w:t>
      </w:r>
      <w:r w:rsidR="00F848B8" w:rsidRPr="00E469D2">
        <w:t>16</w:t>
      </w:r>
      <w:r w:rsidR="007379C6" w:rsidRPr="00E469D2">
        <w:t xml:space="preserve"> </w:t>
      </w:r>
      <w:r w:rsidR="001F769B" w:rsidRPr="00E469D2">
        <w:t>above would not prejudge the outcome in the consideration of these issues.</w:t>
      </w:r>
    </w:p>
    <w:p w14:paraId="67B3EE1B" w14:textId="77777777" w:rsidR="00C63C09" w:rsidRPr="00E469D2" w:rsidRDefault="00794FF0" w:rsidP="00794FF0">
      <w:pPr>
        <w:pStyle w:val="SingleTxtG"/>
      </w:pPr>
      <w:r w:rsidRPr="00E469D2">
        <w:t>218.</w:t>
      </w:r>
      <w:r w:rsidRPr="00E469D2">
        <w:tab/>
      </w:r>
      <w:r w:rsidR="00C63C09" w:rsidRPr="00E469D2">
        <w:t>The SBI urged current and future presiding officers to ensure the observance of the draft rules of procedure,</w:t>
      </w:r>
      <w:r w:rsidR="00C63C09" w:rsidRPr="00C73BC8">
        <w:rPr>
          <w:rStyle w:val="FootnoteReference"/>
        </w:rPr>
        <w:footnoteReference w:id="83"/>
      </w:r>
      <w:r w:rsidR="00C63C09" w:rsidRPr="00E469D2">
        <w:t xml:space="preserve"> and to enforce clear and effective time management practices at all sessions in line with previously adopted conclusions of the SBI.</w:t>
      </w:r>
      <w:r w:rsidR="00C63C09" w:rsidRPr="00C73BC8">
        <w:rPr>
          <w:rStyle w:val="FootnoteReference"/>
        </w:rPr>
        <w:footnoteReference w:id="84"/>
      </w:r>
      <w:r w:rsidR="00C63C09" w:rsidRPr="00E469D2">
        <w:t xml:space="preserve"> It also urged Parties and </w:t>
      </w:r>
      <w:r w:rsidR="007379C6" w:rsidRPr="00E469D2">
        <w:t xml:space="preserve">presiding officers </w:t>
      </w:r>
      <w:r w:rsidR="00C63C09" w:rsidRPr="00E469D2">
        <w:t>to make greater efforts to conclude negotiations and conferences in a timely manner, respecting and complying with the previous SBI conclusions</w:t>
      </w:r>
      <w:r w:rsidR="00C63C09" w:rsidRPr="00C73BC8">
        <w:rPr>
          <w:rStyle w:val="FootnoteReference"/>
        </w:rPr>
        <w:footnoteReference w:id="85"/>
      </w:r>
      <w:r w:rsidR="00C63C09" w:rsidRPr="00E469D2">
        <w:t xml:space="preserve"> and requested elected officers, in fulfilling their duties, to act accordingly.</w:t>
      </w:r>
    </w:p>
    <w:p w14:paraId="7CC267A2" w14:textId="77777777" w:rsidR="00C63C09" w:rsidRPr="00C44077" w:rsidRDefault="00794FF0" w:rsidP="00794FF0">
      <w:pPr>
        <w:pStyle w:val="SingleTxtG"/>
      </w:pPr>
      <w:r w:rsidRPr="00E469D2">
        <w:t>219.</w:t>
      </w:r>
      <w:r w:rsidRPr="00E469D2">
        <w:tab/>
      </w:r>
      <w:r w:rsidR="00C63C09" w:rsidRPr="00E469D2">
        <w:t>The SBI reemphasized its previously adopted conclusions that all meetings should end by 6.00 p.m., particularly to give Parties and regional groups sufficient time to prepare</w:t>
      </w:r>
      <w:r w:rsidR="00C63C09" w:rsidRPr="00C44077">
        <w:t xml:space="preserve"> for daily meetings, but may, in exceptional circumstances, and on a case-by-case basis, continue for two to three hours.</w:t>
      </w:r>
      <w:r w:rsidR="00C63C09" w:rsidRPr="00C44077">
        <w:rPr>
          <w:rStyle w:val="FootnoteReference"/>
          <w:szCs w:val="22"/>
        </w:rPr>
        <w:footnoteReference w:id="86"/>
      </w:r>
    </w:p>
    <w:p w14:paraId="490EAC49" w14:textId="77777777" w:rsidR="00C63C09" w:rsidRPr="00C44077" w:rsidRDefault="00794FF0" w:rsidP="00794FF0">
      <w:pPr>
        <w:pStyle w:val="SingleTxtG"/>
      </w:pPr>
      <w:r>
        <w:t>220.</w:t>
      </w:r>
      <w:r>
        <w:tab/>
      </w:r>
      <w:r w:rsidR="00C63C09" w:rsidRPr="00C44077">
        <w:t xml:space="preserve">The SBI expressed concern regarding implementing and complying with the adopted conclusions outlined in paragraph </w:t>
      </w:r>
      <w:r w:rsidR="00D6477B">
        <w:t>219</w:t>
      </w:r>
      <w:r w:rsidR="00C63C09" w:rsidRPr="00C44077">
        <w:t xml:space="preserve"> above. It also stressed the need to improve working processes, including for the post-2015 period, in line with previously adopted conclusions. The SBI also stressed the importance of observing the relevant procedures and working practices agreed to by all Parties.</w:t>
      </w:r>
    </w:p>
    <w:p w14:paraId="52F43EDD" w14:textId="77777777" w:rsidR="001F769B" w:rsidRPr="00C44077" w:rsidRDefault="00794FF0" w:rsidP="00794FF0">
      <w:pPr>
        <w:pStyle w:val="SingleTxtG"/>
      </w:pPr>
      <w:r>
        <w:t>221.</w:t>
      </w:r>
      <w:r>
        <w:tab/>
      </w:r>
      <w:r w:rsidR="00C63C09" w:rsidRPr="00C44077">
        <w:t xml:space="preserve">The SBI emphasized that the adopted conclusions referred to in paragraph </w:t>
      </w:r>
      <w:r w:rsidR="00D6477B">
        <w:t>219</w:t>
      </w:r>
      <w:r w:rsidR="00C63C09" w:rsidRPr="00C44077">
        <w:t xml:space="preserve"> above should be respected by all concerned and also </w:t>
      </w:r>
      <w:r w:rsidR="00C63C09" w:rsidRPr="00C44077">
        <w:rPr>
          <w:szCs w:val="22"/>
        </w:rPr>
        <w:t>highlighted the need to implement, in this context, realistic and practical ways forward for effective time management.</w:t>
      </w:r>
    </w:p>
    <w:p w14:paraId="7F1C9606" w14:textId="77777777" w:rsidR="001F769B" w:rsidRPr="00C44077" w:rsidRDefault="00794FF0" w:rsidP="00794FF0">
      <w:pPr>
        <w:pStyle w:val="SingleTxtG"/>
      </w:pPr>
      <w:r>
        <w:t>222.</w:t>
      </w:r>
      <w:r>
        <w:tab/>
      </w:r>
      <w:r w:rsidR="001F769B" w:rsidRPr="00C44077">
        <w:t>The SBI took note of the update provided by the secretariat on observer participation and the implementation of the SBI conclusions on ways to further enhance the engagement of observer organizations in the intergovernmental process.</w:t>
      </w:r>
      <w:r w:rsidR="001F769B" w:rsidRPr="00C44077">
        <w:rPr>
          <w:rStyle w:val="FootnoteReference"/>
          <w:color w:val="000000"/>
          <w:szCs w:val="22"/>
          <w:lang w:eastAsia="en-GB"/>
        </w:rPr>
        <w:footnoteReference w:id="87"/>
      </w:r>
    </w:p>
    <w:p w14:paraId="06B45A0C" w14:textId="77777777" w:rsidR="001F769B" w:rsidRPr="00C44077" w:rsidRDefault="00794FF0" w:rsidP="00794FF0">
      <w:pPr>
        <w:pStyle w:val="SingleTxtG"/>
        <w:rPr>
          <w:szCs w:val="22"/>
        </w:rPr>
      </w:pPr>
      <w:r>
        <w:t>223.</w:t>
      </w:r>
      <w:r>
        <w:tab/>
      </w:r>
      <w:r w:rsidR="001F769B" w:rsidRPr="00C44077">
        <w:t>The SBI reaffirmed the fundamental value of effective participation by observers and the value of contributions from observer organizations to deliberations on substantive issues, while recognizing the recent significant increase in the number of participants from observer organizations.</w:t>
      </w:r>
      <w:r w:rsidR="001F769B" w:rsidRPr="00C44077">
        <w:rPr>
          <w:rStyle w:val="FootnoteReference"/>
          <w:lang w:eastAsia="en-GB"/>
        </w:rPr>
        <w:footnoteReference w:id="88"/>
      </w:r>
      <w:r w:rsidR="001F769B" w:rsidRPr="00C44077">
        <w:t xml:space="preserve"> The SBI also recognized the importance of the effective participation of NGOs, particularly from developing countries. </w:t>
      </w:r>
    </w:p>
    <w:p w14:paraId="4FEF2732" w14:textId="77777777" w:rsidR="001F769B" w:rsidRPr="00C44077" w:rsidRDefault="00794FF0" w:rsidP="00794FF0">
      <w:pPr>
        <w:pStyle w:val="SingleTxtG"/>
      </w:pPr>
      <w:r>
        <w:rPr>
          <w:lang w:eastAsia="en-GB"/>
        </w:rPr>
        <w:t>224.</w:t>
      </w:r>
      <w:r>
        <w:rPr>
          <w:lang w:eastAsia="en-GB"/>
        </w:rPr>
        <w:tab/>
      </w:r>
      <w:r w:rsidR="001F769B" w:rsidRPr="00C44077">
        <w:rPr>
          <w:lang w:eastAsia="en-GB"/>
        </w:rPr>
        <w:t>The</w:t>
      </w:r>
      <w:r w:rsidR="001F769B" w:rsidRPr="00C44077">
        <w:t xml:space="preserve"> SBI recognized that side events and exhibits are an essential part of the UNFCCC process and an important tool for engaging observers in knowledge-sharing, networking and the exploring of actionable options for meeting the climate challenge. In this context, Parties recognized the need for financial support to the important work in relation to these activities, expressed concern about the cost recovery proposal, and encouraged alternatives to be proposed. </w:t>
      </w:r>
    </w:p>
    <w:p w14:paraId="24BF82C8" w14:textId="77777777" w:rsidR="001F769B" w:rsidRPr="00C44077" w:rsidRDefault="00794FF0" w:rsidP="00794FF0">
      <w:pPr>
        <w:pStyle w:val="SingleTxtG"/>
      </w:pPr>
      <w:r>
        <w:t>225.</w:t>
      </w:r>
      <w:r>
        <w:tab/>
      </w:r>
      <w:r w:rsidR="001F769B" w:rsidRPr="00C44077">
        <w:t>The SBI recalled the conclusions adopted at SBI 34 on various ways to engage observer organizations in the intergovernmental process,</w:t>
      </w:r>
      <w:r w:rsidR="001F769B" w:rsidRPr="00C44077">
        <w:rPr>
          <w:rStyle w:val="FootnoteReference"/>
        </w:rPr>
        <w:footnoteReference w:id="89"/>
      </w:r>
      <w:r w:rsidR="001F769B" w:rsidRPr="00C44077">
        <w:t xml:space="preserve"> and requested the secretariat to provide, subject to the availability of resources, a regular report every two years on the implementation of these conclusions.</w:t>
      </w:r>
    </w:p>
    <w:p w14:paraId="6208EF6C" w14:textId="77777777" w:rsidR="008000C9" w:rsidRPr="00C44077" w:rsidRDefault="00794FF0" w:rsidP="00794FF0">
      <w:pPr>
        <w:pStyle w:val="HChG"/>
        <w:rPr>
          <w:rStyle w:val="SingleTxtGChar"/>
          <w:b w:val="0"/>
          <w:sz w:val="20"/>
        </w:rPr>
      </w:pPr>
      <w:bookmarkStart w:id="66" w:name="_Toc391983312"/>
      <w:r>
        <w:tab/>
        <w:t>XVIII.</w:t>
      </w:r>
      <w:r>
        <w:tab/>
      </w:r>
      <w:r w:rsidR="00BF05AE" w:rsidRPr="00C44077">
        <w:t xml:space="preserve">Administrative, financial and institutional </w:t>
      </w:r>
      <w:r w:rsidR="00BF44D9" w:rsidRPr="00C44077">
        <w:t xml:space="preserve">matters </w:t>
      </w:r>
      <w:r w:rsidR="008000C9" w:rsidRPr="00C44077">
        <w:br/>
      </w:r>
      <w:r w:rsidR="008000C9" w:rsidRPr="00C44077">
        <w:rPr>
          <w:rStyle w:val="SingleTxtGChar"/>
          <w:b w:val="0"/>
          <w:sz w:val="20"/>
        </w:rPr>
        <w:t xml:space="preserve">(Agenda item </w:t>
      </w:r>
      <w:r w:rsidR="00BF05AE" w:rsidRPr="00C44077">
        <w:rPr>
          <w:rStyle w:val="SingleTxtGChar"/>
          <w:b w:val="0"/>
          <w:sz w:val="20"/>
        </w:rPr>
        <w:t>18</w:t>
      </w:r>
      <w:r w:rsidR="008000C9" w:rsidRPr="00C44077">
        <w:rPr>
          <w:rStyle w:val="SingleTxtGChar"/>
          <w:b w:val="0"/>
          <w:sz w:val="20"/>
        </w:rPr>
        <w:t>)</w:t>
      </w:r>
      <w:bookmarkEnd w:id="66"/>
    </w:p>
    <w:p w14:paraId="0BD5E7FE" w14:textId="77777777" w:rsidR="00E6742E" w:rsidRPr="00D32526" w:rsidRDefault="00794FF0" w:rsidP="00794FF0">
      <w:pPr>
        <w:pStyle w:val="H1G"/>
        <w:tabs>
          <w:tab w:val="right" w:pos="850"/>
        </w:tabs>
        <w:rPr>
          <w:rStyle w:val="SingleTxtGChar"/>
          <w:b w:val="0"/>
          <w:sz w:val="20"/>
        </w:rPr>
      </w:pPr>
      <w:bookmarkStart w:id="67" w:name="_Toc391983313"/>
      <w:r>
        <w:tab/>
        <w:t>A.</w:t>
      </w:r>
      <w:r>
        <w:tab/>
      </w:r>
      <w:r w:rsidR="00E6742E" w:rsidRPr="00C44077">
        <w:t>Financial matters</w:t>
      </w:r>
      <w:r w:rsidR="00E6742E" w:rsidRPr="00C44077">
        <w:br/>
      </w:r>
      <w:r w:rsidR="00E6742E" w:rsidRPr="00C44077">
        <w:rPr>
          <w:rStyle w:val="SingleTxtGChar"/>
          <w:b w:val="0"/>
          <w:sz w:val="20"/>
        </w:rPr>
        <w:t xml:space="preserve">(Agenda </w:t>
      </w:r>
      <w:r w:rsidR="0016758E" w:rsidRPr="00D32526">
        <w:rPr>
          <w:rStyle w:val="SingleTxtGChar"/>
          <w:b w:val="0"/>
          <w:sz w:val="20"/>
        </w:rPr>
        <w:t>sub-item</w:t>
      </w:r>
      <w:r w:rsidR="00E6742E" w:rsidRPr="00D32526">
        <w:rPr>
          <w:rStyle w:val="SingleTxtGChar"/>
          <w:b w:val="0"/>
          <w:sz w:val="20"/>
        </w:rPr>
        <w:t xml:space="preserve"> 18(a))</w:t>
      </w:r>
      <w:bookmarkEnd w:id="67"/>
    </w:p>
    <w:p w14:paraId="2831A203" w14:textId="77777777" w:rsidR="001C4D5F" w:rsidRPr="00D32526" w:rsidRDefault="00794FF0" w:rsidP="00794FF0">
      <w:pPr>
        <w:pStyle w:val="H23G"/>
        <w:rPr>
          <w:lang w:eastAsia="en-US"/>
        </w:rPr>
      </w:pPr>
      <w:r>
        <w:tab/>
        <w:t>1.</w:t>
      </w:r>
      <w:r>
        <w:tab/>
      </w:r>
      <w:r w:rsidR="001C4D5F" w:rsidRPr="00D32526">
        <w:t>Proceedings</w:t>
      </w:r>
    </w:p>
    <w:p w14:paraId="13212369" w14:textId="77777777" w:rsidR="00E723FD" w:rsidRPr="0097390C" w:rsidRDefault="00794FF0" w:rsidP="00794FF0">
      <w:pPr>
        <w:pStyle w:val="SingleTxtG"/>
      </w:pPr>
      <w:r>
        <w:t>226.</w:t>
      </w:r>
      <w:r>
        <w:tab/>
      </w:r>
      <w:r w:rsidR="00E6742E" w:rsidRPr="0097390C">
        <w:t xml:space="preserve">The SBI considered this agenda </w:t>
      </w:r>
      <w:r w:rsidR="0016758E" w:rsidRPr="0097390C">
        <w:t>sub-item</w:t>
      </w:r>
      <w:r w:rsidR="00E6742E" w:rsidRPr="0097390C">
        <w:t xml:space="preserve"> at its </w:t>
      </w:r>
      <w:r w:rsidR="00E6742E" w:rsidRPr="0097390C">
        <w:rPr>
          <w:snapToGrid w:val="0"/>
        </w:rPr>
        <w:t>1</w:t>
      </w:r>
      <w:r w:rsidR="00E6742E" w:rsidRPr="0097390C">
        <w:rPr>
          <w:snapToGrid w:val="0"/>
          <w:vertAlign w:val="superscript"/>
        </w:rPr>
        <w:t>st</w:t>
      </w:r>
      <w:r w:rsidR="00E6742E" w:rsidRPr="0097390C">
        <w:rPr>
          <w:snapToGrid w:val="0"/>
        </w:rPr>
        <w:t xml:space="preserve"> </w:t>
      </w:r>
      <w:r w:rsidR="00E723FD" w:rsidRPr="0097390C">
        <w:rPr>
          <w:snapToGrid w:val="0"/>
        </w:rPr>
        <w:t>and 2</w:t>
      </w:r>
      <w:r w:rsidR="00E723FD" w:rsidRPr="0097390C">
        <w:rPr>
          <w:snapToGrid w:val="0"/>
          <w:vertAlign w:val="superscript"/>
        </w:rPr>
        <w:t>nd</w:t>
      </w:r>
      <w:r w:rsidR="00E723FD" w:rsidRPr="0097390C">
        <w:rPr>
          <w:snapToGrid w:val="0"/>
        </w:rPr>
        <w:t xml:space="preserve"> </w:t>
      </w:r>
      <w:r w:rsidR="00E6742E" w:rsidRPr="0097390C">
        <w:rPr>
          <w:snapToGrid w:val="0"/>
        </w:rPr>
        <w:t>meetings</w:t>
      </w:r>
      <w:r w:rsidR="00E6742E" w:rsidRPr="0097390C">
        <w:t xml:space="preserve">. </w:t>
      </w:r>
      <w:r w:rsidR="000831A4" w:rsidRPr="0097390C">
        <w:t>It had before it document</w:t>
      </w:r>
      <w:r w:rsidR="001139E9" w:rsidRPr="0097390C">
        <w:t>s</w:t>
      </w:r>
      <w:r w:rsidR="000831A4" w:rsidRPr="0097390C">
        <w:t xml:space="preserve"> FCCC/SBI/2014/INF.8 and FCCC/SBI/2014/INF.9.</w:t>
      </w:r>
      <w:r w:rsidR="00156492" w:rsidRPr="0097390C">
        <w:t xml:space="preserve"> The Executive Secretary made a statement.</w:t>
      </w:r>
    </w:p>
    <w:p w14:paraId="79583035" w14:textId="77777777" w:rsidR="00F77E57" w:rsidRPr="0097390C" w:rsidRDefault="00794FF0" w:rsidP="00794FF0">
      <w:pPr>
        <w:pStyle w:val="SingleTxtG"/>
      </w:pPr>
      <w:r>
        <w:t>227.</w:t>
      </w:r>
      <w:r>
        <w:tab/>
      </w:r>
      <w:r w:rsidR="00F77E57" w:rsidRPr="0097390C">
        <w:t xml:space="preserve">At </w:t>
      </w:r>
      <w:r w:rsidR="00797CD6" w:rsidRPr="0097390C">
        <w:t xml:space="preserve">the </w:t>
      </w:r>
      <w:r w:rsidR="00F77E57" w:rsidRPr="0097390C">
        <w:t>1</w:t>
      </w:r>
      <w:r w:rsidR="00F77E57" w:rsidRPr="0097390C">
        <w:rPr>
          <w:vertAlign w:val="superscript"/>
        </w:rPr>
        <w:t>st</w:t>
      </w:r>
      <w:r w:rsidR="00F77E57" w:rsidRPr="0097390C">
        <w:t xml:space="preserve"> meeting, the Chair proposed drafting conclusions </w:t>
      </w:r>
      <w:r w:rsidR="00156492" w:rsidRPr="0097390C">
        <w:t xml:space="preserve">and a draft decision </w:t>
      </w:r>
      <w:r w:rsidR="00F77E57" w:rsidRPr="0097390C">
        <w:t xml:space="preserve">on this </w:t>
      </w:r>
      <w:r w:rsidR="00797CD6" w:rsidRPr="0097390C">
        <w:t xml:space="preserve">agenda </w:t>
      </w:r>
      <w:r w:rsidR="0016758E" w:rsidRPr="0097390C">
        <w:t>sub-item</w:t>
      </w:r>
      <w:r w:rsidR="00F77E57" w:rsidRPr="0097390C">
        <w:t>, with the assistance of the secretariat and in consultation with interested Parties.</w:t>
      </w:r>
    </w:p>
    <w:p w14:paraId="473E62E1" w14:textId="77777777" w:rsidR="00E6742E" w:rsidRPr="00D32526" w:rsidRDefault="00794FF0" w:rsidP="00794FF0">
      <w:pPr>
        <w:pStyle w:val="SingleTxtG"/>
      </w:pPr>
      <w:r>
        <w:rPr>
          <w:color w:val="000000"/>
        </w:rPr>
        <w:t>228.</w:t>
      </w:r>
      <w:r>
        <w:rPr>
          <w:color w:val="000000"/>
        </w:rPr>
        <w:tab/>
      </w:r>
      <w:r w:rsidR="00F77E57" w:rsidRPr="00D32526">
        <w:rPr>
          <w:color w:val="000000"/>
        </w:rPr>
        <w:t>At its 2</w:t>
      </w:r>
      <w:r w:rsidR="00F77E57" w:rsidRPr="00D32526">
        <w:rPr>
          <w:color w:val="000000"/>
          <w:vertAlign w:val="superscript"/>
        </w:rPr>
        <w:t>nd</w:t>
      </w:r>
      <w:r w:rsidR="00F77E57" w:rsidRPr="00D32526">
        <w:rPr>
          <w:color w:val="000000"/>
        </w:rPr>
        <w:t xml:space="preserve"> meeting, </w:t>
      </w:r>
      <w:r w:rsidR="001C4D5F" w:rsidRPr="00D32526">
        <w:t>the SBI considered and adopted</w:t>
      </w:r>
      <w:r w:rsidR="00797CD6" w:rsidRPr="00D32526">
        <w:t xml:space="preserve"> </w:t>
      </w:r>
      <w:r w:rsidR="00E6742E" w:rsidRPr="00D32526">
        <w:t>the conclusions below.</w:t>
      </w:r>
      <w:r w:rsidR="00273C11" w:rsidRPr="00D32526">
        <w:rPr>
          <w:rStyle w:val="FootnoteReference"/>
          <w:color w:val="000000"/>
        </w:rPr>
        <w:footnoteReference w:id="90"/>
      </w:r>
    </w:p>
    <w:p w14:paraId="3F6434DE" w14:textId="77777777" w:rsidR="00E20C9E" w:rsidRPr="00D32526" w:rsidRDefault="00794FF0" w:rsidP="00794FF0">
      <w:pPr>
        <w:pStyle w:val="H23G"/>
      </w:pPr>
      <w:r>
        <w:tab/>
        <w:t>2.</w:t>
      </w:r>
      <w:r>
        <w:tab/>
      </w:r>
      <w:r w:rsidR="00E6742E" w:rsidRPr="00D32526">
        <w:t>Conclusions</w:t>
      </w:r>
    </w:p>
    <w:p w14:paraId="024D0E68" w14:textId="77777777" w:rsidR="00E20C9E" w:rsidRPr="00D32526" w:rsidRDefault="00794FF0" w:rsidP="00794FF0">
      <w:pPr>
        <w:pStyle w:val="SingleTxtG"/>
      </w:pPr>
      <w:r>
        <w:t>229.</w:t>
      </w:r>
      <w:r>
        <w:tab/>
      </w:r>
      <w:r w:rsidR="006575B6" w:rsidRPr="00D32526">
        <w:t xml:space="preserve">The </w:t>
      </w:r>
      <w:r w:rsidR="00D02E4B" w:rsidRPr="00D32526">
        <w:t>SBI</w:t>
      </w:r>
      <w:r w:rsidR="006575B6" w:rsidRPr="00D32526">
        <w:t xml:space="preserve"> took note of the information relating to the status of contributions as at 15 May 2014. It expressed its appreciation to the Parties that had paid their indicative contributions to the core budget and their fees for the </w:t>
      </w:r>
      <w:r w:rsidR="004C6535" w:rsidRPr="00D32526">
        <w:t>ITL</w:t>
      </w:r>
      <w:r w:rsidR="006575B6" w:rsidRPr="00D32526">
        <w:t xml:space="preserve"> on time. The SBI also expressed concern over outstanding contributions and urged those Parties that have not paid their contributions yet to do so as soon as possible. </w:t>
      </w:r>
    </w:p>
    <w:p w14:paraId="612E5284" w14:textId="77777777" w:rsidR="00E20C9E" w:rsidRPr="00D32526" w:rsidRDefault="00794FF0" w:rsidP="00794FF0">
      <w:pPr>
        <w:pStyle w:val="SingleTxtG"/>
      </w:pPr>
      <w:r>
        <w:t>230.</w:t>
      </w:r>
      <w:r>
        <w:tab/>
      </w:r>
      <w:r w:rsidR="006575B6" w:rsidRPr="00D32526">
        <w:t xml:space="preserve">The SBI also expressed its appreciation to those Parties that had made voluntary contributions to the Trust Fund for Participation in the UNFCCC Process and the Trust Fund for Supplementary Activities. The SBI noted with concern the insufficient level of funds to cover the costs for participation of representatives of eligible Parties in the sessions of the </w:t>
      </w:r>
      <w:r w:rsidR="00273C11" w:rsidRPr="00D32526">
        <w:t>ADP</w:t>
      </w:r>
      <w:r w:rsidR="006575B6" w:rsidRPr="00D32526">
        <w:t xml:space="preserve"> scheduled for October 2014 and in the United Nations Climate Change Conference to be held in Lima</w:t>
      </w:r>
      <w:r w:rsidR="004C6535" w:rsidRPr="00D32526">
        <w:t xml:space="preserve"> </w:t>
      </w:r>
      <w:r w:rsidR="006575B6" w:rsidRPr="00D32526">
        <w:t xml:space="preserve">in December 2014. The SBI </w:t>
      </w:r>
      <w:r w:rsidR="004C6535" w:rsidRPr="00D32526">
        <w:t xml:space="preserve">urged </w:t>
      </w:r>
      <w:r w:rsidR="006575B6" w:rsidRPr="00D32526">
        <w:t>Parties to further contribute to the Trust Fund for Participation in the UNFCCC Process to ensure the widest possible participation in the negotiations in 2014 and to the Trust Fund for Supplementary Activities.</w:t>
      </w:r>
    </w:p>
    <w:p w14:paraId="49208EA3" w14:textId="77777777" w:rsidR="006575B6" w:rsidRPr="00D32526" w:rsidRDefault="00794FF0" w:rsidP="00794FF0">
      <w:pPr>
        <w:pStyle w:val="SingleTxtG"/>
      </w:pPr>
      <w:r>
        <w:t>231.</w:t>
      </w:r>
      <w:r>
        <w:tab/>
      </w:r>
      <w:r w:rsidR="006575B6" w:rsidRPr="00D32526">
        <w:t xml:space="preserve">The SBI considered the proposed revisions to the financial procedures required for the adoption of the International Public Sector Accounting Standards and recommended a draft decision on this matter for consideration and adoption </w:t>
      </w:r>
      <w:r w:rsidR="00E20C9E" w:rsidRPr="00D32526">
        <w:t>at COP 20</w:t>
      </w:r>
      <w:r w:rsidR="00CC2764">
        <w:t xml:space="preserve"> (f</w:t>
      </w:r>
      <w:r w:rsidR="00CC2764" w:rsidRPr="00D32526">
        <w:t xml:space="preserve">or the text of the </w:t>
      </w:r>
      <w:r w:rsidR="00CC2764" w:rsidRPr="00CC2764">
        <w:t>draft decision, see document FCCC/SBI/2014/8/Add.1</w:t>
      </w:r>
      <w:r w:rsidR="00CC2764">
        <w:t>)</w:t>
      </w:r>
      <w:r w:rsidR="00E20C9E" w:rsidRPr="00D32526">
        <w:t>.</w:t>
      </w:r>
    </w:p>
    <w:p w14:paraId="010CD74A" w14:textId="77777777" w:rsidR="00E6742E" w:rsidRPr="00CC2764" w:rsidRDefault="00794FF0" w:rsidP="00794FF0">
      <w:pPr>
        <w:pStyle w:val="H1G"/>
        <w:tabs>
          <w:tab w:val="right" w:pos="850"/>
        </w:tabs>
        <w:rPr>
          <w:rStyle w:val="SingleTxtGChar"/>
          <w:b w:val="0"/>
          <w:sz w:val="20"/>
        </w:rPr>
      </w:pPr>
      <w:bookmarkStart w:id="68" w:name="_Toc391983314"/>
      <w:r>
        <w:tab/>
        <w:t>B.</w:t>
      </w:r>
      <w:r>
        <w:tab/>
      </w:r>
      <w:r w:rsidR="00E6742E" w:rsidRPr="00D32526">
        <w:t xml:space="preserve">Continuing review of the functions and operations of the secretariat </w:t>
      </w:r>
      <w:r w:rsidR="00E6742E" w:rsidRPr="00D32526">
        <w:br/>
      </w:r>
      <w:r w:rsidR="00E6742E" w:rsidRPr="00D32526">
        <w:rPr>
          <w:rStyle w:val="SingleTxtGChar"/>
          <w:b w:val="0"/>
          <w:sz w:val="20"/>
        </w:rPr>
        <w:t xml:space="preserve">(Agenda </w:t>
      </w:r>
      <w:r w:rsidR="0016758E" w:rsidRPr="00CC2764">
        <w:rPr>
          <w:rStyle w:val="SingleTxtGChar"/>
          <w:b w:val="0"/>
          <w:sz w:val="20"/>
        </w:rPr>
        <w:t>sub-item</w:t>
      </w:r>
      <w:r w:rsidR="00E6742E" w:rsidRPr="00CC2764">
        <w:rPr>
          <w:rStyle w:val="SingleTxtGChar"/>
          <w:b w:val="0"/>
          <w:sz w:val="20"/>
        </w:rPr>
        <w:t xml:space="preserve"> 18(b))</w:t>
      </w:r>
      <w:bookmarkEnd w:id="68"/>
    </w:p>
    <w:p w14:paraId="64ABDDB7" w14:textId="77777777" w:rsidR="0072197C" w:rsidRPr="00CC2764" w:rsidRDefault="0072197C" w:rsidP="0072197C">
      <w:pPr>
        <w:pStyle w:val="RegH23G"/>
        <w:numPr>
          <w:ilvl w:val="0"/>
          <w:numId w:val="0"/>
        </w:numPr>
        <w:ind w:left="851" w:firstLine="283"/>
      </w:pPr>
      <w:r w:rsidRPr="00CC2764">
        <w:t>Proceedings</w:t>
      </w:r>
    </w:p>
    <w:p w14:paraId="3065994A" w14:textId="77777777" w:rsidR="00E723FD" w:rsidRPr="0097390C" w:rsidRDefault="00794FF0" w:rsidP="00794FF0">
      <w:pPr>
        <w:pStyle w:val="SingleTxtG"/>
      </w:pPr>
      <w:r>
        <w:t>232.</w:t>
      </w:r>
      <w:r>
        <w:tab/>
      </w:r>
      <w:r w:rsidR="00E6742E" w:rsidRPr="0097390C">
        <w:t xml:space="preserve">The SBI considered this agenda </w:t>
      </w:r>
      <w:r w:rsidR="0016758E" w:rsidRPr="0097390C">
        <w:t>sub-item</w:t>
      </w:r>
      <w:r w:rsidR="00E6742E" w:rsidRPr="0097390C">
        <w:t xml:space="preserve"> at its </w:t>
      </w:r>
      <w:r w:rsidR="00E6742E" w:rsidRPr="0097390C">
        <w:rPr>
          <w:snapToGrid w:val="0"/>
        </w:rPr>
        <w:t>1</w:t>
      </w:r>
      <w:r w:rsidR="00E6742E" w:rsidRPr="0097390C">
        <w:rPr>
          <w:snapToGrid w:val="0"/>
          <w:vertAlign w:val="superscript"/>
        </w:rPr>
        <w:t>st</w:t>
      </w:r>
      <w:r w:rsidR="00E6742E" w:rsidRPr="0097390C">
        <w:rPr>
          <w:snapToGrid w:val="0"/>
        </w:rPr>
        <w:t xml:space="preserve"> meeting</w:t>
      </w:r>
      <w:r w:rsidR="00E6742E" w:rsidRPr="0097390C">
        <w:t xml:space="preserve">. </w:t>
      </w:r>
      <w:r w:rsidR="001139E9" w:rsidRPr="0097390C">
        <w:t xml:space="preserve">It had before </w:t>
      </w:r>
      <w:r w:rsidR="0072197C" w:rsidRPr="0097390C">
        <w:t xml:space="preserve">it document FCCC/SBI/2014/INF.4 and took note of the information contained in </w:t>
      </w:r>
      <w:r w:rsidR="004C6535" w:rsidRPr="0097390C">
        <w:t>it</w:t>
      </w:r>
      <w:r w:rsidR="0072197C" w:rsidRPr="0097390C">
        <w:t>.</w:t>
      </w:r>
    </w:p>
    <w:p w14:paraId="44B668BA" w14:textId="77777777" w:rsidR="00E6742E" w:rsidRPr="00CC2764" w:rsidRDefault="00794FF0" w:rsidP="00794FF0">
      <w:pPr>
        <w:pStyle w:val="H1G"/>
        <w:tabs>
          <w:tab w:val="right" w:pos="850"/>
        </w:tabs>
        <w:rPr>
          <w:rStyle w:val="SingleTxtGChar"/>
          <w:b w:val="0"/>
          <w:sz w:val="20"/>
        </w:rPr>
      </w:pPr>
      <w:bookmarkStart w:id="69" w:name="_Toc391983315"/>
      <w:r>
        <w:tab/>
        <w:t>C.</w:t>
      </w:r>
      <w:r>
        <w:tab/>
      </w:r>
      <w:r w:rsidR="00E6742E" w:rsidRPr="00CC2764">
        <w:t>Implementation of the Headquarters Agreement</w:t>
      </w:r>
      <w:r w:rsidR="00E6742E" w:rsidRPr="00CC2764">
        <w:br/>
      </w:r>
      <w:r w:rsidR="00E6742E" w:rsidRPr="00CC2764">
        <w:rPr>
          <w:rStyle w:val="SingleTxtGChar"/>
          <w:b w:val="0"/>
          <w:sz w:val="20"/>
        </w:rPr>
        <w:t xml:space="preserve">(Agenda </w:t>
      </w:r>
      <w:r w:rsidR="0016758E" w:rsidRPr="00CC2764">
        <w:rPr>
          <w:rStyle w:val="SingleTxtGChar"/>
          <w:b w:val="0"/>
          <w:sz w:val="20"/>
        </w:rPr>
        <w:t>sub-item</w:t>
      </w:r>
      <w:r w:rsidR="00E6742E" w:rsidRPr="00CC2764">
        <w:rPr>
          <w:rStyle w:val="SingleTxtGChar"/>
          <w:b w:val="0"/>
          <w:sz w:val="20"/>
        </w:rPr>
        <w:t xml:space="preserve"> 18(c))</w:t>
      </w:r>
      <w:bookmarkEnd w:id="69"/>
    </w:p>
    <w:p w14:paraId="24DC6DEE" w14:textId="77777777" w:rsidR="009141F0" w:rsidRPr="00CC2764" w:rsidRDefault="00794FF0" w:rsidP="00794FF0">
      <w:pPr>
        <w:pStyle w:val="H23G"/>
      </w:pPr>
      <w:r>
        <w:tab/>
        <w:t>1.</w:t>
      </w:r>
      <w:r>
        <w:tab/>
      </w:r>
      <w:r w:rsidR="009141F0" w:rsidRPr="00CC2764">
        <w:t>Proceedings</w:t>
      </w:r>
    </w:p>
    <w:p w14:paraId="37720C71" w14:textId="77777777" w:rsidR="00E723FD" w:rsidRPr="00CC2764" w:rsidRDefault="00794FF0" w:rsidP="00794FF0">
      <w:pPr>
        <w:pStyle w:val="SingleTxtG"/>
      </w:pPr>
      <w:r>
        <w:t>233.</w:t>
      </w:r>
      <w:r>
        <w:tab/>
      </w:r>
      <w:r w:rsidR="00E723FD" w:rsidRPr="00CC2764">
        <w:t xml:space="preserve">The SBI considered this agenda </w:t>
      </w:r>
      <w:r w:rsidR="0016758E" w:rsidRPr="00CC2764">
        <w:t>sub-item</w:t>
      </w:r>
      <w:r w:rsidR="00E723FD" w:rsidRPr="00CC2764">
        <w:t xml:space="preserve"> at its </w:t>
      </w:r>
      <w:r w:rsidR="00E723FD" w:rsidRPr="00CC2764">
        <w:rPr>
          <w:snapToGrid w:val="0"/>
        </w:rPr>
        <w:t>1</w:t>
      </w:r>
      <w:r w:rsidR="00E723FD" w:rsidRPr="00CC2764">
        <w:rPr>
          <w:snapToGrid w:val="0"/>
          <w:vertAlign w:val="superscript"/>
        </w:rPr>
        <w:t>st</w:t>
      </w:r>
      <w:r w:rsidR="00E723FD" w:rsidRPr="00CC2764">
        <w:rPr>
          <w:snapToGrid w:val="0"/>
        </w:rPr>
        <w:t xml:space="preserve"> and 2</w:t>
      </w:r>
      <w:r w:rsidR="00E723FD" w:rsidRPr="00CC2764">
        <w:rPr>
          <w:snapToGrid w:val="0"/>
          <w:vertAlign w:val="superscript"/>
        </w:rPr>
        <w:t>nd</w:t>
      </w:r>
      <w:r w:rsidR="00E723FD" w:rsidRPr="00CC2764">
        <w:rPr>
          <w:snapToGrid w:val="0"/>
        </w:rPr>
        <w:t xml:space="preserve"> meetings</w:t>
      </w:r>
      <w:r w:rsidR="00E723FD" w:rsidRPr="00CC2764">
        <w:t xml:space="preserve">. </w:t>
      </w:r>
      <w:r w:rsidR="000B31B7" w:rsidRPr="00CC2764">
        <w:t>A</w:t>
      </w:r>
      <w:r w:rsidR="002D2208" w:rsidRPr="00CC2764">
        <w:t xml:space="preserve"> representative of the </w:t>
      </w:r>
      <w:r w:rsidR="000B31B7" w:rsidRPr="00CC2764">
        <w:t xml:space="preserve">Host Government </w:t>
      </w:r>
      <w:r w:rsidR="001B03FB" w:rsidRPr="00CC2764">
        <w:t xml:space="preserve">of the secretariat </w:t>
      </w:r>
      <w:r w:rsidR="00D30E6B" w:rsidRPr="00CC2764">
        <w:t xml:space="preserve">and </w:t>
      </w:r>
      <w:r w:rsidR="00022FE7" w:rsidRPr="00CC2764">
        <w:t>the Executive Secretary made statements.</w:t>
      </w:r>
    </w:p>
    <w:p w14:paraId="2D5421BF" w14:textId="77777777" w:rsidR="00CB11B6" w:rsidRPr="00CC2764" w:rsidRDefault="00794FF0" w:rsidP="00794FF0">
      <w:pPr>
        <w:pStyle w:val="SingleTxtG"/>
      </w:pPr>
      <w:r>
        <w:t>234.</w:t>
      </w:r>
      <w:r>
        <w:tab/>
      </w:r>
      <w:r w:rsidR="00CB11B6" w:rsidRPr="00CC2764">
        <w:t xml:space="preserve">At </w:t>
      </w:r>
      <w:r w:rsidR="00D30E6B" w:rsidRPr="00CC2764">
        <w:t>the</w:t>
      </w:r>
      <w:r w:rsidR="00CB11B6" w:rsidRPr="00CC2764">
        <w:t xml:space="preserve"> 1</w:t>
      </w:r>
      <w:r w:rsidR="00CB11B6" w:rsidRPr="00CC2764">
        <w:rPr>
          <w:vertAlign w:val="superscript"/>
        </w:rPr>
        <w:t>st</w:t>
      </w:r>
      <w:r w:rsidR="00CB11B6" w:rsidRPr="00CC2764">
        <w:t xml:space="preserve"> meeting, the Chair proposed drafting conclusions on this </w:t>
      </w:r>
      <w:r w:rsidR="0016758E" w:rsidRPr="00CC2764">
        <w:t>sub-item</w:t>
      </w:r>
      <w:r w:rsidR="00CB11B6" w:rsidRPr="00CC2764">
        <w:t>, with the assistance of the secretariat and in consultation with interested Parties</w:t>
      </w:r>
      <w:r w:rsidR="00D30E6B" w:rsidRPr="00CC2764">
        <w:t>.</w:t>
      </w:r>
    </w:p>
    <w:p w14:paraId="0F9F55EF" w14:textId="77777777" w:rsidR="00E6742E" w:rsidRPr="000238B6" w:rsidRDefault="00794FF0" w:rsidP="00794FF0">
      <w:pPr>
        <w:pStyle w:val="SingleTxtG"/>
      </w:pPr>
      <w:r>
        <w:rPr>
          <w:color w:val="000000"/>
        </w:rPr>
        <w:t>235.</w:t>
      </w:r>
      <w:r>
        <w:rPr>
          <w:color w:val="000000"/>
        </w:rPr>
        <w:tab/>
      </w:r>
      <w:r w:rsidR="00E6742E" w:rsidRPr="00CC2764">
        <w:rPr>
          <w:color w:val="000000"/>
        </w:rPr>
        <w:t>A</w:t>
      </w:r>
      <w:r w:rsidR="00E6742E" w:rsidRPr="00CC2764">
        <w:t>t its 2</w:t>
      </w:r>
      <w:r w:rsidR="00E6742E" w:rsidRPr="00CC2764">
        <w:rPr>
          <w:vertAlign w:val="superscript"/>
        </w:rPr>
        <w:t>nd</w:t>
      </w:r>
      <w:r w:rsidR="00E6742E" w:rsidRPr="007550C2">
        <w:t xml:space="preserve"> meeting, the SBI considered and adopted the conclusions below.</w:t>
      </w:r>
      <w:r w:rsidR="00D876AA" w:rsidRPr="007550C2">
        <w:rPr>
          <w:rStyle w:val="FootnoteReference"/>
        </w:rPr>
        <w:footnoteReference w:id="91"/>
      </w:r>
    </w:p>
    <w:p w14:paraId="6EB0787B" w14:textId="77777777" w:rsidR="00011C34" w:rsidRPr="00324DA3" w:rsidRDefault="00794FF0" w:rsidP="00794FF0">
      <w:pPr>
        <w:pStyle w:val="H23G"/>
      </w:pPr>
      <w:r>
        <w:tab/>
        <w:t>2.</w:t>
      </w:r>
      <w:r>
        <w:tab/>
      </w:r>
      <w:r w:rsidR="00E6742E" w:rsidRPr="00324DA3">
        <w:t>Conclusions</w:t>
      </w:r>
    </w:p>
    <w:p w14:paraId="030AEB8B" w14:textId="77777777" w:rsidR="00011C34" w:rsidRPr="009828C0" w:rsidRDefault="00794FF0" w:rsidP="00794FF0">
      <w:pPr>
        <w:pStyle w:val="SingleTxtG"/>
      </w:pPr>
      <w:r>
        <w:t>236.</w:t>
      </w:r>
      <w:r>
        <w:tab/>
      </w:r>
      <w:r w:rsidR="00D02E4B" w:rsidRPr="00FE4BFB">
        <w:t>The SBI</w:t>
      </w:r>
      <w:r w:rsidR="00D876AA" w:rsidRPr="00FE4BFB">
        <w:t xml:space="preserve"> took note of the information provided by the representative of the Host Government of the secretariat that the City of Bonn has incorporated the latest United Nations requirements into t</w:t>
      </w:r>
      <w:r w:rsidR="00D876AA" w:rsidRPr="00303799">
        <w:t xml:space="preserve">he final plans for the new conference centre facilities and expects to complete construction by early 2015, in time for the forty-second sessions of the subsidiary bodies. The SBI noted that the existing conference centre facilities are already being used </w:t>
      </w:r>
      <w:r w:rsidR="00D876AA" w:rsidRPr="009828C0">
        <w:t>to the satisfaction of participants and the secretariat; for example, sessions of the ADP were held there in 2013 and 2014.</w:t>
      </w:r>
    </w:p>
    <w:p w14:paraId="54FAD37D" w14:textId="77777777" w:rsidR="00011C34" w:rsidRPr="006C5299" w:rsidRDefault="00794FF0" w:rsidP="00794FF0">
      <w:pPr>
        <w:pStyle w:val="SingleTxtG"/>
      </w:pPr>
      <w:r>
        <w:t>237.</w:t>
      </w:r>
      <w:r>
        <w:tab/>
      </w:r>
      <w:r w:rsidR="00D876AA" w:rsidRPr="009828C0">
        <w:t>The SBI also noted the information in the reports of the representative of the Host Government and the Executive Secretary that over</w:t>
      </w:r>
      <w:r w:rsidR="00D876AA" w:rsidRPr="00C842A6">
        <w:t xml:space="preserve"> half of the secretariat staff moved into new office premises on the United Nations Campus in September 2013, and that the design of an extension building on the United Nations Campus to accommodate the remaining staff is making good progress, with complet</w:t>
      </w:r>
      <w:r w:rsidR="00D876AA" w:rsidRPr="00C741ED">
        <w:t xml:space="preserve">ion scheduled for 2018. </w:t>
      </w:r>
    </w:p>
    <w:p w14:paraId="359051C2" w14:textId="77777777" w:rsidR="00011C34" w:rsidRPr="0096485E" w:rsidRDefault="00794FF0" w:rsidP="00794FF0">
      <w:pPr>
        <w:pStyle w:val="SingleTxtG"/>
      </w:pPr>
      <w:r>
        <w:t>238.</w:t>
      </w:r>
      <w:r>
        <w:tab/>
      </w:r>
      <w:r w:rsidR="00D876AA" w:rsidRPr="006C5299">
        <w:t>The SBI thanked the Host Government for the progress reports and acknowledged the special efforts and investments made by both the Host Government and the host city of Bonn, including, for example, the special contribution by the H</w:t>
      </w:r>
      <w:r w:rsidR="00D876AA" w:rsidRPr="00FC617B">
        <w:t>ost Government of EUR 1 million to the ADP process. It encouraged the Host Government to continue to provide support for the establishment and operation of the conference centre as a permanent forum for the intergovernmental process at the seat of the secr</w:t>
      </w:r>
      <w:r w:rsidR="00D876AA" w:rsidRPr="008A4292">
        <w:t>etariat.</w:t>
      </w:r>
    </w:p>
    <w:p w14:paraId="7C9D46CE" w14:textId="77777777" w:rsidR="00E11462" w:rsidRPr="00097135" w:rsidRDefault="00794FF0" w:rsidP="00794FF0">
      <w:pPr>
        <w:pStyle w:val="SingleTxtG"/>
      </w:pPr>
      <w:r>
        <w:t>239.</w:t>
      </w:r>
      <w:r>
        <w:tab/>
      </w:r>
      <w:r w:rsidR="00D876AA" w:rsidRPr="00506FB7">
        <w:t>The SBI welcomed the encouraging developments regarding the conference centre. In accordance with decisions 27/CP.19 and 25/CP.18, it requested the secretariat to maximize the combined use of the new office and conference facilities for UNFCCC sessions and meetings in order to reduce costs and further enhance the services available at the seat of the secretariat.</w:t>
      </w:r>
    </w:p>
    <w:p w14:paraId="38B24A0B" w14:textId="77777777" w:rsidR="00E11462" w:rsidRPr="00CC2764" w:rsidRDefault="00794FF0" w:rsidP="00794FF0">
      <w:pPr>
        <w:pStyle w:val="SingleTxtG"/>
      </w:pPr>
      <w:r>
        <w:t>240.</w:t>
      </w:r>
      <w:r>
        <w:tab/>
      </w:r>
      <w:r w:rsidR="00D876AA" w:rsidRPr="00C44077">
        <w:t>The SBI welcomed the establishment of systematic collaboration between the Host Government, the secretariat and other relevant stakeholde</w:t>
      </w:r>
      <w:r w:rsidR="00D876AA" w:rsidRPr="00D32526">
        <w:t>rs on issues such as office and meeting facilities and information and services for meeting participants, and encouraged the Host Government and the secretariat to maintain this process of close and regular consultations.</w:t>
      </w:r>
    </w:p>
    <w:p w14:paraId="2ACF4F8E" w14:textId="77777777" w:rsidR="00D876AA" w:rsidRPr="00CC2764" w:rsidRDefault="00794FF0" w:rsidP="00794FF0">
      <w:pPr>
        <w:pStyle w:val="SingleTxtG"/>
      </w:pPr>
      <w:r>
        <w:t>241.</w:t>
      </w:r>
      <w:r>
        <w:tab/>
      </w:r>
      <w:r w:rsidR="00D876AA" w:rsidRPr="00CC2764">
        <w:t>The SBI requested the secretariat to continue to update Parties on the UNFCCC website about these and other aspects of the implementation of the Headquarters Agreement, and invited the Host Government and the Executive Secretary to report to SBI 42 on further progress made.</w:t>
      </w:r>
    </w:p>
    <w:p w14:paraId="6E2BBFF8" w14:textId="77777777" w:rsidR="00E6742E" w:rsidRPr="00AE549A" w:rsidRDefault="00794FF0" w:rsidP="00794FF0">
      <w:pPr>
        <w:pStyle w:val="H1G"/>
        <w:tabs>
          <w:tab w:val="right" w:pos="850"/>
        </w:tabs>
        <w:rPr>
          <w:rStyle w:val="SingleTxtGChar"/>
          <w:b w:val="0"/>
          <w:sz w:val="20"/>
        </w:rPr>
      </w:pPr>
      <w:bookmarkStart w:id="70" w:name="_Toc391983316"/>
      <w:r>
        <w:tab/>
        <w:t>D.</w:t>
      </w:r>
      <w:r>
        <w:tab/>
      </w:r>
      <w:r w:rsidR="00E6742E" w:rsidRPr="00CC2764">
        <w:t>Privileges and immunities for individuals serving on constituted bodies established under the Kyoto Protocol</w:t>
      </w:r>
      <w:r w:rsidR="00E6742E" w:rsidRPr="00CC2764">
        <w:br/>
      </w:r>
      <w:r w:rsidR="00E6742E" w:rsidRPr="00CC2764">
        <w:rPr>
          <w:rStyle w:val="SingleTxtGChar"/>
          <w:b w:val="0"/>
          <w:sz w:val="20"/>
        </w:rPr>
        <w:t xml:space="preserve">(Agenda </w:t>
      </w:r>
      <w:r w:rsidR="0016758E" w:rsidRPr="00CC2764">
        <w:rPr>
          <w:rStyle w:val="SingleTxtGChar"/>
          <w:b w:val="0"/>
          <w:sz w:val="20"/>
        </w:rPr>
        <w:t>sub-item</w:t>
      </w:r>
      <w:r w:rsidR="00E6742E" w:rsidRPr="00AE549A">
        <w:rPr>
          <w:rStyle w:val="SingleTxtGChar"/>
          <w:b w:val="0"/>
          <w:sz w:val="20"/>
        </w:rPr>
        <w:t xml:space="preserve"> 18(d))</w:t>
      </w:r>
      <w:bookmarkEnd w:id="70"/>
    </w:p>
    <w:p w14:paraId="1F706E94" w14:textId="77777777" w:rsidR="00071CD1" w:rsidRPr="00AE549A" w:rsidRDefault="00794FF0" w:rsidP="00794FF0">
      <w:pPr>
        <w:pStyle w:val="H23G"/>
      </w:pPr>
      <w:r>
        <w:tab/>
        <w:t>1.</w:t>
      </w:r>
      <w:r>
        <w:tab/>
      </w:r>
      <w:r w:rsidR="00071CD1" w:rsidRPr="00AE549A">
        <w:t>Proceedings</w:t>
      </w:r>
    </w:p>
    <w:p w14:paraId="374EE361" w14:textId="77777777" w:rsidR="00E723FD" w:rsidRPr="00AE549A" w:rsidRDefault="00794FF0" w:rsidP="00794FF0">
      <w:pPr>
        <w:pStyle w:val="SingleTxtG"/>
      </w:pPr>
      <w:r>
        <w:t>242.</w:t>
      </w:r>
      <w:r>
        <w:tab/>
      </w:r>
      <w:r w:rsidR="00E6742E" w:rsidRPr="00AE549A">
        <w:t xml:space="preserve">The SBI considered this agenda </w:t>
      </w:r>
      <w:r w:rsidR="0016758E" w:rsidRPr="00AE549A">
        <w:t>sub-item</w:t>
      </w:r>
      <w:r w:rsidR="00E6742E" w:rsidRPr="00AE549A">
        <w:t xml:space="preserve"> at its </w:t>
      </w:r>
      <w:r w:rsidR="00E6742E" w:rsidRPr="00AE549A">
        <w:rPr>
          <w:snapToGrid w:val="0"/>
        </w:rPr>
        <w:t>1</w:t>
      </w:r>
      <w:r w:rsidR="00E6742E" w:rsidRPr="00AE549A">
        <w:rPr>
          <w:snapToGrid w:val="0"/>
          <w:vertAlign w:val="superscript"/>
        </w:rPr>
        <w:t>st</w:t>
      </w:r>
      <w:r w:rsidR="00E6742E" w:rsidRPr="00AE549A">
        <w:rPr>
          <w:snapToGrid w:val="0"/>
        </w:rPr>
        <w:t xml:space="preserve"> </w:t>
      </w:r>
      <w:r w:rsidR="00AF5B9A" w:rsidRPr="00AE549A">
        <w:rPr>
          <w:snapToGrid w:val="0"/>
        </w:rPr>
        <w:t>and 2</w:t>
      </w:r>
      <w:r w:rsidR="00AF5B9A" w:rsidRPr="00AE549A">
        <w:rPr>
          <w:snapToGrid w:val="0"/>
          <w:vertAlign w:val="superscript"/>
        </w:rPr>
        <w:t>nd</w:t>
      </w:r>
      <w:r w:rsidR="00AF5B9A" w:rsidRPr="00AE549A">
        <w:rPr>
          <w:snapToGrid w:val="0"/>
        </w:rPr>
        <w:t xml:space="preserve"> </w:t>
      </w:r>
      <w:r w:rsidR="00E6742E" w:rsidRPr="00AE549A">
        <w:rPr>
          <w:snapToGrid w:val="0"/>
        </w:rPr>
        <w:t>meetings</w:t>
      </w:r>
      <w:r w:rsidR="00E6742E" w:rsidRPr="00AE549A">
        <w:t xml:space="preserve">. </w:t>
      </w:r>
    </w:p>
    <w:p w14:paraId="6875E23E" w14:textId="77777777" w:rsidR="00AF5B9A" w:rsidRPr="00AE549A" w:rsidRDefault="00794FF0" w:rsidP="00794FF0">
      <w:pPr>
        <w:pStyle w:val="SingleTxtG"/>
      </w:pPr>
      <w:r>
        <w:rPr>
          <w:color w:val="000000"/>
        </w:rPr>
        <w:t>243.</w:t>
      </w:r>
      <w:r>
        <w:rPr>
          <w:color w:val="000000"/>
        </w:rPr>
        <w:tab/>
      </w:r>
      <w:r w:rsidR="00AF5B9A" w:rsidRPr="00AE549A">
        <w:rPr>
          <w:color w:val="000000"/>
        </w:rPr>
        <w:t>At its 1</w:t>
      </w:r>
      <w:r w:rsidR="00AF5B9A" w:rsidRPr="00AE549A">
        <w:rPr>
          <w:color w:val="000000"/>
          <w:vertAlign w:val="superscript"/>
        </w:rPr>
        <w:t>st</w:t>
      </w:r>
      <w:r w:rsidR="00AF5B9A" w:rsidRPr="00AE549A">
        <w:rPr>
          <w:color w:val="000000"/>
        </w:rPr>
        <w:t xml:space="preserve"> meeting, </w:t>
      </w:r>
      <w:r w:rsidR="00AF5B9A" w:rsidRPr="00AE549A">
        <w:t xml:space="preserve">the SBI agreed to consider this agenda </w:t>
      </w:r>
      <w:r w:rsidR="0016758E" w:rsidRPr="00AE549A">
        <w:t>sub-item</w:t>
      </w:r>
      <w:r w:rsidR="00AF5B9A" w:rsidRPr="00AE549A">
        <w:t xml:space="preserve"> in informal consultations facilitated by </w:t>
      </w:r>
      <w:proofErr w:type="spellStart"/>
      <w:r w:rsidR="00AF5B9A" w:rsidRPr="00AE549A">
        <w:rPr>
          <w:color w:val="000000"/>
        </w:rPr>
        <w:t>Mr.</w:t>
      </w:r>
      <w:proofErr w:type="spellEnd"/>
      <w:r w:rsidR="00AF5B9A" w:rsidRPr="00AE549A">
        <w:rPr>
          <w:color w:val="000000"/>
        </w:rPr>
        <w:t xml:space="preserve"> Shimada.</w:t>
      </w:r>
    </w:p>
    <w:p w14:paraId="0D7554D8" w14:textId="77777777" w:rsidR="00E6742E" w:rsidRPr="00AE549A" w:rsidRDefault="00794FF0" w:rsidP="00794FF0">
      <w:pPr>
        <w:pStyle w:val="SingleTxtG"/>
      </w:pPr>
      <w:r>
        <w:rPr>
          <w:color w:val="000000"/>
        </w:rPr>
        <w:t>244.</w:t>
      </w:r>
      <w:r>
        <w:rPr>
          <w:color w:val="000000"/>
        </w:rPr>
        <w:tab/>
      </w:r>
      <w:r w:rsidR="00AF5B9A" w:rsidRPr="00AE549A">
        <w:rPr>
          <w:color w:val="000000"/>
        </w:rPr>
        <w:t>At its 2</w:t>
      </w:r>
      <w:r w:rsidR="00AF5B9A" w:rsidRPr="00AE549A">
        <w:rPr>
          <w:color w:val="000000"/>
          <w:vertAlign w:val="superscript"/>
        </w:rPr>
        <w:t>nd</w:t>
      </w:r>
      <w:r w:rsidR="00AF5B9A" w:rsidRPr="00AE549A">
        <w:rPr>
          <w:color w:val="000000"/>
        </w:rPr>
        <w:t xml:space="preserve"> meeting,</w:t>
      </w:r>
      <w:r w:rsidR="00E6742E" w:rsidRPr="00AE549A">
        <w:t xml:space="preserve"> the SBI considered and adopted the conclusions below.</w:t>
      </w:r>
      <w:r w:rsidR="00AF5B9A" w:rsidRPr="00AE549A">
        <w:rPr>
          <w:rStyle w:val="FootnoteReference"/>
        </w:rPr>
        <w:footnoteReference w:id="92"/>
      </w:r>
    </w:p>
    <w:p w14:paraId="6944A0A8" w14:textId="77777777" w:rsidR="00E6742E" w:rsidRPr="00AE549A" w:rsidRDefault="00794FF0" w:rsidP="00794FF0">
      <w:pPr>
        <w:pStyle w:val="H23G"/>
      </w:pPr>
      <w:r>
        <w:tab/>
        <w:t>2.</w:t>
      </w:r>
      <w:r>
        <w:tab/>
      </w:r>
      <w:r w:rsidR="00E6742E" w:rsidRPr="00AE549A">
        <w:t>Conclusions</w:t>
      </w:r>
    </w:p>
    <w:p w14:paraId="08D44419" w14:textId="77777777" w:rsidR="00A0585A" w:rsidRPr="00AE549A" w:rsidRDefault="00794FF0" w:rsidP="00794FF0">
      <w:pPr>
        <w:pStyle w:val="SingleTxtG"/>
      </w:pPr>
      <w:r>
        <w:t>245.</w:t>
      </w:r>
      <w:r>
        <w:tab/>
      </w:r>
      <w:r w:rsidR="00A0585A" w:rsidRPr="00AE549A">
        <w:t xml:space="preserve">The SBI took note of the views of Parties on privileges and immunities for individuals serving on constituted bodies established under the Kyoto Protocol. </w:t>
      </w:r>
    </w:p>
    <w:p w14:paraId="5245183F" w14:textId="77777777" w:rsidR="00A0585A" w:rsidRPr="00AE549A" w:rsidRDefault="00794FF0" w:rsidP="00794FF0">
      <w:pPr>
        <w:pStyle w:val="SingleTxtG"/>
      </w:pPr>
      <w:r>
        <w:t>246.</w:t>
      </w:r>
      <w:r>
        <w:tab/>
      </w:r>
      <w:r w:rsidR="00A0585A" w:rsidRPr="00AE549A">
        <w:t>The SBI agreed to continue its consideration of this matter at SBI 44 on the basis of the draft treaty arrangements on privileges and immunities for individuals serving on constituted bodies established under the Kyoto Protocol.</w:t>
      </w:r>
      <w:r w:rsidR="00A0585A" w:rsidRPr="00AE549A">
        <w:rPr>
          <w:rStyle w:val="FootnoteReference"/>
        </w:rPr>
        <w:footnoteReference w:id="93"/>
      </w:r>
    </w:p>
    <w:p w14:paraId="3FC00653" w14:textId="77777777" w:rsidR="00E6742E" w:rsidRPr="00AE549A" w:rsidRDefault="00794FF0" w:rsidP="00794FF0">
      <w:pPr>
        <w:pStyle w:val="H1G"/>
        <w:tabs>
          <w:tab w:val="right" w:pos="850"/>
        </w:tabs>
        <w:rPr>
          <w:rStyle w:val="SingleTxtGChar"/>
          <w:b w:val="0"/>
          <w:sz w:val="20"/>
        </w:rPr>
      </w:pPr>
      <w:bookmarkStart w:id="71" w:name="_Toc391983317"/>
      <w:r>
        <w:tab/>
        <w:t>E.</w:t>
      </w:r>
      <w:r>
        <w:tab/>
      </w:r>
      <w:r w:rsidR="00E6742E" w:rsidRPr="00AE549A">
        <w:t>Privileges and immunities for individuals serving on constituted bodies established under the Convention</w:t>
      </w:r>
      <w:r w:rsidR="00E6742E" w:rsidRPr="00AE549A">
        <w:br/>
      </w:r>
      <w:r w:rsidR="00E6742E" w:rsidRPr="00AE549A">
        <w:rPr>
          <w:rStyle w:val="SingleTxtGChar"/>
          <w:b w:val="0"/>
          <w:sz w:val="20"/>
        </w:rPr>
        <w:t xml:space="preserve">(Agenda </w:t>
      </w:r>
      <w:r w:rsidR="0016758E" w:rsidRPr="00AE549A">
        <w:rPr>
          <w:rStyle w:val="SingleTxtGChar"/>
          <w:b w:val="0"/>
          <w:sz w:val="20"/>
        </w:rPr>
        <w:t>sub-item</w:t>
      </w:r>
      <w:r w:rsidR="00E6742E" w:rsidRPr="00AE549A">
        <w:rPr>
          <w:rStyle w:val="SingleTxtGChar"/>
          <w:b w:val="0"/>
          <w:sz w:val="20"/>
        </w:rPr>
        <w:t xml:space="preserve"> 18(e))</w:t>
      </w:r>
      <w:bookmarkEnd w:id="71"/>
    </w:p>
    <w:p w14:paraId="44BF6509" w14:textId="77777777" w:rsidR="00071CD1" w:rsidRPr="00AE549A" w:rsidRDefault="00794FF0" w:rsidP="00794FF0">
      <w:pPr>
        <w:pStyle w:val="H23G"/>
      </w:pPr>
      <w:r>
        <w:tab/>
        <w:t>1.</w:t>
      </w:r>
      <w:r>
        <w:tab/>
      </w:r>
      <w:r w:rsidR="00071CD1" w:rsidRPr="00AE549A">
        <w:t>Proceedings</w:t>
      </w:r>
    </w:p>
    <w:p w14:paraId="7D93DDA9" w14:textId="77777777" w:rsidR="00AF5B9A" w:rsidRPr="00AE549A" w:rsidRDefault="00794FF0" w:rsidP="00794FF0">
      <w:pPr>
        <w:pStyle w:val="SingleTxtG"/>
      </w:pPr>
      <w:r>
        <w:t>247.</w:t>
      </w:r>
      <w:r>
        <w:tab/>
      </w:r>
      <w:r w:rsidR="00AF5B9A" w:rsidRPr="00AE549A">
        <w:t xml:space="preserve">The SBI considered this agenda </w:t>
      </w:r>
      <w:r w:rsidR="0016758E" w:rsidRPr="00AE549A">
        <w:t>sub-item</w:t>
      </w:r>
      <w:r w:rsidR="00AF5B9A" w:rsidRPr="00AE549A">
        <w:t xml:space="preserve"> at its </w:t>
      </w:r>
      <w:r w:rsidR="00AF5B9A" w:rsidRPr="00AE549A">
        <w:rPr>
          <w:snapToGrid w:val="0"/>
        </w:rPr>
        <w:t>1</w:t>
      </w:r>
      <w:r w:rsidR="00AF5B9A" w:rsidRPr="00AE549A">
        <w:rPr>
          <w:snapToGrid w:val="0"/>
          <w:vertAlign w:val="superscript"/>
        </w:rPr>
        <w:t>st</w:t>
      </w:r>
      <w:r w:rsidR="00AF5B9A" w:rsidRPr="00AE549A">
        <w:rPr>
          <w:snapToGrid w:val="0"/>
        </w:rPr>
        <w:t xml:space="preserve"> and 2</w:t>
      </w:r>
      <w:r w:rsidR="00AF5B9A" w:rsidRPr="00AE549A">
        <w:rPr>
          <w:snapToGrid w:val="0"/>
          <w:vertAlign w:val="superscript"/>
        </w:rPr>
        <w:t>nd</w:t>
      </w:r>
      <w:r w:rsidR="00AF5B9A" w:rsidRPr="00AE549A">
        <w:rPr>
          <w:snapToGrid w:val="0"/>
        </w:rPr>
        <w:t xml:space="preserve"> meetings</w:t>
      </w:r>
      <w:r w:rsidR="00AF5B9A" w:rsidRPr="00AE549A">
        <w:t xml:space="preserve">. </w:t>
      </w:r>
    </w:p>
    <w:p w14:paraId="2CABA2F8" w14:textId="77777777" w:rsidR="00AF5B9A" w:rsidRPr="00AE549A" w:rsidRDefault="00794FF0" w:rsidP="00794FF0">
      <w:pPr>
        <w:pStyle w:val="SingleTxtG"/>
      </w:pPr>
      <w:r>
        <w:rPr>
          <w:color w:val="000000"/>
        </w:rPr>
        <w:t>248.</w:t>
      </w:r>
      <w:r>
        <w:rPr>
          <w:color w:val="000000"/>
        </w:rPr>
        <w:tab/>
      </w:r>
      <w:r w:rsidR="00AF5B9A" w:rsidRPr="00AE549A">
        <w:rPr>
          <w:color w:val="000000"/>
        </w:rPr>
        <w:t>At its 1</w:t>
      </w:r>
      <w:r w:rsidR="00AF5B9A" w:rsidRPr="00AE549A">
        <w:rPr>
          <w:color w:val="000000"/>
          <w:vertAlign w:val="superscript"/>
        </w:rPr>
        <w:t>st</w:t>
      </w:r>
      <w:r w:rsidR="00AF5B9A" w:rsidRPr="00AE549A">
        <w:rPr>
          <w:color w:val="000000"/>
        </w:rPr>
        <w:t xml:space="preserve"> meeting, </w:t>
      </w:r>
      <w:r w:rsidR="00AF5B9A" w:rsidRPr="00AE549A">
        <w:t xml:space="preserve">the SBI agreed to consider this agenda </w:t>
      </w:r>
      <w:r w:rsidR="0016758E" w:rsidRPr="00AE549A">
        <w:t>sub-item</w:t>
      </w:r>
      <w:r w:rsidR="00AF5B9A" w:rsidRPr="00AE549A">
        <w:t xml:space="preserve"> in informal consultations facilitated by </w:t>
      </w:r>
      <w:proofErr w:type="spellStart"/>
      <w:r w:rsidR="00AF5B9A" w:rsidRPr="00AE549A">
        <w:rPr>
          <w:color w:val="000000"/>
        </w:rPr>
        <w:t>Mr.</w:t>
      </w:r>
      <w:proofErr w:type="spellEnd"/>
      <w:r w:rsidR="00AF5B9A" w:rsidRPr="00AE549A">
        <w:rPr>
          <w:color w:val="000000"/>
        </w:rPr>
        <w:t xml:space="preserve"> Shimada.</w:t>
      </w:r>
    </w:p>
    <w:p w14:paraId="4F97C043" w14:textId="77777777" w:rsidR="00AF5B9A" w:rsidRPr="00AE549A" w:rsidRDefault="00794FF0" w:rsidP="00794FF0">
      <w:pPr>
        <w:pStyle w:val="SingleTxtG"/>
      </w:pPr>
      <w:r>
        <w:rPr>
          <w:color w:val="000000"/>
        </w:rPr>
        <w:t>249.</w:t>
      </w:r>
      <w:r>
        <w:rPr>
          <w:color w:val="000000"/>
        </w:rPr>
        <w:tab/>
      </w:r>
      <w:r w:rsidR="00AF5B9A" w:rsidRPr="00AE549A">
        <w:rPr>
          <w:color w:val="000000"/>
        </w:rPr>
        <w:t>At its 2</w:t>
      </w:r>
      <w:r w:rsidR="00AF5B9A" w:rsidRPr="00AE549A">
        <w:rPr>
          <w:color w:val="000000"/>
          <w:vertAlign w:val="superscript"/>
        </w:rPr>
        <w:t>nd</w:t>
      </w:r>
      <w:r w:rsidR="00AF5B9A" w:rsidRPr="00AE549A">
        <w:rPr>
          <w:color w:val="000000"/>
        </w:rPr>
        <w:t xml:space="preserve"> meeting,</w:t>
      </w:r>
      <w:r w:rsidR="00AF5B9A" w:rsidRPr="00AE549A">
        <w:t xml:space="preserve"> the SBI considered and adopted the conclusions below.</w:t>
      </w:r>
      <w:r w:rsidR="00AF5B9A" w:rsidRPr="00AE549A">
        <w:rPr>
          <w:rStyle w:val="FootnoteReference"/>
        </w:rPr>
        <w:footnoteReference w:id="94"/>
      </w:r>
    </w:p>
    <w:p w14:paraId="0BB79EB6" w14:textId="77777777" w:rsidR="00E6742E" w:rsidRPr="00AE549A" w:rsidRDefault="00794FF0" w:rsidP="00794FF0">
      <w:pPr>
        <w:pStyle w:val="H23G"/>
      </w:pPr>
      <w:r>
        <w:tab/>
        <w:t>2.</w:t>
      </w:r>
      <w:r>
        <w:tab/>
      </w:r>
      <w:r w:rsidR="00E6742E" w:rsidRPr="00AE549A">
        <w:t>Conclusions</w:t>
      </w:r>
    </w:p>
    <w:p w14:paraId="1E5073D3" w14:textId="77777777" w:rsidR="00130E5C" w:rsidRPr="00AE549A" w:rsidRDefault="00794FF0" w:rsidP="00794FF0">
      <w:pPr>
        <w:pStyle w:val="SingleTxtG"/>
      </w:pPr>
      <w:r>
        <w:t>250.</w:t>
      </w:r>
      <w:r>
        <w:tab/>
      </w:r>
      <w:r w:rsidR="00130E5C" w:rsidRPr="00AE549A">
        <w:t xml:space="preserve">The </w:t>
      </w:r>
      <w:r w:rsidR="00A0585A" w:rsidRPr="00AE549A">
        <w:t>SBI</w:t>
      </w:r>
      <w:r w:rsidR="00130E5C" w:rsidRPr="00AE549A">
        <w:t xml:space="preserve"> took note of the views of Parties on privileges and immunities for individuals serving on constituted bodies established under the Convention. It also took note of the draft treaty arrangements on privileges and immunities for individuals serving on constituted bodies established under the Kyoto Protocol.</w:t>
      </w:r>
      <w:r w:rsidR="00130E5C" w:rsidRPr="00AE549A">
        <w:rPr>
          <w:rStyle w:val="FootnoteReference"/>
        </w:rPr>
        <w:footnoteReference w:id="95"/>
      </w:r>
    </w:p>
    <w:p w14:paraId="0F7838FA" w14:textId="77777777" w:rsidR="00130E5C" w:rsidRPr="00AE549A" w:rsidRDefault="00794FF0" w:rsidP="00794FF0">
      <w:pPr>
        <w:pStyle w:val="SingleTxtG"/>
      </w:pPr>
      <w:r>
        <w:t>251.</w:t>
      </w:r>
      <w:r>
        <w:tab/>
      </w:r>
      <w:r w:rsidR="00130E5C" w:rsidRPr="00AE549A">
        <w:t>The SBI agreed to continue its consideration of privileges and immunities for individuals serving on constituted bodies established under the Convention at SBI 44.</w:t>
      </w:r>
    </w:p>
    <w:p w14:paraId="122E81B3" w14:textId="77777777" w:rsidR="00572833" w:rsidRPr="00AE549A" w:rsidRDefault="00794FF0" w:rsidP="00794FF0">
      <w:pPr>
        <w:pStyle w:val="HChG"/>
        <w:rPr>
          <w:lang w:eastAsia="en-US"/>
        </w:rPr>
      </w:pPr>
      <w:bookmarkStart w:id="72" w:name="_Toc391983318"/>
      <w:r>
        <w:tab/>
        <w:t>XIX.</w:t>
      </w:r>
      <w:r>
        <w:tab/>
      </w:r>
      <w:r w:rsidR="00BF05AE" w:rsidRPr="00AE549A">
        <w:t xml:space="preserve">Other </w:t>
      </w:r>
      <w:r w:rsidR="00572833" w:rsidRPr="00AE549A">
        <w:t xml:space="preserve">matters </w:t>
      </w:r>
      <w:r w:rsidR="008000C9" w:rsidRPr="00AE549A">
        <w:br/>
      </w:r>
      <w:r w:rsidR="008000C9" w:rsidRPr="00AE549A">
        <w:rPr>
          <w:rStyle w:val="SingleTxtGChar"/>
          <w:b w:val="0"/>
          <w:sz w:val="20"/>
        </w:rPr>
        <w:t xml:space="preserve">(Agenda item </w:t>
      </w:r>
      <w:r w:rsidR="00BF05AE" w:rsidRPr="00AE549A">
        <w:rPr>
          <w:rStyle w:val="SingleTxtGChar"/>
          <w:b w:val="0"/>
          <w:sz w:val="20"/>
        </w:rPr>
        <w:t>19</w:t>
      </w:r>
      <w:r w:rsidR="008000C9" w:rsidRPr="00AE549A">
        <w:rPr>
          <w:rStyle w:val="SingleTxtGChar"/>
          <w:b w:val="0"/>
          <w:sz w:val="20"/>
        </w:rPr>
        <w:t>)</w:t>
      </w:r>
      <w:bookmarkEnd w:id="72"/>
    </w:p>
    <w:p w14:paraId="1D327051" w14:textId="77777777" w:rsidR="00682521" w:rsidRPr="00AE549A" w:rsidRDefault="00794FF0" w:rsidP="00794FF0">
      <w:pPr>
        <w:pStyle w:val="SingleTxtG"/>
        <w:rPr>
          <w:bCs/>
        </w:rPr>
      </w:pPr>
      <w:r>
        <w:t>252.</w:t>
      </w:r>
      <w:r>
        <w:tab/>
      </w:r>
      <w:r w:rsidR="00AF5B9A" w:rsidRPr="00AE549A">
        <w:t>The SBI considered this item at its 1</w:t>
      </w:r>
      <w:r w:rsidR="00AF5B9A" w:rsidRPr="00AE549A">
        <w:rPr>
          <w:vertAlign w:val="superscript"/>
        </w:rPr>
        <w:t>st</w:t>
      </w:r>
      <w:r w:rsidR="00AF5B9A" w:rsidRPr="00AE549A">
        <w:t xml:space="preserve"> meeting. The SBI Chair invited a member of the Standing Committee on Finance to provide its periodic update to the SBI on the status of its work relating to the fifth review of the financial mechanism.</w:t>
      </w:r>
    </w:p>
    <w:p w14:paraId="330BA76C" w14:textId="77777777" w:rsidR="008000C9" w:rsidRPr="00AE549A" w:rsidRDefault="00794FF0" w:rsidP="00794FF0">
      <w:pPr>
        <w:pStyle w:val="HChG"/>
        <w:rPr>
          <w:rStyle w:val="SingleTxtGChar"/>
          <w:b w:val="0"/>
          <w:sz w:val="20"/>
        </w:rPr>
      </w:pPr>
      <w:bookmarkStart w:id="73" w:name="_Toc391983319"/>
      <w:r>
        <w:tab/>
        <w:t>XX.</w:t>
      </w:r>
      <w:r>
        <w:tab/>
      </w:r>
      <w:r w:rsidR="00BF05AE" w:rsidRPr="00AE549A">
        <w:t xml:space="preserve">Report on the </w:t>
      </w:r>
      <w:r w:rsidR="00572833" w:rsidRPr="00AE549A">
        <w:t xml:space="preserve">session </w:t>
      </w:r>
      <w:r w:rsidR="008000C9" w:rsidRPr="00AE549A">
        <w:br/>
      </w:r>
      <w:r w:rsidR="008000C9" w:rsidRPr="00AE549A">
        <w:rPr>
          <w:rStyle w:val="SingleTxtGChar"/>
          <w:b w:val="0"/>
          <w:sz w:val="20"/>
        </w:rPr>
        <w:t xml:space="preserve">(Agenda item </w:t>
      </w:r>
      <w:r w:rsidR="00BF05AE" w:rsidRPr="00AE549A">
        <w:rPr>
          <w:rStyle w:val="SingleTxtGChar"/>
          <w:b w:val="0"/>
          <w:sz w:val="20"/>
        </w:rPr>
        <w:t>20</w:t>
      </w:r>
      <w:r w:rsidR="008000C9" w:rsidRPr="00AE549A">
        <w:rPr>
          <w:rStyle w:val="SingleTxtGChar"/>
          <w:b w:val="0"/>
          <w:sz w:val="20"/>
        </w:rPr>
        <w:t>)</w:t>
      </w:r>
      <w:bookmarkEnd w:id="73"/>
    </w:p>
    <w:p w14:paraId="6122A576" w14:textId="77777777" w:rsidR="0015792E" w:rsidRPr="00AE549A" w:rsidRDefault="00794FF0" w:rsidP="00794FF0">
      <w:pPr>
        <w:pStyle w:val="SingleTxtG"/>
      </w:pPr>
      <w:r>
        <w:t>253.</w:t>
      </w:r>
      <w:r>
        <w:tab/>
      </w:r>
      <w:r w:rsidR="0015792E" w:rsidRPr="00AE549A">
        <w:t>At its resumed 2</w:t>
      </w:r>
      <w:r w:rsidR="0015792E" w:rsidRPr="00AE549A">
        <w:rPr>
          <w:vertAlign w:val="superscript"/>
        </w:rPr>
        <w:t>nd</w:t>
      </w:r>
      <w:r w:rsidR="0015792E" w:rsidRPr="00AE549A">
        <w:t xml:space="preserve"> meeting, the SBI considered and adopted the draft report on </w:t>
      </w:r>
      <w:r w:rsidR="00006CA6" w:rsidRPr="00AE549A">
        <w:t>SBI </w:t>
      </w:r>
      <w:r w:rsidR="0015792E" w:rsidRPr="00AE549A">
        <w:t>40.</w:t>
      </w:r>
      <w:r w:rsidR="0015792E" w:rsidRPr="00AE549A">
        <w:rPr>
          <w:rStyle w:val="FootnoteReference"/>
        </w:rPr>
        <w:footnoteReference w:id="96"/>
      </w:r>
      <w:r w:rsidR="0015792E" w:rsidRPr="00AE549A">
        <w:t xml:space="preserve"> At the same meeting, on a proposal by the Chair, the SBI authorized the Rapporteur to complete the report on the session, with the assistance of the secretariat and under the guidance of the Chair.</w:t>
      </w:r>
    </w:p>
    <w:p w14:paraId="093287CC" w14:textId="77777777" w:rsidR="00BF4EFE" w:rsidRDefault="00794FF0" w:rsidP="00794FF0">
      <w:pPr>
        <w:pStyle w:val="HChG"/>
      </w:pPr>
      <w:bookmarkStart w:id="74" w:name="_Toc391983320"/>
      <w:r>
        <w:tab/>
        <w:t>XXI.</w:t>
      </w:r>
      <w:r>
        <w:tab/>
      </w:r>
      <w:r w:rsidR="00BF4EFE" w:rsidRPr="00AE549A">
        <w:t>Closure of the session</w:t>
      </w:r>
      <w:bookmarkEnd w:id="74"/>
    </w:p>
    <w:p w14:paraId="72904E1C" w14:textId="77777777" w:rsidR="00AF7EE9" w:rsidRPr="00324DA3" w:rsidRDefault="00794FF0" w:rsidP="00794FF0">
      <w:pPr>
        <w:pStyle w:val="H23G"/>
        <w:rPr>
          <w:lang w:eastAsia="en-US"/>
        </w:rPr>
      </w:pPr>
      <w:r>
        <w:tab/>
        <w:t>1.</w:t>
      </w:r>
      <w:r>
        <w:tab/>
      </w:r>
      <w:r w:rsidR="00AF7EE9">
        <w:t>Administrative and budgetary implications</w:t>
      </w:r>
    </w:p>
    <w:p w14:paraId="2511806F" w14:textId="77777777" w:rsidR="001816D4" w:rsidRPr="006C5299" w:rsidRDefault="00794FF0" w:rsidP="00794FF0">
      <w:pPr>
        <w:pStyle w:val="SingleTxtG"/>
      </w:pPr>
      <w:r>
        <w:t>254.</w:t>
      </w:r>
      <w:r>
        <w:tab/>
      </w:r>
      <w:r w:rsidR="001816D4" w:rsidRPr="007550C2">
        <w:t xml:space="preserve">At </w:t>
      </w:r>
      <w:r w:rsidR="00C6438B">
        <w:t>the</w:t>
      </w:r>
      <w:r w:rsidR="001816D4" w:rsidRPr="007550C2">
        <w:t xml:space="preserve"> resumed 2</w:t>
      </w:r>
      <w:r w:rsidR="001816D4" w:rsidRPr="000238B6">
        <w:rPr>
          <w:vertAlign w:val="superscript"/>
        </w:rPr>
        <w:t>nd</w:t>
      </w:r>
      <w:r w:rsidR="001816D4" w:rsidRPr="00324DA3">
        <w:t xml:space="preserve"> meeting, the secretariat provided a preliminary evaluation of the administrative and budgetary implications of conclusions adopted during the session. This </w:t>
      </w:r>
      <w:r w:rsidR="00F848B8" w:rsidRPr="00FE4BFB">
        <w:t xml:space="preserve">is pursuant to </w:t>
      </w:r>
      <w:r w:rsidR="001816D4" w:rsidRPr="00303799">
        <w:t>decision 16/CP.9, p</w:t>
      </w:r>
      <w:r w:rsidR="001816D4" w:rsidRPr="009828C0">
        <w:t>aragraph 20, which requests the Executive Secretary to provide an indication of the administrative and budgetary implications of decisions</w:t>
      </w:r>
      <w:r w:rsidR="00FF3132" w:rsidRPr="009828C0">
        <w:rPr>
          <w:rStyle w:val="FootnoteReference"/>
          <w:szCs w:val="12"/>
        </w:rPr>
        <w:footnoteReference w:id="97"/>
      </w:r>
      <w:r w:rsidR="001816D4" w:rsidRPr="00C842A6">
        <w:rPr>
          <w:sz w:val="12"/>
          <w:szCs w:val="12"/>
        </w:rPr>
        <w:t xml:space="preserve"> </w:t>
      </w:r>
      <w:r w:rsidR="001816D4" w:rsidRPr="00C741ED">
        <w:t>if these cannot be met from existing resources within the core budget.</w:t>
      </w:r>
    </w:p>
    <w:p w14:paraId="2B78EA55" w14:textId="77777777" w:rsidR="001816D4" w:rsidRPr="008B4BC9" w:rsidRDefault="00794FF0" w:rsidP="00794FF0">
      <w:pPr>
        <w:pStyle w:val="SingleTxtG"/>
      </w:pPr>
      <w:r>
        <w:t>255.</w:t>
      </w:r>
      <w:r>
        <w:tab/>
      </w:r>
      <w:r w:rsidR="001816D4" w:rsidRPr="006C5299">
        <w:t>The secretariat informed Parties that a numbe</w:t>
      </w:r>
      <w:r w:rsidR="001816D4" w:rsidRPr="00FC617B">
        <w:t xml:space="preserve">r of activities resulting from the negotiations at this session call for </w:t>
      </w:r>
      <w:r w:rsidR="00FF3132" w:rsidRPr="008A4292">
        <w:t xml:space="preserve">additional </w:t>
      </w:r>
      <w:r w:rsidR="001816D4" w:rsidRPr="0096485E">
        <w:t>work by the secretariat and</w:t>
      </w:r>
      <w:r w:rsidR="00FF3132" w:rsidRPr="00506FB7">
        <w:t xml:space="preserve"> </w:t>
      </w:r>
      <w:r w:rsidR="002F79FF" w:rsidRPr="00506FB7">
        <w:t>that,</w:t>
      </w:r>
      <w:r w:rsidR="001816D4" w:rsidRPr="00506FB7">
        <w:t xml:space="preserve"> therefore, the secretariat requires additional resources in </w:t>
      </w:r>
      <w:r w:rsidR="001816D4" w:rsidRPr="008B4BC9">
        <w:t>the coming year over and above the core budget for 2014–2015</w:t>
      </w:r>
      <w:r w:rsidR="006D33BF">
        <w:t>, including</w:t>
      </w:r>
      <w:r w:rsidR="00BA1B2E">
        <w:t xml:space="preserve"> for the following activities</w:t>
      </w:r>
      <w:r w:rsidR="006D33BF">
        <w:t>:</w:t>
      </w:r>
    </w:p>
    <w:p w14:paraId="58C287B5" w14:textId="77777777" w:rsidR="00E24DFC" w:rsidRPr="008B4BC9" w:rsidRDefault="00794FF0" w:rsidP="00794FF0">
      <w:pPr>
        <w:pStyle w:val="SingleTxtG"/>
      </w:pPr>
      <w:r>
        <w:tab/>
        <w:t>(a)</w:t>
      </w:r>
      <w:r>
        <w:tab/>
      </w:r>
      <w:r w:rsidR="00EC4E5B" w:rsidRPr="006D33BF">
        <w:t>U</w:t>
      </w:r>
      <w:r w:rsidR="006D33BF" w:rsidRPr="006D33BF">
        <w:t>nder agenda sub-item 4(b), “Provision of financial and technical support”,</w:t>
      </w:r>
      <w:r w:rsidR="006D33BF" w:rsidRPr="006D33BF">
        <w:rPr>
          <w:rStyle w:val="FootnoteReference"/>
          <w:szCs w:val="12"/>
        </w:rPr>
        <w:footnoteReference w:id="98"/>
      </w:r>
      <w:r w:rsidR="006D33BF" w:rsidRPr="006D33BF">
        <w:t xml:space="preserve"> funding in the amount of EUR 146,000 is required to make the updated GHG inventory software available to non-Annex I Parties in other United Nations languages by June 2015;</w:t>
      </w:r>
    </w:p>
    <w:p w14:paraId="39DD19E0" w14:textId="77777777" w:rsidR="00EC4E5B" w:rsidRPr="00AE549A" w:rsidRDefault="00794FF0" w:rsidP="00794FF0">
      <w:pPr>
        <w:pStyle w:val="SingleTxtG"/>
      </w:pPr>
      <w:r>
        <w:tab/>
        <w:t>(b)</w:t>
      </w:r>
      <w:r>
        <w:tab/>
      </w:r>
      <w:r w:rsidR="00EC4E5B" w:rsidRPr="008B4BC9">
        <w:t xml:space="preserve">Under </w:t>
      </w:r>
      <w:r w:rsidR="006D33BF" w:rsidRPr="006D33BF">
        <w:t>agenda item 8, “National adaptation plans”, the secretariat has been requested to organize a workshop prior to SBI 42.</w:t>
      </w:r>
      <w:r w:rsidR="00C52443" w:rsidRPr="006D33BF">
        <w:rPr>
          <w:rStyle w:val="FootnoteReference"/>
          <w:szCs w:val="12"/>
        </w:rPr>
        <w:footnoteReference w:id="99"/>
      </w:r>
      <w:r w:rsidR="006D33BF" w:rsidRPr="006D33BF">
        <w:t xml:space="preserve"> The estimated cost is EUR 150,000. The staff costs for organizing the workshop, providing support in the preparation of an information paper and the workshop report will be absorbed by the core budget;</w:t>
      </w:r>
    </w:p>
    <w:p w14:paraId="72366829" w14:textId="77777777" w:rsidR="00EC4E5B" w:rsidRPr="00AE549A" w:rsidRDefault="00794FF0" w:rsidP="00794FF0">
      <w:pPr>
        <w:pStyle w:val="SingleTxtG"/>
      </w:pPr>
      <w:r>
        <w:tab/>
        <w:t>(c)</w:t>
      </w:r>
      <w:r>
        <w:tab/>
      </w:r>
      <w:r w:rsidR="00EC4E5B" w:rsidRPr="00AE549A">
        <w:t xml:space="preserve">Under </w:t>
      </w:r>
      <w:r w:rsidR="006D33BF" w:rsidRPr="006D33BF">
        <w:t>agenda item 16, “The 2013–2015 review”, the secretariat has been requested to support a meeting of the SED to be held after SBSTA 41 and SBI 41 and before SBSTA 42 and SBI 42, in conjunction with a meeting of the ADP.</w:t>
      </w:r>
      <w:r w:rsidR="006D43FA" w:rsidRPr="006D33BF">
        <w:rPr>
          <w:rStyle w:val="FootnoteReference"/>
          <w:szCs w:val="12"/>
        </w:rPr>
        <w:footnoteReference w:id="100"/>
      </w:r>
      <w:r w:rsidR="006D33BF" w:rsidRPr="006D33BF">
        <w:t xml:space="preserve"> The cost of this support is estimated at EUR 150,000. For Parties’ information, these funds would also cover the activities requested under SBSTA agenda item 7;</w:t>
      </w:r>
    </w:p>
    <w:p w14:paraId="2C46D92B" w14:textId="77777777" w:rsidR="00475DDF" w:rsidRPr="00E25B01" w:rsidRDefault="00794FF0" w:rsidP="006D33BF">
      <w:pPr>
        <w:pStyle w:val="SingleTxtG"/>
      </w:pPr>
      <w:r>
        <w:tab/>
        <w:t>(d)</w:t>
      </w:r>
      <w:r>
        <w:tab/>
      </w:r>
      <w:r w:rsidR="007046BC" w:rsidRPr="00AE549A">
        <w:t xml:space="preserve">Under </w:t>
      </w:r>
      <w:r w:rsidR="006D33BF" w:rsidRPr="006D33BF">
        <w:t>agenda item 17, “Arrangements for intergovernmental meetings”, Parties recognized the need for financial support for the important work related to side events and exhibits as a tool for engaging observers.</w:t>
      </w:r>
      <w:r w:rsidR="006D43FA" w:rsidRPr="006D33BF">
        <w:rPr>
          <w:rStyle w:val="FootnoteReference"/>
          <w:szCs w:val="12"/>
        </w:rPr>
        <w:footnoteReference w:id="101"/>
      </w:r>
      <w:r w:rsidR="006D33BF" w:rsidRPr="006D33BF">
        <w:t xml:space="preserve"> This support is estimated at EUR 294,000 annually. The costs for preparing a biennial report on the implementation of the conclusions will be absorbed by the core budget.</w:t>
      </w:r>
    </w:p>
    <w:p w14:paraId="35060C3B" w14:textId="77777777" w:rsidR="00475DDF" w:rsidRDefault="00794FF0" w:rsidP="00794FF0">
      <w:pPr>
        <w:pStyle w:val="SingleTxtG"/>
      </w:pPr>
      <w:r>
        <w:t>256.</w:t>
      </w:r>
      <w:r>
        <w:tab/>
      </w:r>
      <w:r w:rsidR="00475DDF" w:rsidRPr="00E25B01">
        <w:t xml:space="preserve">The secretariat also noted that some of the conclusions adopted </w:t>
      </w:r>
      <w:r w:rsidR="009B1F63" w:rsidRPr="00E25B01">
        <w:t>at SBI 40</w:t>
      </w:r>
      <w:r w:rsidR="00475DDF" w:rsidRPr="00E25B01">
        <w:t xml:space="preserve"> will have budgetary implications beyond 2015. </w:t>
      </w:r>
      <w:r w:rsidR="009B1F63" w:rsidRPr="00E25B01">
        <w:t xml:space="preserve">The implications for </w:t>
      </w:r>
      <w:r w:rsidR="00475DDF" w:rsidRPr="00E25B01">
        <w:t>resource requirements for 2016</w:t>
      </w:r>
      <w:r w:rsidR="009B1F63" w:rsidRPr="00E25B01">
        <w:t>–</w:t>
      </w:r>
      <w:r w:rsidR="00475DDF" w:rsidRPr="00E25B01">
        <w:t>2017 will be reviewed in the context of established budgetary procedures.</w:t>
      </w:r>
    </w:p>
    <w:p w14:paraId="44100375" w14:textId="77777777" w:rsidR="007952B3" w:rsidRPr="00324DA3" w:rsidRDefault="00794FF0" w:rsidP="00794FF0">
      <w:pPr>
        <w:pStyle w:val="H23G"/>
        <w:rPr>
          <w:lang w:eastAsia="en-US"/>
        </w:rPr>
      </w:pPr>
      <w:r>
        <w:tab/>
        <w:t>2.</w:t>
      </w:r>
      <w:r>
        <w:tab/>
      </w:r>
      <w:r w:rsidR="007952B3">
        <w:t>Closure of the session</w:t>
      </w:r>
    </w:p>
    <w:p w14:paraId="3561790B" w14:textId="77777777" w:rsidR="00FF38BE" w:rsidRPr="00E25B01" w:rsidRDefault="00794FF0" w:rsidP="00794FF0">
      <w:pPr>
        <w:pStyle w:val="SingleTxtG"/>
      </w:pPr>
      <w:r>
        <w:t>257.</w:t>
      </w:r>
      <w:r>
        <w:tab/>
      </w:r>
      <w:r w:rsidR="00C6438B">
        <w:t>A</w:t>
      </w:r>
      <w:r w:rsidR="00C6438B" w:rsidRPr="00E25B01">
        <w:t xml:space="preserve">t </w:t>
      </w:r>
      <w:r w:rsidR="00FF38BE" w:rsidRPr="00E25B01">
        <w:t xml:space="preserve">the </w:t>
      </w:r>
      <w:r w:rsidR="009B1F63" w:rsidRPr="00E25B01">
        <w:t>resumed 2</w:t>
      </w:r>
      <w:r w:rsidR="009B1F63" w:rsidRPr="00E25B01">
        <w:rPr>
          <w:vertAlign w:val="superscript"/>
        </w:rPr>
        <w:t>nd</w:t>
      </w:r>
      <w:r w:rsidR="009B1F63" w:rsidRPr="00E25B01">
        <w:t xml:space="preserve"> </w:t>
      </w:r>
      <w:r w:rsidR="00FF38BE" w:rsidRPr="00E25B01">
        <w:t xml:space="preserve">meeting, closing statements were made by representatives of </w:t>
      </w:r>
      <w:r w:rsidR="00DD7958" w:rsidRPr="00E25B01">
        <w:t>nine</w:t>
      </w:r>
      <w:r w:rsidR="00FF38BE" w:rsidRPr="00E25B01">
        <w:t xml:space="preserve"> Parties, including one speaking on behalf of </w:t>
      </w:r>
      <w:r w:rsidR="009B1F63" w:rsidRPr="00E25B01">
        <w:t>G</w:t>
      </w:r>
      <w:r w:rsidR="00FF38BE" w:rsidRPr="00E25B01">
        <w:t xml:space="preserve">77 and China, one on behalf of the Umbrella Group, </w:t>
      </w:r>
      <w:r w:rsidR="00DD7958" w:rsidRPr="00E25B01">
        <w:t xml:space="preserve">one on behalf of the European Union and its member States, </w:t>
      </w:r>
      <w:r w:rsidR="00FF38BE" w:rsidRPr="00E25B01">
        <w:t>one on behalf of AOSIS</w:t>
      </w:r>
      <w:r w:rsidR="00DD7958" w:rsidRPr="00E25B01">
        <w:t xml:space="preserve">, one on behalf of the African </w:t>
      </w:r>
      <w:r w:rsidR="00FD56A9" w:rsidRPr="00E25B01">
        <w:t xml:space="preserve">States </w:t>
      </w:r>
      <w:r w:rsidR="00FF38BE" w:rsidRPr="00E25B01">
        <w:t>and one on behalf of the LDCs.</w:t>
      </w:r>
    </w:p>
    <w:p w14:paraId="776D7728" w14:textId="77777777" w:rsidR="00A72988" w:rsidRPr="00E25B01" w:rsidRDefault="00794FF0" w:rsidP="00794FF0">
      <w:pPr>
        <w:pStyle w:val="SingleTxtG"/>
      </w:pPr>
      <w:r>
        <w:t>258.</w:t>
      </w:r>
      <w:r>
        <w:tab/>
      </w:r>
      <w:r w:rsidR="00FD56A9" w:rsidRPr="00E25B01">
        <w:t xml:space="preserve">Statements were also made by a </w:t>
      </w:r>
      <w:r w:rsidR="009C5447" w:rsidRPr="00E25B01">
        <w:t>representative of the GEF</w:t>
      </w:r>
      <w:r w:rsidR="00FD56A9" w:rsidRPr="00E25B01">
        <w:t>,</w:t>
      </w:r>
      <w:r w:rsidR="009C5447" w:rsidRPr="00E25B01">
        <w:t xml:space="preserve"> </w:t>
      </w:r>
      <w:r w:rsidR="00FD56A9" w:rsidRPr="00E25B01">
        <w:t>as well as by representatives of ENGOs and</w:t>
      </w:r>
      <w:r w:rsidR="00FD56A9" w:rsidRPr="00E25B01" w:rsidDel="00FD56A9">
        <w:t xml:space="preserve"> </w:t>
      </w:r>
      <w:r w:rsidR="00A72988" w:rsidRPr="00E25B01">
        <w:t>on behalf of IPO</w:t>
      </w:r>
      <w:r w:rsidR="00FD56A9" w:rsidRPr="00E25B01">
        <w:t>s</w:t>
      </w:r>
      <w:r w:rsidR="00A72988" w:rsidRPr="00E25B01">
        <w:t xml:space="preserve">, </w:t>
      </w:r>
      <w:r w:rsidR="00FD56A9" w:rsidRPr="00E25B01">
        <w:t>women and gender, and</w:t>
      </w:r>
      <w:r w:rsidR="00A72988" w:rsidRPr="00E25B01">
        <w:t xml:space="preserve"> YOUNGO</w:t>
      </w:r>
      <w:r w:rsidR="00FD56A9" w:rsidRPr="00E25B01">
        <w:t>s.</w:t>
      </w:r>
    </w:p>
    <w:p w14:paraId="3D812368" w14:textId="77777777" w:rsidR="00FF38BE" w:rsidRPr="00E25B01" w:rsidRDefault="00794FF0" w:rsidP="00794FF0">
      <w:pPr>
        <w:pStyle w:val="SingleTxtG"/>
      </w:pPr>
      <w:r>
        <w:t>259.</w:t>
      </w:r>
      <w:r>
        <w:tab/>
      </w:r>
      <w:r w:rsidR="00FF38BE" w:rsidRPr="00E25B01">
        <w:t>The Chair thanked Parti</w:t>
      </w:r>
      <w:r w:rsidR="00705689" w:rsidRPr="00E25B01">
        <w:t>es for their support during this session and</w:t>
      </w:r>
      <w:r w:rsidR="00FF38BE" w:rsidRPr="00E25B01">
        <w:t xml:space="preserve"> closed the session.</w:t>
      </w:r>
    </w:p>
    <w:p w14:paraId="1E381996" w14:textId="77777777" w:rsidR="00A61BEC" w:rsidRPr="00C348AB" w:rsidRDefault="00A61BEC" w:rsidP="00A61BEC">
      <w:pPr>
        <w:spacing w:before="240"/>
        <w:jc w:val="center"/>
        <w:rPr>
          <w:sz w:val="24"/>
          <w:szCs w:val="24"/>
          <w:u w:val="single"/>
        </w:rPr>
      </w:pPr>
      <w:r w:rsidRPr="00C348AB">
        <w:rPr>
          <w:sz w:val="24"/>
          <w:szCs w:val="24"/>
          <w:u w:val="single"/>
        </w:rPr>
        <w:tab/>
      </w:r>
      <w:r w:rsidRPr="00C348AB">
        <w:rPr>
          <w:sz w:val="24"/>
          <w:szCs w:val="24"/>
          <w:u w:val="single"/>
        </w:rPr>
        <w:tab/>
      </w:r>
      <w:r w:rsidRPr="00C348AB">
        <w:rPr>
          <w:sz w:val="24"/>
          <w:szCs w:val="24"/>
          <w:u w:val="single"/>
        </w:rPr>
        <w:tab/>
      </w:r>
    </w:p>
    <w:sectPr w:rsidR="00A61BEC" w:rsidRPr="00C348AB" w:rsidSect="00887A81">
      <w:headerReference w:type="even" r:id="rId14"/>
      <w:headerReference w:type="default" r:id="rId15"/>
      <w:footerReference w:type="even" r:id="rId16"/>
      <w:footerReference w:type="default" r:id="rId17"/>
      <w:footerReference w:type="first" r:id="rId18"/>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2DD9" w14:textId="77777777" w:rsidR="007C0B1D" w:rsidRDefault="007C0B1D">
      <w:r>
        <w:separator/>
      </w:r>
    </w:p>
  </w:endnote>
  <w:endnote w:type="continuationSeparator" w:id="0">
    <w:p w14:paraId="261B0B16" w14:textId="77777777" w:rsidR="007C0B1D" w:rsidRDefault="007C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00000000" w:usb1="2AC71C11" w:usb2="00000012" w:usb3="00000000" w:csb0="00020005"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A001" w14:textId="77777777" w:rsidR="00794FF0" w:rsidRPr="00887A81" w:rsidRDefault="00794FF0" w:rsidP="00370D92">
    <w:pPr>
      <w:pStyle w:val="Footer"/>
      <w:tabs>
        <w:tab w:val="right" w:pos="8820"/>
      </w:tabs>
      <w:ind w:left="8818" w:hanging="8818"/>
    </w:pPr>
    <w:r w:rsidRPr="00887A81">
      <w:rPr>
        <w:b/>
        <w:sz w:val="18"/>
      </w:rPr>
      <w:fldChar w:fldCharType="begin"/>
    </w:r>
    <w:r w:rsidRPr="00FC201A">
      <w:rPr>
        <w:b/>
        <w:sz w:val="18"/>
      </w:rPr>
      <w:instrText xml:space="preserve"> </w:instrText>
    </w:r>
    <w:r>
      <w:rPr>
        <w:b/>
        <w:sz w:val="18"/>
      </w:rPr>
      <w:instrText>PAGE</w:instrText>
    </w:r>
    <w:r w:rsidRPr="00FC201A">
      <w:rPr>
        <w:b/>
        <w:sz w:val="18"/>
      </w:rPr>
      <w:instrText xml:space="preserve">  \* MERGEFORMAT </w:instrText>
    </w:r>
    <w:r w:rsidRPr="00887A81">
      <w:rPr>
        <w:b/>
        <w:sz w:val="18"/>
      </w:rPr>
      <w:fldChar w:fldCharType="separate"/>
    </w:r>
    <w:r w:rsidR="00A65E97">
      <w:rPr>
        <w:b/>
        <w:noProof/>
        <w:sz w:val="18"/>
      </w:rPr>
      <w:t>36</w:t>
    </w:r>
    <w:r w:rsidRPr="00887A81">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7161" w14:textId="77777777" w:rsidR="00794FF0" w:rsidRPr="00887A81" w:rsidRDefault="00794FF0" w:rsidP="00887A81">
    <w:pPr>
      <w:pStyle w:val="Footer"/>
      <w:tabs>
        <w:tab w:val="right" w:pos="9638"/>
      </w:tabs>
      <w:rPr>
        <w:b/>
        <w:sz w:val="18"/>
      </w:rPr>
    </w:pPr>
    <w:r>
      <w:tab/>
    </w:r>
    <w:r w:rsidRPr="00887A81">
      <w:rPr>
        <w:b/>
        <w:sz w:val="18"/>
      </w:rPr>
      <w:fldChar w:fldCharType="begin"/>
    </w:r>
    <w:r w:rsidRPr="00887A81">
      <w:rPr>
        <w:b/>
        <w:sz w:val="18"/>
      </w:rPr>
      <w:instrText xml:space="preserve"> </w:instrText>
    </w:r>
    <w:r>
      <w:rPr>
        <w:b/>
        <w:sz w:val="18"/>
      </w:rPr>
      <w:instrText>PAGE</w:instrText>
    </w:r>
    <w:r w:rsidRPr="00887A81">
      <w:rPr>
        <w:b/>
        <w:sz w:val="18"/>
      </w:rPr>
      <w:instrText xml:space="preserve">  \* MERGEFORMAT </w:instrText>
    </w:r>
    <w:r w:rsidRPr="00887A81">
      <w:rPr>
        <w:b/>
        <w:sz w:val="18"/>
      </w:rPr>
      <w:fldChar w:fldCharType="separate"/>
    </w:r>
    <w:r w:rsidR="00A65E97">
      <w:rPr>
        <w:b/>
        <w:noProof/>
        <w:sz w:val="18"/>
      </w:rPr>
      <w:t>37</w:t>
    </w:r>
    <w:r w:rsidRPr="00887A8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BF8" w14:textId="77777777" w:rsidR="00794FF0" w:rsidRPr="00887A81" w:rsidRDefault="00794FF0" w:rsidP="00887A81">
    <w:pPr>
      <w:pStyle w:val="Footer"/>
      <w:rPr>
        <w:sz w:val="20"/>
      </w:rPr>
    </w:pPr>
    <w:r>
      <w:rPr>
        <w:sz w:val="20"/>
      </w:rPr>
      <w:t>GE.14-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C039" w14:textId="77777777" w:rsidR="007C0B1D" w:rsidRDefault="007C0B1D">
      <w:r>
        <w:separator/>
      </w:r>
    </w:p>
  </w:footnote>
  <w:footnote w:type="continuationSeparator" w:id="0">
    <w:p w14:paraId="70ED410C" w14:textId="77777777" w:rsidR="007C0B1D" w:rsidRDefault="007C0B1D">
      <w:r>
        <w:continuationSeparator/>
      </w:r>
    </w:p>
  </w:footnote>
  <w:footnote w:id="1">
    <w:p w14:paraId="5CB25445" w14:textId="77777777" w:rsidR="00794FF0" w:rsidRPr="000238B6" w:rsidRDefault="00794FF0" w:rsidP="004B1397">
      <w:pPr>
        <w:pStyle w:val="FootnoteText"/>
        <w:widowControl w:val="0"/>
        <w:tabs>
          <w:tab w:val="clear" w:pos="1021"/>
          <w:tab w:val="right" w:pos="1020"/>
        </w:tabs>
        <w:ind w:left="0"/>
      </w:pPr>
      <w:r w:rsidRPr="00F848B8">
        <w:tab/>
      </w:r>
      <w:r w:rsidRPr="00F848B8">
        <w:tab/>
      </w:r>
      <w:r w:rsidRPr="004061AF">
        <w:rPr>
          <w:rStyle w:val="FootnoteReference"/>
        </w:rPr>
        <w:footnoteRef/>
      </w:r>
      <w:r w:rsidRPr="004061AF">
        <w:tab/>
        <w:t>Draft conclusions presented in document FCCC/SBI/2014/L.15.</w:t>
      </w:r>
      <w:r w:rsidRPr="000238B6">
        <w:t xml:space="preserve"> </w:t>
      </w:r>
    </w:p>
  </w:footnote>
  <w:footnote w:id="2">
    <w:p w14:paraId="4057D0B4" w14:textId="77777777" w:rsidR="00794FF0" w:rsidRPr="00324DA3" w:rsidRDefault="00794FF0" w:rsidP="00B23F83">
      <w:pPr>
        <w:pStyle w:val="FootnoteText"/>
      </w:pPr>
      <w:r w:rsidRPr="00324DA3">
        <w:tab/>
      </w:r>
      <w:r w:rsidRPr="00324DA3">
        <w:rPr>
          <w:rStyle w:val="FootnoteReference"/>
        </w:rPr>
        <w:footnoteRef/>
      </w:r>
      <w:r w:rsidRPr="00324DA3">
        <w:tab/>
        <w:t xml:space="preserve">Available at &lt;www.unfccc.int/5900&gt;. </w:t>
      </w:r>
    </w:p>
  </w:footnote>
  <w:footnote w:id="3">
    <w:p w14:paraId="03EE69FA" w14:textId="77777777" w:rsidR="00794FF0" w:rsidRPr="00324DA3" w:rsidRDefault="00794FF0" w:rsidP="00B23F83">
      <w:pPr>
        <w:pStyle w:val="FootnoteText"/>
        <w:ind w:left="0" w:firstLine="0"/>
      </w:pPr>
      <w:r w:rsidRPr="00324DA3">
        <w:tab/>
      </w:r>
      <w:r w:rsidRPr="00324DA3">
        <w:rPr>
          <w:rStyle w:val="FootnoteReference"/>
        </w:rPr>
        <w:footnoteRef/>
      </w:r>
      <w:r w:rsidRPr="00324DA3">
        <w:tab/>
        <w:t xml:space="preserve">Decision 2/CP.17, paragraph 17. </w:t>
      </w:r>
    </w:p>
  </w:footnote>
  <w:footnote w:id="4">
    <w:p w14:paraId="6C645477" w14:textId="77777777" w:rsidR="00794FF0" w:rsidRPr="00324DA3" w:rsidRDefault="00794FF0" w:rsidP="00B23F83">
      <w:pPr>
        <w:pStyle w:val="FootnoteText"/>
      </w:pPr>
      <w:r w:rsidRPr="00324DA3">
        <w:tab/>
      </w:r>
      <w:r w:rsidRPr="00324DA3">
        <w:rPr>
          <w:rStyle w:val="FootnoteReference"/>
        </w:rPr>
        <w:footnoteRef/>
      </w:r>
      <w:r w:rsidRPr="00324DA3">
        <w:tab/>
        <w:t xml:space="preserve">Decision 2/CP.17, annex I. </w:t>
      </w:r>
    </w:p>
  </w:footnote>
  <w:footnote w:id="5">
    <w:p w14:paraId="60093F5B" w14:textId="77777777" w:rsidR="00794FF0" w:rsidRPr="00324DA3" w:rsidRDefault="00794FF0" w:rsidP="00B23F83">
      <w:pPr>
        <w:pStyle w:val="FootnoteText"/>
      </w:pPr>
      <w:r w:rsidRPr="00324DA3">
        <w:tab/>
      </w:r>
      <w:r w:rsidRPr="00324DA3">
        <w:rPr>
          <w:rStyle w:val="FootnoteReference"/>
        </w:rPr>
        <w:footnoteRef/>
      </w:r>
      <w:r w:rsidRPr="00324DA3">
        <w:tab/>
        <w:t>Decision 2/CP.17, paragraph 18.</w:t>
      </w:r>
    </w:p>
  </w:footnote>
  <w:footnote w:id="6">
    <w:p w14:paraId="5DD07613" w14:textId="77777777" w:rsidR="00794FF0" w:rsidRPr="00FE4BFB" w:rsidRDefault="00794FF0" w:rsidP="00C72FB7">
      <w:pPr>
        <w:pStyle w:val="FootnoteText"/>
        <w:widowControl w:val="0"/>
        <w:tabs>
          <w:tab w:val="clear" w:pos="1021"/>
          <w:tab w:val="right" w:pos="1020"/>
        </w:tabs>
        <w:ind w:left="0"/>
      </w:pPr>
      <w:r w:rsidRPr="007550C2">
        <w:tab/>
      </w:r>
      <w:r w:rsidRPr="007550C2">
        <w:tab/>
      </w:r>
      <w:r w:rsidRPr="009D373E">
        <w:rPr>
          <w:rStyle w:val="FootnoteReference"/>
        </w:rPr>
        <w:footnoteRef/>
      </w:r>
      <w:r w:rsidRPr="009D373E">
        <w:tab/>
        <w:t>The statement is available at &lt;unfccc.int/8014&gt;.</w:t>
      </w:r>
      <w:r w:rsidRPr="00FE4BFB">
        <w:t xml:space="preserve"> </w:t>
      </w:r>
    </w:p>
  </w:footnote>
  <w:footnote w:id="7">
    <w:p w14:paraId="214EA5F3" w14:textId="77777777" w:rsidR="00794FF0" w:rsidRPr="007550C2" w:rsidRDefault="00794FF0" w:rsidP="00226371">
      <w:pPr>
        <w:pStyle w:val="FootnoteText"/>
        <w:widowControl w:val="0"/>
        <w:tabs>
          <w:tab w:val="clear" w:pos="1021"/>
          <w:tab w:val="right" w:pos="1020"/>
        </w:tabs>
        <w:ind w:left="0"/>
      </w:pPr>
      <w:r w:rsidRPr="00FE4BFB">
        <w:tab/>
      </w:r>
      <w:r w:rsidRPr="00FE4BFB">
        <w:tab/>
      </w:r>
      <w:r w:rsidRPr="00FE4BFB">
        <w:rPr>
          <w:rStyle w:val="FootnoteReference"/>
        </w:rPr>
        <w:footnoteRef/>
      </w:r>
      <w:r w:rsidRPr="00FE4BFB">
        <w:tab/>
      </w:r>
      <w:r w:rsidRPr="009828C0">
        <w:t>Draft conclusions presented in document FCCC/SBI/2014/L.8.</w:t>
      </w:r>
      <w:r w:rsidRPr="007550C2">
        <w:t xml:space="preserve"> </w:t>
      </w:r>
    </w:p>
  </w:footnote>
  <w:footnote w:id="8">
    <w:p w14:paraId="61411618" w14:textId="77777777" w:rsidR="00794FF0" w:rsidRPr="00324DA3" w:rsidRDefault="00794FF0" w:rsidP="00761C37">
      <w:pPr>
        <w:pStyle w:val="FootnoteText"/>
        <w:widowControl w:val="0"/>
        <w:tabs>
          <w:tab w:val="clear" w:pos="1021"/>
          <w:tab w:val="right" w:pos="1020"/>
        </w:tabs>
      </w:pPr>
      <w:r w:rsidRPr="000238B6">
        <w:tab/>
      </w:r>
      <w:r w:rsidRPr="00324DA3">
        <w:rPr>
          <w:rStyle w:val="FootnoteReference"/>
        </w:rPr>
        <w:footnoteRef/>
      </w:r>
      <w:r w:rsidRPr="00324DA3">
        <w:tab/>
        <w:t>FCCC/SBI/2014/INF.7.</w:t>
      </w:r>
    </w:p>
  </w:footnote>
  <w:footnote w:id="9">
    <w:p w14:paraId="18F9871D" w14:textId="77777777" w:rsidR="00794FF0" w:rsidRPr="00FE4BFB" w:rsidRDefault="00794FF0" w:rsidP="00761C37">
      <w:pPr>
        <w:pStyle w:val="FootnoteText"/>
        <w:widowControl w:val="0"/>
        <w:tabs>
          <w:tab w:val="clear" w:pos="1021"/>
          <w:tab w:val="right" w:pos="1020"/>
        </w:tabs>
      </w:pPr>
      <w:r w:rsidRPr="00FE4BFB">
        <w:tab/>
      </w:r>
      <w:r w:rsidRPr="00FE4BFB">
        <w:rPr>
          <w:rStyle w:val="FootnoteReference"/>
        </w:rPr>
        <w:footnoteRef/>
      </w:r>
      <w:r w:rsidRPr="00FE4BFB">
        <w:tab/>
        <w:t>FCCC/SBI/2013/20, paragraph 36.</w:t>
      </w:r>
    </w:p>
  </w:footnote>
  <w:footnote w:id="10">
    <w:p w14:paraId="37C128B2" w14:textId="77777777" w:rsidR="00794FF0" w:rsidRPr="009828C0" w:rsidRDefault="00794FF0" w:rsidP="00761C37">
      <w:pPr>
        <w:pStyle w:val="FootnoteText"/>
        <w:widowControl w:val="0"/>
        <w:tabs>
          <w:tab w:val="clear" w:pos="1021"/>
          <w:tab w:val="right" w:pos="1020"/>
        </w:tabs>
      </w:pPr>
      <w:r w:rsidRPr="00303799">
        <w:tab/>
      </w:r>
      <w:r w:rsidRPr="00303799">
        <w:rPr>
          <w:rStyle w:val="FootnoteReference"/>
        </w:rPr>
        <w:footnoteRef/>
      </w:r>
      <w:r w:rsidRPr="009828C0">
        <w:tab/>
        <w:t>Available at &lt;http://unfccc.int/7627.php&gt;.</w:t>
      </w:r>
    </w:p>
  </w:footnote>
  <w:footnote w:id="11">
    <w:p w14:paraId="0843013F" w14:textId="77777777" w:rsidR="00794FF0" w:rsidRPr="007550C2" w:rsidRDefault="00794FF0" w:rsidP="00382D40">
      <w:pPr>
        <w:pStyle w:val="FootnoteText"/>
        <w:widowControl w:val="0"/>
        <w:tabs>
          <w:tab w:val="clear" w:pos="1021"/>
          <w:tab w:val="right" w:pos="1020"/>
        </w:tabs>
      </w:pPr>
      <w:r w:rsidRPr="009828C0">
        <w:tab/>
      </w:r>
      <w:r w:rsidRPr="009828C0">
        <w:rPr>
          <w:rStyle w:val="FootnoteReference"/>
        </w:rPr>
        <w:footnoteRef/>
      </w:r>
      <w:r w:rsidRPr="009828C0">
        <w:tab/>
        <w:t xml:space="preserve">Draft </w:t>
      </w:r>
      <w:r w:rsidRPr="009D373E">
        <w:t>conclusions presented in document FCCC/SBI/2014/L.18, which, as stated by the Chair, does not reflect the correct title of the agenda item.</w:t>
      </w:r>
    </w:p>
  </w:footnote>
  <w:footnote w:id="12">
    <w:p w14:paraId="0D93736E" w14:textId="77777777" w:rsidR="00794FF0" w:rsidRPr="00C842A6" w:rsidRDefault="00794FF0" w:rsidP="009E56BC">
      <w:pPr>
        <w:pStyle w:val="FootnoteText"/>
        <w:widowControl w:val="0"/>
        <w:tabs>
          <w:tab w:val="clear" w:pos="1021"/>
          <w:tab w:val="right" w:pos="1020"/>
        </w:tabs>
      </w:pPr>
      <w:r w:rsidRPr="007550C2">
        <w:tab/>
      </w:r>
      <w:r w:rsidRPr="009D373E">
        <w:rPr>
          <w:rStyle w:val="FootnoteReference"/>
        </w:rPr>
        <w:footnoteRef/>
      </w:r>
      <w:r w:rsidRPr="009D373E">
        <w:tab/>
        <w:t>List contained in a note prepared by, and under the responsibility of, the co-chairs of this agenda sub-item at SBI 39. Available at &lt;http://unfccc.int/7871.php&gt; under agenda sub-item 7(a).</w:t>
      </w:r>
    </w:p>
  </w:footnote>
  <w:footnote w:id="13">
    <w:p w14:paraId="6CBFF682" w14:textId="77777777" w:rsidR="00794FF0" w:rsidRPr="009828C0" w:rsidRDefault="00794FF0" w:rsidP="00B25700">
      <w:pPr>
        <w:pStyle w:val="FootnoteText"/>
        <w:widowControl w:val="0"/>
        <w:tabs>
          <w:tab w:val="clear" w:pos="1021"/>
          <w:tab w:val="right" w:pos="1020"/>
        </w:tabs>
        <w:ind w:left="0"/>
      </w:pPr>
      <w:r w:rsidRPr="007550C2">
        <w:tab/>
      </w:r>
      <w:r w:rsidRPr="007550C2">
        <w:tab/>
      </w:r>
      <w:r w:rsidRPr="009D373E">
        <w:rPr>
          <w:rStyle w:val="FootnoteReference"/>
        </w:rPr>
        <w:footnoteRef/>
      </w:r>
      <w:r w:rsidRPr="009D373E">
        <w:tab/>
        <w:t>Draft conclusions presented in document FCCC/SBI/2014/L.11.</w:t>
      </w:r>
      <w:r w:rsidRPr="009828C0">
        <w:t xml:space="preserve"> </w:t>
      </w:r>
    </w:p>
  </w:footnote>
  <w:footnote w:id="14">
    <w:p w14:paraId="1B60D83C" w14:textId="77777777" w:rsidR="00794FF0" w:rsidRPr="009828C0" w:rsidRDefault="00794FF0" w:rsidP="00987572">
      <w:pPr>
        <w:pStyle w:val="FootnoteText"/>
        <w:widowControl w:val="0"/>
        <w:tabs>
          <w:tab w:val="clear" w:pos="1021"/>
          <w:tab w:val="right" w:pos="1020"/>
        </w:tabs>
      </w:pPr>
      <w:r w:rsidRPr="009828C0">
        <w:tab/>
      </w:r>
      <w:r w:rsidRPr="009828C0">
        <w:rPr>
          <w:rStyle w:val="FootnoteReference"/>
        </w:rPr>
        <w:footnoteRef/>
      </w:r>
      <w:r w:rsidRPr="009828C0">
        <w:tab/>
        <w:t>Annex to decision 9/CMP.1.</w:t>
      </w:r>
    </w:p>
  </w:footnote>
  <w:footnote w:id="15">
    <w:p w14:paraId="6D5424C6" w14:textId="77777777" w:rsidR="00794FF0" w:rsidRPr="00C842A6" w:rsidRDefault="00794FF0" w:rsidP="00B25700">
      <w:pPr>
        <w:pStyle w:val="FootnoteText"/>
        <w:widowControl w:val="0"/>
        <w:tabs>
          <w:tab w:val="clear" w:pos="1021"/>
          <w:tab w:val="right" w:pos="1020"/>
        </w:tabs>
        <w:ind w:left="0"/>
      </w:pPr>
      <w:r w:rsidRPr="00C842A6">
        <w:tab/>
      </w:r>
      <w:r w:rsidRPr="00C842A6">
        <w:tab/>
      </w:r>
      <w:r w:rsidRPr="00C842A6">
        <w:rPr>
          <w:rStyle w:val="FootnoteReference"/>
        </w:rPr>
        <w:footnoteRef/>
      </w:r>
      <w:r w:rsidRPr="00C842A6">
        <w:tab/>
        <w:t xml:space="preserve">Draft conclusions presented in document FCCC/SBI/2014/L.4 and Add.1. </w:t>
      </w:r>
    </w:p>
  </w:footnote>
  <w:footnote w:id="16">
    <w:p w14:paraId="5013BBDC" w14:textId="77777777" w:rsidR="00794FF0" w:rsidRPr="006C5299" w:rsidRDefault="00794FF0" w:rsidP="00B25700">
      <w:pPr>
        <w:pStyle w:val="FootnoteText"/>
        <w:widowControl w:val="0"/>
        <w:tabs>
          <w:tab w:val="clear" w:pos="1021"/>
          <w:tab w:val="right" w:pos="1020"/>
        </w:tabs>
        <w:ind w:left="0"/>
      </w:pPr>
      <w:r w:rsidRPr="006C5299">
        <w:tab/>
      </w:r>
      <w:r w:rsidRPr="006C5299">
        <w:tab/>
      </w:r>
      <w:r w:rsidRPr="009D373E">
        <w:rPr>
          <w:rStyle w:val="FootnoteReference"/>
        </w:rPr>
        <w:footnoteRef/>
      </w:r>
      <w:r w:rsidRPr="009D373E">
        <w:tab/>
        <w:t>Draft conclusions presented in document FCCC/SBI/2014/L.9.</w:t>
      </w:r>
      <w:r w:rsidRPr="006C5299">
        <w:t xml:space="preserve"> </w:t>
      </w:r>
    </w:p>
  </w:footnote>
  <w:footnote w:id="17">
    <w:p w14:paraId="201AD18C" w14:textId="77777777" w:rsidR="00794FF0" w:rsidRPr="009D373E" w:rsidRDefault="00794FF0" w:rsidP="00E1508D">
      <w:pPr>
        <w:pStyle w:val="FootnoteText"/>
        <w:widowControl w:val="0"/>
        <w:tabs>
          <w:tab w:val="clear" w:pos="1021"/>
          <w:tab w:val="right" w:pos="1020"/>
        </w:tabs>
        <w:ind w:left="0"/>
      </w:pPr>
      <w:r w:rsidRPr="006C5299">
        <w:tab/>
      </w:r>
      <w:r w:rsidRPr="006C5299">
        <w:tab/>
      </w:r>
      <w:r w:rsidRPr="006C5299">
        <w:rPr>
          <w:rStyle w:val="FootnoteReference"/>
        </w:rPr>
        <w:footnoteRef/>
      </w:r>
      <w:r w:rsidRPr="006C5299">
        <w:tab/>
        <w:t xml:space="preserve">Draft conclusions presented in </w:t>
      </w:r>
      <w:r w:rsidRPr="009D373E">
        <w:t xml:space="preserve">document FCCC/SBI/2014/L.5. </w:t>
      </w:r>
    </w:p>
  </w:footnote>
  <w:footnote w:id="18">
    <w:p w14:paraId="3FE5AD8B" w14:textId="77777777" w:rsidR="00794FF0" w:rsidRPr="006C5299" w:rsidRDefault="00794FF0" w:rsidP="0087486C">
      <w:pPr>
        <w:pStyle w:val="FootnoteText"/>
        <w:rPr>
          <w:szCs w:val="18"/>
        </w:rPr>
      </w:pPr>
      <w:r w:rsidRPr="009D373E">
        <w:rPr>
          <w:szCs w:val="18"/>
        </w:rPr>
        <w:tab/>
      </w:r>
      <w:r w:rsidRPr="009D373E">
        <w:rPr>
          <w:rStyle w:val="FootnoteReference"/>
          <w:szCs w:val="18"/>
        </w:rPr>
        <w:footnoteRef/>
      </w:r>
      <w:r w:rsidRPr="009D373E">
        <w:rPr>
          <w:szCs w:val="18"/>
        </w:rPr>
        <w:tab/>
      </w:r>
      <w:r w:rsidRPr="009D373E">
        <w:rPr>
          <w:color w:val="000000"/>
          <w:szCs w:val="18"/>
        </w:rPr>
        <w:t>Draft conclusions presented in document FCCC/SBI/2014/L.2.</w:t>
      </w:r>
    </w:p>
  </w:footnote>
  <w:footnote w:id="19">
    <w:p w14:paraId="693F847C" w14:textId="77777777" w:rsidR="00794FF0" w:rsidRPr="006C5299" w:rsidRDefault="00794FF0" w:rsidP="00184581">
      <w:pPr>
        <w:pStyle w:val="FootnoteText"/>
      </w:pPr>
      <w:r w:rsidRPr="006C5299">
        <w:tab/>
      </w:r>
      <w:r w:rsidRPr="006C5299">
        <w:rPr>
          <w:rStyle w:val="FootnoteReference"/>
        </w:rPr>
        <w:footnoteRef/>
      </w:r>
      <w:r w:rsidRPr="006C5299">
        <w:tab/>
        <w:t>FCCC/SBI/2014/INF.6.</w:t>
      </w:r>
    </w:p>
  </w:footnote>
  <w:footnote w:id="20">
    <w:p w14:paraId="44CA84D4" w14:textId="77777777" w:rsidR="00794FF0" w:rsidRPr="006C5299" w:rsidRDefault="00794FF0" w:rsidP="00184581">
      <w:pPr>
        <w:pStyle w:val="FootnoteText"/>
        <w:widowControl w:val="0"/>
        <w:tabs>
          <w:tab w:val="clear" w:pos="1021"/>
          <w:tab w:val="right" w:pos="1020"/>
        </w:tabs>
      </w:pPr>
      <w:r w:rsidRPr="006C5299">
        <w:tab/>
      </w:r>
      <w:r w:rsidRPr="006C5299">
        <w:rPr>
          <w:rStyle w:val="FootnoteReference"/>
        </w:rPr>
        <w:footnoteRef/>
      </w:r>
      <w:r w:rsidRPr="006C5299">
        <w:tab/>
        <w:t>See document FCCC/SBI/2014/INF.6, paragraphs 30–32.</w:t>
      </w:r>
    </w:p>
  </w:footnote>
  <w:footnote w:id="21">
    <w:p w14:paraId="2856958E" w14:textId="77777777" w:rsidR="00794FF0" w:rsidRPr="009D373E" w:rsidRDefault="00794FF0" w:rsidP="00C32B22">
      <w:pPr>
        <w:pStyle w:val="FootnoteText"/>
        <w:widowControl w:val="0"/>
        <w:tabs>
          <w:tab w:val="clear" w:pos="1021"/>
          <w:tab w:val="right" w:pos="1020"/>
        </w:tabs>
        <w:ind w:left="0"/>
      </w:pPr>
      <w:r w:rsidRPr="006C5299">
        <w:tab/>
      </w:r>
      <w:r w:rsidRPr="006C5299">
        <w:tab/>
      </w:r>
      <w:r w:rsidRPr="006C5299">
        <w:rPr>
          <w:rStyle w:val="FootnoteReference"/>
        </w:rPr>
        <w:footnoteRef/>
      </w:r>
      <w:r w:rsidRPr="006C5299">
        <w:tab/>
        <w:t xml:space="preserve">Draft conclusions presented in </w:t>
      </w:r>
      <w:r w:rsidRPr="009D373E">
        <w:t xml:space="preserve">document FCCC/SBI/2014/L.3. </w:t>
      </w:r>
    </w:p>
  </w:footnote>
  <w:footnote w:id="22">
    <w:p w14:paraId="1CB42894" w14:textId="77777777" w:rsidR="00794FF0" w:rsidRPr="006C5299" w:rsidRDefault="00794FF0" w:rsidP="00B74444">
      <w:pPr>
        <w:pStyle w:val="FootnoteText"/>
        <w:widowControl w:val="0"/>
        <w:tabs>
          <w:tab w:val="clear" w:pos="1021"/>
          <w:tab w:val="right" w:pos="1020"/>
        </w:tabs>
      </w:pPr>
      <w:r w:rsidRPr="009D373E">
        <w:tab/>
      </w:r>
      <w:r w:rsidRPr="009D373E">
        <w:rPr>
          <w:rStyle w:val="FootnoteReference"/>
        </w:rPr>
        <w:footnoteRef/>
      </w:r>
      <w:r w:rsidRPr="009D373E">
        <w:tab/>
        <w:t>The report is available at &lt;unfccc.int/7504&gt;.</w:t>
      </w:r>
      <w:r w:rsidRPr="006C5299">
        <w:t xml:space="preserve"> </w:t>
      </w:r>
    </w:p>
  </w:footnote>
  <w:footnote w:id="23">
    <w:p w14:paraId="46856DE3" w14:textId="77777777" w:rsidR="00794FF0" w:rsidRPr="006C5299" w:rsidRDefault="00794FF0" w:rsidP="00B74444">
      <w:pPr>
        <w:pStyle w:val="FootnoteText"/>
        <w:widowControl w:val="0"/>
        <w:tabs>
          <w:tab w:val="clear" w:pos="1021"/>
          <w:tab w:val="right" w:pos="1020"/>
        </w:tabs>
      </w:pPr>
      <w:r w:rsidRPr="006C5299">
        <w:tab/>
      </w:r>
      <w:r w:rsidRPr="006C5299">
        <w:rPr>
          <w:rStyle w:val="FootnoteReference"/>
        </w:rPr>
        <w:footnoteRef/>
      </w:r>
      <w:r w:rsidRPr="006C5299">
        <w:tab/>
        <w:t>FCCC/SBI/2014/4.</w:t>
      </w:r>
    </w:p>
  </w:footnote>
  <w:footnote w:id="24">
    <w:p w14:paraId="07D5792E" w14:textId="77777777" w:rsidR="00794FF0" w:rsidRPr="006C5299" w:rsidRDefault="00794FF0" w:rsidP="00B74444">
      <w:pPr>
        <w:pStyle w:val="FootnoteText"/>
        <w:widowControl w:val="0"/>
        <w:tabs>
          <w:tab w:val="clear" w:pos="1021"/>
          <w:tab w:val="right" w:pos="1020"/>
        </w:tabs>
      </w:pPr>
      <w:r w:rsidRPr="006C5299">
        <w:tab/>
      </w:r>
      <w:r w:rsidRPr="006C5299">
        <w:rPr>
          <w:rStyle w:val="FootnoteReference"/>
        </w:rPr>
        <w:footnoteRef/>
      </w:r>
      <w:r w:rsidRPr="006C5299">
        <w:tab/>
        <w:t>See GEF report GEF/LDCF.SCCF.16/04; available at &lt;http://www.thegef.org/gef/node/10491&gt;.</w:t>
      </w:r>
    </w:p>
  </w:footnote>
  <w:footnote w:id="25">
    <w:p w14:paraId="239699C7" w14:textId="77777777" w:rsidR="00794FF0" w:rsidRPr="008A4292" w:rsidRDefault="00794FF0" w:rsidP="00DA3B00">
      <w:pPr>
        <w:pStyle w:val="FootnoteText"/>
      </w:pPr>
      <w:r w:rsidRPr="008A4292">
        <w:tab/>
      </w:r>
      <w:r w:rsidRPr="008A4292">
        <w:rPr>
          <w:rStyle w:val="FootnoteReference"/>
        </w:rPr>
        <w:footnoteRef/>
      </w:r>
      <w:r w:rsidRPr="008A4292">
        <w:tab/>
      </w:r>
      <w:r w:rsidRPr="00327414">
        <w:t>Based on a global project under the LDCF titled “Assisting least developed countries (LDCs) with country-driven processes to advance national adaptation plans (NAPs)”. See GEF report GEF/LDCF.SCCF.16/04, annex I, available at &lt;http://www.thegef.org/gef/node/10491&gt;.</w:t>
      </w:r>
      <w:r w:rsidRPr="008A4292">
        <w:t xml:space="preserve"> More information on the </w:t>
      </w:r>
      <w:r w:rsidRPr="007550C2">
        <w:t>National Adaptation Plan Global Support Programme</w:t>
      </w:r>
      <w:r w:rsidRPr="008A4292">
        <w:t xml:space="preserve"> can be found at &lt;http://www.undp-alm.org/projects/naps-ldcs&gt;.</w:t>
      </w:r>
    </w:p>
  </w:footnote>
  <w:footnote w:id="26">
    <w:p w14:paraId="63962661" w14:textId="77777777" w:rsidR="00794FF0" w:rsidRPr="008A4292" w:rsidRDefault="00794FF0" w:rsidP="00276E66">
      <w:pPr>
        <w:pStyle w:val="FootnoteText"/>
        <w:widowControl w:val="0"/>
        <w:tabs>
          <w:tab w:val="clear" w:pos="1021"/>
          <w:tab w:val="right" w:pos="1020"/>
        </w:tabs>
      </w:pPr>
      <w:r w:rsidRPr="008A4292">
        <w:tab/>
      </w:r>
      <w:r w:rsidRPr="008A4292">
        <w:rPr>
          <w:rStyle w:val="FootnoteReference"/>
        </w:rPr>
        <w:footnoteRef/>
      </w:r>
      <w:r w:rsidRPr="008A4292">
        <w:tab/>
      </w:r>
      <w:r w:rsidRPr="00327414">
        <w:t>Based on a global project under the LDCF titled “Building capacity for LDCs to participate effectively in intergovernmental climate change processes”. See GEF report GEF/LDCF.SCCF.16/04, annex I, available at &lt; http://www.thegef.org/gef/node/10491&gt;.</w:t>
      </w:r>
    </w:p>
  </w:footnote>
  <w:footnote w:id="27">
    <w:p w14:paraId="124B5532" w14:textId="77777777" w:rsidR="00794FF0" w:rsidRPr="000238B6" w:rsidRDefault="00794FF0" w:rsidP="00B74444">
      <w:pPr>
        <w:pStyle w:val="FootnoteText"/>
        <w:widowControl w:val="0"/>
        <w:tabs>
          <w:tab w:val="clear" w:pos="1021"/>
          <w:tab w:val="left" w:pos="731"/>
          <w:tab w:val="right" w:pos="1020"/>
        </w:tabs>
      </w:pPr>
      <w:r w:rsidRPr="007550C2">
        <w:tab/>
      </w:r>
      <w:r w:rsidRPr="007550C2">
        <w:tab/>
      </w:r>
      <w:r w:rsidRPr="007550C2">
        <w:rPr>
          <w:rStyle w:val="FootnoteReference"/>
        </w:rPr>
        <w:footnoteRef/>
      </w:r>
      <w:r w:rsidRPr="000238B6">
        <w:tab/>
        <w:t>FCCC/SBI/2014/4, annex I.</w:t>
      </w:r>
    </w:p>
  </w:footnote>
  <w:footnote w:id="28">
    <w:p w14:paraId="6F101F9A" w14:textId="77777777" w:rsidR="00794FF0" w:rsidRPr="00FE4BFB" w:rsidRDefault="00794FF0" w:rsidP="00B74444">
      <w:pPr>
        <w:pStyle w:val="FootnoteText"/>
        <w:widowControl w:val="0"/>
        <w:tabs>
          <w:tab w:val="clear" w:pos="1021"/>
          <w:tab w:val="right" w:pos="1020"/>
        </w:tabs>
      </w:pPr>
      <w:r w:rsidRPr="00324DA3">
        <w:tab/>
      </w:r>
      <w:r w:rsidRPr="00324DA3">
        <w:rPr>
          <w:rStyle w:val="FootnoteReference"/>
        </w:rPr>
        <w:footnoteRef/>
      </w:r>
      <w:r w:rsidRPr="00FE4BFB">
        <w:tab/>
        <w:t>Information on the workshops is available at &lt;unfccc.int/6101&gt;.</w:t>
      </w:r>
    </w:p>
  </w:footnote>
  <w:footnote w:id="29">
    <w:p w14:paraId="589938E0" w14:textId="77777777" w:rsidR="00794FF0" w:rsidRPr="006C5299" w:rsidRDefault="00794FF0" w:rsidP="00B74444">
      <w:pPr>
        <w:pStyle w:val="FootnoteText"/>
        <w:widowControl w:val="0"/>
        <w:tabs>
          <w:tab w:val="clear" w:pos="1021"/>
          <w:tab w:val="right" w:pos="1020"/>
        </w:tabs>
      </w:pPr>
      <w:r w:rsidRPr="00FE4BFB">
        <w:tab/>
      </w:r>
      <w:r w:rsidRPr="00303799">
        <w:rPr>
          <w:rStyle w:val="FootnoteReference"/>
        </w:rPr>
        <w:footnoteRef/>
      </w:r>
      <w:r w:rsidRPr="009828C0">
        <w:tab/>
      </w:r>
      <w:r w:rsidRPr="009828C0">
        <w:rPr>
          <w:i/>
        </w:rPr>
        <w:t>National Adaptation Plans</w:t>
      </w:r>
      <w:r w:rsidRPr="009828C0">
        <w:t xml:space="preserve">. </w:t>
      </w:r>
      <w:r w:rsidRPr="00C842A6">
        <w:rPr>
          <w:i/>
        </w:rPr>
        <w:t xml:space="preserve">Technical Guidelines </w:t>
      </w:r>
      <w:r w:rsidRPr="00C741ED">
        <w:rPr>
          <w:i/>
        </w:rPr>
        <w:t>for the National Adaptation Plan Process</w:t>
      </w:r>
      <w:r w:rsidRPr="006C5299">
        <w:t>. Available at &lt;http://unfccc.int/essential_background/library/items/3599.php?such=j&amp;symbol=</w:t>
      </w:r>
      <w:r w:rsidRPr="006C5299">
        <w:br/>
        <w:t>FCCC/GEN/288%20E#beg&gt;.</w:t>
      </w:r>
    </w:p>
  </w:footnote>
  <w:footnote w:id="30">
    <w:p w14:paraId="0927D2CE" w14:textId="77777777" w:rsidR="00794FF0" w:rsidRPr="0036706B" w:rsidRDefault="00794FF0" w:rsidP="002001AB">
      <w:pPr>
        <w:pStyle w:val="FootnoteText"/>
        <w:widowControl w:val="0"/>
        <w:tabs>
          <w:tab w:val="clear" w:pos="1021"/>
          <w:tab w:val="right" w:pos="1020"/>
        </w:tabs>
      </w:pPr>
      <w:r w:rsidRPr="006C5299">
        <w:tab/>
      </w:r>
      <w:r w:rsidRPr="006C5299">
        <w:rPr>
          <w:rStyle w:val="FootnoteReference"/>
        </w:rPr>
        <w:footnoteRef/>
      </w:r>
      <w:r w:rsidRPr="00FC617B">
        <w:tab/>
      </w:r>
      <w:r w:rsidRPr="008A4292">
        <w:t xml:space="preserve">Draft conclusions </w:t>
      </w:r>
      <w:r w:rsidRPr="0036706B">
        <w:t xml:space="preserve">presented in document FCCC/SBI/2014/L.19. </w:t>
      </w:r>
    </w:p>
  </w:footnote>
  <w:footnote w:id="31">
    <w:p w14:paraId="57CECBC0" w14:textId="77777777" w:rsidR="00794FF0" w:rsidRPr="0036706B" w:rsidRDefault="00794FF0" w:rsidP="00163CE6">
      <w:pPr>
        <w:pStyle w:val="FootnoteText"/>
        <w:widowControl w:val="0"/>
        <w:tabs>
          <w:tab w:val="clear" w:pos="1021"/>
          <w:tab w:val="right" w:pos="1020"/>
        </w:tabs>
      </w:pPr>
      <w:r w:rsidRPr="0036706B">
        <w:tab/>
      </w:r>
      <w:r w:rsidRPr="0036706B">
        <w:rPr>
          <w:rStyle w:val="FootnoteReference"/>
        </w:rPr>
        <w:footnoteRef/>
      </w:r>
      <w:r w:rsidRPr="0036706B">
        <w:tab/>
        <w:t>FCCC/SBI/2013/9, FCCC/SBI/2014/MISC.1 and FCCC/SBI/2013/MISC.2 and Add.1. Further relevant submissions are available at &lt;http://unfccc.int/</w:t>
      </w:r>
      <w:r w:rsidRPr="0036706B">
        <w:rPr>
          <w:bCs/>
        </w:rPr>
        <w:t>5900</w:t>
      </w:r>
      <w:r w:rsidRPr="0036706B">
        <w:t>&gt; under SBI 40 and the heading “National adaptation plans”, &lt;http://unfccc.int/8016&gt; under the heading “Guidelines for the formulation of national adaptation plans” and &lt;http://unfccc.int/7481&gt; under the heading “National adaptation plans”.</w:t>
      </w:r>
    </w:p>
  </w:footnote>
  <w:footnote w:id="32">
    <w:p w14:paraId="336B7751" w14:textId="77777777" w:rsidR="00794FF0" w:rsidRPr="0036706B" w:rsidRDefault="00794FF0" w:rsidP="004E4D79">
      <w:pPr>
        <w:pStyle w:val="FootnoteText"/>
        <w:widowControl w:val="0"/>
        <w:tabs>
          <w:tab w:val="clear" w:pos="1021"/>
          <w:tab w:val="right" w:pos="1020"/>
        </w:tabs>
      </w:pPr>
      <w:r w:rsidRPr="0036706B">
        <w:tab/>
      </w:r>
      <w:r w:rsidRPr="0036706B">
        <w:rPr>
          <w:rStyle w:val="FootnoteReference"/>
        </w:rPr>
        <w:footnoteRef/>
      </w:r>
      <w:r w:rsidRPr="0036706B">
        <w:tab/>
        <w:t>Based on a global project under the LDCF titled “Assisting least developed countries (LDCs) with country-driven processes to advance national adaptation plans (NAPs)”. See GEF report GEF/LDCF.SCCF.16/04, annex I, available at &lt; http://www.thegef.org/gef/node/10491&gt;. More information on the National Adaptation Plan Global Support Programme can be found at &lt;http://www.undp-alm.org/projects/naps-ldcs&gt;.</w:t>
      </w:r>
    </w:p>
  </w:footnote>
  <w:footnote w:id="33">
    <w:p w14:paraId="3CCD2DDA" w14:textId="77777777" w:rsidR="00794FF0" w:rsidRPr="0096485E" w:rsidRDefault="00794FF0" w:rsidP="00E447DB">
      <w:pPr>
        <w:pStyle w:val="FootnoteText"/>
        <w:widowControl w:val="0"/>
        <w:tabs>
          <w:tab w:val="clear" w:pos="1021"/>
          <w:tab w:val="right" w:pos="1020"/>
        </w:tabs>
      </w:pPr>
      <w:r w:rsidRPr="0036706B">
        <w:tab/>
      </w:r>
      <w:r w:rsidRPr="0036706B">
        <w:rPr>
          <w:rStyle w:val="FootnoteReference"/>
        </w:rPr>
        <w:footnoteRef/>
      </w:r>
      <w:r w:rsidRPr="0036706B">
        <w:tab/>
        <w:t>Information on this project can be found at &lt;http://unfccc.int/resource/docs/2014/smsn/igo/156.pdf&gt;. Additional details can be found in GEF report GEF/LDCF.SCCF.16/04, annex II, available at &lt;http://www.thegef.org/gef/node/10491&gt;.</w:t>
      </w:r>
    </w:p>
  </w:footnote>
  <w:footnote w:id="34">
    <w:p w14:paraId="2664CC5A" w14:textId="77777777" w:rsidR="00794FF0" w:rsidRPr="000238B6" w:rsidRDefault="00794FF0" w:rsidP="00163CE6">
      <w:pPr>
        <w:pStyle w:val="FootnoteText"/>
        <w:widowControl w:val="0"/>
        <w:tabs>
          <w:tab w:val="clear" w:pos="1021"/>
          <w:tab w:val="right" w:pos="1020"/>
        </w:tabs>
      </w:pPr>
      <w:r w:rsidRPr="007550C2">
        <w:tab/>
      </w:r>
      <w:r w:rsidRPr="007550C2">
        <w:rPr>
          <w:rStyle w:val="FootnoteReference"/>
        </w:rPr>
        <w:footnoteRef/>
      </w:r>
      <w:r w:rsidRPr="000238B6">
        <w:tab/>
        <w:t>FCCC/SBI/2014/4, paragraphs 13–16.</w:t>
      </w:r>
    </w:p>
  </w:footnote>
  <w:footnote w:id="35">
    <w:p w14:paraId="04006F77" w14:textId="77777777" w:rsidR="00794FF0" w:rsidRPr="00FE4BFB" w:rsidRDefault="00794FF0" w:rsidP="00163CE6">
      <w:pPr>
        <w:pStyle w:val="FootnoteText"/>
        <w:widowControl w:val="0"/>
        <w:tabs>
          <w:tab w:val="clear" w:pos="1021"/>
          <w:tab w:val="right" w:pos="1020"/>
        </w:tabs>
      </w:pPr>
      <w:r w:rsidRPr="00324DA3">
        <w:tab/>
      </w:r>
      <w:r w:rsidRPr="00324DA3">
        <w:rPr>
          <w:rStyle w:val="FootnoteReference"/>
        </w:rPr>
        <w:footnoteRef/>
      </w:r>
      <w:r w:rsidRPr="00FE4BFB">
        <w:tab/>
        <w:t>FCCC/SBI/2014/4, annex I.</w:t>
      </w:r>
    </w:p>
  </w:footnote>
  <w:footnote w:id="36">
    <w:p w14:paraId="1FC0E8BF" w14:textId="77777777" w:rsidR="00794FF0" w:rsidRPr="009828C0" w:rsidRDefault="00794FF0" w:rsidP="00163CE6">
      <w:pPr>
        <w:pStyle w:val="FootnoteText"/>
        <w:widowControl w:val="0"/>
        <w:tabs>
          <w:tab w:val="clear" w:pos="1021"/>
          <w:tab w:val="right" w:pos="1020"/>
        </w:tabs>
      </w:pPr>
      <w:r w:rsidRPr="00FE4BFB">
        <w:tab/>
      </w:r>
      <w:r w:rsidRPr="00303799">
        <w:rPr>
          <w:rStyle w:val="FootnoteReference"/>
        </w:rPr>
        <w:footnoteRef/>
      </w:r>
      <w:r w:rsidRPr="009828C0">
        <w:tab/>
        <w:t>Decision 18/CP.19, paragraph 6.</w:t>
      </w:r>
    </w:p>
  </w:footnote>
  <w:footnote w:id="37">
    <w:p w14:paraId="46ADA9EC" w14:textId="77777777" w:rsidR="00794FF0" w:rsidRPr="00C842A6" w:rsidRDefault="00794FF0" w:rsidP="00163CE6">
      <w:pPr>
        <w:pStyle w:val="FootnoteText"/>
        <w:widowControl w:val="0"/>
        <w:tabs>
          <w:tab w:val="clear" w:pos="1021"/>
          <w:tab w:val="right" w:pos="1020"/>
        </w:tabs>
      </w:pPr>
      <w:r w:rsidRPr="009828C0">
        <w:tab/>
      </w:r>
      <w:r w:rsidRPr="009828C0">
        <w:rPr>
          <w:rStyle w:val="FootnoteReference"/>
        </w:rPr>
        <w:footnoteRef/>
      </w:r>
      <w:r w:rsidRPr="00C842A6">
        <w:tab/>
        <w:t>FCCC/SBSTA/2013/5, paragraph 13.</w:t>
      </w:r>
    </w:p>
  </w:footnote>
  <w:footnote w:id="38">
    <w:p w14:paraId="0F5CA7F7" w14:textId="77777777" w:rsidR="00794FF0" w:rsidRPr="006C5299" w:rsidRDefault="00794FF0" w:rsidP="00163CE6">
      <w:pPr>
        <w:pStyle w:val="FootnoteText"/>
        <w:widowControl w:val="0"/>
        <w:tabs>
          <w:tab w:val="clear" w:pos="1021"/>
          <w:tab w:val="right" w:pos="1020"/>
        </w:tabs>
      </w:pPr>
      <w:r w:rsidRPr="00C842A6">
        <w:tab/>
      </w:r>
      <w:r w:rsidRPr="00C741ED">
        <w:rPr>
          <w:rStyle w:val="FootnoteReference"/>
        </w:rPr>
        <w:footnoteRef/>
      </w:r>
      <w:r w:rsidRPr="006C5299">
        <w:tab/>
        <w:t>Decision 5/CP.17, paragraph 37.</w:t>
      </w:r>
    </w:p>
  </w:footnote>
  <w:footnote w:id="39">
    <w:p w14:paraId="70A4716A" w14:textId="77777777" w:rsidR="00794FF0" w:rsidRPr="0036706B" w:rsidRDefault="00794FF0" w:rsidP="00BA36B2">
      <w:pPr>
        <w:pStyle w:val="FootnoteText"/>
        <w:widowControl w:val="0"/>
        <w:tabs>
          <w:tab w:val="clear" w:pos="1021"/>
          <w:tab w:val="right" w:pos="1020"/>
        </w:tabs>
      </w:pPr>
      <w:r w:rsidRPr="006C5299">
        <w:tab/>
      </w:r>
      <w:r w:rsidRPr="00FC617B">
        <w:rPr>
          <w:rStyle w:val="FootnoteReference"/>
        </w:rPr>
        <w:footnoteRef/>
      </w:r>
      <w:r w:rsidRPr="008A4292">
        <w:tab/>
        <w:t xml:space="preserve">Draft conclusions </w:t>
      </w:r>
      <w:r w:rsidRPr="0036706B">
        <w:t xml:space="preserve">presented in document FCCC/SB/2014/L.4. </w:t>
      </w:r>
    </w:p>
  </w:footnote>
  <w:footnote w:id="40">
    <w:p w14:paraId="6F9FE2AC" w14:textId="77777777" w:rsidR="00794FF0" w:rsidRPr="0036706B" w:rsidRDefault="00794FF0" w:rsidP="00337765">
      <w:pPr>
        <w:pStyle w:val="FootnoteText"/>
        <w:widowControl w:val="0"/>
        <w:tabs>
          <w:tab w:val="clear" w:pos="1021"/>
          <w:tab w:val="right" w:pos="1020"/>
        </w:tabs>
      </w:pPr>
      <w:r w:rsidRPr="0036706B">
        <w:tab/>
      </w:r>
      <w:r w:rsidRPr="0036706B">
        <w:rPr>
          <w:rStyle w:val="FootnoteReference"/>
        </w:rPr>
        <w:footnoteRef/>
      </w:r>
      <w:r w:rsidRPr="0036706B">
        <w:tab/>
        <w:t>Decision 2/CP.19, paragraph 10.</w:t>
      </w:r>
    </w:p>
  </w:footnote>
  <w:footnote w:id="41">
    <w:p w14:paraId="63C7C15D" w14:textId="77777777" w:rsidR="00794FF0" w:rsidRPr="0096485E" w:rsidRDefault="00794FF0" w:rsidP="001E16AD">
      <w:pPr>
        <w:pStyle w:val="FootnoteText"/>
        <w:widowControl w:val="0"/>
        <w:tabs>
          <w:tab w:val="clear" w:pos="1021"/>
          <w:tab w:val="right" w:pos="1020"/>
        </w:tabs>
      </w:pPr>
      <w:r w:rsidRPr="0036706B">
        <w:tab/>
      </w:r>
      <w:r w:rsidRPr="0036706B">
        <w:rPr>
          <w:rStyle w:val="FootnoteReference"/>
        </w:rPr>
        <w:footnoteRef/>
      </w:r>
      <w:r w:rsidRPr="0036706B">
        <w:tab/>
        <w:t>Draft conclusions presented in document FCCC/SBI/2014/L.17.</w:t>
      </w:r>
      <w:r w:rsidRPr="0096485E">
        <w:t xml:space="preserve"> </w:t>
      </w:r>
    </w:p>
  </w:footnote>
  <w:footnote w:id="42">
    <w:p w14:paraId="015207BF" w14:textId="77777777" w:rsidR="00794FF0" w:rsidRPr="0096485E" w:rsidRDefault="00794FF0" w:rsidP="00B13472">
      <w:pPr>
        <w:pStyle w:val="FootnoteText"/>
      </w:pPr>
      <w:r w:rsidRPr="0096485E">
        <w:tab/>
      </w:r>
      <w:r w:rsidRPr="0096485E">
        <w:rPr>
          <w:rStyle w:val="FootnoteReference"/>
        </w:rPr>
        <w:footnoteRef/>
      </w:r>
      <w:r w:rsidRPr="0096485E">
        <w:tab/>
      </w:r>
      <w:r w:rsidRPr="0096485E">
        <w:rPr>
          <w:lang w:eastAsia="ja-JP"/>
        </w:rPr>
        <w:t>Decision 2/CMP.9, annex.</w:t>
      </w:r>
    </w:p>
  </w:footnote>
  <w:footnote w:id="43">
    <w:p w14:paraId="42FFE0A3" w14:textId="77777777" w:rsidR="00794FF0" w:rsidRPr="0096485E" w:rsidRDefault="00794FF0" w:rsidP="005A3422">
      <w:pPr>
        <w:pStyle w:val="FootnoteText"/>
        <w:widowControl w:val="0"/>
        <w:tabs>
          <w:tab w:val="clear" w:pos="1021"/>
          <w:tab w:val="right" w:pos="1020"/>
        </w:tabs>
        <w:rPr>
          <w:rFonts w:eastAsia="MS Mincho"/>
          <w:lang w:eastAsia="ja-JP"/>
        </w:rPr>
      </w:pPr>
      <w:r w:rsidRPr="0096485E">
        <w:tab/>
      </w:r>
      <w:r w:rsidRPr="0096485E">
        <w:rPr>
          <w:rStyle w:val="FootnoteReference"/>
        </w:rPr>
        <w:footnoteRef/>
      </w:r>
      <w:r w:rsidRPr="0096485E">
        <w:tab/>
        <w:t xml:space="preserve">Decision 2/CMP.9, paragraph 6. </w:t>
      </w:r>
    </w:p>
  </w:footnote>
  <w:footnote w:id="44">
    <w:p w14:paraId="6D59942C" w14:textId="77777777" w:rsidR="00794FF0" w:rsidRPr="0096485E" w:rsidRDefault="00794FF0" w:rsidP="005A3422">
      <w:pPr>
        <w:pStyle w:val="FootnoteText"/>
        <w:widowControl w:val="0"/>
        <w:tabs>
          <w:tab w:val="clear" w:pos="1021"/>
          <w:tab w:val="right" w:pos="1020"/>
        </w:tabs>
      </w:pPr>
      <w:r w:rsidRPr="0096485E">
        <w:tab/>
      </w:r>
      <w:r w:rsidRPr="0096485E">
        <w:rPr>
          <w:rStyle w:val="FootnoteReference"/>
        </w:rPr>
        <w:footnoteRef/>
      </w:r>
      <w:r w:rsidRPr="0096485E">
        <w:tab/>
        <w:t xml:space="preserve">The submissions are available at &lt;http://www4.unfccc.int/submissions/SitePages/sessions.aspx&gt;. </w:t>
      </w:r>
    </w:p>
  </w:footnote>
  <w:footnote w:id="45">
    <w:p w14:paraId="209641D0" w14:textId="77777777" w:rsidR="00794FF0" w:rsidRPr="00506FB7" w:rsidRDefault="00794FF0" w:rsidP="00BA36B2">
      <w:pPr>
        <w:pStyle w:val="FootnoteText"/>
        <w:widowControl w:val="0"/>
        <w:tabs>
          <w:tab w:val="clear" w:pos="1021"/>
          <w:tab w:val="right" w:pos="1020"/>
        </w:tabs>
      </w:pPr>
      <w:r w:rsidRPr="0096485E">
        <w:tab/>
      </w:r>
      <w:r w:rsidRPr="0036706B">
        <w:rPr>
          <w:rStyle w:val="FootnoteReference"/>
        </w:rPr>
        <w:footnoteRef/>
      </w:r>
      <w:r w:rsidRPr="0036706B">
        <w:tab/>
        <w:t>Draft conclusions presented in document FCCC/SB/2014/L.1 and Add.1.</w:t>
      </w:r>
      <w:r w:rsidRPr="00506FB7">
        <w:t xml:space="preserve"> </w:t>
      </w:r>
    </w:p>
  </w:footnote>
  <w:footnote w:id="46">
    <w:p w14:paraId="3F679CB5" w14:textId="77777777" w:rsidR="00794FF0" w:rsidRPr="00506FB7" w:rsidRDefault="00794FF0" w:rsidP="00D56E94">
      <w:pPr>
        <w:pStyle w:val="FootnoteText"/>
        <w:widowControl w:val="0"/>
        <w:tabs>
          <w:tab w:val="clear" w:pos="1021"/>
          <w:tab w:val="right" w:pos="1020"/>
        </w:tabs>
      </w:pPr>
      <w:r w:rsidRPr="00506FB7">
        <w:tab/>
      </w:r>
      <w:r w:rsidRPr="00506FB7">
        <w:rPr>
          <w:rStyle w:val="FootnoteReference"/>
        </w:rPr>
        <w:footnoteRef/>
      </w:r>
      <w:r w:rsidRPr="00506FB7">
        <w:tab/>
        <w:t>FCCC/SB/2013/1.</w:t>
      </w:r>
    </w:p>
  </w:footnote>
  <w:footnote w:id="47">
    <w:p w14:paraId="04F3A4EC" w14:textId="77777777" w:rsidR="00794FF0" w:rsidRPr="00506FB7" w:rsidRDefault="00794FF0" w:rsidP="00D56E94">
      <w:pPr>
        <w:pStyle w:val="FootnoteText"/>
        <w:widowControl w:val="0"/>
        <w:tabs>
          <w:tab w:val="clear" w:pos="1021"/>
          <w:tab w:val="right" w:pos="1020"/>
        </w:tabs>
      </w:pPr>
      <w:r w:rsidRPr="00506FB7">
        <w:tab/>
      </w:r>
      <w:r w:rsidRPr="00506FB7">
        <w:rPr>
          <w:rStyle w:val="FootnoteReference"/>
        </w:rPr>
        <w:footnoteRef/>
      </w:r>
      <w:r w:rsidRPr="00506FB7">
        <w:tab/>
        <w:t>FCCC/CP/2013/10, paragraph 75.</w:t>
      </w:r>
    </w:p>
  </w:footnote>
  <w:footnote w:id="48">
    <w:p w14:paraId="120AAB0F" w14:textId="77777777" w:rsidR="00794FF0" w:rsidRPr="00506FB7" w:rsidRDefault="00794FF0" w:rsidP="00BA36B2">
      <w:pPr>
        <w:pStyle w:val="FootnoteText"/>
        <w:widowControl w:val="0"/>
        <w:tabs>
          <w:tab w:val="clear" w:pos="1021"/>
          <w:tab w:val="right" w:pos="1020"/>
        </w:tabs>
      </w:pPr>
      <w:r w:rsidRPr="00506FB7">
        <w:tab/>
      </w:r>
      <w:r w:rsidRPr="0097390C">
        <w:rPr>
          <w:rStyle w:val="FootnoteReference"/>
        </w:rPr>
        <w:footnoteRef/>
      </w:r>
      <w:r w:rsidRPr="0097390C">
        <w:tab/>
        <w:t>Draft conclusions presented in document FCCC/SBI/2014/L.12.</w:t>
      </w:r>
      <w:r w:rsidRPr="00506FB7">
        <w:t xml:space="preserve"> </w:t>
      </w:r>
    </w:p>
  </w:footnote>
  <w:footnote w:id="49">
    <w:p w14:paraId="3E511034" w14:textId="77777777" w:rsidR="00794FF0" w:rsidRPr="00506FB7" w:rsidRDefault="00794FF0" w:rsidP="00334CFE">
      <w:pPr>
        <w:pStyle w:val="FootnoteText"/>
        <w:widowControl w:val="0"/>
        <w:tabs>
          <w:tab w:val="clear" w:pos="1021"/>
          <w:tab w:val="right" w:pos="1020"/>
        </w:tabs>
      </w:pPr>
      <w:r w:rsidRPr="00506FB7">
        <w:tab/>
      </w:r>
      <w:r w:rsidRPr="00506FB7">
        <w:rPr>
          <w:rStyle w:val="FootnoteReference"/>
        </w:rPr>
        <w:footnoteRef/>
      </w:r>
      <w:r w:rsidRPr="00506FB7">
        <w:tab/>
        <w:t>FCCC/SBI/2014/INF.3.</w:t>
      </w:r>
    </w:p>
  </w:footnote>
  <w:footnote w:id="50">
    <w:p w14:paraId="46E765BE" w14:textId="77777777" w:rsidR="00794FF0" w:rsidRPr="00506FB7" w:rsidRDefault="00794FF0" w:rsidP="00334CFE">
      <w:pPr>
        <w:pStyle w:val="FootnoteText"/>
        <w:widowControl w:val="0"/>
        <w:tabs>
          <w:tab w:val="clear" w:pos="1021"/>
          <w:tab w:val="right" w:pos="1020"/>
        </w:tabs>
      </w:pPr>
      <w:r w:rsidRPr="00506FB7">
        <w:tab/>
      </w:r>
      <w:r w:rsidRPr="00506FB7">
        <w:rPr>
          <w:rStyle w:val="FootnoteReference"/>
        </w:rPr>
        <w:footnoteRef/>
      </w:r>
      <w:r w:rsidRPr="00506FB7">
        <w:tab/>
        <w:t>FCCC/SBI/2013/20, paragraph 138.</w:t>
      </w:r>
    </w:p>
  </w:footnote>
  <w:footnote w:id="51">
    <w:p w14:paraId="36371579" w14:textId="77777777" w:rsidR="00794FF0" w:rsidRPr="00506FB7" w:rsidRDefault="00794FF0" w:rsidP="00BA36B2">
      <w:pPr>
        <w:pStyle w:val="FootnoteText"/>
        <w:widowControl w:val="0"/>
        <w:tabs>
          <w:tab w:val="clear" w:pos="1021"/>
          <w:tab w:val="right" w:pos="1020"/>
        </w:tabs>
      </w:pPr>
      <w:r w:rsidRPr="00506FB7">
        <w:tab/>
      </w:r>
      <w:r w:rsidRPr="0097390C">
        <w:rPr>
          <w:rStyle w:val="FootnoteReference"/>
        </w:rPr>
        <w:footnoteRef/>
      </w:r>
      <w:r w:rsidRPr="0097390C">
        <w:tab/>
        <w:t>Draft conclusions presented in document FCCC/SBI/2014/L.13.</w:t>
      </w:r>
      <w:r w:rsidRPr="00506FB7">
        <w:t xml:space="preserve"> </w:t>
      </w:r>
    </w:p>
  </w:footnote>
  <w:footnote w:id="52">
    <w:p w14:paraId="7A3F8890" w14:textId="77777777" w:rsidR="00794FF0" w:rsidRPr="00506FB7" w:rsidRDefault="00794FF0" w:rsidP="0076182E">
      <w:pPr>
        <w:pStyle w:val="FootnoteText"/>
      </w:pPr>
      <w:r w:rsidRPr="00506FB7">
        <w:tab/>
      </w:r>
      <w:r w:rsidRPr="00506FB7">
        <w:rPr>
          <w:rStyle w:val="FootnoteReference"/>
        </w:rPr>
        <w:footnoteRef/>
      </w:r>
      <w:r w:rsidRPr="00506FB7">
        <w:tab/>
        <w:t>&lt;http://unfccc.int/capacitybuilding/core/activities.html&gt;.</w:t>
      </w:r>
    </w:p>
  </w:footnote>
  <w:footnote w:id="53">
    <w:p w14:paraId="7266F2B2" w14:textId="77777777" w:rsidR="00794FF0" w:rsidRPr="0097390C" w:rsidRDefault="00794FF0" w:rsidP="00BA36B2">
      <w:pPr>
        <w:pStyle w:val="FootnoteText"/>
        <w:widowControl w:val="0"/>
        <w:tabs>
          <w:tab w:val="clear" w:pos="1021"/>
          <w:tab w:val="right" w:pos="1020"/>
        </w:tabs>
      </w:pPr>
      <w:r w:rsidRPr="00506FB7">
        <w:tab/>
      </w:r>
      <w:r w:rsidRPr="00506FB7">
        <w:rPr>
          <w:rStyle w:val="FootnoteReference"/>
        </w:rPr>
        <w:footnoteRef/>
      </w:r>
      <w:r w:rsidRPr="00506FB7">
        <w:tab/>
        <w:t xml:space="preserve">Draft conclusions presented in </w:t>
      </w:r>
      <w:r w:rsidRPr="0097390C">
        <w:t xml:space="preserve">document FCCC/SBI/2014/L.14. </w:t>
      </w:r>
    </w:p>
  </w:footnote>
  <w:footnote w:id="54">
    <w:p w14:paraId="72799690" w14:textId="77777777" w:rsidR="00794FF0" w:rsidRPr="00506FB7" w:rsidRDefault="00794FF0" w:rsidP="00A86C99">
      <w:pPr>
        <w:pStyle w:val="FootnoteText"/>
      </w:pPr>
      <w:r w:rsidRPr="0097390C">
        <w:tab/>
      </w:r>
      <w:r w:rsidRPr="0097390C">
        <w:rPr>
          <w:rStyle w:val="FootnoteReference"/>
        </w:rPr>
        <w:footnoteRef/>
      </w:r>
      <w:r w:rsidRPr="0097390C">
        <w:tab/>
        <w:t>&lt;http://unfccc.int/capacitybuilding/core/activities.html&gt;.</w:t>
      </w:r>
    </w:p>
  </w:footnote>
  <w:footnote w:id="55">
    <w:p w14:paraId="3D9214EA" w14:textId="77777777" w:rsidR="00794FF0" w:rsidRPr="00506FB7" w:rsidRDefault="00794FF0" w:rsidP="00A6442F">
      <w:pPr>
        <w:pStyle w:val="FootnoteText"/>
        <w:widowControl w:val="0"/>
        <w:tabs>
          <w:tab w:val="clear" w:pos="1021"/>
          <w:tab w:val="right" w:pos="1020"/>
        </w:tabs>
      </w:pPr>
      <w:r w:rsidRPr="00506FB7">
        <w:tab/>
      </w:r>
      <w:r w:rsidRPr="00506FB7">
        <w:rPr>
          <w:rStyle w:val="FootnoteReference"/>
        </w:rPr>
        <w:footnoteRef/>
      </w:r>
      <w:r w:rsidRPr="00506FB7">
        <w:tab/>
        <w:t xml:space="preserve">Draft conclusions presented in document FCCC/SBI/2014/L.22 and Add.1. </w:t>
      </w:r>
    </w:p>
  </w:footnote>
  <w:footnote w:id="56">
    <w:p w14:paraId="28391F90" w14:textId="77777777" w:rsidR="00794FF0" w:rsidRPr="00506FB7" w:rsidRDefault="00794FF0" w:rsidP="00B95B4A">
      <w:pPr>
        <w:pStyle w:val="FootnoteText"/>
      </w:pPr>
      <w:r w:rsidRPr="00506FB7">
        <w:tab/>
      </w:r>
      <w:r w:rsidRPr="00506FB7">
        <w:rPr>
          <w:rStyle w:val="FootnoteReference"/>
        </w:rPr>
        <w:footnoteRef/>
      </w:r>
      <w:r w:rsidRPr="00506FB7">
        <w:tab/>
      </w:r>
      <w:r w:rsidRPr="00506FB7">
        <w:rPr>
          <w:lang w:eastAsia="en-US"/>
        </w:rPr>
        <w:t>FCCC/TP/2013/3.</w:t>
      </w:r>
    </w:p>
  </w:footnote>
  <w:footnote w:id="57">
    <w:p w14:paraId="327CA6E3" w14:textId="77777777" w:rsidR="00794FF0" w:rsidRPr="00506FB7" w:rsidRDefault="00794FF0" w:rsidP="00B95B4A">
      <w:pPr>
        <w:pStyle w:val="FootnoteText"/>
      </w:pPr>
      <w:r w:rsidRPr="00506FB7">
        <w:tab/>
      </w:r>
      <w:r w:rsidRPr="00506FB7">
        <w:rPr>
          <w:rStyle w:val="FootnoteReference"/>
        </w:rPr>
        <w:footnoteRef/>
      </w:r>
      <w:r w:rsidRPr="00506FB7">
        <w:tab/>
        <w:t>&lt;http://www4.unfccc.int/submissions/SitePages/sessions.aspx?showOnlyCurrentCalls</w:t>
      </w:r>
      <w:r w:rsidRPr="00506FB7">
        <w:br/>
      </w:r>
      <w:r w:rsidRPr="00506FB7">
        <w:rPr>
          <w:rFonts w:eastAsia="Times New Roman"/>
          <w:szCs w:val="18"/>
          <w:lang w:eastAsia="en-US"/>
        </w:rPr>
        <w:t>=1&amp;populateData=1&amp;expectedsubmissionfrom=Parties&gt;.</w:t>
      </w:r>
    </w:p>
  </w:footnote>
  <w:footnote w:id="58">
    <w:p w14:paraId="731B288E" w14:textId="77777777" w:rsidR="00794FF0" w:rsidRPr="00506FB7" w:rsidRDefault="00794FF0" w:rsidP="009E0845">
      <w:pPr>
        <w:pStyle w:val="FootnoteText"/>
      </w:pPr>
      <w:r w:rsidRPr="00506FB7">
        <w:tab/>
      </w:r>
      <w:r w:rsidRPr="0097390C">
        <w:rPr>
          <w:rStyle w:val="FootnoteReference"/>
        </w:rPr>
        <w:footnoteRef/>
      </w:r>
      <w:r w:rsidRPr="0097390C">
        <w:tab/>
        <w:t>Draft conclusions presented in document FCCC/SBI/2014/L.20.</w:t>
      </w:r>
    </w:p>
  </w:footnote>
  <w:footnote w:id="59">
    <w:p w14:paraId="73EFC479" w14:textId="77777777" w:rsidR="00794FF0" w:rsidRPr="00506FB7" w:rsidRDefault="00794FF0" w:rsidP="009E0845">
      <w:pPr>
        <w:pStyle w:val="FootnoteText"/>
      </w:pPr>
      <w:r w:rsidRPr="00506FB7">
        <w:tab/>
      </w:r>
      <w:r w:rsidRPr="00506FB7">
        <w:rPr>
          <w:rStyle w:val="FootnoteReference"/>
        </w:rPr>
        <w:footnoteRef/>
      </w:r>
      <w:r w:rsidRPr="00506FB7">
        <w:tab/>
      </w:r>
      <w:r w:rsidRPr="00506FB7">
        <w:rPr>
          <w:szCs w:val="18"/>
        </w:rPr>
        <w:t>FCCC/SBI/2014/3.</w:t>
      </w:r>
    </w:p>
  </w:footnote>
  <w:footnote w:id="60">
    <w:p w14:paraId="50513D95" w14:textId="77777777" w:rsidR="00794FF0" w:rsidRPr="0097390C" w:rsidRDefault="00794FF0" w:rsidP="004537DC">
      <w:pPr>
        <w:pStyle w:val="FootnoteText"/>
        <w:widowControl w:val="0"/>
        <w:tabs>
          <w:tab w:val="clear" w:pos="1021"/>
          <w:tab w:val="right" w:pos="1020"/>
        </w:tabs>
      </w:pPr>
      <w:r w:rsidRPr="00506FB7">
        <w:tab/>
      </w:r>
      <w:r w:rsidRPr="00506FB7">
        <w:rPr>
          <w:rStyle w:val="FootnoteReference"/>
        </w:rPr>
        <w:footnoteRef/>
      </w:r>
      <w:r w:rsidRPr="00506FB7">
        <w:tab/>
        <w:t xml:space="preserve">Draft conclusions </w:t>
      </w:r>
      <w:r w:rsidRPr="0097390C">
        <w:t xml:space="preserve">presented in document FCCC/SB/2014/L.2. </w:t>
      </w:r>
    </w:p>
  </w:footnote>
  <w:footnote w:id="61">
    <w:p w14:paraId="57B45F0F" w14:textId="77777777" w:rsidR="00794FF0" w:rsidRPr="0097390C" w:rsidRDefault="00794FF0" w:rsidP="00F24652">
      <w:pPr>
        <w:pStyle w:val="FootnoteText"/>
        <w:widowControl w:val="0"/>
        <w:tabs>
          <w:tab w:val="clear" w:pos="1021"/>
          <w:tab w:val="right" w:pos="1020"/>
        </w:tabs>
      </w:pPr>
      <w:r w:rsidRPr="0097390C">
        <w:tab/>
      </w:r>
      <w:r w:rsidRPr="0097390C">
        <w:rPr>
          <w:rStyle w:val="FootnoteReference"/>
        </w:rPr>
        <w:footnoteRef/>
      </w:r>
      <w:r w:rsidRPr="0097390C">
        <w:tab/>
        <w:t>FCCC/SB/2014/INF.1.</w:t>
      </w:r>
    </w:p>
  </w:footnote>
  <w:footnote w:id="62">
    <w:p w14:paraId="3DAFABCD" w14:textId="77777777" w:rsidR="00794FF0" w:rsidRPr="0097390C" w:rsidRDefault="00794FF0" w:rsidP="00F24652">
      <w:pPr>
        <w:pStyle w:val="FootnoteText"/>
        <w:widowControl w:val="0"/>
        <w:tabs>
          <w:tab w:val="clear" w:pos="1021"/>
          <w:tab w:val="right" w:pos="1020"/>
        </w:tabs>
      </w:pPr>
      <w:r w:rsidRPr="0097390C">
        <w:tab/>
      </w:r>
      <w:r w:rsidRPr="0097390C">
        <w:rPr>
          <w:rStyle w:val="FootnoteReference"/>
        </w:rPr>
        <w:footnoteRef/>
      </w:r>
      <w:r w:rsidRPr="0097390C">
        <w:tab/>
        <w:t>Cooperation on response strategies.</w:t>
      </w:r>
    </w:p>
  </w:footnote>
  <w:footnote w:id="63">
    <w:p w14:paraId="175E99C9" w14:textId="77777777" w:rsidR="00794FF0" w:rsidRPr="0097390C" w:rsidRDefault="00794FF0" w:rsidP="00F24652">
      <w:pPr>
        <w:pStyle w:val="FootnoteText"/>
        <w:widowControl w:val="0"/>
        <w:tabs>
          <w:tab w:val="clear" w:pos="1021"/>
          <w:tab w:val="right" w:pos="1020"/>
        </w:tabs>
      </w:pPr>
      <w:r w:rsidRPr="0097390C">
        <w:tab/>
      </w:r>
      <w:r w:rsidRPr="0097390C">
        <w:rPr>
          <w:rStyle w:val="FootnoteReference"/>
        </w:rPr>
        <w:footnoteRef/>
      </w:r>
      <w:r w:rsidRPr="0097390C">
        <w:tab/>
        <w:t>The compilation of views on the review is contained in annex I to document FCCC/SB/2014/L.2.</w:t>
      </w:r>
    </w:p>
  </w:footnote>
  <w:footnote w:id="64">
    <w:p w14:paraId="233E8458" w14:textId="77777777" w:rsidR="00794FF0" w:rsidRPr="0097390C" w:rsidRDefault="00794FF0" w:rsidP="00F24652">
      <w:pPr>
        <w:pStyle w:val="FootnoteText"/>
        <w:widowControl w:val="0"/>
        <w:tabs>
          <w:tab w:val="clear" w:pos="1021"/>
          <w:tab w:val="right" w:pos="1020"/>
        </w:tabs>
      </w:pPr>
      <w:r w:rsidRPr="0097390C">
        <w:tab/>
      </w:r>
      <w:r w:rsidRPr="0097390C">
        <w:rPr>
          <w:rStyle w:val="FootnoteReference"/>
        </w:rPr>
        <w:footnoteRef/>
      </w:r>
      <w:r w:rsidRPr="0097390C">
        <w:tab/>
        <w:t>FCCC/SB/2013/INF.2, FCCC/SB/2013/INF.3, FCCC/SB/2013/INF.4, FCCC/SB/2013/INF.8, FCCC/SB/2013/INF.9, FCCC/SB/2013/INF.10 and FCCC/SB/2013/INF.11.</w:t>
      </w:r>
    </w:p>
  </w:footnote>
  <w:footnote w:id="65">
    <w:p w14:paraId="3067F305" w14:textId="77777777" w:rsidR="00794FF0" w:rsidRPr="00506FB7" w:rsidRDefault="00794FF0" w:rsidP="00F24652">
      <w:pPr>
        <w:pStyle w:val="FootnoteText"/>
        <w:widowControl w:val="0"/>
        <w:tabs>
          <w:tab w:val="clear" w:pos="1021"/>
          <w:tab w:val="right" w:pos="1020"/>
        </w:tabs>
      </w:pPr>
      <w:r w:rsidRPr="0097390C">
        <w:tab/>
      </w:r>
      <w:r w:rsidRPr="0097390C">
        <w:rPr>
          <w:rStyle w:val="FootnoteReference"/>
        </w:rPr>
        <w:footnoteRef/>
      </w:r>
      <w:r w:rsidRPr="0097390C">
        <w:tab/>
        <w:t>The submissions are contained in annex II to document FCCC/SB/2014/L.2.</w:t>
      </w:r>
    </w:p>
  </w:footnote>
  <w:footnote w:id="66">
    <w:p w14:paraId="1EE2D27F" w14:textId="77777777" w:rsidR="00794FF0" w:rsidRPr="00506FB7" w:rsidRDefault="00794FF0" w:rsidP="00F01A81">
      <w:pPr>
        <w:pStyle w:val="FootnoteText"/>
        <w:widowControl w:val="0"/>
        <w:tabs>
          <w:tab w:val="clear" w:pos="1021"/>
          <w:tab w:val="right" w:pos="1020"/>
        </w:tabs>
      </w:pPr>
      <w:r w:rsidRPr="00506FB7">
        <w:tab/>
      </w:r>
      <w:r w:rsidRPr="0097390C">
        <w:rPr>
          <w:rStyle w:val="FootnoteReference"/>
        </w:rPr>
        <w:footnoteRef/>
      </w:r>
      <w:r w:rsidRPr="0097390C">
        <w:tab/>
        <w:t>Draft conclusions presented in document FCCC/SB/2014/L.3.</w:t>
      </w:r>
      <w:r w:rsidRPr="00506FB7">
        <w:t xml:space="preserve"> </w:t>
      </w:r>
    </w:p>
  </w:footnote>
  <w:footnote w:id="67">
    <w:p w14:paraId="7EB21724"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szCs w:val="18"/>
        </w:rPr>
        <w:t>FCCC/SB/2014/MISC.1 and Add.1 and FCCC/SB/2014/MISC.2 and Add.1.</w:t>
      </w:r>
    </w:p>
  </w:footnote>
  <w:footnote w:id="68">
    <w:p w14:paraId="112ECB73"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szCs w:val="18"/>
        </w:rPr>
        <w:t>Available at &lt;http://unfccc.int/7803.php&gt;.</w:t>
      </w:r>
    </w:p>
  </w:footnote>
  <w:footnote w:id="69">
    <w:p w14:paraId="4B3FA88F"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szCs w:val="18"/>
        </w:rPr>
        <w:t>Further information on the second meeting of the SED is available at &lt;http://unfccc.int/7803.php&gt;.</w:t>
      </w:r>
    </w:p>
  </w:footnote>
  <w:footnote w:id="70">
    <w:p w14:paraId="64324F1D"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i/>
          <w:szCs w:val="18"/>
        </w:rPr>
        <w:t>Climate Change 2014: Impacts, Adaptation and Vulnerability</w:t>
      </w:r>
      <w:r w:rsidRPr="00506FB7">
        <w:rPr>
          <w:szCs w:val="18"/>
        </w:rPr>
        <w:t>. Available at &lt;</w:t>
      </w:r>
      <w:hyperlink r:id="rId1" w:history="1">
        <w:r w:rsidRPr="00506FB7">
          <w:t>http://www.ipcc.ch/report/ar5/wg2</w:t>
        </w:r>
      </w:hyperlink>
      <w:r w:rsidRPr="00506FB7">
        <w:t>&gt;.</w:t>
      </w:r>
    </w:p>
  </w:footnote>
  <w:footnote w:id="71">
    <w:p w14:paraId="7911EB37"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i/>
          <w:szCs w:val="18"/>
        </w:rPr>
        <w:t>Climate Change 2014: Mitigation of Climate Change</w:t>
      </w:r>
      <w:r w:rsidRPr="00506FB7">
        <w:rPr>
          <w:szCs w:val="18"/>
        </w:rPr>
        <w:t>. Available at &lt;http://www.ipcc.ch/report/ar5/wg3&gt;.</w:t>
      </w:r>
    </w:p>
  </w:footnote>
  <w:footnote w:id="72">
    <w:p w14:paraId="3F799B76"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i/>
          <w:szCs w:val="18"/>
        </w:rPr>
        <w:t>Climate Change 2013: The Physical Science Basis</w:t>
      </w:r>
      <w:r w:rsidRPr="00506FB7">
        <w:rPr>
          <w:szCs w:val="18"/>
        </w:rPr>
        <w:t>. Available at &lt;</w:t>
      </w:r>
      <w:hyperlink r:id="rId2" w:history="1">
        <w:r w:rsidRPr="00506FB7">
          <w:t>http://www.ipcc.</w:t>
        </w:r>
        <w:r w:rsidRPr="00506FB7">
          <w:rPr>
            <w:szCs w:val="18"/>
          </w:rPr>
          <w:t>ch</w:t>
        </w:r>
        <w:r w:rsidRPr="00506FB7">
          <w:t>/report/ar5/wg1</w:t>
        </w:r>
      </w:hyperlink>
      <w:r w:rsidRPr="00506FB7">
        <w:rPr>
          <w:szCs w:val="18"/>
        </w:rPr>
        <w:t>&gt;.</w:t>
      </w:r>
    </w:p>
  </w:footnote>
  <w:footnote w:id="73">
    <w:p w14:paraId="374DC8B9" w14:textId="77777777" w:rsidR="00794FF0" w:rsidRPr="00506FB7" w:rsidRDefault="00794FF0" w:rsidP="00F90AC9">
      <w:pPr>
        <w:pStyle w:val="FootnoteText"/>
        <w:widowControl w:val="0"/>
        <w:tabs>
          <w:tab w:val="clear" w:pos="1021"/>
          <w:tab w:val="right" w:pos="1020"/>
        </w:tabs>
      </w:pPr>
      <w:r w:rsidRPr="00506FB7">
        <w:tab/>
      </w:r>
      <w:r w:rsidRPr="00506FB7">
        <w:rPr>
          <w:rStyle w:val="FootnoteReference"/>
        </w:rPr>
        <w:footnoteRef/>
      </w:r>
      <w:r w:rsidRPr="00506FB7">
        <w:tab/>
      </w:r>
      <w:r w:rsidRPr="00506FB7">
        <w:rPr>
          <w:szCs w:val="18"/>
        </w:rPr>
        <w:t>Pending the decision of the ADP to hold such a meeting.</w:t>
      </w:r>
    </w:p>
  </w:footnote>
  <w:footnote w:id="74">
    <w:p w14:paraId="3E1A264B" w14:textId="77777777" w:rsidR="00794FF0" w:rsidRPr="0097390C" w:rsidRDefault="00794FF0" w:rsidP="00BD0036">
      <w:pPr>
        <w:pStyle w:val="FootnoteText"/>
        <w:widowControl w:val="0"/>
        <w:tabs>
          <w:tab w:val="clear" w:pos="1021"/>
          <w:tab w:val="right" w:pos="1020"/>
        </w:tabs>
      </w:pPr>
      <w:r w:rsidRPr="00506FB7">
        <w:tab/>
      </w:r>
      <w:r w:rsidRPr="00506FB7">
        <w:rPr>
          <w:rStyle w:val="FootnoteReference"/>
        </w:rPr>
        <w:footnoteRef/>
      </w:r>
      <w:r w:rsidRPr="00506FB7">
        <w:tab/>
        <w:t xml:space="preserve">Draft conclusions presented in </w:t>
      </w:r>
      <w:r w:rsidRPr="0097390C">
        <w:t xml:space="preserve">document FCCC/SBI/2014/L.21. </w:t>
      </w:r>
    </w:p>
  </w:footnote>
  <w:footnote w:id="75">
    <w:p w14:paraId="0C3BD0DC" w14:textId="77777777" w:rsidR="00794FF0" w:rsidRPr="0097390C" w:rsidRDefault="00794FF0" w:rsidP="00496633">
      <w:pPr>
        <w:pStyle w:val="FootnoteText"/>
        <w:widowControl w:val="0"/>
        <w:tabs>
          <w:tab w:val="clear" w:pos="1021"/>
          <w:tab w:val="right" w:pos="1020"/>
        </w:tabs>
      </w:pPr>
      <w:r w:rsidRPr="0097390C">
        <w:tab/>
      </w:r>
      <w:r w:rsidRPr="0097390C">
        <w:rPr>
          <w:rStyle w:val="FootnoteReference"/>
        </w:rPr>
        <w:footnoteRef/>
      </w:r>
      <w:r w:rsidRPr="0097390C">
        <w:tab/>
        <w:t>As per the modalities and procedures for the international assessment and review process adopted at COP 17 and contained in annex II to decision 2/CP.17.</w:t>
      </w:r>
    </w:p>
  </w:footnote>
  <w:footnote w:id="76">
    <w:p w14:paraId="6DC83194" w14:textId="77777777" w:rsidR="00794FF0" w:rsidRPr="00506FB7" w:rsidRDefault="00794FF0" w:rsidP="0023666D">
      <w:pPr>
        <w:pStyle w:val="FootnoteText"/>
        <w:widowControl w:val="0"/>
        <w:tabs>
          <w:tab w:val="clear" w:pos="1021"/>
          <w:tab w:val="right" w:pos="1020"/>
        </w:tabs>
      </w:pPr>
      <w:r w:rsidRPr="0097390C">
        <w:tab/>
      </w:r>
      <w:r w:rsidRPr="0097390C">
        <w:rPr>
          <w:rStyle w:val="FootnoteReference"/>
        </w:rPr>
        <w:footnoteRef/>
      </w:r>
      <w:r w:rsidRPr="0097390C">
        <w:tab/>
        <w:t>&lt;www.unfccc.int/8014&gt;.</w:t>
      </w:r>
      <w:r w:rsidRPr="00506FB7">
        <w:t xml:space="preserve"> </w:t>
      </w:r>
    </w:p>
  </w:footnote>
  <w:footnote w:id="77">
    <w:p w14:paraId="3422FAAB" w14:textId="77777777" w:rsidR="00794FF0" w:rsidRPr="00506FB7" w:rsidRDefault="00794FF0" w:rsidP="001F769B">
      <w:pPr>
        <w:pStyle w:val="FootnoteText"/>
      </w:pPr>
      <w:r w:rsidRPr="00506FB7">
        <w:tab/>
      </w:r>
      <w:r w:rsidRPr="00506FB7">
        <w:rPr>
          <w:rStyle w:val="FootnoteReference"/>
        </w:rPr>
        <w:footnoteRef/>
      </w:r>
      <w:r w:rsidRPr="00506FB7">
        <w:tab/>
        <w:t>Decision 28/CP.19, paragraph 5.</w:t>
      </w:r>
    </w:p>
  </w:footnote>
  <w:footnote w:id="78">
    <w:p w14:paraId="3CF74E5C" w14:textId="77777777" w:rsidR="00794FF0" w:rsidRPr="00506FB7" w:rsidRDefault="00794FF0" w:rsidP="001F769B">
      <w:pPr>
        <w:pStyle w:val="FootnoteText"/>
      </w:pPr>
      <w:r w:rsidRPr="00506FB7">
        <w:tab/>
      </w:r>
      <w:r w:rsidRPr="00506FB7">
        <w:rPr>
          <w:rStyle w:val="FootnoteReference"/>
        </w:rPr>
        <w:footnoteRef/>
      </w:r>
      <w:r w:rsidRPr="00506FB7">
        <w:tab/>
        <w:t xml:space="preserve">FCCC/SBI/2008/8, paragraph 136, FCCC/SBI/2009/8, paragraph 115, and FCCC/SBI/2010/10, paragraph 159. </w:t>
      </w:r>
    </w:p>
  </w:footnote>
  <w:footnote w:id="79">
    <w:p w14:paraId="7685E9E6" w14:textId="77777777" w:rsidR="00794FF0" w:rsidRPr="00C44077" w:rsidRDefault="00794FF0" w:rsidP="001F769B">
      <w:pPr>
        <w:pStyle w:val="FootnoteText"/>
      </w:pPr>
      <w:r w:rsidRPr="00097135">
        <w:tab/>
      </w:r>
      <w:r w:rsidRPr="00C44077">
        <w:rPr>
          <w:rStyle w:val="FootnoteReference"/>
        </w:rPr>
        <w:footnoteRef/>
      </w:r>
      <w:r w:rsidRPr="00C44077">
        <w:tab/>
        <w:t xml:space="preserve">These dates do not prejudge future decisions on the arrangements for intergovernmental meetings. </w:t>
      </w:r>
    </w:p>
  </w:footnote>
  <w:footnote w:id="80">
    <w:p w14:paraId="0A6B0B87" w14:textId="77777777" w:rsidR="00794FF0" w:rsidRPr="00AE549A" w:rsidRDefault="00794FF0" w:rsidP="001F769B">
      <w:pPr>
        <w:pStyle w:val="FootnoteText"/>
      </w:pPr>
      <w:r w:rsidRPr="00D32526">
        <w:tab/>
      </w:r>
      <w:r w:rsidRPr="00CC2764">
        <w:rPr>
          <w:rStyle w:val="FootnoteReference"/>
        </w:rPr>
        <w:footnoteRef/>
      </w:r>
      <w:r w:rsidRPr="00AE549A">
        <w:tab/>
        <w:t xml:space="preserve">These dates were agreed in decision 28/CP.19, paragraph 3. </w:t>
      </w:r>
    </w:p>
  </w:footnote>
  <w:footnote w:id="81">
    <w:p w14:paraId="47A5EDF8" w14:textId="77777777" w:rsidR="00794FF0" w:rsidRPr="00E25B01" w:rsidRDefault="00794FF0" w:rsidP="001F769B">
      <w:pPr>
        <w:pStyle w:val="FootnoteText"/>
      </w:pPr>
      <w:r w:rsidRPr="00E25B01">
        <w:tab/>
      </w:r>
      <w:r w:rsidRPr="00E25B01">
        <w:rPr>
          <w:rStyle w:val="FootnoteReference"/>
        </w:rPr>
        <w:footnoteRef/>
      </w:r>
      <w:r w:rsidRPr="00E25B01">
        <w:tab/>
        <w:t xml:space="preserve">FCCC/SBI/2008/8, paragraph 136, FCCC/SBI/2009/8, paragraph 115, and FCCC/SBI/2010/10, paragraph 159. </w:t>
      </w:r>
    </w:p>
  </w:footnote>
  <w:footnote w:id="82">
    <w:p w14:paraId="43A71836" w14:textId="77777777" w:rsidR="00794FF0" w:rsidRPr="00E25B01" w:rsidRDefault="00794FF0" w:rsidP="001F769B">
      <w:pPr>
        <w:pStyle w:val="FootnoteText"/>
      </w:pPr>
      <w:r w:rsidRPr="00E25B01">
        <w:tab/>
      </w:r>
      <w:r w:rsidRPr="00E25B01">
        <w:rPr>
          <w:rStyle w:val="FootnoteReference"/>
        </w:rPr>
        <w:footnoteRef/>
      </w:r>
      <w:r w:rsidRPr="00E25B01">
        <w:tab/>
        <w:t xml:space="preserve">These dates do not prejudge future decisions on the arrangements for intergovernmental meetings. </w:t>
      </w:r>
    </w:p>
  </w:footnote>
  <w:footnote w:id="83">
    <w:p w14:paraId="7C58B6A4" w14:textId="77777777" w:rsidR="00794FF0" w:rsidRPr="00C44077" w:rsidRDefault="00794FF0" w:rsidP="00C63C09">
      <w:pPr>
        <w:pStyle w:val="FootnoteText"/>
      </w:pPr>
      <w:r w:rsidRPr="00C44077">
        <w:tab/>
      </w:r>
      <w:r w:rsidRPr="00C44077">
        <w:rPr>
          <w:rStyle w:val="FootnoteReference"/>
        </w:rPr>
        <w:footnoteRef/>
      </w:r>
      <w:r w:rsidRPr="00C44077">
        <w:tab/>
        <w:t>FCCC/CP/1996/2.</w:t>
      </w:r>
    </w:p>
  </w:footnote>
  <w:footnote w:id="84">
    <w:p w14:paraId="7263A869" w14:textId="77777777" w:rsidR="00794FF0" w:rsidRPr="00C44077" w:rsidRDefault="00794FF0" w:rsidP="00C63C09">
      <w:pPr>
        <w:pStyle w:val="FootnoteText"/>
        <w:tabs>
          <w:tab w:val="left" w:pos="5103"/>
        </w:tabs>
      </w:pPr>
      <w:r w:rsidRPr="00C44077">
        <w:tab/>
      </w:r>
      <w:r w:rsidRPr="00C44077">
        <w:rPr>
          <w:rStyle w:val="FootnoteReference"/>
        </w:rPr>
        <w:footnoteRef/>
      </w:r>
      <w:r w:rsidRPr="00C44077">
        <w:tab/>
        <w:t>FCCC/SBI/2009/8, paragraph 115, and FCCC/SBI/2010/10, paragraph 165.</w:t>
      </w:r>
    </w:p>
  </w:footnote>
  <w:footnote w:id="85">
    <w:p w14:paraId="7440C7A4" w14:textId="77777777" w:rsidR="00794FF0" w:rsidRPr="0097390C" w:rsidRDefault="00794FF0" w:rsidP="00C63C09">
      <w:pPr>
        <w:pStyle w:val="FootnoteText"/>
      </w:pPr>
      <w:r w:rsidRPr="00C44077">
        <w:tab/>
      </w:r>
      <w:r w:rsidRPr="00C44077">
        <w:rPr>
          <w:rStyle w:val="FootnoteReference"/>
        </w:rPr>
        <w:footnoteRef/>
      </w:r>
      <w:r w:rsidRPr="00C44077">
        <w:tab/>
        <w:t xml:space="preserve">As </w:t>
      </w:r>
      <w:r w:rsidRPr="0097390C">
        <w:t>footnote 8</w:t>
      </w:r>
      <w:r>
        <w:t>4</w:t>
      </w:r>
      <w:r w:rsidRPr="0097390C">
        <w:t xml:space="preserve"> above.</w:t>
      </w:r>
    </w:p>
  </w:footnote>
  <w:footnote w:id="86">
    <w:p w14:paraId="7437D663" w14:textId="77777777" w:rsidR="00794FF0" w:rsidRPr="00303799" w:rsidRDefault="00794FF0" w:rsidP="00C63C09">
      <w:pPr>
        <w:pStyle w:val="FootnoteText"/>
      </w:pPr>
      <w:r w:rsidRPr="0097390C">
        <w:tab/>
      </w:r>
      <w:r w:rsidRPr="0097390C">
        <w:rPr>
          <w:rStyle w:val="FootnoteReference"/>
        </w:rPr>
        <w:footnoteRef/>
      </w:r>
      <w:r w:rsidRPr="0097390C">
        <w:tab/>
        <w:t>As footnote 8</w:t>
      </w:r>
      <w:r>
        <w:t>4</w:t>
      </w:r>
      <w:r w:rsidRPr="0097390C">
        <w:t xml:space="preserve"> above.</w:t>
      </w:r>
    </w:p>
  </w:footnote>
  <w:footnote w:id="87">
    <w:p w14:paraId="1D287EE4" w14:textId="77777777" w:rsidR="00794FF0" w:rsidRPr="00C741ED" w:rsidRDefault="00794FF0" w:rsidP="001F769B">
      <w:pPr>
        <w:pStyle w:val="FootnoteText"/>
      </w:pPr>
      <w:r w:rsidRPr="009828C0">
        <w:tab/>
      </w:r>
      <w:r w:rsidRPr="009828C0">
        <w:rPr>
          <w:rStyle w:val="FootnoteReference"/>
        </w:rPr>
        <w:footnoteRef/>
      </w:r>
      <w:r w:rsidRPr="009828C0">
        <w:rPr>
          <w:rStyle w:val="FootnoteReference"/>
        </w:rPr>
        <w:tab/>
      </w:r>
      <w:r w:rsidRPr="00C842A6">
        <w:t>FCCC/SBI/2013/4, paragraphs 29−35, and FCCC/SBI/2014/6, paragra</w:t>
      </w:r>
      <w:r w:rsidRPr="00C741ED">
        <w:t>phs 29−33.</w:t>
      </w:r>
    </w:p>
  </w:footnote>
  <w:footnote w:id="88">
    <w:p w14:paraId="3598AC19" w14:textId="77777777" w:rsidR="00794FF0" w:rsidRPr="00FC617B" w:rsidRDefault="00794FF0" w:rsidP="001F769B">
      <w:pPr>
        <w:pStyle w:val="FootnoteText"/>
      </w:pPr>
      <w:r w:rsidRPr="006C5299">
        <w:tab/>
      </w:r>
      <w:r w:rsidRPr="006C5299">
        <w:rPr>
          <w:rStyle w:val="FootnoteReference"/>
        </w:rPr>
        <w:footnoteRef/>
      </w:r>
      <w:r w:rsidRPr="00FC617B">
        <w:tab/>
        <w:t>FCCC/SBI/2011/7, paragraph 171.</w:t>
      </w:r>
    </w:p>
  </w:footnote>
  <w:footnote w:id="89">
    <w:p w14:paraId="3D0F088F" w14:textId="77777777" w:rsidR="00794FF0" w:rsidRPr="0096485E" w:rsidRDefault="00794FF0" w:rsidP="001F769B">
      <w:pPr>
        <w:pStyle w:val="FootnoteText"/>
      </w:pPr>
      <w:r w:rsidRPr="008A4292">
        <w:tab/>
      </w:r>
      <w:r w:rsidRPr="008A4292">
        <w:rPr>
          <w:rStyle w:val="FootnoteReference"/>
        </w:rPr>
        <w:footnoteRef/>
      </w:r>
      <w:r w:rsidRPr="0096485E">
        <w:tab/>
        <w:t>FCCC/SBI/2011/7, paragraphs 175−178.</w:t>
      </w:r>
    </w:p>
  </w:footnote>
  <w:footnote w:id="90">
    <w:p w14:paraId="04C828C0" w14:textId="77777777" w:rsidR="00794FF0" w:rsidRPr="00C44077" w:rsidRDefault="00794FF0" w:rsidP="00273C11">
      <w:pPr>
        <w:pStyle w:val="FootnoteText"/>
        <w:widowControl w:val="0"/>
        <w:tabs>
          <w:tab w:val="clear" w:pos="1021"/>
          <w:tab w:val="right" w:pos="1020"/>
        </w:tabs>
      </w:pPr>
      <w:r w:rsidRPr="0096485E">
        <w:tab/>
      </w:r>
      <w:r w:rsidRPr="00506FB7">
        <w:rPr>
          <w:rStyle w:val="FootnoteReference"/>
        </w:rPr>
        <w:footnoteRef/>
      </w:r>
      <w:r w:rsidRPr="00506FB7">
        <w:tab/>
        <w:t xml:space="preserve">Draft conclusions </w:t>
      </w:r>
      <w:r w:rsidRPr="0097390C">
        <w:t>presented in document FCCC/SBI/2014/L.16 and Add.1.</w:t>
      </w:r>
      <w:r w:rsidRPr="00C44077">
        <w:t xml:space="preserve"> </w:t>
      </w:r>
    </w:p>
  </w:footnote>
  <w:footnote w:id="91">
    <w:p w14:paraId="0DCFF637" w14:textId="77777777" w:rsidR="00794FF0" w:rsidRPr="00324DA3" w:rsidRDefault="00794FF0" w:rsidP="00130D96">
      <w:pPr>
        <w:pStyle w:val="FootnoteText"/>
      </w:pPr>
      <w:r w:rsidRPr="00CC2764">
        <w:tab/>
      </w:r>
      <w:r w:rsidRPr="00CC2764">
        <w:rPr>
          <w:rStyle w:val="FootnoteReference"/>
        </w:rPr>
        <w:footnoteRef/>
      </w:r>
      <w:r w:rsidRPr="00CC2764">
        <w:rPr>
          <w:rStyle w:val="FootnoteReference"/>
        </w:rPr>
        <w:t xml:space="preserve"> </w:t>
      </w:r>
      <w:r w:rsidRPr="00CC2764">
        <w:tab/>
      </w:r>
      <w:r w:rsidRPr="007550C2">
        <w:t>Draft conclusions presented in document FCCC/SBI/2014/L.10</w:t>
      </w:r>
      <w:r w:rsidRPr="000238B6">
        <w:t>.</w:t>
      </w:r>
    </w:p>
  </w:footnote>
  <w:footnote w:id="92">
    <w:p w14:paraId="7E2552C0" w14:textId="77777777" w:rsidR="00794FF0" w:rsidRPr="00C842A6" w:rsidRDefault="00794FF0" w:rsidP="00AF5B9A">
      <w:pPr>
        <w:pStyle w:val="FootnoteText"/>
      </w:pPr>
      <w:r w:rsidRPr="00324DA3">
        <w:tab/>
      </w:r>
      <w:r w:rsidRPr="008B4BC9">
        <w:rPr>
          <w:rStyle w:val="FootnoteReference"/>
        </w:rPr>
        <w:footnoteRef/>
      </w:r>
      <w:r w:rsidRPr="008B4BC9">
        <w:tab/>
        <w:t>Draft conclusions presented in document FCCC/SBI/2014/L.6.</w:t>
      </w:r>
    </w:p>
  </w:footnote>
  <w:footnote w:id="93">
    <w:p w14:paraId="78E4877B" w14:textId="77777777" w:rsidR="00794FF0" w:rsidRPr="00FC617B" w:rsidRDefault="00794FF0">
      <w:pPr>
        <w:pStyle w:val="FootnoteText"/>
      </w:pPr>
      <w:r w:rsidRPr="00C741ED">
        <w:tab/>
      </w:r>
      <w:r w:rsidRPr="006C5299">
        <w:rPr>
          <w:rStyle w:val="FootnoteReference"/>
        </w:rPr>
        <w:footnoteRef/>
      </w:r>
      <w:r w:rsidRPr="006C5299">
        <w:tab/>
      </w:r>
      <w:r w:rsidRPr="00FC617B">
        <w:t>FCCC/SBI/2012/15/Add.2, page 45.</w:t>
      </w:r>
    </w:p>
  </w:footnote>
  <w:footnote w:id="94">
    <w:p w14:paraId="722E8413" w14:textId="77777777" w:rsidR="00794FF0" w:rsidRPr="008B4BC9" w:rsidRDefault="00794FF0" w:rsidP="00AF5B9A">
      <w:pPr>
        <w:pStyle w:val="FootnoteText"/>
      </w:pPr>
      <w:r w:rsidRPr="008A4292">
        <w:tab/>
      </w:r>
      <w:r w:rsidRPr="0096485E">
        <w:rPr>
          <w:rStyle w:val="FootnoteReference"/>
        </w:rPr>
        <w:footnoteRef/>
      </w:r>
      <w:r w:rsidRPr="00506FB7">
        <w:tab/>
      </w:r>
      <w:r w:rsidRPr="008B4BC9">
        <w:t>Draft conclusions presented in document FCCC/SBI/2014/L.7.</w:t>
      </w:r>
    </w:p>
  </w:footnote>
  <w:footnote w:id="95">
    <w:p w14:paraId="7D8DB99F" w14:textId="77777777" w:rsidR="00794FF0" w:rsidRPr="008B4BC9" w:rsidRDefault="00794FF0">
      <w:pPr>
        <w:pStyle w:val="FootnoteText"/>
      </w:pPr>
      <w:r w:rsidRPr="008B4BC9">
        <w:tab/>
      </w:r>
      <w:r w:rsidRPr="008B4BC9">
        <w:rPr>
          <w:rStyle w:val="FootnoteReference"/>
        </w:rPr>
        <w:footnoteRef/>
      </w:r>
      <w:r w:rsidRPr="008B4BC9">
        <w:t xml:space="preserve"> </w:t>
      </w:r>
      <w:r w:rsidRPr="008B4BC9">
        <w:tab/>
        <w:t>FCCC/SBI/2012/15/Add.2, page 45.</w:t>
      </w:r>
    </w:p>
  </w:footnote>
  <w:footnote w:id="96">
    <w:p w14:paraId="4116F82E" w14:textId="77777777" w:rsidR="00794FF0" w:rsidRPr="008B4BC9" w:rsidRDefault="00794FF0" w:rsidP="0015792E">
      <w:pPr>
        <w:pStyle w:val="FootnoteText"/>
      </w:pPr>
      <w:r w:rsidRPr="008B4BC9">
        <w:tab/>
      </w:r>
      <w:r w:rsidRPr="008B4BC9">
        <w:rPr>
          <w:rStyle w:val="FootnoteReference"/>
        </w:rPr>
        <w:footnoteRef/>
      </w:r>
      <w:r w:rsidRPr="008B4BC9">
        <w:t xml:space="preserve"> </w:t>
      </w:r>
      <w:r w:rsidRPr="008B4BC9">
        <w:tab/>
        <w:t>FCCC/SBI/2014/L.1.</w:t>
      </w:r>
    </w:p>
  </w:footnote>
  <w:footnote w:id="97">
    <w:p w14:paraId="293BDA73" w14:textId="77777777" w:rsidR="00794FF0" w:rsidRPr="00AE549A" w:rsidRDefault="00794FF0" w:rsidP="00FF3132">
      <w:pPr>
        <w:pStyle w:val="FootnoteText"/>
      </w:pPr>
      <w:r w:rsidRPr="008B4BC9">
        <w:tab/>
      </w:r>
      <w:r w:rsidRPr="008B4BC9">
        <w:rPr>
          <w:rStyle w:val="FootnoteReference"/>
        </w:rPr>
        <w:footnoteRef/>
      </w:r>
      <w:r w:rsidRPr="008B4BC9">
        <w:t xml:space="preserve"> </w:t>
      </w:r>
      <w:r w:rsidRPr="008B4BC9">
        <w:tab/>
        <w:t>While decision 16/CP.9 refers to “decisions”, it</w:t>
      </w:r>
      <w:r w:rsidRPr="00AE549A">
        <w:t xml:space="preserve"> also has implications for conclusions of the subsidiary bodies. </w:t>
      </w:r>
    </w:p>
  </w:footnote>
  <w:footnote w:id="98">
    <w:p w14:paraId="78382A2B" w14:textId="77777777" w:rsidR="006D33BF" w:rsidRPr="008B4BC9" w:rsidRDefault="006D33BF" w:rsidP="006D33BF">
      <w:pPr>
        <w:pStyle w:val="FootnoteText"/>
      </w:pPr>
      <w:r w:rsidRPr="008B4BC9">
        <w:tab/>
      </w:r>
      <w:r w:rsidRPr="008B4BC9">
        <w:rPr>
          <w:rStyle w:val="FootnoteReference"/>
        </w:rPr>
        <w:footnoteRef/>
      </w:r>
      <w:r w:rsidRPr="008B4BC9">
        <w:t xml:space="preserve"> </w:t>
      </w:r>
      <w:r w:rsidRPr="008B4BC9">
        <w:tab/>
        <w:t xml:space="preserve">See paragraph 32 above. </w:t>
      </w:r>
    </w:p>
  </w:footnote>
  <w:footnote w:id="99">
    <w:p w14:paraId="1DB69CE6" w14:textId="77777777" w:rsidR="00C52443" w:rsidRPr="008B4BC9" w:rsidRDefault="00C52443" w:rsidP="00C52443">
      <w:pPr>
        <w:pStyle w:val="FootnoteText"/>
      </w:pPr>
      <w:r w:rsidRPr="008B4BC9">
        <w:tab/>
      </w:r>
      <w:r w:rsidRPr="008B4BC9">
        <w:rPr>
          <w:rStyle w:val="FootnoteReference"/>
        </w:rPr>
        <w:footnoteRef/>
      </w:r>
      <w:r w:rsidRPr="008B4BC9">
        <w:t xml:space="preserve"> </w:t>
      </w:r>
      <w:r w:rsidRPr="008B4BC9">
        <w:tab/>
        <w:t xml:space="preserve">See paragraph 106 above. </w:t>
      </w:r>
    </w:p>
  </w:footnote>
  <w:footnote w:id="100">
    <w:p w14:paraId="01ADDEFA" w14:textId="77777777" w:rsidR="006D43FA" w:rsidRPr="008B4BC9" w:rsidRDefault="006D43FA" w:rsidP="006D43FA">
      <w:pPr>
        <w:pStyle w:val="FootnoteText"/>
      </w:pPr>
      <w:r w:rsidRPr="008B4BC9">
        <w:tab/>
      </w:r>
      <w:r w:rsidRPr="008B4BC9">
        <w:rPr>
          <w:rStyle w:val="FootnoteReference"/>
        </w:rPr>
        <w:footnoteRef/>
      </w:r>
      <w:r w:rsidRPr="008B4BC9">
        <w:tab/>
        <w:t xml:space="preserve">See paragraph 194 above. </w:t>
      </w:r>
    </w:p>
  </w:footnote>
  <w:footnote w:id="101">
    <w:p w14:paraId="064FD1E0" w14:textId="77777777" w:rsidR="006D43FA" w:rsidRPr="00AE549A" w:rsidRDefault="006D43FA" w:rsidP="006D43FA">
      <w:pPr>
        <w:pStyle w:val="FootnoteText"/>
      </w:pPr>
      <w:r w:rsidRPr="008B4BC9">
        <w:tab/>
      </w:r>
      <w:r w:rsidRPr="008B4BC9">
        <w:rPr>
          <w:rStyle w:val="FootnoteReference"/>
        </w:rPr>
        <w:footnoteRef/>
      </w:r>
      <w:r w:rsidRPr="008B4BC9">
        <w:tab/>
        <w:t>See paragraph 224 above.</w:t>
      </w:r>
      <w:r w:rsidRPr="00AE549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74CC" w14:textId="77777777" w:rsidR="00794FF0" w:rsidRPr="00887A81" w:rsidRDefault="00794FF0" w:rsidP="00887510">
    <w:pPr>
      <w:pStyle w:val="Header"/>
    </w:pPr>
    <w:r>
      <w:t>FCCC/SBI/2014/8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25D4" w14:textId="77777777" w:rsidR="00794FF0" w:rsidRPr="00887A81" w:rsidRDefault="00794FF0" w:rsidP="00391F1F">
    <w:pPr>
      <w:pStyle w:val="Header"/>
      <w:jc w:val="right"/>
    </w:pPr>
    <w:r>
      <w:t>FCCC/SBI/2014/8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07B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9AE8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FE8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3E7F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CC85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E42B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02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16D0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FEDC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5CC6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F24C7"/>
    <w:multiLevelType w:val="hybridMultilevel"/>
    <w:tmpl w:val="600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0B700723"/>
    <w:multiLevelType w:val="hybridMultilevel"/>
    <w:tmpl w:val="F9D64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D23D9"/>
    <w:multiLevelType w:val="multilevel"/>
    <w:tmpl w:val="600C2C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B431FF1"/>
    <w:multiLevelType w:val="multilevel"/>
    <w:tmpl w:val="6262C20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8"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40D513C"/>
    <w:multiLevelType w:val="hybridMultilevel"/>
    <w:tmpl w:val="6262C2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25AF5"/>
    <w:multiLevelType w:val="multilevel"/>
    <w:tmpl w:val="8CBEFE72"/>
    <w:lvl w:ilvl="0">
      <w:start w:val="1"/>
      <w:numFmt w:val="upperRoman"/>
      <w:lvlRestart w:val="0"/>
      <w:lvlText w:val="%1."/>
      <w:lvlJc w:val="right"/>
      <w:pPr>
        <w:tabs>
          <w:tab w:val="num" w:pos="1134"/>
        </w:tabs>
        <w:ind w:left="1134" w:hanging="284"/>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B9C180E"/>
    <w:multiLevelType w:val="multilevel"/>
    <w:tmpl w:val="B1DE419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4AFE44EB"/>
    <w:multiLevelType w:val="multilevel"/>
    <w:tmpl w:val="719AA9A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511D1637"/>
    <w:multiLevelType w:val="multilevel"/>
    <w:tmpl w:val="8B84C570"/>
    <w:lvl w:ilvl="0">
      <w:start w:val="1"/>
      <w:numFmt w:val="upperRoman"/>
      <w:lvlRestart w:val="0"/>
      <w:lvlText w:val="%1."/>
      <w:lvlJc w:val="right"/>
      <w:pPr>
        <w:tabs>
          <w:tab w:val="num" w:pos="1134"/>
        </w:tabs>
        <w:ind w:left="1134" w:hanging="284"/>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4454B0"/>
    <w:multiLevelType w:val="multilevel"/>
    <w:tmpl w:val="6262C20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1E12F82"/>
    <w:multiLevelType w:val="multilevel"/>
    <w:tmpl w:val="600C2C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8A708A"/>
    <w:multiLevelType w:val="hybridMultilevel"/>
    <w:tmpl w:val="7CE8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5268E"/>
    <w:multiLevelType w:val="multilevel"/>
    <w:tmpl w:val="F9D64C6E"/>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732177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355154727">
    <w:abstractNumId w:val="11"/>
  </w:num>
  <w:num w:numId="2" w16cid:durableId="2042395505">
    <w:abstractNumId w:val="27"/>
  </w:num>
  <w:num w:numId="3" w16cid:durableId="1863663642">
    <w:abstractNumId w:val="18"/>
  </w:num>
  <w:num w:numId="4" w16cid:durableId="1619530310">
    <w:abstractNumId w:val="12"/>
  </w:num>
  <w:num w:numId="5" w16cid:durableId="1256746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246403">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8722994">
    <w:abstractNumId w:val="15"/>
  </w:num>
  <w:num w:numId="8" w16cid:durableId="479688165">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2768995">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0176089">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3903244">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8412084">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755607">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0239685">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1694584">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8611043">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4284340">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383341">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3641963">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1233459">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2375894">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7499119">
    <w:abstractNumId w:val="15"/>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076670">
    <w:abstractNumId w:val="15"/>
  </w:num>
  <w:num w:numId="24" w16cid:durableId="51540213">
    <w:abstractNumId w:val="15"/>
  </w:num>
  <w:num w:numId="25" w16cid:durableId="819005550">
    <w:abstractNumId w:val="17"/>
  </w:num>
  <w:num w:numId="26" w16cid:durableId="52781599">
    <w:abstractNumId w:val="30"/>
  </w:num>
  <w:num w:numId="27" w16cid:durableId="2783629">
    <w:abstractNumId w:val="10"/>
  </w:num>
  <w:num w:numId="28" w16cid:durableId="1996109514">
    <w:abstractNumId w:val="25"/>
  </w:num>
  <w:num w:numId="29" w16cid:durableId="339429187">
    <w:abstractNumId w:val="13"/>
  </w:num>
  <w:num w:numId="30" w16cid:durableId="738214756">
    <w:abstractNumId w:val="29"/>
  </w:num>
  <w:num w:numId="31" w16cid:durableId="624234602">
    <w:abstractNumId w:val="19"/>
  </w:num>
  <w:num w:numId="32" w16cid:durableId="1901477249">
    <w:abstractNumId w:val="24"/>
  </w:num>
  <w:num w:numId="33" w16cid:durableId="1037505651">
    <w:abstractNumId w:val="14"/>
  </w:num>
  <w:num w:numId="34" w16cid:durableId="569922424">
    <w:abstractNumId w:val="16"/>
  </w:num>
  <w:num w:numId="35" w16cid:durableId="1654524456">
    <w:abstractNumId w:val="26"/>
  </w:num>
  <w:num w:numId="36" w16cid:durableId="1180239402">
    <w:abstractNumId w:val="22"/>
  </w:num>
  <w:num w:numId="37" w16cid:durableId="839392545">
    <w:abstractNumId w:val="21"/>
  </w:num>
  <w:num w:numId="38" w16cid:durableId="589892875">
    <w:abstractNumId w:val="9"/>
  </w:num>
  <w:num w:numId="39" w16cid:durableId="61291663">
    <w:abstractNumId w:val="7"/>
  </w:num>
  <w:num w:numId="40" w16cid:durableId="62143994">
    <w:abstractNumId w:val="6"/>
  </w:num>
  <w:num w:numId="41" w16cid:durableId="1328053160">
    <w:abstractNumId w:val="5"/>
  </w:num>
  <w:num w:numId="42" w16cid:durableId="1073822327">
    <w:abstractNumId w:val="4"/>
  </w:num>
  <w:num w:numId="43" w16cid:durableId="949357214">
    <w:abstractNumId w:val="8"/>
  </w:num>
  <w:num w:numId="44" w16cid:durableId="213010853">
    <w:abstractNumId w:val="3"/>
  </w:num>
  <w:num w:numId="45" w16cid:durableId="154148340">
    <w:abstractNumId w:val="2"/>
  </w:num>
  <w:num w:numId="46" w16cid:durableId="1174612351">
    <w:abstractNumId w:val="1"/>
  </w:num>
  <w:num w:numId="47" w16cid:durableId="867138856">
    <w:abstractNumId w:val="0"/>
  </w:num>
  <w:num w:numId="48" w16cid:durableId="1022391062">
    <w:abstractNumId w:val="28"/>
  </w:num>
  <w:num w:numId="49" w16cid:durableId="1516649396">
    <w:abstractNumId w:val="20"/>
  </w:num>
  <w:num w:numId="50" w16cid:durableId="617643362">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Moves/>
  <w:defaultTabStop w:val="567"/>
  <w:evenAndOddHeaders/>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BEC"/>
    <w:rsid w:val="0000259D"/>
    <w:rsid w:val="00004A30"/>
    <w:rsid w:val="0000541F"/>
    <w:rsid w:val="00006CA6"/>
    <w:rsid w:val="00010998"/>
    <w:rsid w:val="00011C34"/>
    <w:rsid w:val="00012A88"/>
    <w:rsid w:val="00017203"/>
    <w:rsid w:val="00021BB6"/>
    <w:rsid w:val="00021E81"/>
    <w:rsid w:val="00022DED"/>
    <w:rsid w:val="00022FE7"/>
    <w:rsid w:val="0002375D"/>
    <w:rsid w:val="000238B6"/>
    <w:rsid w:val="00027986"/>
    <w:rsid w:val="00032CEF"/>
    <w:rsid w:val="00035A6A"/>
    <w:rsid w:val="000423A6"/>
    <w:rsid w:val="0004310F"/>
    <w:rsid w:val="00046907"/>
    <w:rsid w:val="000514AE"/>
    <w:rsid w:val="0005310F"/>
    <w:rsid w:val="000555B3"/>
    <w:rsid w:val="000561BD"/>
    <w:rsid w:val="00057383"/>
    <w:rsid w:val="00066EDD"/>
    <w:rsid w:val="00071CD1"/>
    <w:rsid w:val="00074855"/>
    <w:rsid w:val="00076113"/>
    <w:rsid w:val="0008103E"/>
    <w:rsid w:val="000831A4"/>
    <w:rsid w:val="00084246"/>
    <w:rsid w:val="000862DC"/>
    <w:rsid w:val="0009045D"/>
    <w:rsid w:val="000913E6"/>
    <w:rsid w:val="00092A15"/>
    <w:rsid w:val="00093044"/>
    <w:rsid w:val="00096320"/>
    <w:rsid w:val="00096C2E"/>
    <w:rsid w:val="00097135"/>
    <w:rsid w:val="000A399F"/>
    <w:rsid w:val="000A4891"/>
    <w:rsid w:val="000A566F"/>
    <w:rsid w:val="000A6CF6"/>
    <w:rsid w:val="000A790F"/>
    <w:rsid w:val="000B1FD0"/>
    <w:rsid w:val="000B2C18"/>
    <w:rsid w:val="000B2DCF"/>
    <w:rsid w:val="000B31B7"/>
    <w:rsid w:val="000B5898"/>
    <w:rsid w:val="000B597B"/>
    <w:rsid w:val="000B742A"/>
    <w:rsid w:val="000B7DF8"/>
    <w:rsid w:val="000C125A"/>
    <w:rsid w:val="000C175E"/>
    <w:rsid w:val="000C24E3"/>
    <w:rsid w:val="000C5173"/>
    <w:rsid w:val="000D09CC"/>
    <w:rsid w:val="000D29EA"/>
    <w:rsid w:val="000D57B6"/>
    <w:rsid w:val="000D5DED"/>
    <w:rsid w:val="000D5F6C"/>
    <w:rsid w:val="000D6D4A"/>
    <w:rsid w:val="000E17D6"/>
    <w:rsid w:val="000E225A"/>
    <w:rsid w:val="000E5A58"/>
    <w:rsid w:val="000E66FE"/>
    <w:rsid w:val="000F0125"/>
    <w:rsid w:val="000F02B8"/>
    <w:rsid w:val="001007C9"/>
    <w:rsid w:val="00100C8C"/>
    <w:rsid w:val="00104894"/>
    <w:rsid w:val="00105FAC"/>
    <w:rsid w:val="00106384"/>
    <w:rsid w:val="00113727"/>
    <w:rsid w:val="001139E9"/>
    <w:rsid w:val="00114878"/>
    <w:rsid w:val="00114C7D"/>
    <w:rsid w:val="0011781E"/>
    <w:rsid w:val="00120E84"/>
    <w:rsid w:val="001234BB"/>
    <w:rsid w:val="00123C52"/>
    <w:rsid w:val="00125136"/>
    <w:rsid w:val="00127311"/>
    <w:rsid w:val="00130D96"/>
    <w:rsid w:val="00130E5C"/>
    <w:rsid w:val="001328F9"/>
    <w:rsid w:val="001362F1"/>
    <w:rsid w:val="00137F54"/>
    <w:rsid w:val="00141340"/>
    <w:rsid w:val="00143B51"/>
    <w:rsid w:val="00144B53"/>
    <w:rsid w:val="0014500B"/>
    <w:rsid w:val="00147FAD"/>
    <w:rsid w:val="00151870"/>
    <w:rsid w:val="001526ED"/>
    <w:rsid w:val="00152A6E"/>
    <w:rsid w:val="00156492"/>
    <w:rsid w:val="00157736"/>
    <w:rsid w:val="0015792E"/>
    <w:rsid w:val="001600D9"/>
    <w:rsid w:val="00160208"/>
    <w:rsid w:val="00160679"/>
    <w:rsid w:val="0016112A"/>
    <w:rsid w:val="001615C6"/>
    <w:rsid w:val="0016272D"/>
    <w:rsid w:val="00162E68"/>
    <w:rsid w:val="00163CE6"/>
    <w:rsid w:val="00164DE0"/>
    <w:rsid w:val="001657CD"/>
    <w:rsid w:val="0016758E"/>
    <w:rsid w:val="0016759A"/>
    <w:rsid w:val="00170BDE"/>
    <w:rsid w:val="00172CF0"/>
    <w:rsid w:val="001738F1"/>
    <w:rsid w:val="00174A05"/>
    <w:rsid w:val="00177074"/>
    <w:rsid w:val="00180B3E"/>
    <w:rsid w:val="00180EF3"/>
    <w:rsid w:val="001816D4"/>
    <w:rsid w:val="00184581"/>
    <w:rsid w:val="0018467E"/>
    <w:rsid w:val="00184C03"/>
    <w:rsid w:val="00186A4F"/>
    <w:rsid w:val="001906D0"/>
    <w:rsid w:val="00190F91"/>
    <w:rsid w:val="001932F3"/>
    <w:rsid w:val="0019430F"/>
    <w:rsid w:val="001945C7"/>
    <w:rsid w:val="00197EE9"/>
    <w:rsid w:val="001B03FB"/>
    <w:rsid w:val="001B085A"/>
    <w:rsid w:val="001B1483"/>
    <w:rsid w:val="001B28D7"/>
    <w:rsid w:val="001B479D"/>
    <w:rsid w:val="001C4594"/>
    <w:rsid w:val="001C4D5F"/>
    <w:rsid w:val="001C64C3"/>
    <w:rsid w:val="001D2D50"/>
    <w:rsid w:val="001D487D"/>
    <w:rsid w:val="001D4FAB"/>
    <w:rsid w:val="001E0544"/>
    <w:rsid w:val="001E16AD"/>
    <w:rsid w:val="001E70C9"/>
    <w:rsid w:val="001F06AC"/>
    <w:rsid w:val="001F11B1"/>
    <w:rsid w:val="001F1FED"/>
    <w:rsid w:val="001F2415"/>
    <w:rsid w:val="001F27DD"/>
    <w:rsid w:val="001F7415"/>
    <w:rsid w:val="001F769B"/>
    <w:rsid w:val="002001AB"/>
    <w:rsid w:val="002025E1"/>
    <w:rsid w:val="00203485"/>
    <w:rsid w:val="002044B5"/>
    <w:rsid w:val="00205B59"/>
    <w:rsid w:val="002062C7"/>
    <w:rsid w:val="00207169"/>
    <w:rsid w:val="002072C9"/>
    <w:rsid w:val="00212FA8"/>
    <w:rsid w:val="00215A3A"/>
    <w:rsid w:val="00215EAA"/>
    <w:rsid w:val="002170F1"/>
    <w:rsid w:val="00220958"/>
    <w:rsid w:val="002219DE"/>
    <w:rsid w:val="00221AF2"/>
    <w:rsid w:val="00223453"/>
    <w:rsid w:val="0022506E"/>
    <w:rsid w:val="00226371"/>
    <w:rsid w:val="00230D0F"/>
    <w:rsid w:val="00231FB5"/>
    <w:rsid w:val="00232479"/>
    <w:rsid w:val="002325D4"/>
    <w:rsid w:val="0023666D"/>
    <w:rsid w:val="0024447B"/>
    <w:rsid w:val="00246888"/>
    <w:rsid w:val="002475A8"/>
    <w:rsid w:val="00247BE4"/>
    <w:rsid w:val="00250037"/>
    <w:rsid w:val="00251FF9"/>
    <w:rsid w:val="00254D8F"/>
    <w:rsid w:val="00256CFB"/>
    <w:rsid w:val="00257AA3"/>
    <w:rsid w:val="00262032"/>
    <w:rsid w:val="00264F17"/>
    <w:rsid w:val="00270068"/>
    <w:rsid w:val="00273C11"/>
    <w:rsid w:val="00273E8E"/>
    <w:rsid w:val="00275D29"/>
    <w:rsid w:val="00276A17"/>
    <w:rsid w:val="00276E66"/>
    <w:rsid w:val="002779EB"/>
    <w:rsid w:val="002859C9"/>
    <w:rsid w:val="0029007C"/>
    <w:rsid w:val="0029185D"/>
    <w:rsid w:val="00292DC3"/>
    <w:rsid w:val="002932BE"/>
    <w:rsid w:val="00295866"/>
    <w:rsid w:val="0029733B"/>
    <w:rsid w:val="00297C1E"/>
    <w:rsid w:val="002A0DB6"/>
    <w:rsid w:val="002A789D"/>
    <w:rsid w:val="002B0283"/>
    <w:rsid w:val="002B446B"/>
    <w:rsid w:val="002B72CE"/>
    <w:rsid w:val="002B7532"/>
    <w:rsid w:val="002C051E"/>
    <w:rsid w:val="002C11F7"/>
    <w:rsid w:val="002C52A6"/>
    <w:rsid w:val="002C562D"/>
    <w:rsid w:val="002C5D90"/>
    <w:rsid w:val="002D150D"/>
    <w:rsid w:val="002D2208"/>
    <w:rsid w:val="002D27B9"/>
    <w:rsid w:val="002E351F"/>
    <w:rsid w:val="002F0886"/>
    <w:rsid w:val="002F304A"/>
    <w:rsid w:val="002F496E"/>
    <w:rsid w:val="002F60E8"/>
    <w:rsid w:val="002F79FF"/>
    <w:rsid w:val="003012AF"/>
    <w:rsid w:val="00303799"/>
    <w:rsid w:val="00304F1B"/>
    <w:rsid w:val="00306423"/>
    <w:rsid w:val="003147E4"/>
    <w:rsid w:val="00315427"/>
    <w:rsid w:val="00322188"/>
    <w:rsid w:val="00324BC8"/>
    <w:rsid w:val="00324DA3"/>
    <w:rsid w:val="003258AC"/>
    <w:rsid w:val="00327414"/>
    <w:rsid w:val="00327575"/>
    <w:rsid w:val="00327749"/>
    <w:rsid w:val="00327993"/>
    <w:rsid w:val="0032799B"/>
    <w:rsid w:val="00327B89"/>
    <w:rsid w:val="00327C56"/>
    <w:rsid w:val="00331390"/>
    <w:rsid w:val="00334CFE"/>
    <w:rsid w:val="00336919"/>
    <w:rsid w:val="00336DC3"/>
    <w:rsid w:val="00337765"/>
    <w:rsid w:val="003415A2"/>
    <w:rsid w:val="00344322"/>
    <w:rsid w:val="00344AD3"/>
    <w:rsid w:val="00345B62"/>
    <w:rsid w:val="0035359E"/>
    <w:rsid w:val="00353A16"/>
    <w:rsid w:val="00354AF6"/>
    <w:rsid w:val="00355BC4"/>
    <w:rsid w:val="00356E17"/>
    <w:rsid w:val="00360525"/>
    <w:rsid w:val="00361821"/>
    <w:rsid w:val="00362186"/>
    <w:rsid w:val="00364B85"/>
    <w:rsid w:val="0036706B"/>
    <w:rsid w:val="00370D92"/>
    <w:rsid w:val="0037541B"/>
    <w:rsid w:val="00375F53"/>
    <w:rsid w:val="00380898"/>
    <w:rsid w:val="00380ED5"/>
    <w:rsid w:val="00381632"/>
    <w:rsid w:val="003819C7"/>
    <w:rsid w:val="00382A67"/>
    <w:rsid w:val="00382D40"/>
    <w:rsid w:val="00383494"/>
    <w:rsid w:val="00391F1F"/>
    <w:rsid w:val="003A291B"/>
    <w:rsid w:val="003A3931"/>
    <w:rsid w:val="003A4936"/>
    <w:rsid w:val="003A5A7D"/>
    <w:rsid w:val="003B2C11"/>
    <w:rsid w:val="003B307A"/>
    <w:rsid w:val="003B4888"/>
    <w:rsid w:val="003C3854"/>
    <w:rsid w:val="003C75B9"/>
    <w:rsid w:val="003D1A53"/>
    <w:rsid w:val="003D3C8A"/>
    <w:rsid w:val="003D5573"/>
    <w:rsid w:val="003D6B47"/>
    <w:rsid w:val="003E1AF2"/>
    <w:rsid w:val="003E1F9A"/>
    <w:rsid w:val="003F16E3"/>
    <w:rsid w:val="003F5B8D"/>
    <w:rsid w:val="003F7301"/>
    <w:rsid w:val="003F74C3"/>
    <w:rsid w:val="00401023"/>
    <w:rsid w:val="00402F65"/>
    <w:rsid w:val="004061AF"/>
    <w:rsid w:val="004061BF"/>
    <w:rsid w:val="004065A3"/>
    <w:rsid w:val="00410508"/>
    <w:rsid w:val="00415700"/>
    <w:rsid w:val="00417292"/>
    <w:rsid w:val="00422A55"/>
    <w:rsid w:val="00425691"/>
    <w:rsid w:val="00426E1C"/>
    <w:rsid w:val="00427DA2"/>
    <w:rsid w:val="004362CF"/>
    <w:rsid w:val="0043729E"/>
    <w:rsid w:val="00437DC5"/>
    <w:rsid w:val="00440B1D"/>
    <w:rsid w:val="00442EA9"/>
    <w:rsid w:val="00443BA3"/>
    <w:rsid w:val="004459B5"/>
    <w:rsid w:val="004537DC"/>
    <w:rsid w:val="00453C7E"/>
    <w:rsid w:val="004578AD"/>
    <w:rsid w:val="0046058E"/>
    <w:rsid w:val="004626FC"/>
    <w:rsid w:val="00462B6E"/>
    <w:rsid w:val="00463737"/>
    <w:rsid w:val="00464D21"/>
    <w:rsid w:val="0047013B"/>
    <w:rsid w:val="00475BC6"/>
    <w:rsid w:val="00475DDF"/>
    <w:rsid w:val="004812E6"/>
    <w:rsid w:val="00482E73"/>
    <w:rsid w:val="00484AA4"/>
    <w:rsid w:val="0048523B"/>
    <w:rsid w:val="00485971"/>
    <w:rsid w:val="00487DED"/>
    <w:rsid w:val="0049390B"/>
    <w:rsid w:val="00496633"/>
    <w:rsid w:val="004977C3"/>
    <w:rsid w:val="004A261B"/>
    <w:rsid w:val="004A4492"/>
    <w:rsid w:val="004A67DD"/>
    <w:rsid w:val="004B0EB9"/>
    <w:rsid w:val="004B1397"/>
    <w:rsid w:val="004B165B"/>
    <w:rsid w:val="004B18E6"/>
    <w:rsid w:val="004B2869"/>
    <w:rsid w:val="004B383D"/>
    <w:rsid w:val="004B466A"/>
    <w:rsid w:val="004B4B98"/>
    <w:rsid w:val="004B501A"/>
    <w:rsid w:val="004B5F5F"/>
    <w:rsid w:val="004C4910"/>
    <w:rsid w:val="004C5ECA"/>
    <w:rsid w:val="004C6535"/>
    <w:rsid w:val="004D0E30"/>
    <w:rsid w:val="004D1414"/>
    <w:rsid w:val="004D199C"/>
    <w:rsid w:val="004D40D2"/>
    <w:rsid w:val="004D72AF"/>
    <w:rsid w:val="004E15DB"/>
    <w:rsid w:val="004E2287"/>
    <w:rsid w:val="004E4D79"/>
    <w:rsid w:val="004E51DB"/>
    <w:rsid w:val="004F0D45"/>
    <w:rsid w:val="004F12DC"/>
    <w:rsid w:val="004F24C0"/>
    <w:rsid w:val="004F615A"/>
    <w:rsid w:val="004F6E0F"/>
    <w:rsid w:val="004F74BA"/>
    <w:rsid w:val="00500D1F"/>
    <w:rsid w:val="00502F4B"/>
    <w:rsid w:val="005030B1"/>
    <w:rsid w:val="00503373"/>
    <w:rsid w:val="00504045"/>
    <w:rsid w:val="00506FB7"/>
    <w:rsid w:val="0051158B"/>
    <w:rsid w:val="00522C55"/>
    <w:rsid w:val="005255F0"/>
    <w:rsid w:val="0052769C"/>
    <w:rsid w:val="005276EA"/>
    <w:rsid w:val="00532284"/>
    <w:rsid w:val="00535B6F"/>
    <w:rsid w:val="005416D2"/>
    <w:rsid w:val="00542F34"/>
    <w:rsid w:val="005464AA"/>
    <w:rsid w:val="00546735"/>
    <w:rsid w:val="005474C8"/>
    <w:rsid w:val="0055305D"/>
    <w:rsid w:val="005549B8"/>
    <w:rsid w:val="0055669C"/>
    <w:rsid w:val="00561112"/>
    <w:rsid w:val="005627AB"/>
    <w:rsid w:val="00565AF2"/>
    <w:rsid w:val="00572833"/>
    <w:rsid w:val="00573130"/>
    <w:rsid w:val="00573CD8"/>
    <w:rsid w:val="00575786"/>
    <w:rsid w:val="00576132"/>
    <w:rsid w:val="00576970"/>
    <w:rsid w:val="00576F19"/>
    <w:rsid w:val="005812FC"/>
    <w:rsid w:val="005834DE"/>
    <w:rsid w:val="005855C1"/>
    <w:rsid w:val="00586EAC"/>
    <w:rsid w:val="00592405"/>
    <w:rsid w:val="005950A3"/>
    <w:rsid w:val="005A009A"/>
    <w:rsid w:val="005A0171"/>
    <w:rsid w:val="005A1844"/>
    <w:rsid w:val="005A3422"/>
    <w:rsid w:val="005A4FCB"/>
    <w:rsid w:val="005A54C7"/>
    <w:rsid w:val="005B0A73"/>
    <w:rsid w:val="005C0537"/>
    <w:rsid w:val="005C08EC"/>
    <w:rsid w:val="005C2122"/>
    <w:rsid w:val="005C4EF7"/>
    <w:rsid w:val="005D1E99"/>
    <w:rsid w:val="005D472D"/>
    <w:rsid w:val="005D47F2"/>
    <w:rsid w:val="005D5012"/>
    <w:rsid w:val="005E6419"/>
    <w:rsid w:val="005F0915"/>
    <w:rsid w:val="005F4527"/>
    <w:rsid w:val="005F562F"/>
    <w:rsid w:val="006002E5"/>
    <w:rsid w:val="00601526"/>
    <w:rsid w:val="00602295"/>
    <w:rsid w:val="00603D73"/>
    <w:rsid w:val="00604580"/>
    <w:rsid w:val="00605713"/>
    <w:rsid w:val="00606733"/>
    <w:rsid w:val="00611140"/>
    <w:rsid w:val="006111B0"/>
    <w:rsid w:val="00611E89"/>
    <w:rsid w:val="00614C98"/>
    <w:rsid w:val="00617B57"/>
    <w:rsid w:val="0062035F"/>
    <w:rsid w:val="006271E6"/>
    <w:rsid w:val="00630BC2"/>
    <w:rsid w:val="00631EE2"/>
    <w:rsid w:val="00632E93"/>
    <w:rsid w:val="00633BF3"/>
    <w:rsid w:val="00634277"/>
    <w:rsid w:val="0063667C"/>
    <w:rsid w:val="006367E4"/>
    <w:rsid w:val="00636A92"/>
    <w:rsid w:val="00636FEE"/>
    <w:rsid w:val="006378A8"/>
    <w:rsid w:val="006379C7"/>
    <w:rsid w:val="00640CCC"/>
    <w:rsid w:val="00641F29"/>
    <w:rsid w:val="006504ED"/>
    <w:rsid w:val="006520DB"/>
    <w:rsid w:val="00655F79"/>
    <w:rsid w:val="006575B6"/>
    <w:rsid w:val="0066159F"/>
    <w:rsid w:val="00661680"/>
    <w:rsid w:val="006706F5"/>
    <w:rsid w:val="00674A00"/>
    <w:rsid w:val="00676425"/>
    <w:rsid w:val="006810D8"/>
    <w:rsid w:val="00681BBF"/>
    <w:rsid w:val="00681F0D"/>
    <w:rsid w:val="00682521"/>
    <w:rsid w:val="0068487B"/>
    <w:rsid w:val="00685653"/>
    <w:rsid w:val="00687740"/>
    <w:rsid w:val="00687B78"/>
    <w:rsid w:val="00693901"/>
    <w:rsid w:val="0069457F"/>
    <w:rsid w:val="006973FA"/>
    <w:rsid w:val="006A0284"/>
    <w:rsid w:val="006A3385"/>
    <w:rsid w:val="006A61F1"/>
    <w:rsid w:val="006A63F7"/>
    <w:rsid w:val="006B06DB"/>
    <w:rsid w:val="006B13CC"/>
    <w:rsid w:val="006B28DB"/>
    <w:rsid w:val="006B62F2"/>
    <w:rsid w:val="006B6D3A"/>
    <w:rsid w:val="006C0BF1"/>
    <w:rsid w:val="006C5022"/>
    <w:rsid w:val="006C5299"/>
    <w:rsid w:val="006D0BDC"/>
    <w:rsid w:val="006D33BF"/>
    <w:rsid w:val="006D43FA"/>
    <w:rsid w:val="006E2336"/>
    <w:rsid w:val="006E4F02"/>
    <w:rsid w:val="006E537B"/>
    <w:rsid w:val="006E6852"/>
    <w:rsid w:val="006E6AFB"/>
    <w:rsid w:val="006E75BB"/>
    <w:rsid w:val="006F1BFA"/>
    <w:rsid w:val="006F2373"/>
    <w:rsid w:val="006F2ADC"/>
    <w:rsid w:val="00700EEF"/>
    <w:rsid w:val="007046BC"/>
    <w:rsid w:val="00705689"/>
    <w:rsid w:val="00706ACC"/>
    <w:rsid w:val="007112BE"/>
    <w:rsid w:val="007124CD"/>
    <w:rsid w:val="0071428F"/>
    <w:rsid w:val="00717BC5"/>
    <w:rsid w:val="0072197C"/>
    <w:rsid w:val="00723757"/>
    <w:rsid w:val="00724C09"/>
    <w:rsid w:val="00726562"/>
    <w:rsid w:val="00726E63"/>
    <w:rsid w:val="0072781B"/>
    <w:rsid w:val="007334B2"/>
    <w:rsid w:val="007334C8"/>
    <w:rsid w:val="00733560"/>
    <w:rsid w:val="00736734"/>
    <w:rsid w:val="007379C6"/>
    <w:rsid w:val="007409B3"/>
    <w:rsid w:val="00741FEC"/>
    <w:rsid w:val="00742F78"/>
    <w:rsid w:val="00744329"/>
    <w:rsid w:val="00747738"/>
    <w:rsid w:val="007478CC"/>
    <w:rsid w:val="00750AE3"/>
    <w:rsid w:val="00751133"/>
    <w:rsid w:val="00752275"/>
    <w:rsid w:val="00752FEF"/>
    <w:rsid w:val="00753F94"/>
    <w:rsid w:val="00754145"/>
    <w:rsid w:val="007550C2"/>
    <w:rsid w:val="0076182E"/>
    <w:rsid w:val="00761C37"/>
    <w:rsid w:val="007626E6"/>
    <w:rsid w:val="007658FD"/>
    <w:rsid w:val="00765E60"/>
    <w:rsid w:val="007662FB"/>
    <w:rsid w:val="007712B0"/>
    <w:rsid w:val="007719B7"/>
    <w:rsid w:val="00771EF8"/>
    <w:rsid w:val="007733EC"/>
    <w:rsid w:val="007753D9"/>
    <w:rsid w:val="007760E2"/>
    <w:rsid w:val="00783419"/>
    <w:rsid w:val="00785455"/>
    <w:rsid w:val="00790C0C"/>
    <w:rsid w:val="00791B90"/>
    <w:rsid w:val="00792620"/>
    <w:rsid w:val="00794FF0"/>
    <w:rsid w:val="007952B3"/>
    <w:rsid w:val="007975AF"/>
    <w:rsid w:val="00797AA7"/>
    <w:rsid w:val="00797CD6"/>
    <w:rsid w:val="007A4582"/>
    <w:rsid w:val="007A7574"/>
    <w:rsid w:val="007A7A7B"/>
    <w:rsid w:val="007A7C8E"/>
    <w:rsid w:val="007B0DFC"/>
    <w:rsid w:val="007B261F"/>
    <w:rsid w:val="007B282F"/>
    <w:rsid w:val="007B3C2F"/>
    <w:rsid w:val="007B3DE2"/>
    <w:rsid w:val="007B42BA"/>
    <w:rsid w:val="007C0B1D"/>
    <w:rsid w:val="007C4282"/>
    <w:rsid w:val="007C43B0"/>
    <w:rsid w:val="007D0DEF"/>
    <w:rsid w:val="007D3A77"/>
    <w:rsid w:val="007D46D9"/>
    <w:rsid w:val="007E2A04"/>
    <w:rsid w:val="007E5A0D"/>
    <w:rsid w:val="007F03BF"/>
    <w:rsid w:val="007F11A7"/>
    <w:rsid w:val="007F17C6"/>
    <w:rsid w:val="007F5855"/>
    <w:rsid w:val="007F6C8A"/>
    <w:rsid w:val="007F7632"/>
    <w:rsid w:val="007F78A9"/>
    <w:rsid w:val="008000C9"/>
    <w:rsid w:val="00802646"/>
    <w:rsid w:val="008027B5"/>
    <w:rsid w:val="00802D2A"/>
    <w:rsid w:val="00805529"/>
    <w:rsid w:val="008071D5"/>
    <w:rsid w:val="00807CBF"/>
    <w:rsid w:val="00810726"/>
    <w:rsid w:val="0081735B"/>
    <w:rsid w:val="0081743A"/>
    <w:rsid w:val="00821927"/>
    <w:rsid w:val="00822406"/>
    <w:rsid w:val="0082316D"/>
    <w:rsid w:val="00824785"/>
    <w:rsid w:val="00825EF8"/>
    <w:rsid w:val="008263F2"/>
    <w:rsid w:val="0083172F"/>
    <w:rsid w:val="008330C2"/>
    <w:rsid w:val="00834801"/>
    <w:rsid w:val="00835D4E"/>
    <w:rsid w:val="008370E0"/>
    <w:rsid w:val="0084026C"/>
    <w:rsid w:val="008419FD"/>
    <w:rsid w:val="00841A8B"/>
    <w:rsid w:val="00841F6A"/>
    <w:rsid w:val="00845447"/>
    <w:rsid w:val="00847A56"/>
    <w:rsid w:val="00850BA0"/>
    <w:rsid w:val="00854A8E"/>
    <w:rsid w:val="00854F81"/>
    <w:rsid w:val="00857A55"/>
    <w:rsid w:val="0086015C"/>
    <w:rsid w:val="00862920"/>
    <w:rsid w:val="00867A37"/>
    <w:rsid w:val="00873FF2"/>
    <w:rsid w:val="0087486C"/>
    <w:rsid w:val="00881769"/>
    <w:rsid w:val="008824FD"/>
    <w:rsid w:val="00882605"/>
    <w:rsid w:val="00883A0E"/>
    <w:rsid w:val="00885EE0"/>
    <w:rsid w:val="00887510"/>
    <w:rsid w:val="00887A81"/>
    <w:rsid w:val="0089559B"/>
    <w:rsid w:val="008976C6"/>
    <w:rsid w:val="008A4292"/>
    <w:rsid w:val="008A4C44"/>
    <w:rsid w:val="008A58A0"/>
    <w:rsid w:val="008A7864"/>
    <w:rsid w:val="008B0BDE"/>
    <w:rsid w:val="008B17FB"/>
    <w:rsid w:val="008B2230"/>
    <w:rsid w:val="008B4372"/>
    <w:rsid w:val="008B4BC9"/>
    <w:rsid w:val="008B5F81"/>
    <w:rsid w:val="008C2C74"/>
    <w:rsid w:val="008C3312"/>
    <w:rsid w:val="008C42B4"/>
    <w:rsid w:val="008C7074"/>
    <w:rsid w:val="008D1628"/>
    <w:rsid w:val="008D3EE8"/>
    <w:rsid w:val="008D48E3"/>
    <w:rsid w:val="008D64AA"/>
    <w:rsid w:val="008D6537"/>
    <w:rsid w:val="008D7CC1"/>
    <w:rsid w:val="008E04E0"/>
    <w:rsid w:val="008E06DE"/>
    <w:rsid w:val="008E3B52"/>
    <w:rsid w:val="008E4889"/>
    <w:rsid w:val="008E4AAA"/>
    <w:rsid w:val="008E6F4B"/>
    <w:rsid w:val="008E70A4"/>
    <w:rsid w:val="008F4C57"/>
    <w:rsid w:val="008F6651"/>
    <w:rsid w:val="008F7B36"/>
    <w:rsid w:val="00902F0E"/>
    <w:rsid w:val="009034BB"/>
    <w:rsid w:val="0091113E"/>
    <w:rsid w:val="00911143"/>
    <w:rsid w:val="009137D2"/>
    <w:rsid w:val="00913EC3"/>
    <w:rsid w:val="009141F0"/>
    <w:rsid w:val="00917213"/>
    <w:rsid w:val="009209F0"/>
    <w:rsid w:val="00921DB5"/>
    <w:rsid w:val="009230A8"/>
    <w:rsid w:val="00927A81"/>
    <w:rsid w:val="00933228"/>
    <w:rsid w:val="009410B5"/>
    <w:rsid w:val="00941B01"/>
    <w:rsid w:val="00942016"/>
    <w:rsid w:val="0094334C"/>
    <w:rsid w:val="00943FED"/>
    <w:rsid w:val="00952995"/>
    <w:rsid w:val="00956C08"/>
    <w:rsid w:val="00960298"/>
    <w:rsid w:val="009617EB"/>
    <w:rsid w:val="00963690"/>
    <w:rsid w:val="0096485E"/>
    <w:rsid w:val="00965737"/>
    <w:rsid w:val="0097036B"/>
    <w:rsid w:val="00970F53"/>
    <w:rsid w:val="00972626"/>
    <w:rsid w:val="0097390C"/>
    <w:rsid w:val="00973AAB"/>
    <w:rsid w:val="00976CF0"/>
    <w:rsid w:val="0097761B"/>
    <w:rsid w:val="00980E44"/>
    <w:rsid w:val="00981C60"/>
    <w:rsid w:val="009828C0"/>
    <w:rsid w:val="00982EF0"/>
    <w:rsid w:val="00987572"/>
    <w:rsid w:val="00991CD5"/>
    <w:rsid w:val="009929D4"/>
    <w:rsid w:val="00995F86"/>
    <w:rsid w:val="0099606B"/>
    <w:rsid w:val="00996312"/>
    <w:rsid w:val="009979A7"/>
    <w:rsid w:val="009A04F8"/>
    <w:rsid w:val="009A180C"/>
    <w:rsid w:val="009A1EFD"/>
    <w:rsid w:val="009A2813"/>
    <w:rsid w:val="009A38FD"/>
    <w:rsid w:val="009A71AA"/>
    <w:rsid w:val="009B064C"/>
    <w:rsid w:val="009B1CB9"/>
    <w:rsid w:val="009B1F63"/>
    <w:rsid w:val="009B3094"/>
    <w:rsid w:val="009C2FAF"/>
    <w:rsid w:val="009C5447"/>
    <w:rsid w:val="009C6435"/>
    <w:rsid w:val="009C6C24"/>
    <w:rsid w:val="009D186B"/>
    <w:rsid w:val="009D373E"/>
    <w:rsid w:val="009D42E3"/>
    <w:rsid w:val="009D4E17"/>
    <w:rsid w:val="009D52F0"/>
    <w:rsid w:val="009D58DD"/>
    <w:rsid w:val="009D638B"/>
    <w:rsid w:val="009D7644"/>
    <w:rsid w:val="009E0845"/>
    <w:rsid w:val="009E2FE4"/>
    <w:rsid w:val="009E4999"/>
    <w:rsid w:val="009E56BC"/>
    <w:rsid w:val="009E5775"/>
    <w:rsid w:val="009F3514"/>
    <w:rsid w:val="009F3A00"/>
    <w:rsid w:val="009F52F2"/>
    <w:rsid w:val="009F65C0"/>
    <w:rsid w:val="009F7546"/>
    <w:rsid w:val="009F7619"/>
    <w:rsid w:val="00A02B8E"/>
    <w:rsid w:val="00A02E12"/>
    <w:rsid w:val="00A0585A"/>
    <w:rsid w:val="00A0753F"/>
    <w:rsid w:val="00A078E1"/>
    <w:rsid w:val="00A10BD1"/>
    <w:rsid w:val="00A10FFD"/>
    <w:rsid w:val="00A11347"/>
    <w:rsid w:val="00A17C09"/>
    <w:rsid w:val="00A21000"/>
    <w:rsid w:val="00A227F2"/>
    <w:rsid w:val="00A252E0"/>
    <w:rsid w:val="00A32408"/>
    <w:rsid w:val="00A35447"/>
    <w:rsid w:val="00A401AD"/>
    <w:rsid w:val="00A46476"/>
    <w:rsid w:val="00A4792A"/>
    <w:rsid w:val="00A55AAA"/>
    <w:rsid w:val="00A56AAE"/>
    <w:rsid w:val="00A60106"/>
    <w:rsid w:val="00A61BEC"/>
    <w:rsid w:val="00A62D92"/>
    <w:rsid w:val="00A63C00"/>
    <w:rsid w:val="00A6442F"/>
    <w:rsid w:val="00A65E97"/>
    <w:rsid w:val="00A71AF4"/>
    <w:rsid w:val="00A72988"/>
    <w:rsid w:val="00A72AC5"/>
    <w:rsid w:val="00A72B5C"/>
    <w:rsid w:val="00A7428F"/>
    <w:rsid w:val="00A76791"/>
    <w:rsid w:val="00A7768C"/>
    <w:rsid w:val="00A77BFF"/>
    <w:rsid w:val="00A83897"/>
    <w:rsid w:val="00A848CE"/>
    <w:rsid w:val="00A85038"/>
    <w:rsid w:val="00A866D7"/>
    <w:rsid w:val="00A86C99"/>
    <w:rsid w:val="00A86CDF"/>
    <w:rsid w:val="00A9001C"/>
    <w:rsid w:val="00A9111B"/>
    <w:rsid w:val="00A91E9F"/>
    <w:rsid w:val="00A9402E"/>
    <w:rsid w:val="00A94F68"/>
    <w:rsid w:val="00A968D0"/>
    <w:rsid w:val="00A97569"/>
    <w:rsid w:val="00AA1C9F"/>
    <w:rsid w:val="00AA30EE"/>
    <w:rsid w:val="00AA64A6"/>
    <w:rsid w:val="00AA79D8"/>
    <w:rsid w:val="00AB12D1"/>
    <w:rsid w:val="00AB1658"/>
    <w:rsid w:val="00AB2E3D"/>
    <w:rsid w:val="00AC0496"/>
    <w:rsid w:val="00AC0C5A"/>
    <w:rsid w:val="00AC186E"/>
    <w:rsid w:val="00AD40C4"/>
    <w:rsid w:val="00AD4D69"/>
    <w:rsid w:val="00AE03E0"/>
    <w:rsid w:val="00AE07EE"/>
    <w:rsid w:val="00AE3E17"/>
    <w:rsid w:val="00AE549A"/>
    <w:rsid w:val="00AE59F2"/>
    <w:rsid w:val="00AE694B"/>
    <w:rsid w:val="00AF124A"/>
    <w:rsid w:val="00AF2EF9"/>
    <w:rsid w:val="00AF35FA"/>
    <w:rsid w:val="00AF45B0"/>
    <w:rsid w:val="00AF494B"/>
    <w:rsid w:val="00AF5B9A"/>
    <w:rsid w:val="00AF7EE9"/>
    <w:rsid w:val="00B13218"/>
    <w:rsid w:val="00B13472"/>
    <w:rsid w:val="00B1389E"/>
    <w:rsid w:val="00B161D7"/>
    <w:rsid w:val="00B16CA8"/>
    <w:rsid w:val="00B20CC7"/>
    <w:rsid w:val="00B217B4"/>
    <w:rsid w:val="00B2307C"/>
    <w:rsid w:val="00B23F83"/>
    <w:rsid w:val="00B25700"/>
    <w:rsid w:val="00B27F33"/>
    <w:rsid w:val="00B315D7"/>
    <w:rsid w:val="00B32A4C"/>
    <w:rsid w:val="00B33E91"/>
    <w:rsid w:val="00B37B5E"/>
    <w:rsid w:val="00B37C98"/>
    <w:rsid w:val="00B42FE9"/>
    <w:rsid w:val="00B432A9"/>
    <w:rsid w:val="00B43BF1"/>
    <w:rsid w:val="00B465AB"/>
    <w:rsid w:val="00B5458D"/>
    <w:rsid w:val="00B56F63"/>
    <w:rsid w:val="00B6090B"/>
    <w:rsid w:val="00B613B5"/>
    <w:rsid w:val="00B62A21"/>
    <w:rsid w:val="00B64FBF"/>
    <w:rsid w:val="00B6532C"/>
    <w:rsid w:val="00B67B6B"/>
    <w:rsid w:val="00B7384B"/>
    <w:rsid w:val="00B73ACE"/>
    <w:rsid w:val="00B74444"/>
    <w:rsid w:val="00B82BB6"/>
    <w:rsid w:val="00B86F1E"/>
    <w:rsid w:val="00B87BDF"/>
    <w:rsid w:val="00B90B21"/>
    <w:rsid w:val="00B946F3"/>
    <w:rsid w:val="00B94B4B"/>
    <w:rsid w:val="00B95B4A"/>
    <w:rsid w:val="00B961E8"/>
    <w:rsid w:val="00B96F32"/>
    <w:rsid w:val="00BA0BF9"/>
    <w:rsid w:val="00BA1B2E"/>
    <w:rsid w:val="00BA36B2"/>
    <w:rsid w:val="00BA455F"/>
    <w:rsid w:val="00BA4F5C"/>
    <w:rsid w:val="00BA52EA"/>
    <w:rsid w:val="00BA5F8A"/>
    <w:rsid w:val="00BA707B"/>
    <w:rsid w:val="00BB4988"/>
    <w:rsid w:val="00BB5535"/>
    <w:rsid w:val="00BB7CEE"/>
    <w:rsid w:val="00BC43C0"/>
    <w:rsid w:val="00BC4815"/>
    <w:rsid w:val="00BC48E6"/>
    <w:rsid w:val="00BD0036"/>
    <w:rsid w:val="00BD4436"/>
    <w:rsid w:val="00BD7715"/>
    <w:rsid w:val="00BE0532"/>
    <w:rsid w:val="00BE0EAC"/>
    <w:rsid w:val="00BE5FA4"/>
    <w:rsid w:val="00BE6757"/>
    <w:rsid w:val="00BF05AE"/>
    <w:rsid w:val="00BF0EE6"/>
    <w:rsid w:val="00BF2EA6"/>
    <w:rsid w:val="00BF44D9"/>
    <w:rsid w:val="00BF4A17"/>
    <w:rsid w:val="00BF4EFE"/>
    <w:rsid w:val="00C0105B"/>
    <w:rsid w:val="00C0285D"/>
    <w:rsid w:val="00C061AF"/>
    <w:rsid w:val="00C07A54"/>
    <w:rsid w:val="00C12D57"/>
    <w:rsid w:val="00C13E2D"/>
    <w:rsid w:val="00C14001"/>
    <w:rsid w:val="00C200A6"/>
    <w:rsid w:val="00C20DA0"/>
    <w:rsid w:val="00C238D6"/>
    <w:rsid w:val="00C24427"/>
    <w:rsid w:val="00C251F3"/>
    <w:rsid w:val="00C300FA"/>
    <w:rsid w:val="00C3075C"/>
    <w:rsid w:val="00C32B22"/>
    <w:rsid w:val="00C33E96"/>
    <w:rsid w:val="00C348AB"/>
    <w:rsid w:val="00C34D9C"/>
    <w:rsid w:val="00C44077"/>
    <w:rsid w:val="00C45FE0"/>
    <w:rsid w:val="00C4643D"/>
    <w:rsid w:val="00C52443"/>
    <w:rsid w:val="00C54200"/>
    <w:rsid w:val="00C5589E"/>
    <w:rsid w:val="00C5601C"/>
    <w:rsid w:val="00C62895"/>
    <w:rsid w:val="00C63C09"/>
    <w:rsid w:val="00C6438B"/>
    <w:rsid w:val="00C67050"/>
    <w:rsid w:val="00C72C22"/>
    <w:rsid w:val="00C72FB7"/>
    <w:rsid w:val="00C73BC8"/>
    <w:rsid w:val="00C741ED"/>
    <w:rsid w:val="00C74FA9"/>
    <w:rsid w:val="00C77A2E"/>
    <w:rsid w:val="00C80BB5"/>
    <w:rsid w:val="00C80E9D"/>
    <w:rsid w:val="00C83DFC"/>
    <w:rsid w:val="00C842A6"/>
    <w:rsid w:val="00C908B2"/>
    <w:rsid w:val="00C93678"/>
    <w:rsid w:val="00C97304"/>
    <w:rsid w:val="00CA0A0B"/>
    <w:rsid w:val="00CA2189"/>
    <w:rsid w:val="00CA64BF"/>
    <w:rsid w:val="00CB11B6"/>
    <w:rsid w:val="00CB2B2B"/>
    <w:rsid w:val="00CB4A81"/>
    <w:rsid w:val="00CB5ECE"/>
    <w:rsid w:val="00CB6A6E"/>
    <w:rsid w:val="00CC1555"/>
    <w:rsid w:val="00CC2764"/>
    <w:rsid w:val="00CC2DC9"/>
    <w:rsid w:val="00CC4B95"/>
    <w:rsid w:val="00CC7923"/>
    <w:rsid w:val="00CD2376"/>
    <w:rsid w:val="00CD41F3"/>
    <w:rsid w:val="00CD591C"/>
    <w:rsid w:val="00CD5A3C"/>
    <w:rsid w:val="00CE097C"/>
    <w:rsid w:val="00CE3F32"/>
    <w:rsid w:val="00CE42C4"/>
    <w:rsid w:val="00CF02EA"/>
    <w:rsid w:val="00CF07DD"/>
    <w:rsid w:val="00CF0A1D"/>
    <w:rsid w:val="00CF0DD1"/>
    <w:rsid w:val="00CF170E"/>
    <w:rsid w:val="00CF3297"/>
    <w:rsid w:val="00CF3733"/>
    <w:rsid w:val="00D01EC6"/>
    <w:rsid w:val="00D0260F"/>
    <w:rsid w:val="00D02E4B"/>
    <w:rsid w:val="00D02E98"/>
    <w:rsid w:val="00D04EED"/>
    <w:rsid w:val="00D06568"/>
    <w:rsid w:val="00D125EE"/>
    <w:rsid w:val="00D21910"/>
    <w:rsid w:val="00D24692"/>
    <w:rsid w:val="00D30E6B"/>
    <w:rsid w:val="00D32526"/>
    <w:rsid w:val="00D33395"/>
    <w:rsid w:val="00D3426A"/>
    <w:rsid w:val="00D37AD4"/>
    <w:rsid w:val="00D41062"/>
    <w:rsid w:val="00D4146B"/>
    <w:rsid w:val="00D41489"/>
    <w:rsid w:val="00D44A37"/>
    <w:rsid w:val="00D50E2F"/>
    <w:rsid w:val="00D541A1"/>
    <w:rsid w:val="00D56153"/>
    <w:rsid w:val="00D5636D"/>
    <w:rsid w:val="00D56E94"/>
    <w:rsid w:val="00D601C9"/>
    <w:rsid w:val="00D61765"/>
    <w:rsid w:val="00D6477B"/>
    <w:rsid w:val="00D701F6"/>
    <w:rsid w:val="00D72FDA"/>
    <w:rsid w:val="00D732B5"/>
    <w:rsid w:val="00D7598E"/>
    <w:rsid w:val="00D82BC1"/>
    <w:rsid w:val="00D85930"/>
    <w:rsid w:val="00D85EA8"/>
    <w:rsid w:val="00D876AA"/>
    <w:rsid w:val="00D87C8B"/>
    <w:rsid w:val="00D92FC3"/>
    <w:rsid w:val="00D94CD8"/>
    <w:rsid w:val="00D974CE"/>
    <w:rsid w:val="00D97990"/>
    <w:rsid w:val="00DA0633"/>
    <w:rsid w:val="00DA17D7"/>
    <w:rsid w:val="00DA31E9"/>
    <w:rsid w:val="00DA3B00"/>
    <w:rsid w:val="00DA5A75"/>
    <w:rsid w:val="00DB3143"/>
    <w:rsid w:val="00DB35D5"/>
    <w:rsid w:val="00DB41D1"/>
    <w:rsid w:val="00DB7EA6"/>
    <w:rsid w:val="00DB7FD0"/>
    <w:rsid w:val="00DC0A09"/>
    <w:rsid w:val="00DC5446"/>
    <w:rsid w:val="00DD24CD"/>
    <w:rsid w:val="00DD7958"/>
    <w:rsid w:val="00DE0F91"/>
    <w:rsid w:val="00DE47F8"/>
    <w:rsid w:val="00DF3D19"/>
    <w:rsid w:val="00DF5B15"/>
    <w:rsid w:val="00DF6735"/>
    <w:rsid w:val="00E02E92"/>
    <w:rsid w:val="00E03AF1"/>
    <w:rsid w:val="00E10A1A"/>
    <w:rsid w:val="00E11462"/>
    <w:rsid w:val="00E134E7"/>
    <w:rsid w:val="00E1383E"/>
    <w:rsid w:val="00E1508D"/>
    <w:rsid w:val="00E156FE"/>
    <w:rsid w:val="00E15CBF"/>
    <w:rsid w:val="00E20C9E"/>
    <w:rsid w:val="00E21A8F"/>
    <w:rsid w:val="00E21DBF"/>
    <w:rsid w:val="00E2476E"/>
    <w:rsid w:val="00E24DFC"/>
    <w:rsid w:val="00E251E9"/>
    <w:rsid w:val="00E25B01"/>
    <w:rsid w:val="00E26BE6"/>
    <w:rsid w:val="00E34E04"/>
    <w:rsid w:val="00E34EE4"/>
    <w:rsid w:val="00E35478"/>
    <w:rsid w:val="00E37CB8"/>
    <w:rsid w:val="00E42BD0"/>
    <w:rsid w:val="00E42EA9"/>
    <w:rsid w:val="00E43076"/>
    <w:rsid w:val="00E430FE"/>
    <w:rsid w:val="00E4456A"/>
    <w:rsid w:val="00E447DB"/>
    <w:rsid w:val="00E45D64"/>
    <w:rsid w:val="00E466BB"/>
    <w:rsid w:val="00E469D2"/>
    <w:rsid w:val="00E46C07"/>
    <w:rsid w:val="00E474E3"/>
    <w:rsid w:val="00E57B62"/>
    <w:rsid w:val="00E6392A"/>
    <w:rsid w:val="00E6742E"/>
    <w:rsid w:val="00E6745D"/>
    <w:rsid w:val="00E702C1"/>
    <w:rsid w:val="00E722B8"/>
    <w:rsid w:val="00E723FD"/>
    <w:rsid w:val="00E731A7"/>
    <w:rsid w:val="00E7338F"/>
    <w:rsid w:val="00E75D67"/>
    <w:rsid w:val="00E76E04"/>
    <w:rsid w:val="00E8008E"/>
    <w:rsid w:val="00E83EEA"/>
    <w:rsid w:val="00E8410C"/>
    <w:rsid w:val="00E847EA"/>
    <w:rsid w:val="00E85D4E"/>
    <w:rsid w:val="00E869D7"/>
    <w:rsid w:val="00E8738C"/>
    <w:rsid w:val="00E873B2"/>
    <w:rsid w:val="00E87FC3"/>
    <w:rsid w:val="00E935FD"/>
    <w:rsid w:val="00E948A0"/>
    <w:rsid w:val="00E94C43"/>
    <w:rsid w:val="00E967CB"/>
    <w:rsid w:val="00E975E3"/>
    <w:rsid w:val="00EA0309"/>
    <w:rsid w:val="00EA323F"/>
    <w:rsid w:val="00EA3D09"/>
    <w:rsid w:val="00EA3E6E"/>
    <w:rsid w:val="00EA6EB8"/>
    <w:rsid w:val="00EB022E"/>
    <w:rsid w:val="00EB05CE"/>
    <w:rsid w:val="00EB454F"/>
    <w:rsid w:val="00EB5B52"/>
    <w:rsid w:val="00EB7038"/>
    <w:rsid w:val="00EC1E2B"/>
    <w:rsid w:val="00EC1F7B"/>
    <w:rsid w:val="00EC24A0"/>
    <w:rsid w:val="00EC3A3D"/>
    <w:rsid w:val="00EC3BBD"/>
    <w:rsid w:val="00EC3FF5"/>
    <w:rsid w:val="00EC4E5B"/>
    <w:rsid w:val="00ED15FB"/>
    <w:rsid w:val="00ED2F8E"/>
    <w:rsid w:val="00ED3552"/>
    <w:rsid w:val="00EE36DF"/>
    <w:rsid w:val="00EE7958"/>
    <w:rsid w:val="00EF28C1"/>
    <w:rsid w:val="00EF6CF8"/>
    <w:rsid w:val="00EF6F93"/>
    <w:rsid w:val="00F011FC"/>
    <w:rsid w:val="00F01A81"/>
    <w:rsid w:val="00F01CCE"/>
    <w:rsid w:val="00F03595"/>
    <w:rsid w:val="00F0409A"/>
    <w:rsid w:val="00F04400"/>
    <w:rsid w:val="00F10653"/>
    <w:rsid w:val="00F12D92"/>
    <w:rsid w:val="00F145CB"/>
    <w:rsid w:val="00F20D91"/>
    <w:rsid w:val="00F21441"/>
    <w:rsid w:val="00F22EA2"/>
    <w:rsid w:val="00F245D9"/>
    <w:rsid w:val="00F24652"/>
    <w:rsid w:val="00F24EC0"/>
    <w:rsid w:val="00F25B29"/>
    <w:rsid w:val="00F30E47"/>
    <w:rsid w:val="00F3393A"/>
    <w:rsid w:val="00F35A57"/>
    <w:rsid w:val="00F408D0"/>
    <w:rsid w:val="00F44C6A"/>
    <w:rsid w:val="00F45BD3"/>
    <w:rsid w:val="00F51990"/>
    <w:rsid w:val="00F54973"/>
    <w:rsid w:val="00F5595C"/>
    <w:rsid w:val="00F60FEC"/>
    <w:rsid w:val="00F62358"/>
    <w:rsid w:val="00F62419"/>
    <w:rsid w:val="00F63286"/>
    <w:rsid w:val="00F63EF4"/>
    <w:rsid w:val="00F650DD"/>
    <w:rsid w:val="00F6546F"/>
    <w:rsid w:val="00F67289"/>
    <w:rsid w:val="00F71D7E"/>
    <w:rsid w:val="00F71FB8"/>
    <w:rsid w:val="00F72F60"/>
    <w:rsid w:val="00F73B1E"/>
    <w:rsid w:val="00F74BD7"/>
    <w:rsid w:val="00F74E04"/>
    <w:rsid w:val="00F76538"/>
    <w:rsid w:val="00F77E57"/>
    <w:rsid w:val="00F80874"/>
    <w:rsid w:val="00F82445"/>
    <w:rsid w:val="00F848B8"/>
    <w:rsid w:val="00F864EE"/>
    <w:rsid w:val="00F87B82"/>
    <w:rsid w:val="00F90AC9"/>
    <w:rsid w:val="00F93E30"/>
    <w:rsid w:val="00F950BF"/>
    <w:rsid w:val="00F9629C"/>
    <w:rsid w:val="00F976C1"/>
    <w:rsid w:val="00FA4306"/>
    <w:rsid w:val="00FB24B0"/>
    <w:rsid w:val="00FB6E9A"/>
    <w:rsid w:val="00FC1317"/>
    <w:rsid w:val="00FC201A"/>
    <w:rsid w:val="00FC3CEE"/>
    <w:rsid w:val="00FC617B"/>
    <w:rsid w:val="00FC7B0B"/>
    <w:rsid w:val="00FD095B"/>
    <w:rsid w:val="00FD1D30"/>
    <w:rsid w:val="00FD1D7B"/>
    <w:rsid w:val="00FD3813"/>
    <w:rsid w:val="00FD3B5A"/>
    <w:rsid w:val="00FD4BA4"/>
    <w:rsid w:val="00FD4E8C"/>
    <w:rsid w:val="00FD56A9"/>
    <w:rsid w:val="00FE0A3E"/>
    <w:rsid w:val="00FE11D1"/>
    <w:rsid w:val="00FE447E"/>
    <w:rsid w:val="00FE4BFB"/>
    <w:rsid w:val="00FE7456"/>
    <w:rsid w:val="00FE746E"/>
    <w:rsid w:val="00FF017A"/>
    <w:rsid w:val="00FF21B8"/>
    <w:rsid w:val="00FF2D2B"/>
    <w:rsid w:val="00FF3132"/>
    <w:rsid w:val="00FF38BE"/>
    <w:rsid w:val="00FF46FA"/>
    <w:rsid w:val="00FF7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D05DA0"/>
  <w15:chartTrackingRefBased/>
  <w15:docId w15:val="{FF051EE1-005A-4BB4-9215-ED7A1C49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FF0"/>
    <w:pPr>
      <w:suppressAutoHyphens/>
      <w:spacing w:line="240" w:lineRule="atLeast"/>
    </w:pPr>
    <w:rPr>
      <w:rFonts w:eastAsia="SimSun"/>
      <w:lang w:val="en-GB"/>
    </w:rPr>
  </w:style>
  <w:style w:type="paragraph" w:styleId="Heading1">
    <w:name w:val="heading 1"/>
    <w:aliases w:val="Table_G"/>
    <w:basedOn w:val="Normal"/>
    <w:next w:val="AnnoH23G"/>
    <w:qFormat/>
    <w:rsid w:val="00794FF0"/>
    <w:pPr>
      <w:ind w:left="1134"/>
      <w:outlineLvl w:val="0"/>
    </w:pPr>
  </w:style>
  <w:style w:type="paragraph" w:styleId="Heading2">
    <w:name w:val="heading 2"/>
    <w:basedOn w:val="Normal"/>
    <w:next w:val="Normal"/>
    <w:link w:val="Heading2Char"/>
    <w:qFormat/>
    <w:rsid w:val="00794FF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794FF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794FF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unhideWhenUsed/>
    <w:rsid w:val="00794F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FF0"/>
  </w:style>
  <w:style w:type="paragraph" w:customStyle="1" w:styleId="HMG">
    <w:name w:val="_ H __M_G"/>
    <w:basedOn w:val="Normal"/>
    <w:next w:val="Normal"/>
    <w:rsid w:val="00794FF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94FF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94FF0"/>
    <w:pPr>
      <w:keepNext/>
      <w:keepLines/>
      <w:spacing w:before="360" w:after="240" w:line="270" w:lineRule="exact"/>
      <w:ind w:left="1134" w:right="1134" w:hanging="1134"/>
    </w:pPr>
    <w:rPr>
      <w:b/>
      <w:sz w:val="24"/>
    </w:rPr>
  </w:style>
  <w:style w:type="paragraph" w:customStyle="1" w:styleId="H23G">
    <w:name w:val="_ H_2/3_G"/>
    <w:basedOn w:val="Normal"/>
    <w:next w:val="Normal"/>
    <w:rsid w:val="00794FF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94FF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94FF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794FF0"/>
    <w:pPr>
      <w:spacing w:after="120"/>
      <w:ind w:left="1134" w:right="1134"/>
      <w:jc w:val="both"/>
    </w:pPr>
    <w:rPr>
      <w:rFonts w:eastAsia="Times New Roman"/>
      <w:lang w:eastAsia="en-US"/>
    </w:rPr>
  </w:style>
  <w:style w:type="paragraph" w:customStyle="1" w:styleId="SLG">
    <w:name w:val="__S_L_G"/>
    <w:basedOn w:val="Normal"/>
    <w:next w:val="Normal"/>
    <w:rsid w:val="00794FF0"/>
    <w:pPr>
      <w:keepNext/>
      <w:keepLines/>
      <w:spacing w:before="240" w:after="240" w:line="580" w:lineRule="exact"/>
      <w:ind w:left="1134" w:right="1134"/>
    </w:pPr>
    <w:rPr>
      <w:b/>
      <w:sz w:val="56"/>
    </w:rPr>
  </w:style>
  <w:style w:type="paragraph" w:customStyle="1" w:styleId="SMG">
    <w:name w:val="__S_M_G"/>
    <w:basedOn w:val="Normal"/>
    <w:next w:val="Normal"/>
    <w:rsid w:val="00794FF0"/>
    <w:pPr>
      <w:keepNext/>
      <w:keepLines/>
      <w:spacing w:before="240" w:after="240" w:line="420" w:lineRule="exact"/>
      <w:ind w:left="1134" w:right="1134"/>
    </w:pPr>
    <w:rPr>
      <w:b/>
      <w:sz w:val="40"/>
    </w:rPr>
  </w:style>
  <w:style w:type="paragraph" w:customStyle="1" w:styleId="SSG">
    <w:name w:val="__S_S_G"/>
    <w:basedOn w:val="Normal"/>
    <w:next w:val="Normal"/>
    <w:rsid w:val="00794FF0"/>
    <w:pPr>
      <w:keepNext/>
      <w:keepLines/>
      <w:spacing w:before="240" w:after="240" w:line="300" w:lineRule="exact"/>
      <w:ind w:left="1134" w:right="1134"/>
    </w:pPr>
    <w:rPr>
      <w:b/>
      <w:sz w:val="28"/>
    </w:rPr>
  </w:style>
  <w:style w:type="paragraph" w:customStyle="1" w:styleId="XLargeG">
    <w:name w:val="__XLarge_G"/>
    <w:basedOn w:val="Normal"/>
    <w:next w:val="Normal"/>
    <w:rsid w:val="00794FF0"/>
    <w:pPr>
      <w:keepNext/>
      <w:keepLines/>
      <w:spacing w:before="240" w:after="240" w:line="420" w:lineRule="exact"/>
      <w:ind w:left="1134" w:right="1134"/>
    </w:pPr>
    <w:rPr>
      <w:b/>
      <w:sz w:val="40"/>
    </w:rPr>
  </w:style>
  <w:style w:type="paragraph" w:customStyle="1" w:styleId="Bullet1G">
    <w:name w:val="_Bullet 1_G"/>
    <w:basedOn w:val="Normal"/>
    <w:rsid w:val="00794FF0"/>
    <w:pPr>
      <w:numPr>
        <w:numId w:val="1"/>
      </w:numPr>
      <w:spacing w:after="120"/>
      <w:ind w:right="1134"/>
      <w:jc w:val="both"/>
    </w:pPr>
  </w:style>
  <w:style w:type="paragraph" w:customStyle="1" w:styleId="Bullet2G">
    <w:name w:val="_Bullet 2_G"/>
    <w:basedOn w:val="Normal"/>
    <w:rsid w:val="00794FF0"/>
    <w:pPr>
      <w:numPr>
        <w:numId w:val="2"/>
      </w:numPr>
      <w:spacing w:after="120"/>
      <w:ind w:right="1134"/>
      <w:jc w:val="both"/>
    </w:pPr>
  </w:style>
  <w:style w:type="paragraph" w:customStyle="1" w:styleId="AnnoHCHG">
    <w:name w:val="Anno _ H_CH_G"/>
    <w:basedOn w:val="Normal"/>
    <w:next w:val="AnnoH1G"/>
    <w:rsid w:val="00794FF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794FF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794FF0"/>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794FF0"/>
    <w:pPr>
      <w:numPr>
        <w:ilvl w:val="3"/>
        <w:numId w:val="3"/>
      </w:numPr>
      <w:spacing w:after="120"/>
      <w:ind w:left="1134" w:right="1134" w:firstLine="0"/>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794FF0"/>
    <w:rPr>
      <w:rFonts w:ascii="Times New Roman" w:hAnsi="Times New Roman"/>
      <w:sz w:val="18"/>
      <w:vertAlign w:val="superscript"/>
    </w:rPr>
  </w:style>
  <w:style w:type="character" w:styleId="EndnoteReference">
    <w:name w:val="endnote reference"/>
    <w:aliases w:val="1_G"/>
    <w:rsid w:val="00794FF0"/>
    <w:rPr>
      <w:rFonts w:ascii="Times New Roman" w:hAnsi="Times New Roman"/>
      <w:sz w:val="18"/>
      <w:vertAlign w:val="superscript"/>
    </w:rPr>
  </w:style>
  <w:style w:type="paragraph" w:styleId="EndnoteText">
    <w:name w:val="endnote text"/>
    <w:aliases w:val="2_G"/>
    <w:basedOn w:val="FootnoteText"/>
    <w:rsid w:val="00794FF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794FF0"/>
    <w:pPr>
      <w:tabs>
        <w:tab w:val="right" w:pos="1021"/>
      </w:tabs>
      <w:spacing w:line="220" w:lineRule="exact"/>
      <w:ind w:left="1134" w:right="1134" w:hanging="1134"/>
    </w:pPr>
    <w:rPr>
      <w:sz w:val="18"/>
    </w:rPr>
  </w:style>
  <w:style w:type="paragraph" w:styleId="Footer">
    <w:name w:val="footer"/>
    <w:aliases w:val="3_G"/>
    <w:basedOn w:val="Normal"/>
    <w:rsid w:val="00794FF0"/>
    <w:rPr>
      <w:sz w:val="16"/>
    </w:rPr>
  </w:style>
  <w:style w:type="paragraph" w:customStyle="1" w:styleId="FootnoteTable">
    <w:name w:val="Footnote Table"/>
    <w:basedOn w:val="Normal"/>
    <w:rsid w:val="00794FF0"/>
    <w:pPr>
      <w:spacing w:line="220" w:lineRule="exact"/>
      <w:jc w:val="both"/>
    </w:pPr>
    <w:rPr>
      <w:sz w:val="18"/>
    </w:rPr>
  </w:style>
  <w:style w:type="paragraph" w:styleId="Header">
    <w:name w:val="header"/>
    <w:aliases w:val="6_G"/>
    <w:basedOn w:val="Normal"/>
    <w:rsid w:val="00794FF0"/>
    <w:pPr>
      <w:pBdr>
        <w:bottom w:val="single" w:sz="4" w:space="4" w:color="auto"/>
      </w:pBdr>
    </w:pPr>
    <w:rPr>
      <w:b/>
      <w:sz w:val="18"/>
    </w:rPr>
  </w:style>
  <w:style w:type="character" w:styleId="PageNumber">
    <w:name w:val="page number"/>
    <w:aliases w:val="7_G"/>
    <w:rsid w:val="00794FF0"/>
    <w:rPr>
      <w:rFonts w:ascii="Times New Roman" w:hAnsi="Times New Roman"/>
      <w:b/>
      <w:sz w:val="18"/>
    </w:rPr>
  </w:style>
  <w:style w:type="paragraph" w:customStyle="1" w:styleId="RegHChG">
    <w:name w:val="Reg_H__Ch_G"/>
    <w:basedOn w:val="Normal"/>
    <w:next w:val="RegH1G"/>
    <w:link w:val="RegHChGCharChar"/>
    <w:rsid w:val="00794FF0"/>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794FF0"/>
    <w:pPr>
      <w:keepNext/>
      <w:keepLines/>
      <w:numPr>
        <w:ilvl w:val="1"/>
        <w:numId w:val="7"/>
      </w:numPr>
      <w:spacing w:before="360" w:after="240" w:line="270" w:lineRule="exact"/>
      <w:ind w:right="1134"/>
    </w:pPr>
    <w:rPr>
      <w:b/>
      <w:sz w:val="24"/>
    </w:rPr>
  </w:style>
  <w:style w:type="paragraph" w:customStyle="1" w:styleId="RegH23G">
    <w:name w:val="Reg_H_2/3_G"/>
    <w:basedOn w:val="Normal"/>
    <w:next w:val="RegSingleTxtG"/>
    <w:rsid w:val="00794FF0"/>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rsid w:val="00794FF0"/>
    <w:pPr>
      <w:numPr>
        <w:ilvl w:val="3"/>
        <w:numId w:val="7"/>
      </w:numPr>
      <w:tabs>
        <w:tab w:val="left" w:pos="1701"/>
      </w:tabs>
      <w:spacing w:after="120"/>
      <w:ind w:right="1134"/>
      <w:jc w:val="both"/>
    </w:pPr>
  </w:style>
  <w:style w:type="paragraph" w:styleId="TOC1">
    <w:name w:val="toc 1"/>
    <w:basedOn w:val="Normal"/>
    <w:next w:val="Normal"/>
    <w:autoRedefine/>
    <w:rsid w:val="00794FF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794FF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794FF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794FF0"/>
    <w:pPr>
      <w:spacing w:line="240" w:lineRule="auto"/>
    </w:pPr>
    <w:rPr>
      <w:rFonts w:ascii="Tahoma" w:hAnsi="Tahoma" w:cs="Tahoma"/>
      <w:sz w:val="16"/>
      <w:szCs w:val="16"/>
    </w:rPr>
  </w:style>
  <w:style w:type="character" w:customStyle="1" w:styleId="BalloonTextChar">
    <w:name w:val="Balloon Text Char"/>
    <w:link w:val="BalloonText"/>
    <w:rsid w:val="00794FF0"/>
    <w:rPr>
      <w:rFonts w:ascii="Tahoma" w:eastAsia="SimSun" w:hAnsi="Tahoma" w:cs="Tahoma"/>
      <w:sz w:val="16"/>
      <w:szCs w:val="16"/>
      <w:lang w:val="en-GB" w:eastAsia="zh-CN"/>
    </w:rPr>
  </w:style>
  <w:style w:type="paragraph" w:customStyle="1" w:styleId="ColorfulList-Accent11">
    <w:name w:val="Colorful List - Accent 11"/>
    <w:basedOn w:val="Normal"/>
    <w:uiPriority w:val="34"/>
    <w:qFormat/>
    <w:rsid w:val="00A83897"/>
    <w:pPr>
      <w:ind w:left="720"/>
      <w:contextualSpacing/>
    </w:pPr>
  </w:style>
  <w:style w:type="character" w:customStyle="1" w:styleId="Heading2Char">
    <w:name w:val="Heading 2 Char"/>
    <w:link w:val="Heading2"/>
    <w:rsid w:val="00794FF0"/>
    <w:rPr>
      <w:rFonts w:ascii="Cambria" w:hAnsi="Cambria"/>
      <w:b/>
      <w:bCs/>
      <w:color w:val="4F81BD"/>
      <w:sz w:val="26"/>
      <w:szCs w:val="26"/>
      <w:lang w:val="en-GB" w:eastAsia="zh-CN"/>
    </w:rPr>
  </w:style>
  <w:style w:type="character" w:customStyle="1" w:styleId="Heading4Char">
    <w:name w:val="Heading 4 Char"/>
    <w:link w:val="Heading4"/>
    <w:rsid w:val="00794FF0"/>
    <w:rPr>
      <w:rFonts w:ascii="Cambria" w:hAnsi="Cambria"/>
      <w:b/>
      <w:bCs/>
      <w:i/>
      <w:iCs/>
      <w:color w:val="4F81BD"/>
      <w:lang w:val="en-GB" w:eastAsia="zh-CN"/>
    </w:rPr>
  </w:style>
  <w:style w:type="character" w:customStyle="1" w:styleId="Heading5Char">
    <w:name w:val="Heading 5 Char"/>
    <w:link w:val="Heading5"/>
    <w:rsid w:val="00794FF0"/>
    <w:rPr>
      <w:rFonts w:ascii="Cambria" w:hAnsi="Cambria"/>
      <w:color w:val="243F60"/>
      <w:lang w:val="en-GB" w:eastAsia="zh-CN"/>
    </w:rPr>
  </w:style>
  <w:style w:type="paragraph" w:customStyle="1" w:styleId="ListParagraphforAnnexes">
    <w:name w:val="List Paragraph for Annexes"/>
    <w:basedOn w:val="ListParagraph"/>
    <w:qFormat/>
    <w:rsid w:val="00794FF0"/>
    <w:pPr>
      <w:spacing w:before="120" w:after="120" w:line="240" w:lineRule="exact"/>
      <w:contextualSpacing w:val="0"/>
    </w:pPr>
  </w:style>
  <w:style w:type="paragraph" w:customStyle="1" w:styleId="RegHead1">
    <w:name w:val="RegHead1"/>
    <w:basedOn w:val="Normal"/>
    <w:next w:val="RegHead2"/>
    <w:rsid w:val="00A61BEC"/>
    <w:pPr>
      <w:keepNext/>
      <w:numPr>
        <w:numId w:val="4"/>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4"/>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4"/>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4"/>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A61BEC"/>
    <w:rPr>
      <w:rFonts w:eastAsia="SimSun"/>
      <w:sz w:val="18"/>
      <w:lang w:val="en-GB" w:eastAsia="zh-CN"/>
    </w:rPr>
  </w:style>
  <w:style w:type="character" w:customStyle="1" w:styleId="RegSingleTxtGChar">
    <w:name w:val="Reg_Single Txt_G Char"/>
    <w:link w:val="RegSingleTxtG"/>
    <w:rsid w:val="00A61BEC"/>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RegHChGCharChar">
    <w:name w:val="Reg_H__Ch_G Char Char"/>
    <w:link w:val="RegHChG"/>
    <w:rsid w:val="00D5636D"/>
    <w:rPr>
      <w:rFonts w:eastAsia="SimSun"/>
      <w:b/>
      <w:sz w:val="28"/>
      <w:lang w:val="en-GB" w:eastAsia="zh-CN"/>
    </w:rPr>
  </w:style>
  <w:style w:type="character" w:styleId="Hyperlink">
    <w:name w:val="Hyperlink"/>
    <w:uiPriority w:val="99"/>
    <w:unhideWhenUsed/>
    <w:rsid w:val="00E948A0"/>
    <w:rPr>
      <w:strike w:val="0"/>
      <w:dstrike w:val="0"/>
      <w:color w:val="1478B7"/>
      <w:u w:val="none"/>
      <w:effect w:val="none"/>
    </w:rPr>
  </w:style>
  <w:style w:type="paragraph" w:styleId="ListParagraph">
    <w:name w:val="List Paragraph"/>
    <w:basedOn w:val="Normal"/>
    <w:uiPriority w:val="34"/>
    <w:qFormat/>
    <w:rsid w:val="00794FF0"/>
    <w:pPr>
      <w:ind w:left="720"/>
      <w:contextualSpacing/>
    </w:pPr>
  </w:style>
  <w:style w:type="character" w:styleId="CommentReference">
    <w:name w:val="annotation reference"/>
    <w:rsid w:val="00C13E2D"/>
    <w:rPr>
      <w:sz w:val="16"/>
      <w:szCs w:val="16"/>
    </w:rPr>
  </w:style>
  <w:style w:type="paragraph" w:styleId="CommentText">
    <w:name w:val="annotation text"/>
    <w:basedOn w:val="Normal"/>
    <w:link w:val="CommentTextChar"/>
    <w:rsid w:val="00C13E2D"/>
  </w:style>
  <w:style w:type="character" w:customStyle="1" w:styleId="CommentTextChar">
    <w:name w:val="Comment Text Char"/>
    <w:link w:val="CommentText"/>
    <w:rsid w:val="00C13E2D"/>
    <w:rPr>
      <w:rFonts w:eastAsia="SimSun"/>
      <w:lang w:val="en-GB" w:eastAsia="zh-CN"/>
    </w:rPr>
  </w:style>
  <w:style w:type="paragraph" w:styleId="CommentSubject">
    <w:name w:val="annotation subject"/>
    <w:basedOn w:val="CommentText"/>
    <w:next w:val="CommentText"/>
    <w:link w:val="CommentSubjectChar"/>
    <w:rsid w:val="00C13E2D"/>
    <w:rPr>
      <w:b/>
      <w:bCs/>
    </w:rPr>
  </w:style>
  <w:style w:type="character" w:customStyle="1" w:styleId="CommentSubjectChar">
    <w:name w:val="Comment Subject Char"/>
    <w:link w:val="CommentSubject"/>
    <w:rsid w:val="00C13E2D"/>
    <w:rPr>
      <w:rFonts w:eastAsia="SimSun"/>
      <w:b/>
      <w:bCs/>
      <w:lang w:val="en-GB" w:eastAsia="zh-CN"/>
    </w:rPr>
  </w:style>
  <w:style w:type="paragraph" w:styleId="Revision">
    <w:name w:val="Revision"/>
    <w:hidden/>
    <w:uiPriority w:val="99"/>
    <w:semiHidden/>
    <w:rsid w:val="00304F1B"/>
    <w:rPr>
      <w:rFonts w:eastAsia="SimSun"/>
      <w:lang w:val="en-GB"/>
    </w:rPr>
  </w:style>
  <w:style w:type="paragraph" w:styleId="TOC4">
    <w:name w:val="toc 4"/>
    <w:basedOn w:val="Normal"/>
    <w:next w:val="Normal"/>
    <w:autoRedefine/>
    <w:rsid w:val="0009045D"/>
    <w:pPr>
      <w:ind w:left="600"/>
    </w:pPr>
  </w:style>
  <w:style w:type="paragraph" w:styleId="TOC5">
    <w:name w:val="toc 5"/>
    <w:basedOn w:val="Normal"/>
    <w:next w:val="Normal"/>
    <w:autoRedefine/>
    <w:rsid w:val="0009045D"/>
    <w:pPr>
      <w:ind w:left="800"/>
    </w:pPr>
  </w:style>
  <w:style w:type="paragraph" w:styleId="TOC6">
    <w:name w:val="toc 6"/>
    <w:basedOn w:val="Normal"/>
    <w:next w:val="Normal"/>
    <w:autoRedefine/>
    <w:rsid w:val="0009045D"/>
    <w:pPr>
      <w:ind w:left="1000"/>
    </w:pPr>
  </w:style>
  <w:style w:type="paragraph" w:styleId="TOC7">
    <w:name w:val="toc 7"/>
    <w:basedOn w:val="Normal"/>
    <w:next w:val="Normal"/>
    <w:autoRedefine/>
    <w:rsid w:val="0009045D"/>
    <w:pPr>
      <w:ind w:left="1200"/>
    </w:pPr>
  </w:style>
  <w:style w:type="paragraph" w:styleId="TOC8">
    <w:name w:val="toc 8"/>
    <w:basedOn w:val="Normal"/>
    <w:next w:val="Normal"/>
    <w:autoRedefine/>
    <w:rsid w:val="0009045D"/>
    <w:pPr>
      <w:ind w:left="1400"/>
    </w:pPr>
  </w:style>
  <w:style w:type="paragraph" w:styleId="TOC9">
    <w:name w:val="toc 9"/>
    <w:basedOn w:val="Normal"/>
    <w:next w:val="Normal"/>
    <w:autoRedefine/>
    <w:rsid w:val="0009045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175">
      <w:bodyDiv w:val="1"/>
      <w:marLeft w:val="0"/>
      <w:marRight w:val="0"/>
      <w:marTop w:val="0"/>
      <w:marBottom w:val="0"/>
      <w:divBdr>
        <w:top w:val="none" w:sz="0" w:space="0" w:color="auto"/>
        <w:left w:val="none" w:sz="0" w:space="0" w:color="auto"/>
        <w:bottom w:val="none" w:sz="0" w:space="0" w:color="auto"/>
        <w:right w:val="none" w:sz="0" w:space="0" w:color="auto"/>
      </w:divBdr>
    </w:div>
    <w:div w:id="204025177">
      <w:bodyDiv w:val="1"/>
      <w:marLeft w:val="0"/>
      <w:marRight w:val="0"/>
      <w:marTop w:val="0"/>
      <w:marBottom w:val="0"/>
      <w:divBdr>
        <w:top w:val="none" w:sz="0" w:space="0" w:color="auto"/>
        <w:left w:val="none" w:sz="0" w:space="0" w:color="auto"/>
        <w:bottom w:val="none" w:sz="0" w:space="0" w:color="auto"/>
        <w:right w:val="none" w:sz="0" w:space="0" w:color="auto"/>
      </w:divBdr>
    </w:div>
    <w:div w:id="409886625">
      <w:bodyDiv w:val="1"/>
      <w:marLeft w:val="0"/>
      <w:marRight w:val="0"/>
      <w:marTop w:val="0"/>
      <w:marBottom w:val="0"/>
      <w:divBdr>
        <w:top w:val="none" w:sz="0" w:space="0" w:color="auto"/>
        <w:left w:val="none" w:sz="0" w:space="0" w:color="auto"/>
        <w:bottom w:val="none" w:sz="0" w:space="0" w:color="auto"/>
        <w:right w:val="none" w:sz="0" w:space="0" w:color="auto"/>
      </w:divBdr>
    </w:div>
    <w:div w:id="610012701">
      <w:bodyDiv w:val="1"/>
      <w:marLeft w:val="0"/>
      <w:marRight w:val="0"/>
      <w:marTop w:val="0"/>
      <w:marBottom w:val="0"/>
      <w:divBdr>
        <w:top w:val="none" w:sz="0" w:space="0" w:color="auto"/>
        <w:left w:val="none" w:sz="0" w:space="0" w:color="auto"/>
        <w:bottom w:val="none" w:sz="0" w:space="0" w:color="auto"/>
        <w:right w:val="none" w:sz="0" w:space="0" w:color="auto"/>
      </w:divBdr>
      <w:divsChild>
        <w:div w:id="68116292">
          <w:marLeft w:val="0"/>
          <w:marRight w:val="0"/>
          <w:marTop w:val="0"/>
          <w:marBottom w:val="0"/>
          <w:divBdr>
            <w:top w:val="none" w:sz="0" w:space="0" w:color="auto"/>
            <w:left w:val="none" w:sz="0" w:space="0" w:color="auto"/>
            <w:bottom w:val="none" w:sz="0" w:space="0" w:color="auto"/>
            <w:right w:val="none" w:sz="0" w:space="0" w:color="auto"/>
          </w:divBdr>
        </w:div>
        <w:div w:id="236789042">
          <w:marLeft w:val="0"/>
          <w:marRight w:val="0"/>
          <w:marTop w:val="0"/>
          <w:marBottom w:val="0"/>
          <w:divBdr>
            <w:top w:val="none" w:sz="0" w:space="0" w:color="auto"/>
            <w:left w:val="none" w:sz="0" w:space="0" w:color="auto"/>
            <w:bottom w:val="none" w:sz="0" w:space="0" w:color="auto"/>
            <w:right w:val="none" w:sz="0" w:space="0" w:color="auto"/>
          </w:divBdr>
        </w:div>
        <w:div w:id="308365642">
          <w:marLeft w:val="0"/>
          <w:marRight w:val="0"/>
          <w:marTop w:val="0"/>
          <w:marBottom w:val="0"/>
          <w:divBdr>
            <w:top w:val="none" w:sz="0" w:space="0" w:color="auto"/>
            <w:left w:val="none" w:sz="0" w:space="0" w:color="auto"/>
            <w:bottom w:val="none" w:sz="0" w:space="0" w:color="auto"/>
            <w:right w:val="none" w:sz="0" w:space="0" w:color="auto"/>
          </w:divBdr>
        </w:div>
        <w:div w:id="345984968">
          <w:marLeft w:val="0"/>
          <w:marRight w:val="0"/>
          <w:marTop w:val="0"/>
          <w:marBottom w:val="0"/>
          <w:divBdr>
            <w:top w:val="none" w:sz="0" w:space="0" w:color="auto"/>
            <w:left w:val="none" w:sz="0" w:space="0" w:color="auto"/>
            <w:bottom w:val="none" w:sz="0" w:space="0" w:color="auto"/>
            <w:right w:val="none" w:sz="0" w:space="0" w:color="auto"/>
          </w:divBdr>
        </w:div>
        <w:div w:id="653338693">
          <w:marLeft w:val="0"/>
          <w:marRight w:val="0"/>
          <w:marTop w:val="0"/>
          <w:marBottom w:val="0"/>
          <w:divBdr>
            <w:top w:val="none" w:sz="0" w:space="0" w:color="auto"/>
            <w:left w:val="none" w:sz="0" w:space="0" w:color="auto"/>
            <w:bottom w:val="none" w:sz="0" w:space="0" w:color="auto"/>
            <w:right w:val="none" w:sz="0" w:space="0" w:color="auto"/>
          </w:divBdr>
        </w:div>
        <w:div w:id="818695208">
          <w:marLeft w:val="0"/>
          <w:marRight w:val="0"/>
          <w:marTop w:val="0"/>
          <w:marBottom w:val="0"/>
          <w:divBdr>
            <w:top w:val="none" w:sz="0" w:space="0" w:color="auto"/>
            <w:left w:val="none" w:sz="0" w:space="0" w:color="auto"/>
            <w:bottom w:val="none" w:sz="0" w:space="0" w:color="auto"/>
            <w:right w:val="none" w:sz="0" w:space="0" w:color="auto"/>
          </w:divBdr>
        </w:div>
        <w:div w:id="885143551">
          <w:marLeft w:val="0"/>
          <w:marRight w:val="0"/>
          <w:marTop w:val="0"/>
          <w:marBottom w:val="0"/>
          <w:divBdr>
            <w:top w:val="none" w:sz="0" w:space="0" w:color="auto"/>
            <w:left w:val="none" w:sz="0" w:space="0" w:color="auto"/>
            <w:bottom w:val="none" w:sz="0" w:space="0" w:color="auto"/>
            <w:right w:val="none" w:sz="0" w:space="0" w:color="auto"/>
          </w:divBdr>
        </w:div>
        <w:div w:id="935290978">
          <w:marLeft w:val="0"/>
          <w:marRight w:val="0"/>
          <w:marTop w:val="0"/>
          <w:marBottom w:val="0"/>
          <w:divBdr>
            <w:top w:val="none" w:sz="0" w:space="0" w:color="auto"/>
            <w:left w:val="none" w:sz="0" w:space="0" w:color="auto"/>
            <w:bottom w:val="none" w:sz="0" w:space="0" w:color="auto"/>
            <w:right w:val="none" w:sz="0" w:space="0" w:color="auto"/>
          </w:divBdr>
        </w:div>
        <w:div w:id="942689259">
          <w:marLeft w:val="0"/>
          <w:marRight w:val="0"/>
          <w:marTop w:val="0"/>
          <w:marBottom w:val="0"/>
          <w:divBdr>
            <w:top w:val="none" w:sz="0" w:space="0" w:color="auto"/>
            <w:left w:val="none" w:sz="0" w:space="0" w:color="auto"/>
            <w:bottom w:val="none" w:sz="0" w:space="0" w:color="auto"/>
            <w:right w:val="none" w:sz="0" w:space="0" w:color="auto"/>
          </w:divBdr>
        </w:div>
        <w:div w:id="1026716793">
          <w:marLeft w:val="0"/>
          <w:marRight w:val="0"/>
          <w:marTop w:val="0"/>
          <w:marBottom w:val="0"/>
          <w:divBdr>
            <w:top w:val="none" w:sz="0" w:space="0" w:color="auto"/>
            <w:left w:val="none" w:sz="0" w:space="0" w:color="auto"/>
            <w:bottom w:val="none" w:sz="0" w:space="0" w:color="auto"/>
            <w:right w:val="none" w:sz="0" w:space="0" w:color="auto"/>
          </w:divBdr>
        </w:div>
        <w:div w:id="1100835358">
          <w:marLeft w:val="0"/>
          <w:marRight w:val="0"/>
          <w:marTop w:val="0"/>
          <w:marBottom w:val="0"/>
          <w:divBdr>
            <w:top w:val="none" w:sz="0" w:space="0" w:color="auto"/>
            <w:left w:val="none" w:sz="0" w:space="0" w:color="auto"/>
            <w:bottom w:val="none" w:sz="0" w:space="0" w:color="auto"/>
            <w:right w:val="none" w:sz="0" w:space="0" w:color="auto"/>
          </w:divBdr>
        </w:div>
        <w:div w:id="1217552245">
          <w:marLeft w:val="0"/>
          <w:marRight w:val="0"/>
          <w:marTop w:val="0"/>
          <w:marBottom w:val="0"/>
          <w:divBdr>
            <w:top w:val="none" w:sz="0" w:space="0" w:color="auto"/>
            <w:left w:val="none" w:sz="0" w:space="0" w:color="auto"/>
            <w:bottom w:val="none" w:sz="0" w:space="0" w:color="auto"/>
            <w:right w:val="none" w:sz="0" w:space="0" w:color="auto"/>
          </w:divBdr>
        </w:div>
        <w:div w:id="1278828587">
          <w:marLeft w:val="0"/>
          <w:marRight w:val="0"/>
          <w:marTop w:val="0"/>
          <w:marBottom w:val="0"/>
          <w:divBdr>
            <w:top w:val="none" w:sz="0" w:space="0" w:color="auto"/>
            <w:left w:val="none" w:sz="0" w:space="0" w:color="auto"/>
            <w:bottom w:val="none" w:sz="0" w:space="0" w:color="auto"/>
            <w:right w:val="none" w:sz="0" w:space="0" w:color="auto"/>
          </w:divBdr>
        </w:div>
        <w:div w:id="1351948901">
          <w:marLeft w:val="0"/>
          <w:marRight w:val="0"/>
          <w:marTop w:val="0"/>
          <w:marBottom w:val="0"/>
          <w:divBdr>
            <w:top w:val="none" w:sz="0" w:space="0" w:color="auto"/>
            <w:left w:val="none" w:sz="0" w:space="0" w:color="auto"/>
            <w:bottom w:val="none" w:sz="0" w:space="0" w:color="auto"/>
            <w:right w:val="none" w:sz="0" w:space="0" w:color="auto"/>
          </w:divBdr>
        </w:div>
        <w:div w:id="1480071065">
          <w:marLeft w:val="0"/>
          <w:marRight w:val="0"/>
          <w:marTop w:val="0"/>
          <w:marBottom w:val="0"/>
          <w:divBdr>
            <w:top w:val="none" w:sz="0" w:space="0" w:color="auto"/>
            <w:left w:val="none" w:sz="0" w:space="0" w:color="auto"/>
            <w:bottom w:val="none" w:sz="0" w:space="0" w:color="auto"/>
            <w:right w:val="none" w:sz="0" w:space="0" w:color="auto"/>
          </w:divBdr>
        </w:div>
        <w:div w:id="1579903659">
          <w:marLeft w:val="0"/>
          <w:marRight w:val="0"/>
          <w:marTop w:val="0"/>
          <w:marBottom w:val="0"/>
          <w:divBdr>
            <w:top w:val="none" w:sz="0" w:space="0" w:color="auto"/>
            <w:left w:val="none" w:sz="0" w:space="0" w:color="auto"/>
            <w:bottom w:val="none" w:sz="0" w:space="0" w:color="auto"/>
            <w:right w:val="none" w:sz="0" w:space="0" w:color="auto"/>
          </w:divBdr>
        </w:div>
        <w:div w:id="1723942094">
          <w:marLeft w:val="0"/>
          <w:marRight w:val="0"/>
          <w:marTop w:val="0"/>
          <w:marBottom w:val="0"/>
          <w:divBdr>
            <w:top w:val="none" w:sz="0" w:space="0" w:color="auto"/>
            <w:left w:val="none" w:sz="0" w:space="0" w:color="auto"/>
            <w:bottom w:val="none" w:sz="0" w:space="0" w:color="auto"/>
            <w:right w:val="none" w:sz="0" w:space="0" w:color="auto"/>
          </w:divBdr>
        </w:div>
        <w:div w:id="1771462236">
          <w:marLeft w:val="0"/>
          <w:marRight w:val="0"/>
          <w:marTop w:val="0"/>
          <w:marBottom w:val="0"/>
          <w:divBdr>
            <w:top w:val="none" w:sz="0" w:space="0" w:color="auto"/>
            <w:left w:val="none" w:sz="0" w:space="0" w:color="auto"/>
            <w:bottom w:val="none" w:sz="0" w:space="0" w:color="auto"/>
            <w:right w:val="none" w:sz="0" w:space="0" w:color="auto"/>
          </w:divBdr>
        </w:div>
        <w:div w:id="2095664015">
          <w:marLeft w:val="0"/>
          <w:marRight w:val="0"/>
          <w:marTop w:val="0"/>
          <w:marBottom w:val="0"/>
          <w:divBdr>
            <w:top w:val="none" w:sz="0" w:space="0" w:color="auto"/>
            <w:left w:val="none" w:sz="0" w:space="0" w:color="auto"/>
            <w:bottom w:val="none" w:sz="0" w:space="0" w:color="auto"/>
            <w:right w:val="none" w:sz="0" w:space="0" w:color="auto"/>
          </w:divBdr>
        </w:div>
      </w:divsChild>
    </w:div>
    <w:div w:id="796874273">
      <w:bodyDiv w:val="1"/>
      <w:marLeft w:val="0"/>
      <w:marRight w:val="0"/>
      <w:marTop w:val="0"/>
      <w:marBottom w:val="0"/>
      <w:divBdr>
        <w:top w:val="none" w:sz="0" w:space="0" w:color="auto"/>
        <w:left w:val="none" w:sz="0" w:space="0" w:color="auto"/>
        <w:bottom w:val="none" w:sz="0" w:space="0" w:color="auto"/>
        <w:right w:val="none" w:sz="0" w:space="0" w:color="auto"/>
      </w:divBdr>
    </w:div>
    <w:div w:id="988171339">
      <w:bodyDiv w:val="1"/>
      <w:marLeft w:val="0"/>
      <w:marRight w:val="0"/>
      <w:marTop w:val="0"/>
      <w:marBottom w:val="0"/>
      <w:divBdr>
        <w:top w:val="none" w:sz="0" w:space="0" w:color="auto"/>
        <w:left w:val="none" w:sz="0" w:space="0" w:color="auto"/>
        <w:bottom w:val="none" w:sz="0" w:space="0" w:color="auto"/>
        <w:right w:val="none" w:sz="0" w:space="0" w:color="auto"/>
      </w:divBdr>
    </w:div>
    <w:div w:id="1051226218">
      <w:bodyDiv w:val="1"/>
      <w:marLeft w:val="0"/>
      <w:marRight w:val="0"/>
      <w:marTop w:val="0"/>
      <w:marBottom w:val="0"/>
      <w:divBdr>
        <w:top w:val="none" w:sz="0" w:space="0" w:color="auto"/>
        <w:left w:val="none" w:sz="0" w:space="0" w:color="auto"/>
        <w:bottom w:val="none" w:sz="0" w:space="0" w:color="auto"/>
        <w:right w:val="none" w:sz="0" w:space="0" w:color="auto"/>
      </w:divBdr>
    </w:div>
    <w:div w:id="1213270472">
      <w:bodyDiv w:val="1"/>
      <w:marLeft w:val="0"/>
      <w:marRight w:val="0"/>
      <w:marTop w:val="0"/>
      <w:marBottom w:val="0"/>
      <w:divBdr>
        <w:top w:val="none" w:sz="0" w:space="0" w:color="auto"/>
        <w:left w:val="none" w:sz="0" w:space="0" w:color="auto"/>
        <w:bottom w:val="none" w:sz="0" w:space="0" w:color="auto"/>
        <w:right w:val="none" w:sz="0" w:space="0" w:color="auto"/>
      </w:divBdr>
    </w:div>
    <w:div w:id="1516531319">
      <w:bodyDiv w:val="1"/>
      <w:marLeft w:val="0"/>
      <w:marRight w:val="0"/>
      <w:marTop w:val="0"/>
      <w:marBottom w:val="0"/>
      <w:divBdr>
        <w:top w:val="none" w:sz="0" w:space="0" w:color="auto"/>
        <w:left w:val="none" w:sz="0" w:space="0" w:color="auto"/>
        <w:bottom w:val="none" w:sz="0" w:space="0" w:color="auto"/>
        <w:right w:val="none" w:sz="0" w:space="0" w:color="auto"/>
      </w:divBdr>
    </w:div>
    <w:div w:id="1521311004">
      <w:bodyDiv w:val="1"/>
      <w:marLeft w:val="0"/>
      <w:marRight w:val="0"/>
      <w:marTop w:val="0"/>
      <w:marBottom w:val="0"/>
      <w:divBdr>
        <w:top w:val="none" w:sz="0" w:space="0" w:color="auto"/>
        <w:left w:val="none" w:sz="0" w:space="0" w:color="auto"/>
        <w:bottom w:val="none" w:sz="0" w:space="0" w:color="auto"/>
        <w:right w:val="none" w:sz="0" w:space="0" w:color="auto"/>
      </w:divBdr>
    </w:div>
    <w:div w:id="1560819195">
      <w:bodyDiv w:val="1"/>
      <w:marLeft w:val="0"/>
      <w:marRight w:val="0"/>
      <w:marTop w:val="0"/>
      <w:marBottom w:val="0"/>
      <w:divBdr>
        <w:top w:val="none" w:sz="0" w:space="0" w:color="auto"/>
        <w:left w:val="none" w:sz="0" w:space="0" w:color="auto"/>
        <w:bottom w:val="none" w:sz="0" w:space="0" w:color="auto"/>
        <w:right w:val="none" w:sz="0" w:space="0" w:color="auto"/>
      </w:divBdr>
    </w:div>
    <w:div w:id="1561555088">
      <w:bodyDiv w:val="1"/>
      <w:marLeft w:val="0"/>
      <w:marRight w:val="0"/>
      <w:marTop w:val="0"/>
      <w:marBottom w:val="0"/>
      <w:divBdr>
        <w:top w:val="none" w:sz="0" w:space="0" w:color="auto"/>
        <w:left w:val="none" w:sz="0" w:space="0" w:color="auto"/>
        <w:bottom w:val="none" w:sz="0" w:space="0" w:color="auto"/>
        <w:right w:val="none" w:sz="0" w:space="0" w:color="auto"/>
      </w:divBdr>
    </w:div>
    <w:div w:id="1628126217">
      <w:bodyDiv w:val="1"/>
      <w:marLeft w:val="0"/>
      <w:marRight w:val="0"/>
      <w:marTop w:val="0"/>
      <w:marBottom w:val="0"/>
      <w:divBdr>
        <w:top w:val="none" w:sz="0" w:space="0" w:color="auto"/>
        <w:left w:val="none" w:sz="0" w:space="0" w:color="auto"/>
        <w:bottom w:val="none" w:sz="0" w:space="0" w:color="auto"/>
        <w:right w:val="none" w:sz="0" w:space="0" w:color="auto"/>
      </w:divBdr>
    </w:div>
    <w:div w:id="18766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ipcc.ch/report/ar5/wg1" TargetMode="External"/><Relationship Id="rId1" Type="http://schemas.openxmlformats.org/officeDocument/2006/relationships/hyperlink" Target="http://www.ipcc.ch/report/ar5/wg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EA7BCD2E-5A85-4CED-8FE6-4C3B5ED71A39}">
  <ds:schemaRefs>
    <ds:schemaRef ds:uri="http://schemas.microsoft.com/sharepoint/v3/contenttype/forms"/>
  </ds:schemaRefs>
</ds:datastoreItem>
</file>

<file path=customXml/itemProps2.xml><?xml version="1.0" encoding="utf-8"?>
<ds:datastoreItem xmlns:ds="http://schemas.openxmlformats.org/officeDocument/2006/customXml" ds:itemID="{D3A65C4A-7BF8-446B-8219-F313693EA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FA451-9A58-4141-8141-8B38B1006876}">
  <ds:schemaRefs>
    <ds:schemaRef ds:uri="http://schemas.openxmlformats.org/officeDocument/2006/bibliography"/>
  </ds:schemaRefs>
</ds:datastoreItem>
</file>

<file path=customXml/itemProps4.xml><?xml version="1.0" encoding="utf-8"?>
<ds:datastoreItem xmlns:ds="http://schemas.openxmlformats.org/officeDocument/2006/customXml" ds:itemID="{3AD996DB-5342-4BDD-91D0-F6F4DB16BE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FCCC.dotm</Template>
  <TotalTime>0</TotalTime>
  <Pages>3</Pages>
  <Words>13312</Words>
  <Characters>75881</Characters>
  <Application>Microsoft Office Word</Application>
  <DocSecurity>0</DocSecurity>
  <Lines>632</Lines>
  <Paragraphs>178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UNFCCC</Company>
  <LinksUpToDate>false</LinksUpToDate>
  <CharactersWithSpaces>89015</CharactersWithSpaces>
  <SharedDoc>false</SharedDoc>
  <HLinks>
    <vt:vector size="12" baseType="variant">
      <vt:variant>
        <vt:i4>131154</vt:i4>
      </vt:variant>
      <vt:variant>
        <vt:i4>3</vt:i4>
      </vt:variant>
      <vt:variant>
        <vt:i4>0</vt:i4>
      </vt:variant>
      <vt:variant>
        <vt:i4>5</vt:i4>
      </vt:variant>
      <vt:variant>
        <vt:lpwstr>http://www.ipcc.ch/report/ar5/wg1</vt:lpwstr>
      </vt:variant>
      <vt:variant>
        <vt:lpwstr/>
      </vt:variant>
      <vt:variant>
        <vt:i4>131154</vt:i4>
      </vt:variant>
      <vt:variant>
        <vt:i4>0</vt:i4>
      </vt:variant>
      <vt:variant>
        <vt:i4>0</vt:i4>
      </vt:variant>
      <vt:variant>
        <vt:i4>5</vt:i4>
      </vt:variant>
      <vt:variant>
        <vt:lpwstr>http://www.ipcc.ch/report/ar5/wg2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cp:lastModifiedBy>Joaquim Barris</cp:lastModifiedBy>
  <cp:revision>2</cp:revision>
  <cp:lastPrinted>2014-07-17T08:39:00Z</cp:lastPrinted>
  <dcterms:created xsi:type="dcterms:W3CDTF">2024-10-29T08:23:00Z</dcterms:created>
  <dcterms:modified xsi:type="dcterms:W3CDTF">2024-10-29T08:23:00Z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ies>
</file>