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8.xml" ContentType="application/vnd.openxmlformats-officedocument.wordprocessingml.header+xml"/>
  <Override PartName="/word/footer2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BF95" w14:textId="63CAF3D5" w:rsidR="00BE07CA" w:rsidRPr="00290E5D" w:rsidRDefault="00290E5D" w:rsidP="00290E5D">
      <w:pPr>
        <w:spacing w:before="120"/>
        <w:rPr>
          <w:b/>
          <w:sz w:val="24"/>
        </w:rPr>
      </w:pPr>
      <w:r w:rsidRPr="00290E5D">
        <w:rPr>
          <w:b/>
          <w:sz w:val="24"/>
        </w:rPr>
        <w:t>Subsidiary Body for Implementation</w:t>
      </w:r>
    </w:p>
    <w:tbl>
      <w:tblPr>
        <w:tblpPr w:leftFromText="142" w:rightFromText="142" w:vertAnchor="page" w:horzAnchor="page" w:tblpX="1135" w:tblpY="568"/>
        <w:tblOverlap w:val="never"/>
        <w:tblW w:w="9645" w:type="dxa"/>
        <w:tblBorders>
          <w:bottom w:val="single" w:sz="12" w:space="0" w:color="auto"/>
          <w:insideH w:val="single" w:sz="4" w:space="0" w:color="auto"/>
        </w:tblBorders>
        <w:tblLayout w:type="fixed"/>
        <w:tblLook w:val="01E0" w:firstRow="1" w:lastRow="1" w:firstColumn="1" w:lastColumn="1" w:noHBand="0" w:noVBand="0"/>
      </w:tblPr>
      <w:tblGrid>
        <w:gridCol w:w="1243"/>
        <w:gridCol w:w="2554"/>
        <w:gridCol w:w="717"/>
        <w:gridCol w:w="2294"/>
        <w:gridCol w:w="2837"/>
      </w:tblGrid>
      <w:tr w:rsidR="00BE07CA" w14:paraId="32C8EB3B" w14:textId="77777777" w:rsidTr="00DD4824">
        <w:trPr>
          <w:cantSplit/>
          <w:trHeight w:hRule="exact" w:val="1134"/>
        </w:trPr>
        <w:tc>
          <w:tcPr>
            <w:tcW w:w="1242" w:type="dxa"/>
            <w:tcBorders>
              <w:top w:val="nil"/>
              <w:left w:val="nil"/>
              <w:bottom w:val="single" w:sz="4" w:space="0" w:color="auto"/>
              <w:right w:val="nil"/>
            </w:tcBorders>
            <w:vAlign w:val="bottom"/>
            <w:hideMark/>
          </w:tcPr>
          <w:p w14:paraId="5635A0C7" w14:textId="77777777" w:rsidR="00BE07CA" w:rsidRDefault="00BE07CA" w:rsidP="00DD4824">
            <w:r>
              <w:rPr>
                <w:noProof/>
                <w:lang w:val="en-US" w:eastAsia="en-US"/>
              </w:rPr>
              <w:drawing>
                <wp:inline distT="0" distB="0" distL="0" distR="0" wp14:anchorId="4F6FABAF" wp14:editId="0A1A2741">
                  <wp:extent cx="715645" cy="588645"/>
                  <wp:effectExtent l="0" t="0" r="8255" b="1905"/>
                  <wp:docPr id="5" name="Picture 5"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645" cy="588645"/>
                          </a:xfrm>
                          <a:prstGeom prst="rect">
                            <a:avLst/>
                          </a:prstGeom>
                          <a:noFill/>
                          <a:ln>
                            <a:noFill/>
                          </a:ln>
                        </pic:spPr>
                      </pic:pic>
                    </a:graphicData>
                  </a:graphic>
                </wp:inline>
              </w:drawing>
            </w:r>
          </w:p>
        </w:tc>
        <w:tc>
          <w:tcPr>
            <w:tcW w:w="2552" w:type="dxa"/>
            <w:tcBorders>
              <w:top w:val="nil"/>
              <w:left w:val="nil"/>
              <w:bottom w:val="single" w:sz="4" w:space="0" w:color="auto"/>
              <w:right w:val="nil"/>
            </w:tcBorders>
            <w:vAlign w:val="bottom"/>
            <w:hideMark/>
          </w:tcPr>
          <w:p w14:paraId="6265D07A" w14:textId="77777777" w:rsidR="00BE07CA" w:rsidRDefault="00BE07CA" w:rsidP="00DD4824">
            <w:pPr>
              <w:spacing w:after="80" w:line="300" w:lineRule="exact"/>
              <w:ind w:left="323"/>
              <w:rPr>
                <w:b/>
                <w:sz w:val="24"/>
                <w:szCs w:val="24"/>
              </w:rPr>
            </w:pPr>
            <w:r>
              <w:rPr>
                <w:sz w:val="28"/>
                <w:szCs w:val="28"/>
              </w:rPr>
              <w:t>United Nations</w:t>
            </w:r>
          </w:p>
        </w:tc>
        <w:tc>
          <w:tcPr>
            <w:tcW w:w="5845" w:type="dxa"/>
            <w:gridSpan w:val="3"/>
            <w:tcBorders>
              <w:top w:val="nil"/>
              <w:left w:val="nil"/>
              <w:bottom w:val="single" w:sz="4" w:space="0" w:color="auto"/>
              <w:right w:val="nil"/>
            </w:tcBorders>
            <w:vAlign w:val="bottom"/>
            <w:hideMark/>
          </w:tcPr>
          <w:p w14:paraId="76FBBE85" w14:textId="77777777" w:rsidR="00BE07CA" w:rsidRDefault="00BE07CA" w:rsidP="00DD4824">
            <w:pPr>
              <w:jc w:val="right"/>
            </w:pPr>
            <w:r>
              <w:rPr>
                <w:sz w:val="40"/>
              </w:rPr>
              <w:t>FCCC</w:t>
            </w:r>
            <w:r>
              <w:t>/SBI/2016/8</w:t>
            </w:r>
          </w:p>
        </w:tc>
      </w:tr>
      <w:tr w:rsidR="00BE07CA" w14:paraId="5A1E841A" w14:textId="77777777" w:rsidTr="00DD4824">
        <w:trPr>
          <w:cantSplit/>
          <w:trHeight w:hRule="exact" w:val="2552"/>
        </w:trPr>
        <w:tc>
          <w:tcPr>
            <w:tcW w:w="4511" w:type="dxa"/>
            <w:gridSpan w:val="3"/>
            <w:tcBorders>
              <w:top w:val="single" w:sz="4" w:space="0" w:color="auto"/>
              <w:left w:val="nil"/>
              <w:bottom w:val="single" w:sz="12" w:space="0" w:color="auto"/>
              <w:right w:val="nil"/>
            </w:tcBorders>
          </w:tcPr>
          <w:p w14:paraId="60F4F419" w14:textId="77777777" w:rsidR="00BE07CA" w:rsidRDefault="00BE07CA" w:rsidP="00DD4824">
            <w:r>
              <w:rPr>
                <w:noProof/>
                <w:lang w:val="en-US" w:eastAsia="en-US"/>
              </w:rPr>
              <w:drawing>
                <wp:anchor distT="0" distB="0" distL="114300" distR="114300" simplePos="0" relativeHeight="251658240" behindDoc="1" locked="0" layoutInCell="1" allowOverlap="1" wp14:anchorId="73F74035" wp14:editId="65684118">
                  <wp:simplePos x="0" y="0"/>
                  <wp:positionH relativeFrom="column">
                    <wp:posOffset>3810</wp:posOffset>
                  </wp:positionH>
                  <wp:positionV relativeFrom="paragraph">
                    <wp:posOffset>5715</wp:posOffset>
                  </wp:positionV>
                  <wp:extent cx="2401570" cy="5645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54FBB" w14:textId="77777777" w:rsidR="00BE07CA" w:rsidRDefault="00BE07CA" w:rsidP="00DD4824"/>
        </w:tc>
        <w:tc>
          <w:tcPr>
            <w:tcW w:w="2293" w:type="dxa"/>
            <w:tcBorders>
              <w:top w:val="single" w:sz="4" w:space="0" w:color="auto"/>
              <w:left w:val="nil"/>
              <w:bottom w:val="single" w:sz="12" w:space="0" w:color="auto"/>
              <w:right w:val="nil"/>
            </w:tcBorders>
          </w:tcPr>
          <w:p w14:paraId="6E107AF1" w14:textId="77777777" w:rsidR="00BE07CA" w:rsidRDefault="00BE07CA" w:rsidP="00DD4824">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Borders>
              <w:top w:val="single" w:sz="4" w:space="0" w:color="auto"/>
              <w:left w:val="nil"/>
              <w:bottom w:val="single" w:sz="12" w:space="0" w:color="auto"/>
              <w:right w:val="nil"/>
            </w:tcBorders>
          </w:tcPr>
          <w:p w14:paraId="094970BB" w14:textId="77777777" w:rsidR="00BE07CA" w:rsidRDefault="00BE07CA" w:rsidP="00DD4824">
            <w:pPr>
              <w:spacing w:before="240" w:line="240" w:lineRule="exact"/>
            </w:pPr>
            <w:r>
              <w:t>Distr.: General</w:t>
            </w:r>
          </w:p>
          <w:p w14:paraId="61766F1A" w14:textId="1959964C" w:rsidR="00BE07CA" w:rsidRDefault="005C2F83" w:rsidP="00DD4824">
            <w:pPr>
              <w:spacing w:line="240" w:lineRule="exact"/>
            </w:pPr>
            <w:r>
              <w:t>26 August</w:t>
            </w:r>
            <w:r w:rsidR="00BE07CA" w:rsidRPr="00E6644A">
              <w:t xml:space="preserve"> 2016</w:t>
            </w:r>
          </w:p>
          <w:p w14:paraId="179128FE" w14:textId="77777777" w:rsidR="00BE07CA" w:rsidRDefault="00BE07CA" w:rsidP="00DD4824">
            <w:pPr>
              <w:spacing w:line="240" w:lineRule="exact"/>
            </w:pPr>
          </w:p>
          <w:p w14:paraId="36DE4502" w14:textId="77777777" w:rsidR="00BE07CA" w:rsidRDefault="00BE07CA" w:rsidP="00DD4824">
            <w:pPr>
              <w:spacing w:line="240" w:lineRule="exact"/>
            </w:pPr>
            <w:r>
              <w:t>Original: English</w:t>
            </w:r>
          </w:p>
          <w:p w14:paraId="080A2211" w14:textId="77777777" w:rsidR="00BE07CA" w:rsidRDefault="00BE07CA" w:rsidP="00DD4824">
            <w:pPr>
              <w:spacing w:line="240" w:lineRule="exact"/>
            </w:pPr>
          </w:p>
          <w:p w14:paraId="07C98C78" w14:textId="77777777" w:rsidR="00BE07CA" w:rsidRDefault="00BE07CA" w:rsidP="00DD4824">
            <w:pPr>
              <w:spacing w:line="240" w:lineRule="exact"/>
            </w:pPr>
          </w:p>
        </w:tc>
      </w:tr>
    </w:tbl>
    <w:p w14:paraId="3155902D" w14:textId="5505698C" w:rsidR="00BE07CA" w:rsidRDefault="00BE07CA" w:rsidP="00BE07CA">
      <w:pPr>
        <w:pStyle w:val="HChG"/>
      </w:pPr>
      <w:r>
        <w:tab/>
      </w:r>
      <w:r>
        <w:tab/>
        <w:t xml:space="preserve">Report of the Subsidiary Body for Implementation </w:t>
      </w:r>
      <w:bookmarkStart w:id="0" w:name="OLE_LINK2"/>
      <w:bookmarkStart w:id="1" w:name="OLE_LINK1"/>
      <w:r>
        <w:t>on its forty-fourth session</w:t>
      </w:r>
      <w:bookmarkEnd w:id="0"/>
      <w:bookmarkEnd w:id="1"/>
      <w:r>
        <w:t>, held in Bonn from 16 to 26 May 2016</w:t>
      </w:r>
    </w:p>
    <w:p w14:paraId="3A88E018" w14:textId="77777777" w:rsidR="00BE07CA" w:rsidRDefault="00BE07CA" w:rsidP="00BE07CA">
      <w:pPr>
        <w:spacing w:after="120"/>
        <w:rPr>
          <w:sz w:val="28"/>
        </w:rPr>
      </w:pPr>
      <w:r>
        <w:rPr>
          <w:sz w:val="28"/>
        </w:rPr>
        <w:t>Contents</w:t>
      </w:r>
    </w:p>
    <w:p w14:paraId="3009D914" w14:textId="77777777" w:rsidR="00BE07CA" w:rsidRDefault="00BE07CA" w:rsidP="00BE07CA">
      <w:pPr>
        <w:tabs>
          <w:tab w:val="right" w:pos="8929"/>
          <w:tab w:val="right" w:pos="9638"/>
        </w:tabs>
        <w:spacing w:after="120"/>
        <w:ind w:left="283"/>
      </w:pPr>
      <w:r>
        <w:rPr>
          <w:i/>
          <w:sz w:val="18"/>
        </w:rPr>
        <w:tab/>
        <w:t>Paragraphs</w:t>
      </w:r>
      <w:r>
        <w:rPr>
          <w:i/>
          <w:sz w:val="18"/>
        </w:rPr>
        <w:tab/>
        <w:t>Page</w:t>
      </w:r>
    </w:p>
    <w:p w14:paraId="04D99E60" w14:textId="57494805" w:rsidR="00BE07CA" w:rsidRDefault="00BE07CA" w:rsidP="00BA1B89">
      <w:pPr>
        <w:pStyle w:val="TOC1"/>
        <w:rPr>
          <w:rFonts w:asciiTheme="minorHAnsi" w:eastAsiaTheme="minorEastAsia" w:hAnsiTheme="minorHAnsi" w:cstheme="minorBidi"/>
          <w:noProof/>
          <w:sz w:val="22"/>
          <w:szCs w:val="22"/>
          <w:lang w:val="en-US" w:eastAsia="en-US"/>
        </w:rPr>
      </w:pPr>
      <w:r>
        <w:tab/>
      </w:r>
      <w:r>
        <w:rPr>
          <w:noProof/>
        </w:rPr>
        <w:t>I.</w:t>
      </w:r>
      <w:r>
        <w:rPr>
          <w:rFonts w:asciiTheme="minorHAnsi" w:eastAsiaTheme="minorEastAsia" w:hAnsiTheme="minorHAnsi" w:cstheme="minorBidi"/>
          <w:noProof/>
          <w:sz w:val="22"/>
          <w:szCs w:val="22"/>
          <w:lang w:val="en-US" w:eastAsia="en-US"/>
        </w:rPr>
        <w:tab/>
      </w:r>
      <w:r>
        <w:rPr>
          <w:noProof/>
        </w:rPr>
        <w:t>Opening of the session</w:t>
      </w:r>
      <w:r>
        <w:rPr>
          <w:noProof/>
        </w:rPr>
        <w:br/>
      </w:r>
      <w:r>
        <w:rPr>
          <w:noProof/>
        </w:rPr>
        <w:tab/>
      </w:r>
      <w:r>
        <w:rPr>
          <w:noProof/>
        </w:rPr>
        <w:tab/>
        <w:t>(Agenda item 1)</w:t>
      </w:r>
      <w:r>
        <w:rPr>
          <w:noProof/>
          <w:webHidden/>
        </w:rPr>
        <w:tab/>
      </w:r>
      <w:r>
        <w:rPr>
          <w:noProof/>
          <w:webHidden/>
        </w:rPr>
        <w:tab/>
        <w:t>1–2</w:t>
      </w:r>
      <w:r>
        <w:rPr>
          <w:noProof/>
          <w:webHidden/>
        </w:rPr>
        <w:tab/>
      </w:r>
      <w:r w:rsidR="00AC3FA8">
        <w:rPr>
          <w:noProof/>
          <w:webHidden/>
        </w:rPr>
        <w:t>5</w:t>
      </w:r>
    </w:p>
    <w:p w14:paraId="2B9D6EA4" w14:textId="5B4A1C39" w:rsidR="00BE07CA" w:rsidRDefault="00BE07CA" w:rsidP="00BA1B89">
      <w:pPr>
        <w:pStyle w:val="TOC1"/>
        <w:rPr>
          <w:rFonts w:asciiTheme="minorHAnsi" w:eastAsiaTheme="minorEastAsia" w:hAnsiTheme="minorHAnsi" w:cstheme="minorBidi"/>
          <w:noProof/>
          <w:sz w:val="22"/>
          <w:szCs w:val="22"/>
          <w:lang w:val="en-US" w:eastAsia="en-US"/>
        </w:rPr>
      </w:pPr>
      <w:r>
        <w:rPr>
          <w:noProof/>
        </w:rPr>
        <w:tab/>
        <w:t>II.</w:t>
      </w:r>
      <w:r>
        <w:rPr>
          <w:rFonts w:asciiTheme="minorHAnsi" w:eastAsiaTheme="minorEastAsia" w:hAnsiTheme="minorHAnsi" w:cstheme="minorBidi"/>
          <w:noProof/>
          <w:sz w:val="22"/>
          <w:szCs w:val="22"/>
          <w:lang w:val="en-US" w:eastAsia="en-US"/>
        </w:rPr>
        <w:tab/>
      </w:r>
      <w:r>
        <w:rPr>
          <w:noProof/>
        </w:rPr>
        <w:t>Organizational matters</w:t>
      </w:r>
      <w:r>
        <w:rPr>
          <w:noProof/>
        </w:rPr>
        <w:br/>
      </w:r>
      <w:r>
        <w:rPr>
          <w:noProof/>
        </w:rPr>
        <w:tab/>
      </w:r>
      <w:r>
        <w:rPr>
          <w:noProof/>
        </w:rPr>
        <w:tab/>
        <w:t>(Agenda item 2)</w:t>
      </w:r>
      <w:r>
        <w:rPr>
          <w:noProof/>
        </w:rPr>
        <w:tab/>
      </w:r>
      <w:r>
        <w:rPr>
          <w:noProof/>
        </w:rPr>
        <w:tab/>
      </w:r>
      <w:r w:rsidR="00330339">
        <w:rPr>
          <w:noProof/>
        </w:rPr>
        <w:t>3–13</w:t>
      </w:r>
      <w:r>
        <w:rPr>
          <w:noProof/>
          <w:webHidden/>
        </w:rPr>
        <w:tab/>
      </w:r>
      <w:r w:rsidR="00AC3FA8">
        <w:rPr>
          <w:noProof/>
          <w:webHidden/>
        </w:rPr>
        <w:t>5</w:t>
      </w:r>
    </w:p>
    <w:p w14:paraId="51AA5208" w14:textId="188A5112" w:rsidR="00BE07CA" w:rsidRDefault="00BE07CA" w:rsidP="009E2075">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lang w:eastAsia="en-US"/>
        </w:rPr>
        <w:t>Adoption of the agenda</w:t>
      </w:r>
      <w:r>
        <w:rPr>
          <w:noProof/>
          <w:webHidden/>
        </w:rPr>
        <w:tab/>
      </w:r>
      <w:r>
        <w:rPr>
          <w:noProof/>
          <w:webHidden/>
        </w:rPr>
        <w:tab/>
        <w:t>3–7</w:t>
      </w:r>
      <w:r>
        <w:rPr>
          <w:noProof/>
          <w:webHidden/>
        </w:rPr>
        <w:tab/>
      </w:r>
      <w:r w:rsidR="00AC3FA8">
        <w:rPr>
          <w:noProof/>
          <w:webHidden/>
        </w:rPr>
        <w:t>5</w:t>
      </w:r>
    </w:p>
    <w:p w14:paraId="0E19EF8D" w14:textId="56154F42"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lang w:eastAsia="en-US"/>
        </w:rPr>
        <w:t>Organization of the work of the session</w:t>
      </w:r>
      <w:r>
        <w:rPr>
          <w:noProof/>
          <w:webHidden/>
        </w:rPr>
        <w:tab/>
      </w:r>
      <w:r>
        <w:rPr>
          <w:noProof/>
          <w:webHidden/>
        </w:rPr>
        <w:tab/>
        <w:t>8</w:t>
      </w:r>
      <w:r>
        <w:rPr>
          <w:noProof/>
          <w:webHidden/>
        </w:rPr>
        <w:tab/>
      </w:r>
      <w:r w:rsidR="00AC3FA8">
        <w:rPr>
          <w:noProof/>
          <w:webHidden/>
        </w:rPr>
        <w:t>7</w:t>
      </w:r>
    </w:p>
    <w:p w14:paraId="1407A441" w14:textId="71DD6939"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Facilitative sharing of views under the international consultation and analysis </w:t>
      </w:r>
      <w:r>
        <w:rPr>
          <w:noProof/>
        </w:rPr>
        <w:br/>
        <w:t>process</w:t>
      </w:r>
      <w:r>
        <w:rPr>
          <w:noProof/>
          <w:webHidden/>
        </w:rPr>
        <w:tab/>
      </w:r>
      <w:r>
        <w:rPr>
          <w:noProof/>
          <w:webHidden/>
        </w:rPr>
        <w:tab/>
        <w:t>9–10</w:t>
      </w:r>
      <w:r>
        <w:rPr>
          <w:noProof/>
          <w:webHidden/>
        </w:rPr>
        <w:tab/>
      </w:r>
      <w:r w:rsidR="00AC3FA8">
        <w:rPr>
          <w:noProof/>
          <w:webHidden/>
        </w:rPr>
        <w:t>8</w:t>
      </w:r>
    </w:p>
    <w:p w14:paraId="043515A7" w14:textId="7EB0480B"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Other mandated events</w:t>
      </w:r>
      <w:r>
        <w:rPr>
          <w:noProof/>
          <w:webHidden/>
        </w:rPr>
        <w:tab/>
      </w:r>
      <w:r>
        <w:rPr>
          <w:noProof/>
          <w:webHidden/>
        </w:rPr>
        <w:tab/>
        <w:t>11</w:t>
      </w:r>
      <w:r>
        <w:rPr>
          <w:noProof/>
          <w:webHidden/>
        </w:rPr>
        <w:tab/>
      </w:r>
      <w:r w:rsidR="00AC3FA8">
        <w:rPr>
          <w:noProof/>
          <w:webHidden/>
        </w:rPr>
        <w:t>8</w:t>
      </w:r>
    </w:p>
    <w:p w14:paraId="038C5873" w14:textId="0C186403" w:rsidR="00BE07CA" w:rsidRDefault="00BE07CA" w:rsidP="009E2075">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E.</w:t>
      </w:r>
      <w:r>
        <w:rPr>
          <w:rFonts w:asciiTheme="minorHAnsi" w:eastAsiaTheme="minorEastAsia" w:hAnsiTheme="minorHAnsi" w:cstheme="minorBidi"/>
          <w:noProof/>
          <w:sz w:val="22"/>
          <w:szCs w:val="22"/>
          <w:lang w:val="en-US" w:eastAsia="en-US"/>
        </w:rPr>
        <w:tab/>
      </w:r>
      <w:r>
        <w:rPr>
          <w:noProof/>
          <w:lang w:eastAsia="en-US"/>
        </w:rPr>
        <w:t>Election of officers other than the Chair</w:t>
      </w:r>
      <w:r>
        <w:rPr>
          <w:noProof/>
          <w:webHidden/>
        </w:rPr>
        <w:tab/>
      </w:r>
      <w:r>
        <w:rPr>
          <w:noProof/>
          <w:webHidden/>
        </w:rPr>
        <w:tab/>
        <w:t>12–13</w:t>
      </w:r>
      <w:r>
        <w:rPr>
          <w:noProof/>
          <w:webHidden/>
        </w:rPr>
        <w:tab/>
      </w:r>
      <w:r w:rsidR="00AC3FA8">
        <w:rPr>
          <w:noProof/>
          <w:webHidden/>
        </w:rPr>
        <w:t>8</w:t>
      </w:r>
    </w:p>
    <w:p w14:paraId="3A29F0C5" w14:textId="4529AD3E" w:rsidR="00BE07CA" w:rsidRDefault="00BE07CA" w:rsidP="00BA1B89">
      <w:pPr>
        <w:pStyle w:val="TOC1"/>
        <w:rPr>
          <w:rFonts w:asciiTheme="minorHAnsi" w:eastAsiaTheme="minorEastAsia" w:hAnsiTheme="minorHAnsi" w:cstheme="minorBidi"/>
          <w:noProof/>
          <w:sz w:val="22"/>
          <w:szCs w:val="22"/>
          <w:lang w:val="en-US" w:eastAsia="en-US"/>
        </w:rPr>
      </w:pPr>
      <w:r>
        <w:rPr>
          <w:noProof/>
        </w:rPr>
        <w:tab/>
        <w:t>III.</w:t>
      </w:r>
      <w:r>
        <w:rPr>
          <w:rFonts w:asciiTheme="minorHAnsi" w:eastAsiaTheme="minorEastAsia" w:hAnsiTheme="minorHAnsi" w:cstheme="minorBidi"/>
          <w:noProof/>
          <w:sz w:val="22"/>
          <w:szCs w:val="22"/>
          <w:lang w:val="en-US" w:eastAsia="en-US"/>
        </w:rPr>
        <w:tab/>
      </w:r>
      <w:r>
        <w:rPr>
          <w:noProof/>
        </w:rPr>
        <w:t>Reporting from and review of Parties included in Annex I to the Convention</w:t>
      </w:r>
      <w:r>
        <w:rPr>
          <w:noProof/>
        </w:rPr>
        <w:br/>
      </w:r>
      <w:r>
        <w:rPr>
          <w:noProof/>
        </w:rPr>
        <w:tab/>
      </w:r>
      <w:r>
        <w:rPr>
          <w:noProof/>
        </w:rPr>
        <w:tab/>
        <w:t>(Agenda item 3)</w:t>
      </w:r>
      <w:r>
        <w:rPr>
          <w:noProof/>
        </w:rPr>
        <w:tab/>
      </w:r>
      <w:r>
        <w:rPr>
          <w:noProof/>
        </w:rPr>
        <w:tab/>
      </w:r>
      <w:r w:rsidR="00330339">
        <w:rPr>
          <w:noProof/>
        </w:rPr>
        <w:t>14–28</w:t>
      </w:r>
      <w:r>
        <w:rPr>
          <w:noProof/>
          <w:webHidden/>
        </w:rPr>
        <w:tab/>
      </w:r>
      <w:r w:rsidR="00AC3FA8">
        <w:rPr>
          <w:noProof/>
          <w:webHidden/>
        </w:rPr>
        <w:t>9</w:t>
      </w:r>
    </w:p>
    <w:p w14:paraId="760689DC" w14:textId="5B7CA8AE"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Status of submission and review of second biennial reports from Parties </w:t>
      </w:r>
      <w:r>
        <w:rPr>
          <w:noProof/>
        </w:rPr>
        <w:br/>
        <w:t>included in Annex I to the Convention</w:t>
      </w:r>
      <w:r>
        <w:rPr>
          <w:noProof/>
          <w:webHidden/>
        </w:rPr>
        <w:tab/>
      </w:r>
      <w:r>
        <w:rPr>
          <w:noProof/>
          <w:webHidden/>
        </w:rPr>
        <w:tab/>
        <w:t>14</w:t>
      </w:r>
      <w:r>
        <w:rPr>
          <w:noProof/>
          <w:webHidden/>
        </w:rPr>
        <w:tab/>
      </w:r>
      <w:r w:rsidR="00AC3FA8">
        <w:rPr>
          <w:noProof/>
          <w:webHidden/>
        </w:rPr>
        <w:t>9</w:t>
      </w:r>
    </w:p>
    <w:p w14:paraId="73E3A405" w14:textId="15C9D52D"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Compilation and synthesis of sixth national communications and first </w:t>
      </w:r>
      <w:r>
        <w:rPr>
          <w:noProof/>
        </w:rPr>
        <w:br/>
        <w:t>biennial reports from Parties included in Annex I to the Convention</w:t>
      </w:r>
      <w:r>
        <w:rPr>
          <w:noProof/>
          <w:color w:val="1F497D" w:themeColor="text2"/>
        </w:rPr>
        <w:t xml:space="preserve"> </w:t>
      </w:r>
      <w:r>
        <w:rPr>
          <w:noProof/>
          <w:webHidden/>
        </w:rPr>
        <w:tab/>
      </w:r>
      <w:r>
        <w:rPr>
          <w:noProof/>
          <w:webHidden/>
        </w:rPr>
        <w:tab/>
        <w:t>15–16</w:t>
      </w:r>
      <w:r>
        <w:rPr>
          <w:noProof/>
          <w:webHidden/>
        </w:rPr>
        <w:tab/>
      </w:r>
      <w:r w:rsidR="00AC3FA8">
        <w:rPr>
          <w:noProof/>
          <w:webHidden/>
        </w:rPr>
        <w:t>9</w:t>
      </w:r>
    </w:p>
    <w:p w14:paraId="7F18519E" w14:textId="76698C3D"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Outcome of the first round of the international assessment and review </w:t>
      </w:r>
      <w:r>
        <w:rPr>
          <w:noProof/>
        </w:rPr>
        <w:br/>
        <w:t>process (2014–2015)</w:t>
      </w:r>
      <w:r>
        <w:rPr>
          <w:noProof/>
          <w:webHidden/>
        </w:rPr>
        <w:tab/>
      </w:r>
      <w:r>
        <w:rPr>
          <w:noProof/>
          <w:webHidden/>
        </w:rPr>
        <w:tab/>
        <w:t>17–22</w:t>
      </w:r>
      <w:r>
        <w:rPr>
          <w:noProof/>
          <w:webHidden/>
        </w:rPr>
        <w:tab/>
      </w:r>
      <w:r w:rsidR="00AC3FA8">
        <w:rPr>
          <w:noProof/>
          <w:webHidden/>
        </w:rPr>
        <w:t>9</w:t>
      </w:r>
    </w:p>
    <w:p w14:paraId="630019B3" w14:textId="71718FF5"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rPr>
        <w:t xml:space="preserve">Revision of the “Guidelines for the preparation of national communications </w:t>
      </w:r>
      <w:r>
        <w:rPr>
          <w:noProof/>
        </w:rPr>
        <w:br/>
        <w:t xml:space="preserve">by Parties included in Annex I to the Convention, Part II: UNFCCC </w:t>
      </w:r>
      <w:r>
        <w:rPr>
          <w:noProof/>
        </w:rPr>
        <w:br/>
        <w:t>reporting guidelines on national communications”</w:t>
      </w:r>
      <w:r>
        <w:rPr>
          <w:noProof/>
          <w:webHidden/>
        </w:rPr>
        <w:tab/>
      </w:r>
      <w:r>
        <w:rPr>
          <w:noProof/>
          <w:webHidden/>
        </w:rPr>
        <w:tab/>
        <w:t>23–28</w:t>
      </w:r>
      <w:r>
        <w:rPr>
          <w:noProof/>
          <w:webHidden/>
        </w:rPr>
        <w:tab/>
      </w:r>
      <w:r w:rsidR="00AC3FA8">
        <w:rPr>
          <w:noProof/>
          <w:webHidden/>
        </w:rPr>
        <w:t>10</w:t>
      </w:r>
    </w:p>
    <w:p w14:paraId="15E6D93F" w14:textId="6AE80AFF" w:rsidR="00BE07CA" w:rsidRDefault="00BE07CA" w:rsidP="00BA1B89">
      <w:pPr>
        <w:pStyle w:val="TOC1"/>
        <w:rPr>
          <w:rFonts w:asciiTheme="minorHAnsi" w:eastAsiaTheme="minorEastAsia" w:hAnsiTheme="minorHAnsi" w:cstheme="minorBidi"/>
          <w:noProof/>
          <w:sz w:val="22"/>
          <w:szCs w:val="22"/>
          <w:lang w:val="en-US" w:eastAsia="en-US"/>
        </w:rPr>
      </w:pPr>
      <w:r>
        <w:rPr>
          <w:noProof/>
        </w:rPr>
        <w:tab/>
        <w:t>IV.</w:t>
      </w:r>
      <w:r>
        <w:rPr>
          <w:rFonts w:asciiTheme="minorHAnsi" w:eastAsiaTheme="minorEastAsia" w:hAnsiTheme="minorHAnsi" w:cstheme="minorBidi"/>
          <w:noProof/>
          <w:sz w:val="22"/>
          <w:szCs w:val="22"/>
          <w:lang w:val="en-US" w:eastAsia="en-US"/>
        </w:rPr>
        <w:tab/>
      </w:r>
      <w:r>
        <w:rPr>
          <w:noProof/>
        </w:rPr>
        <w:t>Reporting from Parties not included in Annex I to the Convention</w:t>
      </w:r>
      <w:r>
        <w:rPr>
          <w:noProof/>
        </w:rPr>
        <w:br/>
      </w:r>
      <w:r>
        <w:rPr>
          <w:noProof/>
        </w:rPr>
        <w:tab/>
      </w:r>
      <w:r>
        <w:rPr>
          <w:noProof/>
        </w:rPr>
        <w:tab/>
        <w:t>(Agenda item 4)</w:t>
      </w:r>
      <w:r>
        <w:rPr>
          <w:noProof/>
        </w:rPr>
        <w:tab/>
      </w:r>
      <w:r>
        <w:rPr>
          <w:noProof/>
        </w:rPr>
        <w:tab/>
      </w:r>
      <w:r w:rsidR="00330339">
        <w:rPr>
          <w:noProof/>
        </w:rPr>
        <w:t>29–42</w:t>
      </w:r>
      <w:r>
        <w:rPr>
          <w:noProof/>
          <w:webHidden/>
        </w:rPr>
        <w:tab/>
      </w:r>
      <w:r w:rsidR="00AC3FA8">
        <w:rPr>
          <w:noProof/>
          <w:webHidden/>
        </w:rPr>
        <w:t>11</w:t>
      </w:r>
    </w:p>
    <w:p w14:paraId="54290AF8" w14:textId="62FAD2EB"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Information contained in national communications from Parties not included </w:t>
      </w:r>
      <w:r>
        <w:rPr>
          <w:noProof/>
        </w:rPr>
        <w:br/>
        <w:t>in Annex I to the Convention</w:t>
      </w:r>
      <w:r>
        <w:rPr>
          <w:noProof/>
          <w:webHidden/>
        </w:rPr>
        <w:tab/>
      </w:r>
      <w:r>
        <w:rPr>
          <w:noProof/>
          <w:webHidden/>
        </w:rPr>
        <w:tab/>
      </w:r>
      <w:r w:rsidR="00330339">
        <w:rPr>
          <w:noProof/>
          <w:webHidden/>
        </w:rPr>
        <w:t>29–41</w:t>
      </w:r>
      <w:r>
        <w:rPr>
          <w:noProof/>
          <w:webHidden/>
        </w:rPr>
        <w:tab/>
      </w:r>
      <w:r w:rsidR="00AC3FA8">
        <w:rPr>
          <w:noProof/>
          <w:webHidden/>
        </w:rPr>
        <w:t>11</w:t>
      </w:r>
    </w:p>
    <w:p w14:paraId="4596B811" w14:textId="65A2C0C1" w:rsidR="00BE07CA" w:rsidRDefault="00BE07CA" w:rsidP="009E2075">
      <w:pPr>
        <w:pStyle w:val="TOC2"/>
        <w:rPr>
          <w:rFonts w:asciiTheme="minorHAnsi" w:eastAsiaTheme="minorEastAsia" w:hAnsiTheme="minorHAnsi" w:cstheme="minorBidi"/>
          <w:noProof/>
          <w:sz w:val="22"/>
          <w:szCs w:val="22"/>
          <w:lang w:val="en-US" w:eastAsia="en-US"/>
        </w:rPr>
      </w:pPr>
      <w:r>
        <w:rPr>
          <w:noProof/>
        </w:rPr>
        <w:lastRenderedPageBreak/>
        <w:tab/>
      </w:r>
      <w:r>
        <w:rPr>
          <w:noProof/>
        </w:rPr>
        <w:tab/>
        <w:t>B.</w:t>
      </w:r>
      <w:r>
        <w:rPr>
          <w:rFonts w:asciiTheme="minorHAnsi" w:eastAsiaTheme="minorEastAsia" w:hAnsiTheme="minorHAnsi" w:cstheme="minorBidi"/>
          <w:noProof/>
          <w:sz w:val="22"/>
          <w:szCs w:val="22"/>
          <w:lang w:val="en-US" w:eastAsia="en-US"/>
        </w:rPr>
        <w:tab/>
      </w:r>
      <w:r>
        <w:rPr>
          <w:noProof/>
        </w:rPr>
        <w:t>Provision of financial and technical support</w:t>
      </w:r>
      <w:r>
        <w:rPr>
          <w:noProof/>
        </w:rPr>
        <w:tab/>
      </w:r>
      <w:r>
        <w:rPr>
          <w:noProof/>
        </w:rPr>
        <w:tab/>
        <w:t>29–41</w:t>
      </w:r>
      <w:r>
        <w:rPr>
          <w:noProof/>
          <w:webHidden/>
        </w:rPr>
        <w:tab/>
      </w:r>
      <w:r w:rsidR="00AC3FA8">
        <w:rPr>
          <w:noProof/>
          <w:webHidden/>
        </w:rPr>
        <w:t>11</w:t>
      </w:r>
    </w:p>
    <w:p w14:paraId="42203433" w14:textId="2694A9C5" w:rsidR="00BE07CA" w:rsidRDefault="00BE07CA" w:rsidP="009E2075">
      <w:pPr>
        <w:pStyle w:val="TOC2"/>
        <w:ind w:left="1560" w:hanging="1560"/>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Summary reports on the technical analysis of biennial update reports of </w:t>
      </w:r>
      <w:r>
        <w:rPr>
          <w:noProof/>
        </w:rPr>
        <w:br/>
        <w:t>Parties not included in Annex I to the Convention</w:t>
      </w:r>
      <w:r>
        <w:rPr>
          <w:noProof/>
        </w:rPr>
        <w:tab/>
      </w:r>
      <w:r>
        <w:rPr>
          <w:noProof/>
        </w:rPr>
        <w:tab/>
        <w:t>42</w:t>
      </w:r>
      <w:r>
        <w:rPr>
          <w:noProof/>
          <w:webHidden/>
        </w:rPr>
        <w:tab/>
      </w:r>
      <w:r w:rsidR="00AC3FA8">
        <w:rPr>
          <w:noProof/>
          <w:webHidden/>
        </w:rPr>
        <w:t>13</w:t>
      </w:r>
    </w:p>
    <w:p w14:paraId="687F6211" w14:textId="7C98FE3C" w:rsidR="00BE07CA" w:rsidRPr="00C905DC" w:rsidRDefault="00BE07CA" w:rsidP="00BA1B89">
      <w:pPr>
        <w:pStyle w:val="TOC1"/>
        <w:rPr>
          <w:rFonts w:asciiTheme="minorHAnsi" w:eastAsiaTheme="minorEastAsia" w:hAnsiTheme="minorHAnsi" w:cstheme="minorBidi"/>
          <w:noProof/>
          <w:sz w:val="22"/>
          <w:szCs w:val="22"/>
          <w:lang w:val="en-US" w:eastAsia="en-US"/>
        </w:rPr>
      </w:pPr>
      <w:r w:rsidRPr="00C905DC">
        <w:rPr>
          <w:noProof/>
          <w:lang w:eastAsia="en-US"/>
        </w:rPr>
        <w:tab/>
        <w:t>V.</w:t>
      </w:r>
      <w:r w:rsidRPr="00C905DC">
        <w:rPr>
          <w:rFonts w:asciiTheme="minorHAnsi" w:eastAsiaTheme="minorEastAsia" w:hAnsiTheme="minorHAnsi" w:cstheme="minorBidi"/>
          <w:noProof/>
          <w:sz w:val="22"/>
          <w:szCs w:val="22"/>
          <w:lang w:val="en-US" w:eastAsia="en-US"/>
        </w:rPr>
        <w:tab/>
      </w:r>
      <w:r w:rsidRPr="00C905DC">
        <w:rPr>
          <w:noProof/>
        </w:rPr>
        <w:t xml:space="preserve">Development of modalities and procedures for the operation and use of a public </w:t>
      </w:r>
      <w:r w:rsidRPr="00C905DC">
        <w:rPr>
          <w:noProof/>
        </w:rPr>
        <w:br/>
        <w:t xml:space="preserve">registry referred to in Article 4, paragraph 12, of the Paris Agreement </w:t>
      </w:r>
      <w:r w:rsidRPr="00C905DC">
        <w:rPr>
          <w:noProof/>
        </w:rPr>
        <w:br/>
        <w:t xml:space="preserve">(Agenda item 5) </w:t>
      </w:r>
      <w:r w:rsidRPr="00C905DC">
        <w:rPr>
          <w:noProof/>
          <w:webHidden/>
        </w:rPr>
        <w:tab/>
      </w:r>
      <w:r w:rsidRPr="00C905DC">
        <w:rPr>
          <w:noProof/>
          <w:webHidden/>
        </w:rPr>
        <w:tab/>
      </w:r>
      <w:r>
        <w:rPr>
          <w:noProof/>
          <w:webHidden/>
        </w:rPr>
        <w:t>4</w:t>
      </w:r>
      <w:r w:rsidRPr="00C905DC">
        <w:rPr>
          <w:noProof/>
          <w:webHidden/>
        </w:rPr>
        <w:t>3–</w:t>
      </w:r>
      <w:r>
        <w:rPr>
          <w:noProof/>
          <w:webHidden/>
        </w:rPr>
        <w:t>47</w:t>
      </w:r>
      <w:r w:rsidRPr="00C905DC">
        <w:rPr>
          <w:noProof/>
          <w:webHidden/>
        </w:rPr>
        <w:tab/>
      </w:r>
      <w:r w:rsidR="00AC3FA8">
        <w:rPr>
          <w:noProof/>
          <w:webHidden/>
        </w:rPr>
        <w:t>14</w:t>
      </w:r>
    </w:p>
    <w:p w14:paraId="79E20256" w14:textId="3CB2EE65" w:rsidR="00BE07CA" w:rsidRDefault="00BE07CA" w:rsidP="00BA1B89">
      <w:pPr>
        <w:pStyle w:val="TOC1"/>
        <w:rPr>
          <w:rFonts w:asciiTheme="minorHAnsi" w:eastAsiaTheme="minorEastAsia" w:hAnsiTheme="minorHAnsi" w:cstheme="minorBidi"/>
          <w:noProof/>
          <w:sz w:val="22"/>
          <w:szCs w:val="22"/>
          <w:lang w:val="en-US" w:eastAsia="en-US"/>
        </w:rPr>
      </w:pPr>
      <w:r w:rsidRPr="00C905DC">
        <w:rPr>
          <w:noProof/>
          <w:lang w:eastAsia="en-US"/>
        </w:rPr>
        <w:tab/>
        <w:t>VI.</w:t>
      </w:r>
      <w:r w:rsidRPr="00C905DC">
        <w:rPr>
          <w:rFonts w:asciiTheme="minorHAnsi" w:eastAsiaTheme="minorEastAsia" w:hAnsiTheme="minorHAnsi" w:cstheme="minorBidi"/>
          <w:noProof/>
          <w:sz w:val="22"/>
          <w:szCs w:val="22"/>
          <w:lang w:val="en-US" w:eastAsia="en-US"/>
        </w:rPr>
        <w:tab/>
      </w:r>
      <w:r w:rsidRPr="00C905DC">
        <w:rPr>
          <w:noProof/>
        </w:rPr>
        <w:t xml:space="preserve">Development of modalities and procedures for the operation and use of a public </w:t>
      </w:r>
      <w:r w:rsidRPr="00C905DC">
        <w:rPr>
          <w:noProof/>
        </w:rPr>
        <w:br/>
        <w:t>registry referred to in Article 7, paragraph 12, of the Paris Agreement</w:t>
      </w:r>
      <w:r w:rsidRPr="00C905DC">
        <w:rPr>
          <w:noProof/>
        </w:rPr>
        <w:br/>
        <w:t>(Agenda item 6)</w:t>
      </w:r>
      <w:r>
        <w:rPr>
          <w:noProof/>
        </w:rPr>
        <w:tab/>
      </w:r>
      <w:r>
        <w:rPr>
          <w:noProof/>
        </w:rPr>
        <w:tab/>
        <w:t>48–51</w:t>
      </w:r>
      <w:r>
        <w:rPr>
          <w:noProof/>
          <w:webHidden/>
        </w:rPr>
        <w:tab/>
      </w:r>
      <w:r w:rsidR="00AC3FA8">
        <w:rPr>
          <w:noProof/>
          <w:webHidden/>
        </w:rPr>
        <w:t>14</w:t>
      </w:r>
    </w:p>
    <w:p w14:paraId="6E80871D" w14:textId="4B7A6BFE"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VII.</w:t>
      </w:r>
      <w:r>
        <w:rPr>
          <w:rFonts w:asciiTheme="minorHAnsi" w:eastAsiaTheme="minorEastAsia" w:hAnsiTheme="minorHAnsi" w:cstheme="minorBidi"/>
          <w:noProof/>
          <w:sz w:val="22"/>
          <w:szCs w:val="22"/>
          <w:lang w:val="en-US" w:eastAsia="en-US"/>
        </w:rPr>
        <w:tab/>
      </w:r>
      <w:r>
        <w:rPr>
          <w:noProof/>
          <w:lang w:eastAsia="en-US"/>
        </w:rPr>
        <w:t>Matters relating to the mechanisms under the Kyoto Protocol</w:t>
      </w:r>
      <w:r>
        <w:rPr>
          <w:noProof/>
          <w:lang w:eastAsia="en-US"/>
        </w:rPr>
        <w:br/>
      </w:r>
      <w:r>
        <w:rPr>
          <w:noProof/>
          <w:lang w:eastAsia="en-US"/>
        </w:rPr>
        <w:tab/>
      </w:r>
      <w:r>
        <w:rPr>
          <w:noProof/>
          <w:lang w:eastAsia="en-US"/>
        </w:rPr>
        <w:tab/>
        <w:t>(Agenda item 7)</w:t>
      </w:r>
      <w:r>
        <w:rPr>
          <w:noProof/>
          <w:lang w:eastAsia="en-US"/>
        </w:rPr>
        <w:tab/>
      </w:r>
      <w:r>
        <w:rPr>
          <w:noProof/>
          <w:lang w:eastAsia="en-US"/>
        </w:rPr>
        <w:tab/>
      </w:r>
      <w:r w:rsidR="00330339">
        <w:rPr>
          <w:noProof/>
          <w:lang w:eastAsia="en-US"/>
        </w:rPr>
        <w:t>52–63</w:t>
      </w:r>
      <w:r>
        <w:rPr>
          <w:noProof/>
          <w:webHidden/>
        </w:rPr>
        <w:tab/>
      </w:r>
      <w:r w:rsidR="00AC3FA8">
        <w:rPr>
          <w:noProof/>
          <w:webHidden/>
        </w:rPr>
        <w:t>15</w:t>
      </w:r>
    </w:p>
    <w:p w14:paraId="53CC56B3" w14:textId="4BC3248B"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lang w:eastAsia="en-US"/>
        </w:rPr>
        <w:t xml:space="preserve">Review of the modalities and procedures for the clean development </w:t>
      </w:r>
      <w:r>
        <w:rPr>
          <w:noProof/>
          <w:lang w:eastAsia="en-US"/>
        </w:rPr>
        <w:br/>
        <w:t>mechanism</w:t>
      </w:r>
      <w:r>
        <w:rPr>
          <w:noProof/>
          <w:lang w:eastAsia="en-US"/>
        </w:rPr>
        <w:tab/>
      </w:r>
      <w:r>
        <w:rPr>
          <w:noProof/>
          <w:lang w:eastAsia="en-US"/>
        </w:rPr>
        <w:tab/>
        <w:t>52–56</w:t>
      </w:r>
      <w:r>
        <w:rPr>
          <w:noProof/>
          <w:webHidden/>
        </w:rPr>
        <w:tab/>
      </w:r>
      <w:r w:rsidR="00AC3FA8">
        <w:rPr>
          <w:noProof/>
          <w:webHidden/>
        </w:rPr>
        <w:t>15</w:t>
      </w:r>
    </w:p>
    <w:p w14:paraId="6126F1E8" w14:textId="0E2D6B9B"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lang w:eastAsia="en-US"/>
        </w:rPr>
        <w:t>Review of the joint implementation guidelines</w:t>
      </w:r>
      <w:r>
        <w:rPr>
          <w:noProof/>
          <w:webHidden/>
        </w:rPr>
        <w:tab/>
      </w:r>
      <w:r>
        <w:rPr>
          <w:noProof/>
          <w:webHidden/>
        </w:rPr>
        <w:tab/>
        <w:t>57–61</w:t>
      </w:r>
      <w:r>
        <w:rPr>
          <w:noProof/>
          <w:webHidden/>
        </w:rPr>
        <w:tab/>
      </w:r>
      <w:r w:rsidR="00AC3FA8">
        <w:rPr>
          <w:noProof/>
          <w:webHidden/>
        </w:rPr>
        <w:t>15</w:t>
      </w:r>
    </w:p>
    <w:p w14:paraId="2E1B4C2A" w14:textId="08FF349A"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Procedures, mechanisms and institutional arrangements for appeals against </w:t>
      </w:r>
      <w:r>
        <w:rPr>
          <w:noProof/>
        </w:rPr>
        <w:br/>
        <w:t>decisions of the Executive Board of the clean development mechanism</w:t>
      </w:r>
      <w:r>
        <w:rPr>
          <w:noProof/>
        </w:rPr>
        <w:tab/>
      </w:r>
      <w:r>
        <w:rPr>
          <w:noProof/>
        </w:rPr>
        <w:tab/>
        <w:t>62–63</w:t>
      </w:r>
      <w:r>
        <w:rPr>
          <w:noProof/>
          <w:webHidden/>
        </w:rPr>
        <w:tab/>
      </w:r>
      <w:r w:rsidR="00AC3FA8">
        <w:rPr>
          <w:noProof/>
          <w:webHidden/>
        </w:rPr>
        <w:t>16</w:t>
      </w:r>
    </w:p>
    <w:p w14:paraId="6845BCE6" w14:textId="6FBC499B"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VIII.</w:t>
      </w:r>
      <w:r>
        <w:rPr>
          <w:rFonts w:asciiTheme="minorHAnsi" w:eastAsiaTheme="minorEastAsia" w:hAnsiTheme="minorHAnsi" w:cstheme="minorBidi"/>
          <w:noProof/>
          <w:sz w:val="22"/>
          <w:szCs w:val="22"/>
          <w:lang w:val="en-US" w:eastAsia="en-US"/>
        </w:rPr>
        <w:tab/>
      </w:r>
      <w:r>
        <w:rPr>
          <w:noProof/>
          <w:lang w:eastAsia="en-US"/>
        </w:rPr>
        <w:t xml:space="preserve">Matters relating to the least developed countries </w:t>
      </w:r>
      <w:r>
        <w:rPr>
          <w:noProof/>
          <w:lang w:eastAsia="en-US"/>
        </w:rPr>
        <w:br/>
        <w:t>(Agenda item 8)</w:t>
      </w:r>
      <w:r>
        <w:rPr>
          <w:noProof/>
          <w:lang w:eastAsia="en-US"/>
        </w:rPr>
        <w:tab/>
      </w:r>
      <w:r>
        <w:rPr>
          <w:noProof/>
          <w:lang w:eastAsia="en-US"/>
        </w:rPr>
        <w:tab/>
        <w:t>64–80</w:t>
      </w:r>
      <w:r>
        <w:rPr>
          <w:noProof/>
          <w:webHidden/>
        </w:rPr>
        <w:tab/>
      </w:r>
      <w:r w:rsidR="00AC3FA8">
        <w:rPr>
          <w:noProof/>
          <w:webHidden/>
        </w:rPr>
        <w:t>16</w:t>
      </w:r>
    </w:p>
    <w:p w14:paraId="566CB4FF" w14:textId="28E4DD60"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IX.</w:t>
      </w:r>
      <w:r>
        <w:rPr>
          <w:rFonts w:asciiTheme="minorHAnsi" w:eastAsiaTheme="minorEastAsia" w:hAnsiTheme="minorHAnsi" w:cstheme="minorBidi"/>
          <w:noProof/>
          <w:sz w:val="22"/>
          <w:szCs w:val="22"/>
          <w:lang w:val="en-US" w:eastAsia="en-US"/>
        </w:rPr>
        <w:tab/>
      </w:r>
      <w:r>
        <w:rPr>
          <w:noProof/>
          <w:lang w:eastAsia="en-US"/>
        </w:rPr>
        <w:t xml:space="preserve">National adaptation plans </w:t>
      </w:r>
      <w:r>
        <w:rPr>
          <w:noProof/>
          <w:lang w:eastAsia="en-US"/>
        </w:rPr>
        <w:br/>
        <w:t>(Agenda item 9)</w:t>
      </w:r>
      <w:r>
        <w:rPr>
          <w:noProof/>
          <w:lang w:eastAsia="en-US"/>
        </w:rPr>
        <w:tab/>
      </w:r>
      <w:r>
        <w:rPr>
          <w:noProof/>
          <w:lang w:eastAsia="en-US"/>
        </w:rPr>
        <w:tab/>
        <w:t>81–89</w:t>
      </w:r>
      <w:r>
        <w:rPr>
          <w:noProof/>
          <w:webHidden/>
        </w:rPr>
        <w:tab/>
      </w:r>
      <w:r w:rsidR="00AC3FA8">
        <w:rPr>
          <w:noProof/>
          <w:webHidden/>
        </w:rPr>
        <w:t>18</w:t>
      </w:r>
    </w:p>
    <w:p w14:paraId="236874A1" w14:textId="2E6CEE54"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w:t>
      </w:r>
      <w:r>
        <w:rPr>
          <w:rFonts w:asciiTheme="minorHAnsi" w:eastAsiaTheme="minorEastAsia" w:hAnsiTheme="minorHAnsi" w:cstheme="minorBidi"/>
          <w:noProof/>
          <w:sz w:val="22"/>
          <w:szCs w:val="22"/>
          <w:lang w:val="en-US" w:eastAsia="en-US"/>
        </w:rPr>
        <w:tab/>
      </w:r>
      <w:r>
        <w:rPr>
          <w:noProof/>
          <w:lang w:eastAsia="en-US"/>
        </w:rPr>
        <w:t xml:space="preserve">Third review of the Adaptation Fund </w:t>
      </w:r>
      <w:r>
        <w:rPr>
          <w:noProof/>
          <w:lang w:eastAsia="en-US"/>
        </w:rPr>
        <w:br/>
        <w:t>(Agenda item 10)</w:t>
      </w:r>
      <w:r>
        <w:rPr>
          <w:noProof/>
          <w:lang w:eastAsia="en-US"/>
        </w:rPr>
        <w:tab/>
      </w:r>
      <w:r>
        <w:rPr>
          <w:noProof/>
          <w:lang w:eastAsia="en-US"/>
        </w:rPr>
        <w:tab/>
        <w:t>90–91</w:t>
      </w:r>
      <w:r>
        <w:rPr>
          <w:noProof/>
          <w:webHidden/>
        </w:rPr>
        <w:tab/>
      </w:r>
      <w:r w:rsidR="00AC3FA8">
        <w:rPr>
          <w:noProof/>
          <w:webHidden/>
        </w:rPr>
        <w:t>19</w:t>
      </w:r>
    </w:p>
    <w:p w14:paraId="794EFDBB" w14:textId="0FCFD147"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XI.</w:t>
      </w:r>
      <w:r>
        <w:rPr>
          <w:rFonts w:asciiTheme="minorHAnsi" w:eastAsiaTheme="minorEastAsia" w:hAnsiTheme="minorHAnsi" w:cstheme="minorBidi"/>
          <w:noProof/>
          <w:sz w:val="22"/>
          <w:szCs w:val="22"/>
          <w:lang w:val="en-US" w:eastAsia="en-US"/>
        </w:rPr>
        <w:tab/>
      </w:r>
      <w:r>
        <w:rPr>
          <w:noProof/>
          <w:lang w:eastAsia="en-US"/>
        </w:rPr>
        <w:t xml:space="preserve">Scope and modalities for the periodic assessment of the Technology Mechanism </w:t>
      </w:r>
      <w:r>
        <w:rPr>
          <w:noProof/>
          <w:lang w:eastAsia="en-US"/>
        </w:rPr>
        <w:br/>
        <w:t>in relation to supporting the implementation of the Paris Agreement</w:t>
      </w:r>
      <w:r>
        <w:rPr>
          <w:noProof/>
          <w:lang w:eastAsia="en-US"/>
        </w:rPr>
        <w:br/>
        <w:t>(Agenda item 11)</w:t>
      </w:r>
      <w:r>
        <w:rPr>
          <w:noProof/>
          <w:lang w:eastAsia="en-US"/>
        </w:rPr>
        <w:tab/>
      </w:r>
      <w:r>
        <w:rPr>
          <w:noProof/>
          <w:lang w:eastAsia="en-US"/>
        </w:rPr>
        <w:tab/>
        <w:t>92–96</w:t>
      </w:r>
      <w:r>
        <w:rPr>
          <w:noProof/>
          <w:webHidden/>
        </w:rPr>
        <w:tab/>
      </w:r>
      <w:r w:rsidR="00AC3FA8">
        <w:rPr>
          <w:noProof/>
          <w:webHidden/>
        </w:rPr>
        <w:t>20</w:t>
      </w:r>
    </w:p>
    <w:p w14:paraId="6668E671" w14:textId="328DDB52"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XII.</w:t>
      </w:r>
      <w:r>
        <w:rPr>
          <w:rFonts w:asciiTheme="minorHAnsi" w:eastAsiaTheme="minorEastAsia" w:hAnsiTheme="minorHAnsi" w:cstheme="minorBidi"/>
          <w:noProof/>
          <w:sz w:val="22"/>
          <w:szCs w:val="22"/>
          <w:lang w:val="en-US" w:eastAsia="en-US"/>
        </w:rPr>
        <w:tab/>
      </w:r>
      <w:r>
        <w:rPr>
          <w:noProof/>
          <w:lang w:eastAsia="en-US"/>
        </w:rPr>
        <w:t xml:space="preserve">Capacity-building in developing countries </w:t>
      </w:r>
      <w:r>
        <w:rPr>
          <w:noProof/>
          <w:lang w:eastAsia="en-US"/>
        </w:rPr>
        <w:br/>
        <w:t>(Agenda item 12)</w:t>
      </w:r>
      <w:r>
        <w:rPr>
          <w:noProof/>
          <w:lang w:eastAsia="en-US"/>
        </w:rPr>
        <w:tab/>
      </w:r>
      <w:r>
        <w:rPr>
          <w:noProof/>
          <w:lang w:eastAsia="en-US"/>
        </w:rPr>
        <w:tab/>
      </w:r>
      <w:r w:rsidR="00330339">
        <w:rPr>
          <w:noProof/>
          <w:lang w:eastAsia="en-US"/>
        </w:rPr>
        <w:t>97–103</w:t>
      </w:r>
      <w:r>
        <w:rPr>
          <w:noProof/>
          <w:webHidden/>
        </w:rPr>
        <w:tab/>
      </w:r>
      <w:r w:rsidR="00AC3FA8">
        <w:rPr>
          <w:noProof/>
          <w:webHidden/>
        </w:rPr>
        <w:t>21</w:t>
      </w:r>
    </w:p>
    <w:p w14:paraId="615D7276" w14:textId="4A465268"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 xml:space="preserve">Third comprehensive review of the implementation of the framework for </w:t>
      </w:r>
      <w:r>
        <w:rPr>
          <w:noProof/>
        </w:rPr>
        <w:br/>
        <w:t>capacity-building under the Convention</w:t>
      </w:r>
      <w:r>
        <w:rPr>
          <w:noProof/>
        </w:rPr>
        <w:tab/>
      </w:r>
      <w:r>
        <w:rPr>
          <w:noProof/>
        </w:rPr>
        <w:tab/>
        <w:t>97–98</w:t>
      </w:r>
      <w:r>
        <w:rPr>
          <w:noProof/>
          <w:webHidden/>
        </w:rPr>
        <w:tab/>
      </w:r>
      <w:r w:rsidR="00AC3FA8">
        <w:rPr>
          <w:noProof/>
          <w:webHidden/>
        </w:rPr>
        <w:t>21</w:t>
      </w:r>
    </w:p>
    <w:p w14:paraId="58FD0AE8" w14:textId="534BC253"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rPr>
        <w:t xml:space="preserve">Third comprehensive review of the implementation of the framework for </w:t>
      </w:r>
      <w:r>
        <w:rPr>
          <w:noProof/>
        </w:rPr>
        <w:br/>
        <w:t>capacity-building under the Kyoto Protocol</w:t>
      </w:r>
      <w:r>
        <w:rPr>
          <w:noProof/>
        </w:rPr>
        <w:tab/>
      </w:r>
      <w:r>
        <w:rPr>
          <w:noProof/>
        </w:rPr>
        <w:tab/>
        <w:t>99</w:t>
      </w:r>
      <w:r>
        <w:rPr>
          <w:noProof/>
          <w:webHidden/>
        </w:rPr>
        <w:tab/>
      </w:r>
      <w:r w:rsidR="00AC3FA8">
        <w:rPr>
          <w:noProof/>
          <w:webHidden/>
        </w:rPr>
        <w:t>21</w:t>
      </w:r>
    </w:p>
    <w:p w14:paraId="7E9851A6" w14:textId="2D759994"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rPr>
        <w:t xml:space="preserve">Terms of reference for the Paris Committee on Capacity-building </w:t>
      </w:r>
      <w:r>
        <w:rPr>
          <w:noProof/>
        </w:rPr>
        <w:tab/>
      </w:r>
      <w:r>
        <w:rPr>
          <w:noProof/>
        </w:rPr>
        <w:tab/>
        <w:t>100–103</w:t>
      </w:r>
      <w:r>
        <w:rPr>
          <w:noProof/>
          <w:webHidden/>
        </w:rPr>
        <w:tab/>
      </w:r>
      <w:r w:rsidR="00AC3FA8">
        <w:rPr>
          <w:noProof/>
          <w:webHidden/>
        </w:rPr>
        <w:t>22</w:t>
      </w:r>
    </w:p>
    <w:p w14:paraId="348158AC" w14:textId="3E4762B8"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XIII.</w:t>
      </w:r>
      <w:r>
        <w:rPr>
          <w:rFonts w:asciiTheme="minorHAnsi" w:eastAsiaTheme="minorEastAsia" w:hAnsiTheme="minorHAnsi" w:cstheme="minorBidi"/>
          <w:noProof/>
          <w:sz w:val="22"/>
          <w:szCs w:val="22"/>
          <w:lang w:val="en-US" w:eastAsia="en-US"/>
        </w:rPr>
        <w:tab/>
      </w:r>
      <w:r>
        <w:rPr>
          <w:noProof/>
          <w:lang w:eastAsia="en-US"/>
        </w:rPr>
        <w:t>Review of the Doha work programme on Article 6 of the Convention</w:t>
      </w:r>
      <w:r>
        <w:rPr>
          <w:noProof/>
          <w:lang w:eastAsia="en-US"/>
        </w:rPr>
        <w:br/>
      </w:r>
      <w:r>
        <w:rPr>
          <w:noProof/>
          <w:lang w:eastAsia="en-US"/>
        </w:rPr>
        <w:tab/>
      </w:r>
      <w:r>
        <w:rPr>
          <w:noProof/>
          <w:lang w:eastAsia="en-US"/>
        </w:rPr>
        <w:tab/>
        <w:t>(Agenda item 13)</w:t>
      </w:r>
      <w:r>
        <w:rPr>
          <w:noProof/>
          <w:lang w:eastAsia="en-US"/>
        </w:rPr>
        <w:tab/>
      </w:r>
      <w:r>
        <w:rPr>
          <w:noProof/>
          <w:lang w:eastAsia="en-US"/>
        </w:rPr>
        <w:tab/>
        <w:t>104–114</w:t>
      </w:r>
      <w:r>
        <w:rPr>
          <w:noProof/>
          <w:webHidden/>
        </w:rPr>
        <w:tab/>
      </w:r>
      <w:r w:rsidR="00AC3FA8">
        <w:rPr>
          <w:noProof/>
          <w:webHidden/>
        </w:rPr>
        <w:t>22</w:t>
      </w:r>
    </w:p>
    <w:p w14:paraId="613392A1" w14:textId="0723AFC9"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XIV.</w:t>
      </w:r>
      <w:r>
        <w:rPr>
          <w:rFonts w:asciiTheme="minorHAnsi" w:eastAsiaTheme="minorEastAsia" w:hAnsiTheme="minorHAnsi" w:cstheme="minorBidi"/>
          <w:noProof/>
          <w:sz w:val="22"/>
          <w:szCs w:val="22"/>
          <w:lang w:val="en-US" w:eastAsia="en-US"/>
        </w:rPr>
        <w:tab/>
      </w:r>
      <w:r>
        <w:rPr>
          <w:noProof/>
          <w:lang w:val="en-US" w:eastAsia="en-GB"/>
        </w:rPr>
        <w:t xml:space="preserve">Impact of the implementation of response measures </w:t>
      </w:r>
      <w:r>
        <w:rPr>
          <w:noProof/>
          <w:lang w:val="en-US" w:eastAsia="en-GB"/>
        </w:rPr>
        <w:br/>
        <w:t>(Agenda sub-item 14)</w:t>
      </w:r>
      <w:r>
        <w:rPr>
          <w:noProof/>
          <w:lang w:val="en-US" w:eastAsia="en-GB"/>
        </w:rPr>
        <w:tab/>
      </w:r>
      <w:r>
        <w:rPr>
          <w:noProof/>
          <w:lang w:val="en-US" w:eastAsia="en-GB"/>
        </w:rPr>
        <w:tab/>
      </w:r>
      <w:r w:rsidR="00330339">
        <w:rPr>
          <w:noProof/>
          <w:lang w:val="en-US" w:eastAsia="en-GB"/>
        </w:rPr>
        <w:t>115–129</w:t>
      </w:r>
      <w:r>
        <w:rPr>
          <w:noProof/>
          <w:webHidden/>
        </w:rPr>
        <w:tab/>
      </w:r>
      <w:r w:rsidR="00AC3FA8">
        <w:rPr>
          <w:noProof/>
          <w:webHidden/>
        </w:rPr>
        <w:t>24</w:t>
      </w:r>
    </w:p>
    <w:p w14:paraId="128D03A8" w14:textId="594A7E26"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A.</w:t>
      </w:r>
      <w:r>
        <w:rPr>
          <w:rFonts w:asciiTheme="minorHAnsi" w:eastAsiaTheme="minorEastAsia" w:hAnsiTheme="minorHAnsi" w:cstheme="minorBidi"/>
          <w:noProof/>
          <w:sz w:val="22"/>
          <w:szCs w:val="22"/>
          <w:lang w:val="en-US" w:eastAsia="en-US"/>
        </w:rPr>
        <w:tab/>
      </w:r>
      <w:r>
        <w:rPr>
          <w:noProof/>
        </w:rPr>
        <w:t>Improved forum and work programme</w:t>
      </w:r>
      <w:r>
        <w:rPr>
          <w:noProof/>
        </w:rPr>
        <w:tab/>
      </w:r>
      <w:r>
        <w:rPr>
          <w:noProof/>
        </w:rPr>
        <w:tab/>
        <w:t>115–123</w:t>
      </w:r>
      <w:r>
        <w:rPr>
          <w:noProof/>
          <w:webHidden/>
        </w:rPr>
        <w:tab/>
      </w:r>
      <w:r w:rsidR="00AC3FA8">
        <w:rPr>
          <w:noProof/>
          <w:webHidden/>
        </w:rPr>
        <w:t>24</w:t>
      </w:r>
    </w:p>
    <w:p w14:paraId="46D1FD5A" w14:textId="49C70260"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rPr>
        <w:tab/>
      </w:r>
      <w:r>
        <w:rPr>
          <w:noProof/>
        </w:rPr>
        <w:tab/>
        <w:t>B.</w:t>
      </w:r>
      <w:r>
        <w:rPr>
          <w:rFonts w:asciiTheme="minorHAnsi" w:eastAsiaTheme="minorEastAsia" w:hAnsiTheme="minorHAnsi" w:cstheme="minorBidi"/>
          <w:noProof/>
          <w:sz w:val="22"/>
          <w:szCs w:val="22"/>
          <w:lang w:val="en-US" w:eastAsia="en-US"/>
        </w:rPr>
        <w:tab/>
      </w:r>
      <w:r>
        <w:rPr>
          <w:noProof/>
          <w:lang w:val="en-US" w:eastAsia="en-GB"/>
        </w:rPr>
        <w:t xml:space="preserve">Modalities, work programme and functions under the Paris Agreement of </w:t>
      </w:r>
      <w:r>
        <w:rPr>
          <w:noProof/>
          <w:lang w:val="en-US" w:eastAsia="en-GB"/>
        </w:rPr>
        <w:br/>
        <w:t>the forum on the impact of the implementation of response measures</w:t>
      </w:r>
      <w:r>
        <w:rPr>
          <w:noProof/>
          <w:lang w:val="en-US" w:eastAsia="en-GB"/>
        </w:rPr>
        <w:tab/>
      </w:r>
      <w:r>
        <w:rPr>
          <w:noProof/>
          <w:lang w:val="en-US" w:eastAsia="en-GB"/>
        </w:rPr>
        <w:tab/>
        <w:t>124–127</w:t>
      </w:r>
      <w:r>
        <w:rPr>
          <w:noProof/>
          <w:webHidden/>
        </w:rPr>
        <w:tab/>
      </w:r>
      <w:r w:rsidR="00AC3FA8">
        <w:rPr>
          <w:noProof/>
          <w:webHidden/>
        </w:rPr>
        <w:t>25</w:t>
      </w:r>
    </w:p>
    <w:p w14:paraId="00F13DD1" w14:textId="1F6A633E"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C.</w:t>
      </w:r>
      <w:r>
        <w:rPr>
          <w:rFonts w:asciiTheme="minorHAnsi" w:eastAsiaTheme="minorEastAsia" w:hAnsiTheme="minorHAnsi" w:cstheme="minorBidi"/>
          <w:noProof/>
          <w:sz w:val="22"/>
          <w:szCs w:val="22"/>
          <w:lang w:val="en-US" w:eastAsia="en-US"/>
        </w:rPr>
        <w:tab/>
      </w:r>
      <w:r>
        <w:rPr>
          <w:noProof/>
          <w:lang w:val="en-US" w:eastAsia="en-GB"/>
        </w:rPr>
        <w:t>Matters relating to Article 3, paragraph 14, of the Kyoto Protocol</w:t>
      </w:r>
      <w:r>
        <w:rPr>
          <w:noProof/>
          <w:lang w:val="en-US" w:eastAsia="en-GB"/>
        </w:rPr>
        <w:tab/>
      </w:r>
      <w:r>
        <w:rPr>
          <w:noProof/>
          <w:lang w:val="en-US" w:eastAsia="en-GB"/>
        </w:rPr>
        <w:tab/>
        <w:t>128</w:t>
      </w:r>
      <w:r>
        <w:rPr>
          <w:noProof/>
          <w:webHidden/>
        </w:rPr>
        <w:tab/>
      </w:r>
      <w:r w:rsidR="00AC3FA8">
        <w:rPr>
          <w:noProof/>
          <w:webHidden/>
        </w:rPr>
        <w:t>25</w:t>
      </w:r>
    </w:p>
    <w:p w14:paraId="41DD1F6B" w14:textId="43E09FB6" w:rsidR="00BE07CA" w:rsidRDefault="00BE07CA" w:rsidP="009E2075">
      <w:pPr>
        <w:pStyle w:val="TOC2"/>
        <w:rPr>
          <w:rFonts w:asciiTheme="minorHAnsi" w:eastAsiaTheme="minorEastAsia" w:hAnsiTheme="minorHAnsi" w:cstheme="minorBidi"/>
          <w:noProof/>
          <w:sz w:val="22"/>
          <w:szCs w:val="22"/>
          <w:lang w:val="en-US" w:eastAsia="en-US"/>
        </w:rPr>
      </w:pPr>
      <w:r>
        <w:rPr>
          <w:noProof/>
        </w:rPr>
        <w:tab/>
      </w:r>
      <w:r>
        <w:rPr>
          <w:noProof/>
        </w:rPr>
        <w:tab/>
        <w:t>D.</w:t>
      </w:r>
      <w:r>
        <w:rPr>
          <w:rFonts w:asciiTheme="minorHAnsi" w:eastAsiaTheme="minorEastAsia" w:hAnsiTheme="minorHAnsi" w:cstheme="minorBidi"/>
          <w:noProof/>
          <w:sz w:val="22"/>
          <w:szCs w:val="22"/>
          <w:lang w:val="en-US" w:eastAsia="en-US"/>
        </w:rPr>
        <w:tab/>
      </w:r>
      <w:r>
        <w:rPr>
          <w:noProof/>
          <w:lang w:val="en-US" w:eastAsia="en-GB"/>
        </w:rPr>
        <w:t>Progress on the implementation of decision 1/CP.10</w:t>
      </w:r>
      <w:r>
        <w:rPr>
          <w:noProof/>
          <w:lang w:val="en-US" w:eastAsia="en-GB"/>
        </w:rPr>
        <w:tab/>
      </w:r>
      <w:r>
        <w:rPr>
          <w:noProof/>
          <w:lang w:val="en-US" w:eastAsia="en-GB"/>
        </w:rPr>
        <w:tab/>
        <w:t>129</w:t>
      </w:r>
      <w:r>
        <w:rPr>
          <w:noProof/>
          <w:webHidden/>
        </w:rPr>
        <w:tab/>
      </w:r>
      <w:r w:rsidR="00AC3FA8">
        <w:rPr>
          <w:noProof/>
          <w:webHidden/>
        </w:rPr>
        <w:t>2</w:t>
      </w:r>
      <w:r w:rsidR="00731E4F">
        <w:rPr>
          <w:noProof/>
          <w:webHidden/>
        </w:rPr>
        <w:t>6</w:t>
      </w:r>
    </w:p>
    <w:p w14:paraId="5B0B10F4" w14:textId="67751C3B"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lastRenderedPageBreak/>
        <w:tab/>
        <w:t>XV.</w:t>
      </w:r>
      <w:r>
        <w:rPr>
          <w:rFonts w:asciiTheme="minorHAnsi" w:eastAsiaTheme="minorEastAsia" w:hAnsiTheme="minorHAnsi" w:cstheme="minorBidi"/>
          <w:noProof/>
          <w:sz w:val="22"/>
          <w:szCs w:val="22"/>
          <w:lang w:val="en-US" w:eastAsia="en-US"/>
        </w:rPr>
        <w:tab/>
      </w:r>
      <w:r>
        <w:rPr>
          <w:noProof/>
          <w:lang w:eastAsia="en-GB"/>
        </w:rPr>
        <w:t xml:space="preserve">The scope of the next periodic review of the long-term goal under </w:t>
      </w:r>
      <w:r>
        <w:rPr>
          <w:noProof/>
          <w:lang w:eastAsia="en-GB"/>
        </w:rPr>
        <w:br/>
        <w:t>the Convention and of overall progress towards achieving it</w:t>
      </w:r>
      <w:r>
        <w:rPr>
          <w:noProof/>
          <w:lang w:eastAsia="en-GB"/>
        </w:rPr>
        <w:br/>
        <w:t>(Agenda item 15)</w:t>
      </w:r>
      <w:r>
        <w:rPr>
          <w:noProof/>
          <w:lang w:eastAsia="en-GB"/>
        </w:rPr>
        <w:tab/>
      </w:r>
      <w:r>
        <w:rPr>
          <w:noProof/>
          <w:lang w:eastAsia="en-GB"/>
        </w:rPr>
        <w:tab/>
        <w:t>130–134</w:t>
      </w:r>
      <w:r>
        <w:rPr>
          <w:noProof/>
          <w:webHidden/>
        </w:rPr>
        <w:tab/>
      </w:r>
      <w:r w:rsidR="00AC3FA8">
        <w:rPr>
          <w:noProof/>
          <w:webHidden/>
        </w:rPr>
        <w:t>26</w:t>
      </w:r>
    </w:p>
    <w:p w14:paraId="52965813" w14:textId="63ACAA9B"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XVI.</w:t>
      </w:r>
      <w:r>
        <w:rPr>
          <w:rFonts w:asciiTheme="minorHAnsi" w:eastAsiaTheme="minorEastAsia" w:hAnsiTheme="minorHAnsi" w:cstheme="minorBidi"/>
          <w:noProof/>
          <w:sz w:val="22"/>
          <w:szCs w:val="22"/>
          <w:lang w:val="en-US" w:eastAsia="en-US"/>
        </w:rPr>
        <w:tab/>
      </w:r>
      <w:r>
        <w:rPr>
          <w:noProof/>
          <w:lang w:val="en-US" w:eastAsia="en-GB"/>
        </w:rPr>
        <w:t>Gender and climate change (Agenda item 16)</w:t>
      </w:r>
      <w:r>
        <w:rPr>
          <w:noProof/>
          <w:lang w:val="en-US" w:eastAsia="en-GB"/>
        </w:rPr>
        <w:tab/>
      </w:r>
      <w:r>
        <w:rPr>
          <w:noProof/>
          <w:lang w:val="en-US" w:eastAsia="en-GB"/>
        </w:rPr>
        <w:tab/>
        <w:t>135–142</w:t>
      </w:r>
      <w:r>
        <w:rPr>
          <w:noProof/>
          <w:webHidden/>
        </w:rPr>
        <w:tab/>
      </w:r>
      <w:r w:rsidR="00AC3FA8">
        <w:rPr>
          <w:noProof/>
          <w:webHidden/>
        </w:rPr>
        <w:t>27</w:t>
      </w:r>
    </w:p>
    <w:p w14:paraId="6CBDBF45" w14:textId="5CD23CFD"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XVII.</w:t>
      </w:r>
      <w:r>
        <w:rPr>
          <w:rFonts w:asciiTheme="minorHAnsi" w:eastAsiaTheme="minorEastAsia" w:hAnsiTheme="minorHAnsi" w:cstheme="minorBidi"/>
          <w:noProof/>
          <w:sz w:val="22"/>
          <w:szCs w:val="22"/>
          <w:lang w:val="en-US" w:eastAsia="en-US"/>
        </w:rPr>
        <w:tab/>
      </w:r>
      <w:r>
        <w:rPr>
          <w:noProof/>
          <w:lang w:val="en-US" w:eastAsia="en-GB"/>
        </w:rPr>
        <w:t>Arrangements for intergovernmental meetings</w:t>
      </w:r>
      <w:r>
        <w:rPr>
          <w:noProof/>
          <w:lang w:val="en-US" w:eastAsia="en-GB"/>
        </w:rPr>
        <w:br/>
      </w:r>
      <w:r>
        <w:rPr>
          <w:noProof/>
          <w:lang w:val="en-US" w:eastAsia="en-GB"/>
        </w:rPr>
        <w:tab/>
      </w:r>
      <w:r>
        <w:rPr>
          <w:noProof/>
          <w:lang w:val="en-US" w:eastAsia="en-GB"/>
        </w:rPr>
        <w:tab/>
        <w:t>(Agenda item 17)</w:t>
      </w:r>
      <w:r>
        <w:rPr>
          <w:noProof/>
          <w:lang w:val="en-US" w:eastAsia="en-GB"/>
        </w:rPr>
        <w:tab/>
      </w:r>
      <w:r>
        <w:rPr>
          <w:noProof/>
          <w:lang w:val="en-US" w:eastAsia="en-GB"/>
        </w:rPr>
        <w:tab/>
        <w:t>143–169</w:t>
      </w:r>
      <w:r>
        <w:rPr>
          <w:noProof/>
          <w:webHidden/>
        </w:rPr>
        <w:tab/>
      </w:r>
      <w:r w:rsidR="00AC3FA8">
        <w:rPr>
          <w:noProof/>
          <w:webHidden/>
        </w:rPr>
        <w:t>28</w:t>
      </w:r>
    </w:p>
    <w:p w14:paraId="465FA943" w14:textId="42D33D45" w:rsidR="00BE07CA" w:rsidRDefault="00BE07CA" w:rsidP="00BA1B89">
      <w:pPr>
        <w:pStyle w:val="TOC1"/>
        <w:rPr>
          <w:rFonts w:asciiTheme="minorHAnsi" w:eastAsiaTheme="minorEastAsia" w:hAnsiTheme="minorHAnsi" w:cstheme="minorBidi"/>
          <w:noProof/>
          <w:sz w:val="22"/>
          <w:szCs w:val="22"/>
          <w:lang w:val="en-US" w:eastAsia="en-US"/>
        </w:rPr>
      </w:pPr>
      <w:r>
        <w:rPr>
          <w:noProof/>
          <w:lang w:eastAsia="en-US"/>
        </w:rPr>
        <w:tab/>
        <w:t>XVIII.</w:t>
      </w:r>
      <w:r>
        <w:rPr>
          <w:rFonts w:asciiTheme="minorHAnsi" w:eastAsiaTheme="minorEastAsia" w:hAnsiTheme="minorHAnsi" w:cstheme="minorBidi"/>
          <w:noProof/>
          <w:sz w:val="22"/>
          <w:szCs w:val="22"/>
          <w:lang w:val="en-US" w:eastAsia="en-US"/>
        </w:rPr>
        <w:tab/>
      </w:r>
      <w:r>
        <w:rPr>
          <w:noProof/>
          <w:lang w:eastAsia="en-US"/>
        </w:rPr>
        <w:t>Administrative, financial and institutional matters</w:t>
      </w:r>
      <w:r>
        <w:rPr>
          <w:noProof/>
          <w:lang w:eastAsia="en-US"/>
        </w:rPr>
        <w:br/>
      </w:r>
      <w:r>
        <w:rPr>
          <w:noProof/>
          <w:lang w:eastAsia="en-US"/>
        </w:rPr>
        <w:tab/>
      </w:r>
      <w:r>
        <w:rPr>
          <w:noProof/>
          <w:lang w:eastAsia="en-US"/>
        </w:rPr>
        <w:tab/>
        <w:t>(Agenda item 18)</w:t>
      </w:r>
      <w:r>
        <w:rPr>
          <w:noProof/>
          <w:lang w:eastAsia="en-US"/>
        </w:rPr>
        <w:tab/>
      </w:r>
      <w:r>
        <w:rPr>
          <w:noProof/>
          <w:lang w:eastAsia="en-US"/>
        </w:rPr>
        <w:tab/>
      </w:r>
      <w:r w:rsidR="00F772EA">
        <w:rPr>
          <w:noProof/>
          <w:lang w:eastAsia="en-US"/>
        </w:rPr>
        <w:t>170–181</w:t>
      </w:r>
      <w:r>
        <w:rPr>
          <w:noProof/>
          <w:webHidden/>
        </w:rPr>
        <w:tab/>
      </w:r>
      <w:r w:rsidR="00AC3FA8">
        <w:rPr>
          <w:noProof/>
          <w:webHidden/>
        </w:rPr>
        <w:t>31</w:t>
      </w:r>
    </w:p>
    <w:p w14:paraId="5EED3818" w14:textId="6F488EE1" w:rsidR="00BE07CA" w:rsidRDefault="00BE07CA" w:rsidP="009E2075">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A.</w:t>
      </w:r>
      <w:r>
        <w:rPr>
          <w:rFonts w:asciiTheme="minorHAnsi" w:eastAsiaTheme="minorEastAsia" w:hAnsiTheme="minorHAnsi" w:cstheme="minorBidi"/>
          <w:noProof/>
          <w:sz w:val="22"/>
          <w:szCs w:val="22"/>
          <w:lang w:val="en-US" w:eastAsia="en-US"/>
        </w:rPr>
        <w:tab/>
      </w:r>
      <w:r>
        <w:rPr>
          <w:noProof/>
        </w:rPr>
        <w:t>Financia</w:t>
      </w:r>
      <w:r w:rsidR="00F772EA">
        <w:rPr>
          <w:noProof/>
        </w:rPr>
        <w:t>l and budgetary matters</w:t>
      </w:r>
      <w:r w:rsidR="00F772EA">
        <w:rPr>
          <w:noProof/>
        </w:rPr>
        <w:tab/>
      </w:r>
      <w:r w:rsidR="00F772EA">
        <w:rPr>
          <w:noProof/>
        </w:rPr>
        <w:tab/>
        <w:t>170–176</w:t>
      </w:r>
      <w:r>
        <w:rPr>
          <w:noProof/>
          <w:webHidden/>
        </w:rPr>
        <w:tab/>
      </w:r>
      <w:r w:rsidR="00AC3FA8">
        <w:rPr>
          <w:noProof/>
          <w:webHidden/>
        </w:rPr>
        <w:t>31</w:t>
      </w:r>
    </w:p>
    <w:p w14:paraId="4D8DD8DE" w14:textId="288A0F28" w:rsidR="00BE07CA" w:rsidRDefault="00BE07CA" w:rsidP="009E2075">
      <w:pPr>
        <w:pStyle w:val="TOC2"/>
        <w:rPr>
          <w:rFonts w:asciiTheme="minorHAnsi" w:eastAsiaTheme="minorEastAsia" w:hAnsiTheme="minorHAnsi" w:cstheme="minorBidi"/>
          <w:noProof/>
          <w:sz w:val="22"/>
          <w:szCs w:val="22"/>
          <w:lang w:val="en-US" w:eastAsia="en-US"/>
        </w:rPr>
      </w:pPr>
      <w:r>
        <w:rPr>
          <w:noProof/>
          <w:lang w:eastAsia="en-US"/>
        </w:rPr>
        <w:tab/>
      </w:r>
      <w:r>
        <w:rPr>
          <w:noProof/>
          <w:lang w:eastAsia="en-US"/>
        </w:rPr>
        <w:tab/>
        <w:t>B.</w:t>
      </w:r>
      <w:r>
        <w:rPr>
          <w:rFonts w:asciiTheme="minorHAnsi" w:eastAsiaTheme="minorEastAsia" w:hAnsiTheme="minorHAnsi" w:cstheme="minorBidi"/>
          <w:noProof/>
          <w:sz w:val="22"/>
          <w:szCs w:val="22"/>
          <w:lang w:val="en-US" w:eastAsia="en-US"/>
        </w:rPr>
        <w:tab/>
      </w:r>
      <w:r w:rsidR="00F04A80" w:rsidRPr="00F04A80">
        <w:rPr>
          <w:noProof/>
          <w:lang w:eastAsia="en-GB"/>
        </w:rPr>
        <w:t>Continuing review of functions and operations of the secretariat</w:t>
      </w:r>
      <w:r w:rsidR="00F772EA">
        <w:rPr>
          <w:noProof/>
          <w:lang w:eastAsia="en-GB"/>
        </w:rPr>
        <w:tab/>
      </w:r>
      <w:r w:rsidR="00F772EA">
        <w:rPr>
          <w:noProof/>
          <w:lang w:eastAsia="en-GB"/>
        </w:rPr>
        <w:tab/>
        <w:t>177</w:t>
      </w:r>
      <w:r>
        <w:rPr>
          <w:noProof/>
          <w:webHidden/>
        </w:rPr>
        <w:tab/>
      </w:r>
      <w:r w:rsidR="00AC3FA8">
        <w:rPr>
          <w:noProof/>
          <w:webHidden/>
        </w:rPr>
        <w:t>32</w:t>
      </w:r>
    </w:p>
    <w:p w14:paraId="55C5A8EB" w14:textId="60180393"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t>C.</w:t>
      </w:r>
      <w:r>
        <w:rPr>
          <w:rFonts w:asciiTheme="minorHAnsi" w:eastAsiaTheme="minorEastAsia" w:hAnsiTheme="minorHAnsi" w:cstheme="minorBidi"/>
          <w:noProof/>
          <w:sz w:val="22"/>
          <w:szCs w:val="22"/>
          <w:lang w:val="en-US" w:eastAsia="en-US"/>
        </w:rPr>
        <w:tab/>
      </w:r>
      <w:r>
        <w:rPr>
          <w:noProof/>
          <w:lang w:eastAsia="en-GB"/>
        </w:rPr>
        <w:t xml:space="preserve">Privileges and immunities for individuals serving on constituted bodies </w:t>
      </w:r>
      <w:r>
        <w:rPr>
          <w:noProof/>
          <w:lang w:eastAsia="en-GB"/>
        </w:rPr>
        <w:br/>
        <w:t>establish</w:t>
      </w:r>
      <w:r w:rsidR="00F772EA">
        <w:rPr>
          <w:noProof/>
          <w:lang w:eastAsia="en-GB"/>
        </w:rPr>
        <w:t>ed under the Kyoto Protocol</w:t>
      </w:r>
      <w:r w:rsidR="00F772EA">
        <w:rPr>
          <w:noProof/>
          <w:lang w:eastAsia="en-GB"/>
        </w:rPr>
        <w:tab/>
      </w:r>
      <w:r w:rsidR="00F772EA">
        <w:rPr>
          <w:noProof/>
          <w:lang w:eastAsia="en-GB"/>
        </w:rPr>
        <w:tab/>
        <w:t>178</w:t>
      </w:r>
      <w:r w:rsidR="00F772EA">
        <w:rPr>
          <w:noProof/>
        </w:rPr>
        <w:t>–179</w:t>
      </w:r>
      <w:r>
        <w:rPr>
          <w:noProof/>
          <w:webHidden/>
        </w:rPr>
        <w:tab/>
      </w:r>
      <w:r w:rsidR="00AC3FA8">
        <w:rPr>
          <w:noProof/>
          <w:webHidden/>
        </w:rPr>
        <w:t>32</w:t>
      </w:r>
    </w:p>
    <w:p w14:paraId="1AEE2B45" w14:textId="75109689" w:rsidR="00BE07CA" w:rsidRDefault="00BE07CA" w:rsidP="009E2075">
      <w:pPr>
        <w:pStyle w:val="TOC2"/>
        <w:ind w:left="1559" w:hanging="1559"/>
        <w:rPr>
          <w:rFonts w:asciiTheme="minorHAnsi" w:eastAsiaTheme="minorEastAsia" w:hAnsiTheme="minorHAnsi" w:cstheme="minorBidi"/>
          <w:noProof/>
          <w:sz w:val="22"/>
          <w:szCs w:val="22"/>
          <w:lang w:val="en-US" w:eastAsia="en-US"/>
        </w:rPr>
      </w:pPr>
      <w:r>
        <w:rPr>
          <w:noProof/>
          <w:lang w:eastAsia="en-US"/>
        </w:rPr>
        <w:tab/>
      </w:r>
      <w:r>
        <w:rPr>
          <w:noProof/>
          <w:lang w:eastAsia="en-US"/>
        </w:rPr>
        <w:tab/>
        <w:t>D.</w:t>
      </w:r>
      <w:r>
        <w:rPr>
          <w:rFonts w:asciiTheme="minorHAnsi" w:eastAsiaTheme="minorEastAsia" w:hAnsiTheme="minorHAnsi" w:cstheme="minorBidi"/>
          <w:noProof/>
          <w:sz w:val="22"/>
          <w:szCs w:val="22"/>
          <w:lang w:val="en-US" w:eastAsia="en-US"/>
        </w:rPr>
        <w:tab/>
      </w:r>
      <w:r>
        <w:rPr>
          <w:noProof/>
          <w:lang w:eastAsia="en-GB"/>
        </w:rPr>
        <w:t xml:space="preserve">Privileges and immunities for individuals serving on constituted bodies </w:t>
      </w:r>
      <w:r>
        <w:rPr>
          <w:noProof/>
          <w:lang w:eastAsia="en-GB"/>
        </w:rPr>
        <w:br/>
        <w:t>estab</w:t>
      </w:r>
      <w:r w:rsidR="00F772EA">
        <w:rPr>
          <w:noProof/>
          <w:lang w:eastAsia="en-GB"/>
        </w:rPr>
        <w:t>lished under the Convention</w:t>
      </w:r>
      <w:r w:rsidR="00F772EA">
        <w:rPr>
          <w:noProof/>
          <w:lang w:eastAsia="en-GB"/>
        </w:rPr>
        <w:tab/>
      </w:r>
      <w:r w:rsidR="00F772EA">
        <w:rPr>
          <w:noProof/>
          <w:lang w:eastAsia="en-GB"/>
        </w:rPr>
        <w:tab/>
        <w:t>180</w:t>
      </w:r>
      <w:r w:rsidR="00F772EA">
        <w:rPr>
          <w:noProof/>
        </w:rPr>
        <w:t>–181</w:t>
      </w:r>
      <w:r>
        <w:rPr>
          <w:noProof/>
          <w:webHidden/>
        </w:rPr>
        <w:tab/>
      </w:r>
      <w:r w:rsidR="00AC3FA8">
        <w:rPr>
          <w:noProof/>
          <w:webHidden/>
        </w:rPr>
        <w:t>32</w:t>
      </w:r>
    </w:p>
    <w:p w14:paraId="3DFEBF1F" w14:textId="05026056" w:rsidR="00BE07CA" w:rsidRDefault="00BE07CA" w:rsidP="00BA1B89">
      <w:pPr>
        <w:pStyle w:val="TOC1"/>
        <w:rPr>
          <w:rFonts w:asciiTheme="minorHAnsi" w:eastAsiaTheme="minorEastAsia" w:hAnsiTheme="minorHAnsi" w:cstheme="minorBidi"/>
          <w:noProof/>
          <w:sz w:val="22"/>
          <w:szCs w:val="22"/>
          <w:lang w:val="en-US" w:eastAsia="en-US"/>
        </w:rPr>
      </w:pPr>
      <w:r>
        <w:rPr>
          <w:noProof/>
        </w:rPr>
        <w:tab/>
        <w:t>XIX.</w:t>
      </w:r>
      <w:r>
        <w:rPr>
          <w:rFonts w:asciiTheme="minorHAnsi" w:eastAsiaTheme="minorEastAsia" w:hAnsiTheme="minorHAnsi" w:cstheme="minorBidi"/>
          <w:noProof/>
          <w:sz w:val="22"/>
          <w:szCs w:val="22"/>
          <w:lang w:val="en-US" w:eastAsia="en-US"/>
        </w:rPr>
        <w:tab/>
      </w:r>
      <w:r>
        <w:rPr>
          <w:noProof/>
          <w:lang w:eastAsia="en-US"/>
        </w:rPr>
        <w:t>Other</w:t>
      </w:r>
      <w:r w:rsidR="00F772EA">
        <w:rPr>
          <w:noProof/>
          <w:lang w:eastAsia="en-US"/>
        </w:rPr>
        <w:t xml:space="preserve"> matters</w:t>
      </w:r>
      <w:r w:rsidR="00F772EA">
        <w:rPr>
          <w:noProof/>
          <w:lang w:eastAsia="en-US"/>
        </w:rPr>
        <w:br/>
      </w:r>
      <w:r w:rsidR="00F772EA">
        <w:rPr>
          <w:noProof/>
          <w:lang w:eastAsia="en-US"/>
        </w:rPr>
        <w:tab/>
      </w:r>
      <w:r w:rsidR="00F772EA">
        <w:rPr>
          <w:noProof/>
          <w:lang w:eastAsia="en-US"/>
        </w:rPr>
        <w:tab/>
        <w:t>(Agenda item 19)</w:t>
      </w:r>
      <w:r w:rsidR="00F772EA">
        <w:rPr>
          <w:noProof/>
          <w:lang w:eastAsia="en-US"/>
        </w:rPr>
        <w:tab/>
      </w:r>
      <w:r w:rsidR="00F772EA">
        <w:rPr>
          <w:noProof/>
          <w:lang w:eastAsia="en-US"/>
        </w:rPr>
        <w:tab/>
        <w:t>182</w:t>
      </w:r>
      <w:r>
        <w:rPr>
          <w:noProof/>
          <w:webHidden/>
        </w:rPr>
        <w:tab/>
      </w:r>
      <w:r w:rsidR="00AC3FA8">
        <w:rPr>
          <w:noProof/>
          <w:webHidden/>
        </w:rPr>
        <w:t>33</w:t>
      </w:r>
    </w:p>
    <w:p w14:paraId="70F6E5EB" w14:textId="2F02D48B" w:rsidR="00BE07CA" w:rsidRDefault="00BE07CA" w:rsidP="00BA1B89">
      <w:pPr>
        <w:pStyle w:val="TOC1"/>
        <w:rPr>
          <w:rFonts w:asciiTheme="minorHAnsi" w:eastAsiaTheme="minorEastAsia" w:hAnsiTheme="minorHAnsi" w:cstheme="minorBidi"/>
          <w:noProof/>
          <w:sz w:val="22"/>
          <w:szCs w:val="22"/>
          <w:lang w:val="en-US" w:eastAsia="en-US"/>
        </w:rPr>
      </w:pPr>
      <w:r>
        <w:rPr>
          <w:noProof/>
        </w:rPr>
        <w:tab/>
        <w:t>XX.</w:t>
      </w:r>
      <w:r>
        <w:rPr>
          <w:rFonts w:asciiTheme="minorHAnsi" w:eastAsiaTheme="minorEastAsia" w:hAnsiTheme="minorHAnsi" w:cstheme="minorBidi"/>
          <w:noProof/>
          <w:sz w:val="22"/>
          <w:szCs w:val="22"/>
          <w:lang w:val="en-US" w:eastAsia="en-US"/>
        </w:rPr>
        <w:tab/>
      </w:r>
      <w:r>
        <w:rPr>
          <w:noProof/>
          <w:lang w:eastAsia="en-US"/>
        </w:rPr>
        <w:t>Closure of and report on the</w:t>
      </w:r>
      <w:r w:rsidR="00F772EA">
        <w:rPr>
          <w:noProof/>
          <w:lang w:eastAsia="en-US"/>
        </w:rPr>
        <w:t xml:space="preserve"> session</w:t>
      </w:r>
      <w:r w:rsidR="00F772EA">
        <w:rPr>
          <w:noProof/>
          <w:lang w:eastAsia="en-US"/>
        </w:rPr>
        <w:br/>
      </w:r>
      <w:r w:rsidR="00F772EA">
        <w:rPr>
          <w:noProof/>
          <w:lang w:eastAsia="en-US"/>
        </w:rPr>
        <w:tab/>
      </w:r>
      <w:r w:rsidR="00F772EA">
        <w:rPr>
          <w:noProof/>
          <w:lang w:eastAsia="en-US"/>
        </w:rPr>
        <w:tab/>
        <w:t>(Agenda item 20)</w:t>
      </w:r>
      <w:r w:rsidR="00F772EA">
        <w:rPr>
          <w:noProof/>
          <w:lang w:eastAsia="en-US"/>
        </w:rPr>
        <w:tab/>
      </w:r>
      <w:r w:rsidR="00F772EA">
        <w:rPr>
          <w:noProof/>
          <w:lang w:eastAsia="en-US"/>
        </w:rPr>
        <w:tab/>
        <w:t>183–191</w:t>
      </w:r>
      <w:r>
        <w:rPr>
          <w:noProof/>
          <w:webHidden/>
        </w:rPr>
        <w:tab/>
      </w:r>
      <w:r w:rsidR="00AC3FA8">
        <w:rPr>
          <w:noProof/>
          <w:webHidden/>
        </w:rPr>
        <w:t>33</w:t>
      </w:r>
    </w:p>
    <w:p w14:paraId="4ADF6A85" w14:textId="769F45E5" w:rsidR="00BE07CA" w:rsidRPr="00C905DC" w:rsidRDefault="00BE07CA" w:rsidP="00BE07CA">
      <w:pPr>
        <w:tabs>
          <w:tab w:val="right" w:pos="850"/>
          <w:tab w:val="left" w:pos="1134"/>
          <w:tab w:val="left" w:pos="1559"/>
          <w:tab w:val="left" w:pos="1984"/>
          <w:tab w:val="left" w:leader="dot" w:pos="7654"/>
          <w:tab w:val="right" w:pos="8929"/>
          <w:tab w:val="right" w:pos="9638"/>
        </w:tabs>
        <w:spacing w:after="120"/>
        <w:rPr>
          <w:lang w:val="en-US" w:eastAsia="en-US"/>
        </w:rPr>
      </w:pPr>
      <w:r w:rsidRPr="00C905DC">
        <w:rPr>
          <w:lang w:val="en-US" w:eastAsia="en-US"/>
        </w:rPr>
        <w:t>Annexes</w:t>
      </w:r>
    </w:p>
    <w:p w14:paraId="375295D0" w14:textId="1511FA1D" w:rsidR="00D46DE0" w:rsidRPr="00C905DC" w:rsidRDefault="00BE07CA" w:rsidP="00BA1B89">
      <w:pPr>
        <w:pStyle w:val="TOC1"/>
        <w:rPr>
          <w:noProof/>
        </w:rPr>
      </w:pPr>
      <w:r w:rsidRPr="00C905DC">
        <w:rPr>
          <w:lang w:val="en-US" w:eastAsia="en-US"/>
        </w:rPr>
        <w:tab/>
      </w:r>
      <w:r w:rsidR="00053188">
        <w:rPr>
          <w:lang w:val="en-US" w:eastAsia="en-US"/>
        </w:rPr>
        <w:t>I.</w:t>
      </w:r>
      <w:r w:rsidRPr="00C905DC">
        <w:rPr>
          <w:lang w:val="en-US" w:eastAsia="en-US"/>
        </w:rPr>
        <w:tab/>
      </w:r>
      <w:r w:rsidR="00F940CC" w:rsidRPr="00053188">
        <w:rPr>
          <w:lang w:val="en-US" w:eastAsia="en-US"/>
        </w:rPr>
        <w:t xml:space="preserve">Draft </w:t>
      </w:r>
      <w:r w:rsidR="00F940CC" w:rsidRPr="00053188">
        <w:t>guidelines</w:t>
      </w:r>
      <w:r w:rsidR="00F940CC">
        <w:t xml:space="preserve"> for the preparation of national communications by Parties included in Annex I to the Convention, Part II: UNFCCC reporting guidelines on national communications </w:t>
      </w:r>
      <w:r w:rsidR="009F13B5">
        <w:rPr>
          <w:noProof/>
          <w:webHidden/>
        </w:rPr>
        <w:tab/>
      </w:r>
      <w:r w:rsidR="009F13B5">
        <w:rPr>
          <w:noProof/>
          <w:webHidden/>
        </w:rPr>
        <w:tab/>
      </w:r>
      <w:r w:rsidR="00D46DE0" w:rsidRPr="00C905DC">
        <w:rPr>
          <w:noProof/>
          <w:webHidden/>
        </w:rPr>
        <w:t>35</w:t>
      </w:r>
    </w:p>
    <w:p w14:paraId="78065DC9" w14:textId="14519C15" w:rsidR="00BE07CA" w:rsidRPr="00C905DC" w:rsidRDefault="00D46DE0" w:rsidP="00BA1B89">
      <w:pPr>
        <w:pStyle w:val="TOC1"/>
        <w:rPr>
          <w:noProof/>
        </w:rPr>
      </w:pPr>
      <w:r>
        <w:rPr>
          <w:lang w:val="en-US" w:eastAsia="en-US"/>
        </w:rPr>
        <w:tab/>
      </w:r>
      <w:r w:rsidR="00053188">
        <w:rPr>
          <w:lang w:val="en-US" w:eastAsia="en-US"/>
        </w:rPr>
        <w:t>II.</w:t>
      </w:r>
      <w:r>
        <w:rPr>
          <w:lang w:val="en-US" w:eastAsia="en-US"/>
        </w:rPr>
        <w:tab/>
      </w:r>
      <w:r w:rsidR="00BE07CA" w:rsidRPr="00C905DC">
        <w:t>Work programme</w:t>
      </w:r>
      <w:r w:rsidR="00BE07CA" w:rsidRPr="00C905DC">
        <w:rPr>
          <w:rStyle w:val="FootnoteReference"/>
          <w:sz w:val="24"/>
          <w:szCs w:val="24"/>
        </w:rPr>
        <w:t xml:space="preserve"> </w:t>
      </w:r>
      <w:r w:rsidR="00BE07CA" w:rsidRPr="00C905DC">
        <w:t>on the improved forum on the impact of the implementation of response measures (June 2016 to November 2018)</w:t>
      </w:r>
      <w:r w:rsidR="00BE07CA" w:rsidRPr="00C905DC">
        <w:rPr>
          <w:noProof/>
          <w:webHidden/>
        </w:rPr>
        <w:tab/>
      </w:r>
      <w:r w:rsidR="00BE07CA" w:rsidRPr="00C905DC">
        <w:rPr>
          <w:noProof/>
          <w:webHidden/>
        </w:rPr>
        <w:tab/>
      </w:r>
      <w:r w:rsidR="00F772EA">
        <w:rPr>
          <w:noProof/>
          <w:webHidden/>
        </w:rPr>
        <w:t>68</w:t>
      </w:r>
    </w:p>
    <w:p w14:paraId="2748D052" w14:textId="2BA52B77" w:rsidR="00BE07CA" w:rsidRDefault="00BE07CA" w:rsidP="00BA1B89">
      <w:pPr>
        <w:pStyle w:val="TOC1"/>
        <w:rPr>
          <w:noProof/>
          <w:webHidden/>
        </w:rPr>
      </w:pPr>
      <w:r w:rsidRPr="00C905DC">
        <w:rPr>
          <w:lang w:val="en-US" w:eastAsia="en-US"/>
        </w:rPr>
        <w:tab/>
      </w:r>
      <w:r w:rsidR="00053188">
        <w:rPr>
          <w:lang w:val="en-US" w:eastAsia="en-US"/>
        </w:rPr>
        <w:t>III.</w:t>
      </w:r>
      <w:r w:rsidR="00053188">
        <w:rPr>
          <w:lang w:val="en-US" w:eastAsia="en-US"/>
        </w:rPr>
        <w:tab/>
      </w:r>
      <w:r w:rsidRPr="00C905DC">
        <w:t>Terms of reference of the ad hoc technical expert groups on the impact of the implementation of response measures</w:t>
      </w:r>
      <w:r w:rsidR="009F13B5">
        <w:rPr>
          <w:noProof/>
          <w:webHidden/>
        </w:rPr>
        <w:tab/>
      </w:r>
      <w:r w:rsidRPr="00C905DC">
        <w:rPr>
          <w:noProof/>
          <w:webHidden/>
        </w:rPr>
        <w:tab/>
      </w:r>
      <w:r w:rsidR="00F772EA">
        <w:rPr>
          <w:noProof/>
          <w:webHidden/>
        </w:rPr>
        <w:t>70</w:t>
      </w:r>
    </w:p>
    <w:p w14:paraId="2F6CADA3" w14:textId="77777777" w:rsidR="00BE07CA" w:rsidRDefault="00BE07CA" w:rsidP="00BE07CA">
      <w:pPr>
        <w:spacing w:after="120"/>
        <w:ind w:left="414" w:firstLine="720"/>
        <w:rPr>
          <w:webHidden/>
        </w:rPr>
      </w:pPr>
    </w:p>
    <w:p w14:paraId="774E0381" w14:textId="77777777" w:rsidR="00BE07CA" w:rsidRDefault="00BE07CA" w:rsidP="00BE07CA">
      <w:pPr>
        <w:suppressAutoHyphens w:val="0"/>
        <w:spacing w:line="240" w:lineRule="auto"/>
      </w:pPr>
      <w:r>
        <w:br w:type="page"/>
      </w:r>
    </w:p>
    <w:p w14:paraId="06E95C09" w14:textId="77777777" w:rsidR="00BE07CA" w:rsidRDefault="00BE07CA" w:rsidP="00BE07CA">
      <w:pPr>
        <w:tabs>
          <w:tab w:val="right" w:pos="850"/>
          <w:tab w:val="left" w:pos="1134"/>
          <w:tab w:val="left" w:pos="1559"/>
          <w:tab w:val="left" w:pos="1984"/>
          <w:tab w:val="left" w:leader="dot" w:pos="8929"/>
          <w:tab w:val="right" w:pos="9638"/>
        </w:tabs>
        <w:spacing w:before="360" w:after="240"/>
        <w:ind w:left="1134" w:right="1140"/>
        <w:rPr>
          <w:rFonts w:eastAsia="Times New Roman"/>
          <w:b/>
          <w:bCs/>
          <w:noProof/>
          <w:sz w:val="28"/>
          <w:szCs w:val="28"/>
          <w:lang w:eastAsia="en-US"/>
        </w:rPr>
      </w:pPr>
      <w:r w:rsidRPr="00C905DC">
        <w:rPr>
          <w:rFonts w:eastAsia="Times New Roman"/>
          <w:b/>
          <w:bCs/>
          <w:noProof/>
          <w:sz w:val="28"/>
          <w:szCs w:val="28"/>
          <w:lang w:eastAsia="en-US"/>
        </w:rPr>
        <w:lastRenderedPageBreak/>
        <w:t>Addendum – FCCC/SBI/2016/8/Add.1</w:t>
      </w:r>
    </w:p>
    <w:p w14:paraId="417C7599" w14:textId="77777777" w:rsidR="00BE07CA" w:rsidRDefault="00BE07CA" w:rsidP="00BE07CA">
      <w:pPr>
        <w:tabs>
          <w:tab w:val="right" w:pos="850"/>
          <w:tab w:val="left" w:pos="1134"/>
          <w:tab w:val="left" w:pos="1559"/>
          <w:tab w:val="left" w:pos="1984"/>
          <w:tab w:val="left" w:leader="dot" w:pos="8929"/>
          <w:tab w:val="right" w:pos="9638"/>
        </w:tabs>
        <w:spacing w:after="270"/>
        <w:ind w:left="1134" w:right="1138"/>
        <w:rPr>
          <w:rFonts w:eastAsia="Times New Roman"/>
          <w:b/>
          <w:bCs/>
          <w:noProof/>
          <w:sz w:val="28"/>
          <w:szCs w:val="28"/>
          <w:lang w:eastAsia="en-US"/>
        </w:rPr>
      </w:pPr>
      <w:r>
        <w:rPr>
          <w:rFonts w:eastAsia="Times New Roman"/>
          <w:b/>
          <w:bCs/>
          <w:noProof/>
          <w:sz w:val="28"/>
          <w:szCs w:val="28"/>
          <w:lang w:eastAsia="en-US"/>
        </w:rPr>
        <w:t xml:space="preserve">Draft decisions forwarded for consideration and adoption by the Conference of the Parties and the Conference of the Parties serving as the meeting of the Parties to the </w:t>
      </w:r>
      <w:r>
        <w:rPr>
          <w:rFonts w:eastAsia="Times New Roman"/>
          <w:b/>
          <w:bCs/>
          <w:noProof/>
          <w:sz w:val="28"/>
          <w:szCs w:val="28"/>
          <w:lang w:eastAsia="en-US"/>
        </w:rPr>
        <w:br/>
        <w:t>Kyoto Protocol</w:t>
      </w:r>
    </w:p>
    <w:p w14:paraId="5EB84E7D" w14:textId="77777777"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Draft decision -/CP.22. Outcome of the first round of the international assessment and review process (2014–2015)</w:t>
      </w:r>
    </w:p>
    <w:p w14:paraId="5FA7FE6E" w14:textId="77777777"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Draft decision -/CP.22. Paris Committee on Capacity-building</w:t>
      </w:r>
    </w:p>
    <w:p w14:paraId="4AD8A6D0" w14:textId="517BFBB5"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 xml:space="preserve">Draft decision -/CP.22. </w:t>
      </w:r>
      <w:r w:rsidR="00A07CCB" w:rsidRPr="00A07CCB">
        <w:t>Improving the effectiveness of the Doha work programme on Article 6 of the Convention</w:t>
      </w:r>
    </w:p>
    <w:p w14:paraId="74846621" w14:textId="77777777"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Draft decision -/CP.22. Financial and budgetary matters</w:t>
      </w:r>
    </w:p>
    <w:p w14:paraId="164F07C3" w14:textId="77777777"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Draft decision -/CMP.12. Financial and budgetary matters</w:t>
      </w:r>
    </w:p>
    <w:p w14:paraId="70E97C68" w14:textId="77777777"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Draft decision -/CMP.12. Review of the joint implementation guidelines</w:t>
      </w:r>
    </w:p>
    <w:p w14:paraId="4856A74E" w14:textId="77777777" w:rsidR="00BE07CA" w:rsidRDefault="00BE07CA" w:rsidP="00BE07CA">
      <w:pPr>
        <w:tabs>
          <w:tab w:val="right" w:pos="850"/>
          <w:tab w:val="left" w:pos="1134"/>
          <w:tab w:val="left" w:pos="1559"/>
          <w:tab w:val="left" w:pos="1984"/>
          <w:tab w:val="left" w:leader="dot" w:pos="8929"/>
          <w:tab w:val="right" w:pos="9638"/>
        </w:tabs>
        <w:spacing w:after="120"/>
        <w:ind w:left="1134" w:right="1134"/>
        <w:jc w:val="both"/>
      </w:pPr>
      <w:r>
        <w:t>Draft Decision-/CMP.12. Third review of the Adaptation Fund</w:t>
      </w:r>
    </w:p>
    <w:p w14:paraId="3F5D2909" w14:textId="77777777" w:rsidR="00BE07CA" w:rsidRDefault="00BE07CA" w:rsidP="00BE07CA">
      <w:pPr>
        <w:suppressAutoHyphens w:val="0"/>
        <w:spacing w:line="240" w:lineRule="auto"/>
      </w:pPr>
      <w:r>
        <w:br w:type="page"/>
      </w:r>
    </w:p>
    <w:p w14:paraId="73FC25F8" w14:textId="71DCF5C2" w:rsidR="00BE07CA" w:rsidRDefault="000E0429" w:rsidP="000E0429">
      <w:pPr>
        <w:pStyle w:val="RegHChG"/>
        <w:numPr>
          <w:ilvl w:val="0"/>
          <w:numId w:val="0"/>
        </w:numPr>
        <w:tabs>
          <w:tab w:val="left" w:pos="1135"/>
        </w:tabs>
        <w:spacing w:after="0"/>
        <w:ind w:left="1135" w:hanging="454"/>
      </w:pPr>
      <w:bookmarkStart w:id="2" w:name="_Toc453078743"/>
      <w:r>
        <w:lastRenderedPageBreak/>
        <w:t>I.</w:t>
      </w:r>
      <w:r>
        <w:tab/>
      </w:r>
      <w:r w:rsidR="00BE07CA">
        <w:t>Opening of the session</w:t>
      </w:r>
      <w:bookmarkEnd w:id="2"/>
    </w:p>
    <w:p w14:paraId="2B4983EC" w14:textId="77777777" w:rsidR="00BE07CA" w:rsidRDefault="00BE07CA" w:rsidP="00BE07CA">
      <w:pPr>
        <w:spacing w:after="240"/>
        <w:ind w:left="415" w:firstLine="720"/>
      </w:pPr>
      <w:r>
        <w:t>(Agenda item 1)</w:t>
      </w:r>
    </w:p>
    <w:p w14:paraId="3E56ACB5" w14:textId="77777777" w:rsidR="00BE07CA" w:rsidRDefault="00BE07CA" w:rsidP="00BE07CA">
      <w:pPr>
        <w:pStyle w:val="SingleTxtG"/>
      </w:pPr>
      <w:r>
        <w:rPr>
          <w:rFonts w:eastAsia="SimSun"/>
          <w:lang w:eastAsia="zh-CN"/>
        </w:rPr>
        <w:t>1.</w:t>
      </w:r>
      <w:r>
        <w:rPr>
          <w:rFonts w:eastAsia="SimSun"/>
          <w:lang w:eastAsia="zh-CN"/>
        </w:rPr>
        <w:tab/>
      </w:r>
      <w:r>
        <w:t>The forty-fourth session of the Subsidiary Body for Implementation (SBI) was held at the World Conference Center Bonn in Bonn, Germany, from 16 to 26 May 2016.</w:t>
      </w:r>
    </w:p>
    <w:p w14:paraId="1E2C6988" w14:textId="77777777" w:rsidR="00BE07CA" w:rsidRDefault="00BE07CA" w:rsidP="00BE07CA">
      <w:pPr>
        <w:pStyle w:val="SingleTxtG"/>
      </w:pPr>
      <w:r w:rsidRPr="006252F0">
        <w:t>2.</w:t>
      </w:r>
      <w:r w:rsidRPr="006252F0">
        <w:tab/>
        <w:t>The Chair of the SBI, Mr. Tomasz Chruszczow (Poland), opened the session on Monday, 16 May, and welcomed all Parties and observers. He also welcomed Mr. Zhihua Chen (China) as Vice-Chair of the SBI and, at the 2</w:t>
      </w:r>
      <w:r w:rsidRPr="006252F0">
        <w:rPr>
          <w:vertAlign w:val="superscript"/>
        </w:rPr>
        <w:t>nd</w:t>
      </w:r>
      <w:r w:rsidRPr="006252F0">
        <w:t xml:space="preserve"> meeting on 20 May, he welcomed Mr. Sidat Yaffa (Gambia), who had just joined the session, as Rapporteur. At the opening plenary, Ms. Laurence Tubiana (France) made a statement on behalf of the Presidency of the Conference of the Parties (COP).</w:t>
      </w:r>
      <w:r w:rsidRPr="006252F0">
        <w:rPr>
          <w:sz w:val="18"/>
          <w:vertAlign w:val="superscript"/>
        </w:rPr>
        <w:footnoteReference w:id="2"/>
      </w:r>
    </w:p>
    <w:p w14:paraId="28D94EB7" w14:textId="089E6A61" w:rsidR="00BE07CA" w:rsidRDefault="000E0429" w:rsidP="000E0429">
      <w:pPr>
        <w:pStyle w:val="RegHChG"/>
        <w:numPr>
          <w:ilvl w:val="0"/>
          <w:numId w:val="0"/>
        </w:numPr>
        <w:tabs>
          <w:tab w:val="left" w:pos="1135"/>
        </w:tabs>
        <w:spacing w:after="0"/>
        <w:ind w:left="1135" w:hanging="454"/>
      </w:pPr>
      <w:bookmarkStart w:id="3" w:name="_Toc453078744"/>
      <w:r>
        <w:t>II.</w:t>
      </w:r>
      <w:r>
        <w:tab/>
      </w:r>
      <w:r w:rsidR="00BE07CA">
        <w:t>Organizational matters</w:t>
      </w:r>
      <w:bookmarkEnd w:id="3"/>
    </w:p>
    <w:p w14:paraId="33AD80D2" w14:textId="77777777" w:rsidR="00BE07CA" w:rsidRDefault="00BE07CA" w:rsidP="00BE07CA">
      <w:pPr>
        <w:spacing w:after="240"/>
        <w:ind w:left="415" w:firstLine="720"/>
      </w:pPr>
      <w:r>
        <w:t>(Agenda item 2)</w:t>
      </w:r>
    </w:p>
    <w:p w14:paraId="2233D6ED" w14:textId="62C882B8" w:rsidR="00BE07CA" w:rsidRDefault="000E0429" w:rsidP="000E0429">
      <w:pPr>
        <w:pStyle w:val="RegH1G"/>
        <w:numPr>
          <w:ilvl w:val="0"/>
          <w:numId w:val="0"/>
        </w:numPr>
        <w:tabs>
          <w:tab w:val="left" w:pos="1135"/>
        </w:tabs>
        <w:spacing w:after="0"/>
        <w:ind w:left="1135" w:hanging="454"/>
        <w:rPr>
          <w:lang w:eastAsia="en-US"/>
        </w:rPr>
      </w:pPr>
      <w:bookmarkStart w:id="4" w:name="_Toc453078745"/>
      <w:r>
        <w:rPr>
          <w:lang w:eastAsia="en-US"/>
        </w:rPr>
        <w:t>A.</w:t>
      </w:r>
      <w:r>
        <w:rPr>
          <w:lang w:eastAsia="en-US"/>
        </w:rPr>
        <w:tab/>
      </w:r>
      <w:r w:rsidR="00BE07CA">
        <w:rPr>
          <w:lang w:eastAsia="en-US"/>
        </w:rPr>
        <w:t>Adoption of the agenda</w:t>
      </w:r>
      <w:bookmarkEnd w:id="4"/>
    </w:p>
    <w:p w14:paraId="39C90562" w14:textId="77777777" w:rsidR="00BE07CA" w:rsidRDefault="00BE07CA" w:rsidP="00BE07CA">
      <w:pPr>
        <w:spacing w:after="240"/>
        <w:ind w:left="415" w:firstLine="720"/>
      </w:pPr>
      <w:r>
        <w:t>(Agenda sub-item 2(a))</w:t>
      </w:r>
    </w:p>
    <w:p w14:paraId="6FE05EC9" w14:textId="77777777" w:rsidR="00BE07CA" w:rsidRPr="00FB11AC" w:rsidRDefault="00BE07CA" w:rsidP="00BE07CA">
      <w:pPr>
        <w:pStyle w:val="SingleTxtG"/>
      </w:pPr>
      <w:r>
        <w:t>3.</w:t>
      </w:r>
      <w:r>
        <w:tab/>
        <w:t>At its 1</w:t>
      </w:r>
      <w:r>
        <w:rPr>
          <w:vertAlign w:val="superscript"/>
        </w:rPr>
        <w:t>st</w:t>
      </w:r>
      <w:r>
        <w:t xml:space="preserve"> meeting, on 16 May, the SBI considered a note by the Executive Secretary containing the provisional agenda and </w:t>
      </w:r>
      <w:r w:rsidRPr="00FB11AC">
        <w:t>annotations (FCCC/SBI/2016/1). Representatives of seven Parties made statements, including on behalf of the Group of 77 and China (G77 and China) and of the Umbrella Group.</w:t>
      </w:r>
    </w:p>
    <w:p w14:paraId="0DA12B3A" w14:textId="43E1FFAD" w:rsidR="00BE07CA" w:rsidRPr="00FB11AC" w:rsidRDefault="00BE07CA" w:rsidP="00BE07CA">
      <w:pPr>
        <w:pStyle w:val="SingleTxtG"/>
      </w:pPr>
      <w:r w:rsidRPr="00FB11AC">
        <w:t>4.</w:t>
      </w:r>
      <w:r w:rsidRPr="00FB11AC">
        <w:tab/>
        <w:t>At the same meeting, the SBI adopted the agenda with the exclusion of item 5 and with sub-item 4(a) held in abeyance. The SBI agreed to the Chair’s proposal that he conduct consultations with interested Parties on item 5 of the provisional agenda and report back on progress made. The SBI also agreed to the Chair’s proposal that the Vice-Chair hold consultations on how to move forward with agenda sub-item 4(a</w:t>
      </w:r>
      <w:r w:rsidR="00F15E1E">
        <w:t>)</w:t>
      </w:r>
      <w:r w:rsidRPr="00FB11AC">
        <w:t xml:space="preserve"> and report on the outcome of his consultations at the closing meeting of the SBI.</w:t>
      </w:r>
    </w:p>
    <w:p w14:paraId="7B03FA40" w14:textId="77777777" w:rsidR="00BE07CA" w:rsidRDefault="00BE07CA" w:rsidP="00BE07CA">
      <w:pPr>
        <w:pStyle w:val="SingleTxtG"/>
      </w:pPr>
      <w:r w:rsidRPr="00FB11AC">
        <w:t>5.</w:t>
      </w:r>
      <w:r w:rsidRPr="00FB11AC">
        <w:tab/>
        <w:t>At the 2</w:t>
      </w:r>
      <w:r w:rsidRPr="00FB11AC">
        <w:rPr>
          <w:vertAlign w:val="superscript"/>
        </w:rPr>
        <w:t>nd</w:t>
      </w:r>
      <w:r w:rsidRPr="00FB11AC">
        <w:t xml:space="preserve"> meeting, the Chair reported to Parties on his consultations on item 5 of the provisional agenda and presented to the SBI document FCCC/SBI/2016/L.2 reflecting the results of the consultations. Representatives of three Parties made statements. On a proposal by the Chair, the SBI adopted the agenda contained in that document</w:t>
      </w:r>
      <w:r>
        <w:t xml:space="preserve"> and presented below, replacing the agenda it had adopted at its 1</w:t>
      </w:r>
      <w:r>
        <w:rPr>
          <w:vertAlign w:val="superscript"/>
        </w:rPr>
        <w:t>st</w:t>
      </w:r>
      <w:r>
        <w:t xml:space="preserve"> meeting.</w:t>
      </w:r>
    </w:p>
    <w:p w14:paraId="62A47391" w14:textId="3D78EA7D" w:rsidR="00BE07CA" w:rsidRDefault="000E0429" w:rsidP="000E0429">
      <w:pPr>
        <w:pStyle w:val="SingleTxtG"/>
        <w:tabs>
          <w:tab w:val="left" w:pos="1702"/>
        </w:tabs>
        <w:ind w:firstLine="566"/>
      </w:pPr>
      <w:r>
        <w:t>1.</w:t>
      </w:r>
      <w:r>
        <w:tab/>
      </w:r>
      <w:r w:rsidR="00BE07CA">
        <w:t>Opening of the session.</w:t>
      </w:r>
    </w:p>
    <w:p w14:paraId="59F2675A" w14:textId="05A8F2D8" w:rsidR="00BE07CA" w:rsidRDefault="000E0429" w:rsidP="000E0429">
      <w:pPr>
        <w:pStyle w:val="SingleTxtG"/>
        <w:tabs>
          <w:tab w:val="left" w:pos="1702"/>
        </w:tabs>
        <w:ind w:firstLine="566"/>
      </w:pPr>
      <w:r>
        <w:t>2.</w:t>
      </w:r>
      <w:r>
        <w:tab/>
      </w:r>
      <w:r w:rsidR="00BE07CA">
        <w:t>Organizational matters:</w:t>
      </w:r>
      <w:bookmarkStart w:id="5" w:name="OLE_LINK13"/>
    </w:p>
    <w:p w14:paraId="4373D431" w14:textId="187BCBC1" w:rsidR="00BE07CA" w:rsidRDefault="000E0429" w:rsidP="000E0429">
      <w:pPr>
        <w:pStyle w:val="SingleTxtG"/>
        <w:tabs>
          <w:tab w:val="left" w:pos="2269"/>
        </w:tabs>
        <w:ind w:left="2835" w:hanging="567"/>
      </w:pPr>
      <w:r>
        <w:t>(a)</w:t>
      </w:r>
      <w:r>
        <w:tab/>
      </w:r>
      <w:r w:rsidR="00BE07CA">
        <w:t>Adoption of the agenda</w:t>
      </w:r>
      <w:bookmarkEnd w:id="5"/>
      <w:r w:rsidR="00BE07CA">
        <w:t>;</w:t>
      </w:r>
    </w:p>
    <w:p w14:paraId="4DA0363D" w14:textId="3F7F7A18" w:rsidR="00BE07CA" w:rsidRDefault="000E0429" w:rsidP="000E0429">
      <w:pPr>
        <w:pStyle w:val="SingleTxtG"/>
        <w:tabs>
          <w:tab w:val="left" w:pos="2269"/>
        </w:tabs>
        <w:ind w:left="2835" w:hanging="567"/>
      </w:pPr>
      <w:r>
        <w:t>(b)</w:t>
      </w:r>
      <w:r>
        <w:tab/>
      </w:r>
      <w:r w:rsidR="00BE07CA">
        <w:t>Organization of the work of the session</w:t>
      </w:r>
      <w:bookmarkStart w:id="6" w:name="OLE_LINK8"/>
      <w:bookmarkStart w:id="7" w:name="OLE_LINK3"/>
      <w:r w:rsidR="00BE07CA">
        <w:t xml:space="preserve">; </w:t>
      </w:r>
    </w:p>
    <w:bookmarkEnd w:id="6"/>
    <w:bookmarkEnd w:id="7"/>
    <w:p w14:paraId="164DA538" w14:textId="6AC26A93" w:rsidR="00BE07CA" w:rsidRDefault="000E0429" w:rsidP="000E0429">
      <w:pPr>
        <w:pStyle w:val="SingleTxtG"/>
        <w:tabs>
          <w:tab w:val="left" w:pos="2269"/>
        </w:tabs>
        <w:ind w:left="2835" w:hanging="567"/>
      </w:pPr>
      <w:r>
        <w:t>(c)</w:t>
      </w:r>
      <w:r>
        <w:tab/>
      </w:r>
      <w:r w:rsidR="00BE07CA">
        <w:t>Facilitative sharing of views under the international consultation and analysis process;</w:t>
      </w:r>
    </w:p>
    <w:p w14:paraId="3BC80DC4" w14:textId="0DC57266" w:rsidR="00BE07CA" w:rsidRDefault="000E0429" w:rsidP="000E0429">
      <w:pPr>
        <w:pStyle w:val="SingleTxtG"/>
        <w:tabs>
          <w:tab w:val="left" w:pos="2269"/>
        </w:tabs>
        <w:ind w:left="2835" w:hanging="567"/>
      </w:pPr>
      <w:r>
        <w:t>(d)</w:t>
      </w:r>
      <w:r>
        <w:tab/>
      </w:r>
      <w:r w:rsidR="00BE07CA">
        <w:t>Other mandated events;</w:t>
      </w:r>
    </w:p>
    <w:p w14:paraId="04C4E96E" w14:textId="28DEFE10" w:rsidR="00BE07CA" w:rsidRDefault="000E0429" w:rsidP="000E0429">
      <w:pPr>
        <w:pStyle w:val="SingleTxtG"/>
        <w:tabs>
          <w:tab w:val="left" w:pos="2269"/>
        </w:tabs>
        <w:ind w:left="2835" w:hanging="567"/>
      </w:pPr>
      <w:r>
        <w:t>(e)</w:t>
      </w:r>
      <w:r>
        <w:tab/>
      </w:r>
      <w:r w:rsidR="00BE07CA">
        <w:t>Election of officers other than the Chair.</w:t>
      </w:r>
    </w:p>
    <w:p w14:paraId="113BD08B" w14:textId="203B9565" w:rsidR="00BE07CA" w:rsidRDefault="000E0429" w:rsidP="000E0429">
      <w:pPr>
        <w:pStyle w:val="SingleTxtG"/>
        <w:tabs>
          <w:tab w:val="left" w:pos="1702"/>
        </w:tabs>
        <w:ind w:firstLine="566"/>
      </w:pPr>
      <w:r>
        <w:t>3.</w:t>
      </w:r>
      <w:r>
        <w:tab/>
      </w:r>
      <w:r w:rsidR="00BE07CA">
        <w:t>Reporting from and review of Parties included in Annex I to the Convention:</w:t>
      </w:r>
    </w:p>
    <w:p w14:paraId="3EBC2516" w14:textId="777D6293" w:rsidR="00BE07CA" w:rsidRDefault="000E0429" w:rsidP="000E0429">
      <w:pPr>
        <w:pStyle w:val="SingleTxtG"/>
        <w:tabs>
          <w:tab w:val="left" w:pos="2269"/>
        </w:tabs>
        <w:ind w:left="2835" w:hanging="567"/>
      </w:pPr>
      <w:r>
        <w:lastRenderedPageBreak/>
        <w:t>(a)</w:t>
      </w:r>
      <w:r>
        <w:tab/>
      </w:r>
      <w:r w:rsidR="00BE07CA">
        <w:t>Status of submission and review of second biennial reports from Parties included in Annex I to the Convention;</w:t>
      </w:r>
    </w:p>
    <w:p w14:paraId="52E7867F" w14:textId="28023379" w:rsidR="00BE07CA" w:rsidRDefault="000E0429" w:rsidP="000E0429">
      <w:pPr>
        <w:pStyle w:val="SingleTxtG"/>
        <w:tabs>
          <w:tab w:val="left" w:pos="2269"/>
        </w:tabs>
        <w:ind w:left="2835" w:hanging="567"/>
      </w:pPr>
      <w:r>
        <w:t>(b)</w:t>
      </w:r>
      <w:r>
        <w:tab/>
      </w:r>
      <w:r w:rsidR="00BE07CA">
        <w:t>Compilation and synthesis of sixth national communications and first biennial reports from Parties included in Annex I to the Convention;</w:t>
      </w:r>
    </w:p>
    <w:p w14:paraId="171F973F" w14:textId="66E9878E" w:rsidR="00BE07CA" w:rsidRDefault="000E0429" w:rsidP="000E0429">
      <w:pPr>
        <w:pStyle w:val="SingleTxtG"/>
        <w:tabs>
          <w:tab w:val="left" w:pos="2269"/>
        </w:tabs>
        <w:ind w:left="2835" w:hanging="567"/>
      </w:pPr>
      <w:r>
        <w:t>(c)</w:t>
      </w:r>
      <w:r>
        <w:tab/>
      </w:r>
      <w:r w:rsidR="00BE07CA">
        <w:t>Outcome of the first round of the international assessment and review process (2014–2015);</w:t>
      </w:r>
    </w:p>
    <w:p w14:paraId="31FA0EF3" w14:textId="014248A5" w:rsidR="00BE07CA" w:rsidRDefault="000E0429" w:rsidP="000E0429">
      <w:pPr>
        <w:pStyle w:val="SingleTxtG"/>
        <w:tabs>
          <w:tab w:val="left" w:pos="2269"/>
        </w:tabs>
        <w:ind w:left="2835" w:hanging="567"/>
      </w:pPr>
      <w:r>
        <w:t>(d)</w:t>
      </w:r>
      <w:r>
        <w:tab/>
      </w:r>
      <w:r w:rsidR="00BE07CA">
        <w:t>Revision of the “Guidelines for the preparation of national communications by Parties included in Annex I to the Convention, Part II: UNFCCC reporting guidelines on national communications”.</w:t>
      </w:r>
    </w:p>
    <w:p w14:paraId="611C498E" w14:textId="5A837C3E" w:rsidR="00BE07CA" w:rsidRDefault="000E0429" w:rsidP="000E0429">
      <w:pPr>
        <w:pStyle w:val="SingleTxtG"/>
        <w:tabs>
          <w:tab w:val="left" w:pos="1702"/>
        </w:tabs>
        <w:ind w:firstLine="566"/>
      </w:pPr>
      <w:r>
        <w:t>4.</w:t>
      </w:r>
      <w:r>
        <w:tab/>
      </w:r>
      <w:r w:rsidR="00BE07CA">
        <w:t>Reporting from Parties not included in Annex I to the Convention:</w:t>
      </w:r>
    </w:p>
    <w:p w14:paraId="153EBF27" w14:textId="7BDFF9EA" w:rsidR="00BE07CA" w:rsidRDefault="000E0429" w:rsidP="000E0429">
      <w:pPr>
        <w:pStyle w:val="SingleTxtG"/>
        <w:tabs>
          <w:tab w:val="left" w:pos="2269"/>
        </w:tabs>
        <w:ind w:left="2835" w:hanging="567"/>
      </w:pPr>
      <w:r>
        <w:t>(a)</w:t>
      </w:r>
      <w:r>
        <w:tab/>
      </w:r>
      <w:r w:rsidR="00BE07CA">
        <w:t>Information contained in national communications from Parties not included in Annex I to the Convention (</w:t>
      </w:r>
      <w:r w:rsidR="00BE07CA">
        <w:rPr>
          <w:i/>
        </w:rPr>
        <w:t>agenda sub-item</w:t>
      </w:r>
      <w:r w:rsidR="00BE07CA">
        <w:t xml:space="preserve"> </w:t>
      </w:r>
      <w:r w:rsidR="00BE07CA">
        <w:rPr>
          <w:i/>
        </w:rPr>
        <w:t>held in abeyance</w:t>
      </w:r>
      <w:r w:rsidR="00BE07CA">
        <w:t>);</w:t>
      </w:r>
    </w:p>
    <w:p w14:paraId="23380A98" w14:textId="4E6460BC" w:rsidR="00BE07CA" w:rsidRDefault="000E0429" w:rsidP="000E0429">
      <w:pPr>
        <w:pStyle w:val="SingleTxtG"/>
        <w:tabs>
          <w:tab w:val="left" w:pos="2269"/>
        </w:tabs>
        <w:ind w:left="2835" w:hanging="567"/>
      </w:pPr>
      <w:r>
        <w:t>(b)</w:t>
      </w:r>
      <w:r>
        <w:tab/>
      </w:r>
      <w:r w:rsidR="00BE07CA">
        <w:t>Provision of financial and technical support;</w:t>
      </w:r>
    </w:p>
    <w:p w14:paraId="37FB3160" w14:textId="105BD088" w:rsidR="00BE07CA" w:rsidRDefault="000E0429" w:rsidP="000E0429">
      <w:pPr>
        <w:pStyle w:val="SingleTxtG"/>
        <w:tabs>
          <w:tab w:val="left" w:pos="2269"/>
        </w:tabs>
        <w:ind w:left="2835" w:hanging="567"/>
      </w:pPr>
      <w:bookmarkStart w:id="8" w:name="OLE_LINK51"/>
      <w:r>
        <w:t>(c)</w:t>
      </w:r>
      <w:r>
        <w:tab/>
      </w:r>
      <w:r w:rsidR="00BE07CA">
        <w:t>Summary reports on the technical analysis of biennial update reports of Parties not included in Annex I to the Convention.</w:t>
      </w:r>
    </w:p>
    <w:p w14:paraId="3AA206A5" w14:textId="47CFF7A2" w:rsidR="00BE07CA" w:rsidRDefault="000E0429" w:rsidP="000E0429">
      <w:pPr>
        <w:pStyle w:val="SingleTxtG"/>
        <w:tabs>
          <w:tab w:val="left" w:pos="1702"/>
        </w:tabs>
        <w:ind w:left="2268" w:hanging="568"/>
      </w:pPr>
      <w:r>
        <w:t>5.</w:t>
      </w:r>
      <w:r>
        <w:tab/>
      </w:r>
      <w:r w:rsidR="00BE07CA">
        <w:t>Development of modalities and procedures for the operation and use of a public registry referred to in Article 4, paragraph 12, of the Paris Agreement.</w:t>
      </w:r>
    </w:p>
    <w:bookmarkEnd w:id="8"/>
    <w:p w14:paraId="74E5A874" w14:textId="49511CF0" w:rsidR="00BE07CA" w:rsidRDefault="000E0429" w:rsidP="000E0429">
      <w:pPr>
        <w:pStyle w:val="SingleTxtG"/>
        <w:tabs>
          <w:tab w:val="left" w:pos="1702"/>
        </w:tabs>
        <w:ind w:left="2268" w:hanging="568"/>
      </w:pPr>
      <w:r>
        <w:t>6.</w:t>
      </w:r>
      <w:r>
        <w:tab/>
      </w:r>
      <w:r w:rsidR="00BE07CA">
        <w:t>Development of modalities and procedures for the operation and use of a public registry referred to in Article 7, paragraph 12, of the Paris Agreement.</w:t>
      </w:r>
    </w:p>
    <w:p w14:paraId="297C530B" w14:textId="5E499E77" w:rsidR="00BE07CA" w:rsidRDefault="000E0429" w:rsidP="000E0429">
      <w:pPr>
        <w:pStyle w:val="SingleTxtG"/>
        <w:tabs>
          <w:tab w:val="left" w:pos="1702"/>
        </w:tabs>
        <w:ind w:firstLine="566"/>
      </w:pPr>
      <w:r>
        <w:t>7.</w:t>
      </w:r>
      <w:r>
        <w:tab/>
      </w:r>
      <w:r w:rsidR="00BE07CA">
        <w:t>Matters relating to the mechanisms under the Kyoto Protocol:</w:t>
      </w:r>
    </w:p>
    <w:p w14:paraId="218A8BDD" w14:textId="6495B4E5" w:rsidR="00BE07CA" w:rsidRDefault="000E0429" w:rsidP="000E0429">
      <w:pPr>
        <w:pStyle w:val="SingleTxtG"/>
        <w:tabs>
          <w:tab w:val="left" w:pos="2269"/>
        </w:tabs>
        <w:ind w:left="2835" w:hanging="567"/>
      </w:pPr>
      <w:r>
        <w:t>(a)</w:t>
      </w:r>
      <w:r>
        <w:tab/>
      </w:r>
      <w:r w:rsidR="00BE07CA">
        <w:t>Review of the modalities and procedures for the clean development mechanism;</w:t>
      </w:r>
    </w:p>
    <w:p w14:paraId="5B245FF8" w14:textId="5AFE3074" w:rsidR="00BE07CA" w:rsidRDefault="000E0429" w:rsidP="000E0429">
      <w:pPr>
        <w:pStyle w:val="SingleTxtG"/>
        <w:tabs>
          <w:tab w:val="left" w:pos="2269"/>
        </w:tabs>
        <w:ind w:left="2835" w:hanging="567"/>
      </w:pPr>
      <w:r>
        <w:t>(b)</w:t>
      </w:r>
      <w:r>
        <w:tab/>
      </w:r>
      <w:r w:rsidR="00BE07CA">
        <w:t>Review of the joint implementation guidelines;</w:t>
      </w:r>
    </w:p>
    <w:p w14:paraId="1D82A043" w14:textId="62150218" w:rsidR="00BE07CA" w:rsidRDefault="000E0429" w:rsidP="000E0429">
      <w:pPr>
        <w:pStyle w:val="SingleTxtG"/>
        <w:tabs>
          <w:tab w:val="left" w:pos="2269"/>
        </w:tabs>
        <w:ind w:left="2835" w:hanging="567"/>
      </w:pPr>
      <w:r>
        <w:t>(c)</w:t>
      </w:r>
      <w:r>
        <w:tab/>
      </w:r>
      <w:r w:rsidR="00BE07CA">
        <w:t>Procedures, mechanisms and institutional arrangements for appeals against decisions of the Executive Board of the clean development mechanism.</w:t>
      </w:r>
    </w:p>
    <w:p w14:paraId="374AE4C9" w14:textId="6A45A197" w:rsidR="00BE07CA" w:rsidRDefault="000E0429" w:rsidP="000E0429">
      <w:pPr>
        <w:pStyle w:val="SingleTxtG"/>
        <w:tabs>
          <w:tab w:val="left" w:pos="1702"/>
        </w:tabs>
        <w:ind w:firstLine="566"/>
      </w:pPr>
      <w:bookmarkStart w:id="9" w:name="OLE_LINK29"/>
      <w:r>
        <w:t>8.</w:t>
      </w:r>
      <w:r>
        <w:tab/>
      </w:r>
      <w:r w:rsidR="00BE07CA">
        <w:t>Matters relating to the least developed countries</w:t>
      </w:r>
      <w:bookmarkStart w:id="10" w:name="OLE_LINK30"/>
      <w:bookmarkEnd w:id="9"/>
      <w:r w:rsidR="00BE07CA">
        <w:t>.</w:t>
      </w:r>
    </w:p>
    <w:p w14:paraId="4F37C092" w14:textId="0DBC8E71" w:rsidR="00BE07CA" w:rsidRDefault="000E0429" w:rsidP="000E0429">
      <w:pPr>
        <w:pStyle w:val="SingleTxtG"/>
        <w:tabs>
          <w:tab w:val="left" w:pos="1702"/>
        </w:tabs>
        <w:ind w:firstLine="566"/>
      </w:pPr>
      <w:r>
        <w:t>9.</w:t>
      </w:r>
      <w:r>
        <w:tab/>
      </w:r>
      <w:r w:rsidR="00BE07CA">
        <w:t>National adaptation plans.</w:t>
      </w:r>
    </w:p>
    <w:bookmarkEnd w:id="10"/>
    <w:p w14:paraId="28E37ACE" w14:textId="7BDDF994" w:rsidR="00BE07CA" w:rsidRDefault="000E0429" w:rsidP="000E0429">
      <w:pPr>
        <w:pStyle w:val="SingleTxtG"/>
        <w:tabs>
          <w:tab w:val="left" w:pos="1702"/>
        </w:tabs>
        <w:ind w:firstLine="566"/>
      </w:pPr>
      <w:r>
        <w:t>10.</w:t>
      </w:r>
      <w:r>
        <w:tab/>
      </w:r>
      <w:r w:rsidR="00BE07CA">
        <w:t>Third review of the Adaptation Fund.</w:t>
      </w:r>
    </w:p>
    <w:p w14:paraId="39EAFB8A" w14:textId="06801CD0" w:rsidR="00BE07CA" w:rsidRDefault="000E0429" w:rsidP="000E0429">
      <w:pPr>
        <w:pStyle w:val="SingleTxtG"/>
        <w:tabs>
          <w:tab w:val="left" w:pos="1702"/>
        </w:tabs>
        <w:ind w:left="2268" w:hanging="568"/>
      </w:pPr>
      <w:r>
        <w:t>11.</w:t>
      </w:r>
      <w:r>
        <w:tab/>
      </w:r>
      <w:r w:rsidR="00BE07CA">
        <w:t>Scope and modalities for the periodic assessment of the Technology Mechanism in relation to supporting the implementation of the Paris Agreement.</w:t>
      </w:r>
    </w:p>
    <w:p w14:paraId="06C0BAA6" w14:textId="7561CA9F" w:rsidR="00BE07CA" w:rsidRDefault="000E0429" w:rsidP="000E0429">
      <w:pPr>
        <w:pStyle w:val="SingleTxtG"/>
        <w:tabs>
          <w:tab w:val="left" w:pos="1702"/>
        </w:tabs>
        <w:ind w:firstLine="566"/>
      </w:pPr>
      <w:bookmarkStart w:id="11" w:name="OLE_LINK35"/>
      <w:r>
        <w:t>12.</w:t>
      </w:r>
      <w:r>
        <w:tab/>
      </w:r>
      <w:r w:rsidR="00BE07CA">
        <w:t>Capacity-building in developing countries:</w:t>
      </w:r>
    </w:p>
    <w:p w14:paraId="2AC519CB" w14:textId="7B0B239A" w:rsidR="00BE07CA" w:rsidRDefault="000E0429" w:rsidP="000E0429">
      <w:pPr>
        <w:pStyle w:val="SingleTxtG"/>
        <w:tabs>
          <w:tab w:val="left" w:pos="2269"/>
        </w:tabs>
        <w:ind w:left="2835" w:hanging="567"/>
      </w:pPr>
      <w:r>
        <w:t>(a)</w:t>
      </w:r>
      <w:r>
        <w:tab/>
      </w:r>
      <w:r w:rsidR="00BE07CA">
        <w:t>Third comprehensive review of the implementation of the framework for capacity-building under the Convention;</w:t>
      </w:r>
    </w:p>
    <w:p w14:paraId="667B5005" w14:textId="4804CBCC" w:rsidR="00BE07CA" w:rsidRDefault="000E0429" w:rsidP="000E0429">
      <w:pPr>
        <w:pStyle w:val="SingleTxtG"/>
        <w:tabs>
          <w:tab w:val="left" w:pos="2269"/>
        </w:tabs>
        <w:ind w:left="2835" w:hanging="567"/>
      </w:pPr>
      <w:r>
        <w:t>(b)</w:t>
      </w:r>
      <w:r>
        <w:tab/>
      </w:r>
      <w:r w:rsidR="00BE07CA">
        <w:t>Third comprehensive review of the implementation of the framework for capacity-building under the Kyoto Protocol;</w:t>
      </w:r>
    </w:p>
    <w:p w14:paraId="23B9B067" w14:textId="2F4D6ABE" w:rsidR="00BE07CA" w:rsidRDefault="000E0429" w:rsidP="000E0429">
      <w:pPr>
        <w:pStyle w:val="SingleTxtG"/>
        <w:tabs>
          <w:tab w:val="left" w:pos="2269"/>
        </w:tabs>
        <w:ind w:left="2835" w:hanging="567"/>
      </w:pPr>
      <w:r>
        <w:t>(c)</w:t>
      </w:r>
      <w:r>
        <w:tab/>
      </w:r>
      <w:r w:rsidR="00BE07CA">
        <w:t>Terms of reference for the Paris Committee on Capacity-building.</w:t>
      </w:r>
    </w:p>
    <w:p w14:paraId="25B11811" w14:textId="5453AD39" w:rsidR="00BE07CA" w:rsidRDefault="000E0429" w:rsidP="000E0429">
      <w:pPr>
        <w:pStyle w:val="SingleTxtG"/>
        <w:tabs>
          <w:tab w:val="left" w:pos="1702"/>
        </w:tabs>
        <w:ind w:firstLine="566"/>
      </w:pPr>
      <w:bookmarkStart w:id="12" w:name="OLE_LINK36"/>
      <w:bookmarkEnd w:id="11"/>
      <w:r>
        <w:t>13.</w:t>
      </w:r>
      <w:r>
        <w:tab/>
      </w:r>
      <w:r w:rsidR="00BE07CA">
        <w:t>Review of the Doha work programme on Article 6 of the Convention.</w:t>
      </w:r>
    </w:p>
    <w:p w14:paraId="15F503F1" w14:textId="66BF4F57" w:rsidR="00BE07CA" w:rsidRDefault="000E0429" w:rsidP="000E0429">
      <w:pPr>
        <w:pStyle w:val="SingleTxtG"/>
        <w:tabs>
          <w:tab w:val="left" w:pos="1702"/>
        </w:tabs>
        <w:ind w:firstLine="566"/>
      </w:pPr>
      <w:r>
        <w:t>14.</w:t>
      </w:r>
      <w:r>
        <w:tab/>
      </w:r>
      <w:r w:rsidR="00BE07CA">
        <w:t>Impact of the implementation of response measures</w:t>
      </w:r>
      <w:bookmarkStart w:id="13" w:name="OLE_LINK42"/>
      <w:bookmarkEnd w:id="12"/>
      <w:r w:rsidR="00BE07CA">
        <w:t>:</w:t>
      </w:r>
    </w:p>
    <w:p w14:paraId="73A4FE21" w14:textId="050D102D" w:rsidR="00BE07CA" w:rsidRDefault="000E0429" w:rsidP="000E0429">
      <w:pPr>
        <w:pStyle w:val="SingleTxtG"/>
        <w:tabs>
          <w:tab w:val="left" w:pos="2269"/>
        </w:tabs>
        <w:ind w:left="2835" w:hanging="567"/>
      </w:pPr>
      <w:r>
        <w:lastRenderedPageBreak/>
        <w:t>(a)</w:t>
      </w:r>
      <w:r>
        <w:tab/>
      </w:r>
      <w:r w:rsidR="00BE07CA">
        <w:t>Improved forum and work programme;</w:t>
      </w:r>
    </w:p>
    <w:p w14:paraId="1BB62011" w14:textId="50451395" w:rsidR="00BE07CA" w:rsidRDefault="000E0429" w:rsidP="000E0429">
      <w:pPr>
        <w:pStyle w:val="SingleTxtG"/>
        <w:tabs>
          <w:tab w:val="left" w:pos="2269"/>
        </w:tabs>
        <w:ind w:left="2835" w:hanging="567"/>
      </w:pPr>
      <w:r>
        <w:t>(b)</w:t>
      </w:r>
      <w:r>
        <w:tab/>
      </w:r>
      <w:r w:rsidR="00BE07CA">
        <w:t xml:space="preserve">Modalities, work programme and functions under the Paris Agreement of the forum on the impact of the implementation of response measures; </w:t>
      </w:r>
    </w:p>
    <w:p w14:paraId="34F8EB31" w14:textId="0105A2D9" w:rsidR="00BE07CA" w:rsidRDefault="000E0429" w:rsidP="000E0429">
      <w:pPr>
        <w:pStyle w:val="SingleTxtG"/>
        <w:tabs>
          <w:tab w:val="left" w:pos="2269"/>
        </w:tabs>
        <w:ind w:left="2835" w:hanging="567"/>
      </w:pPr>
      <w:r>
        <w:t>(c)</w:t>
      </w:r>
      <w:r>
        <w:tab/>
      </w:r>
      <w:r w:rsidR="00BE07CA">
        <w:t>Matters relating to Article 3, paragraph 14, of the Kyoto Protocol;</w:t>
      </w:r>
    </w:p>
    <w:p w14:paraId="4C63876C" w14:textId="2823D095" w:rsidR="00BE07CA" w:rsidRDefault="000E0429" w:rsidP="000E0429">
      <w:pPr>
        <w:pStyle w:val="SingleTxtG"/>
        <w:tabs>
          <w:tab w:val="left" w:pos="2269"/>
        </w:tabs>
        <w:ind w:left="2835" w:hanging="567"/>
      </w:pPr>
      <w:r>
        <w:t>(d)</w:t>
      </w:r>
      <w:r>
        <w:tab/>
      </w:r>
      <w:r w:rsidR="00BE07CA">
        <w:t>Progress on the implementation of decision 1/CP.10.</w:t>
      </w:r>
    </w:p>
    <w:bookmarkEnd w:id="13"/>
    <w:p w14:paraId="214F2529" w14:textId="10870DA9" w:rsidR="00BE07CA" w:rsidRDefault="000E0429" w:rsidP="000E0429">
      <w:pPr>
        <w:pStyle w:val="SingleTxtG"/>
        <w:tabs>
          <w:tab w:val="left" w:pos="1702"/>
        </w:tabs>
        <w:ind w:left="2268" w:hanging="568"/>
      </w:pPr>
      <w:r>
        <w:t>15.</w:t>
      </w:r>
      <w:r>
        <w:tab/>
      </w:r>
      <w:r w:rsidR="00BE07CA">
        <w:t>The scope of the next periodic review of the long-term global goal under the Convention and of overall progress towards achieving it.</w:t>
      </w:r>
    </w:p>
    <w:p w14:paraId="74515116" w14:textId="54C479F2" w:rsidR="00BE07CA" w:rsidRDefault="000E0429" w:rsidP="000E0429">
      <w:pPr>
        <w:pStyle w:val="SingleTxtG"/>
        <w:tabs>
          <w:tab w:val="left" w:pos="1702"/>
        </w:tabs>
        <w:ind w:firstLine="566"/>
      </w:pPr>
      <w:r>
        <w:t>16.</w:t>
      </w:r>
      <w:r>
        <w:tab/>
      </w:r>
      <w:r w:rsidR="00BE07CA">
        <w:t>Gender and climate change.</w:t>
      </w:r>
    </w:p>
    <w:p w14:paraId="6EA0A5DC" w14:textId="5C661F1D" w:rsidR="00BE07CA" w:rsidRDefault="000E0429" w:rsidP="000E0429">
      <w:pPr>
        <w:pStyle w:val="SingleTxtG"/>
        <w:tabs>
          <w:tab w:val="left" w:pos="1702"/>
        </w:tabs>
        <w:ind w:firstLine="566"/>
      </w:pPr>
      <w:r>
        <w:t>17.</w:t>
      </w:r>
      <w:r>
        <w:tab/>
      </w:r>
      <w:r w:rsidR="00BE07CA">
        <w:t>Arrangements for intergovernmental meetings.</w:t>
      </w:r>
    </w:p>
    <w:p w14:paraId="2407E647" w14:textId="27336891" w:rsidR="00BE07CA" w:rsidRDefault="000E0429" w:rsidP="000E0429">
      <w:pPr>
        <w:pStyle w:val="SingleTxtG"/>
        <w:tabs>
          <w:tab w:val="left" w:pos="1702"/>
        </w:tabs>
        <w:ind w:firstLine="566"/>
      </w:pPr>
      <w:bookmarkStart w:id="14" w:name="OLE_LINK44"/>
      <w:r>
        <w:t>18.</w:t>
      </w:r>
      <w:r>
        <w:tab/>
      </w:r>
      <w:r w:rsidR="00BE07CA">
        <w:t>Administrative, financial and institutional matters</w:t>
      </w:r>
      <w:bookmarkEnd w:id="14"/>
      <w:r w:rsidR="00BE07CA">
        <w:t>:</w:t>
      </w:r>
      <w:bookmarkStart w:id="15" w:name="OLE_LINK43"/>
    </w:p>
    <w:p w14:paraId="5E1A0749" w14:textId="6CAFF221" w:rsidR="00BE07CA" w:rsidRDefault="000E0429" w:rsidP="000E0429">
      <w:pPr>
        <w:pStyle w:val="SingleTxtG"/>
        <w:tabs>
          <w:tab w:val="left" w:pos="2269"/>
        </w:tabs>
        <w:ind w:left="2835" w:hanging="567"/>
      </w:pPr>
      <w:r>
        <w:t>(a)</w:t>
      </w:r>
      <w:r>
        <w:tab/>
      </w:r>
      <w:r w:rsidR="00BE07CA">
        <w:t>Financial and budgetary matters; </w:t>
      </w:r>
    </w:p>
    <w:p w14:paraId="27965F07" w14:textId="0B3ADFFF" w:rsidR="00BE07CA" w:rsidRDefault="000E0429" w:rsidP="000E0429">
      <w:pPr>
        <w:pStyle w:val="SingleTxtG"/>
        <w:tabs>
          <w:tab w:val="left" w:pos="2269"/>
        </w:tabs>
        <w:ind w:left="2835" w:hanging="567"/>
      </w:pPr>
      <w:r>
        <w:t>(b)</w:t>
      </w:r>
      <w:r>
        <w:tab/>
      </w:r>
      <w:r w:rsidR="00BE07CA">
        <w:t>Continuing review of functions and operations of the secretariat;</w:t>
      </w:r>
    </w:p>
    <w:p w14:paraId="4EC84B69" w14:textId="5178329F" w:rsidR="00BE07CA" w:rsidRDefault="000E0429" w:rsidP="000E0429">
      <w:pPr>
        <w:pStyle w:val="SingleTxtG"/>
        <w:tabs>
          <w:tab w:val="left" w:pos="2269"/>
        </w:tabs>
        <w:ind w:left="2835" w:hanging="567"/>
      </w:pPr>
      <w:r>
        <w:t>(c)</w:t>
      </w:r>
      <w:r>
        <w:tab/>
      </w:r>
      <w:r w:rsidR="00BE07CA">
        <w:t>Privileges and immunities for individuals serving on constituted bodies established under the Kyoto Protocol;</w:t>
      </w:r>
    </w:p>
    <w:p w14:paraId="7501DA00" w14:textId="7B5D9DB5" w:rsidR="00BE07CA" w:rsidRDefault="000E0429" w:rsidP="000E0429">
      <w:pPr>
        <w:pStyle w:val="SingleTxtG"/>
        <w:tabs>
          <w:tab w:val="left" w:pos="2269"/>
        </w:tabs>
        <w:ind w:left="2835" w:hanging="567"/>
      </w:pPr>
      <w:r>
        <w:t>(d)</w:t>
      </w:r>
      <w:r>
        <w:tab/>
      </w:r>
      <w:r w:rsidR="00BE07CA">
        <w:t>Privileges and immunities for individuals serving on constituted bodies established under the Convention.</w:t>
      </w:r>
    </w:p>
    <w:p w14:paraId="6315308D" w14:textId="0B5FF599" w:rsidR="00BE07CA" w:rsidRDefault="000E0429" w:rsidP="000E0429">
      <w:pPr>
        <w:pStyle w:val="SingleTxtG"/>
        <w:tabs>
          <w:tab w:val="left" w:pos="1702"/>
        </w:tabs>
        <w:ind w:firstLine="566"/>
      </w:pPr>
      <w:r>
        <w:t>19.</w:t>
      </w:r>
      <w:r>
        <w:tab/>
      </w:r>
      <w:r w:rsidR="00BE07CA">
        <w:t>Other matters</w:t>
      </w:r>
      <w:bookmarkEnd w:id="15"/>
      <w:r w:rsidR="00BE07CA">
        <w:t>.</w:t>
      </w:r>
      <w:bookmarkStart w:id="16" w:name="OLE_LINK49"/>
    </w:p>
    <w:p w14:paraId="3EF4897C" w14:textId="285951BA" w:rsidR="00BE07CA" w:rsidRDefault="000E0429" w:rsidP="000E0429">
      <w:pPr>
        <w:pStyle w:val="SingleTxtG"/>
        <w:tabs>
          <w:tab w:val="left" w:pos="1702"/>
        </w:tabs>
        <w:ind w:firstLine="566"/>
      </w:pPr>
      <w:r>
        <w:t>20.</w:t>
      </w:r>
      <w:r>
        <w:tab/>
      </w:r>
      <w:r w:rsidR="00BE07CA">
        <w:t>Closure of and report on the session</w:t>
      </w:r>
      <w:bookmarkEnd w:id="16"/>
      <w:r w:rsidR="00BE07CA">
        <w:t>.</w:t>
      </w:r>
    </w:p>
    <w:p w14:paraId="464B21FA" w14:textId="77777777" w:rsidR="00BE07CA" w:rsidRDefault="00BE07CA" w:rsidP="00B61F14">
      <w:pPr>
        <w:pStyle w:val="RegSingleTxtG"/>
        <w:numPr>
          <w:ilvl w:val="0"/>
          <w:numId w:val="0"/>
        </w:numPr>
        <w:ind w:left="1135"/>
      </w:pPr>
      <w:r>
        <w:t>6.</w:t>
      </w:r>
      <w:r>
        <w:tab/>
        <w:t>At the resumed 1</w:t>
      </w:r>
      <w:r>
        <w:rPr>
          <w:vertAlign w:val="superscript"/>
        </w:rPr>
        <w:t>st</w:t>
      </w:r>
      <w:r>
        <w:t xml:space="preserve"> meeting, on 17 May, statements were made by representatives of nine Parties, including on behalf of the G77 and China, the Umbrella Group, the European Union (EU), the Environmental Integrity Group (EIG), the African Group, the Alliance of Small Island States (AOSIS), the least developed countries (LDCs), the Bolivarian Alliance for the Peoples of Our America – Peoples’ Trade Treaty, and the Independent Association for Latin America and the Caribbean (AILAC). Statements were also made by representatives of trade union non-governmental organizations (NGOs), women and gender NGOs, youth NGOs, environmental NGOs and indigenous peoples organizations.</w:t>
      </w:r>
      <w:r>
        <w:rPr>
          <w:sz w:val="18"/>
          <w:vertAlign w:val="superscript"/>
        </w:rPr>
        <w:footnoteReference w:id="3"/>
      </w:r>
    </w:p>
    <w:p w14:paraId="4B635C0C" w14:textId="77777777" w:rsidR="00BE07CA" w:rsidRDefault="00BE07CA" w:rsidP="00B61F14">
      <w:pPr>
        <w:pStyle w:val="RegSingleTxtG"/>
        <w:numPr>
          <w:ilvl w:val="0"/>
          <w:numId w:val="0"/>
        </w:numPr>
        <w:ind w:left="1135"/>
      </w:pPr>
      <w:bookmarkStart w:id="17" w:name="_Ref344973485"/>
      <w:bookmarkStart w:id="18" w:name="_Toc421881678"/>
      <w:bookmarkStart w:id="19" w:name="_Toc421268872"/>
      <w:bookmarkStart w:id="20" w:name="_Toc391983278"/>
      <w:bookmarkStart w:id="21" w:name="_Toc435527325"/>
      <w:bookmarkStart w:id="22" w:name="_Toc435526643"/>
      <w:r>
        <w:t xml:space="preserve">7. </w:t>
      </w:r>
      <w:r>
        <w:tab/>
        <w:t>At the resumed 3</w:t>
      </w:r>
      <w:r>
        <w:rPr>
          <w:vertAlign w:val="superscript"/>
        </w:rPr>
        <w:t>rd</w:t>
      </w:r>
      <w:r>
        <w:t xml:space="preserve"> meeting, held on 26 May, the Chair reported back on the informal consultations of the Vice-Chair on agenda sub-item 4(a). He informed Parties that there was no consensus on the way forward with regard to this sub-item. On a proposal by the Chair, the SBI agreed to include this matter on the provisional agenda for SBI 45.</w:t>
      </w:r>
    </w:p>
    <w:p w14:paraId="3DCF053C" w14:textId="4EA8E679" w:rsidR="00BE07CA" w:rsidRDefault="000E0429" w:rsidP="000E0429">
      <w:pPr>
        <w:pStyle w:val="RegH1G"/>
        <w:numPr>
          <w:ilvl w:val="0"/>
          <w:numId w:val="0"/>
        </w:numPr>
        <w:tabs>
          <w:tab w:val="left" w:pos="1135"/>
        </w:tabs>
        <w:spacing w:after="0"/>
        <w:ind w:left="1135" w:hanging="454"/>
        <w:rPr>
          <w:sz w:val="20"/>
        </w:rPr>
      </w:pPr>
      <w:bookmarkStart w:id="23" w:name="_Toc453078746"/>
      <w:bookmarkEnd w:id="17"/>
      <w:r>
        <w:t>B.</w:t>
      </w:r>
      <w:r>
        <w:tab/>
      </w:r>
      <w:r w:rsidR="00BE07CA">
        <w:rPr>
          <w:lang w:eastAsia="en-US"/>
        </w:rPr>
        <w:t>Organization of the work of the session</w:t>
      </w:r>
      <w:bookmarkEnd w:id="23"/>
    </w:p>
    <w:p w14:paraId="4A08B693" w14:textId="77777777" w:rsidR="00BE07CA" w:rsidRDefault="00BE07CA" w:rsidP="00BE07CA">
      <w:pPr>
        <w:pStyle w:val="SingleTxtG"/>
        <w:keepNext/>
        <w:spacing w:after="240"/>
      </w:pPr>
      <w:r>
        <w:t>(Agenda sub-item 2(b))</w:t>
      </w:r>
    </w:p>
    <w:p w14:paraId="4B50EED5" w14:textId="67053AAD" w:rsidR="00BE07CA" w:rsidRDefault="000E0429" w:rsidP="000E0429">
      <w:pPr>
        <w:pStyle w:val="RegSingleTxtG"/>
        <w:numPr>
          <w:ilvl w:val="0"/>
          <w:numId w:val="0"/>
        </w:numPr>
        <w:tabs>
          <w:tab w:val="left" w:pos="568"/>
        </w:tabs>
        <w:ind w:left="1135"/>
      </w:pPr>
      <w:r>
        <w:t>8.</w:t>
      </w:r>
      <w:r>
        <w:tab/>
      </w:r>
      <w:r w:rsidR="00BE07CA">
        <w:t>The SBI considered this agenda sub-item at its 1</w:t>
      </w:r>
      <w:r w:rsidR="00BE07CA">
        <w:rPr>
          <w:vertAlign w:val="superscript"/>
        </w:rPr>
        <w:t>st</w:t>
      </w:r>
      <w:r w:rsidR="00BE07CA">
        <w:t xml:space="preserve"> meeting, at which the Chair drew attention to the information note on the organization of the session posted on the SBI 44 web page.</w:t>
      </w:r>
      <w:r w:rsidR="00BE07CA">
        <w:rPr>
          <w:sz w:val="18"/>
          <w:vertAlign w:val="superscript"/>
        </w:rPr>
        <w:footnoteReference w:id="4"/>
      </w:r>
      <w:r w:rsidR="00BE07CA">
        <w:t xml:space="preserve"> On a proposal by the Chair, the SBI agreed to proceed on the basis of the </w:t>
      </w:r>
      <w:r w:rsidR="00BE07CA">
        <w:lastRenderedPageBreak/>
        <w:t>programme of work outlined in that information note and in line with previously adopted SBI conclusions</w:t>
      </w:r>
      <w:r w:rsidR="00BE07CA">
        <w:rPr>
          <w:sz w:val="18"/>
          <w:vertAlign w:val="superscript"/>
        </w:rPr>
        <w:footnoteReference w:id="5"/>
      </w:r>
      <w:r w:rsidR="00BE07CA">
        <w:t xml:space="preserve"> on the timely conclusion of negotiations and related working practices.</w:t>
      </w:r>
    </w:p>
    <w:p w14:paraId="7AE73B84" w14:textId="5D642C52" w:rsidR="00BE07CA" w:rsidRDefault="000E0429" w:rsidP="000E0429">
      <w:pPr>
        <w:pStyle w:val="RegH1G"/>
        <w:numPr>
          <w:ilvl w:val="0"/>
          <w:numId w:val="0"/>
        </w:numPr>
        <w:tabs>
          <w:tab w:val="left" w:pos="1135"/>
        </w:tabs>
        <w:spacing w:after="0"/>
        <w:ind w:left="1135" w:hanging="454"/>
      </w:pPr>
      <w:bookmarkStart w:id="24" w:name="_Toc453078747"/>
      <w:r>
        <w:t>C.</w:t>
      </w:r>
      <w:r>
        <w:tab/>
      </w:r>
      <w:r w:rsidR="00BE07CA">
        <w:t>Facilitative sharing of views under the international consultation and analysis process</w:t>
      </w:r>
      <w:bookmarkEnd w:id="24"/>
    </w:p>
    <w:p w14:paraId="13E32480" w14:textId="77777777" w:rsidR="00BE07CA" w:rsidRDefault="00BE07CA" w:rsidP="00BE07CA">
      <w:pPr>
        <w:pStyle w:val="SingleTxtG"/>
        <w:spacing w:after="240"/>
      </w:pPr>
      <w:r>
        <w:t>(Agenda sub-item 2(c))</w:t>
      </w:r>
    </w:p>
    <w:p w14:paraId="0BFC0B69" w14:textId="3C4C7D00" w:rsidR="00BE07CA" w:rsidRDefault="000E0429" w:rsidP="000E0429">
      <w:pPr>
        <w:pStyle w:val="RegSingleTxtG"/>
        <w:numPr>
          <w:ilvl w:val="0"/>
          <w:numId w:val="0"/>
        </w:numPr>
        <w:tabs>
          <w:tab w:val="left" w:pos="568"/>
        </w:tabs>
        <w:ind w:left="1135"/>
      </w:pPr>
      <w:r>
        <w:t>9.</w:t>
      </w:r>
      <w:r>
        <w:tab/>
      </w:r>
      <w:r w:rsidR="00BE07CA">
        <w:t>The SBI considered this agenda sub-item at its 1</w:t>
      </w:r>
      <w:r w:rsidR="00BE07CA">
        <w:rPr>
          <w:vertAlign w:val="superscript"/>
        </w:rPr>
        <w:t>st</w:t>
      </w:r>
      <w:r w:rsidR="00BE07CA">
        <w:t xml:space="preserve"> meeting and took note of the information provided by the Chair on the organization of the first workshop of the facilitative sharing of views (FSV) under the international consultation and analysis (ICA) process, which was to take place on 20 and 21 May.</w:t>
      </w:r>
    </w:p>
    <w:p w14:paraId="5F4E6481" w14:textId="25EAD079" w:rsidR="00BE07CA" w:rsidRDefault="000E0429" w:rsidP="000E0429">
      <w:pPr>
        <w:pStyle w:val="RegSingleTxtG"/>
        <w:numPr>
          <w:ilvl w:val="0"/>
          <w:numId w:val="0"/>
        </w:numPr>
        <w:tabs>
          <w:tab w:val="left" w:pos="568"/>
        </w:tabs>
        <w:ind w:left="1135"/>
      </w:pPr>
      <w:r>
        <w:t>10.</w:t>
      </w:r>
      <w:r>
        <w:tab/>
      </w:r>
      <w:r w:rsidR="00BE07CA">
        <w:t xml:space="preserve">The Chair drew attention to annex IV to decision 2/CP.17 as well as the </w:t>
      </w:r>
      <w:r w:rsidR="00AC3FA8">
        <w:t xml:space="preserve">FSV </w:t>
      </w:r>
      <w:r w:rsidR="00BE07CA">
        <w:t>web page.</w:t>
      </w:r>
      <w:r w:rsidR="00BE07CA">
        <w:rPr>
          <w:rStyle w:val="FootnoteReference"/>
        </w:rPr>
        <w:footnoteReference w:id="6"/>
      </w:r>
      <w:r w:rsidR="00BE07CA">
        <w:t xml:space="preserve"> He informed the SBI that the output of the ICA process will include, for each Party, a record of the proceedings of the FSV session and a summary report on the technical analysis of the biennial update report.</w:t>
      </w:r>
      <w:r w:rsidR="00BE07CA">
        <w:rPr>
          <w:sz w:val="18"/>
          <w:vertAlign w:val="superscript"/>
        </w:rPr>
        <w:footnoteReference w:id="7"/>
      </w:r>
    </w:p>
    <w:p w14:paraId="5D728CE4" w14:textId="11132122" w:rsidR="00BE07CA" w:rsidRDefault="000E0429" w:rsidP="000E0429">
      <w:pPr>
        <w:pStyle w:val="RegH1G"/>
        <w:numPr>
          <w:ilvl w:val="0"/>
          <w:numId w:val="0"/>
        </w:numPr>
        <w:tabs>
          <w:tab w:val="left" w:pos="1135"/>
        </w:tabs>
        <w:spacing w:after="0"/>
        <w:ind w:left="1135" w:hanging="454"/>
      </w:pPr>
      <w:bookmarkStart w:id="25" w:name="_Toc453078748"/>
      <w:r>
        <w:t>D.</w:t>
      </w:r>
      <w:r>
        <w:tab/>
      </w:r>
      <w:r w:rsidR="00BE07CA">
        <w:t>Other mandated events</w:t>
      </w:r>
      <w:bookmarkEnd w:id="25"/>
    </w:p>
    <w:p w14:paraId="0E93F37A" w14:textId="77777777" w:rsidR="00BE07CA" w:rsidRDefault="00BE07CA" w:rsidP="00BE07CA">
      <w:pPr>
        <w:pStyle w:val="SingleTxtG"/>
        <w:spacing w:after="240"/>
      </w:pPr>
      <w:r>
        <w:t>(Agenda sub-item 2(d))</w:t>
      </w:r>
    </w:p>
    <w:p w14:paraId="5CF05155" w14:textId="0128B0CC" w:rsidR="00BE07CA" w:rsidRDefault="000E0429" w:rsidP="000E0429">
      <w:pPr>
        <w:pStyle w:val="RegSingleTxtG"/>
        <w:numPr>
          <w:ilvl w:val="0"/>
          <w:numId w:val="0"/>
        </w:numPr>
        <w:tabs>
          <w:tab w:val="left" w:pos="568"/>
        </w:tabs>
        <w:ind w:left="1135"/>
      </w:pPr>
      <w:r>
        <w:t>11.</w:t>
      </w:r>
      <w:r>
        <w:tab/>
      </w:r>
      <w:r w:rsidR="00BE07CA">
        <w:t>The SBI considered this agenda sub-item at its 1</w:t>
      </w:r>
      <w:r w:rsidR="00BE07CA">
        <w:rPr>
          <w:vertAlign w:val="superscript"/>
        </w:rPr>
        <w:t>st</w:t>
      </w:r>
      <w:r w:rsidR="00BE07CA">
        <w:t xml:space="preserve"> meeting and took note of the information provided by the Chair on the mandated events, highlighting the technical expert meetings that are at the core of the technical examination processes.</w:t>
      </w:r>
    </w:p>
    <w:p w14:paraId="0A6D04B2" w14:textId="42CB026C" w:rsidR="00BE07CA" w:rsidRDefault="000E0429" w:rsidP="000E0429">
      <w:pPr>
        <w:pStyle w:val="RegH1G"/>
        <w:numPr>
          <w:ilvl w:val="0"/>
          <w:numId w:val="0"/>
        </w:numPr>
        <w:tabs>
          <w:tab w:val="left" w:pos="1135"/>
        </w:tabs>
        <w:spacing w:after="0"/>
        <w:ind w:left="1135" w:hanging="454"/>
        <w:rPr>
          <w:lang w:eastAsia="en-US"/>
        </w:rPr>
      </w:pPr>
      <w:bookmarkStart w:id="26" w:name="_Toc453078749"/>
      <w:r>
        <w:rPr>
          <w:lang w:eastAsia="en-US"/>
        </w:rPr>
        <w:t>E.</w:t>
      </w:r>
      <w:r>
        <w:rPr>
          <w:lang w:eastAsia="en-US"/>
        </w:rPr>
        <w:tab/>
      </w:r>
      <w:r w:rsidR="00BE07CA">
        <w:rPr>
          <w:lang w:eastAsia="en-US"/>
        </w:rPr>
        <w:t>Election of officers other than the Chair</w:t>
      </w:r>
      <w:bookmarkEnd w:id="26"/>
    </w:p>
    <w:p w14:paraId="1359D9D6" w14:textId="77777777" w:rsidR="00BE07CA" w:rsidRDefault="00BE07CA" w:rsidP="00BE07CA">
      <w:pPr>
        <w:pStyle w:val="SingleTxtG"/>
        <w:spacing w:after="240"/>
      </w:pPr>
      <w:r>
        <w:t>(Agenda sub-item 2(e))</w:t>
      </w:r>
    </w:p>
    <w:p w14:paraId="7906B0EB" w14:textId="7DB278A3" w:rsidR="00BE07CA" w:rsidRDefault="000E0429" w:rsidP="000E0429">
      <w:pPr>
        <w:pStyle w:val="RegSingleTxtG"/>
        <w:numPr>
          <w:ilvl w:val="0"/>
          <w:numId w:val="0"/>
        </w:numPr>
        <w:tabs>
          <w:tab w:val="left" w:pos="568"/>
        </w:tabs>
        <w:ind w:left="1135"/>
      </w:pPr>
      <w:r>
        <w:t>12.</w:t>
      </w:r>
      <w:r>
        <w:tab/>
      </w:r>
      <w:r w:rsidR="00BE07CA">
        <w:t>The SBI considered this agenda sub-item at its 1</w:t>
      </w:r>
      <w:r w:rsidR="00BE07CA">
        <w:rPr>
          <w:vertAlign w:val="superscript"/>
        </w:rPr>
        <w:t>st</w:t>
      </w:r>
      <w:r w:rsidR="00BE07CA">
        <w:rPr>
          <w:sz w:val="13"/>
          <w:szCs w:val="13"/>
        </w:rPr>
        <w:t xml:space="preserve"> </w:t>
      </w:r>
      <w:r w:rsidR="00BE07CA">
        <w:t>meeting, as well as at its resumed 3</w:t>
      </w:r>
      <w:r w:rsidR="00BE07CA">
        <w:rPr>
          <w:vertAlign w:val="superscript"/>
        </w:rPr>
        <w:t>rd</w:t>
      </w:r>
      <w:r w:rsidR="00BE07CA">
        <w:t xml:space="preserve"> meeting. At the 1</w:t>
      </w:r>
      <w:r w:rsidR="00BE07CA">
        <w:rPr>
          <w:vertAlign w:val="superscript"/>
        </w:rPr>
        <w:t xml:space="preserve">st </w:t>
      </w:r>
      <w:r w:rsidR="00BE07CA">
        <w:t xml:space="preserve">meeting, the Chair recalled rule 27 of the draft rules of procedure being applied, whereby the SBI is expected to elect its Rapporteur. At the same meeting, the SBI noted that the consultations on the nominations of the Rapporteur were ongoing and were being coordinated with the consultations being conducted on the nominations to all other bodies under the Convention and its Kyoto Protocol under the authority of the President of the COP. </w:t>
      </w:r>
    </w:p>
    <w:p w14:paraId="10BE20D5" w14:textId="6612E39A" w:rsidR="00BE07CA" w:rsidRDefault="000E0429" w:rsidP="000E0429">
      <w:pPr>
        <w:pStyle w:val="RegSingleTxtG"/>
        <w:numPr>
          <w:ilvl w:val="0"/>
          <w:numId w:val="0"/>
        </w:numPr>
        <w:tabs>
          <w:tab w:val="left" w:pos="568"/>
        </w:tabs>
        <w:ind w:left="1135"/>
      </w:pPr>
      <w:r>
        <w:t>13.</w:t>
      </w:r>
      <w:r>
        <w:tab/>
      </w:r>
      <w:r w:rsidR="00BE07CA">
        <w:t>At the resumed 3</w:t>
      </w:r>
      <w:r w:rsidR="00BE07CA">
        <w:rPr>
          <w:vertAlign w:val="superscript"/>
        </w:rPr>
        <w:t>rd</w:t>
      </w:r>
      <w:r w:rsidR="00BE07CA">
        <w:t xml:space="preserve"> meeting, the Chair informed Parties that no nomination for the post of Rapporteur had been received and that in accordance with rule 22, paragraph 2, of the draft rules of procedure being applied, Mr. Yaffa, the current Rapporteur, would remain in office until his replacement is elected at the next session of the SBI. </w:t>
      </w:r>
    </w:p>
    <w:p w14:paraId="68FE4FC9" w14:textId="6FC867A1" w:rsidR="00BE07CA" w:rsidRDefault="000E0429" w:rsidP="000E0429">
      <w:pPr>
        <w:pStyle w:val="RegHChG"/>
        <w:widowControl w:val="0"/>
        <w:numPr>
          <w:ilvl w:val="0"/>
          <w:numId w:val="0"/>
        </w:numPr>
        <w:tabs>
          <w:tab w:val="left" w:pos="1135"/>
        </w:tabs>
        <w:spacing w:after="0"/>
        <w:ind w:left="1135" w:hanging="454"/>
      </w:pPr>
      <w:bookmarkStart w:id="27" w:name="_Toc453078750"/>
      <w:bookmarkStart w:id="28" w:name="_Toc435527328"/>
      <w:bookmarkStart w:id="29" w:name="_Toc435526646"/>
      <w:bookmarkStart w:id="30" w:name="_Toc391983279"/>
      <w:bookmarkStart w:id="31" w:name="_Toc421881680"/>
      <w:bookmarkStart w:id="32" w:name="_Toc421268873"/>
      <w:bookmarkEnd w:id="18"/>
      <w:bookmarkEnd w:id="19"/>
      <w:bookmarkEnd w:id="20"/>
      <w:bookmarkEnd w:id="21"/>
      <w:bookmarkEnd w:id="22"/>
      <w:r>
        <w:lastRenderedPageBreak/>
        <w:t>III.</w:t>
      </w:r>
      <w:r>
        <w:tab/>
      </w:r>
      <w:r w:rsidR="00BE07CA">
        <w:t>Reporting from and review of Parties included in Annex I to the Convention</w:t>
      </w:r>
      <w:bookmarkEnd w:id="27"/>
      <w:bookmarkEnd w:id="28"/>
      <w:bookmarkEnd w:id="29"/>
      <w:bookmarkEnd w:id="30"/>
    </w:p>
    <w:p w14:paraId="7F47CC00" w14:textId="77777777" w:rsidR="00BE07CA" w:rsidRDefault="00BE07CA" w:rsidP="003C5590">
      <w:pPr>
        <w:pStyle w:val="SingleTxtG"/>
        <w:keepNext/>
        <w:widowControl w:val="0"/>
        <w:spacing w:after="240"/>
      </w:pPr>
      <w:r>
        <w:t>(Agenda item 3)</w:t>
      </w:r>
      <w:bookmarkEnd w:id="31"/>
      <w:bookmarkEnd w:id="32"/>
    </w:p>
    <w:p w14:paraId="006A111E" w14:textId="6DBC61F8" w:rsidR="00BE07CA" w:rsidRDefault="000E0429" w:rsidP="000E0429">
      <w:pPr>
        <w:pStyle w:val="RegH1G"/>
        <w:numPr>
          <w:ilvl w:val="0"/>
          <w:numId w:val="0"/>
        </w:numPr>
        <w:tabs>
          <w:tab w:val="left" w:pos="1135"/>
        </w:tabs>
        <w:ind w:left="1135" w:hanging="454"/>
        <w:rPr>
          <w:rStyle w:val="SingleTxtGChar"/>
          <w:b w:val="0"/>
          <w:sz w:val="20"/>
        </w:rPr>
      </w:pPr>
      <w:bookmarkStart w:id="33" w:name="_Toc435527329"/>
      <w:bookmarkStart w:id="34" w:name="_Toc435526647"/>
      <w:bookmarkStart w:id="35" w:name="_Toc453078751"/>
      <w:bookmarkStart w:id="36" w:name="_Toc326589621"/>
      <w:bookmarkStart w:id="37" w:name="_Toc344970698"/>
      <w:bookmarkStart w:id="38" w:name="_Toc344971771"/>
      <w:bookmarkStart w:id="39" w:name="_Toc391983280"/>
      <w:bookmarkStart w:id="40" w:name="_Toc406647766"/>
      <w:bookmarkStart w:id="41" w:name="_Toc421268874"/>
      <w:bookmarkStart w:id="42" w:name="_Toc421881681"/>
      <w:r>
        <w:rPr>
          <w:rStyle w:val="SingleTxtGChar"/>
        </w:rPr>
        <w:t>A.</w:t>
      </w:r>
      <w:r>
        <w:rPr>
          <w:rStyle w:val="SingleTxtGChar"/>
        </w:rPr>
        <w:tab/>
      </w:r>
      <w:r w:rsidR="00BE07CA">
        <w:t>Status of submission and review of second biennial reports from Parties included in Annex I to the Convention</w:t>
      </w:r>
      <w:bookmarkStart w:id="43" w:name="_Toc435527330"/>
      <w:bookmarkStart w:id="44" w:name="_Toc435526648"/>
      <w:bookmarkEnd w:id="33"/>
      <w:bookmarkEnd w:id="34"/>
      <w:r w:rsidR="00BE07CA">
        <w:br/>
      </w:r>
      <w:r w:rsidR="00BE07CA">
        <w:rPr>
          <w:rStyle w:val="SingleTxtGChar"/>
          <w:b w:val="0"/>
          <w:sz w:val="20"/>
        </w:rPr>
        <w:t>(Agenda sub-item 3(a))</w:t>
      </w:r>
      <w:bookmarkEnd w:id="35"/>
      <w:bookmarkEnd w:id="43"/>
      <w:bookmarkEnd w:id="44"/>
    </w:p>
    <w:bookmarkEnd w:id="36"/>
    <w:bookmarkEnd w:id="37"/>
    <w:bookmarkEnd w:id="38"/>
    <w:bookmarkEnd w:id="39"/>
    <w:bookmarkEnd w:id="40"/>
    <w:bookmarkEnd w:id="41"/>
    <w:bookmarkEnd w:id="42"/>
    <w:p w14:paraId="001F5BC8" w14:textId="77777777" w:rsidR="00BE07CA" w:rsidRDefault="00BE07CA" w:rsidP="000E0429">
      <w:pPr>
        <w:pStyle w:val="RegH23G"/>
        <w:numPr>
          <w:ilvl w:val="0"/>
          <w:numId w:val="0"/>
        </w:numPr>
        <w:tabs>
          <w:tab w:val="left" w:pos="720"/>
        </w:tabs>
        <w:ind w:left="1134" w:hanging="454"/>
      </w:pPr>
      <w:r>
        <w:t>Proceedings</w:t>
      </w:r>
    </w:p>
    <w:p w14:paraId="4E10BDC1" w14:textId="203630D6" w:rsidR="00BE07CA" w:rsidRPr="00FB11AC" w:rsidRDefault="000E0429" w:rsidP="000E0429">
      <w:pPr>
        <w:pStyle w:val="RegSingleTxtG"/>
        <w:numPr>
          <w:ilvl w:val="0"/>
          <w:numId w:val="0"/>
        </w:numPr>
        <w:tabs>
          <w:tab w:val="left" w:pos="568"/>
        </w:tabs>
        <w:ind w:left="1135"/>
      </w:pPr>
      <w:bookmarkStart w:id="45" w:name="_Ref344973520"/>
      <w:r w:rsidRPr="00FB11AC">
        <w:t>14.</w:t>
      </w:r>
      <w:r w:rsidRPr="00FB11AC">
        <w:tab/>
      </w:r>
      <w:r w:rsidR="00BE07CA" w:rsidRPr="00FB11AC">
        <w:t>The SBI considered this agenda sub-item at its 1</w:t>
      </w:r>
      <w:r w:rsidR="00BE07CA" w:rsidRPr="00FB11AC">
        <w:rPr>
          <w:vertAlign w:val="superscript"/>
        </w:rPr>
        <w:t>st</w:t>
      </w:r>
      <w:r w:rsidR="00BE07CA" w:rsidRPr="00FB11AC">
        <w:t xml:space="preserve"> meeting and took note of the information contained in document FCCC/SBI/2016/</w:t>
      </w:r>
      <w:bookmarkEnd w:id="45"/>
      <w:r w:rsidR="00BE07CA" w:rsidRPr="00FB11AC">
        <w:t xml:space="preserve">INF.1. </w:t>
      </w:r>
    </w:p>
    <w:p w14:paraId="734C7FFE" w14:textId="61234C6A" w:rsidR="00BE07CA" w:rsidRDefault="000E0429" w:rsidP="000E0429">
      <w:pPr>
        <w:pStyle w:val="RegH1G"/>
        <w:numPr>
          <w:ilvl w:val="0"/>
          <w:numId w:val="0"/>
        </w:numPr>
        <w:tabs>
          <w:tab w:val="left" w:pos="1135"/>
        </w:tabs>
        <w:ind w:left="1135" w:hanging="454"/>
        <w:rPr>
          <w:rStyle w:val="SingleTxtGChar"/>
          <w:b w:val="0"/>
          <w:sz w:val="20"/>
        </w:rPr>
      </w:pPr>
      <w:bookmarkStart w:id="46" w:name="_Toc453078752"/>
      <w:bookmarkStart w:id="47" w:name="_Toc435527331"/>
      <w:bookmarkStart w:id="48" w:name="_Toc435526649"/>
      <w:bookmarkStart w:id="49" w:name="_Toc391983281"/>
      <w:bookmarkStart w:id="50" w:name="_Toc406647767"/>
      <w:bookmarkStart w:id="51" w:name="_Toc421268875"/>
      <w:bookmarkStart w:id="52" w:name="_Toc421881682"/>
      <w:r>
        <w:rPr>
          <w:rStyle w:val="SingleTxtGChar"/>
        </w:rPr>
        <w:t>B.</w:t>
      </w:r>
      <w:r>
        <w:rPr>
          <w:rStyle w:val="SingleTxtGChar"/>
        </w:rPr>
        <w:tab/>
      </w:r>
      <w:r w:rsidR="00BE07CA">
        <w:t>Compilation and synthesis of sixth national communications and first biennial reports from Parties included in Annex I to the Convention</w:t>
      </w:r>
      <w:r w:rsidR="00BE07CA">
        <w:rPr>
          <w:rStyle w:val="SingleTxtGChar"/>
          <w:b w:val="0"/>
          <w:color w:val="1F497D" w:themeColor="text2"/>
          <w:sz w:val="20"/>
        </w:rPr>
        <w:br/>
      </w:r>
      <w:r w:rsidR="00BE07CA">
        <w:rPr>
          <w:rStyle w:val="SingleTxtGChar"/>
          <w:b w:val="0"/>
          <w:sz w:val="20"/>
        </w:rPr>
        <w:t>(Agenda sub-item 3(b))</w:t>
      </w:r>
      <w:bookmarkEnd w:id="46"/>
    </w:p>
    <w:p w14:paraId="58D736C5" w14:textId="627C99C0" w:rsidR="00BE07CA" w:rsidRDefault="000E0429" w:rsidP="000E0429">
      <w:pPr>
        <w:pStyle w:val="RegH23G"/>
        <w:numPr>
          <w:ilvl w:val="0"/>
          <w:numId w:val="0"/>
        </w:numPr>
        <w:tabs>
          <w:tab w:val="left" w:pos="1135"/>
        </w:tabs>
        <w:ind w:left="1135" w:hanging="454"/>
      </w:pPr>
      <w:r>
        <w:rPr>
          <w:bCs/>
        </w:rPr>
        <w:t>1.</w:t>
      </w:r>
      <w:r>
        <w:rPr>
          <w:bCs/>
        </w:rPr>
        <w:tab/>
      </w:r>
      <w:r w:rsidR="00BE07CA">
        <w:t>Proceedings</w:t>
      </w:r>
      <w:r w:rsidR="00BE07CA">
        <w:tab/>
      </w:r>
    </w:p>
    <w:p w14:paraId="535D1B60" w14:textId="345CAD99" w:rsidR="00BE07CA" w:rsidRDefault="000E0429" w:rsidP="000E0429">
      <w:pPr>
        <w:pStyle w:val="RegSingleTxtG"/>
        <w:numPr>
          <w:ilvl w:val="0"/>
          <w:numId w:val="0"/>
        </w:numPr>
        <w:tabs>
          <w:tab w:val="left" w:pos="568"/>
        </w:tabs>
        <w:ind w:left="1135"/>
      </w:pPr>
      <w:r>
        <w:t>15.</w:t>
      </w:r>
      <w:r>
        <w:tab/>
      </w:r>
      <w:r w:rsidR="00BE07CA">
        <w:t>The SBI considered this agenda sub-item at its 1</w:t>
      </w:r>
      <w:r w:rsidR="00BE07CA">
        <w:rPr>
          <w:vertAlign w:val="superscript"/>
        </w:rPr>
        <w:t>st</w:t>
      </w:r>
      <w:r w:rsidR="00BE07CA">
        <w:t xml:space="preserve"> meeting, and on 25 May at its 3</w:t>
      </w:r>
      <w:r w:rsidR="00BE07CA">
        <w:rPr>
          <w:vertAlign w:val="superscript"/>
        </w:rPr>
        <w:t>rd</w:t>
      </w:r>
      <w:r w:rsidR="00BE07CA">
        <w:t xml:space="preserve"> meeting. At its 1</w:t>
      </w:r>
      <w:r w:rsidR="00BE07CA">
        <w:rPr>
          <w:vertAlign w:val="superscript"/>
        </w:rPr>
        <w:t>st</w:t>
      </w:r>
      <w:r w:rsidR="00BE07CA">
        <w:t xml:space="preserve"> meeting, the SBI agreed to consider the agenda sub-item in informal consultations co-facilitated by Ms. Helen Plume (New Zealand) and Ms. Anne Rasmussen (Samoa). At its </w:t>
      </w:r>
      <w:r w:rsidR="00BE07CA">
        <w:rPr>
          <w:snapToGrid w:val="0"/>
        </w:rPr>
        <w:t>3</w:t>
      </w:r>
      <w:r w:rsidR="00BE07CA">
        <w:rPr>
          <w:snapToGrid w:val="0"/>
          <w:vertAlign w:val="superscript"/>
        </w:rPr>
        <w:t>rd</w:t>
      </w:r>
      <w:r w:rsidR="00BE07CA">
        <w:rPr>
          <w:snapToGrid w:val="0"/>
        </w:rPr>
        <w:t xml:space="preserve"> meeting</w:t>
      </w:r>
      <w:r w:rsidR="00BE07CA">
        <w:t>, it considered and adopted the conclusions below.</w:t>
      </w:r>
      <w:r w:rsidR="00BE07CA" w:rsidRPr="00A34628">
        <w:rPr>
          <w:sz w:val="18"/>
          <w:vertAlign w:val="superscript"/>
        </w:rPr>
        <w:footnoteReference w:id="8"/>
      </w:r>
      <w:r w:rsidR="00BE07CA">
        <w:t xml:space="preserve"> </w:t>
      </w:r>
    </w:p>
    <w:p w14:paraId="35F01CB9" w14:textId="65FCF555"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578ABFCB" w14:textId="74CC8AFD" w:rsidR="00BE07CA" w:rsidRDefault="000E0429" w:rsidP="000E0429">
      <w:pPr>
        <w:pStyle w:val="RegSingleTxtG"/>
        <w:numPr>
          <w:ilvl w:val="0"/>
          <w:numId w:val="0"/>
        </w:numPr>
        <w:tabs>
          <w:tab w:val="left" w:pos="568"/>
        </w:tabs>
        <w:ind w:left="1135"/>
      </w:pPr>
      <w:r>
        <w:t>16.</w:t>
      </w:r>
      <w:r>
        <w:tab/>
      </w:r>
      <w:r w:rsidR="00BE07CA">
        <w:t>The SBI took note of the compilation and synthesis of sixth national communications and first biennial reports from Parties included in Annex I to the Convention (Annex I Parties) prepared by the secretariat in 2014</w:t>
      </w:r>
      <w:r w:rsidR="00BE07CA">
        <w:rPr>
          <w:sz w:val="18"/>
          <w:szCs w:val="18"/>
          <w:vertAlign w:val="superscript"/>
        </w:rPr>
        <w:footnoteReference w:id="9"/>
      </w:r>
      <w:r w:rsidR="00BE07CA">
        <w:t xml:space="preserve"> and noted that the compilation and synthesis of second biennial reports from Annex I Parties will be discussed at SBI 45 (November 2016).</w:t>
      </w:r>
      <w:r w:rsidR="00BE07CA">
        <w:rPr>
          <w:sz w:val="18"/>
          <w:vertAlign w:val="superscript"/>
        </w:rPr>
        <w:footnoteReference w:id="10"/>
      </w:r>
    </w:p>
    <w:p w14:paraId="00ECBFBE" w14:textId="6FB7AF4A" w:rsidR="00BE07CA" w:rsidRDefault="000E0429" w:rsidP="000E0429">
      <w:pPr>
        <w:pStyle w:val="RegH1G"/>
        <w:numPr>
          <w:ilvl w:val="0"/>
          <w:numId w:val="0"/>
        </w:numPr>
        <w:tabs>
          <w:tab w:val="left" w:pos="1135"/>
        </w:tabs>
        <w:ind w:left="1135" w:hanging="454"/>
        <w:rPr>
          <w:rStyle w:val="SingleTxtGChar"/>
          <w:b w:val="0"/>
          <w:sz w:val="20"/>
        </w:rPr>
      </w:pPr>
      <w:bookmarkStart w:id="53" w:name="_Toc453078753"/>
      <w:r>
        <w:rPr>
          <w:rStyle w:val="SingleTxtGChar"/>
        </w:rPr>
        <w:t>C.</w:t>
      </w:r>
      <w:r>
        <w:rPr>
          <w:rStyle w:val="SingleTxtGChar"/>
        </w:rPr>
        <w:tab/>
      </w:r>
      <w:r w:rsidR="00BE07CA">
        <w:rPr>
          <w:rStyle w:val="SingleTxtGChar"/>
        </w:rPr>
        <w:t>Outcome of the first round of the international assessment and review process (2014–2015)</w:t>
      </w:r>
      <w:bookmarkStart w:id="54" w:name="_Toc435527332"/>
      <w:bookmarkStart w:id="55" w:name="_Toc435526650"/>
      <w:bookmarkEnd w:id="47"/>
      <w:bookmarkEnd w:id="48"/>
      <w:r w:rsidR="00BE07CA">
        <w:rPr>
          <w:rStyle w:val="SingleTxtGChar"/>
          <w:b w:val="0"/>
          <w:sz w:val="20"/>
        </w:rPr>
        <w:t xml:space="preserve"> </w:t>
      </w:r>
      <w:r w:rsidR="00BE07CA">
        <w:rPr>
          <w:rStyle w:val="SingleTxtGChar"/>
          <w:b w:val="0"/>
          <w:sz w:val="20"/>
        </w:rPr>
        <w:br/>
        <w:t>(Agenda sub-item 3(c))</w:t>
      </w:r>
      <w:bookmarkEnd w:id="53"/>
      <w:bookmarkEnd w:id="54"/>
      <w:bookmarkEnd w:id="55"/>
    </w:p>
    <w:p w14:paraId="15848C35" w14:textId="30956E5D"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r w:rsidR="00BE07CA">
        <w:tab/>
      </w:r>
    </w:p>
    <w:p w14:paraId="190378DE" w14:textId="06D83C7E" w:rsidR="00BE07CA" w:rsidRDefault="000E0429" w:rsidP="000E0429">
      <w:pPr>
        <w:pStyle w:val="RegSingleTxtG"/>
        <w:numPr>
          <w:ilvl w:val="0"/>
          <w:numId w:val="0"/>
        </w:numPr>
        <w:tabs>
          <w:tab w:val="left" w:pos="568"/>
        </w:tabs>
        <w:ind w:left="1135"/>
      </w:pPr>
      <w:r>
        <w:t>17.</w:t>
      </w:r>
      <w:r>
        <w:tab/>
      </w:r>
      <w:r w:rsidR="00BE07CA">
        <w:t>The SBI considered this agenda sub-item at its 1</w:t>
      </w:r>
      <w:r w:rsidR="00BE07CA">
        <w:rPr>
          <w:vertAlign w:val="superscript"/>
        </w:rPr>
        <w:t>st</w:t>
      </w:r>
      <w:r w:rsidR="00BE07CA">
        <w:t xml:space="preserve"> and 3</w:t>
      </w:r>
      <w:r w:rsidR="00BE07CA">
        <w:rPr>
          <w:vertAlign w:val="superscript"/>
        </w:rPr>
        <w:t>rd</w:t>
      </w:r>
      <w:r w:rsidR="00BE07CA">
        <w:t xml:space="preserve"> meetings. At its 1</w:t>
      </w:r>
      <w:r w:rsidR="00BE07CA">
        <w:rPr>
          <w:vertAlign w:val="superscript"/>
        </w:rPr>
        <w:t>st</w:t>
      </w:r>
      <w:r w:rsidR="00BE07CA">
        <w:t xml:space="preserve"> meeting, the SBI agreed to consider the agenda sub-item in informal consultations co-facilitated by Mr. Xiang Gao (China) and Ms. Plume. At its </w:t>
      </w:r>
      <w:r w:rsidR="00BE07CA">
        <w:rPr>
          <w:snapToGrid w:val="0"/>
        </w:rPr>
        <w:t>3</w:t>
      </w:r>
      <w:r w:rsidR="00BE07CA">
        <w:rPr>
          <w:snapToGrid w:val="0"/>
          <w:vertAlign w:val="superscript"/>
        </w:rPr>
        <w:t>rd</w:t>
      </w:r>
      <w:r w:rsidR="00BE07CA">
        <w:rPr>
          <w:snapToGrid w:val="0"/>
        </w:rPr>
        <w:t xml:space="preserve"> meeting</w:t>
      </w:r>
      <w:r w:rsidR="00BE07CA">
        <w:t>, it considered and adopted the conclusions below.</w:t>
      </w:r>
      <w:r w:rsidR="00BE07CA" w:rsidRPr="00A34628">
        <w:rPr>
          <w:sz w:val="18"/>
          <w:vertAlign w:val="superscript"/>
        </w:rPr>
        <w:footnoteReference w:id="11"/>
      </w:r>
      <w:r w:rsidR="00BE07CA">
        <w:t xml:space="preserve"> </w:t>
      </w:r>
    </w:p>
    <w:p w14:paraId="354090B0" w14:textId="463BFFFC" w:rsidR="00BE07CA" w:rsidRDefault="000E0429" w:rsidP="000E0429">
      <w:pPr>
        <w:pStyle w:val="RegH23G"/>
        <w:numPr>
          <w:ilvl w:val="0"/>
          <w:numId w:val="0"/>
        </w:numPr>
        <w:tabs>
          <w:tab w:val="left" w:pos="1135"/>
        </w:tabs>
        <w:ind w:left="1135" w:hanging="454"/>
      </w:pPr>
      <w:r>
        <w:rPr>
          <w:bCs/>
        </w:rPr>
        <w:lastRenderedPageBreak/>
        <w:t>2.</w:t>
      </w:r>
      <w:r>
        <w:rPr>
          <w:bCs/>
        </w:rPr>
        <w:tab/>
      </w:r>
      <w:r w:rsidR="00BE07CA">
        <w:t>Conclusions</w:t>
      </w:r>
    </w:p>
    <w:p w14:paraId="08FB7C55" w14:textId="66A2ADA6" w:rsidR="00BE07CA" w:rsidRDefault="000E0429" w:rsidP="000E0429">
      <w:pPr>
        <w:pStyle w:val="RegSingleTxtG"/>
        <w:numPr>
          <w:ilvl w:val="0"/>
          <w:numId w:val="0"/>
        </w:numPr>
        <w:tabs>
          <w:tab w:val="left" w:pos="568"/>
        </w:tabs>
        <w:ind w:left="1135"/>
      </w:pPr>
      <w:bookmarkStart w:id="56" w:name="_Toc435527333"/>
      <w:bookmarkStart w:id="57" w:name="_Toc435526651"/>
      <w:bookmarkStart w:id="58" w:name="_Toc421268876"/>
      <w:bookmarkStart w:id="59" w:name="_Toc421881683"/>
      <w:bookmarkEnd w:id="49"/>
      <w:bookmarkEnd w:id="50"/>
      <w:bookmarkEnd w:id="51"/>
      <w:bookmarkEnd w:id="52"/>
      <w:r>
        <w:t>18.</w:t>
      </w:r>
      <w:r>
        <w:tab/>
      </w:r>
      <w:r w:rsidR="00BE07CA">
        <w:t>The SBI continued its consideration of the nature and scope of the SBI conclusions in regard to the outcome of the first round of the international assessment and review (IAR) process.</w:t>
      </w:r>
      <w:r w:rsidR="00BE07CA">
        <w:rPr>
          <w:rStyle w:val="FootnoteReference"/>
        </w:rPr>
        <w:footnoteReference w:id="12"/>
      </w:r>
    </w:p>
    <w:p w14:paraId="32DD702E" w14:textId="20EAB15B" w:rsidR="00BE07CA" w:rsidRDefault="000E0429" w:rsidP="000E0429">
      <w:pPr>
        <w:pStyle w:val="RegSingleTxtG"/>
        <w:numPr>
          <w:ilvl w:val="0"/>
          <w:numId w:val="0"/>
        </w:numPr>
        <w:tabs>
          <w:tab w:val="left" w:pos="568"/>
        </w:tabs>
        <w:ind w:left="1135"/>
      </w:pPr>
      <w:r>
        <w:t>19.</w:t>
      </w:r>
      <w:r>
        <w:tab/>
      </w:r>
      <w:r w:rsidR="00BE07CA">
        <w:t>The SBI noted that, during the three IAR multilateral assessment working group sessions held at SBI 41, SBI 42 and SBI 43, a total of 43 developed country Parties</w:t>
      </w:r>
      <w:r w:rsidR="00BE07CA">
        <w:rPr>
          <w:rStyle w:val="FootnoteReference"/>
        </w:rPr>
        <w:footnoteReference w:id="13"/>
      </w:r>
      <w:r w:rsidR="00BE07CA">
        <w:t xml:space="preserve"> that submitted their biennial reports were multilaterally assessed. </w:t>
      </w:r>
    </w:p>
    <w:p w14:paraId="742565BE" w14:textId="0777FB27" w:rsidR="00BE07CA" w:rsidRPr="00FB11AC" w:rsidRDefault="000E0429" w:rsidP="000E0429">
      <w:pPr>
        <w:pStyle w:val="RegSingleTxtG"/>
        <w:numPr>
          <w:ilvl w:val="0"/>
          <w:numId w:val="0"/>
        </w:numPr>
        <w:tabs>
          <w:tab w:val="left" w:pos="568"/>
        </w:tabs>
        <w:ind w:left="1135"/>
      </w:pPr>
      <w:r w:rsidRPr="00FB11AC">
        <w:t>20.</w:t>
      </w:r>
      <w:r w:rsidRPr="00FB11AC">
        <w:tab/>
      </w:r>
      <w:r w:rsidR="00BE07CA" w:rsidRPr="00FB11AC">
        <w:t>The SBI took note of the publication of the Party records</w:t>
      </w:r>
      <w:r w:rsidR="00BE07CA" w:rsidRPr="00FB11AC">
        <w:rPr>
          <w:rStyle w:val="FootnoteReference"/>
        </w:rPr>
        <w:footnoteReference w:id="14"/>
      </w:r>
      <w:r w:rsidR="00BE07CA" w:rsidRPr="00FB11AC">
        <w:t xml:space="preserve"> for the Parties referred to in paragraph 19 above. It noted that these records, which represent part of the experience gained in the first round of IAR, will inform the revision of the modalities and procedures referred to in decision 2/CP.17, paragraph 26. </w:t>
      </w:r>
    </w:p>
    <w:p w14:paraId="59BD2817" w14:textId="1241F59B" w:rsidR="00BE07CA" w:rsidRDefault="000E0429" w:rsidP="000E0429">
      <w:pPr>
        <w:pStyle w:val="RegSingleTxtG"/>
        <w:numPr>
          <w:ilvl w:val="0"/>
          <w:numId w:val="0"/>
        </w:numPr>
        <w:tabs>
          <w:tab w:val="left" w:pos="568"/>
        </w:tabs>
        <w:ind w:left="1135"/>
      </w:pPr>
      <w:r>
        <w:t>21.</w:t>
      </w:r>
      <w:r>
        <w:tab/>
      </w:r>
      <w:r w:rsidR="00BE07CA" w:rsidRPr="00FB11AC">
        <w:t>The SBI noted with appreciation that the first round of the IAR process is contributing to the achievement of the overall objectives referred to in decision 2/CP.17, annex II, paragraph 1, and contributed to building trust among Parties. It noted that, in total, Parties submitted 651 questions to the 43 Parties</w:t>
      </w:r>
      <w:r w:rsidR="00BE07CA">
        <w:t xml:space="preserve"> being multilaterally assessed during the question and answer period. The SBI also noted that the recommendations and encouragement contained in the technical review reports and the question and answer process that is part of IAR have assisted Parties in understanding the progress that still needs to be made in order to improve transparency. </w:t>
      </w:r>
    </w:p>
    <w:p w14:paraId="48B7D864" w14:textId="3111C867" w:rsidR="00BE07CA" w:rsidRDefault="000E0429" w:rsidP="000E0429">
      <w:pPr>
        <w:pStyle w:val="RegSingleTxtG"/>
        <w:numPr>
          <w:ilvl w:val="0"/>
          <w:numId w:val="0"/>
        </w:numPr>
        <w:tabs>
          <w:tab w:val="left" w:pos="568"/>
        </w:tabs>
        <w:ind w:left="1135"/>
      </w:pPr>
      <w:r>
        <w:t>22.</w:t>
      </w:r>
      <w:r>
        <w:tab/>
      </w:r>
      <w:r w:rsidR="00BE07CA">
        <w:t>The SBI recommended a draft decision on this matter for consideration at COP 22 (November 2016).</w:t>
      </w:r>
      <w:r w:rsidR="00A331E5">
        <w:rPr>
          <w:rStyle w:val="FootnoteReference"/>
        </w:rPr>
        <w:footnoteReference w:id="15"/>
      </w:r>
    </w:p>
    <w:p w14:paraId="4FF54C98" w14:textId="2196CBB6" w:rsidR="00BE07CA" w:rsidRDefault="000E0429" w:rsidP="000E0429">
      <w:pPr>
        <w:pStyle w:val="RegH1G"/>
        <w:numPr>
          <w:ilvl w:val="0"/>
          <w:numId w:val="0"/>
        </w:numPr>
        <w:tabs>
          <w:tab w:val="left" w:pos="1135"/>
        </w:tabs>
        <w:ind w:left="1135" w:hanging="454"/>
        <w:rPr>
          <w:rStyle w:val="SingleTxtGChar"/>
          <w:b w:val="0"/>
          <w:sz w:val="20"/>
        </w:rPr>
      </w:pPr>
      <w:bookmarkStart w:id="60" w:name="_Toc453078754"/>
      <w:r>
        <w:rPr>
          <w:rStyle w:val="SingleTxtGChar"/>
        </w:rPr>
        <w:t>D.</w:t>
      </w:r>
      <w:r>
        <w:rPr>
          <w:rStyle w:val="SingleTxtGChar"/>
        </w:rPr>
        <w:tab/>
      </w:r>
      <w:r w:rsidR="00BE07CA">
        <w:t>Revision of the “Guidelines for the preparation of national communications by Parties included in Annex I to the Convention, Part II: UNFCCC reporting guidelines on national communications”</w:t>
      </w:r>
      <w:bookmarkEnd w:id="56"/>
      <w:bookmarkEnd w:id="57"/>
      <w:r w:rsidR="00BE07CA">
        <w:br/>
      </w:r>
      <w:bookmarkStart w:id="61" w:name="_Toc435527334"/>
      <w:bookmarkStart w:id="62" w:name="_Toc435526652"/>
      <w:r w:rsidR="00BE07CA">
        <w:rPr>
          <w:rStyle w:val="SingleTxtGChar"/>
          <w:b w:val="0"/>
          <w:sz w:val="20"/>
        </w:rPr>
        <w:t>(Agenda sub-item 3(d))</w:t>
      </w:r>
      <w:bookmarkEnd w:id="60"/>
      <w:bookmarkEnd w:id="61"/>
      <w:bookmarkEnd w:id="62"/>
    </w:p>
    <w:bookmarkEnd w:id="58"/>
    <w:bookmarkEnd w:id="59"/>
    <w:p w14:paraId="10883C03" w14:textId="5A5C4A2F" w:rsidR="00BE07CA" w:rsidRDefault="000E0429" w:rsidP="000E0429">
      <w:pPr>
        <w:pStyle w:val="RegH23G"/>
        <w:numPr>
          <w:ilvl w:val="0"/>
          <w:numId w:val="0"/>
        </w:numPr>
        <w:tabs>
          <w:tab w:val="left" w:pos="1135"/>
        </w:tabs>
        <w:ind w:left="1135" w:hanging="454"/>
        <w:rPr>
          <w:color w:val="000000" w:themeColor="text1"/>
          <w:lang w:eastAsia="en-US"/>
        </w:rPr>
      </w:pPr>
      <w:r>
        <w:rPr>
          <w:bCs/>
          <w:color w:val="000000" w:themeColor="text1"/>
          <w:lang w:eastAsia="en-US"/>
        </w:rPr>
        <w:t>1.</w:t>
      </w:r>
      <w:r>
        <w:rPr>
          <w:bCs/>
          <w:color w:val="000000" w:themeColor="text1"/>
          <w:lang w:eastAsia="en-US"/>
        </w:rPr>
        <w:tab/>
      </w:r>
      <w:r w:rsidR="00BE07CA">
        <w:t>Proceedings</w:t>
      </w:r>
    </w:p>
    <w:p w14:paraId="5572FBEE" w14:textId="6D5E6BD9" w:rsidR="00BE07CA" w:rsidRDefault="000E0429" w:rsidP="000E0429">
      <w:pPr>
        <w:pStyle w:val="RegSingleTxtG"/>
        <w:numPr>
          <w:ilvl w:val="0"/>
          <w:numId w:val="0"/>
        </w:numPr>
        <w:tabs>
          <w:tab w:val="left" w:pos="568"/>
        </w:tabs>
        <w:ind w:left="1135"/>
        <w:rPr>
          <w:color w:val="000000" w:themeColor="text1"/>
        </w:rPr>
      </w:pPr>
      <w:r>
        <w:rPr>
          <w:color w:val="000000" w:themeColor="text1"/>
        </w:rPr>
        <w:t>23.</w:t>
      </w:r>
      <w:r>
        <w:rPr>
          <w:color w:val="000000" w:themeColor="text1"/>
        </w:rPr>
        <w:tab/>
      </w:r>
      <w:r w:rsidR="00BE07CA">
        <w:rPr>
          <w:color w:val="000000" w:themeColor="text1"/>
        </w:rPr>
        <w:t xml:space="preserve">The SBI </w:t>
      </w:r>
      <w:r w:rsidR="00BE07CA">
        <w:t>considered this agenda sub-item at its 1</w:t>
      </w:r>
      <w:r w:rsidR="00BE07CA">
        <w:rPr>
          <w:vertAlign w:val="superscript"/>
        </w:rPr>
        <w:t>st</w:t>
      </w:r>
      <w:r w:rsidR="00BE07CA">
        <w:t xml:space="preserve"> and resumed 3</w:t>
      </w:r>
      <w:r w:rsidR="00BE07CA">
        <w:rPr>
          <w:vertAlign w:val="superscript"/>
        </w:rPr>
        <w:t>rd</w:t>
      </w:r>
      <w:r w:rsidR="00BE07CA">
        <w:t xml:space="preserve"> meetings</w:t>
      </w:r>
      <w:r w:rsidR="00BE07CA">
        <w:rPr>
          <w:color w:val="1F497D" w:themeColor="text2"/>
        </w:rPr>
        <w:t>.</w:t>
      </w:r>
      <w:r w:rsidR="00BE07CA">
        <w:t xml:space="preserve"> At the 1</w:t>
      </w:r>
      <w:r w:rsidR="00BE07CA">
        <w:rPr>
          <w:vertAlign w:val="superscript"/>
        </w:rPr>
        <w:t>st</w:t>
      </w:r>
      <w:r w:rsidR="00BE07CA">
        <w:t xml:space="preserve"> meeting, the Chair informed Parties of a pre-sessional workshop on the revision of the “Guidelines for the preparation of national communications by Parties included in Annex I to the Convention, Part II: UNFCCC reporting guidelines on national communications” (hereinafter referred to as the UNFCCC reporting guidelines on NCs). The Chair notified Parties of a workshop report being published later that day that would serve as the basis for discussions under this agenda item</w:t>
      </w:r>
      <w:r w:rsidR="00BE07CA">
        <w:rPr>
          <w:color w:val="000000" w:themeColor="text1"/>
        </w:rPr>
        <w:t>.</w:t>
      </w:r>
      <w:r w:rsidR="00BE07CA" w:rsidRPr="00A34628">
        <w:rPr>
          <w:color w:val="000000" w:themeColor="text1"/>
          <w:sz w:val="18"/>
          <w:vertAlign w:val="superscript"/>
        </w:rPr>
        <w:footnoteReference w:id="16"/>
      </w:r>
      <w:r w:rsidR="00BE07CA" w:rsidRPr="00A34628">
        <w:rPr>
          <w:color w:val="000000" w:themeColor="text1"/>
          <w:sz w:val="18"/>
        </w:rPr>
        <w:t xml:space="preserve"> </w:t>
      </w:r>
    </w:p>
    <w:p w14:paraId="3737C62F" w14:textId="16163791" w:rsidR="00BE07CA" w:rsidRDefault="000E0429" w:rsidP="000E0429">
      <w:pPr>
        <w:pStyle w:val="RegSingleTxtG"/>
        <w:numPr>
          <w:ilvl w:val="0"/>
          <w:numId w:val="0"/>
        </w:numPr>
        <w:tabs>
          <w:tab w:val="left" w:pos="568"/>
        </w:tabs>
        <w:ind w:left="1135"/>
      </w:pPr>
      <w:r>
        <w:lastRenderedPageBreak/>
        <w:t>24.</w:t>
      </w:r>
      <w:r>
        <w:tab/>
      </w:r>
      <w:r w:rsidR="00BE07CA">
        <w:t>At its 1</w:t>
      </w:r>
      <w:r w:rsidR="00BE07CA">
        <w:rPr>
          <w:vertAlign w:val="superscript"/>
        </w:rPr>
        <w:t>st</w:t>
      </w:r>
      <w:r w:rsidR="00BE07CA">
        <w:t xml:space="preserve"> meeting, the SBI agreed to consider the agenda sub-item in informal consultations co-facilitated by Ms. Fatuma Hussein (Kenya) and Ms. Plume. At its resumed </w:t>
      </w:r>
      <w:r w:rsidR="00BE07CA">
        <w:rPr>
          <w:snapToGrid w:val="0"/>
        </w:rPr>
        <w:t>3</w:t>
      </w:r>
      <w:r w:rsidR="00BE07CA">
        <w:rPr>
          <w:snapToGrid w:val="0"/>
          <w:vertAlign w:val="superscript"/>
        </w:rPr>
        <w:t>rd</w:t>
      </w:r>
      <w:r w:rsidR="00BE07CA">
        <w:rPr>
          <w:snapToGrid w:val="0"/>
        </w:rPr>
        <w:t xml:space="preserve"> meeting</w:t>
      </w:r>
      <w:r w:rsidR="00BE07CA">
        <w:t>, it considered and adopted the conclusions below.</w:t>
      </w:r>
      <w:r w:rsidR="00BE07CA" w:rsidRPr="00A93965">
        <w:rPr>
          <w:sz w:val="18"/>
          <w:vertAlign w:val="superscript"/>
        </w:rPr>
        <w:footnoteReference w:id="17"/>
      </w:r>
      <w:r w:rsidR="00BE07CA">
        <w:t xml:space="preserve"> </w:t>
      </w:r>
    </w:p>
    <w:p w14:paraId="71BAC20D" w14:textId="1B39DE6A"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24B369C8" w14:textId="6D947EEE" w:rsidR="00BE07CA" w:rsidRDefault="000E0429" w:rsidP="000E0429">
      <w:pPr>
        <w:pStyle w:val="RegSingleTxtG"/>
        <w:numPr>
          <w:ilvl w:val="0"/>
          <w:numId w:val="0"/>
        </w:numPr>
        <w:tabs>
          <w:tab w:val="left" w:pos="568"/>
        </w:tabs>
        <w:ind w:left="1135"/>
      </w:pPr>
      <w:bookmarkStart w:id="63" w:name="_Toc435527335"/>
      <w:bookmarkStart w:id="64" w:name="_Toc435526653"/>
      <w:r>
        <w:t>25.</w:t>
      </w:r>
      <w:r>
        <w:tab/>
      </w:r>
      <w:r w:rsidR="00BE07CA">
        <w:t>The SBI continued its consideration, initiated at SBI 40, of the revision of the UNFCCC reporting guidelines on NCs.</w:t>
      </w:r>
      <w:r w:rsidR="00BE07CA">
        <w:rPr>
          <w:sz w:val="18"/>
          <w:vertAlign w:val="superscript"/>
        </w:rPr>
        <w:footnoteReference w:id="18"/>
      </w:r>
      <w:r w:rsidR="00BE07CA">
        <w:t xml:space="preserve"> </w:t>
      </w:r>
    </w:p>
    <w:p w14:paraId="11EDD747" w14:textId="6276407A" w:rsidR="00BE07CA" w:rsidRPr="00C74F85" w:rsidRDefault="000E0429" w:rsidP="000E0429">
      <w:pPr>
        <w:pStyle w:val="RegSingleTxtG"/>
        <w:numPr>
          <w:ilvl w:val="0"/>
          <w:numId w:val="0"/>
        </w:numPr>
        <w:tabs>
          <w:tab w:val="left" w:pos="568"/>
        </w:tabs>
        <w:ind w:left="1135"/>
      </w:pPr>
      <w:r w:rsidRPr="00C74F85">
        <w:t>26.</w:t>
      </w:r>
      <w:r w:rsidRPr="00C74F85">
        <w:tab/>
      </w:r>
      <w:r w:rsidR="00BE07CA">
        <w:t xml:space="preserve">The SBI acknowledged the progress in the revision of the UNFCCC reporting guidelines on </w:t>
      </w:r>
      <w:r w:rsidR="00BE07CA" w:rsidRPr="00C74F85">
        <w:t>NCs made by Parties during the workshop held on 13 and 14 May 2016 and noted that the workshop report</w:t>
      </w:r>
      <w:r w:rsidR="00BE07CA" w:rsidRPr="00C74F85">
        <w:rPr>
          <w:sz w:val="18"/>
          <w:vertAlign w:val="superscript"/>
        </w:rPr>
        <w:footnoteReference w:id="19"/>
      </w:r>
      <w:r w:rsidR="00BE07CA" w:rsidRPr="00C74F85">
        <w:t xml:space="preserve"> provided a good basis for work on the matter during the session. </w:t>
      </w:r>
    </w:p>
    <w:p w14:paraId="6C688C6B" w14:textId="1B81ED38" w:rsidR="00BE07CA" w:rsidRPr="00C74F85" w:rsidRDefault="000E0429" w:rsidP="000E0429">
      <w:pPr>
        <w:pStyle w:val="RegSingleTxtG"/>
        <w:numPr>
          <w:ilvl w:val="0"/>
          <w:numId w:val="0"/>
        </w:numPr>
        <w:tabs>
          <w:tab w:val="left" w:pos="568"/>
        </w:tabs>
        <w:ind w:left="1135"/>
      </w:pPr>
      <w:r w:rsidRPr="00C74F85">
        <w:t>27.</w:t>
      </w:r>
      <w:r w:rsidRPr="00C74F85">
        <w:tab/>
      </w:r>
      <w:r w:rsidR="00BE07CA" w:rsidRPr="00C74F85">
        <w:t xml:space="preserve">The SBI agreed on the text of the draft revised guidelines as contained in annex </w:t>
      </w:r>
      <w:r w:rsidR="00094EFB">
        <w:t>I</w:t>
      </w:r>
      <w:r w:rsidR="00BE07CA" w:rsidRPr="00C74F85">
        <w:t xml:space="preserve">, except for the bracketed text in paragraph 71. </w:t>
      </w:r>
    </w:p>
    <w:p w14:paraId="01DFC59C" w14:textId="573EB3BB" w:rsidR="00BE07CA" w:rsidRPr="00FB11AC" w:rsidRDefault="000E0429" w:rsidP="000E0429">
      <w:pPr>
        <w:pStyle w:val="RegSingleTxtG"/>
        <w:numPr>
          <w:ilvl w:val="0"/>
          <w:numId w:val="0"/>
        </w:numPr>
        <w:tabs>
          <w:tab w:val="left" w:pos="568"/>
        </w:tabs>
        <w:ind w:left="1135"/>
        <w:rPr>
          <w:lang w:val="en-CA"/>
        </w:rPr>
      </w:pPr>
      <w:r w:rsidRPr="00FB11AC">
        <w:rPr>
          <w:lang w:val="en-CA"/>
        </w:rPr>
        <w:t>28.</w:t>
      </w:r>
      <w:r w:rsidRPr="00FB11AC">
        <w:rPr>
          <w:lang w:val="en-CA"/>
        </w:rPr>
        <w:tab/>
      </w:r>
      <w:r w:rsidR="00BE07CA" w:rsidRPr="00C74F85">
        <w:t>The SBI also agreed to continue its consideration of the bracketed text mentioned in paragraph 27 above at SBI 45 with a view to finalizing the revised UNFCCC reporting guidelines on NCs at that session and recommending them for consideration and adoption</w:t>
      </w:r>
      <w:r w:rsidR="00BE07CA" w:rsidRPr="00FB11AC">
        <w:t xml:space="preserve"> at COP 22.</w:t>
      </w:r>
    </w:p>
    <w:p w14:paraId="00AC91F8" w14:textId="548F81A1" w:rsidR="00BE07CA" w:rsidRDefault="000E0429" w:rsidP="000E0429">
      <w:pPr>
        <w:pStyle w:val="RegHChG"/>
        <w:numPr>
          <w:ilvl w:val="0"/>
          <w:numId w:val="0"/>
        </w:numPr>
        <w:tabs>
          <w:tab w:val="left" w:pos="1135"/>
        </w:tabs>
        <w:spacing w:after="0"/>
        <w:ind w:left="1135" w:hanging="454"/>
      </w:pPr>
      <w:bookmarkStart w:id="65" w:name="_Toc453078755"/>
      <w:bookmarkStart w:id="66" w:name="_Toc435527339"/>
      <w:bookmarkStart w:id="67" w:name="_Toc435526657"/>
      <w:bookmarkStart w:id="68" w:name="_Toc421881685"/>
      <w:bookmarkStart w:id="69" w:name="_Toc421268878"/>
      <w:bookmarkEnd w:id="63"/>
      <w:bookmarkEnd w:id="64"/>
      <w:r>
        <w:t>IV.</w:t>
      </w:r>
      <w:r>
        <w:tab/>
      </w:r>
      <w:r w:rsidR="00BE07CA">
        <w:t>Reporting from Parties not included in Annex I to the Convention</w:t>
      </w:r>
      <w:bookmarkEnd w:id="65"/>
      <w:bookmarkEnd w:id="66"/>
      <w:bookmarkEnd w:id="67"/>
    </w:p>
    <w:p w14:paraId="77689595" w14:textId="77777777" w:rsidR="00BE07CA" w:rsidRDefault="00BE07CA" w:rsidP="00BE07CA">
      <w:pPr>
        <w:pStyle w:val="SingleTxtG"/>
        <w:spacing w:after="240"/>
      </w:pPr>
      <w:bookmarkStart w:id="70" w:name="_Toc435526658"/>
      <w:r>
        <w:rPr>
          <w:rStyle w:val="SingleTxtGChar"/>
        </w:rPr>
        <w:t>(</w:t>
      </w:r>
      <w:r>
        <w:t>Agenda</w:t>
      </w:r>
      <w:r>
        <w:rPr>
          <w:rStyle w:val="SingleTxtGChar"/>
        </w:rPr>
        <w:t xml:space="preserve"> item 4)</w:t>
      </w:r>
      <w:bookmarkEnd w:id="68"/>
      <w:bookmarkEnd w:id="69"/>
      <w:bookmarkEnd w:id="70"/>
    </w:p>
    <w:p w14:paraId="023F78B4" w14:textId="7484FBAB" w:rsidR="00BE07CA" w:rsidRDefault="000E0429" w:rsidP="000E0429">
      <w:pPr>
        <w:pStyle w:val="RegH1G"/>
        <w:numPr>
          <w:ilvl w:val="0"/>
          <w:numId w:val="0"/>
        </w:numPr>
        <w:tabs>
          <w:tab w:val="left" w:pos="1135"/>
        </w:tabs>
        <w:spacing w:after="0"/>
        <w:ind w:left="1135" w:hanging="454"/>
        <w:rPr>
          <w:rStyle w:val="SingleTxtGChar"/>
          <w:b w:val="0"/>
          <w:sz w:val="20"/>
        </w:rPr>
      </w:pPr>
      <w:bookmarkStart w:id="71" w:name="_Toc453078756"/>
      <w:bookmarkStart w:id="72" w:name="_Toc435527340"/>
      <w:bookmarkStart w:id="73" w:name="_Toc435526659"/>
      <w:bookmarkStart w:id="74" w:name="_Toc421881686"/>
      <w:bookmarkStart w:id="75" w:name="_Toc421268879"/>
      <w:bookmarkStart w:id="76" w:name="_Toc391983284"/>
      <w:r>
        <w:rPr>
          <w:rStyle w:val="SingleTxtGChar"/>
        </w:rPr>
        <w:t>A.</w:t>
      </w:r>
      <w:r>
        <w:rPr>
          <w:rStyle w:val="SingleTxtGChar"/>
        </w:rPr>
        <w:tab/>
      </w:r>
      <w:r w:rsidR="00BE07CA">
        <w:t>Information contained in national communications from Parties not included in Annex I to the Convention</w:t>
      </w:r>
      <w:bookmarkEnd w:id="71"/>
      <w:bookmarkEnd w:id="72"/>
      <w:bookmarkEnd w:id="73"/>
    </w:p>
    <w:p w14:paraId="5806302F" w14:textId="77777777" w:rsidR="00BE07CA" w:rsidRDefault="00BE07CA" w:rsidP="00BE07CA">
      <w:pPr>
        <w:pStyle w:val="SingleTxtG"/>
        <w:spacing w:after="240"/>
      </w:pPr>
      <w:r>
        <w:t xml:space="preserve">(Agenda sub-item 4(a) </w:t>
      </w:r>
      <w:r>
        <w:rPr>
          <w:i/>
        </w:rPr>
        <w:t>held in abeyance</w:t>
      </w:r>
      <w:bookmarkEnd w:id="74"/>
      <w:bookmarkEnd w:id="75"/>
      <w:bookmarkEnd w:id="76"/>
      <w:r>
        <w:t>)</w:t>
      </w:r>
    </w:p>
    <w:p w14:paraId="00736E05" w14:textId="30407437" w:rsidR="00BE07CA" w:rsidRDefault="000E0429" w:rsidP="000E0429">
      <w:pPr>
        <w:pStyle w:val="RegH1G"/>
        <w:numPr>
          <w:ilvl w:val="0"/>
          <w:numId w:val="0"/>
        </w:numPr>
        <w:tabs>
          <w:tab w:val="left" w:pos="1135"/>
        </w:tabs>
        <w:spacing w:after="0"/>
        <w:ind w:left="1135" w:hanging="454"/>
        <w:rPr>
          <w:rStyle w:val="SingleTxtGChar"/>
          <w:b w:val="0"/>
          <w:sz w:val="20"/>
        </w:rPr>
      </w:pPr>
      <w:bookmarkStart w:id="77" w:name="_Toc453078757"/>
      <w:r>
        <w:rPr>
          <w:rStyle w:val="SingleTxtGChar"/>
        </w:rPr>
        <w:t>B.</w:t>
      </w:r>
      <w:r>
        <w:rPr>
          <w:rStyle w:val="SingleTxtGChar"/>
        </w:rPr>
        <w:tab/>
      </w:r>
      <w:r w:rsidR="00BE07CA">
        <w:t>Provision of financial and technical support</w:t>
      </w:r>
      <w:bookmarkEnd w:id="77"/>
    </w:p>
    <w:p w14:paraId="6750725B" w14:textId="77777777" w:rsidR="00BE07CA" w:rsidRDefault="00BE07CA" w:rsidP="00BE07CA">
      <w:pPr>
        <w:pStyle w:val="SingleTxtG"/>
        <w:spacing w:after="240"/>
      </w:pPr>
      <w:r>
        <w:t>(Agenda sub-item 4(b))</w:t>
      </w:r>
    </w:p>
    <w:p w14:paraId="14400446" w14:textId="649481B2"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76F0AFFE" w14:textId="1D9B2984" w:rsidR="00BE07CA" w:rsidRPr="00C74F85" w:rsidRDefault="000E0429" w:rsidP="000E0429">
      <w:pPr>
        <w:pStyle w:val="RegSingleTxtG"/>
        <w:numPr>
          <w:ilvl w:val="0"/>
          <w:numId w:val="0"/>
        </w:numPr>
        <w:tabs>
          <w:tab w:val="left" w:pos="568"/>
        </w:tabs>
        <w:ind w:left="1135"/>
      </w:pPr>
      <w:r w:rsidRPr="00C74F85">
        <w:t>29.</w:t>
      </w:r>
      <w:r w:rsidRPr="00C74F85">
        <w:tab/>
      </w:r>
      <w:r w:rsidR="00BE07CA">
        <w:t xml:space="preserve">The SBI considered this agenda sub-item at its </w:t>
      </w:r>
      <w:r w:rsidR="00BE07CA">
        <w:rPr>
          <w:snapToGrid w:val="0"/>
        </w:rPr>
        <w:t>1</w:t>
      </w:r>
      <w:r w:rsidR="00BE07CA">
        <w:rPr>
          <w:snapToGrid w:val="0"/>
          <w:vertAlign w:val="superscript"/>
        </w:rPr>
        <w:t>st</w:t>
      </w:r>
      <w:r w:rsidR="00BE07CA">
        <w:rPr>
          <w:snapToGrid w:val="0"/>
        </w:rPr>
        <w:t xml:space="preserve"> and resumed 3</w:t>
      </w:r>
      <w:r w:rsidR="00BE07CA">
        <w:rPr>
          <w:snapToGrid w:val="0"/>
          <w:vertAlign w:val="superscript"/>
        </w:rPr>
        <w:t>rd</w:t>
      </w:r>
      <w:r w:rsidR="00BE07CA">
        <w:rPr>
          <w:snapToGrid w:val="0"/>
        </w:rPr>
        <w:t xml:space="preserve"> meetings </w:t>
      </w:r>
      <w:r w:rsidR="00BE07CA">
        <w:t xml:space="preserve">and had before it </w:t>
      </w:r>
      <w:r w:rsidR="00BE07CA" w:rsidRPr="00C74F85">
        <w:t xml:space="preserve">document FCCC/SBI/2016/INF.2. </w:t>
      </w:r>
      <w:r w:rsidR="00BE07CA" w:rsidRPr="00C74F85">
        <w:rPr>
          <w:lang w:val="en-CA"/>
        </w:rPr>
        <w:t xml:space="preserve">Representatives of 10 Parties made statements, including one on behalf of the EU. </w:t>
      </w:r>
      <w:r w:rsidR="00BE07CA" w:rsidRPr="00C74F85">
        <w:t>At the 1</w:t>
      </w:r>
      <w:r w:rsidR="00BE07CA" w:rsidRPr="00C74F85">
        <w:rPr>
          <w:vertAlign w:val="superscript"/>
        </w:rPr>
        <w:t>st</w:t>
      </w:r>
      <w:r w:rsidR="00BE07CA" w:rsidRPr="00C74F85">
        <w:t xml:space="preserve"> meeting, the Chair invited a representative of the Global Environment Facility (GEF) to make a statement.</w:t>
      </w:r>
      <w:r w:rsidR="00BE07CA" w:rsidRPr="00C74F85">
        <w:rPr>
          <w:sz w:val="18"/>
          <w:vertAlign w:val="superscript"/>
        </w:rPr>
        <w:footnoteReference w:id="20"/>
      </w:r>
      <w:r w:rsidR="00BE07CA" w:rsidRPr="00C74F85">
        <w:t xml:space="preserve"> At the same meeting, the Chair proposed to prepare draft conclusions on this sub-item in consultation with interested Parties. </w:t>
      </w:r>
    </w:p>
    <w:p w14:paraId="0A9C96D1" w14:textId="0CBF2FD8" w:rsidR="00BE07CA" w:rsidRDefault="000E0429" w:rsidP="000E0429">
      <w:pPr>
        <w:pStyle w:val="RegSingleTxtG"/>
        <w:numPr>
          <w:ilvl w:val="0"/>
          <w:numId w:val="0"/>
        </w:numPr>
        <w:tabs>
          <w:tab w:val="left" w:pos="568"/>
        </w:tabs>
        <w:ind w:left="1135"/>
      </w:pPr>
      <w:r>
        <w:t>30.</w:t>
      </w:r>
      <w:r>
        <w:tab/>
      </w:r>
      <w:r w:rsidR="00BE07CA" w:rsidRPr="00C74F85">
        <w:t xml:space="preserve">At its resumed </w:t>
      </w:r>
      <w:r w:rsidR="00BE07CA" w:rsidRPr="00C74F85">
        <w:rPr>
          <w:snapToGrid w:val="0"/>
        </w:rPr>
        <w:t>3</w:t>
      </w:r>
      <w:r w:rsidR="00BE07CA" w:rsidRPr="00C74F85">
        <w:rPr>
          <w:snapToGrid w:val="0"/>
          <w:vertAlign w:val="superscript"/>
        </w:rPr>
        <w:t>rd</w:t>
      </w:r>
      <w:r w:rsidR="00BE07CA" w:rsidRPr="00C74F85">
        <w:rPr>
          <w:snapToGrid w:val="0"/>
        </w:rPr>
        <w:t xml:space="preserve"> meeting</w:t>
      </w:r>
      <w:r w:rsidR="00BE07CA" w:rsidRPr="00C74F85">
        <w:t>, in response to an exchange of views by several Parties after one Party raised a concern,</w:t>
      </w:r>
      <w:r w:rsidR="00BE07CA" w:rsidRPr="00C74F85">
        <w:rPr>
          <w:sz w:val="18"/>
          <w:vertAlign w:val="superscript"/>
        </w:rPr>
        <w:footnoteReference w:id="21"/>
      </w:r>
      <w:r w:rsidR="00BE07CA" w:rsidRPr="00C74F85">
        <w:t xml:space="preserve"> the Chair acknowledged the work of the GEF in </w:t>
      </w:r>
      <w:r w:rsidR="00BE07CA" w:rsidRPr="00C74F85">
        <w:lastRenderedPageBreak/>
        <w:t>providing support and funding to Parties not included in Annex I to the Convention (non-Annex I Parties) for the preparation of multiple reports under the Convention, referred to in the conclusions under this sub-item, and encouraged non-Annex I Parties that have not done so to apply for</w:t>
      </w:r>
      <w:r w:rsidR="00BE07CA" w:rsidRPr="00C74F85">
        <w:rPr>
          <w:i/>
          <w:sz w:val="22"/>
          <w:szCs w:val="22"/>
        </w:rPr>
        <w:t xml:space="preserve"> </w:t>
      </w:r>
      <w:r w:rsidR="00BE07CA" w:rsidRPr="00C74F85">
        <w:t>such financial support. The Chair invited the</w:t>
      </w:r>
      <w:r w:rsidR="00BE07CA">
        <w:t xml:space="preserve"> GEF to cooperatively work with all recipient</w:t>
      </w:r>
      <w:r w:rsidR="00BE07CA">
        <w:rPr>
          <w:i/>
          <w:sz w:val="22"/>
          <w:szCs w:val="22"/>
        </w:rPr>
        <w:t xml:space="preserve"> </w:t>
      </w:r>
      <w:r w:rsidR="00BE07CA">
        <w:t>countries in order to</w:t>
      </w:r>
      <w:r w:rsidR="00BE07CA">
        <w:rPr>
          <w:i/>
          <w:sz w:val="22"/>
          <w:szCs w:val="22"/>
        </w:rPr>
        <w:t xml:space="preserve"> </w:t>
      </w:r>
      <w:r w:rsidR="00BE07CA">
        <w:t>ensure their effective access to GEF financial resources so the requests of Parties can be addressed in an appropriate and timely manner. At the same meeting, the SBI considered and adopted the conclusions below.</w:t>
      </w:r>
      <w:r w:rsidR="00BE07CA">
        <w:rPr>
          <w:sz w:val="18"/>
          <w:vertAlign w:val="superscript"/>
        </w:rPr>
        <w:footnoteReference w:id="22"/>
      </w:r>
      <w:r w:rsidR="00BE07CA">
        <w:t xml:space="preserve"> </w:t>
      </w:r>
    </w:p>
    <w:p w14:paraId="345286D9" w14:textId="33C44CB3"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5D0C1224" w14:textId="65381681" w:rsidR="00BE07CA" w:rsidRDefault="000E0429" w:rsidP="000E0429">
      <w:pPr>
        <w:pStyle w:val="RegSingleTxtG"/>
        <w:numPr>
          <w:ilvl w:val="0"/>
          <w:numId w:val="0"/>
        </w:numPr>
        <w:tabs>
          <w:tab w:val="left" w:pos="568"/>
        </w:tabs>
        <w:ind w:left="1135"/>
      </w:pPr>
      <w:r>
        <w:t>31.</w:t>
      </w:r>
      <w:r>
        <w:tab/>
      </w:r>
      <w:r w:rsidR="00BE07CA">
        <w:t>The SBI welcomed the information provided by the GEF secretariat on the financial support provided by the GEF for the preparation of biennial update reports (BURs) by non-Annex I Parties.</w:t>
      </w:r>
      <w:r w:rsidR="00BE07CA">
        <w:rPr>
          <w:rStyle w:val="FootnoteReference"/>
        </w:rPr>
        <w:footnoteReference w:id="23"/>
      </w:r>
    </w:p>
    <w:p w14:paraId="3320CAB7" w14:textId="5DFA450E" w:rsidR="00BE07CA" w:rsidRDefault="000E0429" w:rsidP="000E0429">
      <w:pPr>
        <w:pStyle w:val="RegSingleTxtG"/>
        <w:numPr>
          <w:ilvl w:val="0"/>
          <w:numId w:val="0"/>
        </w:numPr>
        <w:tabs>
          <w:tab w:val="left" w:pos="568"/>
        </w:tabs>
        <w:ind w:left="1135"/>
      </w:pPr>
      <w:r>
        <w:t>32.</w:t>
      </w:r>
      <w:r>
        <w:tab/>
      </w:r>
      <w:r w:rsidR="00BE07CA">
        <w:t>The SBI invited the GEF to continue to provide detailed information on its activities relating to the preparation of BURs, including the dates of requests for funding, approval of funding and disbursement of funds and the approximate date of submission of BURs to the secretariat, for consideration at SBI 45.</w:t>
      </w:r>
    </w:p>
    <w:p w14:paraId="0C0DADF1" w14:textId="797022F7" w:rsidR="00BE07CA" w:rsidRDefault="000E0429" w:rsidP="000E0429">
      <w:pPr>
        <w:pStyle w:val="RegSingleTxtG"/>
        <w:numPr>
          <w:ilvl w:val="0"/>
          <w:numId w:val="0"/>
        </w:numPr>
        <w:tabs>
          <w:tab w:val="left" w:pos="568"/>
        </w:tabs>
        <w:ind w:left="1135"/>
      </w:pPr>
      <w:r>
        <w:t>33.</w:t>
      </w:r>
      <w:r>
        <w:tab/>
      </w:r>
      <w:r w:rsidR="00BE07CA">
        <w:t>The SBI noted that, as at 16 May 2016, 32 non-Annex I Parties had submitted their first BUR and that a further 11 non-Annex I Parties are expected to submit theirs by 31 December 2016.</w:t>
      </w:r>
    </w:p>
    <w:p w14:paraId="03D6B9C4" w14:textId="629E9968" w:rsidR="00BE07CA" w:rsidRDefault="000E0429" w:rsidP="000E0429">
      <w:pPr>
        <w:pStyle w:val="RegSingleTxtG"/>
        <w:numPr>
          <w:ilvl w:val="0"/>
          <w:numId w:val="0"/>
        </w:numPr>
        <w:tabs>
          <w:tab w:val="left" w:pos="568"/>
        </w:tabs>
        <w:ind w:left="1135"/>
      </w:pPr>
      <w:r>
        <w:t>34.</w:t>
      </w:r>
      <w:r>
        <w:tab/>
      </w:r>
      <w:r w:rsidR="00BE07CA">
        <w:t>It also noted that, as at 16 May 2016, the GEF secretariat had received and processed a total of 92 requests for funding from non-Annex I Parties to prepare their first BURs. Five of those requests were received after the initial deadline for submission of the first BURs in December 2014. The GEF has also received 12 requests from non-Annex I Parties for funding for the preparation of their second BURs; four such BURs are expected to be submitted by 31 December 2016.</w:t>
      </w:r>
    </w:p>
    <w:p w14:paraId="5FA1450E" w14:textId="4C834298" w:rsidR="00BE07CA" w:rsidRPr="00C74F85" w:rsidRDefault="000E0429" w:rsidP="000E0429">
      <w:pPr>
        <w:pStyle w:val="RegSingleTxtG"/>
        <w:numPr>
          <w:ilvl w:val="0"/>
          <w:numId w:val="0"/>
        </w:numPr>
        <w:tabs>
          <w:tab w:val="left" w:pos="568"/>
        </w:tabs>
        <w:ind w:left="1135"/>
      </w:pPr>
      <w:r w:rsidRPr="00C74F85">
        <w:t>35.</w:t>
      </w:r>
      <w:r w:rsidRPr="00C74F85">
        <w:tab/>
      </w:r>
      <w:r w:rsidR="00BE07CA" w:rsidRPr="00C74F85">
        <w:t>The SBI further noted that, as at 24 May 2016, there were many outstanding submissions of BURs from non-Annex I Parties, while recognizing the challenges that non-Annex I Parties face in submitting their BURs in a timely manner. It recalled decision 2/CP.17, paragraph 41(a), which states that non-Annex I Parties, consistent with their capabilities and the level of support provided for reporting, should submit their first BURs by December 2014. It encouraged non-Annex I Parties that have not yet completed and submitted their first BUR to do so as soon as possible.</w:t>
      </w:r>
    </w:p>
    <w:p w14:paraId="48E31469" w14:textId="26A2BEED" w:rsidR="00BE07CA" w:rsidRDefault="000E0429" w:rsidP="000E0429">
      <w:pPr>
        <w:pStyle w:val="RegSingleTxtG"/>
        <w:numPr>
          <w:ilvl w:val="0"/>
          <w:numId w:val="0"/>
        </w:numPr>
        <w:tabs>
          <w:tab w:val="left" w:pos="568"/>
        </w:tabs>
        <w:ind w:left="1135"/>
      </w:pPr>
      <w:r>
        <w:t>36.</w:t>
      </w:r>
      <w:r>
        <w:tab/>
      </w:r>
      <w:r w:rsidR="00BE07CA">
        <w:t>Recalling decision 2/CP.17, the SBI reiterated its urging</w:t>
      </w:r>
      <w:r w:rsidR="00BE07CA">
        <w:rPr>
          <w:rStyle w:val="FootnoteReference"/>
        </w:rPr>
        <w:footnoteReference w:id="24"/>
      </w:r>
      <w:r w:rsidR="00BE07CA">
        <w:t xml:space="preserve"> of the non-Annex I Parties that have yet to submit their request to the GEF for support for the preparation of their first BUR to do so in a timely manner. In addition, it encouraged the GEF agencies to continue to facilitate the preparation and submission of project proposals by non-Annex I Parties for the preparation of their BURs and to respond to the project proposals.</w:t>
      </w:r>
    </w:p>
    <w:p w14:paraId="4A92D051" w14:textId="50820265" w:rsidR="00BE07CA" w:rsidRDefault="000E0429" w:rsidP="000E0429">
      <w:pPr>
        <w:pStyle w:val="RegSingleTxtG"/>
        <w:numPr>
          <w:ilvl w:val="0"/>
          <w:numId w:val="0"/>
        </w:numPr>
        <w:tabs>
          <w:tab w:val="left" w:pos="568"/>
        </w:tabs>
        <w:ind w:left="1135"/>
      </w:pPr>
      <w:r>
        <w:t>37.</w:t>
      </w:r>
      <w:r>
        <w:tab/>
      </w:r>
      <w:r w:rsidR="00BE07CA">
        <w:t>The SBI recalled the information provided by the GEF in its report to COP 21</w:t>
      </w:r>
      <w:r w:rsidR="00BE07CA">
        <w:rPr>
          <w:rStyle w:val="FootnoteReference"/>
        </w:rPr>
        <w:footnoteReference w:id="25"/>
      </w:r>
      <w:r w:rsidR="00BE07CA">
        <w:t xml:space="preserve"> on the procedures available to facilitate access by non-Annex I Parties to funding for the preparation of their national communications and multiple BURs within one application. Noting that 13 Parties have successfully utilized that facilitated procedure, the SBI encouraged all non-Annex I Parties to consider applying for funding for the preparation of multiple reports within one application, and requested GEF agencies to respond to such requests in a timely manner.</w:t>
      </w:r>
    </w:p>
    <w:p w14:paraId="7D4E9AE6" w14:textId="57256434" w:rsidR="00BE07CA" w:rsidRDefault="000E0429" w:rsidP="000E0429">
      <w:pPr>
        <w:pStyle w:val="RegSingleTxtG"/>
        <w:numPr>
          <w:ilvl w:val="0"/>
          <w:numId w:val="0"/>
        </w:numPr>
        <w:tabs>
          <w:tab w:val="left" w:pos="568"/>
        </w:tabs>
        <w:ind w:left="1135"/>
      </w:pPr>
      <w:r>
        <w:lastRenderedPageBreak/>
        <w:t>38.</w:t>
      </w:r>
      <w:r>
        <w:tab/>
      </w:r>
      <w:r w:rsidR="00BE07CA">
        <w:t>The SBI welcomed the information provided by the GEF on its Global Support Programme for Preparation of National Communications and Biennial Update Reports by non-Annex I Parties,</w:t>
      </w:r>
      <w:r w:rsidR="00BE07CA">
        <w:rPr>
          <w:rStyle w:val="FootnoteReference"/>
        </w:rPr>
        <w:footnoteReference w:id="26"/>
      </w:r>
      <w:r w:rsidR="00BE07CA">
        <w:t xml:space="preserve"> especially regarding the development and implementation of its 2016 work programme. The SBI encouraged non-Annex I Parties to take advantage of the opportunities for technical assistance and support available under the Global Support Programme.</w:t>
      </w:r>
    </w:p>
    <w:p w14:paraId="4B9963D6" w14:textId="26A9B22E" w:rsidR="00BE07CA" w:rsidRDefault="000E0429" w:rsidP="000E0429">
      <w:pPr>
        <w:pStyle w:val="RegSingleTxtG"/>
        <w:numPr>
          <w:ilvl w:val="0"/>
          <w:numId w:val="0"/>
        </w:numPr>
        <w:tabs>
          <w:tab w:val="left" w:pos="568"/>
        </w:tabs>
        <w:ind w:left="1135"/>
      </w:pPr>
      <w:r>
        <w:t>39.</w:t>
      </w:r>
      <w:r>
        <w:tab/>
      </w:r>
      <w:r w:rsidR="00BE07CA">
        <w:t>The SBI noted with appreciation that the GEF had made good progress on the establishment of the Capacity-building Initiative for Transparency as requested at COP 21.</w:t>
      </w:r>
      <w:r w:rsidR="00BE07CA">
        <w:rPr>
          <w:rStyle w:val="FootnoteReference"/>
        </w:rPr>
        <w:footnoteReference w:id="27"/>
      </w:r>
      <w:r w:rsidR="00BE07CA">
        <w:t xml:space="preserve"> It reiterated its request to the GEF to provide further information on this matter in its report to COP 22.</w:t>
      </w:r>
    </w:p>
    <w:p w14:paraId="5697F35D" w14:textId="5EB025DF" w:rsidR="00BE07CA" w:rsidRDefault="000E0429" w:rsidP="000E0429">
      <w:pPr>
        <w:pStyle w:val="RegSingleTxtG"/>
        <w:numPr>
          <w:ilvl w:val="0"/>
          <w:numId w:val="0"/>
        </w:numPr>
        <w:tabs>
          <w:tab w:val="left" w:pos="568"/>
        </w:tabs>
        <w:ind w:left="1135"/>
      </w:pPr>
      <w:r>
        <w:t>40.</w:t>
      </w:r>
      <w:r>
        <w:tab/>
      </w:r>
      <w:r w:rsidR="00BE07CA">
        <w:t>The SBI recognized the contribution made by the Consultative Group of Experts on National Communications from Parties not included in Annex I to the Convention (CGE) in providing technical support to non-Annex I Parties, and urged developed country Parties included in Annex II to the Convention and other developed country Parties in a position to do so to provide financial resources for the implementation of the CGE work programme.</w:t>
      </w:r>
      <w:r w:rsidR="00BE07CA">
        <w:rPr>
          <w:rStyle w:val="FootnoteReference"/>
        </w:rPr>
        <w:footnoteReference w:id="28"/>
      </w:r>
    </w:p>
    <w:p w14:paraId="1E6022D6" w14:textId="5CC723AA" w:rsidR="00BE07CA" w:rsidRDefault="000E0429" w:rsidP="000E0429">
      <w:pPr>
        <w:pStyle w:val="RegSingleTxtG"/>
        <w:numPr>
          <w:ilvl w:val="0"/>
          <w:numId w:val="0"/>
        </w:numPr>
        <w:tabs>
          <w:tab w:val="left" w:pos="568"/>
        </w:tabs>
        <w:ind w:left="1135"/>
      </w:pPr>
      <w:r>
        <w:t>41.</w:t>
      </w:r>
      <w:r>
        <w:tab/>
      </w:r>
      <w:r w:rsidR="00BE07CA">
        <w:t>The SBI, recalling the request</w:t>
      </w:r>
      <w:r w:rsidR="00BE07CA">
        <w:rPr>
          <w:rStyle w:val="FootnoteReference"/>
        </w:rPr>
        <w:footnoteReference w:id="29"/>
      </w:r>
      <w:r w:rsidR="00BE07CA">
        <w:t xml:space="preserve"> of non-Annex I Parties for further technical support aimed at improving their domestic capacity to facilitate continuity in meeting their reporting requirements, also urged developed country Parties included in Annex II to the Convention and other developed country Parties in a position to do so to provide financial resources for the secretariat to implement the activities referred to in the conclusions of SBI 42.</w:t>
      </w:r>
      <w:r w:rsidR="00BE07CA">
        <w:rPr>
          <w:rStyle w:val="FootnoteReference"/>
        </w:rPr>
        <w:footnoteReference w:id="30"/>
      </w:r>
      <w:r w:rsidR="00BE07CA">
        <w:t xml:space="preserve"> It noted that such activities support non-Annex I Parties in building their transparency-related capacity, and requested the secretariat to report at SBI 45 on the progress made in this regard, including on relevant regional workshops held in 2016.</w:t>
      </w:r>
    </w:p>
    <w:p w14:paraId="69251C5E" w14:textId="367B62FB" w:rsidR="00BE07CA" w:rsidRDefault="000E0429" w:rsidP="000E0429">
      <w:pPr>
        <w:pStyle w:val="RegH1G"/>
        <w:numPr>
          <w:ilvl w:val="0"/>
          <w:numId w:val="0"/>
        </w:numPr>
        <w:tabs>
          <w:tab w:val="left" w:pos="1135"/>
        </w:tabs>
        <w:spacing w:after="0"/>
        <w:ind w:left="1135" w:hanging="454"/>
        <w:rPr>
          <w:rStyle w:val="SingleTxtGChar"/>
          <w:b w:val="0"/>
          <w:sz w:val="20"/>
        </w:rPr>
      </w:pPr>
      <w:bookmarkStart w:id="78" w:name="_Toc453078758"/>
      <w:r>
        <w:rPr>
          <w:rStyle w:val="SingleTxtGChar"/>
        </w:rPr>
        <w:t>C.</w:t>
      </w:r>
      <w:r>
        <w:rPr>
          <w:rStyle w:val="SingleTxtGChar"/>
        </w:rPr>
        <w:tab/>
      </w:r>
      <w:r w:rsidR="00BE07CA">
        <w:t>Summary reports on the technical analysis of biennial update reports of Parties not included in Annex I to the Convention</w:t>
      </w:r>
      <w:bookmarkEnd w:id="78"/>
    </w:p>
    <w:p w14:paraId="4FBE3DEE" w14:textId="77777777" w:rsidR="00BE07CA" w:rsidRDefault="00BE07CA" w:rsidP="00BE07CA">
      <w:pPr>
        <w:pStyle w:val="SingleTxtG"/>
        <w:keepNext/>
        <w:keepLines/>
        <w:spacing w:after="240"/>
      </w:pPr>
      <w:r>
        <w:t>(Agenda sub-item 4(c))</w:t>
      </w:r>
    </w:p>
    <w:p w14:paraId="505AAFFF" w14:textId="77777777" w:rsidR="00BE07CA" w:rsidRDefault="00BE07CA" w:rsidP="000E0429">
      <w:pPr>
        <w:pStyle w:val="RegH23G"/>
        <w:numPr>
          <w:ilvl w:val="0"/>
          <w:numId w:val="0"/>
        </w:numPr>
        <w:ind w:left="1135" w:hanging="454"/>
      </w:pPr>
      <w:r>
        <w:t>Proceedings</w:t>
      </w:r>
    </w:p>
    <w:p w14:paraId="421EAFFD" w14:textId="5F03F92F" w:rsidR="00BE07CA" w:rsidRDefault="000E0429" w:rsidP="000E0429">
      <w:pPr>
        <w:pStyle w:val="RegSingleTxtG"/>
        <w:numPr>
          <w:ilvl w:val="0"/>
          <w:numId w:val="0"/>
        </w:numPr>
        <w:tabs>
          <w:tab w:val="left" w:pos="568"/>
        </w:tabs>
        <w:ind w:left="1135"/>
        <w:rPr>
          <w:lang w:val="en-US"/>
        </w:rPr>
      </w:pPr>
      <w:r>
        <w:rPr>
          <w:lang w:val="en-US"/>
        </w:rPr>
        <w:t>42.</w:t>
      </w:r>
      <w:r>
        <w:rPr>
          <w:lang w:val="en-US"/>
        </w:rPr>
        <w:tab/>
      </w:r>
      <w:r w:rsidR="00BE07CA">
        <w:t xml:space="preserve">The SBI considered this agenda sub-item at its </w:t>
      </w:r>
      <w:r w:rsidR="00BE07CA">
        <w:rPr>
          <w:snapToGrid w:val="0"/>
        </w:rPr>
        <w:t>1</w:t>
      </w:r>
      <w:r w:rsidR="00BE07CA">
        <w:rPr>
          <w:snapToGrid w:val="0"/>
          <w:vertAlign w:val="superscript"/>
        </w:rPr>
        <w:t>st</w:t>
      </w:r>
      <w:r w:rsidR="00BE07CA">
        <w:rPr>
          <w:snapToGrid w:val="0"/>
        </w:rPr>
        <w:t xml:space="preserve"> meeting. It took note of the nine summary reports made available so far on the UNFCCC website in the period from 18 December 2015 to 29 February 2016</w:t>
      </w:r>
      <w:r w:rsidR="00BE07CA">
        <w:rPr>
          <w:lang w:val="en-US"/>
        </w:rPr>
        <w:t>.</w:t>
      </w:r>
      <w:r w:rsidR="00BE07CA">
        <w:rPr>
          <w:sz w:val="18"/>
          <w:vertAlign w:val="superscript"/>
        </w:rPr>
        <w:footnoteReference w:id="31"/>
      </w:r>
    </w:p>
    <w:p w14:paraId="2E525B65" w14:textId="570E50C5" w:rsidR="00BE07CA" w:rsidRPr="008F2D4F" w:rsidRDefault="000E0429" w:rsidP="000E0429">
      <w:pPr>
        <w:pStyle w:val="RegHChG"/>
        <w:numPr>
          <w:ilvl w:val="0"/>
          <w:numId w:val="0"/>
        </w:numPr>
        <w:tabs>
          <w:tab w:val="left" w:pos="1135"/>
        </w:tabs>
        <w:spacing w:after="0"/>
        <w:ind w:left="1135" w:hanging="454"/>
        <w:rPr>
          <w:lang w:eastAsia="en-US"/>
        </w:rPr>
      </w:pPr>
      <w:bookmarkStart w:id="79" w:name="_Toc453078759"/>
      <w:bookmarkStart w:id="80" w:name="_Toc435527344"/>
      <w:bookmarkStart w:id="81" w:name="_Toc435526663"/>
      <w:bookmarkStart w:id="82" w:name="_Toc406647778"/>
      <w:bookmarkStart w:id="83" w:name="_Toc421881688"/>
      <w:bookmarkStart w:id="84" w:name="_Toc421268881"/>
      <w:r w:rsidRPr="008F2D4F">
        <w:rPr>
          <w:lang w:eastAsia="en-US"/>
        </w:rPr>
        <w:lastRenderedPageBreak/>
        <w:t>V.</w:t>
      </w:r>
      <w:r w:rsidRPr="008F2D4F">
        <w:rPr>
          <w:lang w:eastAsia="en-US"/>
        </w:rPr>
        <w:tab/>
      </w:r>
      <w:r w:rsidR="00BE07CA" w:rsidRPr="008F2D4F">
        <w:t>Development of modalities and procedures for the operation and use of a public registry referred to in Article 4, paragraph 12, of the Paris Agreement</w:t>
      </w:r>
      <w:bookmarkEnd w:id="79"/>
    </w:p>
    <w:p w14:paraId="28890D68" w14:textId="77777777" w:rsidR="00BE07CA" w:rsidRDefault="00BE07CA" w:rsidP="003C5590">
      <w:pPr>
        <w:keepNext/>
        <w:spacing w:after="240"/>
        <w:ind w:left="567" w:firstLine="567"/>
      </w:pPr>
      <w:r>
        <w:t>(Agenda item 5)</w:t>
      </w:r>
    </w:p>
    <w:p w14:paraId="2CD40ED9" w14:textId="6A79A07A"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5E4A59EC" w14:textId="1AA5ECC9" w:rsidR="00BE07CA" w:rsidRPr="008F2D4F" w:rsidRDefault="000E0429" w:rsidP="000E0429">
      <w:pPr>
        <w:pStyle w:val="RegSingleTxtG"/>
        <w:numPr>
          <w:ilvl w:val="0"/>
          <w:numId w:val="0"/>
        </w:numPr>
        <w:tabs>
          <w:tab w:val="left" w:pos="568"/>
        </w:tabs>
        <w:ind w:left="1135"/>
        <w:rPr>
          <w:lang w:val="en-US"/>
        </w:rPr>
      </w:pPr>
      <w:r w:rsidRPr="008F2D4F">
        <w:rPr>
          <w:lang w:val="en-US"/>
        </w:rPr>
        <w:t>43.</w:t>
      </w:r>
      <w:r w:rsidRPr="008F2D4F">
        <w:rPr>
          <w:lang w:val="en-US"/>
        </w:rPr>
        <w:tab/>
      </w:r>
      <w:r w:rsidR="00BE07CA" w:rsidRPr="008F2D4F">
        <w:t xml:space="preserve">The SBI considered this agenda item at its </w:t>
      </w:r>
      <w:r w:rsidR="00BE07CA" w:rsidRPr="008F2D4F">
        <w:rPr>
          <w:snapToGrid w:val="0"/>
        </w:rPr>
        <w:t>2</w:t>
      </w:r>
      <w:r w:rsidR="00BE07CA" w:rsidRPr="008F2D4F">
        <w:rPr>
          <w:snapToGrid w:val="0"/>
          <w:vertAlign w:val="superscript"/>
        </w:rPr>
        <w:t>nd</w:t>
      </w:r>
      <w:r w:rsidR="00BE07CA" w:rsidRPr="008F2D4F">
        <w:rPr>
          <w:snapToGrid w:val="0"/>
        </w:rPr>
        <w:t xml:space="preserve"> and resumed 3</w:t>
      </w:r>
      <w:r w:rsidR="00BE07CA" w:rsidRPr="008F2D4F">
        <w:rPr>
          <w:snapToGrid w:val="0"/>
          <w:vertAlign w:val="superscript"/>
        </w:rPr>
        <w:t>rd</w:t>
      </w:r>
      <w:r w:rsidR="00BE07CA" w:rsidRPr="008F2D4F">
        <w:rPr>
          <w:snapToGrid w:val="0"/>
        </w:rPr>
        <w:t xml:space="preserve"> meetings </w:t>
      </w:r>
      <w:r w:rsidR="00BE07CA" w:rsidRPr="008F2D4F">
        <w:t>and had before it document FCCC/SBI/2016/INF.6. A representative of one Party made a statement. At its 2</w:t>
      </w:r>
      <w:r w:rsidR="00BE07CA" w:rsidRPr="008F2D4F">
        <w:rPr>
          <w:vertAlign w:val="superscript"/>
        </w:rPr>
        <w:t>nd</w:t>
      </w:r>
      <w:r w:rsidR="00BE07CA" w:rsidRPr="008F2D4F">
        <w:t xml:space="preserve"> meeting, the SBI agreed to consider the agenda item in informal consultations co-facilitated by </w:t>
      </w:r>
      <w:r w:rsidR="00BE07CA" w:rsidRPr="008F2D4F">
        <w:rPr>
          <w:lang w:val="en-US"/>
        </w:rPr>
        <w:t>Ms. Madeleine Diouf Sarr (Senegal) and Ms. Gertraud Wollansky (Austria)</w:t>
      </w:r>
      <w:r w:rsidR="00BE07CA" w:rsidRPr="008F2D4F">
        <w:t xml:space="preserve">. At its resumed </w:t>
      </w:r>
      <w:r w:rsidR="00BE07CA" w:rsidRPr="008F2D4F">
        <w:rPr>
          <w:snapToGrid w:val="0"/>
        </w:rPr>
        <w:t>3</w:t>
      </w:r>
      <w:r w:rsidR="00BE07CA" w:rsidRPr="008F2D4F">
        <w:rPr>
          <w:snapToGrid w:val="0"/>
          <w:vertAlign w:val="superscript"/>
        </w:rPr>
        <w:t>rd</w:t>
      </w:r>
      <w:r w:rsidR="00BE07CA" w:rsidRPr="008F2D4F">
        <w:rPr>
          <w:snapToGrid w:val="0"/>
        </w:rPr>
        <w:t xml:space="preserve"> meeting</w:t>
      </w:r>
      <w:r w:rsidR="00BE07CA" w:rsidRPr="008F2D4F">
        <w:t>, it considered and adopted the conclusions below, as amended.</w:t>
      </w:r>
      <w:r w:rsidR="00BE07CA" w:rsidRPr="00036531">
        <w:rPr>
          <w:sz w:val="18"/>
          <w:vertAlign w:val="superscript"/>
        </w:rPr>
        <w:footnoteReference w:id="32"/>
      </w:r>
      <w:r w:rsidR="00ED5711">
        <w:t xml:space="preserve"> </w:t>
      </w:r>
    </w:p>
    <w:p w14:paraId="65688A53" w14:textId="7BD7A370" w:rsidR="00BE07CA" w:rsidRPr="008F2D4F" w:rsidRDefault="000E0429" w:rsidP="000E0429">
      <w:pPr>
        <w:pStyle w:val="RegH23G"/>
        <w:numPr>
          <w:ilvl w:val="0"/>
          <w:numId w:val="0"/>
        </w:numPr>
        <w:tabs>
          <w:tab w:val="left" w:pos="1135"/>
        </w:tabs>
        <w:ind w:left="1135" w:hanging="454"/>
      </w:pPr>
      <w:r w:rsidRPr="008F2D4F">
        <w:rPr>
          <w:bCs/>
        </w:rPr>
        <w:t>2.</w:t>
      </w:r>
      <w:r w:rsidRPr="008F2D4F">
        <w:rPr>
          <w:bCs/>
        </w:rPr>
        <w:tab/>
      </w:r>
      <w:r w:rsidR="00BE07CA" w:rsidRPr="008F2D4F">
        <w:t>Conclusions</w:t>
      </w:r>
    </w:p>
    <w:p w14:paraId="768F78F3" w14:textId="428B7A17" w:rsidR="00BE07CA" w:rsidRPr="008F2D4F" w:rsidRDefault="000E0429" w:rsidP="000E0429">
      <w:pPr>
        <w:pStyle w:val="RegSingleTxtG"/>
        <w:numPr>
          <w:ilvl w:val="0"/>
          <w:numId w:val="0"/>
        </w:numPr>
        <w:tabs>
          <w:tab w:val="left" w:pos="568"/>
        </w:tabs>
        <w:ind w:left="1135"/>
      </w:pPr>
      <w:r w:rsidRPr="008F2D4F">
        <w:t>44.</w:t>
      </w:r>
      <w:r w:rsidRPr="008F2D4F">
        <w:tab/>
      </w:r>
      <w:r w:rsidR="00BE07CA" w:rsidRPr="008F2D4F">
        <w:t xml:space="preserve">The SBI initiated its deliberations in accordance with decision 1/CP.21, paragraph 29, referring to Article 4, paragraph 12, of the Paris Agreement. </w:t>
      </w:r>
    </w:p>
    <w:p w14:paraId="79200A92" w14:textId="4B1A1459" w:rsidR="00BE07CA" w:rsidRPr="008F2D4F" w:rsidRDefault="000E0429" w:rsidP="000E0429">
      <w:pPr>
        <w:pStyle w:val="RegSingleTxtG"/>
        <w:numPr>
          <w:ilvl w:val="0"/>
          <w:numId w:val="0"/>
        </w:numPr>
        <w:tabs>
          <w:tab w:val="left" w:pos="568"/>
        </w:tabs>
        <w:ind w:left="1135"/>
      </w:pPr>
      <w:r w:rsidRPr="008F2D4F">
        <w:t>45.</w:t>
      </w:r>
      <w:r w:rsidRPr="008F2D4F">
        <w:tab/>
      </w:r>
      <w:r w:rsidR="00BE07CA" w:rsidRPr="008F2D4F">
        <w:t>The SBI took note of the information provided by the secretariat</w:t>
      </w:r>
      <w:r w:rsidR="00BE07CA" w:rsidRPr="008F2D4F">
        <w:rPr>
          <w:rStyle w:val="FootnoteReference"/>
        </w:rPr>
        <w:footnoteReference w:id="33"/>
      </w:r>
      <w:r w:rsidR="00BE07CA" w:rsidRPr="008F2D4F">
        <w:t xml:space="preserve"> on its approach to developing an interim public registry for nationally determined contributions</w:t>
      </w:r>
      <w:r w:rsidR="00BE07CA" w:rsidRPr="008F2D4F">
        <w:rPr>
          <w:rStyle w:val="FootnoteReference"/>
        </w:rPr>
        <w:footnoteReference w:id="34"/>
      </w:r>
      <w:r w:rsidR="00BE07CA" w:rsidRPr="008F2D4F">
        <w:t xml:space="preserve"> and acknowledged that the secretariat will continue to improve, as appropriate, the interim registry. </w:t>
      </w:r>
    </w:p>
    <w:p w14:paraId="5D426C76" w14:textId="4D3A27EA" w:rsidR="00BE07CA" w:rsidRPr="008F2D4F" w:rsidRDefault="000E0429" w:rsidP="000E0429">
      <w:pPr>
        <w:pStyle w:val="RegSingleTxtG"/>
        <w:numPr>
          <w:ilvl w:val="0"/>
          <w:numId w:val="0"/>
        </w:numPr>
        <w:tabs>
          <w:tab w:val="left" w:pos="568"/>
        </w:tabs>
        <w:ind w:left="1135"/>
      </w:pPr>
      <w:r w:rsidRPr="008F2D4F">
        <w:t>46.</w:t>
      </w:r>
      <w:r w:rsidRPr="008F2D4F">
        <w:tab/>
      </w:r>
      <w:r w:rsidR="00BE07CA" w:rsidRPr="008F2D4F">
        <w:t xml:space="preserve">The SBI also took note of the views exchanged by Parties on the modalities and procedures for the operation and use of the public registry as referred to in decision 1/CP.21, paragraph 29, including on the linkages of its work under this agenda item to the work under SBI 44 agenda item 6, and to the work of the Ad Hoc Working Group on the Paris Agreement (APA). </w:t>
      </w:r>
    </w:p>
    <w:p w14:paraId="5847DA96" w14:textId="7FDFF154" w:rsidR="00BE07CA" w:rsidRDefault="000E0429" w:rsidP="000E0429">
      <w:pPr>
        <w:pStyle w:val="RegSingleTxtG"/>
        <w:numPr>
          <w:ilvl w:val="0"/>
          <w:numId w:val="0"/>
        </w:numPr>
        <w:tabs>
          <w:tab w:val="left" w:pos="568"/>
        </w:tabs>
        <w:spacing w:before="120"/>
        <w:ind w:left="1135"/>
      </w:pPr>
      <w:r>
        <w:t>47.</w:t>
      </w:r>
      <w:r>
        <w:tab/>
      </w:r>
      <w:r w:rsidR="00BE07CA">
        <w:t>The SBI agreed to continue its consideration of this matter at SBI 45.</w:t>
      </w:r>
    </w:p>
    <w:p w14:paraId="57997FA9" w14:textId="63138B9D" w:rsidR="00BE07CA" w:rsidRPr="008F2D4F" w:rsidRDefault="000E0429" w:rsidP="000E0429">
      <w:pPr>
        <w:pStyle w:val="RegHChG"/>
        <w:numPr>
          <w:ilvl w:val="0"/>
          <w:numId w:val="0"/>
        </w:numPr>
        <w:tabs>
          <w:tab w:val="left" w:pos="1135"/>
        </w:tabs>
        <w:spacing w:after="0"/>
        <w:ind w:left="1135" w:hanging="454"/>
        <w:rPr>
          <w:lang w:eastAsia="en-US"/>
        </w:rPr>
      </w:pPr>
      <w:bookmarkStart w:id="85" w:name="_Toc453078760"/>
      <w:r w:rsidRPr="008F2D4F">
        <w:rPr>
          <w:lang w:eastAsia="en-US"/>
        </w:rPr>
        <w:t>VI.</w:t>
      </w:r>
      <w:r w:rsidRPr="008F2D4F">
        <w:rPr>
          <w:lang w:eastAsia="en-US"/>
        </w:rPr>
        <w:tab/>
      </w:r>
      <w:r w:rsidR="00BE07CA" w:rsidRPr="008F2D4F">
        <w:t>Development of modalities and procedures for the operation and use of a public registry referred to in Article 7, paragraph 12, of the Paris Agreement</w:t>
      </w:r>
      <w:bookmarkEnd w:id="85"/>
    </w:p>
    <w:p w14:paraId="36C36810" w14:textId="77777777" w:rsidR="00BE07CA" w:rsidRDefault="00BE07CA" w:rsidP="00BE07CA">
      <w:pPr>
        <w:keepNext/>
        <w:ind w:left="567" w:firstLine="567"/>
      </w:pPr>
      <w:r>
        <w:t>(Agenda item 6)</w:t>
      </w:r>
    </w:p>
    <w:p w14:paraId="017BF659" w14:textId="20EDEFC1"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0BA66138" w14:textId="73871999" w:rsidR="00BE07CA" w:rsidRPr="003875CD" w:rsidRDefault="000E0429" w:rsidP="000E0429">
      <w:pPr>
        <w:pStyle w:val="RegSingleTxtG"/>
        <w:numPr>
          <w:ilvl w:val="0"/>
          <w:numId w:val="0"/>
        </w:numPr>
        <w:tabs>
          <w:tab w:val="left" w:pos="568"/>
        </w:tabs>
        <w:spacing w:before="120"/>
        <w:ind w:left="1135"/>
      </w:pPr>
      <w:r w:rsidRPr="003875CD">
        <w:t>48.</w:t>
      </w:r>
      <w:r w:rsidRPr="003875CD">
        <w:tab/>
      </w:r>
      <w:r w:rsidR="00BE07CA" w:rsidRPr="008F2D4F">
        <w:t xml:space="preserve">The SBI considered this agenda item at its </w:t>
      </w:r>
      <w:r w:rsidR="00BE07CA" w:rsidRPr="003875CD">
        <w:t>2nd and resumed 3rd meetings</w:t>
      </w:r>
      <w:r w:rsidR="00BE07CA" w:rsidRPr="008F2D4F">
        <w:t>. At its 2</w:t>
      </w:r>
      <w:r w:rsidR="00BE07CA" w:rsidRPr="003875CD">
        <w:t>nd</w:t>
      </w:r>
      <w:r w:rsidR="00BE07CA" w:rsidRPr="008F2D4F">
        <w:t xml:space="preserve"> meeting, the SBI agreed to consider the agenda item in informal consultations co-facilitated by </w:t>
      </w:r>
      <w:r w:rsidR="00BE07CA" w:rsidRPr="003875CD">
        <w:t>Mr. Georg Borsting (Norway) and Ms. Diouf Sarr</w:t>
      </w:r>
      <w:r w:rsidR="00BE07CA" w:rsidRPr="008F2D4F">
        <w:t xml:space="preserve">. At its resumed </w:t>
      </w:r>
      <w:r w:rsidR="00BE07CA" w:rsidRPr="003875CD">
        <w:t>3rd meeting</w:t>
      </w:r>
      <w:r w:rsidR="00BE07CA" w:rsidRPr="008F2D4F">
        <w:t>, it considered and adopted the conclusions below.</w:t>
      </w:r>
      <w:r w:rsidR="00BE07CA" w:rsidRPr="003875CD">
        <w:rPr>
          <w:sz w:val="18"/>
          <w:vertAlign w:val="superscript"/>
        </w:rPr>
        <w:footnoteReference w:id="35"/>
      </w:r>
      <w:r w:rsidR="00ED5711">
        <w:t xml:space="preserve"> </w:t>
      </w:r>
    </w:p>
    <w:p w14:paraId="08EC4D42" w14:textId="0EABE544"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6C5C8686" w14:textId="15844731" w:rsidR="00BE07CA" w:rsidRDefault="000E0429" w:rsidP="000E0429">
      <w:pPr>
        <w:pStyle w:val="RegSingleTxtG"/>
        <w:numPr>
          <w:ilvl w:val="0"/>
          <w:numId w:val="0"/>
        </w:numPr>
        <w:tabs>
          <w:tab w:val="left" w:pos="568"/>
        </w:tabs>
        <w:spacing w:before="120"/>
        <w:ind w:left="1135"/>
      </w:pPr>
      <w:r>
        <w:t>49.</w:t>
      </w:r>
      <w:r>
        <w:tab/>
      </w:r>
      <w:r w:rsidR="00BE07CA">
        <w:t>The SBI initiated its consideration of a public registry referred to in Article 7, paragraph 12, of the Paris Agreement.</w:t>
      </w:r>
    </w:p>
    <w:p w14:paraId="34A1A4F3" w14:textId="358A4BA2" w:rsidR="00BE07CA" w:rsidRDefault="000E0429" w:rsidP="000E0429">
      <w:pPr>
        <w:pStyle w:val="RegSingleTxtG"/>
        <w:numPr>
          <w:ilvl w:val="0"/>
          <w:numId w:val="0"/>
        </w:numPr>
        <w:tabs>
          <w:tab w:val="left" w:pos="568"/>
        </w:tabs>
        <w:spacing w:before="120"/>
        <w:ind w:left="1135"/>
      </w:pPr>
      <w:r>
        <w:lastRenderedPageBreak/>
        <w:t>50.</w:t>
      </w:r>
      <w:r>
        <w:tab/>
      </w:r>
      <w:r w:rsidR="00BE07CA">
        <w:t>The SBI took note of the views expressed by Parties during the session on this matter, including on the existing or potential linkages to SBI 44 agenda item 5, the continued work of the secretariat on the interim registry,</w:t>
      </w:r>
      <w:r w:rsidR="00BE07CA">
        <w:rPr>
          <w:rStyle w:val="FootnoteReference"/>
        </w:rPr>
        <w:footnoteReference w:id="36"/>
      </w:r>
      <w:r w:rsidR="00BE07CA">
        <w:t xml:space="preserve"> the web page maintained by the secretariat on undertakings in adaptation planning</w:t>
      </w:r>
      <w:r w:rsidR="00BE07CA">
        <w:rPr>
          <w:rStyle w:val="FootnoteReference"/>
        </w:rPr>
        <w:footnoteReference w:id="37"/>
      </w:r>
      <w:r w:rsidR="00BE07CA">
        <w:t xml:space="preserve"> and the work of the APA.</w:t>
      </w:r>
    </w:p>
    <w:p w14:paraId="3841CD7A" w14:textId="07FDFAC7" w:rsidR="00BE07CA" w:rsidRDefault="000E0429" w:rsidP="000E0429">
      <w:pPr>
        <w:pStyle w:val="RegSingleTxtG"/>
        <w:numPr>
          <w:ilvl w:val="0"/>
          <w:numId w:val="0"/>
        </w:numPr>
        <w:tabs>
          <w:tab w:val="left" w:pos="568"/>
        </w:tabs>
        <w:ind w:left="1135"/>
      </w:pPr>
      <w:r>
        <w:t>51.</w:t>
      </w:r>
      <w:r>
        <w:tab/>
      </w:r>
      <w:r w:rsidR="00BE07CA">
        <w:t>The SBI agreed to continue its consideration of this matter at SBI 45.</w:t>
      </w:r>
    </w:p>
    <w:p w14:paraId="4F749AEF" w14:textId="1392F642" w:rsidR="00BE07CA" w:rsidRDefault="000E0429" w:rsidP="000E0429">
      <w:pPr>
        <w:pStyle w:val="RegHChG"/>
        <w:numPr>
          <w:ilvl w:val="0"/>
          <w:numId w:val="0"/>
        </w:numPr>
        <w:tabs>
          <w:tab w:val="left" w:pos="1135"/>
        </w:tabs>
        <w:spacing w:after="0"/>
        <w:ind w:left="1135" w:hanging="454"/>
        <w:rPr>
          <w:lang w:eastAsia="en-US"/>
        </w:rPr>
      </w:pPr>
      <w:bookmarkStart w:id="86" w:name="_Toc453078761"/>
      <w:r>
        <w:rPr>
          <w:lang w:eastAsia="en-US"/>
        </w:rPr>
        <w:t>VII.</w:t>
      </w:r>
      <w:r>
        <w:rPr>
          <w:lang w:eastAsia="en-US"/>
        </w:rPr>
        <w:tab/>
      </w:r>
      <w:r w:rsidR="00BE07CA">
        <w:rPr>
          <w:lang w:eastAsia="en-US"/>
        </w:rPr>
        <w:t>Matters relating to the mechanisms under the Kyoto Protocol</w:t>
      </w:r>
      <w:bookmarkEnd w:id="80"/>
      <w:bookmarkEnd w:id="81"/>
      <w:bookmarkEnd w:id="82"/>
      <w:bookmarkEnd w:id="86"/>
    </w:p>
    <w:p w14:paraId="4768A5F4" w14:textId="77777777" w:rsidR="00BE07CA" w:rsidRDefault="00BE07CA" w:rsidP="00BE07CA">
      <w:pPr>
        <w:ind w:left="567" w:firstLine="567"/>
      </w:pPr>
      <w:r>
        <w:t>(Agenda item 7)</w:t>
      </w:r>
      <w:bookmarkEnd w:id="83"/>
      <w:bookmarkEnd w:id="84"/>
    </w:p>
    <w:p w14:paraId="14B36765" w14:textId="3F914CDF" w:rsidR="00BE07CA" w:rsidRDefault="000E0429" w:rsidP="000E0429">
      <w:pPr>
        <w:pStyle w:val="RegH1G"/>
        <w:numPr>
          <w:ilvl w:val="0"/>
          <w:numId w:val="0"/>
        </w:numPr>
        <w:tabs>
          <w:tab w:val="left" w:pos="1135"/>
        </w:tabs>
        <w:spacing w:after="0"/>
        <w:ind w:left="1135" w:hanging="454"/>
        <w:rPr>
          <w:lang w:eastAsia="en-US"/>
        </w:rPr>
      </w:pPr>
      <w:bookmarkStart w:id="87" w:name="_Toc453078762"/>
      <w:bookmarkStart w:id="88" w:name="_Toc435527345"/>
      <w:bookmarkStart w:id="89" w:name="_Toc435526664"/>
      <w:bookmarkStart w:id="90" w:name="_Toc406647780"/>
      <w:bookmarkStart w:id="91" w:name="_Toc421268882"/>
      <w:bookmarkStart w:id="92" w:name="_Toc421881689"/>
      <w:r>
        <w:rPr>
          <w:lang w:eastAsia="en-US"/>
        </w:rPr>
        <w:t>A.</w:t>
      </w:r>
      <w:r>
        <w:rPr>
          <w:lang w:eastAsia="en-US"/>
        </w:rPr>
        <w:tab/>
      </w:r>
      <w:r w:rsidR="00BE07CA">
        <w:rPr>
          <w:lang w:eastAsia="en-US"/>
        </w:rPr>
        <w:t>Review of the modalities and procedures for the clean development mechanism</w:t>
      </w:r>
      <w:bookmarkStart w:id="93" w:name="_Toc406647781"/>
      <w:bookmarkEnd w:id="87"/>
      <w:bookmarkEnd w:id="88"/>
      <w:bookmarkEnd w:id="89"/>
      <w:bookmarkEnd w:id="90"/>
    </w:p>
    <w:p w14:paraId="41925ACB" w14:textId="77777777" w:rsidR="00BE07CA" w:rsidRDefault="00BE07CA" w:rsidP="00BE07CA">
      <w:pPr>
        <w:pStyle w:val="SingleTxtG"/>
      </w:pPr>
      <w:r>
        <w:t>(Agenda sub-item 7(a))</w:t>
      </w:r>
      <w:bookmarkEnd w:id="91"/>
      <w:bookmarkEnd w:id="92"/>
      <w:bookmarkEnd w:id="93"/>
    </w:p>
    <w:p w14:paraId="26B1F411" w14:textId="7BD1ED80"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13ECED3F" w14:textId="182919DD" w:rsidR="00BE07CA" w:rsidRPr="008F2D4F" w:rsidRDefault="000E0429" w:rsidP="000E0429">
      <w:pPr>
        <w:pStyle w:val="RegSingleTxtG"/>
        <w:numPr>
          <w:ilvl w:val="0"/>
          <w:numId w:val="0"/>
        </w:numPr>
        <w:tabs>
          <w:tab w:val="left" w:pos="568"/>
        </w:tabs>
        <w:ind w:left="1135"/>
      </w:pPr>
      <w:r w:rsidRPr="008F2D4F">
        <w:t>52.</w:t>
      </w:r>
      <w:r w:rsidRPr="008F2D4F">
        <w:tab/>
      </w:r>
      <w:r w:rsidR="00BE07CA" w:rsidRPr="008F2D4F">
        <w:t xml:space="preserve">The SBI considered this agenda sub-item at its </w:t>
      </w:r>
      <w:r w:rsidR="00BE07CA" w:rsidRPr="008F2D4F">
        <w:rPr>
          <w:snapToGrid w:val="0"/>
        </w:rPr>
        <w:t>1</w:t>
      </w:r>
      <w:r w:rsidR="00BE07CA" w:rsidRPr="008F2D4F">
        <w:rPr>
          <w:snapToGrid w:val="0"/>
          <w:vertAlign w:val="superscript"/>
        </w:rPr>
        <w:t>st</w:t>
      </w:r>
      <w:r w:rsidR="00BE07CA" w:rsidRPr="008F2D4F">
        <w:rPr>
          <w:snapToGrid w:val="0"/>
        </w:rPr>
        <w:t xml:space="preserve"> and 3</w:t>
      </w:r>
      <w:r w:rsidR="00BE07CA" w:rsidRPr="008F2D4F">
        <w:rPr>
          <w:snapToGrid w:val="0"/>
          <w:vertAlign w:val="superscript"/>
        </w:rPr>
        <w:t>rd</w:t>
      </w:r>
      <w:r w:rsidR="00BE07CA" w:rsidRPr="008F2D4F">
        <w:rPr>
          <w:snapToGrid w:val="0"/>
        </w:rPr>
        <w:t xml:space="preserve"> meetings</w:t>
      </w:r>
      <w:r w:rsidR="00BE07CA" w:rsidRPr="008F2D4F">
        <w:t xml:space="preserve">. At its </w:t>
      </w:r>
      <w:r w:rsidR="00BE07CA" w:rsidRPr="008F2D4F">
        <w:rPr>
          <w:snapToGrid w:val="0"/>
        </w:rPr>
        <w:t>1</w:t>
      </w:r>
      <w:r w:rsidR="00BE07CA" w:rsidRPr="008F2D4F">
        <w:rPr>
          <w:snapToGrid w:val="0"/>
          <w:vertAlign w:val="superscript"/>
        </w:rPr>
        <w:t>st</w:t>
      </w:r>
      <w:r w:rsidR="00BE07CA" w:rsidRPr="008F2D4F">
        <w:rPr>
          <w:snapToGrid w:val="0"/>
        </w:rPr>
        <w:t xml:space="preserve"> </w:t>
      </w:r>
      <w:r w:rsidR="00BE07CA" w:rsidRPr="008F2D4F">
        <w:t xml:space="preserve">meeting, the SBI agreed to consider this agenda sub-item in informal consultations co-facilitated by Ms. Karoliina Anttonen (Finland) and Mr. Takalani Rambau (South Africa). At its </w:t>
      </w:r>
      <w:r w:rsidR="00BE07CA" w:rsidRPr="008F2D4F">
        <w:rPr>
          <w:snapToGrid w:val="0"/>
        </w:rPr>
        <w:t>3</w:t>
      </w:r>
      <w:r w:rsidR="00BE07CA" w:rsidRPr="008F2D4F">
        <w:rPr>
          <w:snapToGrid w:val="0"/>
          <w:vertAlign w:val="superscript"/>
        </w:rPr>
        <w:t>rd</w:t>
      </w:r>
      <w:r w:rsidR="00BE07CA" w:rsidRPr="008F2D4F">
        <w:rPr>
          <w:snapToGrid w:val="0"/>
        </w:rPr>
        <w:t xml:space="preserve"> meeting</w:t>
      </w:r>
      <w:r w:rsidR="00BE07CA" w:rsidRPr="008F2D4F">
        <w:t>, the SBI considered and adopted the conclusions below.</w:t>
      </w:r>
      <w:r w:rsidR="00BE07CA" w:rsidRPr="008F2D4F">
        <w:rPr>
          <w:sz w:val="18"/>
          <w:vertAlign w:val="superscript"/>
        </w:rPr>
        <w:footnoteReference w:id="38"/>
      </w:r>
    </w:p>
    <w:p w14:paraId="03563ECA" w14:textId="584CDF8D"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1EB38801" w14:textId="58CD5543" w:rsidR="00BE07CA" w:rsidRDefault="000E0429" w:rsidP="000E0429">
      <w:pPr>
        <w:pStyle w:val="RegSingleTxtG"/>
        <w:numPr>
          <w:ilvl w:val="0"/>
          <w:numId w:val="0"/>
        </w:numPr>
        <w:tabs>
          <w:tab w:val="left" w:pos="568"/>
        </w:tabs>
        <w:ind w:left="1135"/>
      </w:pPr>
      <w:r>
        <w:t>53.</w:t>
      </w:r>
      <w:r>
        <w:tab/>
      </w:r>
      <w:r w:rsidR="00BE07CA">
        <w:t>In accordance with decision 4/CMP.9, the SBI continued its consideration of possible changes to the modalities and procedures for the clean development mechanism (CDM).</w:t>
      </w:r>
    </w:p>
    <w:p w14:paraId="68753FD0" w14:textId="143538B6" w:rsidR="00BE07CA" w:rsidRDefault="000E0429" w:rsidP="000E0429">
      <w:pPr>
        <w:pStyle w:val="RegSingleTxtG"/>
        <w:numPr>
          <w:ilvl w:val="0"/>
          <w:numId w:val="0"/>
        </w:numPr>
        <w:tabs>
          <w:tab w:val="left" w:pos="568"/>
        </w:tabs>
        <w:ind w:left="1135"/>
      </w:pPr>
      <w:r>
        <w:t>54.</w:t>
      </w:r>
      <w:r>
        <w:tab/>
      </w:r>
      <w:r w:rsidR="00BE07CA">
        <w:t>The SBI requested the secretariat to prepare draft provisions containing definitions and/or requirements at a principle level on programmes of activities and roles of designated national authorities to supplement the current CDM modalities and procedures, based on the existing rules adopted by the Executive Board of the CDM.</w:t>
      </w:r>
    </w:p>
    <w:p w14:paraId="751E0A44" w14:textId="5C8923F4" w:rsidR="00BE07CA" w:rsidRDefault="000E0429" w:rsidP="000E0429">
      <w:pPr>
        <w:pStyle w:val="RegSingleTxtG"/>
        <w:numPr>
          <w:ilvl w:val="0"/>
          <w:numId w:val="0"/>
        </w:numPr>
        <w:tabs>
          <w:tab w:val="left" w:pos="568"/>
        </w:tabs>
        <w:ind w:left="1135"/>
      </w:pPr>
      <w:r>
        <w:t>55.</w:t>
      </w:r>
      <w:r>
        <w:tab/>
      </w:r>
      <w:r w:rsidR="00BE07CA">
        <w:t>The SBI noted that there continue to be divergent views on the need for further changes to the CDM modalities and procedures.</w:t>
      </w:r>
      <w:r w:rsidR="00BE07CA">
        <w:rPr>
          <w:rStyle w:val="FootnoteReference"/>
        </w:rPr>
        <w:footnoteReference w:id="39"/>
      </w:r>
      <w:r w:rsidR="00BE07CA">
        <w:t xml:space="preserve"> </w:t>
      </w:r>
    </w:p>
    <w:p w14:paraId="1C7CCEA3" w14:textId="10104DE6" w:rsidR="00BE07CA" w:rsidRDefault="000E0429" w:rsidP="000E0429">
      <w:pPr>
        <w:pStyle w:val="RegSingleTxtG"/>
        <w:numPr>
          <w:ilvl w:val="0"/>
          <w:numId w:val="0"/>
        </w:numPr>
        <w:tabs>
          <w:tab w:val="left" w:pos="568"/>
        </w:tabs>
        <w:ind w:left="1135"/>
      </w:pPr>
      <w:r>
        <w:t>56.</w:t>
      </w:r>
      <w:r>
        <w:tab/>
      </w:r>
      <w:r w:rsidR="00BE07CA">
        <w:t xml:space="preserve">The SBI agreed to continue its consideration of this agenda sub-item at SBI 45 with a view to concluding it at that session. </w:t>
      </w:r>
    </w:p>
    <w:p w14:paraId="7B100752" w14:textId="11521AF3" w:rsidR="00BE07CA" w:rsidRDefault="000E0429" w:rsidP="000E0429">
      <w:pPr>
        <w:pStyle w:val="RegH1G"/>
        <w:numPr>
          <w:ilvl w:val="0"/>
          <w:numId w:val="0"/>
        </w:numPr>
        <w:tabs>
          <w:tab w:val="left" w:pos="1135"/>
        </w:tabs>
        <w:spacing w:after="0"/>
        <w:ind w:left="1135" w:hanging="454"/>
      </w:pPr>
      <w:bookmarkStart w:id="94" w:name="_Toc453078763"/>
      <w:bookmarkStart w:id="95" w:name="_Toc435527346"/>
      <w:bookmarkStart w:id="96" w:name="_Toc435526665"/>
      <w:bookmarkStart w:id="97" w:name="_Toc421881690"/>
      <w:bookmarkStart w:id="98" w:name="_Toc421268883"/>
      <w:bookmarkStart w:id="99" w:name="_Toc406647782"/>
      <w:r>
        <w:t>B.</w:t>
      </w:r>
      <w:r>
        <w:tab/>
      </w:r>
      <w:r w:rsidR="00BE07CA">
        <w:rPr>
          <w:lang w:eastAsia="en-US"/>
        </w:rPr>
        <w:t>Review of the joint implementation guidelines</w:t>
      </w:r>
      <w:bookmarkEnd w:id="94"/>
      <w:bookmarkEnd w:id="95"/>
      <w:bookmarkEnd w:id="96"/>
    </w:p>
    <w:p w14:paraId="30F5D943" w14:textId="77777777" w:rsidR="00BE07CA" w:rsidRDefault="00BE07CA" w:rsidP="00BE07CA">
      <w:pPr>
        <w:pStyle w:val="SingleTxtG"/>
      </w:pPr>
      <w:r>
        <w:t>(Agenda sub-item 7(b))</w:t>
      </w:r>
      <w:bookmarkEnd w:id="97"/>
      <w:bookmarkEnd w:id="98"/>
      <w:bookmarkEnd w:id="99"/>
    </w:p>
    <w:p w14:paraId="629CBE92" w14:textId="4FC69BC1"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3247E213" w14:textId="14CE7762" w:rsidR="00BE07CA" w:rsidRPr="008F2D4F" w:rsidRDefault="000E0429" w:rsidP="000E0429">
      <w:pPr>
        <w:pStyle w:val="RegSingleTxtG"/>
        <w:numPr>
          <w:ilvl w:val="0"/>
          <w:numId w:val="0"/>
        </w:numPr>
        <w:tabs>
          <w:tab w:val="left" w:pos="568"/>
        </w:tabs>
        <w:ind w:left="1135"/>
      </w:pPr>
      <w:r w:rsidRPr="008F2D4F">
        <w:t>57.</w:t>
      </w:r>
      <w:r w:rsidRPr="008F2D4F">
        <w:tab/>
      </w:r>
      <w:r w:rsidR="00BE07CA" w:rsidRPr="008F2D4F">
        <w:t xml:space="preserve">The SBI considered this agenda sub-item at its </w:t>
      </w:r>
      <w:r w:rsidR="00BE07CA" w:rsidRPr="008F2D4F">
        <w:rPr>
          <w:snapToGrid w:val="0"/>
        </w:rPr>
        <w:t>1</w:t>
      </w:r>
      <w:r w:rsidR="00BE07CA" w:rsidRPr="008F2D4F">
        <w:rPr>
          <w:snapToGrid w:val="0"/>
          <w:vertAlign w:val="superscript"/>
        </w:rPr>
        <w:t>st</w:t>
      </w:r>
      <w:r w:rsidR="00BE07CA" w:rsidRPr="008F2D4F">
        <w:rPr>
          <w:snapToGrid w:val="0"/>
        </w:rPr>
        <w:t xml:space="preserve"> and 3</w:t>
      </w:r>
      <w:r w:rsidR="00BE07CA" w:rsidRPr="008F2D4F">
        <w:rPr>
          <w:snapToGrid w:val="0"/>
          <w:vertAlign w:val="superscript"/>
        </w:rPr>
        <w:t>rd</w:t>
      </w:r>
      <w:r w:rsidR="00BE07CA" w:rsidRPr="008F2D4F">
        <w:rPr>
          <w:snapToGrid w:val="0"/>
        </w:rPr>
        <w:t xml:space="preserve"> meetings and had before it documents FCCC/SBI/2016/INF.7 and FCCC/SBI/2016/INF.8</w:t>
      </w:r>
      <w:r w:rsidR="00BE07CA" w:rsidRPr="008F2D4F">
        <w:t xml:space="preserve">. At its </w:t>
      </w:r>
      <w:r w:rsidR="00BE07CA" w:rsidRPr="008F2D4F">
        <w:rPr>
          <w:snapToGrid w:val="0"/>
        </w:rPr>
        <w:t>1</w:t>
      </w:r>
      <w:r w:rsidR="00BE07CA" w:rsidRPr="008F2D4F">
        <w:rPr>
          <w:snapToGrid w:val="0"/>
          <w:vertAlign w:val="superscript"/>
        </w:rPr>
        <w:t>st</w:t>
      </w:r>
      <w:r w:rsidR="00BE07CA" w:rsidRPr="008F2D4F">
        <w:rPr>
          <w:snapToGrid w:val="0"/>
        </w:rPr>
        <w:t xml:space="preserve"> </w:t>
      </w:r>
      <w:r w:rsidR="00BE07CA" w:rsidRPr="008F2D4F">
        <w:t xml:space="preserve">meeting, the SBI </w:t>
      </w:r>
      <w:r w:rsidR="00BE07CA" w:rsidRPr="008F2D4F">
        <w:lastRenderedPageBreak/>
        <w:t>agreed to consider this agenda sub-item in informal consultations co-facilitated by Mr. Gerald Lindo (Jamaica) and Mr. Dimitar Nikov (France). At its 3</w:t>
      </w:r>
      <w:r w:rsidR="00BE07CA" w:rsidRPr="008F2D4F">
        <w:rPr>
          <w:vertAlign w:val="superscript"/>
        </w:rPr>
        <w:t>rd</w:t>
      </w:r>
      <w:r w:rsidR="00BE07CA" w:rsidRPr="008F2D4F">
        <w:t xml:space="preserve"> meeting, the SBI considered and adopted the conclusions below.</w:t>
      </w:r>
      <w:r w:rsidR="00BE07CA" w:rsidRPr="008F2D4F">
        <w:rPr>
          <w:sz w:val="18"/>
          <w:vertAlign w:val="superscript"/>
        </w:rPr>
        <w:footnoteReference w:id="40"/>
      </w:r>
    </w:p>
    <w:p w14:paraId="0AB8B01F" w14:textId="165D4FE3" w:rsidR="00BE07CA" w:rsidRPr="008F2D4F" w:rsidRDefault="000E0429" w:rsidP="000E0429">
      <w:pPr>
        <w:pStyle w:val="RegH23G"/>
        <w:numPr>
          <w:ilvl w:val="0"/>
          <w:numId w:val="0"/>
        </w:numPr>
        <w:tabs>
          <w:tab w:val="left" w:pos="1135"/>
        </w:tabs>
        <w:ind w:left="1135" w:hanging="454"/>
      </w:pPr>
      <w:r w:rsidRPr="008F2D4F">
        <w:rPr>
          <w:bCs/>
        </w:rPr>
        <w:t>2.</w:t>
      </w:r>
      <w:r w:rsidRPr="008F2D4F">
        <w:rPr>
          <w:bCs/>
        </w:rPr>
        <w:tab/>
      </w:r>
      <w:r w:rsidR="00BE07CA" w:rsidRPr="008F2D4F">
        <w:t>Conclusions</w:t>
      </w:r>
    </w:p>
    <w:p w14:paraId="6A495818" w14:textId="10A1483F" w:rsidR="00BE07CA" w:rsidRPr="008F2D4F" w:rsidRDefault="000E0429" w:rsidP="000E0429">
      <w:pPr>
        <w:pStyle w:val="RegSingleTxtG"/>
        <w:numPr>
          <w:ilvl w:val="0"/>
          <w:numId w:val="0"/>
        </w:numPr>
        <w:tabs>
          <w:tab w:val="left" w:pos="568"/>
        </w:tabs>
        <w:ind w:left="1135"/>
      </w:pPr>
      <w:r w:rsidRPr="008F2D4F">
        <w:t>58.</w:t>
      </w:r>
      <w:r w:rsidRPr="008F2D4F">
        <w:tab/>
      </w:r>
      <w:r w:rsidR="00BE07CA" w:rsidRPr="008F2D4F">
        <w:t>In accordance with decisions 9/CMP.1, 4/CMP.6, 11/CMP.7 and 6/CMP.8, the SBI continued its review of the guidelines for the implementation of Article 6 of the Kyoto Protocol (hereinafter referred to as the joint implementation guidelines).</w:t>
      </w:r>
    </w:p>
    <w:p w14:paraId="1AC591D3" w14:textId="2DC05838" w:rsidR="00BE07CA" w:rsidRPr="008F2D4F" w:rsidRDefault="000E0429" w:rsidP="000E0429">
      <w:pPr>
        <w:pStyle w:val="RegSingleTxtG"/>
        <w:numPr>
          <w:ilvl w:val="0"/>
          <w:numId w:val="0"/>
        </w:numPr>
        <w:tabs>
          <w:tab w:val="left" w:pos="568"/>
        </w:tabs>
        <w:ind w:left="1135"/>
      </w:pPr>
      <w:bookmarkStart w:id="100" w:name="_Ref447125934"/>
      <w:r w:rsidRPr="008F2D4F">
        <w:t>59.</w:t>
      </w:r>
      <w:r w:rsidRPr="008F2D4F">
        <w:tab/>
      </w:r>
      <w:r w:rsidR="00BE07CA" w:rsidRPr="008F2D4F">
        <w:t xml:space="preserve">The SBI agreed that the work it has undertaken on the review of the joint implementation guidelines is </w:t>
      </w:r>
      <w:r w:rsidR="00BE07CA" w:rsidRPr="008F2D4F">
        <w:rPr>
          <w:noProof/>
        </w:rPr>
        <w:t xml:space="preserve">as recorded in the annex </w:t>
      </w:r>
      <w:r w:rsidR="00BE07CA" w:rsidRPr="008F2D4F">
        <w:t>to document FCCC/SBI/2016/L.8.</w:t>
      </w:r>
    </w:p>
    <w:p w14:paraId="2877FDDB" w14:textId="39FCAE88" w:rsidR="00BE07CA" w:rsidRDefault="000E0429" w:rsidP="000E0429">
      <w:pPr>
        <w:pStyle w:val="RegSingleTxtG"/>
        <w:numPr>
          <w:ilvl w:val="0"/>
          <w:numId w:val="0"/>
        </w:numPr>
        <w:tabs>
          <w:tab w:val="left" w:pos="568"/>
        </w:tabs>
        <w:ind w:left="1135"/>
      </w:pPr>
      <w:r>
        <w:t>60.</w:t>
      </w:r>
      <w:r>
        <w:tab/>
      </w:r>
      <w:r w:rsidR="00BE07CA">
        <w:t>The SBI recommended a draft decision on this matter for consideration and adoption by the Conference of the Parties serving as the meeting of the Parties to the Kyoto Protocol (CMP) at its twelfth session (November 2016).</w:t>
      </w:r>
      <w:r w:rsidR="00A331E5">
        <w:rPr>
          <w:rStyle w:val="FootnoteReference"/>
        </w:rPr>
        <w:footnoteReference w:id="41"/>
      </w:r>
      <w:r w:rsidR="00BE07CA">
        <w:t xml:space="preserve"> </w:t>
      </w:r>
    </w:p>
    <w:bookmarkEnd w:id="100"/>
    <w:p w14:paraId="1E5288DC" w14:textId="6DADA76B" w:rsidR="00BE07CA" w:rsidRDefault="000E0429" w:rsidP="000E0429">
      <w:pPr>
        <w:pStyle w:val="RegSingleTxtG"/>
        <w:numPr>
          <w:ilvl w:val="0"/>
          <w:numId w:val="0"/>
        </w:numPr>
        <w:tabs>
          <w:tab w:val="left" w:pos="568"/>
        </w:tabs>
        <w:ind w:left="1135"/>
      </w:pPr>
      <w:r>
        <w:t>61.</w:t>
      </w:r>
      <w:r>
        <w:tab/>
      </w:r>
      <w:r w:rsidR="00BE07CA">
        <w:t>The SBI concluded its consideration of this agenda sub-item.</w:t>
      </w:r>
    </w:p>
    <w:p w14:paraId="5F5932A4" w14:textId="47ABB2B8" w:rsidR="00BE07CA" w:rsidRDefault="000E0429" w:rsidP="000E0429">
      <w:pPr>
        <w:pStyle w:val="RegH1G"/>
        <w:numPr>
          <w:ilvl w:val="0"/>
          <w:numId w:val="0"/>
        </w:numPr>
        <w:tabs>
          <w:tab w:val="left" w:pos="1135"/>
        </w:tabs>
        <w:spacing w:after="0"/>
        <w:ind w:left="1135" w:hanging="454"/>
      </w:pPr>
      <w:bookmarkStart w:id="101" w:name="_Toc453078764"/>
      <w:bookmarkStart w:id="102" w:name="_Toc406647784"/>
      <w:bookmarkStart w:id="103" w:name="_Toc421881691"/>
      <w:bookmarkStart w:id="104" w:name="_Toc421268884"/>
      <w:r>
        <w:t>C.</w:t>
      </w:r>
      <w:r>
        <w:tab/>
      </w:r>
      <w:r w:rsidR="00BE07CA">
        <w:t>Procedures, mechanisms and institutional arrangements for appeals against decisions of the Executive Board of the clean development mechanism</w:t>
      </w:r>
      <w:bookmarkEnd w:id="101"/>
    </w:p>
    <w:p w14:paraId="7BF8ABCB" w14:textId="77777777" w:rsidR="00BE07CA" w:rsidRDefault="00BE07CA" w:rsidP="00BE07CA">
      <w:pPr>
        <w:pStyle w:val="SingleTxtG"/>
      </w:pPr>
      <w:r>
        <w:t>(Agenda sub-item 7(c))</w:t>
      </w:r>
      <w:bookmarkEnd w:id="102"/>
      <w:bookmarkEnd w:id="103"/>
      <w:bookmarkEnd w:id="104"/>
    </w:p>
    <w:p w14:paraId="0DE3925F" w14:textId="71363567"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6E72F125" w14:textId="7883BEA8" w:rsidR="00BE07CA" w:rsidRPr="008F2D4F" w:rsidRDefault="000E0429" w:rsidP="000E0429">
      <w:pPr>
        <w:pStyle w:val="RegSingleTxtG"/>
        <w:numPr>
          <w:ilvl w:val="0"/>
          <w:numId w:val="0"/>
        </w:numPr>
        <w:tabs>
          <w:tab w:val="left" w:pos="568"/>
        </w:tabs>
        <w:ind w:left="1135"/>
      </w:pPr>
      <w:r w:rsidRPr="008F2D4F">
        <w:t>62.</w:t>
      </w:r>
      <w:r w:rsidRPr="008F2D4F">
        <w:tab/>
      </w:r>
      <w:r w:rsidR="00BE07CA" w:rsidRPr="008F2D4F">
        <w:t>The SBI considered this agenda sub-item at its 1</w:t>
      </w:r>
      <w:r w:rsidR="00BE07CA" w:rsidRPr="008F2D4F">
        <w:rPr>
          <w:vertAlign w:val="superscript"/>
        </w:rPr>
        <w:t>st</w:t>
      </w:r>
      <w:r w:rsidR="00BE07CA" w:rsidRPr="008F2D4F">
        <w:t xml:space="preserve"> and resumed 3</w:t>
      </w:r>
      <w:r w:rsidR="00BE07CA" w:rsidRPr="008F2D4F">
        <w:rPr>
          <w:vertAlign w:val="superscript"/>
        </w:rPr>
        <w:t>rd</w:t>
      </w:r>
      <w:r w:rsidR="00BE07CA" w:rsidRPr="008F2D4F">
        <w:t xml:space="preserve"> meetings. A representative of one Party made a statement. At its 1</w:t>
      </w:r>
      <w:r w:rsidR="00BE07CA" w:rsidRPr="008F2D4F">
        <w:rPr>
          <w:vertAlign w:val="superscript"/>
        </w:rPr>
        <w:t>st</w:t>
      </w:r>
      <w:r w:rsidR="00BE07CA" w:rsidRPr="008F2D4F">
        <w:t xml:space="preserve"> meeting, the SBI agreed to consider this agenda sub-item in informal consultations facilitated by Ms. Attonen. At its resumed </w:t>
      </w:r>
      <w:r w:rsidR="00BE07CA" w:rsidRPr="008F2D4F">
        <w:rPr>
          <w:snapToGrid w:val="0"/>
        </w:rPr>
        <w:t>3</w:t>
      </w:r>
      <w:r w:rsidR="00BE07CA" w:rsidRPr="008F2D4F">
        <w:rPr>
          <w:snapToGrid w:val="0"/>
          <w:vertAlign w:val="superscript"/>
        </w:rPr>
        <w:t>rd</w:t>
      </w:r>
      <w:r w:rsidR="00BE07CA" w:rsidRPr="008F2D4F">
        <w:rPr>
          <w:snapToGrid w:val="0"/>
        </w:rPr>
        <w:t xml:space="preserve"> meeting</w:t>
      </w:r>
      <w:r w:rsidR="00BE07CA" w:rsidRPr="008F2D4F">
        <w:t>, the SBI considered and adopted the conclusion below.</w:t>
      </w:r>
      <w:r w:rsidR="00BE07CA" w:rsidRPr="008F2D4F">
        <w:rPr>
          <w:sz w:val="18"/>
          <w:vertAlign w:val="superscript"/>
        </w:rPr>
        <w:footnoteReference w:id="42"/>
      </w:r>
      <w:r w:rsidR="00BE07CA" w:rsidRPr="008F2D4F">
        <w:t xml:space="preserve"> </w:t>
      </w:r>
    </w:p>
    <w:p w14:paraId="4A99FFD8" w14:textId="3D8027CD" w:rsidR="00BE07CA" w:rsidRPr="008F2D4F" w:rsidRDefault="000E0429" w:rsidP="000E0429">
      <w:pPr>
        <w:pStyle w:val="RegH23G"/>
        <w:numPr>
          <w:ilvl w:val="0"/>
          <w:numId w:val="0"/>
        </w:numPr>
        <w:tabs>
          <w:tab w:val="left" w:pos="1135"/>
        </w:tabs>
        <w:ind w:left="1135" w:hanging="454"/>
      </w:pPr>
      <w:r w:rsidRPr="008F2D4F">
        <w:rPr>
          <w:bCs/>
        </w:rPr>
        <w:t>2.</w:t>
      </w:r>
      <w:r w:rsidRPr="008F2D4F">
        <w:rPr>
          <w:bCs/>
        </w:rPr>
        <w:tab/>
      </w:r>
      <w:r w:rsidR="00BE07CA" w:rsidRPr="008F2D4F">
        <w:t>Conclusion</w:t>
      </w:r>
    </w:p>
    <w:p w14:paraId="10F8CE6C" w14:textId="3BAB80FC" w:rsidR="00BE07CA" w:rsidRPr="008F2D4F" w:rsidRDefault="000E0429" w:rsidP="000E0429">
      <w:pPr>
        <w:pStyle w:val="RegSingleTxtG"/>
        <w:numPr>
          <w:ilvl w:val="0"/>
          <w:numId w:val="0"/>
        </w:numPr>
        <w:tabs>
          <w:tab w:val="left" w:pos="568"/>
        </w:tabs>
        <w:ind w:left="1135"/>
      </w:pPr>
      <w:r w:rsidRPr="008F2D4F">
        <w:t>63.</w:t>
      </w:r>
      <w:r w:rsidRPr="008F2D4F">
        <w:tab/>
      </w:r>
      <w:r w:rsidR="00BE07CA" w:rsidRPr="008F2D4F">
        <w:t>The SBI continued its consideration of this agenda sub-item. It agreed to continue its consideration of this matter at SBI 45 on the basis of, inter alia, the draft text contained in document FCCC/SBI/2012/33/Add.1.</w:t>
      </w:r>
    </w:p>
    <w:p w14:paraId="3413CD9E" w14:textId="2C9EB3CE" w:rsidR="00BE07CA" w:rsidRDefault="000E0429" w:rsidP="000E0429">
      <w:pPr>
        <w:pStyle w:val="RegHChG"/>
        <w:numPr>
          <w:ilvl w:val="0"/>
          <w:numId w:val="0"/>
        </w:numPr>
        <w:tabs>
          <w:tab w:val="left" w:pos="1135"/>
        </w:tabs>
        <w:spacing w:after="0"/>
        <w:ind w:left="1135" w:hanging="454"/>
        <w:rPr>
          <w:lang w:eastAsia="en-US"/>
        </w:rPr>
      </w:pPr>
      <w:bookmarkStart w:id="105" w:name="_Toc453078765"/>
      <w:bookmarkStart w:id="106" w:name="_Toc435527349"/>
      <w:bookmarkStart w:id="107" w:name="_Toc435526668"/>
      <w:bookmarkStart w:id="108" w:name="_Toc406647789"/>
      <w:bookmarkStart w:id="109" w:name="_Toc421881694"/>
      <w:bookmarkStart w:id="110" w:name="_Toc421268887"/>
      <w:r>
        <w:rPr>
          <w:lang w:eastAsia="en-US"/>
        </w:rPr>
        <w:t>VIII.</w:t>
      </w:r>
      <w:r>
        <w:rPr>
          <w:lang w:eastAsia="en-US"/>
        </w:rPr>
        <w:tab/>
      </w:r>
      <w:r w:rsidR="00BE07CA">
        <w:rPr>
          <w:lang w:eastAsia="en-US"/>
        </w:rPr>
        <w:t>Matters relating to the least developed countries</w:t>
      </w:r>
      <w:bookmarkEnd w:id="105"/>
      <w:bookmarkEnd w:id="106"/>
      <w:bookmarkEnd w:id="107"/>
      <w:bookmarkEnd w:id="108"/>
    </w:p>
    <w:p w14:paraId="76C3EBB4" w14:textId="77777777" w:rsidR="00BE07CA" w:rsidRDefault="00BE07CA" w:rsidP="00BE07CA">
      <w:pPr>
        <w:pStyle w:val="SingleTxtG"/>
      </w:pPr>
      <w:r>
        <w:t>(Agenda item 8)</w:t>
      </w:r>
      <w:bookmarkEnd w:id="109"/>
      <w:bookmarkEnd w:id="110"/>
    </w:p>
    <w:p w14:paraId="55365944" w14:textId="196E0411"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210B6FBB" w14:textId="2AB9152C" w:rsidR="00BE07CA" w:rsidRPr="008F2D4F" w:rsidRDefault="000E0429" w:rsidP="000E0429">
      <w:pPr>
        <w:pStyle w:val="RegSingleTxtG"/>
        <w:numPr>
          <w:ilvl w:val="0"/>
          <w:numId w:val="0"/>
        </w:numPr>
        <w:tabs>
          <w:tab w:val="left" w:pos="568"/>
        </w:tabs>
        <w:ind w:left="1135"/>
      </w:pPr>
      <w:r w:rsidRPr="008F2D4F">
        <w:t>64.</w:t>
      </w:r>
      <w:r w:rsidRPr="008F2D4F">
        <w:tab/>
      </w:r>
      <w:r w:rsidR="00BE07CA" w:rsidRPr="008F2D4F">
        <w:t xml:space="preserve">The SBI considered this agenda item at its </w:t>
      </w:r>
      <w:r w:rsidR="00BE07CA" w:rsidRPr="008F2D4F">
        <w:rPr>
          <w:snapToGrid w:val="0"/>
        </w:rPr>
        <w:t>1</w:t>
      </w:r>
      <w:r w:rsidR="00BE07CA" w:rsidRPr="008F2D4F">
        <w:rPr>
          <w:snapToGrid w:val="0"/>
          <w:vertAlign w:val="superscript"/>
        </w:rPr>
        <w:t>st</w:t>
      </w:r>
      <w:r w:rsidR="00BE07CA" w:rsidRPr="008F2D4F">
        <w:rPr>
          <w:snapToGrid w:val="0"/>
        </w:rPr>
        <w:t xml:space="preserve"> and 3</w:t>
      </w:r>
      <w:r w:rsidR="00BE07CA" w:rsidRPr="008F2D4F">
        <w:rPr>
          <w:snapToGrid w:val="0"/>
          <w:vertAlign w:val="superscript"/>
        </w:rPr>
        <w:t>rd</w:t>
      </w:r>
      <w:r w:rsidR="00BE07CA" w:rsidRPr="008F2D4F">
        <w:rPr>
          <w:snapToGrid w:val="0"/>
        </w:rPr>
        <w:t xml:space="preserve"> meetings and </w:t>
      </w:r>
      <w:r w:rsidR="00BE07CA" w:rsidRPr="008F2D4F">
        <w:t>had before it document FCCC/SBI/2016/7. Representatives of four Parties made statements. At the 1</w:t>
      </w:r>
      <w:r w:rsidR="00BE07CA" w:rsidRPr="008F2D4F">
        <w:rPr>
          <w:vertAlign w:val="superscript"/>
        </w:rPr>
        <w:t>st</w:t>
      </w:r>
      <w:r w:rsidR="00BE07CA" w:rsidRPr="008F2D4F">
        <w:t xml:space="preserve"> meeting, the Chair invited Mr. Abias Huongo (Angola), Chair of the Least Developed Countries Expert Group (LEG), to report on the group’s activities.</w:t>
      </w:r>
      <w:r w:rsidR="00BE07CA" w:rsidRPr="008F2D4F">
        <w:rPr>
          <w:sz w:val="18"/>
          <w:vertAlign w:val="superscript"/>
        </w:rPr>
        <w:footnoteReference w:id="43"/>
      </w:r>
      <w:r w:rsidR="00BE07CA" w:rsidRPr="008F2D4F">
        <w:t xml:space="preserve"> At the same meeting, the SBI agreed to consider this agenda item in informal consultations facilitated by Mr. </w:t>
      </w:r>
      <w:r w:rsidR="00BE07CA" w:rsidRPr="008F2D4F">
        <w:lastRenderedPageBreak/>
        <w:t>Mamadou Honadia (Burkina Faso). At its 3</w:t>
      </w:r>
      <w:r w:rsidR="00BE07CA" w:rsidRPr="008F2D4F">
        <w:rPr>
          <w:vertAlign w:val="superscript"/>
        </w:rPr>
        <w:t>rd</w:t>
      </w:r>
      <w:r w:rsidR="00BE07CA" w:rsidRPr="008F2D4F">
        <w:t xml:space="preserve"> meeting, the SBI considered</w:t>
      </w:r>
      <w:r w:rsidR="00BE07CA" w:rsidRPr="008F2D4F">
        <w:rPr>
          <w:rStyle w:val="FootnoteReference"/>
        </w:rPr>
        <w:footnoteReference w:id="44"/>
      </w:r>
      <w:r w:rsidR="00BE07CA" w:rsidRPr="008F2D4F">
        <w:t xml:space="preserve"> and adopted the conclusions below, as amended.</w:t>
      </w:r>
    </w:p>
    <w:p w14:paraId="4ECA0D3C" w14:textId="4D575733"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386A8865" w14:textId="390D4686" w:rsidR="00BE07CA" w:rsidRDefault="000E0429" w:rsidP="000E0429">
      <w:pPr>
        <w:pStyle w:val="RegSingleTxtG"/>
        <w:numPr>
          <w:ilvl w:val="0"/>
          <w:numId w:val="0"/>
        </w:numPr>
        <w:tabs>
          <w:tab w:val="left" w:pos="568"/>
        </w:tabs>
        <w:ind w:left="1135"/>
      </w:pPr>
      <w:r>
        <w:t>65.</w:t>
      </w:r>
      <w:r>
        <w:tab/>
      </w:r>
      <w:r w:rsidR="00BE07CA">
        <w:t>The SBI welcomed the report on the 29</w:t>
      </w:r>
      <w:r w:rsidR="00BE07CA">
        <w:rPr>
          <w:vertAlign w:val="superscript"/>
        </w:rPr>
        <w:t>th</w:t>
      </w:r>
      <w:r w:rsidR="00BE07CA">
        <w:t xml:space="preserve"> meeting of the LEG,</w:t>
      </w:r>
      <w:r w:rsidR="00BE07CA">
        <w:rPr>
          <w:rStyle w:val="FootnoteReference"/>
        </w:rPr>
        <w:footnoteReference w:id="45"/>
      </w:r>
      <w:r w:rsidR="00BE07CA">
        <w:t xml:space="preserve"> held in Dili, Timor-Leste, from 15 to 19 March 2016, and expressed its gratitude to the Government of Timor-Leste for hosting the meeting.</w:t>
      </w:r>
    </w:p>
    <w:p w14:paraId="69FF5D1C" w14:textId="0F43D9F5" w:rsidR="00BE07CA" w:rsidRDefault="000E0429" w:rsidP="000E0429">
      <w:pPr>
        <w:pStyle w:val="RegSingleTxtG"/>
        <w:numPr>
          <w:ilvl w:val="0"/>
          <w:numId w:val="0"/>
        </w:numPr>
        <w:tabs>
          <w:tab w:val="left" w:pos="568"/>
        </w:tabs>
        <w:ind w:left="1135"/>
      </w:pPr>
      <w:r>
        <w:t>66.</w:t>
      </w:r>
      <w:r>
        <w:tab/>
      </w:r>
      <w:r w:rsidR="00BE07CA">
        <w:t>The SBI also expressed its gratitude to the EU for financially supporting the work of the LEG.</w:t>
      </w:r>
    </w:p>
    <w:p w14:paraId="04A3F3E3" w14:textId="73514152" w:rsidR="00BE07CA" w:rsidRDefault="000E0429" w:rsidP="000E0429">
      <w:pPr>
        <w:pStyle w:val="RegSingleTxtG"/>
        <w:numPr>
          <w:ilvl w:val="0"/>
          <w:numId w:val="0"/>
        </w:numPr>
        <w:tabs>
          <w:tab w:val="left" w:pos="568"/>
        </w:tabs>
        <w:ind w:left="1135"/>
      </w:pPr>
      <w:r>
        <w:t>67.</w:t>
      </w:r>
      <w:r>
        <w:tab/>
      </w:r>
      <w:r w:rsidR="00BE07CA">
        <w:t>The SBI noted with appreciation the contributions made by Parties to the Least Developed Countries Fund (LDCF) and the Green Climate Fund (GCF).</w:t>
      </w:r>
    </w:p>
    <w:p w14:paraId="20CFF07B" w14:textId="4122E8FE" w:rsidR="00BE07CA" w:rsidRDefault="000E0429" w:rsidP="000E0429">
      <w:pPr>
        <w:pStyle w:val="RegSingleTxtG"/>
        <w:numPr>
          <w:ilvl w:val="0"/>
          <w:numId w:val="0"/>
        </w:numPr>
        <w:tabs>
          <w:tab w:val="left" w:pos="568"/>
        </w:tabs>
        <w:ind w:left="1135"/>
      </w:pPr>
      <w:r>
        <w:t>68.</w:t>
      </w:r>
      <w:r>
        <w:tab/>
      </w:r>
      <w:r w:rsidR="00BE07CA">
        <w:t>The SBI welcomed the two-year rolling work programme of the LEG for 2016–2017.</w:t>
      </w:r>
      <w:r w:rsidR="00BE07CA">
        <w:rPr>
          <w:rStyle w:val="FootnoteReference"/>
        </w:rPr>
        <w:footnoteReference w:id="46"/>
      </w:r>
    </w:p>
    <w:p w14:paraId="64496E2E" w14:textId="4F95CE94" w:rsidR="00BE07CA" w:rsidRPr="008F2D4F" w:rsidRDefault="000E0429" w:rsidP="000E0429">
      <w:pPr>
        <w:pStyle w:val="RegSingleTxtG"/>
        <w:numPr>
          <w:ilvl w:val="0"/>
          <w:numId w:val="0"/>
        </w:numPr>
        <w:tabs>
          <w:tab w:val="left" w:pos="568"/>
        </w:tabs>
        <w:ind w:left="1135"/>
      </w:pPr>
      <w:r w:rsidRPr="008F2D4F">
        <w:t>69.</w:t>
      </w:r>
      <w:r w:rsidRPr="008F2D4F">
        <w:tab/>
      </w:r>
      <w:r w:rsidR="00BE07CA">
        <w:t xml:space="preserve">The SBI noted with appreciation the continued active engagement and collaboration of the LEG with the Adaptation Committee, the Nairobi work programme on impacts, vulnerability and adaptation to climate change, other constituted bodies under the Convention and a wide range of relevant organizations, agencies and regional centres and networks, and encouraged this </w:t>
      </w:r>
      <w:r w:rsidR="00BE07CA" w:rsidRPr="008F2D4F">
        <w:t>collaboration to continue.</w:t>
      </w:r>
    </w:p>
    <w:p w14:paraId="7014D032" w14:textId="76E523A8" w:rsidR="00BE07CA" w:rsidRPr="008F2D4F" w:rsidRDefault="000E0429" w:rsidP="000E0429">
      <w:pPr>
        <w:pStyle w:val="RegSingleTxtG"/>
        <w:numPr>
          <w:ilvl w:val="0"/>
          <w:numId w:val="0"/>
        </w:numPr>
        <w:tabs>
          <w:tab w:val="left" w:pos="568"/>
        </w:tabs>
        <w:ind w:left="1135"/>
      </w:pPr>
      <w:r w:rsidRPr="008F2D4F">
        <w:t>70.</w:t>
      </w:r>
      <w:r w:rsidRPr="008F2D4F">
        <w:tab/>
      </w:r>
      <w:r w:rsidR="00BE07CA" w:rsidRPr="008F2D4F">
        <w:t xml:space="preserve">In the context of the mandate of the LEG as per decision 19/CP.21, the SBI welcomed the following vision developed by the LEG to guide the work of the LEG in supporting adaptation in the LDCs: </w:t>
      </w:r>
    </w:p>
    <w:p w14:paraId="6984072C" w14:textId="5BCD87F2" w:rsidR="00BE07CA" w:rsidRPr="008F2D4F" w:rsidRDefault="000E0429" w:rsidP="000E0429">
      <w:pPr>
        <w:pStyle w:val="RegSingleTxtG"/>
        <w:numPr>
          <w:ilvl w:val="0"/>
          <w:numId w:val="0"/>
        </w:numPr>
        <w:tabs>
          <w:tab w:val="left" w:pos="2269"/>
        </w:tabs>
        <w:ind w:left="1135" w:firstLine="567"/>
      </w:pPr>
      <w:r w:rsidRPr="008F2D4F">
        <w:t>(a)</w:t>
      </w:r>
      <w:r w:rsidRPr="008F2D4F">
        <w:tab/>
      </w:r>
      <w:r w:rsidR="00BE07CA" w:rsidRPr="008F2D4F">
        <w:t xml:space="preserve">The achievement of demonstrable results in building adaptive capacity, strengthening resilience and reducing vulnerability to climate change in the LDCs; </w:t>
      </w:r>
    </w:p>
    <w:p w14:paraId="09140A50" w14:textId="3726851D" w:rsidR="00BE07CA" w:rsidRPr="008F2D4F" w:rsidRDefault="000E0429" w:rsidP="000E0429">
      <w:pPr>
        <w:pStyle w:val="RegSingleTxtG"/>
        <w:numPr>
          <w:ilvl w:val="0"/>
          <w:numId w:val="0"/>
        </w:numPr>
        <w:tabs>
          <w:tab w:val="left" w:pos="2269"/>
        </w:tabs>
        <w:ind w:left="1135" w:firstLine="567"/>
      </w:pPr>
      <w:r w:rsidRPr="008F2D4F">
        <w:t>(b)</w:t>
      </w:r>
      <w:r w:rsidRPr="008F2D4F">
        <w:tab/>
      </w:r>
      <w:r w:rsidR="00BE07CA" w:rsidRPr="008F2D4F">
        <w:t xml:space="preserve">The formulation of robust and good-quality national adaptation plans (NAPs) and the implementation of priority adaptation needs identified therein with funding from the GCF and other sources; </w:t>
      </w:r>
    </w:p>
    <w:p w14:paraId="60DC650B" w14:textId="21CC56B1" w:rsidR="00BE07CA" w:rsidRPr="008F2D4F" w:rsidRDefault="000E0429" w:rsidP="000E0429">
      <w:pPr>
        <w:pStyle w:val="RegSingleTxtG"/>
        <w:numPr>
          <w:ilvl w:val="0"/>
          <w:numId w:val="0"/>
        </w:numPr>
        <w:tabs>
          <w:tab w:val="left" w:pos="2269"/>
        </w:tabs>
        <w:ind w:left="1135" w:firstLine="567"/>
      </w:pPr>
      <w:r w:rsidRPr="008F2D4F">
        <w:t>(c)</w:t>
      </w:r>
      <w:r w:rsidRPr="008F2D4F">
        <w:tab/>
      </w:r>
      <w:r w:rsidR="00BE07CA" w:rsidRPr="008F2D4F">
        <w:t>The existence of a well-structured adaptation planning process in the LDCs.</w:t>
      </w:r>
      <w:r w:rsidR="00BE07CA" w:rsidRPr="00876E0B">
        <w:rPr>
          <w:sz w:val="18"/>
          <w:vertAlign w:val="superscript"/>
        </w:rPr>
        <w:footnoteReference w:id="47"/>
      </w:r>
    </w:p>
    <w:p w14:paraId="021D49DE" w14:textId="45C7EC98" w:rsidR="00BE07CA" w:rsidRPr="008F2D4F" w:rsidRDefault="000E0429" w:rsidP="000E0429">
      <w:pPr>
        <w:pStyle w:val="RegSingleTxtG"/>
        <w:numPr>
          <w:ilvl w:val="0"/>
          <w:numId w:val="0"/>
        </w:numPr>
        <w:tabs>
          <w:tab w:val="left" w:pos="568"/>
        </w:tabs>
        <w:ind w:left="1135"/>
      </w:pPr>
      <w:r w:rsidRPr="008F2D4F">
        <w:t>71.</w:t>
      </w:r>
      <w:r w:rsidRPr="008F2D4F">
        <w:tab/>
      </w:r>
      <w:r w:rsidR="00BE07CA" w:rsidRPr="008F2D4F">
        <w:t>The SBI took note of the initial consideration by the LEG of the mandates given to it by the COP in decision 1/CP.21</w:t>
      </w:r>
      <w:r w:rsidR="00BE07CA" w:rsidRPr="008F2D4F">
        <w:rPr>
          <w:rStyle w:val="FootnoteReference"/>
        </w:rPr>
        <w:footnoteReference w:id="48"/>
      </w:r>
      <w:r w:rsidR="00BE07CA" w:rsidRPr="008F2D4F">
        <w:t xml:space="preserve"> and looked forward to future updates and discussions thereon.</w:t>
      </w:r>
    </w:p>
    <w:p w14:paraId="38A76838" w14:textId="3EC9261D" w:rsidR="00BE07CA" w:rsidRDefault="000E0429" w:rsidP="000E0429">
      <w:pPr>
        <w:pStyle w:val="RegSingleTxtG"/>
        <w:numPr>
          <w:ilvl w:val="0"/>
          <w:numId w:val="0"/>
        </w:numPr>
        <w:tabs>
          <w:tab w:val="left" w:pos="568"/>
        </w:tabs>
        <w:ind w:left="1135"/>
      </w:pPr>
      <w:r>
        <w:t>72.</w:t>
      </w:r>
      <w:r>
        <w:tab/>
      </w:r>
      <w:r w:rsidR="00BE07CA">
        <w:t>The SBI welcomed the regional and global NAP Expos, to be organized by the LEG and/or relevant partners, as a useful modality for advancing progress on the process to formulate and implement NAPs and exchanging experience and good practices, including but not limited to accessing financial support from the GCF, the LDCF and bilateral, multilateral and other sources. It took note of the NAP Expo planned to take place from 11 to 15 July 2016 in Bonn,</w:t>
      </w:r>
      <w:r w:rsidR="00BE07CA">
        <w:rPr>
          <w:rStyle w:val="FootnoteReference"/>
        </w:rPr>
        <w:footnoteReference w:id="49"/>
      </w:r>
      <w:r w:rsidR="00BE07CA">
        <w:t xml:space="preserve"> and invited Parties and relevant organizations to participate in the event.</w:t>
      </w:r>
    </w:p>
    <w:p w14:paraId="09560A62" w14:textId="322E8C4D" w:rsidR="00BE07CA" w:rsidRDefault="000E0429" w:rsidP="000E0429">
      <w:pPr>
        <w:pStyle w:val="RegSingleTxtG"/>
        <w:numPr>
          <w:ilvl w:val="0"/>
          <w:numId w:val="0"/>
        </w:numPr>
        <w:tabs>
          <w:tab w:val="left" w:pos="568"/>
        </w:tabs>
        <w:ind w:left="1135"/>
      </w:pPr>
      <w:r>
        <w:t>73.</w:t>
      </w:r>
      <w:r>
        <w:tab/>
      </w:r>
      <w:r w:rsidR="00BE07CA">
        <w:t xml:space="preserve">The SBI noted with appreciation the progress made by the LEG in collaborating with the GCF secretariat on providing technical guidance and advice to countries on accessing funding from the GCF for the process to formulate and implement NAPs, </w:t>
      </w:r>
      <w:r w:rsidR="00BE07CA">
        <w:lastRenderedPageBreak/>
        <w:t>including the plan to hold dedicated sessions on the GCF at the NAP Expo in July 2016 and the training workshops that are planned under the current work programme of the LEG.</w:t>
      </w:r>
      <w:r w:rsidR="00BE07CA">
        <w:rPr>
          <w:rStyle w:val="FootnoteReference"/>
        </w:rPr>
        <w:footnoteReference w:id="50"/>
      </w:r>
    </w:p>
    <w:p w14:paraId="44D91A82" w14:textId="31AF6E7D" w:rsidR="00BE07CA" w:rsidRDefault="000E0429" w:rsidP="000E0429">
      <w:pPr>
        <w:pStyle w:val="RegSingleTxtG"/>
        <w:numPr>
          <w:ilvl w:val="0"/>
          <w:numId w:val="0"/>
        </w:numPr>
        <w:tabs>
          <w:tab w:val="left" w:pos="568"/>
        </w:tabs>
        <w:ind w:left="1135"/>
      </w:pPr>
      <w:r>
        <w:t>74.</w:t>
      </w:r>
      <w:r>
        <w:tab/>
      </w:r>
      <w:r w:rsidR="00BE07CA">
        <w:t>The SBI noted that, as at 17 May 2016, 34 project proposals for the implementation of national adaptation programmes of action and for the process to formulate and implement NAPs, with requested funds totalling USD 226 million, had been technically cleared by the GEF and were awaiting funding from the LDCF. However, it also noted that, as at 31 March 2016, the funds available for those pipeline projects amounted to only USD 9.8 million.</w:t>
      </w:r>
    </w:p>
    <w:p w14:paraId="57DABCF3" w14:textId="60F853B0" w:rsidR="00BE07CA" w:rsidRDefault="000E0429" w:rsidP="000E0429">
      <w:pPr>
        <w:pStyle w:val="RegSingleTxtG"/>
        <w:numPr>
          <w:ilvl w:val="0"/>
          <w:numId w:val="0"/>
        </w:numPr>
        <w:tabs>
          <w:tab w:val="left" w:pos="568"/>
        </w:tabs>
        <w:ind w:left="1135"/>
      </w:pPr>
      <w:r>
        <w:t>75.</w:t>
      </w:r>
      <w:r>
        <w:tab/>
      </w:r>
      <w:r w:rsidR="00BE07CA">
        <w:t>The SBI noted with concern the level of funding in the LDCF and urged additional contributions to the LDCF and other funds under the Financial Mechanism, as appropriate, recognizing the importance of the full implementation of national adaptation programmes of action for addressing urgent and immediate adaptation needs, building capacity for medium- and long-term adaptation planning and implementation, and successfully undertaking the process to formulate and implement NAPs.</w:t>
      </w:r>
    </w:p>
    <w:p w14:paraId="7D8F9A4E" w14:textId="411BC243" w:rsidR="00BE07CA" w:rsidRDefault="000E0429" w:rsidP="000E0429">
      <w:pPr>
        <w:pStyle w:val="RegSingleTxtG"/>
        <w:numPr>
          <w:ilvl w:val="0"/>
          <w:numId w:val="0"/>
        </w:numPr>
        <w:tabs>
          <w:tab w:val="left" w:pos="568"/>
        </w:tabs>
        <w:ind w:left="1135"/>
      </w:pPr>
      <w:r>
        <w:t>76.</w:t>
      </w:r>
      <w:r>
        <w:tab/>
      </w:r>
      <w:r w:rsidR="00BE07CA">
        <w:t>The SBI noted with appreciation the pledges made by Parties and others at COP 21 to the LDCF, totalling USD 252 million as at 5 December 2015.</w:t>
      </w:r>
      <w:r w:rsidR="00BE07CA">
        <w:rPr>
          <w:rStyle w:val="FootnoteReference"/>
        </w:rPr>
        <w:footnoteReference w:id="51"/>
      </w:r>
      <w:r w:rsidR="00BE07CA">
        <w:t xml:space="preserve"> The SBI encouraged those Parties to convert their pledges into contributions as soon as possible.</w:t>
      </w:r>
    </w:p>
    <w:p w14:paraId="091F8EFC" w14:textId="53C17E6B" w:rsidR="00BE07CA" w:rsidRDefault="000E0429" w:rsidP="000E0429">
      <w:pPr>
        <w:pStyle w:val="RegSingleTxtG"/>
        <w:numPr>
          <w:ilvl w:val="0"/>
          <w:numId w:val="0"/>
        </w:numPr>
        <w:tabs>
          <w:tab w:val="left" w:pos="568"/>
        </w:tabs>
        <w:ind w:left="1135"/>
      </w:pPr>
      <w:r>
        <w:t>77.</w:t>
      </w:r>
      <w:r>
        <w:tab/>
      </w:r>
      <w:r w:rsidR="00BE07CA">
        <w:t>The SBI also noted with appreciation the contributions made by Parties to the GCF, totalling USD 9.9 billion as at 19 May 2016.</w:t>
      </w:r>
      <w:r w:rsidR="00BE07CA">
        <w:rPr>
          <w:rStyle w:val="FootnoteReference"/>
        </w:rPr>
        <w:footnoteReference w:id="52"/>
      </w:r>
    </w:p>
    <w:p w14:paraId="1ABD1B90" w14:textId="28C2C9B9" w:rsidR="00BE07CA" w:rsidRDefault="000E0429" w:rsidP="000E0429">
      <w:pPr>
        <w:pStyle w:val="RegSingleTxtG"/>
        <w:numPr>
          <w:ilvl w:val="0"/>
          <w:numId w:val="0"/>
        </w:numPr>
        <w:tabs>
          <w:tab w:val="left" w:pos="568"/>
        </w:tabs>
        <w:ind w:left="1135"/>
      </w:pPr>
      <w:r>
        <w:t>78.</w:t>
      </w:r>
      <w:r>
        <w:tab/>
      </w:r>
      <w:r w:rsidR="00BE07CA">
        <w:t>The SBI took note of the progress made by the LDCs in undertaking the process to formulate and implement NAPs</w:t>
      </w:r>
      <w:r w:rsidR="00BE07CA">
        <w:rPr>
          <w:rStyle w:val="FootnoteReference"/>
        </w:rPr>
        <w:footnoteReference w:id="53"/>
      </w:r>
      <w:r w:rsidR="00BE07CA">
        <w:t xml:space="preserve"> and reiterated the invitation of the COP</w:t>
      </w:r>
      <w:r w:rsidR="00BE07CA">
        <w:rPr>
          <w:rStyle w:val="FootnoteReference"/>
        </w:rPr>
        <w:footnoteReference w:id="54"/>
      </w:r>
      <w:r w:rsidR="00BE07CA">
        <w:t xml:space="preserve"> to all LDCs and other developing country Parties that are not LDCs that may wish to do so to forward outputs, including NAP documents, and outcomes related to the process to formulate and implement NAPs to NAP Central.</w:t>
      </w:r>
    </w:p>
    <w:p w14:paraId="63D717C3" w14:textId="49AA63C8" w:rsidR="00BE07CA" w:rsidRDefault="000E0429" w:rsidP="000E0429">
      <w:pPr>
        <w:pStyle w:val="RegSingleTxtG"/>
        <w:numPr>
          <w:ilvl w:val="0"/>
          <w:numId w:val="0"/>
        </w:numPr>
        <w:tabs>
          <w:tab w:val="left" w:pos="568"/>
        </w:tabs>
        <w:ind w:left="1135"/>
      </w:pPr>
      <w:r>
        <w:t>79.</w:t>
      </w:r>
      <w:r>
        <w:tab/>
      </w:r>
      <w:r w:rsidR="00BE07CA">
        <w:t>The SBI invited Parties and relevant organizations to continue to provide support for the implementation of the LEG work programme.</w:t>
      </w:r>
    </w:p>
    <w:p w14:paraId="4DB7735F" w14:textId="5F047932" w:rsidR="00BE07CA" w:rsidRDefault="000E0429" w:rsidP="000E0429">
      <w:pPr>
        <w:pStyle w:val="RegSingleTxtG"/>
        <w:numPr>
          <w:ilvl w:val="0"/>
          <w:numId w:val="0"/>
        </w:numPr>
        <w:tabs>
          <w:tab w:val="left" w:pos="568"/>
        </w:tabs>
        <w:ind w:left="1135"/>
      </w:pPr>
      <w:r>
        <w:t>80.</w:t>
      </w:r>
      <w:r>
        <w:tab/>
      </w:r>
      <w:r w:rsidR="00BE07CA">
        <w:t>The SBI requested that the actions of the secretariat to support the implementation of the LEG work programme be undertaken subject to the availability of financial resources.</w:t>
      </w:r>
    </w:p>
    <w:p w14:paraId="11D1F40F" w14:textId="065F5748" w:rsidR="00BE07CA" w:rsidRDefault="000E0429" w:rsidP="000E0429">
      <w:pPr>
        <w:pStyle w:val="RegHChG"/>
        <w:numPr>
          <w:ilvl w:val="0"/>
          <w:numId w:val="0"/>
        </w:numPr>
        <w:tabs>
          <w:tab w:val="left" w:pos="1135"/>
        </w:tabs>
        <w:spacing w:after="0"/>
        <w:ind w:left="1135" w:hanging="454"/>
        <w:rPr>
          <w:lang w:eastAsia="en-US"/>
        </w:rPr>
      </w:pPr>
      <w:bookmarkStart w:id="111" w:name="_Toc453078766"/>
      <w:r>
        <w:rPr>
          <w:lang w:eastAsia="en-US"/>
        </w:rPr>
        <w:t>IX.</w:t>
      </w:r>
      <w:r>
        <w:rPr>
          <w:lang w:eastAsia="en-US"/>
        </w:rPr>
        <w:tab/>
      </w:r>
      <w:r w:rsidR="00BE07CA">
        <w:rPr>
          <w:lang w:eastAsia="en-US"/>
        </w:rPr>
        <w:t>National adaptation plans</w:t>
      </w:r>
      <w:bookmarkEnd w:id="111"/>
    </w:p>
    <w:p w14:paraId="3E8C902F" w14:textId="77777777" w:rsidR="00BE07CA" w:rsidRDefault="00BE07CA" w:rsidP="00BE07CA">
      <w:pPr>
        <w:pStyle w:val="SingleTxtG"/>
      </w:pPr>
      <w:r>
        <w:t>(Agenda item 9)</w:t>
      </w:r>
    </w:p>
    <w:p w14:paraId="31841F69" w14:textId="1610321E"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34B5CBCC" w14:textId="06A57F45" w:rsidR="00BE07CA" w:rsidRPr="008F2D4F" w:rsidRDefault="000E0429" w:rsidP="000E0429">
      <w:pPr>
        <w:pStyle w:val="RegSingleTxtG"/>
        <w:numPr>
          <w:ilvl w:val="0"/>
          <w:numId w:val="0"/>
        </w:numPr>
        <w:tabs>
          <w:tab w:val="left" w:pos="568"/>
        </w:tabs>
        <w:ind w:left="1135"/>
      </w:pPr>
      <w:r w:rsidRPr="008F2D4F">
        <w:t>81.</w:t>
      </w:r>
      <w:r w:rsidRPr="008F2D4F">
        <w:tab/>
      </w:r>
      <w:r w:rsidR="00BE07CA" w:rsidRPr="008F2D4F">
        <w:t>The SBI considered this agenda item at its 1</w:t>
      </w:r>
      <w:r w:rsidR="00BE07CA" w:rsidRPr="008F2D4F">
        <w:rPr>
          <w:vertAlign w:val="superscript"/>
        </w:rPr>
        <w:t>st</w:t>
      </w:r>
      <w:r w:rsidR="00BE07CA" w:rsidRPr="008F2D4F">
        <w:t xml:space="preserve"> and 3</w:t>
      </w:r>
      <w:r w:rsidR="00BE07CA" w:rsidRPr="008F2D4F">
        <w:rPr>
          <w:vertAlign w:val="superscript"/>
        </w:rPr>
        <w:t>rd</w:t>
      </w:r>
      <w:r w:rsidR="00BE07CA" w:rsidRPr="008F2D4F">
        <w:t xml:space="preserve"> meetings and had before it document FCCC/SBI/2016/7. At its 1</w:t>
      </w:r>
      <w:r w:rsidR="00BE07CA" w:rsidRPr="008F2D4F">
        <w:rPr>
          <w:vertAlign w:val="superscript"/>
        </w:rPr>
        <w:t>st</w:t>
      </w:r>
      <w:r w:rsidR="00BE07CA" w:rsidRPr="008F2D4F">
        <w:t xml:space="preserve"> meeting, the SBI agreed to consider this agenda item in informal consultations co-facilitated by Mr. Honadia and Ms. Beth Lavender (Canada). At its 3</w:t>
      </w:r>
      <w:r w:rsidR="00BE07CA" w:rsidRPr="008F2D4F">
        <w:rPr>
          <w:vertAlign w:val="superscript"/>
        </w:rPr>
        <w:t>rd</w:t>
      </w:r>
      <w:r w:rsidR="00BE07CA" w:rsidRPr="008F2D4F">
        <w:t xml:space="preserve"> meeting, the SBI considered and adopted the conclusions below.</w:t>
      </w:r>
      <w:r w:rsidR="00BE07CA" w:rsidRPr="008F2D4F">
        <w:rPr>
          <w:sz w:val="18"/>
          <w:vertAlign w:val="superscript"/>
        </w:rPr>
        <w:footnoteReference w:id="55"/>
      </w:r>
    </w:p>
    <w:p w14:paraId="3D5823FB" w14:textId="558C6903" w:rsidR="00BE07CA" w:rsidRDefault="000E0429" w:rsidP="000E0429">
      <w:pPr>
        <w:pStyle w:val="RegH23G"/>
        <w:numPr>
          <w:ilvl w:val="0"/>
          <w:numId w:val="0"/>
        </w:numPr>
        <w:tabs>
          <w:tab w:val="left" w:pos="1135"/>
        </w:tabs>
        <w:ind w:left="1135" w:hanging="454"/>
      </w:pPr>
      <w:r>
        <w:rPr>
          <w:bCs/>
        </w:rPr>
        <w:lastRenderedPageBreak/>
        <w:t>2.</w:t>
      </w:r>
      <w:r>
        <w:rPr>
          <w:bCs/>
        </w:rPr>
        <w:tab/>
      </w:r>
      <w:r w:rsidR="00BE07CA">
        <w:t>Conclusions</w:t>
      </w:r>
    </w:p>
    <w:p w14:paraId="796929F9" w14:textId="205E1D07" w:rsidR="00BE07CA" w:rsidRDefault="000E0429" w:rsidP="000E0429">
      <w:pPr>
        <w:pStyle w:val="RegSingleTxtG"/>
        <w:numPr>
          <w:ilvl w:val="0"/>
          <w:numId w:val="0"/>
        </w:numPr>
        <w:tabs>
          <w:tab w:val="left" w:pos="568"/>
        </w:tabs>
        <w:ind w:left="1135"/>
      </w:pPr>
      <w:r>
        <w:t>82.</w:t>
      </w:r>
      <w:r>
        <w:tab/>
      </w:r>
      <w:r w:rsidR="00BE07CA">
        <w:t>The SBI welcomed the information on the progress made and support provided in the process to formulate and implement NAPs as presented in the report on the 29</w:t>
      </w:r>
      <w:r w:rsidR="00BE07CA">
        <w:rPr>
          <w:vertAlign w:val="superscript"/>
        </w:rPr>
        <w:t>th</w:t>
      </w:r>
      <w:r w:rsidR="00BE07CA">
        <w:t xml:space="preserve"> meeting of the LEG.</w:t>
      </w:r>
      <w:r w:rsidR="00BE07CA">
        <w:rPr>
          <w:rStyle w:val="FootnoteReference"/>
        </w:rPr>
        <w:footnoteReference w:id="56"/>
      </w:r>
    </w:p>
    <w:p w14:paraId="527C34D6" w14:textId="26E45358" w:rsidR="00BE07CA" w:rsidRPr="008F2D4F" w:rsidRDefault="000E0429" w:rsidP="000E0429">
      <w:pPr>
        <w:pStyle w:val="RegSingleTxtG"/>
        <w:numPr>
          <w:ilvl w:val="0"/>
          <w:numId w:val="0"/>
        </w:numPr>
        <w:tabs>
          <w:tab w:val="left" w:pos="568"/>
        </w:tabs>
        <w:ind w:left="1135"/>
      </w:pPr>
      <w:r w:rsidRPr="008F2D4F">
        <w:t>83.</w:t>
      </w:r>
      <w:r w:rsidRPr="008F2D4F">
        <w:tab/>
      </w:r>
      <w:r w:rsidR="00BE07CA">
        <w:t xml:space="preserve">The SBI </w:t>
      </w:r>
      <w:r w:rsidR="00BE07CA" w:rsidRPr="008F2D4F">
        <w:t>acknowledged that the process to formulate and implement NAPs is significant for enhancing adaptive capacity, strengthening resilience and reducing vulnerability to climate change with a view to contributing to sustainable development in the broader context of the global goal on adaptation referred to in Article 7 of the Paris Agreement.</w:t>
      </w:r>
    </w:p>
    <w:p w14:paraId="0203C77E" w14:textId="2C17C4C4" w:rsidR="00BE07CA" w:rsidRPr="008F2D4F" w:rsidRDefault="000E0429" w:rsidP="000E0429">
      <w:pPr>
        <w:pStyle w:val="RegSingleTxtG"/>
        <w:numPr>
          <w:ilvl w:val="0"/>
          <w:numId w:val="0"/>
        </w:numPr>
        <w:tabs>
          <w:tab w:val="left" w:pos="568"/>
        </w:tabs>
        <w:ind w:left="1135"/>
      </w:pPr>
      <w:r w:rsidRPr="008F2D4F">
        <w:t>84.</w:t>
      </w:r>
      <w:r w:rsidRPr="008F2D4F">
        <w:tab/>
      </w:r>
      <w:r w:rsidR="00BE07CA" w:rsidRPr="008F2D4F">
        <w:t>The SBI also acknowledged that the process to formulate and implement NAPs will help Parties to effectively engage in adaptation planning processes and the implementation of actions, including the development or enhancement of relevant plans, policies and/or contributions, as referred to in Article 7 of the Paris Agreement.</w:t>
      </w:r>
    </w:p>
    <w:p w14:paraId="6608E6C4" w14:textId="6938335F" w:rsidR="00BE07CA" w:rsidRDefault="000E0429" w:rsidP="000E0429">
      <w:pPr>
        <w:pStyle w:val="RegSingleTxtG"/>
        <w:numPr>
          <w:ilvl w:val="0"/>
          <w:numId w:val="0"/>
        </w:numPr>
        <w:tabs>
          <w:tab w:val="left" w:pos="568"/>
        </w:tabs>
        <w:ind w:left="1135"/>
      </w:pPr>
      <w:r>
        <w:t>85.</w:t>
      </w:r>
      <w:r>
        <w:tab/>
      </w:r>
      <w:r w:rsidR="00BE07CA">
        <w:t>The SBI further acknowledged that the process to formulate and implement NAPs will also help Parties to engage in the process of identifying priorities, needs and gaps, and to enhance adaptation actions.</w:t>
      </w:r>
    </w:p>
    <w:p w14:paraId="7E89DDAB" w14:textId="3D57B7EF" w:rsidR="00BE07CA" w:rsidRDefault="000E0429" w:rsidP="000E0429">
      <w:pPr>
        <w:pStyle w:val="RegSingleTxtG"/>
        <w:numPr>
          <w:ilvl w:val="0"/>
          <w:numId w:val="0"/>
        </w:numPr>
        <w:tabs>
          <w:tab w:val="left" w:pos="568"/>
        </w:tabs>
        <w:ind w:left="1135"/>
      </w:pPr>
      <w:r>
        <w:t>86.</w:t>
      </w:r>
      <w:r>
        <w:tab/>
      </w:r>
      <w:r w:rsidR="00BE07CA">
        <w:t>The SBI noted with appreciation the progress made by the LEG and the Adaptation Committee so far in the fulfilment of their respective mandates relating to providing information on accessing funding from the GCF for the process to formulate and implement NAPs.</w:t>
      </w:r>
      <w:r w:rsidR="00BE07CA">
        <w:rPr>
          <w:rStyle w:val="FootnoteReference"/>
        </w:rPr>
        <w:footnoteReference w:id="57"/>
      </w:r>
      <w:r w:rsidR="00BE07CA">
        <w:t xml:space="preserve"> It looks forward to the further engagement of the LEG and the Adaptation Committee with the GCF, and it requested them to include information on that engagement in their reports.</w:t>
      </w:r>
    </w:p>
    <w:p w14:paraId="0A09F29E" w14:textId="0A50158F" w:rsidR="00BE07CA" w:rsidRDefault="000E0429" w:rsidP="000E0429">
      <w:pPr>
        <w:pStyle w:val="RegSingleTxtG"/>
        <w:numPr>
          <w:ilvl w:val="0"/>
          <w:numId w:val="0"/>
        </w:numPr>
        <w:tabs>
          <w:tab w:val="left" w:pos="568"/>
        </w:tabs>
        <w:ind w:left="1135"/>
      </w:pPr>
      <w:r>
        <w:t>87.</w:t>
      </w:r>
      <w:r>
        <w:tab/>
      </w:r>
      <w:r w:rsidR="00BE07CA">
        <w:t>The SBI also looks forward to the work of the Adaptation Committee and the LEG related to the experience of countries in accessing funding from the GCF for the process to formulate and implement NAPs,</w:t>
      </w:r>
      <w:r w:rsidR="00BE07CA">
        <w:rPr>
          <w:rStyle w:val="FootnoteReference"/>
        </w:rPr>
        <w:footnoteReference w:id="58"/>
      </w:r>
      <w:r w:rsidR="00BE07CA">
        <w:t xml:space="preserve"> and further looks forward to information on such work being provided in their reports.</w:t>
      </w:r>
    </w:p>
    <w:p w14:paraId="3AAD56DD" w14:textId="14A7F433" w:rsidR="00BE07CA" w:rsidRPr="008F2D4F" w:rsidRDefault="000E0429" w:rsidP="000E0429">
      <w:pPr>
        <w:pStyle w:val="RegSingleTxtG"/>
        <w:numPr>
          <w:ilvl w:val="0"/>
          <w:numId w:val="0"/>
        </w:numPr>
        <w:tabs>
          <w:tab w:val="left" w:pos="568"/>
        </w:tabs>
        <w:ind w:left="1135"/>
        <w:rPr>
          <w:iCs/>
        </w:rPr>
      </w:pPr>
      <w:r w:rsidRPr="008F2D4F">
        <w:rPr>
          <w:iCs/>
        </w:rPr>
        <w:t>88.</w:t>
      </w:r>
      <w:r w:rsidRPr="008F2D4F">
        <w:rPr>
          <w:iCs/>
        </w:rPr>
        <w:tab/>
      </w:r>
      <w:r w:rsidR="00BE07CA" w:rsidRPr="008F2D4F">
        <w:t>The SBI recommended that COP 22 change the submission deadline referred to in decision 4/CP.21, paragraph 12(a), to 4 October 2017.</w:t>
      </w:r>
    </w:p>
    <w:p w14:paraId="26EA305B" w14:textId="41E54C2B" w:rsidR="00BE07CA" w:rsidRPr="008F2D4F" w:rsidRDefault="000E0429" w:rsidP="000E0429">
      <w:pPr>
        <w:pStyle w:val="RegSingleTxtG"/>
        <w:numPr>
          <w:ilvl w:val="0"/>
          <w:numId w:val="0"/>
        </w:numPr>
        <w:tabs>
          <w:tab w:val="left" w:pos="568"/>
        </w:tabs>
        <w:ind w:left="1135"/>
      </w:pPr>
      <w:r w:rsidRPr="008F2D4F">
        <w:t>89.</w:t>
      </w:r>
      <w:r w:rsidRPr="008F2D4F">
        <w:tab/>
      </w:r>
      <w:r w:rsidR="00BE07CA" w:rsidRPr="008F2D4F">
        <w:t>The SBI continued its consideration of enhancing reporting related to the process to formulate and implement NAPs and agreed that the consideration of this matter would continue at SBI 46 (May 2017) taking into account relevant activities to be considered under the APA.</w:t>
      </w:r>
    </w:p>
    <w:p w14:paraId="014DE542" w14:textId="22E32484" w:rsidR="00BE07CA" w:rsidRDefault="000E0429" w:rsidP="000E0429">
      <w:pPr>
        <w:pStyle w:val="RegHChG"/>
        <w:numPr>
          <w:ilvl w:val="0"/>
          <w:numId w:val="0"/>
        </w:numPr>
        <w:tabs>
          <w:tab w:val="left" w:pos="1135"/>
        </w:tabs>
        <w:spacing w:after="0"/>
        <w:ind w:left="1135" w:hanging="454"/>
        <w:rPr>
          <w:lang w:eastAsia="en-US"/>
        </w:rPr>
      </w:pPr>
      <w:bookmarkStart w:id="112" w:name="_Toc453078767"/>
      <w:r>
        <w:rPr>
          <w:lang w:eastAsia="en-US"/>
        </w:rPr>
        <w:t>X.</w:t>
      </w:r>
      <w:r>
        <w:rPr>
          <w:lang w:eastAsia="en-US"/>
        </w:rPr>
        <w:tab/>
      </w:r>
      <w:r w:rsidR="00BE07CA">
        <w:rPr>
          <w:lang w:eastAsia="en-US"/>
        </w:rPr>
        <w:t>Third review of the Adaptation Fund</w:t>
      </w:r>
      <w:bookmarkEnd w:id="112"/>
    </w:p>
    <w:p w14:paraId="2460D26B" w14:textId="77777777" w:rsidR="00BE07CA" w:rsidRDefault="00BE07CA" w:rsidP="00BE07CA">
      <w:pPr>
        <w:pStyle w:val="SingleTxtG"/>
      </w:pPr>
      <w:r>
        <w:t>(Agenda item 10)</w:t>
      </w:r>
    </w:p>
    <w:p w14:paraId="31752A9D" w14:textId="77777777" w:rsidR="00BE07CA" w:rsidRDefault="00BE07CA" w:rsidP="000E0429">
      <w:pPr>
        <w:pStyle w:val="RegH23G"/>
        <w:numPr>
          <w:ilvl w:val="0"/>
          <w:numId w:val="0"/>
        </w:numPr>
        <w:ind w:left="1135" w:hanging="454"/>
        <w:rPr>
          <w:lang w:eastAsia="en-US"/>
        </w:rPr>
      </w:pPr>
      <w:r>
        <w:t>Proceedings</w:t>
      </w:r>
    </w:p>
    <w:p w14:paraId="76F0A2E9" w14:textId="3C1F96A6" w:rsidR="00BE07CA" w:rsidRDefault="000E0429" w:rsidP="000E0429">
      <w:pPr>
        <w:pStyle w:val="RegSingleTxtG"/>
        <w:numPr>
          <w:ilvl w:val="0"/>
          <w:numId w:val="0"/>
        </w:numPr>
        <w:tabs>
          <w:tab w:val="left" w:pos="568"/>
        </w:tabs>
        <w:ind w:left="1135"/>
      </w:pPr>
      <w:r>
        <w:t>90.</w:t>
      </w:r>
      <w:r>
        <w:tab/>
      </w:r>
      <w:r w:rsidR="00BE07CA">
        <w:t>The SBI considered this agenda item at its 1</w:t>
      </w:r>
      <w:r w:rsidR="00BE07CA">
        <w:rPr>
          <w:vertAlign w:val="superscript"/>
        </w:rPr>
        <w:t>st</w:t>
      </w:r>
      <w:r w:rsidR="00BE07CA">
        <w:t xml:space="preserve"> and 3</w:t>
      </w:r>
      <w:r w:rsidR="00BE07CA">
        <w:rPr>
          <w:vertAlign w:val="superscript"/>
        </w:rPr>
        <w:t>rd</w:t>
      </w:r>
      <w:r w:rsidR="00BE07CA">
        <w:t xml:space="preserve"> meetings. At its 1</w:t>
      </w:r>
      <w:r w:rsidR="00BE07CA">
        <w:rPr>
          <w:vertAlign w:val="superscript"/>
        </w:rPr>
        <w:t>st</w:t>
      </w:r>
      <w:r w:rsidR="00BE07CA">
        <w:t xml:space="preserve"> meeting, the SBI agreed to consider this agenda item in informal consultations co-facilitated by </w:t>
      </w:r>
      <w:r w:rsidR="00BE07CA">
        <w:br/>
        <w:t>Mr. Richard Muyungi (United Republic of Tanzania) and Ms. Gemma O’Reilly (Ireland).</w:t>
      </w:r>
    </w:p>
    <w:p w14:paraId="08A6ACFC" w14:textId="5ECB6647" w:rsidR="00BE07CA" w:rsidRDefault="000E0429" w:rsidP="000E0429">
      <w:pPr>
        <w:pStyle w:val="RegSingleTxtG"/>
        <w:numPr>
          <w:ilvl w:val="0"/>
          <w:numId w:val="0"/>
        </w:numPr>
        <w:tabs>
          <w:tab w:val="left" w:pos="568"/>
        </w:tabs>
        <w:ind w:left="1135"/>
      </w:pPr>
      <w:r>
        <w:lastRenderedPageBreak/>
        <w:t>91.</w:t>
      </w:r>
      <w:r>
        <w:tab/>
      </w:r>
      <w:r w:rsidR="00BE07CA">
        <w:t>At its 3</w:t>
      </w:r>
      <w:r w:rsidR="00BE07CA">
        <w:rPr>
          <w:vertAlign w:val="superscript"/>
        </w:rPr>
        <w:t>rd</w:t>
      </w:r>
      <w:r w:rsidR="00BE07CA">
        <w:t xml:space="preserve"> meeting, the SBI recommended a draft decision for consideration and adoption at CMP 12.</w:t>
      </w:r>
      <w:r w:rsidR="00A331E5">
        <w:rPr>
          <w:rStyle w:val="FootnoteReference"/>
        </w:rPr>
        <w:footnoteReference w:id="59"/>
      </w:r>
    </w:p>
    <w:p w14:paraId="7D4703A7" w14:textId="49F6CD45" w:rsidR="00BE07CA" w:rsidRDefault="000E0429" w:rsidP="000E0429">
      <w:pPr>
        <w:pStyle w:val="RegHChG"/>
        <w:numPr>
          <w:ilvl w:val="0"/>
          <w:numId w:val="0"/>
        </w:numPr>
        <w:tabs>
          <w:tab w:val="left" w:pos="1135"/>
        </w:tabs>
        <w:spacing w:after="0"/>
        <w:ind w:left="1135" w:hanging="454"/>
        <w:rPr>
          <w:lang w:eastAsia="en-US"/>
        </w:rPr>
      </w:pPr>
      <w:bookmarkStart w:id="113" w:name="_Toc453078768"/>
      <w:r>
        <w:rPr>
          <w:lang w:eastAsia="en-US"/>
        </w:rPr>
        <w:t>XI.</w:t>
      </w:r>
      <w:r>
        <w:rPr>
          <w:lang w:eastAsia="en-US"/>
        </w:rPr>
        <w:tab/>
      </w:r>
      <w:r w:rsidR="00BE07CA">
        <w:rPr>
          <w:lang w:eastAsia="en-US"/>
        </w:rPr>
        <w:t>Scope and modalities for the periodic assessment of the Technology Mechanism in relation to supporting the implementation of the Paris Agreement</w:t>
      </w:r>
      <w:bookmarkEnd w:id="113"/>
    </w:p>
    <w:p w14:paraId="28642225" w14:textId="77777777" w:rsidR="00BE07CA" w:rsidRDefault="00BE07CA" w:rsidP="00BE07CA">
      <w:pPr>
        <w:pStyle w:val="SingleTxtG"/>
      </w:pPr>
      <w:r>
        <w:t>(Agenda item 11)</w:t>
      </w:r>
    </w:p>
    <w:p w14:paraId="247E9E50" w14:textId="24F0EE68"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288C37BC" w14:textId="48169222" w:rsidR="00BE07CA" w:rsidRPr="008F2D4F" w:rsidRDefault="000E0429" w:rsidP="000E0429">
      <w:pPr>
        <w:pStyle w:val="RegSingleTxtG"/>
        <w:numPr>
          <w:ilvl w:val="0"/>
          <w:numId w:val="0"/>
        </w:numPr>
        <w:tabs>
          <w:tab w:val="left" w:pos="568"/>
        </w:tabs>
        <w:ind w:left="1135"/>
      </w:pPr>
      <w:r w:rsidRPr="008F2D4F">
        <w:t>92.</w:t>
      </w:r>
      <w:r w:rsidRPr="008F2D4F">
        <w:tab/>
      </w:r>
      <w:r w:rsidR="00BE07CA" w:rsidRPr="008F2D4F">
        <w:t>The SBI considered this agenda item at its 1</w:t>
      </w:r>
      <w:r w:rsidR="00BE07CA" w:rsidRPr="008F2D4F">
        <w:rPr>
          <w:vertAlign w:val="superscript"/>
        </w:rPr>
        <w:t>st</w:t>
      </w:r>
      <w:r w:rsidR="00BE07CA" w:rsidRPr="008F2D4F">
        <w:t xml:space="preserve"> and 3</w:t>
      </w:r>
      <w:r w:rsidR="00BE07CA" w:rsidRPr="008F2D4F">
        <w:rPr>
          <w:vertAlign w:val="superscript"/>
        </w:rPr>
        <w:t>rd</w:t>
      </w:r>
      <w:r w:rsidR="00BE07CA" w:rsidRPr="008F2D4F">
        <w:t xml:space="preserve"> meetings. At its 1</w:t>
      </w:r>
      <w:r w:rsidR="00BE07CA" w:rsidRPr="008F2D4F">
        <w:rPr>
          <w:vertAlign w:val="superscript"/>
        </w:rPr>
        <w:t>st</w:t>
      </w:r>
      <w:r w:rsidR="00BE07CA" w:rsidRPr="008F2D4F">
        <w:t xml:space="preserve"> meeting, the SBI agreed to consider this agenda item in informal consultations co-facilitated by </w:t>
      </w:r>
      <w:r w:rsidR="00BE07CA" w:rsidRPr="008F2D4F">
        <w:br/>
        <w:t>Mr. Kishan Kumarsingh (Trinidad and Tobago) and Ms. Gabriela Fischerova (Slovakia). At its 3</w:t>
      </w:r>
      <w:r w:rsidR="00BE07CA" w:rsidRPr="008F2D4F">
        <w:rPr>
          <w:vertAlign w:val="superscript"/>
        </w:rPr>
        <w:t>rd</w:t>
      </w:r>
      <w:r w:rsidR="00BE07CA" w:rsidRPr="008F2D4F">
        <w:t xml:space="preserve"> meeting, the SBI considered and adopted the conclusions below,</w:t>
      </w:r>
      <w:r w:rsidR="00BE07CA" w:rsidRPr="008F2D4F">
        <w:rPr>
          <w:sz w:val="18"/>
          <w:vertAlign w:val="superscript"/>
        </w:rPr>
        <w:footnoteReference w:id="60"/>
      </w:r>
      <w:r w:rsidR="00BE07CA" w:rsidRPr="008F2D4F">
        <w:t xml:space="preserve"> noting the limited time SBI 45 will have to consider this matter due to the number of Convention and Kyoto Protocol bodies that will meet concurrently.</w:t>
      </w:r>
    </w:p>
    <w:p w14:paraId="2642E484" w14:textId="7C0788C3"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6F455EC9" w14:textId="48122AFA" w:rsidR="00BE07CA" w:rsidRDefault="000E0429" w:rsidP="000E0429">
      <w:pPr>
        <w:pStyle w:val="RegSingleTxtG"/>
        <w:numPr>
          <w:ilvl w:val="0"/>
          <w:numId w:val="0"/>
        </w:numPr>
        <w:tabs>
          <w:tab w:val="left" w:pos="568"/>
        </w:tabs>
        <w:ind w:left="1135"/>
      </w:pPr>
      <w:r>
        <w:t>93.</w:t>
      </w:r>
      <w:r>
        <w:tab/>
      </w:r>
      <w:r w:rsidR="00BE07CA">
        <w:t>The SBI welcomed the oral reports of the Chair of the Technology Executive Committee and the Director of the Climate Technology Centre and Network on their planned activities that could support Parties in their efforts to implement the Paris Agreement.</w:t>
      </w:r>
    </w:p>
    <w:p w14:paraId="5352461F" w14:textId="01D44971" w:rsidR="00BE07CA" w:rsidRDefault="000E0429" w:rsidP="000E0429">
      <w:pPr>
        <w:pStyle w:val="RegSingleTxtG"/>
        <w:numPr>
          <w:ilvl w:val="0"/>
          <w:numId w:val="0"/>
        </w:numPr>
        <w:tabs>
          <w:tab w:val="left" w:pos="568"/>
        </w:tabs>
        <w:ind w:left="1135"/>
      </w:pPr>
      <w:r>
        <w:t>94.</w:t>
      </w:r>
      <w:r>
        <w:tab/>
      </w:r>
      <w:r w:rsidR="00BE07CA">
        <w:t xml:space="preserve">The SBI noted that the scope of the periodic assessment of the Technology Mechanism referred to in decision 1/CP.21, paragraph 69 (hereinafter referred to as the periodic assessment), will be in the context of Article 10 of the Paris Agreement and will focus on: </w:t>
      </w:r>
    </w:p>
    <w:p w14:paraId="1658EBE8" w14:textId="0312C320" w:rsidR="00BE07CA" w:rsidRDefault="000E0429" w:rsidP="000E0429">
      <w:pPr>
        <w:pStyle w:val="RegSingleTxtG"/>
        <w:numPr>
          <w:ilvl w:val="0"/>
          <w:numId w:val="0"/>
        </w:numPr>
        <w:tabs>
          <w:tab w:val="left" w:pos="2269"/>
        </w:tabs>
        <w:ind w:left="1135" w:firstLine="567"/>
      </w:pPr>
      <w:r>
        <w:t>(a)</w:t>
      </w:r>
      <w:r>
        <w:tab/>
      </w:r>
      <w:r w:rsidR="00BE07CA">
        <w:t>The effectiveness of the Technology Mechanism in supporting the implementation of the Paris Agreement on matters relating to technology development and transfer;</w:t>
      </w:r>
    </w:p>
    <w:p w14:paraId="6C5ED22F" w14:textId="4A7EF1E5" w:rsidR="00BE07CA" w:rsidRDefault="000E0429" w:rsidP="000E0429">
      <w:pPr>
        <w:pStyle w:val="RegSingleTxtG"/>
        <w:numPr>
          <w:ilvl w:val="0"/>
          <w:numId w:val="0"/>
        </w:numPr>
        <w:tabs>
          <w:tab w:val="left" w:pos="2269"/>
        </w:tabs>
        <w:ind w:left="1135" w:firstLine="567"/>
      </w:pPr>
      <w:r>
        <w:t>(b)</w:t>
      </w:r>
      <w:r>
        <w:tab/>
      </w:r>
      <w:r w:rsidR="00BE07CA">
        <w:t>The adequacy of support provided to the Technology Mechanism in supporting the implementation of the Paris Agreement on matters relating to technology development and transfer.</w:t>
      </w:r>
    </w:p>
    <w:p w14:paraId="0CB24A0A" w14:textId="625DFB4F" w:rsidR="00BE07CA" w:rsidRDefault="000E0429" w:rsidP="000E0429">
      <w:pPr>
        <w:pStyle w:val="RegSingleTxtG"/>
        <w:numPr>
          <w:ilvl w:val="0"/>
          <w:numId w:val="0"/>
        </w:numPr>
        <w:tabs>
          <w:tab w:val="left" w:pos="568"/>
        </w:tabs>
        <w:ind w:left="1135"/>
      </w:pPr>
      <w:r>
        <w:t>95.</w:t>
      </w:r>
      <w:r>
        <w:tab/>
      </w:r>
      <w:r w:rsidR="00BE07CA">
        <w:t>The SBI acknowledged the need to consider, in elaborating the scope and modalities for the periodic assessment, information emanating from processes currently being undertaken under the Convention, inter alia:</w:t>
      </w:r>
      <w:r w:rsidR="00BE07CA" w:rsidRPr="00A44675">
        <w:t xml:space="preserve"> </w:t>
      </w:r>
    </w:p>
    <w:p w14:paraId="2ECF29F1" w14:textId="3D00CA4F" w:rsidR="00BE07CA" w:rsidRDefault="000E0429" w:rsidP="000E0429">
      <w:pPr>
        <w:pStyle w:val="RegSingleTxtG"/>
        <w:numPr>
          <w:ilvl w:val="0"/>
          <w:numId w:val="0"/>
        </w:numPr>
        <w:tabs>
          <w:tab w:val="left" w:pos="2269"/>
        </w:tabs>
        <w:ind w:left="1135" w:firstLine="567"/>
      </w:pPr>
      <w:r>
        <w:t>(a)</w:t>
      </w:r>
      <w:r>
        <w:tab/>
      </w:r>
      <w:r w:rsidR="00BE07CA">
        <w:t xml:space="preserve">The </w:t>
      </w:r>
      <w:r w:rsidR="00BE07CA" w:rsidRPr="008F2D4F">
        <w:t>review of the Climate Technology Centre and Network as referred to in decision 2/CP.17, annex VII, paragraph 20;</w:t>
      </w:r>
      <w:r w:rsidR="00BE07CA" w:rsidRPr="00876E0B">
        <w:rPr>
          <w:sz w:val="18"/>
          <w:vertAlign w:val="superscript"/>
        </w:rPr>
        <w:footnoteReference w:id="61"/>
      </w:r>
    </w:p>
    <w:p w14:paraId="5C88C0E4" w14:textId="3A968F35" w:rsidR="00BE07CA" w:rsidRDefault="000E0429" w:rsidP="000E0429">
      <w:pPr>
        <w:pStyle w:val="RegSingleTxtG"/>
        <w:numPr>
          <w:ilvl w:val="0"/>
          <w:numId w:val="0"/>
        </w:numPr>
        <w:tabs>
          <w:tab w:val="left" w:pos="2269"/>
        </w:tabs>
        <w:ind w:left="1135" w:firstLine="567"/>
      </w:pPr>
      <w:r>
        <w:t>(b)</w:t>
      </w:r>
      <w:r>
        <w:tab/>
      </w:r>
      <w:r w:rsidR="00BE07CA">
        <w:t>T</w:t>
      </w:r>
      <w:r w:rsidR="00BE07CA" w:rsidRPr="008F2D4F">
        <w:t>he development of the modalities for the global stocktake referred to in Article 14 of the Paris Agreement;</w:t>
      </w:r>
      <w:r w:rsidR="00BE07CA" w:rsidRPr="00876E0B">
        <w:rPr>
          <w:sz w:val="18"/>
          <w:vertAlign w:val="superscript"/>
        </w:rPr>
        <w:footnoteReference w:id="62"/>
      </w:r>
    </w:p>
    <w:p w14:paraId="055CC977" w14:textId="4E8AB6E0" w:rsidR="00BE07CA" w:rsidRDefault="000E0429" w:rsidP="000E0429">
      <w:pPr>
        <w:pStyle w:val="RegSingleTxtG"/>
        <w:numPr>
          <w:ilvl w:val="0"/>
          <w:numId w:val="0"/>
        </w:numPr>
        <w:tabs>
          <w:tab w:val="left" w:pos="2269"/>
        </w:tabs>
        <w:ind w:left="1135" w:firstLine="567"/>
      </w:pPr>
      <w:r>
        <w:t>(c)</w:t>
      </w:r>
      <w:r>
        <w:tab/>
      </w:r>
      <w:r w:rsidR="00BE07CA" w:rsidRPr="008F2D4F">
        <w:t>Work on transparency of action and support as referred to in Article 13 of the Paris Agreement;</w:t>
      </w:r>
    </w:p>
    <w:p w14:paraId="53A99D84" w14:textId="71FB3E1C" w:rsidR="00BE07CA" w:rsidRPr="008F2D4F" w:rsidRDefault="000E0429" w:rsidP="000E0429">
      <w:pPr>
        <w:pStyle w:val="RegSingleTxtG"/>
        <w:numPr>
          <w:ilvl w:val="0"/>
          <w:numId w:val="0"/>
        </w:numPr>
        <w:tabs>
          <w:tab w:val="left" w:pos="2269"/>
        </w:tabs>
        <w:ind w:left="1135" w:firstLine="567"/>
      </w:pPr>
      <w:r w:rsidRPr="008F2D4F">
        <w:lastRenderedPageBreak/>
        <w:t>(d)</w:t>
      </w:r>
      <w:r w:rsidRPr="008F2D4F">
        <w:tab/>
      </w:r>
      <w:r w:rsidR="00BE07CA" w:rsidRPr="008F2D4F">
        <w:t>The elaboration of the technology framework established under Article 10, paragraph 4, of the Paris Agreement.</w:t>
      </w:r>
    </w:p>
    <w:p w14:paraId="2D0CAF24" w14:textId="6085397C" w:rsidR="00BE07CA" w:rsidRDefault="000E0429" w:rsidP="000E0429">
      <w:pPr>
        <w:pStyle w:val="RegSingleTxtG"/>
        <w:keepNext/>
        <w:keepLines/>
        <w:numPr>
          <w:ilvl w:val="0"/>
          <w:numId w:val="0"/>
        </w:numPr>
        <w:tabs>
          <w:tab w:val="left" w:pos="568"/>
        </w:tabs>
        <w:ind w:left="1135"/>
      </w:pPr>
      <w:r>
        <w:t>96.</w:t>
      </w:r>
      <w:r>
        <w:tab/>
      </w:r>
      <w:r w:rsidR="00BE07CA" w:rsidRPr="008F2D4F">
        <w:t>The SBI invited Parties and observer organizations to submit their views</w:t>
      </w:r>
      <w:r w:rsidR="00BE07CA" w:rsidRPr="008F2D4F">
        <w:rPr>
          <w:rStyle w:val="FootnoteReference"/>
        </w:rPr>
        <w:footnoteReference w:id="63"/>
      </w:r>
      <w:r w:rsidR="00BE07CA" w:rsidRPr="008F2D4F">
        <w:t xml:space="preserve"> on the scope and modalities for the periodic assessment by 25 January 2017. It requested the</w:t>
      </w:r>
      <w:r w:rsidR="00BE07CA">
        <w:t xml:space="preserve"> secretariat to prepare a compilation and synthesis report of those views for consideration at SBI 46.</w:t>
      </w:r>
    </w:p>
    <w:p w14:paraId="5AA7B7EA" w14:textId="08967C5F" w:rsidR="00BE07CA" w:rsidRDefault="000E0429" w:rsidP="000E0429">
      <w:pPr>
        <w:pStyle w:val="RegHChG"/>
        <w:numPr>
          <w:ilvl w:val="0"/>
          <w:numId w:val="0"/>
        </w:numPr>
        <w:tabs>
          <w:tab w:val="left" w:pos="1135"/>
        </w:tabs>
        <w:spacing w:after="0"/>
        <w:ind w:left="1135" w:hanging="454"/>
        <w:rPr>
          <w:lang w:eastAsia="en-US"/>
        </w:rPr>
      </w:pPr>
      <w:bookmarkStart w:id="114" w:name="_Toc435527356"/>
      <w:bookmarkStart w:id="115" w:name="_Toc435526675"/>
      <w:bookmarkStart w:id="116" w:name="_Toc453078769"/>
      <w:bookmarkStart w:id="117" w:name="_Toc421881701"/>
      <w:bookmarkStart w:id="118" w:name="_Toc421268894"/>
      <w:r>
        <w:rPr>
          <w:lang w:eastAsia="en-US"/>
        </w:rPr>
        <w:t>XII.</w:t>
      </w:r>
      <w:r>
        <w:rPr>
          <w:lang w:eastAsia="en-US"/>
        </w:rPr>
        <w:tab/>
      </w:r>
      <w:r w:rsidR="00BE07CA">
        <w:rPr>
          <w:lang w:eastAsia="en-US"/>
        </w:rPr>
        <w:t>Capacity-building</w:t>
      </w:r>
      <w:bookmarkEnd w:id="114"/>
      <w:bookmarkEnd w:id="115"/>
      <w:r w:rsidR="00BE07CA">
        <w:rPr>
          <w:lang w:eastAsia="en-US"/>
        </w:rPr>
        <w:t xml:space="preserve"> in developing countries</w:t>
      </w:r>
      <w:bookmarkEnd w:id="116"/>
    </w:p>
    <w:p w14:paraId="6F4782EB" w14:textId="77777777" w:rsidR="00BE07CA" w:rsidRDefault="00BE07CA" w:rsidP="00BE07CA">
      <w:pPr>
        <w:pStyle w:val="SingleTxtG"/>
      </w:pPr>
      <w:r>
        <w:t>(Agenda item 12)</w:t>
      </w:r>
      <w:bookmarkEnd w:id="117"/>
      <w:bookmarkEnd w:id="118"/>
    </w:p>
    <w:p w14:paraId="25765554" w14:textId="60AA76C8" w:rsidR="00BE07CA" w:rsidRDefault="000E0429" w:rsidP="000E0429">
      <w:pPr>
        <w:pStyle w:val="RegH1G"/>
        <w:numPr>
          <w:ilvl w:val="0"/>
          <w:numId w:val="0"/>
        </w:numPr>
        <w:tabs>
          <w:tab w:val="left" w:pos="1135"/>
        </w:tabs>
        <w:spacing w:after="0"/>
        <w:ind w:left="1135" w:hanging="454"/>
        <w:rPr>
          <w:sz w:val="20"/>
        </w:rPr>
      </w:pPr>
      <w:bookmarkStart w:id="119" w:name="_Toc453078770"/>
      <w:bookmarkStart w:id="120" w:name="_Toc435527357"/>
      <w:bookmarkStart w:id="121" w:name="_Toc435526676"/>
      <w:bookmarkStart w:id="122" w:name="_Toc421881702"/>
      <w:bookmarkStart w:id="123" w:name="_Toc421268895"/>
      <w:r>
        <w:t>A.</w:t>
      </w:r>
      <w:r>
        <w:tab/>
      </w:r>
      <w:r w:rsidR="00BE07CA">
        <w:t>Third comprehensive review of the implementation of the framework for capacity-building under the Convention</w:t>
      </w:r>
      <w:bookmarkEnd w:id="119"/>
      <w:bookmarkEnd w:id="120"/>
      <w:bookmarkEnd w:id="121"/>
    </w:p>
    <w:p w14:paraId="47B436D4" w14:textId="77777777" w:rsidR="00BE07CA" w:rsidRDefault="00BE07CA" w:rsidP="00BE07CA">
      <w:pPr>
        <w:pStyle w:val="SingleTxtG"/>
      </w:pPr>
      <w:r>
        <w:t>(Agenda sub-item 12(a))</w:t>
      </w:r>
      <w:bookmarkEnd w:id="122"/>
      <w:bookmarkEnd w:id="123"/>
    </w:p>
    <w:p w14:paraId="67A84F82" w14:textId="0253B745"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3EFF2F07" w14:textId="615B302A" w:rsidR="00BE07CA" w:rsidRPr="008F2D4F" w:rsidRDefault="000E0429" w:rsidP="000E0429">
      <w:pPr>
        <w:pStyle w:val="RegSingleTxtG"/>
        <w:numPr>
          <w:ilvl w:val="0"/>
          <w:numId w:val="0"/>
        </w:numPr>
        <w:tabs>
          <w:tab w:val="left" w:pos="568"/>
        </w:tabs>
        <w:ind w:left="1135"/>
      </w:pPr>
      <w:r w:rsidRPr="008F2D4F">
        <w:t>97.</w:t>
      </w:r>
      <w:r w:rsidRPr="008F2D4F">
        <w:tab/>
      </w:r>
      <w:r w:rsidR="00BE07CA" w:rsidRPr="008F2D4F">
        <w:t xml:space="preserve">The SBI considered this agenda sub-item at its </w:t>
      </w:r>
      <w:r w:rsidR="00BE07CA" w:rsidRPr="008F2D4F">
        <w:rPr>
          <w:snapToGrid w:val="0"/>
        </w:rPr>
        <w:t>1</w:t>
      </w:r>
      <w:r w:rsidR="00BE07CA" w:rsidRPr="008F2D4F">
        <w:rPr>
          <w:snapToGrid w:val="0"/>
          <w:vertAlign w:val="superscript"/>
        </w:rPr>
        <w:t>st</w:t>
      </w:r>
      <w:r w:rsidR="00BE07CA" w:rsidRPr="008F2D4F">
        <w:rPr>
          <w:snapToGrid w:val="0"/>
        </w:rPr>
        <w:t xml:space="preserve"> and resumed 3</w:t>
      </w:r>
      <w:r w:rsidR="00BE07CA" w:rsidRPr="008F2D4F">
        <w:rPr>
          <w:snapToGrid w:val="0"/>
          <w:vertAlign w:val="superscript"/>
        </w:rPr>
        <w:t>rd</w:t>
      </w:r>
      <w:r w:rsidR="00BE07CA" w:rsidRPr="008F2D4F">
        <w:rPr>
          <w:snapToGrid w:val="0"/>
        </w:rPr>
        <w:t xml:space="preserve"> meetings and</w:t>
      </w:r>
      <w:r w:rsidR="00BE07CA" w:rsidRPr="008F2D4F">
        <w:t xml:space="preserve"> had before it documents FCCC/SBI/2016/3, FCCC/SBI/2016/4, FCCC/SBI/2016/MISC.1 and FCCC/TP/2016/1. At its </w:t>
      </w:r>
      <w:r w:rsidR="00BE07CA" w:rsidRPr="008F2D4F">
        <w:rPr>
          <w:snapToGrid w:val="0"/>
        </w:rPr>
        <w:t>1</w:t>
      </w:r>
      <w:r w:rsidR="00BE07CA" w:rsidRPr="008F2D4F">
        <w:rPr>
          <w:snapToGrid w:val="0"/>
          <w:vertAlign w:val="superscript"/>
        </w:rPr>
        <w:t>st</w:t>
      </w:r>
      <w:r w:rsidR="00BE07CA" w:rsidRPr="008F2D4F">
        <w:rPr>
          <w:snapToGrid w:val="0"/>
        </w:rPr>
        <w:t xml:space="preserve"> </w:t>
      </w:r>
      <w:r w:rsidR="00BE07CA" w:rsidRPr="008F2D4F">
        <w:t>meeting, the SBI agreed to consider this agenda sub-item in informal consultations co-facilitated by Mr. Crispin d’Auvergne (Saint Lucia) and Mr. Paul Watkinson (France). At its resumed 3</w:t>
      </w:r>
      <w:r w:rsidR="00BE07CA" w:rsidRPr="008F2D4F">
        <w:rPr>
          <w:vertAlign w:val="superscript"/>
        </w:rPr>
        <w:t>rd</w:t>
      </w:r>
      <w:r w:rsidR="00BE07CA" w:rsidRPr="008F2D4F">
        <w:t xml:space="preserve"> meeting, the SBI considered and adopted the conclusions below.</w:t>
      </w:r>
      <w:r w:rsidR="00BE07CA" w:rsidRPr="008F2D4F">
        <w:rPr>
          <w:rStyle w:val="FootnoteReference"/>
        </w:rPr>
        <w:footnoteReference w:id="64"/>
      </w:r>
    </w:p>
    <w:p w14:paraId="5EBC0299" w14:textId="4D0203DE"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6DBC865D" w14:textId="67441562" w:rsidR="00BE07CA" w:rsidRPr="008F2D4F" w:rsidRDefault="000E0429" w:rsidP="000E0429">
      <w:pPr>
        <w:pStyle w:val="RegSingleTxtG"/>
        <w:numPr>
          <w:ilvl w:val="0"/>
          <w:numId w:val="0"/>
        </w:numPr>
        <w:tabs>
          <w:tab w:val="left" w:pos="568"/>
        </w:tabs>
        <w:ind w:left="1135"/>
      </w:pPr>
      <w:bookmarkStart w:id="124" w:name="_Toc421268896"/>
      <w:r w:rsidRPr="008F2D4F">
        <w:t>98.</w:t>
      </w:r>
      <w:r w:rsidRPr="008F2D4F">
        <w:tab/>
      </w:r>
      <w:r w:rsidR="00BE07CA" w:rsidRPr="008F2D4F">
        <w:t xml:space="preserve">The SBI initiated, but did not conclude, its consideration of the third comprehensive review of the implementation of the framework for capacity-building in developing countries </w:t>
      </w:r>
      <w:r w:rsidR="00BE07CA" w:rsidRPr="008F2D4F">
        <w:rPr>
          <w:color w:val="000000"/>
        </w:rPr>
        <w:t>established under decision 2/CP.7</w:t>
      </w:r>
      <w:r w:rsidR="00BE07CA" w:rsidRPr="008F2D4F">
        <w:t>, in accordance with decision 14/CP.21, paragraph 2</w:t>
      </w:r>
      <w:r w:rsidR="00BE07CA">
        <w:t>. The SBI</w:t>
      </w:r>
      <w:r w:rsidR="00BE07CA" w:rsidRPr="008F2D4F">
        <w:t xml:space="preserve"> agreed to continue its consideration of this matter at SBI 45 on the basis of the draft decision text contained in the annex to document FCCC/SBI/2016/L.21, with a view to recommending a draft decision for consideration and adoption at COP 22.</w:t>
      </w:r>
    </w:p>
    <w:p w14:paraId="747B955E" w14:textId="15E0AC71" w:rsidR="00BE07CA" w:rsidRDefault="000E0429" w:rsidP="000E0429">
      <w:pPr>
        <w:pStyle w:val="RegH1G"/>
        <w:numPr>
          <w:ilvl w:val="0"/>
          <w:numId w:val="0"/>
        </w:numPr>
        <w:tabs>
          <w:tab w:val="left" w:pos="1135"/>
        </w:tabs>
        <w:spacing w:after="0"/>
        <w:ind w:left="1135" w:hanging="454"/>
        <w:rPr>
          <w:sz w:val="20"/>
        </w:rPr>
      </w:pPr>
      <w:bookmarkStart w:id="125" w:name="_Toc453078771"/>
      <w:bookmarkStart w:id="126" w:name="_Toc435527358"/>
      <w:bookmarkStart w:id="127" w:name="_Toc435526677"/>
      <w:bookmarkStart w:id="128" w:name="_Toc421881703"/>
      <w:r>
        <w:t>B.</w:t>
      </w:r>
      <w:r>
        <w:tab/>
      </w:r>
      <w:r w:rsidR="00BE07CA">
        <w:t>Third comprehensive review of the implementation of the framework for capacity-building under the Kyoto Protocol</w:t>
      </w:r>
      <w:bookmarkEnd w:id="125"/>
      <w:bookmarkEnd w:id="126"/>
      <w:bookmarkEnd w:id="127"/>
    </w:p>
    <w:p w14:paraId="441E3374" w14:textId="77777777" w:rsidR="00BE07CA" w:rsidRDefault="00BE07CA" w:rsidP="00BE07CA">
      <w:pPr>
        <w:pStyle w:val="SingleTxtG"/>
      </w:pPr>
      <w:r w:rsidRPr="00725383">
        <w:t>(Agenda sub-item 12(b))</w:t>
      </w:r>
      <w:bookmarkEnd w:id="124"/>
      <w:bookmarkEnd w:id="128"/>
    </w:p>
    <w:p w14:paraId="55A8D02B" w14:textId="77777777" w:rsidR="00BE07CA" w:rsidRDefault="00BE07CA" w:rsidP="000E0429">
      <w:pPr>
        <w:pStyle w:val="RegH23G"/>
        <w:numPr>
          <w:ilvl w:val="0"/>
          <w:numId w:val="0"/>
        </w:numPr>
        <w:ind w:left="1135" w:hanging="454"/>
      </w:pPr>
      <w:r>
        <w:t>Proceedings</w:t>
      </w:r>
    </w:p>
    <w:p w14:paraId="4846D218" w14:textId="53DE654A" w:rsidR="00BE07CA" w:rsidRPr="008F2D4F" w:rsidRDefault="000E0429" w:rsidP="000E0429">
      <w:pPr>
        <w:pStyle w:val="RegSingleTxtG"/>
        <w:numPr>
          <w:ilvl w:val="0"/>
          <w:numId w:val="0"/>
        </w:numPr>
        <w:tabs>
          <w:tab w:val="left" w:pos="568"/>
        </w:tabs>
        <w:ind w:left="1135"/>
      </w:pPr>
      <w:r w:rsidRPr="008F2D4F">
        <w:t>99.</w:t>
      </w:r>
      <w:r w:rsidRPr="008F2D4F">
        <w:tab/>
      </w:r>
      <w:r w:rsidR="00BE07CA" w:rsidRPr="008F2D4F">
        <w:t>The SBI considered this agenda sub-item at its 1</w:t>
      </w:r>
      <w:r w:rsidR="00BE07CA" w:rsidRPr="008F2D4F">
        <w:rPr>
          <w:vertAlign w:val="superscript"/>
        </w:rPr>
        <w:t>st</w:t>
      </w:r>
      <w:r w:rsidR="00BE07CA" w:rsidRPr="008F2D4F">
        <w:t xml:space="preserve"> and resumed 3</w:t>
      </w:r>
      <w:r w:rsidR="00BE07CA" w:rsidRPr="008F2D4F">
        <w:rPr>
          <w:vertAlign w:val="superscript"/>
        </w:rPr>
        <w:t>rd</w:t>
      </w:r>
      <w:r w:rsidR="00BE07CA" w:rsidRPr="008F2D4F">
        <w:t xml:space="preserve"> meetings</w:t>
      </w:r>
      <w:r w:rsidR="00BE07CA" w:rsidRPr="008F2D4F">
        <w:rPr>
          <w:snapToGrid w:val="0"/>
        </w:rPr>
        <w:t xml:space="preserve"> and</w:t>
      </w:r>
      <w:r w:rsidR="00BE07CA" w:rsidRPr="008F2D4F">
        <w:t xml:space="preserve"> had before it documents FCCC/SBI/2016/3, FCCC/SBI/2016/4, FCCC/SBI/2016/MISC.1 and FCCC/TP/2016/1. At its </w:t>
      </w:r>
      <w:r w:rsidR="00BE07CA" w:rsidRPr="008F2D4F">
        <w:rPr>
          <w:snapToGrid w:val="0"/>
        </w:rPr>
        <w:t>1</w:t>
      </w:r>
      <w:r w:rsidR="00BE07CA" w:rsidRPr="008F2D4F">
        <w:rPr>
          <w:snapToGrid w:val="0"/>
          <w:vertAlign w:val="superscript"/>
        </w:rPr>
        <w:t>st</w:t>
      </w:r>
      <w:r w:rsidR="00BE07CA" w:rsidRPr="008F2D4F">
        <w:rPr>
          <w:snapToGrid w:val="0"/>
        </w:rPr>
        <w:t xml:space="preserve"> </w:t>
      </w:r>
      <w:r w:rsidR="00BE07CA" w:rsidRPr="008F2D4F">
        <w:t>meeting, the SBI agreed to consider this agenda sub-item in informal consultations co-facilitated by Mr. d’Auvergne and Mr. Watkinson. At its resumed 3</w:t>
      </w:r>
      <w:r w:rsidR="00BE07CA" w:rsidRPr="008F2D4F">
        <w:rPr>
          <w:vertAlign w:val="superscript"/>
        </w:rPr>
        <w:t>rd</w:t>
      </w:r>
      <w:r w:rsidR="00BE07CA" w:rsidRPr="008F2D4F">
        <w:t xml:space="preserve"> meeting, the SBI decided to continue consideration of this agenda sub-item at SBI 45.</w:t>
      </w:r>
      <w:r w:rsidR="00BE07CA" w:rsidRPr="008F2D4F">
        <w:rPr>
          <w:rStyle w:val="FootnoteReference"/>
        </w:rPr>
        <w:footnoteReference w:id="65"/>
      </w:r>
      <w:r w:rsidR="00BE07CA" w:rsidRPr="008F2D4F">
        <w:t xml:space="preserve"> </w:t>
      </w:r>
    </w:p>
    <w:p w14:paraId="5FF6BFB4" w14:textId="1EC9BDCB" w:rsidR="00BE07CA" w:rsidRDefault="000E0429" w:rsidP="000E0429">
      <w:pPr>
        <w:pStyle w:val="RegH1G"/>
        <w:numPr>
          <w:ilvl w:val="0"/>
          <w:numId w:val="0"/>
        </w:numPr>
        <w:tabs>
          <w:tab w:val="left" w:pos="1135"/>
        </w:tabs>
        <w:spacing w:after="0"/>
        <w:ind w:left="1135" w:hanging="454"/>
        <w:rPr>
          <w:sz w:val="20"/>
        </w:rPr>
      </w:pPr>
      <w:bookmarkStart w:id="129" w:name="_Toc453078772"/>
      <w:r>
        <w:lastRenderedPageBreak/>
        <w:t>C.</w:t>
      </w:r>
      <w:r>
        <w:tab/>
      </w:r>
      <w:r w:rsidR="00BE07CA">
        <w:t>Terms of reference for the Paris Committee on Capacity-building</w:t>
      </w:r>
      <w:bookmarkEnd w:id="129"/>
    </w:p>
    <w:p w14:paraId="18254631" w14:textId="77777777" w:rsidR="00BE07CA" w:rsidRDefault="00BE07CA" w:rsidP="003C5590">
      <w:pPr>
        <w:pStyle w:val="SingleTxtG"/>
        <w:keepNext/>
      </w:pPr>
      <w:r>
        <w:t>(Agenda sub-item 12(c))</w:t>
      </w:r>
    </w:p>
    <w:p w14:paraId="69028B8F" w14:textId="704193A3"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21B0CAE9" w14:textId="516A2606" w:rsidR="00BE07CA" w:rsidRPr="008F2D4F" w:rsidRDefault="000E0429" w:rsidP="000E0429">
      <w:pPr>
        <w:pStyle w:val="RegSingleTxtG"/>
        <w:numPr>
          <w:ilvl w:val="0"/>
          <w:numId w:val="0"/>
        </w:numPr>
        <w:tabs>
          <w:tab w:val="left" w:pos="568"/>
        </w:tabs>
        <w:ind w:left="1135"/>
      </w:pPr>
      <w:r w:rsidRPr="008F2D4F">
        <w:t>100.</w:t>
      </w:r>
      <w:r w:rsidRPr="008F2D4F">
        <w:tab/>
      </w:r>
      <w:r w:rsidR="00BE07CA" w:rsidRPr="008F2D4F">
        <w:t>The SBI considered this agenda sub-item at its 1</w:t>
      </w:r>
      <w:r w:rsidR="00BE07CA" w:rsidRPr="008F2D4F">
        <w:rPr>
          <w:vertAlign w:val="superscript"/>
        </w:rPr>
        <w:t>st</w:t>
      </w:r>
      <w:r w:rsidR="00BE07CA" w:rsidRPr="008F2D4F">
        <w:t xml:space="preserve"> and resumed 3</w:t>
      </w:r>
      <w:r w:rsidR="00BE07CA" w:rsidRPr="008F2D4F">
        <w:rPr>
          <w:vertAlign w:val="superscript"/>
        </w:rPr>
        <w:t>rd</w:t>
      </w:r>
      <w:r w:rsidR="00BE07CA" w:rsidRPr="008F2D4F">
        <w:t xml:space="preserve"> meetings</w:t>
      </w:r>
      <w:r w:rsidR="00BE07CA" w:rsidRPr="008F2D4F">
        <w:rPr>
          <w:snapToGrid w:val="0"/>
        </w:rPr>
        <w:t xml:space="preserve"> and</w:t>
      </w:r>
      <w:r w:rsidR="00BE07CA" w:rsidRPr="008F2D4F">
        <w:t xml:space="preserve"> had before it document FCCC/SBI/2016/MISC.1. A representative of one Party made a statement.</w:t>
      </w:r>
      <w:r w:rsidR="00BE07CA" w:rsidRPr="008F2D4F">
        <w:rPr>
          <w:rStyle w:val="FootnoteReference"/>
        </w:rPr>
        <w:footnoteReference w:id="66"/>
      </w:r>
      <w:r w:rsidR="00BE07CA" w:rsidRPr="008F2D4F">
        <w:t xml:space="preserve"> At its </w:t>
      </w:r>
      <w:r w:rsidR="00BE07CA" w:rsidRPr="008F2D4F">
        <w:rPr>
          <w:snapToGrid w:val="0"/>
        </w:rPr>
        <w:t>1</w:t>
      </w:r>
      <w:r w:rsidR="00BE07CA" w:rsidRPr="008F2D4F">
        <w:rPr>
          <w:snapToGrid w:val="0"/>
          <w:vertAlign w:val="superscript"/>
        </w:rPr>
        <w:t>st</w:t>
      </w:r>
      <w:r w:rsidR="00BE07CA" w:rsidRPr="008F2D4F">
        <w:rPr>
          <w:snapToGrid w:val="0"/>
        </w:rPr>
        <w:t xml:space="preserve"> </w:t>
      </w:r>
      <w:r w:rsidR="00BE07CA" w:rsidRPr="008F2D4F">
        <w:t>meeting, the SBI agreed to consider this agenda sub-item in informal consultations co-facilitated by Mr. d’Auvergne and Mr. Watkinson. At its resumed 3</w:t>
      </w:r>
      <w:r w:rsidR="00BE07CA" w:rsidRPr="008F2D4F">
        <w:rPr>
          <w:vertAlign w:val="superscript"/>
        </w:rPr>
        <w:t>rd</w:t>
      </w:r>
      <w:r w:rsidR="00BE07CA" w:rsidRPr="008F2D4F">
        <w:t xml:space="preserve"> meeting, the SBI considered and adopted the conclusions below.</w:t>
      </w:r>
      <w:r w:rsidR="00BE07CA" w:rsidRPr="008F2D4F">
        <w:rPr>
          <w:rStyle w:val="FootnoteReference"/>
        </w:rPr>
        <w:footnoteReference w:id="67"/>
      </w:r>
      <w:r w:rsidR="00BE07CA" w:rsidRPr="008F2D4F">
        <w:t xml:space="preserve"> </w:t>
      </w:r>
    </w:p>
    <w:p w14:paraId="16651DF2" w14:textId="0A82A7C0"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403A8376" w14:textId="54318330" w:rsidR="00BE07CA" w:rsidRDefault="000E0429" w:rsidP="000E0429">
      <w:pPr>
        <w:pStyle w:val="RegSingleTxtG"/>
        <w:numPr>
          <w:ilvl w:val="0"/>
          <w:numId w:val="0"/>
        </w:numPr>
        <w:tabs>
          <w:tab w:val="left" w:pos="568"/>
        </w:tabs>
        <w:ind w:left="1135"/>
      </w:pPr>
      <w:r>
        <w:t>101.</w:t>
      </w:r>
      <w:r>
        <w:tab/>
      </w:r>
      <w:r w:rsidR="00BE07CA">
        <w:t>The SBI recommended a draft decision on the terms of reference for the Paris Committee on Capacity-building</w:t>
      </w:r>
      <w:r w:rsidR="00BE07CA">
        <w:rPr>
          <w:sz w:val="18"/>
          <w:vertAlign w:val="superscript"/>
        </w:rPr>
        <w:footnoteReference w:id="68"/>
      </w:r>
      <w:r w:rsidR="00BE07CA">
        <w:t xml:space="preserve"> for consideration and adoption at COP 22.</w:t>
      </w:r>
      <w:r w:rsidR="00A331E5">
        <w:rPr>
          <w:rStyle w:val="FootnoteReference"/>
        </w:rPr>
        <w:footnoteReference w:id="69"/>
      </w:r>
    </w:p>
    <w:p w14:paraId="1FD228B3" w14:textId="08523114" w:rsidR="00BE07CA" w:rsidRPr="008F2D4F" w:rsidRDefault="000E0429" w:rsidP="000E0429">
      <w:pPr>
        <w:pStyle w:val="RegSingleTxtG"/>
        <w:numPr>
          <w:ilvl w:val="0"/>
          <w:numId w:val="0"/>
        </w:numPr>
        <w:tabs>
          <w:tab w:val="left" w:pos="568"/>
        </w:tabs>
        <w:ind w:left="1135"/>
      </w:pPr>
      <w:r w:rsidRPr="008F2D4F">
        <w:t>102.</w:t>
      </w:r>
      <w:r w:rsidRPr="008F2D4F">
        <w:tab/>
      </w:r>
      <w:r w:rsidR="00BE07CA" w:rsidRPr="008F2D4F">
        <w:t>The SBI invited Parties to consider their nominations to the Paris Committee on Capacity-building, as outlined in the draft terms of reference referred to in paragraph 10</w:t>
      </w:r>
      <w:r w:rsidR="00BE07CA">
        <w:t>1</w:t>
      </w:r>
      <w:r w:rsidR="00BE07CA" w:rsidRPr="008F2D4F">
        <w:t xml:space="preserve"> above, with a view to the work of the Paris Committee on Capacity-building commencing at SBI 46.</w:t>
      </w:r>
    </w:p>
    <w:p w14:paraId="5C7024E8" w14:textId="59CC291D" w:rsidR="00BE07CA" w:rsidRPr="008F2D4F" w:rsidRDefault="000E0429" w:rsidP="000E0429">
      <w:pPr>
        <w:pStyle w:val="RegSingleTxtG"/>
        <w:numPr>
          <w:ilvl w:val="0"/>
          <w:numId w:val="0"/>
        </w:numPr>
        <w:tabs>
          <w:tab w:val="left" w:pos="568"/>
        </w:tabs>
        <w:ind w:left="1135"/>
      </w:pPr>
      <w:r w:rsidRPr="008F2D4F">
        <w:t>103.</w:t>
      </w:r>
      <w:r w:rsidRPr="008F2D4F">
        <w:tab/>
      </w:r>
      <w:r w:rsidR="00BE07CA" w:rsidRPr="008F2D4F">
        <w:t>The SBI invited Parties to submit,</w:t>
      </w:r>
      <w:r w:rsidR="00BE07CA" w:rsidRPr="008F2D4F">
        <w:rPr>
          <w:rStyle w:val="FootnoteReference"/>
        </w:rPr>
        <w:footnoteReference w:id="70"/>
      </w:r>
      <w:r w:rsidR="00BE07CA" w:rsidRPr="008F2D4F">
        <w:t xml:space="preserve"> by 29 August 2016, their views on the annual focus area or theme for the Paris Committee on Capacity-building for 2017, and on which representatives of the bodies established under the Convention and of the operating entities of the Financial Mechanism should be invited to the first meeting of the Paris Committee on Capacity-building, for consideration at SBI 45, with a view to the SBI making a recommendation on this matter for consideration and adoption at COP 22.</w:t>
      </w:r>
    </w:p>
    <w:p w14:paraId="5544B5DE" w14:textId="54154AE5" w:rsidR="00BE07CA" w:rsidRDefault="000E0429" w:rsidP="000E0429">
      <w:pPr>
        <w:pStyle w:val="RegHChG"/>
        <w:numPr>
          <w:ilvl w:val="0"/>
          <w:numId w:val="0"/>
        </w:numPr>
        <w:tabs>
          <w:tab w:val="left" w:pos="1135"/>
        </w:tabs>
        <w:spacing w:after="0"/>
        <w:ind w:left="1135" w:hanging="454"/>
        <w:rPr>
          <w:lang w:eastAsia="en-US"/>
        </w:rPr>
      </w:pPr>
      <w:bookmarkStart w:id="130" w:name="_Toc453078773"/>
      <w:r>
        <w:rPr>
          <w:lang w:eastAsia="en-US"/>
        </w:rPr>
        <w:t>XIII.</w:t>
      </w:r>
      <w:r>
        <w:rPr>
          <w:lang w:eastAsia="en-US"/>
        </w:rPr>
        <w:tab/>
      </w:r>
      <w:r w:rsidR="00BE07CA">
        <w:rPr>
          <w:lang w:eastAsia="en-US"/>
        </w:rPr>
        <w:t>Review of the Doha work programme on Article 6 of the Convention</w:t>
      </w:r>
      <w:bookmarkEnd w:id="130"/>
    </w:p>
    <w:p w14:paraId="4801DA78" w14:textId="77777777" w:rsidR="00BE07CA" w:rsidRDefault="00BE07CA" w:rsidP="00BE07CA">
      <w:pPr>
        <w:pStyle w:val="SingleTxtG"/>
      </w:pPr>
      <w:r>
        <w:t>(Agenda item 13)</w:t>
      </w:r>
    </w:p>
    <w:p w14:paraId="0A26F8C0" w14:textId="6315BD8A"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14219859" w14:textId="45F1AA0E" w:rsidR="00BE07CA" w:rsidRPr="008F2D4F" w:rsidRDefault="000E0429" w:rsidP="000E0429">
      <w:pPr>
        <w:pStyle w:val="RegSingleTxtG"/>
        <w:numPr>
          <w:ilvl w:val="0"/>
          <w:numId w:val="0"/>
        </w:numPr>
        <w:tabs>
          <w:tab w:val="left" w:pos="568"/>
        </w:tabs>
        <w:ind w:left="1135"/>
      </w:pPr>
      <w:r w:rsidRPr="008F2D4F">
        <w:t>104.</w:t>
      </w:r>
      <w:r w:rsidRPr="008F2D4F">
        <w:tab/>
      </w:r>
      <w:r w:rsidR="00BE07CA" w:rsidRPr="008F2D4F">
        <w:t>The SBI considered this agenda item at its 1</w:t>
      </w:r>
      <w:r w:rsidR="00BE07CA" w:rsidRPr="008F2D4F">
        <w:rPr>
          <w:vertAlign w:val="superscript"/>
        </w:rPr>
        <w:t>st</w:t>
      </w:r>
      <w:r w:rsidR="00BE07CA" w:rsidRPr="008F2D4F">
        <w:t>, 3</w:t>
      </w:r>
      <w:r w:rsidR="00BE07CA" w:rsidRPr="008F2D4F">
        <w:rPr>
          <w:vertAlign w:val="superscript"/>
        </w:rPr>
        <w:t>rd</w:t>
      </w:r>
      <w:r w:rsidR="00BE07CA" w:rsidRPr="008F2D4F">
        <w:t xml:space="preserve"> and resumed 3</w:t>
      </w:r>
      <w:r w:rsidR="00BE07CA" w:rsidRPr="008F2D4F">
        <w:rPr>
          <w:vertAlign w:val="superscript"/>
        </w:rPr>
        <w:t>rd</w:t>
      </w:r>
      <w:r w:rsidR="00BE07CA" w:rsidRPr="008F2D4F">
        <w:t xml:space="preserve"> meetings </w:t>
      </w:r>
      <w:r w:rsidR="00BE07CA" w:rsidRPr="008F2D4F">
        <w:rPr>
          <w:snapToGrid w:val="0"/>
        </w:rPr>
        <w:t>and</w:t>
      </w:r>
      <w:r w:rsidR="00BE07CA" w:rsidRPr="008F2D4F">
        <w:t xml:space="preserve"> had before it documents FCCC/SBI/2016/5 and FCCC/SBI/2016/6. Representatives of two Parties made statements. At its 1</w:t>
      </w:r>
      <w:r w:rsidR="00BE07CA" w:rsidRPr="008F2D4F">
        <w:rPr>
          <w:vertAlign w:val="superscript"/>
        </w:rPr>
        <w:t>st</w:t>
      </w:r>
      <w:r w:rsidR="00BE07CA" w:rsidRPr="008F2D4F">
        <w:t xml:space="preserve"> meeting, the SBI agreed to consider this agenda item in informal consultations facilitated by Mr. Albert Altarejos Magalang (Philippines). At its resumed 3</w:t>
      </w:r>
      <w:r w:rsidR="00BE07CA" w:rsidRPr="008F2D4F">
        <w:rPr>
          <w:vertAlign w:val="superscript"/>
        </w:rPr>
        <w:t>rd</w:t>
      </w:r>
      <w:r w:rsidR="00BE07CA" w:rsidRPr="008F2D4F">
        <w:t xml:space="preserve"> meeting, the SBI considered and adopted the conclusions below.</w:t>
      </w:r>
      <w:r w:rsidR="00BE07CA" w:rsidRPr="008F2D4F">
        <w:rPr>
          <w:sz w:val="18"/>
          <w:vertAlign w:val="superscript"/>
        </w:rPr>
        <w:footnoteReference w:id="71"/>
      </w:r>
    </w:p>
    <w:p w14:paraId="67DE4374" w14:textId="2EC490BF" w:rsidR="00BE07CA" w:rsidRDefault="000E0429" w:rsidP="000E0429">
      <w:pPr>
        <w:pStyle w:val="RegH23G"/>
        <w:numPr>
          <w:ilvl w:val="0"/>
          <w:numId w:val="0"/>
        </w:numPr>
        <w:tabs>
          <w:tab w:val="left" w:pos="1135"/>
        </w:tabs>
        <w:ind w:left="1135" w:hanging="454"/>
      </w:pPr>
      <w:r>
        <w:rPr>
          <w:bCs/>
        </w:rPr>
        <w:lastRenderedPageBreak/>
        <w:t>2.</w:t>
      </w:r>
      <w:r>
        <w:rPr>
          <w:bCs/>
        </w:rPr>
        <w:tab/>
      </w:r>
      <w:r w:rsidR="00BE07CA">
        <w:t>Conclusions</w:t>
      </w:r>
    </w:p>
    <w:p w14:paraId="54CEB106" w14:textId="46546572" w:rsidR="00BE07CA" w:rsidRDefault="000E0429" w:rsidP="000E0429">
      <w:pPr>
        <w:pStyle w:val="RegSingleTxtG"/>
        <w:numPr>
          <w:ilvl w:val="0"/>
          <w:numId w:val="0"/>
        </w:numPr>
        <w:tabs>
          <w:tab w:val="left" w:pos="568"/>
        </w:tabs>
        <w:ind w:left="1135"/>
      </w:pPr>
      <w:r>
        <w:t>105.</w:t>
      </w:r>
      <w:r>
        <w:tab/>
      </w:r>
      <w:r w:rsidR="00BE07CA">
        <w:t>The SBI welcomed the views of Parties,</w:t>
      </w:r>
      <w:r w:rsidR="00BE07CA">
        <w:rPr>
          <w:rStyle w:val="FootnoteReference"/>
        </w:rPr>
        <w:footnoteReference w:id="72"/>
      </w:r>
      <w:r w:rsidR="00BE07CA">
        <w:t xml:space="preserve"> admitted observer organizations and other stakeholders</w:t>
      </w:r>
      <w:r w:rsidR="00BE07CA">
        <w:rPr>
          <w:rStyle w:val="FootnoteReference"/>
        </w:rPr>
        <w:footnoteReference w:id="73"/>
      </w:r>
      <w:r w:rsidR="00BE07CA">
        <w:t xml:space="preserve"> on the organization of the 3</w:t>
      </w:r>
      <w:r w:rsidR="00BE07CA">
        <w:rPr>
          <w:vertAlign w:val="superscript"/>
        </w:rPr>
        <w:t>rd</w:t>
      </w:r>
      <w:r w:rsidR="00BE07CA">
        <w:t xml:space="preserve"> in-session Dialogue on Article 6 of the Convention and on the agenda for the 4</w:t>
      </w:r>
      <w:r w:rsidR="00BE07CA">
        <w:rPr>
          <w:vertAlign w:val="superscript"/>
        </w:rPr>
        <w:t>th</w:t>
      </w:r>
      <w:r w:rsidR="00BE07CA">
        <w:t xml:space="preserve"> in-session Dialogue on Action for Climate Empowerment, which were very useful in shaping the agenda and format of the 4</w:t>
      </w:r>
      <w:r w:rsidR="00BE07CA">
        <w:rPr>
          <w:vertAlign w:val="superscript"/>
        </w:rPr>
        <w:t>th</w:t>
      </w:r>
      <w:r w:rsidR="00BE07CA">
        <w:t xml:space="preserve"> Dialogue.</w:t>
      </w:r>
      <w:r w:rsidR="00BE07CA">
        <w:rPr>
          <w:rStyle w:val="FootnoteReference"/>
        </w:rPr>
        <w:footnoteReference w:id="74"/>
      </w:r>
    </w:p>
    <w:p w14:paraId="186A2500" w14:textId="2D2A2EDB" w:rsidR="00BE07CA" w:rsidRDefault="000E0429" w:rsidP="000E0429">
      <w:pPr>
        <w:pStyle w:val="RegSingleTxtG"/>
        <w:numPr>
          <w:ilvl w:val="0"/>
          <w:numId w:val="0"/>
        </w:numPr>
        <w:tabs>
          <w:tab w:val="left" w:pos="568"/>
        </w:tabs>
        <w:ind w:left="1135"/>
      </w:pPr>
      <w:r>
        <w:t>106.</w:t>
      </w:r>
      <w:r>
        <w:tab/>
      </w:r>
      <w:r w:rsidR="00BE07CA">
        <w:t>The SBI acknowledged the success of the 4</w:t>
      </w:r>
      <w:r w:rsidR="00BE07CA">
        <w:rPr>
          <w:vertAlign w:val="superscript"/>
        </w:rPr>
        <w:t>th</w:t>
      </w:r>
      <w:r w:rsidR="00BE07CA">
        <w:t xml:space="preserve"> Dialogue on Action for Climate Empowerment and expressed its gratitude to Parties, admitted observer organizations and other stakeholders for sharing experiences and exchanging ideas, good practices and lessons learned regarding public participation, public awareness, public access to information and international cooperation on these matters. Furthermore, the SBI looked forward to considering the report on the 4</w:t>
      </w:r>
      <w:r w:rsidR="00BE07CA">
        <w:rPr>
          <w:vertAlign w:val="superscript"/>
        </w:rPr>
        <w:t>th</w:t>
      </w:r>
      <w:r w:rsidR="00BE07CA">
        <w:t xml:space="preserve"> Dialogue on Action for Climate Empowerment at SBI 45.</w:t>
      </w:r>
    </w:p>
    <w:p w14:paraId="3B1A211B" w14:textId="10AF38FE" w:rsidR="00BE07CA" w:rsidRDefault="000E0429" w:rsidP="000E0429">
      <w:pPr>
        <w:pStyle w:val="RegSingleTxtG"/>
        <w:numPr>
          <w:ilvl w:val="0"/>
          <w:numId w:val="0"/>
        </w:numPr>
        <w:tabs>
          <w:tab w:val="left" w:pos="568"/>
        </w:tabs>
        <w:ind w:left="1135"/>
      </w:pPr>
      <w:r>
        <w:t>107.</w:t>
      </w:r>
      <w:r>
        <w:tab/>
      </w:r>
      <w:r w:rsidR="00BE07CA">
        <w:t>The SBI concluded that the annual in-session Dialogue on Action for Climate Empowerment will continue to be convened in conjunction with the sessions of the SBI taking place in Bonn.</w:t>
      </w:r>
    </w:p>
    <w:p w14:paraId="7474D3CF" w14:textId="3291712A" w:rsidR="00BE07CA" w:rsidRDefault="000E0429" w:rsidP="000E0429">
      <w:pPr>
        <w:pStyle w:val="RegSingleTxtG"/>
        <w:numPr>
          <w:ilvl w:val="0"/>
          <w:numId w:val="0"/>
        </w:numPr>
        <w:tabs>
          <w:tab w:val="left" w:pos="568"/>
        </w:tabs>
        <w:ind w:left="1135"/>
      </w:pPr>
      <w:r>
        <w:t>108.</w:t>
      </w:r>
      <w:r>
        <w:tab/>
      </w:r>
      <w:r w:rsidR="00BE07CA">
        <w:t>The SBI also concluded that upcoming sessions of the Dialogue on Action for Climate Empowerment need to take into account needs, gaps and barriers with respect to progress made in implementing the Doha work programme on Article 6 of the Convention.</w:t>
      </w:r>
    </w:p>
    <w:p w14:paraId="40EEA595" w14:textId="7D68A511" w:rsidR="00BE07CA" w:rsidRDefault="000E0429" w:rsidP="000E0429">
      <w:pPr>
        <w:pStyle w:val="RegSingleTxtG"/>
        <w:numPr>
          <w:ilvl w:val="0"/>
          <w:numId w:val="0"/>
        </w:numPr>
        <w:tabs>
          <w:tab w:val="left" w:pos="568"/>
        </w:tabs>
        <w:ind w:left="1135"/>
      </w:pPr>
      <w:r>
        <w:t>109.</w:t>
      </w:r>
      <w:r>
        <w:tab/>
      </w:r>
      <w:r w:rsidR="00BE07CA">
        <w:t>The SBI further concluded that the sessions of the Dialogue on Action for Climate Empowerment should focus on good practices and lessons learned on integrating the six elements of Article 6 of the Convention in relation to adaptation, mitigation, finance, transparency, technology development and transfer, and capacity-building.</w:t>
      </w:r>
    </w:p>
    <w:p w14:paraId="1E5328DC" w14:textId="354D9C0E" w:rsidR="00BE07CA" w:rsidRDefault="000E0429" w:rsidP="000E0429">
      <w:pPr>
        <w:pStyle w:val="RegSingleTxtG"/>
        <w:numPr>
          <w:ilvl w:val="0"/>
          <w:numId w:val="0"/>
        </w:numPr>
        <w:tabs>
          <w:tab w:val="left" w:pos="568"/>
        </w:tabs>
        <w:ind w:left="1135"/>
      </w:pPr>
      <w:r>
        <w:t>110.</w:t>
      </w:r>
      <w:r>
        <w:tab/>
      </w:r>
      <w:r w:rsidR="00BE07CA">
        <w:t>The SBI invited multilateral and bilateral institutions and organizations, including operating entities of the Financial Mechanism, to actively participate at upcoming sessions of the annual in-session Dialogue on Action for Climate Empowerment.</w:t>
      </w:r>
    </w:p>
    <w:p w14:paraId="775350B1" w14:textId="4B451BF0" w:rsidR="00BE07CA" w:rsidRPr="00DA074E" w:rsidRDefault="000E0429" w:rsidP="000E0429">
      <w:pPr>
        <w:pStyle w:val="RegSingleTxtG"/>
        <w:numPr>
          <w:ilvl w:val="0"/>
          <w:numId w:val="0"/>
        </w:numPr>
        <w:tabs>
          <w:tab w:val="left" w:pos="568"/>
        </w:tabs>
        <w:ind w:left="1135"/>
      </w:pPr>
      <w:r w:rsidRPr="00DA074E">
        <w:t>111.</w:t>
      </w:r>
      <w:r w:rsidRPr="00DA074E">
        <w:tab/>
      </w:r>
      <w:r w:rsidR="00BE07CA">
        <w:t xml:space="preserve">The SBI also invited Parties, </w:t>
      </w:r>
      <w:r w:rsidR="00BE07CA" w:rsidRPr="00DA074E">
        <w:t>admitted observer organizations and other stakeholders to submit, by 25 January 2017, their feedback on the organization of the 4</w:t>
      </w:r>
      <w:r w:rsidR="00BE07CA" w:rsidRPr="00DA074E">
        <w:rPr>
          <w:vertAlign w:val="superscript"/>
        </w:rPr>
        <w:t>th</w:t>
      </w:r>
      <w:r w:rsidR="00BE07CA" w:rsidRPr="00DA074E">
        <w:t xml:space="preserve"> Dialogue on Action for Climate Empowerment and their views on the agenda for the 5</w:t>
      </w:r>
      <w:r w:rsidR="00BE07CA" w:rsidRPr="00DA074E">
        <w:rPr>
          <w:vertAlign w:val="superscript"/>
        </w:rPr>
        <w:t>th</w:t>
      </w:r>
      <w:r w:rsidR="00BE07CA" w:rsidRPr="00DA074E">
        <w:t xml:space="preserve"> Dialogue, which will focus on climate change education, training and international cooperation on these matters.</w:t>
      </w:r>
      <w:r w:rsidR="00BE07CA" w:rsidRPr="00DA074E">
        <w:rPr>
          <w:rStyle w:val="FootnoteReference"/>
        </w:rPr>
        <w:footnoteReference w:id="75"/>
      </w:r>
    </w:p>
    <w:p w14:paraId="524B8F29" w14:textId="1B0C8B34" w:rsidR="00BE07CA" w:rsidRPr="00DA074E" w:rsidRDefault="000E0429" w:rsidP="000E0429">
      <w:pPr>
        <w:pStyle w:val="RegSingleTxtG"/>
        <w:numPr>
          <w:ilvl w:val="0"/>
          <w:numId w:val="0"/>
        </w:numPr>
        <w:tabs>
          <w:tab w:val="left" w:pos="568"/>
        </w:tabs>
        <w:ind w:left="1135"/>
      </w:pPr>
      <w:r w:rsidRPr="00DA074E">
        <w:t>112.</w:t>
      </w:r>
      <w:r w:rsidRPr="00DA074E">
        <w:tab/>
      </w:r>
      <w:r w:rsidR="00BE07CA" w:rsidRPr="00DA074E">
        <w:t>The SBI welcomed the submissions referred to in paragraph 11</w:t>
      </w:r>
      <w:r w:rsidR="00BE07CA">
        <w:t>1</w:t>
      </w:r>
      <w:r w:rsidR="00BE07CA" w:rsidRPr="00DA074E">
        <w:t xml:space="preserve"> above as input to the intermediate review of progress of the Doha work programme.</w:t>
      </w:r>
    </w:p>
    <w:p w14:paraId="37BFF149" w14:textId="7560BBAB" w:rsidR="00BE07CA" w:rsidRPr="00DA074E" w:rsidRDefault="000E0429" w:rsidP="000E0429">
      <w:pPr>
        <w:pStyle w:val="RegSingleTxtG"/>
        <w:numPr>
          <w:ilvl w:val="0"/>
          <w:numId w:val="0"/>
        </w:numPr>
        <w:tabs>
          <w:tab w:val="left" w:pos="568"/>
        </w:tabs>
        <w:ind w:left="1135"/>
      </w:pPr>
      <w:r w:rsidRPr="00DA074E">
        <w:t>113.</w:t>
      </w:r>
      <w:r w:rsidRPr="00DA074E">
        <w:tab/>
      </w:r>
      <w:r w:rsidR="00BE07CA" w:rsidRPr="00DA074E">
        <w:t>The SBI took note with appreciation of the synthesis report prepared by the secretariat on progress made in implementing the Doha work programme.</w:t>
      </w:r>
      <w:r w:rsidR="00BE07CA" w:rsidRPr="00DA074E">
        <w:rPr>
          <w:rStyle w:val="FootnoteReference"/>
        </w:rPr>
        <w:footnoteReference w:id="76"/>
      </w:r>
    </w:p>
    <w:p w14:paraId="59984BBE" w14:textId="5249D442" w:rsidR="00BE07CA" w:rsidRPr="00DA074E" w:rsidRDefault="000E0429" w:rsidP="000E0429">
      <w:pPr>
        <w:pStyle w:val="RegSingleTxtG"/>
        <w:numPr>
          <w:ilvl w:val="0"/>
          <w:numId w:val="0"/>
        </w:numPr>
        <w:tabs>
          <w:tab w:val="left" w:pos="568"/>
        </w:tabs>
        <w:ind w:left="1135"/>
      </w:pPr>
      <w:r w:rsidRPr="00DA074E">
        <w:t>114.</w:t>
      </w:r>
      <w:r w:rsidRPr="00DA074E">
        <w:tab/>
      </w:r>
      <w:r w:rsidR="00BE07CA" w:rsidRPr="00DA074E">
        <w:t>The SBI completed the intermediate review of progress made in implementing the Doha work programme and recommended a draft decision on improving the effectiveness of the Doha work programme for consideration and adoption at COP 22.</w:t>
      </w:r>
      <w:r w:rsidR="00A331E5">
        <w:rPr>
          <w:rStyle w:val="FootnoteReference"/>
        </w:rPr>
        <w:footnoteReference w:id="77"/>
      </w:r>
    </w:p>
    <w:p w14:paraId="429EAA24" w14:textId="12AE059B" w:rsidR="00BE07CA" w:rsidRPr="00DA074E" w:rsidRDefault="000E0429" w:rsidP="000E0429">
      <w:pPr>
        <w:pStyle w:val="RegHChG"/>
        <w:numPr>
          <w:ilvl w:val="0"/>
          <w:numId w:val="0"/>
        </w:numPr>
        <w:tabs>
          <w:tab w:val="left" w:pos="1135"/>
        </w:tabs>
        <w:spacing w:after="0"/>
        <w:ind w:left="1135" w:hanging="454"/>
        <w:rPr>
          <w:lang w:eastAsia="en-US"/>
        </w:rPr>
      </w:pPr>
      <w:bookmarkStart w:id="131" w:name="_Toc453078774"/>
      <w:r w:rsidRPr="00DA074E">
        <w:rPr>
          <w:lang w:eastAsia="en-US"/>
        </w:rPr>
        <w:lastRenderedPageBreak/>
        <w:t>XIV.</w:t>
      </w:r>
      <w:r w:rsidRPr="00DA074E">
        <w:rPr>
          <w:lang w:eastAsia="en-US"/>
        </w:rPr>
        <w:tab/>
      </w:r>
      <w:r w:rsidR="00BE07CA" w:rsidRPr="00DA074E">
        <w:rPr>
          <w:rFonts w:ascii="TimesNewRomanPSMT" w:eastAsia="Times New Roman" w:hAnsi="TimesNewRomanPSMT" w:cs="TimesNewRomanPSMT"/>
          <w:lang w:val="en-US" w:eastAsia="en-GB"/>
        </w:rPr>
        <w:t>Impact of the implementation of response measures</w:t>
      </w:r>
      <w:bookmarkEnd w:id="131"/>
    </w:p>
    <w:p w14:paraId="5BF1F30E" w14:textId="77777777" w:rsidR="00BE07CA" w:rsidRDefault="00BE07CA" w:rsidP="00BE07CA">
      <w:pPr>
        <w:pStyle w:val="SingleTxtG"/>
        <w:keepNext/>
        <w:spacing w:after="240"/>
      </w:pPr>
      <w:r>
        <w:t>(Agenda item 14)</w:t>
      </w:r>
    </w:p>
    <w:p w14:paraId="6C0640F7" w14:textId="342B234E" w:rsidR="00BE07CA" w:rsidRDefault="000E0429" w:rsidP="000E0429">
      <w:pPr>
        <w:pStyle w:val="RegH1G"/>
        <w:numPr>
          <w:ilvl w:val="0"/>
          <w:numId w:val="0"/>
        </w:numPr>
        <w:tabs>
          <w:tab w:val="left" w:pos="1135"/>
        </w:tabs>
        <w:spacing w:after="0"/>
        <w:ind w:left="1135" w:hanging="454"/>
        <w:rPr>
          <w:sz w:val="20"/>
        </w:rPr>
      </w:pPr>
      <w:bookmarkStart w:id="132" w:name="_Toc453078775"/>
      <w:bookmarkStart w:id="133" w:name="_Toc435527360"/>
      <w:bookmarkStart w:id="134" w:name="_Toc435526679"/>
      <w:bookmarkStart w:id="135" w:name="_Toc406647814"/>
      <w:r>
        <w:t>A.</w:t>
      </w:r>
      <w:r>
        <w:tab/>
      </w:r>
      <w:r w:rsidR="00BE07CA">
        <w:t>Improved forum and work programme</w:t>
      </w:r>
      <w:bookmarkEnd w:id="132"/>
      <w:bookmarkEnd w:id="133"/>
      <w:bookmarkEnd w:id="134"/>
    </w:p>
    <w:p w14:paraId="46F73E9D" w14:textId="77777777" w:rsidR="00BE07CA" w:rsidRDefault="00BE07CA" w:rsidP="00BE07CA">
      <w:pPr>
        <w:pStyle w:val="SingleTxtG"/>
        <w:spacing w:after="240"/>
      </w:pPr>
      <w:r>
        <w:t>(Agenda sub-item 14(a))</w:t>
      </w:r>
    </w:p>
    <w:p w14:paraId="1629E2AE" w14:textId="1249CC31"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5FE9F84A" w14:textId="46F07874" w:rsidR="00BE07CA" w:rsidRPr="00876E0B" w:rsidRDefault="000E0429" w:rsidP="000E0429">
      <w:pPr>
        <w:pStyle w:val="RegSingleTxtG"/>
        <w:numPr>
          <w:ilvl w:val="0"/>
          <w:numId w:val="0"/>
        </w:numPr>
        <w:tabs>
          <w:tab w:val="left" w:pos="568"/>
        </w:tabs>
        <w:ind w:left="1135"/>
      </w:pPr>
      <w:r w:rsidRPr="00876E0B">
        <w:t>115.</w:t>
      </w:r>
      <w:r w:rsidRPr="00876E0B">
        <w:tab/>
      </w:r>
      <w:r w:rsidR="00BE07CA" w:rsidRPr="00876E0B">
        <w:t xml:space="preserve">The SBI considered this agenda sub-item at its </w:t>
      </w:r>
      <w:r w:rsidR="00BE07CA" w:rsidRPr="00876E0B">
        <w:rPr>
          <w:snapToGrid w:val="0"/>
        </w:rPr>
        <w:t>1</w:t>
      </w:r>
      <w:r w:rsidR="00BE07CA" w:rsidRPr="00876E0B">
        <w:rPr>
          <w:snapToGrid w:val="0"/>
          <w:vertAlign w:val="superscript"/>
        </w:rPr>
        <w:t>st</w:t>
      </w:r>
      <w:r w:rsidR="00BE07CA" w:rsidRPr="00876E0B">
        <w:rPr>
          <w:snapToGrid w:val="0"/>
        </w:rPr>
        <w:t xml:space="preserve"> and resumed 3</w:t>
      </w:r>
      <w:r w:rsidR="00BE07CA" w:rsidRPr="00876E0B">
        <w:rPr>
          <w:snapToGrid w:val="0"/>
          <w:vertAlign w:val="superscript"/>
        </w:rPr>
        <w:t>rd</w:t>
      </w:r>
      <w:r w:rsidR="00BE07CA" w:rsidRPr="00876E0B">
        <w:rPr>
          <w:snapToGrid w:val="0"/>
        </w:rPr>
        <w:t xml:space="preserve"> meetings and</w:t>
      </w:r>
      <w:r w:rsidR="00BE07CA" w:rsidRPr="00876E0B">
        <w:t xml:space="preserve"> had before it documents FCCC/TP/2016/3 and FCCC/TP/2016/4. At its </w:t>
      </w:r>
      <w:r w:rsidR="00BE07CA" w:rsidRPr="00876E0B">
        <w:rPr>
          <w:snapToGrid w:val="0"/>
        </w:rPr>
        <w:t>1</w:t>
      </w:r>
      <w:r w:rsidR="00BE07CA" w:rsidRPr="00876E0B">
        <w:rPr>
          <w:snapToGrid w:val="0"/>
          <w:vertAlign w:val="superscript"/>
        </w:rPr>
        <w:t>st</w:t>
      </w:r>
      <w:r w:rsidR="00BE07CA" w:rsidRPr="00876E0B">
        <w:rPr>
          <w:snapToGrid w:val="0"/>
        </w:rPr>
        <w:t xml:space="preserve"> </w:t>
      </w:r>
      <w:r w:rsidR="00BE07CA" w:rsidRPr="00876E0B">
        <w:t>meeting, the SBI agreed to consider this agenda sub-item together with agenda sub-item 7(a) of the Subsidiary Body for Scientific and Technological Advice (SBSTA) in a contact group co-chaired by the Chair of the SBI and the Chair of the SBSTA, Mr. Carlos Fuller (Belize),</w:t>
      </w:r>
      <w:r w:rsidR="00BE07CA" w:rsidRPr="00876E0B">
        <w:rPr>
          <w:lang w:eastAsia="en-GB"/>
        </w:rPr>
        <w:t xml:space="preserve"> assisted by Ms. Natalya Kushko (Ukraine) and Mr. Andrei Marcu (Panama)</w:t>
      </w:r>
      <w:r w:rsidR="00BE07CA" w:rsidRPr="00876E0B">
        <w:t>. The SBI also agreed to consider this agenda sub-item at this session jointly with SBI agenda sub-items 14(b), (c) and (d). At its resumed 3</w:t>
      </w:r>
      <w:r w:rsidR="00BE07CA" w:rsidRPr="00876E0B">
        <w:rPr>
          <w:vertAlign w:val="superscript"/>
        </w:rPr>
        <w:t>rd</w:t>
      </w:r>
      <w:r w:rsidR="00BE07CA" w:rsidRPr="00876E0B">
        <w:t xml:space="preserve"> meeting, the SBI considered and adopted the conclusions below.</w:t>
      </w:r>
      <w:r w:rsidR="00BE07CA" w:rsidRPr="00876E0B">
        <w:rPr>
          <w:rStyle w:val="FootnoteReference"/>
        </w:rPr>
        <w:footnoteReference w:id="78"/>
      </w:r>
    </w:p>
    <w:p w14:paraId="2DE708E0" w14:textId="7F9309EB"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134C32A0" w14:textId="083BF783" w:rsidR="00BE07CA" w:rsidRDefault="000E0429" w:rsidP="000E0429">
      <w:pPr>
        <w:pStyle w:val="RegSingleTxtG"/>
        <w:numPr>
          <w:ilvl w:val="0"/>
          <w:numId w:val="0"/>
        </w:numPr>
        <w:tabs>
          <w:tab w:val="left" w:pos="568"/>
        </w:tabs>
        <w:ind w:left="1135"/>
      </w:pPr>
      <w:r>
        <w:t>116.</w:t>
      </w:r>
      <w:r>
        <w:tab/>
      </w:r>
      <w:r w:rsidR="00BE07CA">
        <w:t>The SBI and the SBSTA considered the technical paper</w:t>
      </w:r>
      <w:r w:rsidR="00BE07CA">
        <w:rPr>
          <w:rStyle w:val="FootnoteReference"/>
        </w:rPr>
        <w:footnoteReference w:id="79"/>
      </w:r>
      <w:r w:rsidR="00BE07CA">
        <w:t xml:space="preserve"> prepared by the secretariat to assist developing country Parties in assessing the impact of the implementation of response measures, including the use of modelling tools, and the technical paper</w:t>
      </w:r>
      <w:r w:rsidR="00BE07CA">
        <w:rPr>
          <w:rStyle w:val="FootnoteReference"/>
        </w:rPr>
        <w:footnoteReference w:id="80"/>
      </w:r>
      <w:r w:rsidR="00BE07CA">
        <w:t xml:space="preserve"> to assist developing country Parties in their economic diversification initiatives. The SBI and the SBSTA encouraged developing country Parties to use these technical papers as guidance in their assessment of the impact of the implementation of response measures and their economic diversification initiatives. The SBI and the SBSTA noted that Parties considered the information contained in these technical papers for the purposes of advancing their work on the work programme on the impact of the implementation of response measures.</w:t>
      </w:r>
    </w:p>
    <w:p w14:paraId="6D3ECEE8" w14:textId="646B6CDB" w:rsidR="00BE07CA" w:rsidRDefault="000E0429" w:rsidP="000E0429">
      <w:pPr>
        <w:pStyle w:val="RegSingleTxtG"/>
        <w:numPr>
          <w:ilvl w:val="0"/>
          <w:numId w:val="0"/>
        </w:numPr>
        <w:tabs>
          <w:tab w:val="left" w:pos="568"/>
        </w:tabs>
        <w:ind w:left="1135"/>
      </w:pPr>
      <w:r>
        <w:t>117.</w:t>
      </w:r>
      <w:r>
        <w:tab/>
      </w:r>
      <w:r w:rsidR="00BE07CA">
        <w:t>The SBI and the SBSTA welcomed the offer by a Gulf Cooperation Council country to host a workshop to enhance work under the improved forum.</w:t>
      </w:r>
    </w:p>
    <w:p w14:paraId="1D948F9F" w14:textId="60061549" w:rsidR="00BE07CA" w:rsidRDefault="000E0429" w:rsidP="000E0429">
      <w:pPr>
        <w:pStyle w:val="RegSingleTxtG"/>
        <w:numPr>
          <w:ilvl w:val="0"/>
          <w:numId w:val="0"/>
        </w:numPr>
        <w:tabs>
          <w:tab w:val="left" w:pos="568"/>
        </w:tabs>
        <w:ind w:left="1135"/>
      </w:pPr>
      <w:r>
        <w:t>118.</w:t>
      </w:r>
      <w:r>
        <w:tab/>
      </w:r>
      <w:r w:rsidR="00BE07CA">
        <w:t>The SBI and the SBSTA noted the interest of some Parties in a high-level event on economic diversification and sustainable development to be held at COP 22.</w:t>
      </w:r>
    </w:p>
    <w:p w14:paraId="67568B78" w14:textId="7501C597" w:rsidR="00BE07CA" w:rsidRPr="00DA074E" w:rsidRDefault="000E0429" w:rsidP="000E0429">
      <w:pPr>
        <w:pStyle w:val="RegSingleTxtG"/>
        <w:numPr>
          <w:ilvl w:val="0"/>
          <w:numId w:val="0"/>
        </w:numPr>
        <w:tabs>
          <w:tab w:val="left" w:pos="568"/>
        </w:tabs>
        <w:ind w:left="1135"/>
      </w:pPr>
      <w:r w:rsidRPr="00DA074E">
        <w:t>119.</w:t>
      </w:r>
      <w:r w:rsidRPr="00DA074E">
        <w:tab/>
      </w:r>
      <w:r w:rsidR="00BE07CA">
        <w:t xml:space="preserve">The SBI and the SBSTA </w:t>
      </w:r>
      <w:r w:rsidR="00BE07CA" w:rsidRPr="00DA074E">
        <w:t xml:space="preserve">convened the first meeting of the improved forum on the impact of the implementation of response measures in accordance with decision 11/CP.21 and agreed to implement the work programme on the impact of the implementation of response measures as contained in annex </w:t>
      </w:r>
      <w:r w:rsidR="00E003CC">
        <w:t>I</w:t>
      </w:r>
      <w:r w:rsidR="00BE07CA" w:rsidRPr="00DA074E">
        <w:t>I, under the guidance of the Chairs of the SBI and the SBSTA.</w:t>
      </w:r>
    </w:p>
    <w:p w14:paraId="7E316A15" w14:textId="087E6BFF" w:rsidR="00BE07CA" w:rsidRPr="00DA074E" w:rsidRDefault="000E0429" w:rsidP="000E0429">
      <w:pPr>
        <w:pStyle w:val="RegSingleTxtG"/>
        <w:numPr>
          <w:ilvl w:val="0"/>
          <w:numId w:val="0"/>
        </w:numPr>
        <w:tabs>
          <w:tab w:val="left" w:pos="568"/>
        </w:tabs>
        <w:ind w:left="1135"/>
      </w:pPr>
      <w:r w:rsidRPr="00DA074E">
        <w:t>120.</w:t>
      </w:r>
      <w:r w:rsidRPr="00DA074E">
        <w:tab/>
      </w:r>
      <w:r w:rsidR="00BE07CA" w:rsidRPr="00DA074E">
        <w:t>The SBI and the SBSTA also agreed that in order to advance the work of the improved forum, the ad hoc technical expert groups</w:t>
      </w:r>
      <w:r w:rsidR="00BE07CA" w:rsidRPr="00DA074E">
        <w:rPr>
          <w:rStyle w:val="FootnoteReference"/>
        </w:rPr>
        <w:footnoteReference w:id="81"/>
      </w:r>
      <w:r w:rsidR="00BE07CA" w:rsidRPr="00DA074E">
        <w:t xml:space="preserve"> shall function in accordance with the terms of reference contained in annex I</w:t>
      </w:r>
      <w:r w:rsidR="00D46DE0">
        <w:t>I</w:t>
      </w:r>
      <w:r w:rsidR="00BE07CA" w:rsidRPr="00DA074E">
        <w:t>I.</w:t>
      </w:r>
    </w:p>
    <w:p w14:paraId="48BFB29F" w14:textId="664BE433" w:rsidR="00BE07CA" w:rsidRPr="00DA074E" w:rsidRDefault="000E0429" w:rsidP="000E0429">
      <w:pPr>
        <w:pStyle w:val="RegSingleTxtG"/>
        <w:numPr>
          <w:ilvl w:val="0"/>
          <w:numId w:val="0"/>
        </w:numPr>
        <w:tabs>
          <w:tab w:val="left" w:pos="568"/>
        </w:tabs>
        <w:ind w:left="1135"/>
        <w:rPr>
          <w:u w:val="single"/>
        </w:rPr>
      </w:pPr>
      <w:r w:rsidRPr="00DA074E">
        <w:lastRenderedPageBreak/>
        <w:t>121.</w:t>
      </w:r>
      <w:r w:rsidRPr="00DA074E">
        <w:tab/>
      </w:r>
      <w:r w:rsidR="00BE07CA" w:rsidRPr="00DA074E">
        <w:t>The SBI and the SBSTA requested the secretariat to support, under the guidance of the Chairs of the SBI and the SBSTA, the implementation of the work programme, including the activities of the ad hoc technical expert groups.</w:t>
      </w:r>
    </w:p>
    <w:p w14:paraId="7D345580" w14:textId="5105CB0F" w:rsidR="00BE07CA" w:rsidRPr="00DA074E" w:rsidRDefault="000E0429" w:rsidP="000E0429">
      <w:pPr>
        <w:pStyle w:val="RegSingleTxtG"/>
        <w:numPr>
          <w:ilvl w:val="0"/>
          <w:numId w:val="0"/>
        </w:numPr>
        <w:tabs>
          <w:tab w:val="left" w:pos="568"/>
        </w:tabs>
        <w:ind w:left="1135"/>
        <w:rPr>
          <w:u w:val="single"/>
        </w:rPr>
      </w:pPr>
      <w:r w:rsidRPr="00DA074E">
        <w:t>122.</w:t>
      </w:r>
      <w:r w:rsidRPr="00DA074E">
        <w:tab/>
      </w:r>
      <w:r w:rsidR="00BE07CA" w:rsidRPr="00DA074E">
        <w:rPr>
          <w:iCs/>
        </w:rPr>
        <w:t xml:space="preserve">The SBI and the SBSTA took note </w:t>
      </w:r>
      <w:r w:rsidR="00BE07CA" w:rsidRPr="00DA074E">
        <w:t>of the estimated budgetary implications of the actions to be undertaken by the secretariat referred to in paragraphs 11</w:t>
      </w:r>
      <w:r w:rsidR="00BE07CA">
        <w:t>9</w:t>
      </w:r>
      <w:r w:rsidR="00BE07CA" w:rsidRPr="00DA074E">
        <w:t>–12</w:t>
      </w:r>
      <w:r w:rsidR="00BE07CA">
        <w:t>1</w:t>
      </w:r>
      <w:r w:rsidR="00BE07CA" w:rsidRPr="00DA074E">
        <w:t xml:space="preserve"> above.</w:t>
      </w:r>
    </w:p>
    <w:p w14:paraId="5BC1043D" w14:textId="099C6CC7" w:rsidR="00BE07CA" w:rsidRPr="00DA074E" w:rsidRDefault="000E0429" w:rsidP="000E0429">
      <w:pPr>
        <w:pStyle w:val="RegSingleTxtG"/>
        <w:numPr>
          <w:ilvl w:val="0"/>
          <w:numId w:val="0"/>
        </w:numPr>
        <w:tabs>
          <w:tab w:val="left" w:pos="568"/>
        </w:tabs>
        <w:ind w:left="1135"/>
      </w:pPr>
      <w:r w:rsidRPr="00DA074E">
        <w:t>123.</w:t>
      </w:r>
      <w:r w:rsidRPr="00DA074E">
        <w:tab/>
      </w:r>
      <w:r w:rsidR="00BE07CA" w:rsidRPr="00DA074E">
        <w:t>The SBI and the SBSTA requested that the actions of the secretariat called for in these conclusions be undertaken subject to the availability of financial resources.</w:t>
      </w:r>
    </w:p>
    <w:p w14:paraId="16CC71DA" w14:textId="637B3B3D" w:rsidR="00BE07CA" w:rsidRDefault="000E0429" w:rsidP="000E0429">
      <w:pPr>
        <w:pStyle w:val="RegH1G"/>
        <w:numPr>
          <w:ilvl w:val="0"/>
          <w:numId w:val="0"/>
        </w:numPr>
        <w:tabs>
          <w:tab w:val="left" w:pos="1135"/>
        </w:tabs>
        <w:spacing w:after="0"/>
        <w:ind w:left="1135" w:hanging="454"/>
        <w:rPr>
          <w:sz w:val="20"/>
        </w:rPr>
      </w:pPr>
      <w:bookmarkStart w:id="136" w:name="_Toc453078776"/>
      <w:bookmarkStart w:id="137" w:name="_Toc435527361"/>
      <w:bookmarkStart w:id="138" w:name="_Toc435526680"/>
      <w:r>
        <w:t>B.</w:t>
      </w:r>
      <w:r>
        <w:tab/>
      </w:r>
      <w:r w:rsidR="00BE07CA">
        <w:rPr>
          <w:rFonts w:ascii="TimesNewRomanPSMT" w:eastAsia="Times New Roman" w:hAnsi="TimesNewRomanPSMT" w:cs="TimesNewRomanPSMT"/>
          <w:lang w:val="en-US" w:eastAsia="en-GB"/>
        </w:rPr>
        <w:t>Modalities, work programme and functions under the Paris Agreement of the forum on the impact of the implementation of response measures</w:t>
      </w:r>
      <w:bookmarkEnd w:id="136"/>
    </w:p>
    <w:p w14:paraId="3C387BEE" w14:textId="77777777" w:rsidR="00BE07CA" w:rsidRDefault="00BE07CA" w:rsidP="00BE07CA">
      <w:pPr>
        <w:pStyle w:val="SingleTxtG"/>
      </w:pPr>
      <w:r>
        <w:t>(Agenda sub-item 14(b))</w:t>
      </w:r>
    </w:p>
    <w:p w14:paraId="5DF73B17" w14:textId="57BC0791"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70A2D531" w14:textId="18142429" w:rsidR="00BE07CA" w:rsidRPr="00DA074E" w:rsidRDefault="000E0429" w:rsidP="000E0429">
      <w:pPr>
        <w:pStyle w:val="RegSingleTxtG"/>
        <w:numPr>
          <w:ilvl w:val="0"/>
          <w:numId w:val="0"/>
        </w:numPr>
        <w:tabs>
          <w:tab w:val="left" w:pos="568"/>
        </w:tabs>
        <w:ind w:left="1135"/>
      </w:pPr>
      <w:r w:rsidRPr="00DA074E">
        <w:t>124.</w:t>
      </w:r>
      <w:r w:rsidRPr="00DA074E">
        <w:tab/>
      </w:r>
      <w:r w:rsidR="00BE07CA" w:rsidRPr="00DA074E">
        <w:t xml:space="preserve">The SBI considered this agenda sub-item at its </w:t>
      </w:r>
      <w:r w:rsidR="00BE07CA" w:rsidRPr="00DA074E">
        <w:rPr>
          <w:snapToGrid w:val="0"/>
          <w:color w:val="000000" w:themeColor="text1"/>
        </w:rPr>
        <w:t>1</w:t>
      </w:r>
      <w:r w:rsidR="00BE07CA" w:rsidRPr="00DA074E">
        <w:rPr>
          <w:snapToGrid w:val="0"/>
          <w:color w:val="000000" w:themeColor="text1"/>
          <w:vertAlign w:val="superscript"/>
        </w:rPr>
        <w:t>st</w:t>
      </w:r>
      <w:r w:rsidR="00BE07CA" w:rsidRPr="00DA074E">
        <w:rPr>
          <w:snapToGrid w:val="0"/>
          <w:color w:val="000000" w:themeColor="text1"/>
        </w:rPr>
        <w:t xml:space="preserve"> and resumed 3</w:t>
      </w:r>
      <w:r w:rsidR="00BE07CA" w:rsidRPr="00DA074E">
        <w:rPr>
          <w:snapToGrid w:val="0"/>
          <w:color w:val="000000" w:themeColor="text1"/>
          <w:vertAlign w:val="superscript"/>
        </w:rPr>
        <w:t>rd</w:t>
      </w:r>
      <w:r w:rsidR="00BE07CA" w:rsidRPr="00DA074E">
        <w:rPr>
          <w:snapToGrid w:val="0"/>
          <w:color w:val="000000" w:themeColor="text1"/>
        </w:rPr>
        <w:t xml:space="preserve"> meetings</w:t>
      </w:r>
      <w:r w:rsidR="00BE07CA" w:rsidRPr="00DA074E">
        <w:rPr>
          <w:color w:val="000000" w:themeColor="text1"/>
        </w:rPr>
        <w:t xml:space="preserve">. </w:t>
      </w:r>
      <w:r w:rsidR="00BE07CA" w:rsidRPr="00DA074E">
        <w:t>At its 1</w:t>
      </w:r>
      <w:r w:rsidR="00BE07CA" w:rsidRPr="00DA074E">
        <w:rPr>
          <w:vertAlign w:val="superscript"/>
        </w:rPr>
        <w:t>st</w:t>
      </w:r>
      <w:r w:rsidR="00BE07CA" w:rsidRPr="00DA074E">
        <w:t xml:space="preserve"> meeting, the SBI agreed to consider this agenda sub-item jointly with SBI agenda sub-item 14(a) and SBSTA agenda sub-item 7(a). At its resumed 3</w:t>
      </w:r>
      <w:r w:rsidR="00BE07CA" w:rsidRPr="00DA074E">
        <w:rPr>
          <w:vertAlign w:val="superscript"/>
        </w:rPr>
        <w:t>rd</w:t>
      </w:r>
      <w:r w:rsidR="00BE07CA" w:rsidRPr="00DA074E">
        <w:t xml:space="preserve"> meeting, the SBI considered and adopted the conclusions below.</w:t>
      </w:r>
      <w:r w:rsidR="00BE07CA" w:rsidRPr="00DA074E">
        <w:rPr>
          <w:rStyle w:val="FootnoteReference"/>
        </w:rPr>
        <w:footnoteReference w:id="82"/>
      </w:r>
    </w:p>
    <w:p w14:paraId="31D9B1F6" w14:textId="5CA74522"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078CF945" w14:textId="1E451E47" w:rsidR="00BE07CA" w:rsidRPr="00DA074E" w:rsidRDefault="000E0429" w:rsidP="000E0429">
      <w:pPr>
        <w:pStyle w:val="RegSingleTxtG"/>
        <w:numPr>
          <w:ilvl w:val="0"/>
          <w:numId w:val="0"/>
        </w:numPr>
        <w:tabs>
          <w:tab w:val="left" w:pos="568"/>
        </w:tabs>
        <w:ind w:left="1135"/>
      </w:pPr>
      <w:r w:rsidRPr="00DA074E">
        <w:t>125.</w:t>
      </w:r>
      <w:r w:rsidRPr="00DA074E">
        <w:tab/>
      </w:r>
      <w:r w:rsidR="00BE07CA" w:rsidRPr="00DA074E">
        <w:t xml:space="preserve">The SBI and the SBSTA initiated their consideration of the modalities, work programme and functions under the Paris Agreement of the forum on the impact of the implementation of response measures, in accordance with decision 1/CP.21, paragraph 34. </w:t>
      </w:r>
    </w:p>
    <w:p w14:paraId="464389CF" w14:textId="2F8BB901" w:rsidR="00BE07CA" w:rsidRDefault="000E0429" w:rsidP="000E0429">
      <w:pPr>
        <w:pStyle w:val="RegSingleTxtG"/>
        <w:numPr>
          <w:ilvl w:val="0"/>
          <w:numId w:val="0"/>
        </w:numPr>
        <w:tabs>
          <w:tab w:val="left" w:pos="568"/>
        </w:tabs>
        <w:ind w:left="1135"/>
      </w:pPr>
      <w:r>
        <w:t>126.</w:t>
      </w:r>
      <w:r>
        <w:tab/>
      </w:r>
      <w:r w:rsidR="00BE07CA">
        <w:t>The SBI and the SBSTA invited Parties and observer organizations to submit, by 12 September 2016, their views on the modalities, work programme and functions under the Paris Agreement of the forum on the impact of the implementation of response measures.</w:t>
      </w:r>
      <w:r w:rsidR="00BE07CA">
        <w:rPr>
          <w:rStyle w:val="FootnoteReference"/>
          <w:color w:val="000000"/>
        </w:rPr>
        <w:footnoteReference w:id="83"/>
      </w:r>
    </w:p>
    <w:p w14:paraId="280A9774" w14:textId="56B66D4B" w:rsidR="00BE07CA" w:rsidRPr="00DA074E" w:rsidRDefault="000E0429" w:rsidP="000E0429">
      <w:pPr>
        <w:pStyle w:val="RegSingleTxtG"/>
        <w:numPr>
          <w:ilvl w:val="0"/>
          <w:numId w:val="0"/>
        </w:numPr>
        <w:tabs>
          <w:tab w:val="left" w:pos="568"/>
        </w:tabs>
        <w:ind w:left="1135"/>
      </w:pPr>
      <w:r w:rsidRPr="00DA074E">
        <w:t>127.</w:t>
      </w:r>
      <w:r w:rsidRPr="00DA074E">
        <w:tab/>
      </w:r>
      <w:r w:rsidR="00BE07CA" w:rsidRPr="00DA074E">
        <w:t>They agreed to continue their consideration of this matter at their forty-fifth sessions taking into consideration the submissions referred to in paragraph 12</w:t>
      </w:r>
      <w:r w:rsidR="00BE07CA">
        <w:t>6</w:t>
      </w:r>
      <w:r w:rsidR="00BE07CA" w:rsidRPr="00DA074E">
        <w:t xml:space="preserve"> above.</w:t>
      </w:r>
    </w:p>
    <w:p w14:paraId="3960FB08" w14:textId="03E3D6DC" w:rsidR="00BE07CA" w:rsidRDefault="000E0429" w:rsidP="000E0429">
      <w:pPr>
        <w:pStyle w:val="RegH1G"/>
        <w:numPr>
          <w:ilvl w:val="0"/>
          <w:numId w:val="0"/>
        </w:numPr>
        <w:tabs>
          <w:tab w:val="left" w:pos="1135"/>
        </w:tabs>
        <w:spacing w:after="0"/>
        <w:ind w:left="1135" w:hanging="454"/>
        <w:rPr>
          <w:sz w:val="20"/>
        </w:rPr>
      </w:pPr>
      <w:bookmarkStart w:id="139" w:name="_Toc453078777"/>
      <w:r>
        <w:t>C.</w:t>
      </w:r>
      <w:r>
        <w:tab/>
      </w:r>
      <w:r w:rsidR="00BE07CA">
        <w:rPr>
          <w:rFonts w:ascii="TimesNewRomanPSMT" w:eastAsia="Times New Roman" w:hAnsi="TimesNewRomanPSMT" w:cs="TimesNewRomanPSMT"/>
          <w:lang w:val="en-US" w:eastAsia="en-GB"/>
        </w:rPr>
        <w:t>Matters relating to Article 3, paragraph 14, of the Kyoto Protocol</w:t>
      </w:r>
      <w:bookmarkEnd w:id="137"/>
      <w:bookmarkEnd w:id="138"/>
      <w:bookmarkEnd w:id="139"/>
    </w:p>
    <w:p w14:paraId="588B3D18" w14:textId="77777777" w:rsidR="00BE07CA" w:rsidRDefault="00BE07CA" w:rsidP="00BE07CA">
      <w:pPr>
        <w:pStyle w:val="SingleTxtG"/>
      </w:pPr>
      <w:r>
        <w:t>(Agenda sub-item 14(c))</w:t>
      </w:r>
    </w:p>
    <w:p w14:paraId="70B39DBA" w14:textId="26E8DEC3" w:rsidR="00BE07CA" w:rsidRDefault="007A0A3B" w:rsidP="000E0429">
      <w:pPr>
        <w:pStyle w:val="RegH23G"/>
        <w:numPr>
          <w:ilvl w:val="0"/>
          <w:numId w:val="0"/>
        </w:numPr>
        <w:tabs>
          <w:tab w:val="left" w:pos="720"/>
        </w:tabs>
        <w:ind w:left="851" w:hanging="454"/>
      </w:pPr>
      <w:r>
        <w:tab/>
      </w:r>
      <w:r w:rsidR="00BE07CA">
        <w:t>Proceedings</w:t>
      </w:r>
    </w:p>
    <w:p w14:paraId="35B6EADF" w14:textId="71BD3D41" w:rsidR="00BE07CA" w:rsidRPr="00DA074E" w:rsidRDefault="000E0429" w:rsidP="000E0429">
      <w:pPr>
        <w:pStyle w:val="RegSingleTxtG"/>
        <w:numPr>
          <w:ilvl w:val="0"/>
          <w:numId w:val="0"/>
        </w:numPr>
        <w:tabs>
          <w:tab w:val="left" w:pos="568"/>
        </w:tabs>
        <w:ind w:left="1135"/>
      </w:pPr>
      <w:r w:rsidRPr="00DA074E">
        <w:t>128.</w:t>
      </w:r>
      <w:r w:rsidRPr="00DA074E">
        <w:tab/>
      </w:r>
      <w:r w:rsidR="00BE07CA" w:rsidRPr="00DA074E">
        <w:t>The SBI considered this agenda sub-item at its 1</w:t>
      </w:r>
      <w:r w:rsidR="00BE07CA" w:rsidRPr="00DA074E">
        <w:rPr>
          <w:vertAlign w:val="superscript"/>
        </w:rPr>
        <w:t>st</w:t>
      </w:r>
      <w:r w:rsidR="00BE07CA" w:rsidRPr="00DA074E">
        <w:t xml:space="preserve"> and resumed 3</w:t>
      </w:r>
      <w:r w:rsidR="00BE07CA" w:rsidRPr="00DA074E">
        <w:rPr>
          <w:vertAlign w:val="superscript"/>
        </w:rPr>
        <w:t>rd</w:t>
      </w:r>
      <w:r w:rsidR="00BE07CA" w:rsidRPr="00DA074E">
        <w:t xml:space="preserve"> meetings. A representative of one Party made a statement. At its </w:t>
      </w:r>
      <w:r w:rsidR="00BE07CA" w:rsidRPr="00DA074E">
        <w:rPr>
          <w:snapToGrid w:val="0"/>
        </w:rPr>
        <w:t>1</w:t>
      </w:r>
      <w:r w:rsidR="00BE07CA" w:rsidRPr="00DA074E">
        <w:rPr>
          <w:snapToGrid w:val="0"/>
          <w:vertAlign w:val="superscript"/>
        </w:rPr>
        <w:t>st</w:t>
      </w:r>
      <w:r w:rsidR="00BE07CA" w:rsidRPr="00DA074E">
        <w:rPr>
          <w:snapToGrid w:val="0"/>
        </w:rPr>
        <w:t xml:space="preserve"> </w:t>
      </w:r>
      <w:r w:rsidR="00BE07CA" w:rsidRPr="00DA074E">
        <w:t>meeting, the SBI agreed to consider this agenda sub-item jointly with SBI agenda sub-item 14(a) and SBSTA sub-item 7(a). At the same meeting, the SBI agreed that the Chair of the SBI and the Chair of the SBSTA would undertake consultations with interested Parties on how to take up this agenda sub-item in future sessions of the SBI. At its resumed 3</w:t>
      </w:r>
      <w:r w:rsidR="00BE07CA" w:rsidRPr="00DA074E">
        <w:rPr>
          <w:vertAlign w:val="superscript"/>
        </w:rPr>
        <w:t>rd</w:t>
      </w:r>
      <w:r w:rsidR="00BE07CA" w:rsidRPr="00DA074E">
        <w:t xml:space="preserve"> meeting, on a proposal by the Chair, the SBI agreed to continue consideration of how to take up this agenda sub-item at SBI 45. </w:t>
      </w:r>
    </w:p>
    <w:p w14:paraId="455D420E" w14:textId="05A3A352" w:rsidR="00BE07CA" w:rsidRDefault="000E0429" w:rsidP="000E0429">
      <w:pPr>
        <w:pStyle w:val="RegH1G"/>
        <w:numPr>
          <w:ilvl w:val="0"/>
          <w:numId w:val="0"/>
        </w:numPr>
        <w:tabs>
          <w:tab w:val="left" w:pos="1135"/>
        </w:tabs>
        <w:spacing w:after="0"/>
        <w:ind w:left="1135" w:hanging="454"/>
        <w:rPr>
          <w:sz w:val="20"/>
        </w:rPr>
      </w:pPr>
      <w:bookmarkStart w:id="140" w:name="_Toc453078778"/>
      <w:bookmarkStart w:id="141" w:name="_Toc435527362"/>
      <w:bookmarkStart w:id="142" w:name="_Toc435526681"/>
      <w:r>
        <w:lastRenderedPageBreak/>
        <w:t>D.</w:t>
      </w:r>
      <w:r>
        <w:tab/>
      </w:r>
      <w:r w:rsidR="00BE07CA">
        <w:rPr>
          <w:rFonts w:ascii="TimesNewRomanPSMT" w:eastAsia="Times New Roman" w:hAnsi="TimesNewRomanPSMT" w:cs="TimesNewRomanPSMT"/>
          <w:lang w:val="en-US" w:eastAsia="en-GB"/>
        </w:rPr>
        <w:t>Progress on the implementation of decision 1/CP.10</w:t>
      </w:r>
      <w:bookmarkEnd w:id="140"/>
      <w:bookmarkEnd w:id="141"/>
      <w:bookmarkEnd w:id="142"/>
    </w:p>
    <w:p w14:paraId="25BBF325" w14:textId="77777777" w:rsidR="00BE07CA" w:rsidRDefault="00BE07CA" w:rsidP="0041252D">
      <w:pPr>
        <w:pStyle w:val="SingleTxtG"/>
        <w:keepNext/>
        <w:spacing w:after="240"/>
      </w:pPr>
      <w:r>
        <w:t>(Agenda sub-item 14(d))</w:t>
      </w:r>
    </w:p>
    <w:p w14:paraId="366BA709" w14:textId="77777777" w:rsidR="00BE07CA" w:rsidRDefault="00BE07CA" w:rsidP="000E0429">
      <w:pPr>
        <w:pStyle w:val="RegH23G"/>
        <w:numPr>
          <w:ilvl w:val="0"/>
          <w:numId w:val="0"/>
        </w:numPr>
        <w:tabs>
          <w:tab w:val="left" w:pos="720"/>
        </w:tabs>
        <w:ind w:left="1134" w:hanging="454"/>
      </w:pPr>
      <w:r>
        <w:t>Proceedings</w:t>
      </w:r>
    </w:p>
    <w:p w14:paraId="5AF3E0E1" w14:textId="2CF6F90A" w:rsidR="00BE07CA" w:rsidRPr="00DA074E" w:rsidRDefault="000E0429" w:rsidP="000E0429">
      <w:pPr>
        <w:pStyle w:val="RegSingleTxtG"/>
        <w:numPr>
          <w:ilvl w:val="0"/>
          <w:numId w:val="0"/>
        </w:numPr>
        <w:tabs>
          <w:tab w:val="left" w:pos="568"/>
        </w:tabs>
        <w:ind w:left="1135"/>
      </w:pPr>
      <w:bookmarkStart w:id="143" w:name="_Toc435526682"/>
      <w:bookmarkStart w:id="144" w:name="_Toc435527363"/>
      <w:bookmarkEnd w:id="135"/>
      <w:bookmarkEnd w:id="143"/>
      <w:bookmarkEnd w:id="144"/>
      <w:r w:rsidRPr="00DA074E">
        <w:t>129.</w:t>
      </w:r>
      <w:r w:rsidRPr="00DA074E">
        <w:tab/>
      </w:r>
      <w:r w:rsidR="00BE07CA" w:rsidRPr="00DA074E">
        <w:t>The SBI considered this agenda sub-item at its 1</w:t>
      </w:r>
      <w:r w:rsidR="00BE07CA" w:rsidRPr="00DA074E">
        <w:rPr>
          <w:vertAlign w:val="superscript"/>
        </w:rPr>
        <w:t>st</w:t>
      </w:r>
      <w:r w:rsidR="00BE07CA" w:rsidRPr="00DA074E">
        <w:t xml:space="preserve"> and resumed 3</w:t>
      </w:r>
      <w:r w:rsidR="00BE07CA" w:rsidRPr="00DA074E">
        <w:rPr>
          <w:vertAlign w:val="superscript"/>
        </w:rPr>
        <w:t>rd</w:t>
      </w:r>
      <w:r w:rsidR="00BE07CA" w:rsidRPr="00DA074E">
        <w:t xml:space="preserve"> meetings. A representative of one Party made a statement. At its </w:t>
      </w:r>
      <w:r w:rsidR="00BE07CA" w:rsidRPr="00DA074E">
        <w:rPr>
          <w:snapToGrid w:val="0"/>
        </w:rPr>
        <w:t>1</w:t>
      </w:r>
      <w:r w:rsidR="00BE07CA" w:rsidRPr="00DA074E">
        <w:rPr>
          <w:snapToGrid w:val="0"/>
          <w:vertAlign w:val="superscript"/>
        </w:rPr>
        <w:t>st</w:t>
      </w:r>
      <w:r w:rsidR="00BE07CA" w:rsidRPr="00DA074E">
        <w:rPr>
          <w:snapToGrid w:val="0"/>
        </w:rPr>
        <w:t xml:space="preserve"> </w:t>
      </w:r>
      <w:r w:rsidR="00BE07CA" w:rsidRPr="00DA074E">
        <w:t>meeting, the SBI agreed to consider this agenda sub-item jointly with SBI agenda sub-item 14(a) and SBSTA sub-item 7(a). At this same meeting, the SBI agreed that the Chair of the SBI would undertake consultations with interested Parties on how to take up this agenda sub-item in future sessions of the SBI. At its resumed 3</w:t>
      </w:r>
      <w:r w:rsidR="00BE07CA" w:rsidRPr="00DA074E">
        <w:rPr>
          <w:vertAlign w:val="superscript"/>
        </w:rPr>
        <w:t>rd</w:t>
      </w:r>
      <w:r w:rsidR="00BE07CA" w:rsidRPr="00DA074E">
        <w:t xml:space="preserve"> meeting, on a proposal by the Chair, the SBI agreed to continue consideration of how to take up this agenda sub-item at SBI 45. </w:t>
      </w:r>
    </w:p>
    <w:p w14:paraId="5907050F" w14:textId="1FA7877D" w:rsidR="00BE07CA" w:rsidRDefault="000E0429" w:rsidP="000E0429">
      <w:pPr>
        <w:pStyle w:val="RegHChG"/>
        <w:numPr>
          <w:ilvl w:val="0"/>
          <w:numId w:val="0"/>
        </w:numPr>
        <w:tabs>
          <w:tab w:val="left" w:pos="1135"/>
        </w:tabs>
        <w:spacing w:after="0"/>
        <w:ind w:left="1135" w:hanging="454"/>
        <w:rPr>
          <w:lang w:eastAsia="en-US"/>
        </w:rPr>
      </w:pPr>
      <w:bookmarkStart w:id="145" w:name="_Toc453078779"/>
      <w:r>
        <w:rPr>
          <w:lang w:eastAsia="en-US"/>
        </w:rPr>
        <w:t>XV.</w:t>
      </w:r>
      <w:r>
        <w:rPr>
          <w:lang w:eastAsia="en-US"/>
        </w:rPr>
        <w:tab/>
      </w:r>
      <w:r w:rsidR="00BE07CA">
        <w:rPr>
          <w:rFonts w:ascii="TimesNewRomanPSMT" w:eastAsia="Times New Roman" w:hAnsi="TimesNewRomanPSMT" w:cs="TimesNewRomanPSMT"/>
          <w:bCs/>
          <w:lang w:eastAsia="en-GB"/>
        </w:rPr>
        <w:t>The scope of the next periodic review of the long-term goal under the Convention and of overall progress towards achieving it</w:t>
      </w:r>
      <w:bookmarkEnd w:id="145"/>
    </w:p>
    <w:p w14:paraId="7D59EACF" w14:textId="77777777" w:rsidR="00BE07CA" w:rsidRDefault="00BE07CA" w:rsidP="00BE07CA">
      <w:pPr>
        <w:pStyle w:val="SingleTxtG"/>
      </w:pPr>
      <w:r>
        <w:t>(Agenda item 15)</w:t>
      </w:r>
    </w:p>
    <w:p w14:paraId="7D9209A5" w14:textId="2741BAC9"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66890848" w14:textId="49FA6D59" w:rsidR="00BE07CA" w:rsidRPr="00DA074E" w:rsidRDefault="000E0429" w:rsidP="000E0429">
      <w:pPr>
        <w:pStyle w:val="RegSingleTxtG"/>
        <w:numPr>
          <w:ilvl w:val="0"/>
          <w:numId w:val="0"/>
        </w:numPr>
        <w:tabs>
          <w:tab w:val="left" w:pos="568"/>
        </w:tabs>
        <w:ind w:left="1135"/>
      </w:pPr>
      <w:r w:rsidRPr="00DA074E">
        <w:t>130.</w:t>
      </w:r>
      <w:r w:rsidRPr="00DA074E">
        <w:tab/>
      </w:r>
      <w:r w:rsidR="00BE07CA" w:rsidRPr="00DA074E">
        <w:t>The SBI considered this agenda item at its 1</w:t>
      </w:r>
      <w:r w:rsidR="00BE07CA" w:rsidRPr="00DA074E">
        <w:rPr>
          <w:vertAlign w:val="superscript"/>
        </w:rPr>
        <w:t>st</w:t>
      </w:r>
      <w:r w:rsidR="00BE07CA" w:rsidRPr="00DA074E">
        <w:t xml:space="preserve"> and 3</w:t>
      </w:r>
      <w:r w:rsidR="00BE07CA" w:rsidRPr="00DA074E">
        <w:rPr>
          <w:vertAlign w:val="superscript"/>
        </w:rPr>
        <w:t>rd</w:t>
      </w:r>
      <w:r w:rsidR="00BE07CA" w:rsidRPr="00DA074E">
        <w:t xml:space="preserve"> meetings. Representatives of three Parties made statements, including one on behalf of the EU and one on behalf of AOSIS. At its 1</w:t>
      </w:r>
      <w:r w:rsidR="00BE07CA" w:rsidRPr="00DA074E">
        <w:rPr>
          <w:vertAlign w:val="superscript"/>
        </w:rPr>
        <w:t>st</w:t>
      </w:r>
      <w:r w:rsidR="00BE07CA" w:rsidRPr="00DA074E">
        <w:t xml:space="preserve"> meeting, the SBI agreed to consider this agenda item jointly with SBSTA agenda sub-item 6(c) in a contact group co-chaired by Mr. Leon Charles (Grenada) and Ms.</w:t>
      </w:r>
      <w:r w:rsidR="008C59A2">
        <w:t> </w:t>
      </w:r>
      <w:r w:rsidR="00BE07CA" w:rsidRPr="00DA074E">
        <w:t>Wollansky. At its 3</w:t>
      </w:r>
      <w:r w:rsidR="00BE07CA" w:rsidRPr="00DA074E">
        <w:rPr>
          <w:vertAlign w:val="superscript"/>
        </w:rPr>
        <w:t>rd</w:t>
      </w:r>
      <w:r w:rsidR="00BE07CA" w:rsidRPr="00DA074E">
        <w:t xml:space="preserve"> meeting, the SBI considered and adopted the conclusions below.</w:t>
      </w:r>
      <w:r w:rsidR="00BE07CA" w:rsidRPr="00DA074E">
        <w:rPr>
          <w:sz w:val="18"/>
          <w:vertAlign w:val="superscript"/>
        </w:rPr>
        <w:footnoteReference w:id="84"/>
      </w:r>
      <w:r w:rsidR="00BE07CA" w:rsidRPr="00DA074E">
        <w:t xml:space="preserve"> </w:t>
      </w:r>
    </w:p>
    <w:p w14:paraId="320FB069" w14:textId="665E47EE"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1EEF8875" w14:textId="25BD331B" w:rsidR="00BE07CA" w:rsidRDefault="000E0429" w:rsidP="000E0429">
      <w:pPr>
        <w:pStyle w:val="RegSingleTxtG"/>
        <w:numPr>
          <w:ilvl w:val="0"/>
          <w:numId w:val="0"/>
        </w:numPr>
        <w:tabs>
          <w:tab w:val="left" w:pos="568"/>
        </w:tabs>
        <w:ind w:left="1135"/>
      </w:pPr>
      <w:r>
        <w:t>131.</w:t>
      </w:r>
      <w:r>
        <w:tab/>
      </w:r>
      <w:r w:rsidR="00BE07CA">
        <w:t>The SBSTA and the SBI recalled that they had been requested by COP 21 to consider the scope of the next periodic review with a view to forwarding a recommendation for consideration by the COP by no later than 2018, as appropriate.</w:t>
      </w:r>
      <w:r w:rsidR="00BE07CA">
        <w:rPr>
          <w:rStyle w:val="FootnoteReference"/>
        </w:rPr>
        <w:footnoteReference w:id="85"/>
      </w:r>
    </w:p>
    <w:p w14:paraId="6652C1F3" w14:textId="232D8E6A" w:rsidR="00BE07CA" w:rsidRDefault="000E0429" w:rsidP="000E0429">
      <w:pPr>
        <w:pStyle w:val="RegSingleTxtG"/>
        <w:numPr>
          <w:ilvl w:val="0"/>
          <w:numId w:val="0"/>
        </w:numPr>
        <w:tabs>
          <w:tab w:val="left" w:pos="568"/>
        </w:tabs>
        <w:ind w:left="1135"/>
      </w:pPr>
      <w:r>
        <w:t>132.</w:t>
      </w:r>
      <w:r>
        <w:tab/>
      </w:r>
      <w:r w:rsidR="00BE07CA">
        <w:t>They also recalled that the COP, at the same session, had agreed that the next periodic review should be conducted in an effective and efficient manner, avoid duplication of work and take into account the results of relevant work conducted under the Convention and its Kyoto Protocol and the subsidiary bodies.</w:t>
      </w:r>
      <w:r w:rsidR="00BE07CA">
        <w:rPr>
          <w:rStyle w:val="FootnoteReference"/>
        </w:rPr>
        <w:footnoteReference w:id="86"/>
      </w:r>
      <w:r w:rsidR="00BE07CA">
        <w:t xml:space="preserve"> In that regard, the SBSTA and the SBI noted the relevant work on the global stocktake under the APA, the facilitative dialogue, which will take place in 2018, and the technical examination processes.</w:t>
      </w:r>
    </w:p>
    <w:p w14:paraId="0FE77221" w14:textId="12ECD82A" w:rsidR="00BE07CA" w:rsidRPr="00DA074E" w:rsidRDefault="000E0429" w:rsidP="000E0429">
      <w:pPr>
        <w:pStyle w:val="RegSingleTxtG"/>
        <w:numPr>
          <w:ilvl w:val="0"/>
          <w:numId w:val="0"/>
        </w:numPr>
        <w:tabs>
          <w:tab w:val="left" w:pos="568"/>
        </w:tabs>
        <w:ind w:left="1135"/>
      </w:pPr>
      <w:r w:rsidRPr="00DA074E">
        <w:t>133.</w:t>
      </w:r>
      <w:r w:rsidRPr="00DA074E">
        <w:tab/>
      </w:r>
      <w:r w:rsidR="00BE07CA" w:rsidRPr="00DA074E">
        <w:t>In the light of the mandate referred to in paragraphs 13</w:t>
      </w:r>
      <w:r w:rsidR="00BE07CA">
        <w:t>1</w:t>
      </w:r>
      <w:r w:rsidR="00BE07CA" w:rsidRPr="00DA074E">
        <w:t xml:space="preserve"> and 13</w:t>
      </w:r>
      <w:r w:rsidR="00BE07CA">
        <w:t>2</w:t>
      </w:r>
      <w:r w:rsidR="00BE07CA" w:rsidRPr="00DA074E">
        <w:t xml:space="preserve"> above, the SBSTA and the SBI agreed to further consider the scope of the next periodic review at their forty-sixth sessions (May 2017) and to refine it, taking into account relevant experiences with the 2013–2015 review.</w:t>
      </w:r>
    </w:p>
    <w:p w14:paraId="3D121037" w14:textId="149E2B39" w:rsidR="00BE07CA" w:rsidRDefault="000E0429" w:rsidP="000E0429">
      <w:pPr>
        <w:pStyle w:val="RegSingleTxtG"/>
        <w:numPr>
          <w:ilvl w:val="0"/>
          <w:numId w:val="0"/>
        </w:numPr>
        <w:tabs>
          <w:tab w:val="left" w:pos="568"/>
        </w:tabs>
        <w:ind w:left="1135"/>
      </w:pPr>
      <w:r>
        <w:t>134.</w:t>
      </w:r>
      <w:r>
        <w:tab/>
      </w:r>
      <w:r w:rsidR="00BE07CA">
        <w:t>The SBSTA and the SBI noted that an in-session workshop on the scope of the next periodic review could be useful and that they may consider the matter further at their forty-sixth sessions.</w:t>
      </w:r>
    </w:p>
    <w:p w14:paraId="7904D89B" w14:textId="32BDE72B" w:rsidR="00BE07CA" w:rsidRDefault="000E0429" w:rsidP="000E0429">
      <w:pPr>
        <w:pStyle w:val="RegHChG"/>
        <w:numPr>
          <w:ilvl w:val="0"/>
          <w:numId w:val="0"/>
        </w:numPr>
        <w:tabs>
          <w:tab w:val="left" w:pos="1135"/>
        </w:tabs>
        <w:spacing w:after="0"/>
        <w:ind w:left="1135" w:hanging="454"/>
        <w:rPr>
          <w:lang w:eastAsia="en-US"/>
        </w:rPr>
      </w:pPr>
      <w:bookmarkStart w:id="146" w:name="_Toc453078780"/>
      <w:bookmarkStart w:id="147" w:name="_Toc435527364"/>
      <w:bookmarkStart w:id="148" w:name="_Toc435526683"/>
      <w:bookmarkStart w:id="149" w:name="_Toc421881707"/>
      <w:bookmarkStart w:id="150" w:name="_Toc421268900"/>
      <w:r>
        <w:rPr>
          <w:lang w:eastAsia="en-US"/>
        </w:rPr>
        <w:lastRenderedPageBreak/>
        <w:t>XVI.</w:t>
      </w:r>
      <w:r>
        <w:rPr>
          <w:lang w:eastAsia="en-US"/>
        </w:rPr>
        <w:tab/>
      </w:r>
      <w:r w:rsidR="00BE07CA">
        <w:rPr>
          <w:rFonts w:ascii="TimesNewRomanPSMT" w:eastAsia="Times New Roman" w:hAnsi="TimesNewRomanPSMT" w:cs="TimesNewRomanPSMT"/>
          <w:lang w:val="en-US" w:eastAsia="en-GB"/>
        </w:rPr>
        <w:t>Gender and climate change</w:t>
      </w:r>
      <w:bookmarkEnd w:id="146"/>
      <w:bookmarkEnd w:id="147"/>
      <w:bookmarkEnd w:id="148"/>
    </w:p>
    <w:p w14:paraId="49F6AF37" w14:textId="77777777" w:rsidR="00BE07CA" w:rsidRDefault="00BE07CA" w:rsidP="003C5590">
      <w:pPr>
        <w:pStyle w:val="SingleTxtG"/>
        <w:keepNext/>
        <w:spacing w:after="240"/>
      </w:pPr>
      <w:r>
        <w:t>(Agenda item 16)</w:t>
      </w:r>
      <w:bookmarkEnd w:id="149"/>
      <w:bookmarkEnd w:id="150"/>
    </w:p>
    <w:p w14:paraId="17ACA308" w14:textId="183B371C"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54F71969" w14:textId="44C36D0C" w:rsidR="00BE07CA" w:rsidRPr="00DA074E" w:rsidRDefault="000E0429" w:rsidP="000E0429">
      <w:pPr>
        <w:pStyle w:val="RegSingleTxtG"/>
        <w:numPr>
          <w:ilvl w:val="0"/>
          <w:numId w:val="0"/>
        </w:numPr>
        <w:tabs>
          <w:tab w:val="left" w:pos="568"/>
        </w:tabs>
        <w:ind w:left="1135"/>
      </w:pPr>
      <w:r w:rsidRPr="00DA074E">
        <w:t>135.</w:t>
      </w:r>
      <w:r w:rsidRPr="00DA074E">
        <w:tab/>
      </w:r>
      <w:r w:rsidR="00BE07CA" w:rsidRPr="00DA074E">
        <w:t>The SBI considered this agenda item at its 1</w:t>
      </w:r>
      <w:r w:rsidR="00BE07CA" w:rsidRPr="00DA074E">
        <w:rPr>
          <w:vertAlign w:val="superscript"/>
        </w:rPr>
        <w:t>st</w:t>
      </w:r>
      <w:r w:rsidR="00BE07CA" w:rsidRPr="00DA074E">
        <w:t xml:space="preserve"> and resumed 3</w:t>
      </w:r>
      <w:r w:rsidR="00BE07CA" w:rsidRPr="00DA074E">
        <w:rPr>
          <w:vertAlign w:val="superscript"/>
        </w:rPr>
        <w:t>rd</w:t>
      </w:r>
      <w:r w:rsidR="00BE07CA" w:rsidRPr="00DA074E">
        <w:t xml:space="preserve"> meetings</w:t>
      </w:r>
      <w:r w:rsidR="00BE07CA" w:rsidRPr="00DA074E">
        <w:rPr>
          <w:snapToGrid w:val="0"/>
        </w:rPr>
        <w:t xml:space="preserve"> and</w:t>
      </w:r>
      <w:r w:rsidR="00BE07CA" w:rsidRPr="00DA074E">
        <w:t xml:space="preserve"> had before it document FCCC/TP/2016/2. At its 1</w:t>
      </w:r>
      <w:r w:rsidR="00BE07CA" w:rsidRPr="00DA074E">
        <w:rPr>
          <w:vertAlign w:val="superscript"/>
        </w:rPr>
        <w:t>st</w:t>
      </w:r>
      <w:r w:rsidR="00BE07CA" w:rsidRPr="00DA074E">
        <w:t xml:space="preserve"> meeting, the SBI agreed to consider this agenda sub-item in informal consultations co-facilitated by Mr. Martin Hession (EU) and Ms. Winfred Lichuma (Kenya). At its resumed </w:t>
      </w:r>
      <w:r w:rsidR="00BE07CA" w:rsidRPr="00DA074E">
        <w:rPr>
          <w:snapToGrid w:val="0"/>
        </w:rPr>
        <w:t>3</w:t>
      </w:r>
      <w:r w:rsidR="00BE07CA" w:rsidRPr="00DA074E">
        <w:rPr>
          <w:snapToGrid w:val="0"/>
          <w:vertAlign w:val="superscript"/>
        </w:rPr>
        <w:t>rd</w:t>
      </w:r>
      <w:r w:rsidR="00BE07CA" w:rsidRPr="00DA074E">
        <w:rPr>
          <w:snapToGrid w:val="0"/>
        </w:rPr>
        <w:t xml:space="preserve"> meeting</w:t>
      </w:r>
      <w:r w:rsidR="00BE07CA" w:rsidRPr="00DA074E">
        <w:t>, the SBI considered and adopted the conclusions below.</w:t>
      </w:r>
      <w:r w:rsidR="00BE07CA" w:rsidRPr="00DA074E">
        <w:rPr>
          <w:sz w:val="18"/>
          <w:vertAlign w:val="superscript"/>
        </w:rPr>
        <w:footnoteReference w:id="87"/>
      </w:r>
      <w:r w:rsidR="00BE07CA" w:rsidRPr="00DA074E">
        <w:t xml:space="preserve"> </w:t>
      </w:r>
    </w:p>
    <w:p w14:paraId="2696B121" w14:textId="763AB1C9"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7E160C9C" w14:textId="55F36A1D" w:rsidR="00BE07CA" w:rsidRDefault="000E0429" w:rsidP="000E0429">
      <w:pPr>
        <w:pStyle w:val="RegSingleTxtG"/>
        <w:numPr>
          <w:ilvl w:val="0"/>
          <w:numId w:val="0"/>
        </w:numPr>
        <w:tabs>
          <w:tab w:val="left" w:pos="568"/>
        </w:tabs>
        <w:ind w:left="1135"/>
      </w:pPr>
      <w:r>
        <w:t>136.</w:t>
      </w:r>
      <w:r>
        <w:tab/>
      </w:r>
      <w:r w:rsidR="00BE07CA">
        <w:t>The SBI welcomed the outcomes of and the recommendations provided by the participants at the in-session workshop, held on 18 and 19 May 2016, on gender-responsive climate policy with a focus on adaptation, capacity-building and training for delegates on gender issues. It noted with appreciation the submissions from Parties, observer organizations and other stakeholders provided as input to the in-session workshop.</w:t>
      </w:r>
      <w:r w:rsidR="00BE07CA">
        <w:rPr>
          <w:rStyle w:val="FootnoteReference"/>
          <w:szCs w:val="18"/>
        </w:rPr>
        <w:footnoteReference w:id="88"/>
      </w:r>
    </w:p>
    <w:p w14:paraId="2EEEC3C5" w14:textId="246F1E8A" w:rsidR="00BE07CA" w:rsidRDefault="000E0429" w:rsidP="000E0429">
      <w:pPr>
        <w:pStyle w:val="RegSingleTxtG"/>
        <w:numPr>
          <w:ilvl w:val="0"/>
          <w:numId w:val="0"/>
        </w:numPr>
        <w:tabs>
          <w:tab w:val="left" w:pos="568"/>
        </w:tabs>
        <w:ind w:left="1135"/>
      </w:pPr>
      <w:r>
        <w:t>137.</w:t>
      </w:r>
      <w:r>
        <w:tab/>
      </w:r>
      <w:r w:rsidR="00BE07CA">
        <w:t>The SBI also welcomed the technical paper prepared by the secretariat titled “Guidelines or other tools for integrating gender considerations into climate change related activities under the Convention”.</w:t>
      </w:r>
      <w:r w:rsidR="00BE07CA">
        <w:rPr>
          <w:rStyle w:val="FootnoteReference"/>
          <w:szCs w:val="22"/>
        </w:rPr>
        <w:footnoteReference w:id="89"/>
      </w:r>
      <w:r w:rsidR="00BE07CA">
        <w:t xml:space="preserve"> It encouraged Parties to use the resources identified in the technical paper. </w:t>
      </w:r>
    </w:p>
    <w:p w14:paraId="18D9233A" w14:textId="2098E3FD" w:rsidR="00BE07CA" w:rsidRDefault="000E0429" w:rsidP="000E0429">
      <w:pPr>
        <w:pStyle w:val="RegSingleTxtG"/>
        <w:numPr>
          <w:ilvl w:val="0"/>
          <w:numId w:val="0"/>
        </w:numPr>
        <w:tabs>
          <w:tab w:val="left" w:pos="568"/>
        </w:tabs>
        <w:ind w:left="1135"/>
      </w:pPr>
      <w:r>
        <w:t>138.</w:t>
      </w:r>
      <w:r>
        <w:tab/>
      </w:r>
      <w:r w:rsidR="00BE07CA">
        <w:t>The SBI expressed its appreciation for the two-year Lima work programme on gender</w:t>
      </w:r>
      <w:r w:rsidR="00BE07CA">
        <w:rPr>
          <w:lang w:val="en-US" w:eastAsia="en-GB"/>
        </w:rPr>
        <w:t xml:space="preserve"> and noted with appreciation the contributions received in support of the work undertaken so far. It invited Parties to further enhance their participation in the work programme.</w:t>
      </w:r>
    </w:p>
    <w:p w14:paraId="5D29268F" w14:textId="1D354B5D" w:rsidR="00BE07CA" w:rsidRDefault="000E0429" w:rsidP="000E0429">
      <w:pPr>
        <w:pStyle w:val="RegSingleTxtG"/>
        <w:numPr>
          <w:ilvl w:val="0"/>
          <w:numId w:val="0"/>
        </w:numPr>
        <w:tabs>
          <w:tab w:val="left" w:pos="568"/>
        </w:tabs>
        <w:ind w:left="1135"/>
      </w:pPr>
      <w:r>
        <w:t>139.</w:t>
      </w:r>
      <w:r>
        <w:tab/>
      </w:r>
      <w:r w:rsidR="00BE07CA">
        <w:t>The SBI expressed its support for the continuation and enhancement of the Lima work programme on gender.</w:t>
      </w:r>
    </w:p>
    <w:p w14:paraId="0EB92886" w14:textId="0139B083" w:rsidR="00BE07CA" w:rsidRDefault="000E0429" w:rsidP="000E0429">
      <w:pPr>
        <w:pStyle w:val="RegSingleTxtG"/>
        <w:numPr>
          <w:ilvl w:val="0"/>
          <w:numId w:val="0"/>
        </w:numPr>
        <w:tabs>
          <w:tab w:val="left" w:pos="568"/>
        </w:tabs>
        <w:ind w:left="1135"/>
      </w:pPr>
      <w:r>
        <w:t>140.</w:t>
      </w:r>
      <w:r>
        <w:tab/>
      </w:r>
      <w:r w:rsidR="00BE07CA">
        <w:t>The SBI invited Parties and observer organizations to submit their views on possible elements and guiding principles for continuing and enhancing the Lima work programme on gender, by 29 August 2016, taking into account recommendations and insights resulting from activities already completed under the work programme.</w:t>
      </w:r>
      <w:r w:rsidR="00BE07CA">
        <w:rPr>
          <w:rStyle w:val="FootnoteReference"/>
          <w:szCs w:val="22"/>
        </w:rPr>
        <w:footnoteReference w:id="90"/>
      </w:r>
      <w:r w:rsidR="00BE07CA">
        <w:t xml:space="preserve"> It requested the secretariat to compile those submissions into a miscellaneous document.</w:t>
      </w:r>
    </w:p>
    <w:p w14:paraId="705457B8" w14:textId="7AFAC3E2" w:rsidR="00BE07CA" w:rsidRPr="008B08A1" w:rsidRDefault="000E0429" w:rsidP="000E0429">
      <w:pPr>
        <w:pStyle w:val="RegSingleTxtG"/>
        <w:numPr>
          <w:ilvl w:val="0"/>
          <w:numId w:val="0"/>
        </w:numPr>
        <w:tabs>
          <w:tab w:val="left" w:pos="568"/>
        </w:tabs>
        <w:ind w:left="1135"/>
      </w:pPr>
      <w:r w:rsidRPr="008B08A1">
        <w:t>141.</w:t>
      </w:r>
      <w:r w:rsidRPr="008B08A1">
        <w:tab/>
      </w:r>
      <w:r w:rsidR="00BE07CA" w:rsidRPr="008B08A1">
        <w:t>The SBI, recalling decision 18/CP.20, paragraph 15, invited Parties and observer organizations to provide information on progress made in meeting the goals of achieving gender balance and gender-responsive climate policy.</w:t>
      </w:r>
      <w:r w:rsidR="00BE07CA" w:rsidRPr="008B08A1">
        <w:rPr>
          <w:rStyle w:val="FootnoteReference"/>
          <w:szCs w:val="22"/>
        </w:rPr>
        <w:footnoteReference w:id="91"/>
      </w:r>
    </w:p>
    <w:p w14:paraId="6EB63323" w14:textId="78A8B37D" w:rsidR="00BE07CA" w:rsidRDefault="000E0429" w:rsidP="000E0429">
      <w:pPr>
        <w:pStyle w:val="RegSingleTxtG"/>
        <w:numPr>
          <w:ilvl w:val="0"/>
          <w:numId w:val="0"/>
        </w:numPr>
        <w:tabs>
          <w:tab w:val="left" w:pos="568"/>
        </w:tabs>
        <w:ind w:left="1135"/>
      </w:pPr>
      <w:r>
        <w:t>142.</w:t>
      </w:r>
      <w:r>
        <w:tab/>
      </w:r>
      <w:r w:rsidR="00BE07CA">
        <w:t>The SBI agreed to continue its consideration of this matter at SBI 45, with a view to preparing a draft decision for consideration and adoption at COP 22.</w:t>
      </w:r>
    </w:p>
    <w:p w14:paraId="5ED4CB4F" w14:textId="75735F21" w:rsidR="00BE07CA" w:rsidRDefault="000E0429" w:rsidP="000E0429">
      <w:pPr>
        <w:pStyle w:val="RegHChG"/>
        <w:numPr>
          <w:ilvl w:val="0"/>
          <w:numId w:val="0"/>
        </w:numPr>
        <w:tabs>
          <w:tab w:val="left" w:pos="1135"/>
        </w:tabs>
        <w:spacing w:after="0"/>
        <w:ind w:left="1135" w:hanging="454"/>
        <w:rPr>
          <w:lang w:eastAsia="en-US"/>
        </w:rPr>
      </w:pPr>
      <w:bookmarkStart w:id="151" w:name="_Toc453078781"/>
      <w:bookmarkStart w:id="152" w:name="_Toc435527365"/>
      <w:bookmarkStart w:id="153" w:name="_Toc435526684"/>
      <w:bookmarkStart w:id="154" w:name="_Toc406647818"/>
      <w:bookmarkStart w:id="155" w:name="_Toc421881708"/>
      <w:bookmarkStart w:id="156" w:name="_Toc421268901"/>
      <w:r>
        <w:rPr>
          <w:lang w:eastAsia="en-US"/>
        </w:rPr>
        <w:lastRenderedPageBreak/>
        <w:t>XVII.</w:t>
      </w:r>
      <w:r>
        <w:rPr>
          <w:lang w:eastAsia="en-US"/>
        </w:rPr>
        <w:tab/>
      </w:r>
      <w:r w:rsidR="00BE07CA">
        <w:rPr>
          <w:rFonts w:ascii="TimesNewRomanPSMT" w:eastAsia="Times New Roman" w:hAnsi="TimesNewRomanPSMT" w:cs="TimesNewRomanPSMT"/>
          <w:lang w:val="en-US" w:eastAsia="en-GB"/>
        </w:rPr>
        <w:t>Arrangements for intergovernmental meetings</w:t>
      </w:r>
      <w:bookmarkEnd w:id="151"/>
    </w:p>
    <w:p w14:paraId="248890CF" w14:textId="77777777" w:rsidR="00BE07CA" w:rsidRDefault="00BE07CA" w:rsidP="003C5590">
      <w:pPr>
        <w:pStyle w:val="SingleTxtG"/>
        <w:keepNext/>
        <w:spacing w:after="240"/>
      </w:pPr>
      <w:r>
        <w:t>(Agenda item 17)</w:t>
      </w:r>
    </w:p>
    <w:p w14:paraId="26281963" w14:textId="3C787D80"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Proceedings</w:t>
      </w:r>
    </w:p>
    <w:p w14:paraId="6B62A9AD" w14:textId="22E168A6" w:rsidR="00BE07CA" w:rsidRPr="008B08A1" w:rsidRDefault="000E0429" w:rsidP="000E0429">
      <w:pPr>
        <w:pStyle w:val="RegSingleTxtG"/>
        <w:numPr>
          <w:ilvl w:val="0"/>
          <w:numId w:val="0"/>
        </w:numPr>
        <w:tabs>
          <w:tab w:val="left" w:pos="568"/>
        </w:tabs>
        <w:ind w:left="1135"/>
      </w:pPr>
      <w:r w:rsidRPr="008B08A1">
        <w:t>143.</w:t>
      </w:r>
      <w:r w:rsidRPr="008B08A1">
        <w:tab/>
      </w:r>
      <w:r w:rsidR="00BE07CA" w:rsidRPr="008B08A1">
        <w:t>The SBI considered this agenda item at its 1</w:t>
      </w:r>
      <w:r w:rsidR="00BE07CA" w:rsidRPr="008B08A1">
        <w:rPr>
          <w:vertAlign w:val="superscript"/>
        </w:rPr>
        <w:t>st</w:t>
      </w:r>
      <w:r w:rsidR="00BE07CA" w:rsidRPr="008B08A1">
        <w:t xml:space="preserve"> and resumed 3</w:t>
      </w:r>
      <w:r w:rsidR="00BE07CA" w:rsidRPr="008B08A1">
        <w:rPr>
          <w:vertAlign w:val="superscript"/>
        </w:rPr>
        <w:t>rd</w:t>
      </w:r>
      <w:r w:rsidR="00BE07CA" w:rsidRPr="008B08A1">
        <w:t xml:space="preserve"> meetings</w:t>
      </w:r>
      <w:r w:rsidR="00BE07CA" w:rsidRPr="008B08A1">
        <w:rPr>
          <w:snapToGrid w:val="0"/>
        </w:rPr>
        <w:t xml:space="preserve"> and</w:t>
      </w:r>
      <w:r w:rsidR="00BE07CA" w:rsidRPr="008B08A1">
        <w:t xml:space="preserve"> had before it document FCCC/SBI/2016/2. Representatives of 14 Parties made statements, including on behalf of the Like-minded Developing Countries, the EU and the African Group. At its 1</w:t>
      </w:r>
      <w:r w:rsidR="00BE07CA" w:rsidRPr="008B08A1">
        <w:rPr>
          <w:vertAlign w:val="superscript"/>
        </w:rPr>
        <w:t>st</w:t>
      </w:r>
      <w:r w:rsidR="00BE07CA" w:rsidRPr="008B08A1">
        <w:t xml:space="preserve"> meeting, a representative from the incoming Presidency of the COP (Morocco) made a statement.</w:t>
      </w:r>
      <w:r w:rsidR="00BE07CA" w:rsidRPr="008B08A1">
        <w:rPr>
          <w:sz w:val="18"/>
          <w:vertAlign w:val="superscript"/>
        </w:rPr>
        <w:footnoteReference w:id="92"/>
      </w:r>
      <w:r w:rsidR="00BE07CA" w:rsidRPr="008B08A1">
        <w:t xml:space="preserve"> At the same meeting, the SBI agreed to consider this item in a contact group chaired by the SBI Chair. </w:t>
      </w:r>
    </w:p>
    <w:p w14:paraId="43145353" w14:textId="702DAA0B" w:rsidR="00BE07CA" w:rsidRDefault="000E0429" w:rsidP="000E0429">
      <w:pPr>
        <w:pStyle w:val="RegSingleTxtG"/>
        <w:numPr>
          <w:ilvl w:val="0"/>
          <w:numId w:val="0"/>
        </w:numPr>
        <w:tabs>
          <w:tab w:val="left" w:pos="568"/>
        </w:tabs>
        <w:ind w:left="1135"/>
      </w:pPr>
      <w:r>
        <w:t>144.</w:t>
      </w:r>
      <w:r>
        <w:tab/>
      </w:r>
      <w:r w:rsidR="00BE07CA">
        <w:t>At the resumed 3</w:t>
      </w:r>
      <w:r w:rsidR="00BE07CA">
        <w:rPr>
          <w:vertAlign w:val="superscript"/>
        </w:rPr>
        <w:t>rd</w:t>
      </w:r>
      <w:r w:rsidR="00BE07CA">
        <w:t xml:space="preserve"> meeting, the Chair recalled that he had invited Parties and observer organizations to share their views on any topic of their choice at the in-session workshop, proposed to be held at SBI 46, on opportunities to further enhance the effective engagement of non-Party stakeholders with a view to strengthening the implementation of the provisions of decision 1/CP.21. </w:t>
      </w:r>
    </w:p>
    <w:p w14:paraId="7DCD6C31" w14:textId="45913F14" w:rsidR="00BE07CA" w:rsidRPr="00FC2EC7" w:rsidRDefault="000E0429" w:rsidP="000E0429">
      <w:pPr>
        <w:pStyle w:val="RegSingleTxtG"/>
        <w:numPr>
          <w:ilvl w:val="0"/>
          <w:numId w:val="0"/>
        </w:numPr>
        <w:tabs>
          <w:tab w:val="left" w:pos="568"/>
        </w:tabs>
        <w:ind w:left="1135"/>
      </w:pPr>
      <w:r w:rsidRPr="00FC2EC7">
        <w:t>145.</w:t>
      </w:r>
      <w:r w:rsidRPr="00FC2EC7">
        <w:tab/>
      </w:r>
      <w:r w:rsidR="00BE07CA" w:rsidRPr="00FC2EC7">
        <w:t>At the same meeting, the SBI considered and adopted the conclusions below.</w:t>
      </w:r>
      <w:r w:rsidR="00BE07CA" w:rsidRPr="00FC2EC7">
        <w:rPr>
          <w:sz w:val="18"/>
          <w:vertAlign w:val="superscript"/>
        </w:rPr>
        <w:footnoteReference w:id="93"/>
      </w:r>
      <w:r w:rsidR="00BE07CA" w:rsidRPr="00FC2EC7">
        <w:t xml:space="preserve"> After that, one Party, speaking on behalf of the Like-minded Developing Countries and supported by a number of Parties, raised concerns of a technical and substantive nature.</w:t>
      </w:r>
      <w:r w:rsidR="00BE07CA" w:rsidRPr="00FC2EC7">
        <w:rPr>
          <w:sz w:val="18"/>
          <w:vertAlign w:val="superscript"/>
        </w:rPr>
        <w:footnoteReference w:id="94"/>
      </w:r>
      <w:r w:rsidR="00BE07CA" w:rsidRPr="00FC2EC7">
        <w:t xml:space="preserve"> These Parties requested that it be recorded in the report that a technical issue was experienced with the electronic name-handling system. The Chair informed the SBI that the substantive </w:t>
      </w:r>
      <w:r w:rsidR="00BE07CA">
        <w:t xml:space="preserve">concerns raised </w:t>
      </w:r>
      <w:r w:rsidR="00BE07CA" w:rsidRPr="00FC2EC7">
        <w:t>will continue to be discussed at SBI 46.</w:t>
      </w:r>
    </w:p>
    <w:p w14:paraId="4CBC9A39" w14:textId="1C175128"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7A75514C" w14:textId="7524B3EC" w:rsidR="00BE07CA" w:rsidRPr="00FC2EC7" w:rsidRDefault="000E0429" w:rsidP="000E0429">
      <w:pPr>
        <w:pStyle w:val="RegSingleTxtG"/>
        <w:numPr>
          <w:ilvl w:val="0"/>
          <w:numId w:val="0"/>
        </w:numPr>
        <w:tabs>
          <w:tab w:val="left" w:pos="568"/>
        </w:tabs>
        <w:ind w:left="1135"/>
      </w:pPr>
      <w:r w:rsidRPr="00FC2EC7">
        <w:t>146.</w:t>
      </w:r>
      <w:r w:rsidRPr="00FC2EC7">
        <w:tab/>
      </w:r>
      <w:r w:rsidR="00BE07CA" w:rsidRPr="00FC2EC7">
        <w:t>The SBI took note of document FCCC/SBI/2016/2 and welcomed the views expressed by Parties on the information contained therein.</w:t>
      </w:r>
    </w:p>
    <w:p w14:paraId="01BCD397" w14:textId="5509D45C" w:rsidR="00BE07CA" w:rsidRDefault="000E0429" w:rsidP="000E0429">
      <w:pPr>
        <w:pStyle w:val="RegSingleTxtG"/>
        <w:numPr>
          <w:ilvl w:val="0"/>
          <w:numId w:val="0"/>
        </w:numPr>
        <w:tabs>
          <w:tab w:val="left" w:pos="568"/>
        </w:tabs>
        <w:ind w:left="1135"/>
      </w:pPr>
      <w:r>
        <w:t>147.</w:t>
      </w:r>
      <w:r>
        <w:tab/>
      </w:r>
      <w:r w:rsidR="00BE07CA">
        <w:t>The SBI expressed its gratitude to the Government of Morocco for offering to host COP 22 and CMP 12 in Marrakech, from Monday, 7 November, to Friday, 18 November 2016. It took note with appreciation of the preparations and efforts that Morocco and the secretariat are undertaking to ensure the success of COP 22 and CMP 12. The SBI emphasized the importance of the principles of openness, transparency and inclusiveness in making arrangements for the United Nations Climate Change Conference in Marrakech.</w:t>
      </w:r>
    </w:p>
    <w:p w14:paraId="440DE873" w14:textId="35854737" w:rsidR="00BE07CA" w:rsidRDefault="000E0429" w:rsidP="000E0429">
      <w:pPr>
        <w:pStyle w:val="RegSingleTxtG"/>
        <w:numPr>
          <w:ilvl w:val="0"/>
          <w:numId w:val="0"/>
        </w:numPr>
        <w:tabs>
          <w:tab w:val="left" w:pos="568"/>
        </w:tabs>
        <w:ind w:left="1135"/>
      </w:pPr>
      <w:r>
        <w:t>148.</w:t>
      </w:r>
      <w:r>
        <w:tab/>
      </w:r>
      <w:r w:rsidR="00BE07CA">
        <w:t xml:space="preserve">The SBI recalled the historic outcomes of the United Nations Climate Change Conference in Paris and noted that the Marrakech Conference will be an important step in implementing the Paris Agreement as well as in the further implementation of other mandates and initiatives under the COP, the CMP, the SBSTA, the SBI, the APA and the constituted bodies under the Convention. </w:t>
      </w:r>
    </w:p>
    <w:p w14:paraId="649B5E24" w14:textId="03497E77" w:rsidR="00BE07CA" w:rsidRDefault="000E0429" w:rsidP="000E0429">
      <w:pPr>
        <w:pStyle w:val="RegSingleTxtG"/>
        <w:numPr>
          <w:ilvl w:val="0"/>
          <w:numId w:val="0"/>
        </w:numPr>
        <w:tabs>
          <w:tab w:val="left" w:pos="568"/>
        </w:tabs>
        <w:ind w:left="1135"/>
      </w:pPr>
      <w:r>
        <w:t>149.</w:t>
      </w:r>
      <w:r>
        <w:tab/>
      </w:r>
      <w:r w:rsidR="00BE07CA">
        <w:t xml:space="preserve">The SBI took note of the successful collaboration between previous presidencies and incoming presidencies and appreciates the close working relationship between the current Presidency and incoming Presidency in preparing for the Marrakech Conference. It encouraged future presidencies to continue to adopt such a collaborative approach. </w:t>
      </w:r>
    </w:p>
    <w:p w14:paraId="37777E2B" w14:textId="155F4793" w:rsidR="00BE07CA" w:rsidRDefault="000E0429" w:rsidP="000E0429">
      <w:pPr>
        <w:pStyle w:val="RegSingleTxtG"/>
        <w:numPr>
          <w:ilvl w:val="0"/>
          <w:numId w:val="0"/>
        </w:numPr>
        <w:tabs>
          <w:tab w:val="left" w:pos="568"/>
        </w:tabs>
        <w:ind w:left="1135"/>
      </w:pPr>
      <w:r>
        <w:lastRenderedPageBreak/>
        <w:t>150.</w:t>
      </w:r>
      <w:r>
        <w:tab/>
      </w:r>
      <w:r w:rsidR="00BE07CA">
        <w:t>The SBI requested the secretariat to take note of the views expressed by Parties on the possible elements of the provisional agendas for COP 22 and CMP 12.</w:t>
      </w:r>
    </w:p>
    <w:p w14:paraId="7E301175" w14:textId="2B9BDC4D" w:rsidR="00BE07CA" w:rsidRDefault="000E0429" w:rsidP="000E0429">
      <w:pPr>
        <w:pStyle w:val="RegSingleTxtG"/>
        <w:numPr>
          <w:ilvl w:val="0"/>
          <w:numId w:val="0"/>
        </w:numPr>
        <w:tabs>
          <w:tab w:val="left" w:pos="568"/>
        </w:tabs>
        <w:ind w:left="1135"/>
      </w:pPr>
      <w:r>
        <w:t>151.</w:t>
      </w:r>
      <w:r>
        <w:tab/>
      </w:r>
      <w:r w:rsidR="00BE07CA">
        <w:t>The SBI invited the incoming Presidency, in consultation with the secretariat and the COP Bureau, to finalize the details of the arrangements for COP 22 and CMP 12, including arrangements for the high-level segment.</w:t>
      </w:r>
    </w:p>
    <w:p w14:paraId="151AAD8B" w14:textId="16894800" w:rsidR="00BE07CA" w:rsidRDefault="000E0429" w:rsidP="000E0429">
      <w:pPr>
        <w:pStyle w:val="RegSingleTxtG"/>
        <w:numPr>
          <w:ilvl w:val="0"/>
          <w:numId w:val="0"/>
        </w:numPr>
        <w:tabs>
          <w:tab w:val="left" w:pos="568"/>
        </w:tabs>
        <w:ind w:left="1135"/>
      </w:pPr>
      <w:r>
        <w:t>152.</w:t>
      </w:r>
      <w:r>
        <w:tab/>
      </w:r>
      <w:r w:rsidR="00BE07CA">
        <w:t xml:space="preserve">The SBI agreed to continue the following existing practice: in the joint meetings of the COP and the CMP during the high-level segment, arrangements should be made for the delivery of concise national statements by ministers and other heads of delegation, with a recommended time limit of three minutes, and of concise statements by representatives of intergovernmental and non-governmental organizations, with a recommended time limit of two minutes. </w:t>
      </w:r>
    </w:p>
    <w:p w14:paraId="3B806086" w14:textId="5DFEE44D" w:rsidR="00BE07CA" w:rsidRPr="00FC2EC7" w:rsidRDefault="000E0429" w:rsidP="000E0429">
      <w:pPr>
        <w:pStyle w:val="RegSingleTxtG"/>
        <w:numPr>
          <w:ilvl w:val="0"/>
          <w:numId w:val="0"/>
        </w:numPr>
        <w:tabs>
          <w:tab w:val="left" w:pos="568"/>
        </w:tabs>
        <w:ind w:left="1135"/>
      </w:pPr>
      <w:r w:rsidRPr="00FC2EC7">
        <w:t>153.</w:t>
      </w:r>
      <w:r w:rsidRPr="00FC2EC7">
        <w:tab/>
      </w:r>
      <w:r w:rsidR="00BE07CA" w:rsidRPr="00FC2EC7">
        <w:t>The SBI underlined the importance of the three mandated events to be convened at COP 22: the second biennial high-level ministerial dialogue on climate finance;</w:t>
      </w:r>
      <w:r w:rsidR="00BE07CA" w:rsidRPr="00FC2EC7">
        <w:rPr>
          <w:rStyle w:val="FootnoteReference"/>
        </w:rPr>
        <w:footnoteReference w:id="95"/>
      </w:r>
      <w:r w:rsidR="00BE07CA" w:rsidRPr="00FC2EC7">
        <w:t xml:space="preserve"> the high-level event on climate action;</w:t>
      </w:r>
      <w:r w:rsidR="00BE07CA" w:rsidRPr="00FC2EC7">
        <w:rPr>
          <w:rStyle w:val="FootnoteReference"/>
        </w:rPr>
        <w:footnoteReference w:id="96"/>
      </w:r>
      <w:r w:rsidR="00BE07CA" w:rsidRPr="00FC2EC7">
        <w:t xml:space="preserve"> and the facilitative dialogue referred to in decision 1/CP.21, paragraph 115.</w:t>
      </w:r>
    </w:p>
    <w:p w14:paraId="4703C2E8" w14:textId="7976CF62" w:rsidR="00BE07CA" w:rsidRDefault="000E0429" w:rsidP="000E0429">
      <w:pPr>
        <w:pStyle w:val="RegSingleTxtG"/>
        <w:numPr>
          <w:ilvl w:val="0"/>
          <w:numId w:val="0"/>
        </w:numPr>
        <w:tabs>
          <w:tab w:val="left" w:pos="568"/>
        </w:tabs>
        <w:ind w:left="1135"/>
      </w:pPr>
      <w:r>
        <w:t>154.</w:t>
      </w:r>
      <w:r>
        <w:tab/>
      </w:r>
      <w:r w:rsidR="00BE07CA">
        <w:t>The SBI noted that, in keeping with the principle of rotation among regional groups, the President of COP 23 and CMP 13 would come from the Asia-Pacific States and the President of COP 24 and CMP 14 from the Eastern European States. It invited Parties, as a matter of urgency, to come forward with offers to host COP 23 and CMP 13, and COP 24 and CMP 14.</w:t>
      </w:r>
    </w:p>
    <w:p w14:paraId="76590A08" w14:textId="40904368" w:rsidR="00BE07CA" w:rsidRDefault="000E0429" w:rsidP="000E0429">
      <w:pPr>
        <w:pStyle w:val="RegSingleTxtG"/>
        <w:numPr>
          <w:ilvl w:val="0"/>
          <w:numId w:val="0"/>
        </w:numPr>
        <w:tabs>
          <w:tab w:val="left" w:pos="568"/>
        </w:tabs>
        <w:ind w:left="1135"/>
      </w:pPr>
      <w:r>
        <w:t>155.</w:t>
      </w:r>
      <w:r>
        <w:tab/>
      </w:r>
      <w:r w:rsidR="00BE07CA">
        <w:t>The SBI recommended the following dates for the sessional periods in 2021, for consideration at COP 22:</w:t>
      </w:r>
    </w:p>
    <w:p w14:paraId="50E2C73F" w14:textId="2F5DE7BE" w:rsidR="00BE07CA" w:rsidRDefault="000E0429" w:rsidP="000E0429">
      <w:pPr>
        <w:pStyle w:val="RegSingleTxtG"/>
        <w:numPr>
          <w:ilvl w:val="0"/>
          <w:numId w:val="0"/>
        </w:numPr>
        <w:tabs>
          <w:tab w:val="left" w:pos="2269"/>
        </w:tabs>
        <w:ind w:left="1135" w:firstLine="567"/>
      </w:pPr>
      <w:r>
        <w:t>(a)</w:t>
      </w:r>
      <w:r>
        <w:tab/>
      </w:r>
      <w:r w:rsidR="00BE07CA">
        <w:t xml:space="preserve">First sessional period: Monday, 31 May, to Thursday, 10 June; </w:t>
      </w:r>
    </w:p>
    <w:p w14:paraId="27029CC5" w14:textId="2A94F3E8" w:rsidR="00BE07CA" w:rsidRDefault="000E0429" w:rsidP="000E0429">
      <w:pPr>
        <w:pStyle w:val="RegSingleTxtG"/>
        <w:numPr>
          <w:ilvl w:val="0"/>
          <w:numId w:val="0"/>
        </w:numPr>
        <w:tabs>
          <w:tab w:val="left" w:pos="2269"/>
        </w:tabs>
        <w:ind w:left="1135" w:firstLine="567"/>
      </w:pPr>
      <w:r>
        <w:t>(b)</w:t>
      </w:r>
      <w:r>
        <w:tab/>
      </w:r>
      <w:r w:rsidR="00BE07CA">
        <w:t>Second sessional period: Monday, 8 November, to Friday, 19 November.</w:t>
      </w:r>
    </w:p>
    <w:p w14:paraId="2A450616" w14:textId="0F4A25B3" w:rsidR="00BE07CA" w:rsidRDefault="000E0429" w:rsidP="000E0429">
      <w:pPr>
        <w:pStyle w:val="RegSingleTxtG"/>
        <w:numPr>
          <w:ilvl w:val="0"/>
          <w:numId w:val="0"/>
        </w:numPr>
        <w:tabs>
          <w:tab w:val="left" w:pos="568"/>
        </w:tabs>
        <w:ind w:left="1135"/>
      </w:pPr>
      <w:r>
        <w:t>156.</w:t>
      </w:r>
      <w:r>
        <w:tab/>
      </w:r>
      <w:r w:rsidR="00BE07CA">
        <w:t xml:space="preserve">The SBI welcomed the exchange of views by Parties on the implications for the intergovernmental process following the adoption of the Paris Agreement and other decisions at the Paris Conference, including implications for the frequency and organization of sessions of the COP, the CMP and their subsidiary bodies and, following the entry into force of the Paris Agreement, the Conference of the Parties serving as the meeting of the Parties to the Paris Agreement. </w:t>
      </w:r>
    </w:p>
    <w:p w14:paraId="35074FA3" w14:textId="704B2EAA" w:rsidR="00BE07CA" w:rsidRDefault="000E0429" w:rsidP="000E0429">
      <w:pPr>
        <w:pStyle w:val="RegSingleTxtG"/>
        <w:numPr>
          <w:ilvl w:val="0"/>
          <w:numId w:val="0"/>
        </w:numPr>
        <w:tabs>
          <w:tab w:val="left" w:pos="568"/>
        </w:tabs>
        <w:ind w:left="1135"/>
      </w:pPr>
      <w:r>
        <w:t>157.</w:t>
      </w:r>
      <w:r>
        <w:tab/>
      </w:r>
      <w:r w:rsidR="00BE07CA">
        <w:rPr>
          <w:lang w:val="en-US" w:eastAsia="en-US"/>
        </w:rPr>
        <w:t xml:space="preserve">The SBI acknowledged that, owing to the work arising from the Paris Agreement and the decisions adopted at the Paris Conference, it is necessary to continue convening sessions of the supreme bodies annually in the pre-2020 period. It therefore agreed to further </w:t>
      </w:r>
      <w:r w:rsidR="00BE07CA">
        <w:t xml:space="preserve">consider session frequency and organization scenarios at SBI 48 (April–May 2018). The SBI </w:t>
      </w:r>
      <w:r w:rsidR="00BE07CA">
        <w:rPr>
          <w:lang w:val="en-US" w:eastAsia="en-US"/>
        </w:rPr>
        <w:t xml:space="preserve">requested the secretariat to provide more detailed information on the budgetary implications of </w:t>
      </w:r>
      <w:r w:rsidR="00BE07CA">
        <w:rPr>
          <w:lang w:eastAsia="en-US"/>
        </w:rPr>
        <w:t>different</w:t>
      </w:r>
      <w:r w:rsidR="00BE07CA">
        <w:rPr>
          <w:lang w:val="en-US" w:eastAsia="en-US"/>
        </w:rPr>
        <w:t xml:space="preserve"> options</w:t>
      </w:r>
      <w:r w:rsidR="00BE07CA">
        <w:t xml:space="preserve"> in order to support the further consideration of these issues</w:t>
      </w:r>
      <w:r w:rsidR="00BE07CA">
        <w:rPr>
          <w:lang w:val="en-US" w:eastAsia="en-US"/>
        </w:rPr>
        <w:t xml:space="preserve">. </w:t>
      </w:r>
    </w:p>
    <w:p w14:paraId="7486EB4A" w14:textId="559FD8C0" w:rsidR="00BE07CA" w:rsidRDefault="000E0429" w:rsidP="000E0429">
      <w:pPr>
        <w:pStyle w:val="RegSingleTxtG"/>
        <w:numPr>
          <w:ilvl w:val="0"/>
          <w:numId w:val="0"/>
        </w:numPr>
        <w:tabs>
          <w:tab w:val="left" w:pos="568"/>
        </w:tabs>
        <w:ind w:left="1135"/>
        <w:rPr>
          <w:lang w:val="en-US" w:eastAsia="en-US"/>
        </w:rPr>
      </w:pPr>
      <w:r>
        <w:rPr>
          <w:lang w:val="en-US" w:eastAsia="en-US"/>
        </w:rPr>
        <w:t>158.</w:t>
      </w:r>
      <w:r>
        <w:rPr>
          <w:lang w:val="en-US" w:eastAsia="en-US"/>
        </w:rPr>
        <w:tab/>
      </w:r>
      <w:r w:rsidR="00BE07CA">
        <w:t>T</w:t>
      </w:r>
      <w:r w:rsidR="00BE07CA">
        <w:rPr>
          <w:lang w:val="en-US" w:eastAsia="en-US"/>
        </w:rPr>
        <w:t xml:space="preserve">he SBI recognized the need to take into account the important role of the implementation of mandates under the Paris Agreement and the implications of any change in the frequency and organization of sessions for the mandates and work resulting from the Paris Agreement. </w:t>
      </w:r>
    </w:p>
    <w:p w14:paraId="76FD763B" w14:textId="51D78F43" w:rsidR="00BE07CA" w:rsidRDefault="000E0429" w:rsidP="000E0429">
      <w:pPr>
        <w:pStyle w:val="RegSingleTxtG"/>
        <w:numPr>
          <w:ilvl w:val="0"/>
          <w:numId w:val="0"/>
        </w:numPr>
        <w:tabs>
          <w:tab w:val="left" w:pos="568"/>
        </w:tabs>
        <w:ind w:left="1135"/>
      </w:pPr>
      <w:r>
        <w:t>159.</w:t>
      </w:r>
      <w:r>
        <w:tab/>
      </w:r>
      <w:r w:rsidR="00BE07CA">
        <w:rPr>
          <w:shd w:val="clear" w:color="auto" w:fill="FFFFFF" w:themeFill="background1"/>
        </w:rPr>
        <w:t>The SBI took note of</w:t>
      </w:r>
      <w:r w:rsidR="00BE07CA">
        <w:t xml:space="preserve"> the update provided by the secretariat on the implementation during the period 2014–2015 of the SBI conclusions on ways to further enhance the engagement of observer organizations in the intergovernmental process. It noted the </w:t>
      </w:r>
      <w:r w:rsidR="00BE07CA">
        <w:lastRenderedPageBreak/>
        <w:t>summary provided by the secretariat of the evolution of stakeholder engagement in the UNFCCC process.</w:t>
      </w:r>
      <w:r w:rsidR="00BE07CA">
        <w:rPr>
          <w:rStyle w:val="FootnoteReference"/>
        </w:rPr>
        <w:footnoteReference w:id="97"/>
      </w:r>
    </w:p>
    <w:p w14:paraId="74ADBB7A" w14:textId="41D635B7" w:rsidR="00BE07CA" w:rsidRDefault="000E0429" w:rsidP="000E0429">
      <w:pPr>
        <w:pStyle w:val="RegSingleTxtG"/>
        <w:numPr>
          <w:ilvl w:val="0"/>
          <w:numId w:val="0"/>
        </w:numPr>
        <w:tabs>
          <w:tab w:val="left" w:pos="568"/>
        </w:tabs>
        <w:ind w:left="1135"/>
      </w:pPr>
      <w:r>
        <w:t>160.</w:t>
      </w:r>
      <w:r>
        <w:tab/>
      </w:r>
      <w:r w:rsidR="00BE07CA">
        <w:t>The SBI welcomed the efforts made by the Governments of Poland, Peru and France in engaging stakeholders, including the private sector, local and subnational authorities and civil society, in the lead-up to, during and after COP 19 and CMP 9, COP 20 and CMP 10, and COP 21 and CMP 11, respectively.</w:t>
      </w:r>
      <w:r w:rsidR="00ED5711">
        <w:t xml:space="preserve"> </w:t>
      </w:r>
    </w:p>
    <w:p w14:paraId="47FE35E0" w14:textId="5B1EA614" w:rsidR="00BE07CA" w:rsidRPr="00FC2EC7" w:rsidRDefault="000E0429" w:rsidP="000E0429">
      <w:pPr>
        <w:pStyle w:val="RegSingleTxtG"/>
        <w:numPr>
          <w:ilvl w:val="0"/>
          <w:numId w:val="0"/>
        </w:numPr>
        <w:tabs>
          <w:tab w:val="left" w:pos="568"/>
        </w:tabs>
        <w:ind w:left="1135"/>
      </w:pPr>
      <w:r w:rsidRPr="00FC2EC7">
        <w:t>161.</w:t>
      </w:r>
      <w:r w:rsidRPr="00FC2EC7">
        <w:tab/>
      </w:r>
      <w:r w:rsidR="00BE07CA" w:rsidRPr="00FC2EC7">
        <w:t>The SBI recalled the increased recognition of, and references to, various non-Party stakeholders in the Paris Agreement and decision 1/CP.21</w:t>
      </w:r>
      <w:r w:rsidR="00BE07CA" w:rsidRPr="00FC2EC7">
        <w:rPr>
          <w:rStyle w:val="FootnoteReference"/>
        </w:rPr>
        <w:footnoteReference w:id="98"/>
      </w:r>
      <w:r w:rsidR="00BE07CA" w:rsidRPr="00FC2EC7">
        <w:t xml:space="preserve"> and reaffirmed the fundamental value of effective participation by observers, both in the intergovernmental process and in undertaking practical action in response to climate change.</w:t>
      </w:r>
    </w:p>
    <w:p w14:paraId="7E65A445" w14:textId="38C43B2B" w:rsidR="00BE07CA" w:rsidRDefault="000E0429" w:rsidP="000E0429">
      <w:pPr>
        <w:pStyle w:val="RegSingleTxtG"/>
        <w:numPr>
          <w:ilvl w:val="0"/>
          <w:numId w:val="0"/>
        </w:numPr>
        <w:tabs>
          <w:tab w:val="left" w:pos="568"/>
        </w:tabs>
        <w:ind w:left="1135"/>
      </w:pPr>
      <w:r>
        <w:t>162.</w:t>
      </w:r>
      <w:r>
        <w:tab/>
      </w:r>
      <w:r w:rsidR="00BE07CA">
        <w:t>The SBI also reaffirmed the value of contributions from observer organizations to deliberations on substantive issues</w:t>
      </w:r>
      <w:r w:rsidR="00BE07CA">
        <w:rPr>
          <w:rStyle w:val="FootnoteReference"/>
        </w:rPr>
        <w:footnoteReference w:id="99"/>
      </w:r>
      <w:r w:rsidR="00BE07CA">
        <w:t xml:space="preserve"> and acknowledged the need to further enhance the effective engagement of observer organizations as the UNFCCC process moves forward into the implementation and operationalization of the Paris Agreement. </w:t>
      </w:r>
    </w:p>
    <w:p w14:paraId="1C5BD95D" w14:textId="22A5413B" w:rsidR="00BE07CA" w:rsidRPr="00FC2EC7" w:rsidRDefault="000E0429" w:rsidP="000E0429">
      <w:pPr>
        <w:pStyle w:val="RegSingleTxtG"/>
        <w:numPr>
          <w:ilvl w:val="0"/>
          <w:numId w:val="0"/>
        </w:numPr>
        <w:tabs>
          <w:tab w:val="left" w:pos="568"/>
        </w:tabs>
        <w:ind w:left="1135"/>
      </w:pPr>
      <w:r w:rsidRPr="00FC2EC7">
        <w:t>163.</w:t>
      </w:r>
      <w:r w:rsidRPr="00FC2EC7">
        <w:tab/>
      </w:r>
      <w:r w:rsidR="00BE07CA" w:rsidRPr="00FC2EC7">
        <w:t xml:space="preserve">In this context, the SBI agreed to convene an in-session workshop at SBI 46 on opportunities to further enhance the effective engagement of non-Party stakeholders with a view to strengthening the implementation of the provisions of decision 1/CP.21. </w:t>
      </w:r>
    </w:p>
    <w:p w14:paraId="0AAE86A7" w14:textId="1314DE6A" w:rsidR="00BE07CA" w:rsidRPr="00FC2EC7" w:rsidRDefault="000E0429" w:rsidP="000E0429">
      <w:pPr>
        <w:pStyle w:val="RegSingleTxtG"/>
        <w:numPr>
          <w:ilvl w:val="0"/>
          <w:numId w:val="0"/>
        </w:numPr>
        <w:tabs>
          <w:tab w:val="left" w:pos="568"/>
        </w:tabs>
        <w:ind w:left="1135"/>
      </w:pPr>
      <w:r w:rsidRPr="00FC2EC7">
        <w:t>164.</w:t>
      </w:r>
      <w:r w:rsidRPr="00FC2EC7">
        <w:tab/>
      </w:r>
      <w:r w:rsidR="00BE07CA" w:rsidRPr="00FC2EC7">
        <w:t>In this regard, the SBI invited Parties, observer organizations and interested United Nations agencies to submit their views on opportunities to further enhance the effective engagement of non-Party stakeholders with a view to strengthening the implementation of the provisions of decision 1/CP.21, by 28 February 2017 at the latest.</w:t>
      </w:r>
      <w:r w:rsidR="00BE07CA" w:rsidRPr="00FC2EC7">
        <w:rPr>
          <w:rStyle w:val="FootnoteReference"/>
        </w:rPr>
        <w:footnoteReference w:id="100"/>
      </w:r>
      <w:r w:rsidR="00BE07CA" w:rsidRPr="00FC2EC7">
        <w:t xml:space="preserve"> It requested the secretariat to prepare, by 30 April 2017, a summary report on the views contained in those submissions to be used as background information for the works</w:t>
      </w:r>
      <w:r w:rsidR="00BE07CA">
        <w:t>hop referred to in paragraph 163</w:t>
      </w:r>
      <w:r w:rsidR="00BE07CA" w:rsidRPr="00FC2EC7">
        <w:t xml:space="preserve"> above. The SBI also requested the secretariat to prepare a report on that workshop for consideration at SBI 46. </w:t>
      </w:r>
    </w:p>
    <w:p w14:paraId="64705B2E" w14:textId="3C43E0D3" w:rsidR="00BE07CA" w:rsidRPr="00FC2EC7" w:rsidRDefault="000E0429" w:rsidP="000E0429">
      <w:pPr>
        <w:pStyle w:val="RegSingleTxtG"/>
        <w:numPr>
          <w:ilvl w:val="0"/>
          <w:numId w:val="0"/>
        </w:numPr>
        <w:tabs>
          <w:tab w:val="left" w:pos="568"/>
        </w:tabs>
        <w:ind w:left="1135"/>
      </w:pPr>
      <w:r w:rsidRPr="00FC2EC7">
        <w:t>165.</w:t>
      </w:r>
      <w:r w:rsidRPr="00FC2EC7">
        <w:tab/>
      </w:r>
      <w:r w:rsidR="00BE07CA" w:rsidRPr="00FC2EC7">
        <w:t>The SBI took note of the work of the secretariat on the establishment of a platform for the exchange of experiences and sharing of best practices on mitigation and adaptation in a holistic and integrated manner, as referred to in decision 1/CP.21, paragraph 135, and requested further information on the implementation of such work by SBI 46.</w:t>
      </w:r>
    </w:p>
    <w:p w14:paraId="4566DB7D" w14:textId="49AE3C15" w:rsidR="00BE07CA" w:rsidRDefault="000E0429" w:rsidP="000E0429">
      <w:pPr>
        <w:pStyle w:val="RegSingleTxtG"/>
        <w:numPr>
          <w:ilvl w:val="0"/>
          <w:numId w:val="0"/>
        </w:numPr>
        <w:tabs>
          <w:tab w:val="left" w:pos="568"/>
        </w:tabs>
        <w:ind w:left="1135"/>
      </w:pPr>
      <w:r>
        <w:t>166.</w:t>
      </w:r>
      <w:r>
        <w:tab/>
      </w:r>
      <w:r w:rsidR="00BE07CA">
        <w:t>The SBI noted that modes of observer engagement in other intergovernmental forums within the United Nations system may inform the UNFCCC process on efforts to enhance the engagement of non-Party stakeholders in climate action.</w:t>
      </w:r>
    </w:p>
    <w:p w14:paraId="15FF13D8" w14:textId="034D5B25" w:rsidR="00BE07CA" w:rsidRDefault="000E0429" w:rsidP="000E0429">
      <w:pPr>
        <w:pStyle w:val="RegSingleTxtG"/>
        <w:numPr>
          <w:ilvl w:val="0"/>
          <w:numId w:val="0"/>
        </w:numPr>
        <w:tabs>
          <w:tab w:val="left" w:pos="568"/>
        </w:tabs>
        <w:ind w:left="1135"/>
      </w:pPr>
      <w:r>
        <w:t>167.</w:t>
      </w:r>
      <w:r>
        <w:tab/>
      </w:r>
      <w:r w:rsidR="00BE07CA">
        <w:t xml:space="preserve">The SBI also noted that the number of admitted observer organizations has nearly doubled since 2008 and requested the secretariat to take the necessary administrative measures in order to facilitate more effective participation of such organizations in the intergovernmental process. </w:t>
      </w:r>
    </w:p>
    <w:p w14:paraId="75A8F93E" w14:textId="58E5CF44" w:rsidR="00BE07CA" w:rsidRDefault="000E0429" w:rsidP="000E0429">
      <w:pPr>
        <w:pStyle w:val="RegSingleTxtG"/>
        <w:numPr>
          <w:ilvl w:val="0"/>
          <w:numId w:val="0"/>
        </w:numPr>
        <w:tabs>
          <w:tab w:val="left" w:pos="568"/>
        </w:tabs>
        <w:ind w:left="1135"/>
      </w:pPr>
      <w:r>
        <w:t>168.</w:t>
      </w:r>
      <w:r>
        <w:tab/>
      </w:r>
      <w:r w:rsidR="00BE07CA">
        <w:t>The SBI took note of the information provided by the secretariat on existing procedures and practices for the admission of observer organizations.</w:t>
      </w:r>
    </w:p>
    <w:p w14:paraId="6E6EAD11" w14:textId="42E150CE" w:rsidR="00BE07CA" w:rsidRPr="00FC2EC7" w:rsidRDefault="000E0429" w:rsidP="000E0429">
      <w:pPr>
        <w:pStyle w:val="RegSingleTxtG"/>
        <w:numPr>
          <w:ilvl w:val="0"/>
          <w:numId w:val="0"/>
        </w:numPr>
        <w:tabs>
          <w:tab w:val="left" w:pos="568"/>
        </w:tabs>
        <w:ind w:left="1135"/>
      </w:pPr>
      <w:r w:rsidRPr="00FC2EC7">
        <w:t>169.</w:t>
      </w:r>
      <w:r w:rsidRPr="00FC2EC7">
        <w:tab/>
      </w:r>
      <w:r w:rsidR="00BE07CA" w:rsidRPr="00FC2EC7">
        <w:rPr>
          <w:lang w:val="en-US" w:eastAsia="en-US"/>
        </w:rPr>
        <w:t>The SBI also took note of the estimated budgetary implications of the activities to be undertaken by the secretariat referred to in paragraph</w:t>
      </w:r>
      <w:r w:rsidR="00BE07CA" w:rsidRPr="00FC2EC7">
        <w:rPr>
          <w:lang w:eastAsia="en-US"/>
        </w:rPr>
        <w:t>s</w:t>
      </w:r>
      <w:r w:rsidR="00BE07CA" w:rsidRPr="00FC2EC7">
        <w:rPr>
          <w:lang w:val="en-US" w:eastAsia="en-US"/>
        </w:rPr>
        <w:t xml:space="preserve"> 16</w:t>
      </w:r>
      <w:r w:rsidR="00BE07CA">
        <w:rPr>
          <w:lang w:val="en-US" w:eastAsia="en-US"/>
        </w:rPr>
        <w:t>3</w:t>
      </w:r>
      <w:r w:rsidR="00BE07CA" w:rsidRPr="00FC2EC7">
        <w:rPr>
          <w:lang w:val="en-US" w:eastAsia="en-US"/>
        </w:rPr>
        <w:t xml:space="preserve"> and</w:t>
      </w:r>
      <w:r w:rsidR="00BE07CA" w:rsidRPr="00FC2EC7">
        <w:rPr>
          <w:lang w:eastAsia="en-US"/>
        </w:rPr>
        <w:t xml:space="preserve"> 16</w:t>
      </w:r>
      <w:r w:rsidR="00BE07CA">
        <w:rPr>
          <w:lang w:eastAsia="en-US"/>
        </w:rPr>
        <w:t>4</w:t>
      </w:r>
      <w:r w:rsidR="00BE07CA" w:rsidRPr="00FC2EC7">
        <w:rPr>
          <w:lang w:eastAsia="en-US"/>
        </w:rPr>
        <w:t xml:space="preserve"> </w:t>
      </w:r>
      <w:r w:rsidR="00BE07CA" w:rsidRPr="00FC2EC7">
        <w:rPr>
          <w:lang w:val="en-US" w:eastAsia="en-US"/>
        </w:rPr>
        <w:t>above. It requested that the actions of the secretariat called for in these conclusions be undertaken subject to the availability of financial resources.</w:t>
      </w:r>
    </w:p>
    <w:p w14:paraId="26F25472" w14:textId="76129B6B" w:rsidR="00BE07CA" w:rsidRDefault="000E0429" w:rsidP="000E0429">
      <w:pPr>
        <w:pStyle w:val="RegHChG"/>
        <w:numPr>
          <w:ilvl w:val="0"/>
          <w:numId w:val="0"/>
        </w:numPr>
        <w:tabs>
          <w:tab w:val="left" w:pos="1135"/>
        </w:tabs>
        <w:spacing w:after="0"/>
        <w:ind w:left="1135" w:hanging="454"/>
        <w:rPr>
          <w:sz w:val="20"/>
          <w:lang w:eastAsia="en-US"/>
        </w:rPr>
      </w:pPr>
      <w:bookmarkStart w:id="157" w:name="_Toc453078782"/>
      <w:r>
        <w:rPr>
          <w:lang w:eastAsia="en-US"/>
        </w:rPr>
        <w:lastRenderedPageBreak/>
        <w:t>XVIII.</w:t>
      </w:r>
      <w:r>
        <w:rPr>
          <w:lang w:eastAsia="en-US"/>
        </w:rPr>
        <w:tab/>
      </w:r>
      <w:r w:rsidR="00BE07CA">
        <w:rPr>
          <w:lang w:eastAsia="en-US"/>
        </w:rPr>
        <w:t>Administrative, financial and institutional matters</w:t>
      </w:r>
      <w:bookmarkEnd w:id="152"/>
      <w:bookmarkEnd w:id="153"/>
      <w:bookmarkEnd w:id="154"/>
      <w:bookmarkEnd w:id="157"/>
    </w:p>
    <w:p w14:paraId="399E6937" w14:textId="77777777" w:rsidR="00BE07CA" w:rsidRDefault="00BE07CA" w:rsidP="00BE07CA">
      <w:pPr>
        <w:pStyle w:val="SingleTxtG"/>
        <w:spacing w:after="240"/>
      </w:pPr>
      <w:r>
        <w:t>(Agenda item 18)</w:t>
      </w:r>
      <w:bookmarkEnd w:id="155"/>
      <w:bookmarkEnd w:id="156"/>
    </w:p>
    <w:p w14:paraId="0D37279E" w14:textId="1EDBE1F4" w:rsidR="00BE07CA" w:rsidRDefault="000E0429" w:rsidP="000E0429">
      <w:pPr>
        <w:pStyle w:val="RegH1G"/>
        <w:numPr>
          <w:ilvl w:val="0"/>
          <w:numId w:val="0"/>
        </w:numPr>
        <w:tabs>
          <w:tab w:val="left" w:pos="1135"/>
        </w:tabs>
        <w:spacing w:after="0"/>
        <w:ind w:left="1135" w:hanging="454"/>
        <w:rPr>
          <w:sz w:val="20"/>
          <w:lang w:eastAsia="en-US"/>
        </w:rPr>
      </w:pPr>
      <w:bookmarkStart w:id="158" w:name="_Toc453078783"/>
      <w:bookmarkStart w:id="159" w:name="_Toc421881709"/>
      <w:bookmarkStart w:id="160" w:name="_Toc421268902"/>
      <w:r>
        <w:rPr>
          <w:lang w:eastAsia="en-US"/>
        </w:rPr>
        <w:t>A.</w:t>
      </w:r>
      <w:r>
        <w:rPr>
          <w:lang w:eastAsia="en-US"/>
        </w:rPr>
        <w:tab/>
      </w:r>
      <w:r w:rsidR="00BE07CA">
        <w:t>Financial and budgetary matters</w:t>
      </w:r>
      <w:bookmarkEnd w:id="158"/>
    </w:p>
    <w:p w14:paraId="17F79A90" w14:textId="77777777" w:rsidR="00BE07CA" w:rsidRDefault="00BE07CA" w:rsidP="00BE07CA">
      <w:pPr>
        <w:pStyle w:val="SingleTxtG"/>
        <w:spacing w:after="240"/>
      </w:pPr>
      <w:r>
        <w:t>(Agenda sub-item 18(a))</w:t>
      </w:r>
      <w:bookmarkEnd w:id="159"/>
      <w:bookmarkEnd w:id="160"/>
    </w:p>
    <w:p w14:paraId="10F148B4" w14:textId="4E975670"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137ED252" w14:textId="138ACAEB" w:rsidR="00BE07CA" w:rsidRPr="00FC2EC7" w:rsidRDefault="000E0429" w:rsidP="000E0429">
      <w:pPr>
        <w:pStyle w:val="RegSingleTxtG"/>
        <w:numPr>
          <w:ilvl w:val="0"/>
          <w:numId w:val="0"/>
        </w:numPr>
        <w:tabs>
          <w:tab w:val="left" w:pos="568"/>
        </w:tabs>
        <w:ind w:left="1135"/>
      </w:pPr>
      <w:r w:rsidRPr="00FC2EC7">
        <w:t>170.</w:t>
      </w:r>
      <w:r w:rsidRPr="00FC2EC7">
        <w:tab/>
      </w:r>
      <w:r w:rsidR="00BE07CA" w:rsidRPr="00FC2EC7">
        <w:t>The SBI considered this agenda sub-item at its resumed 1</w:t>
      </w:r>
      <w:r w:rsidR="00BE07CA" w:rsidRPr="00FC2EC7">
        <w:rPr>
          <w:vertAlign w:val="superscript"/>
        </w:rPr>
        <w:t>st</w:t>
      </w:r>
      <w:r w:rsidR="00BE07CA" w:rsidRPr="00FC2EC7">
        <w:t xml:space="preserve"> and resumed 3</w:t>
      </w:r>
      <w:r w:rsidR="00BE07CA" w:rsidRPr="00FC2EC7">
        <w:rPr>
          <w:vertAlign w:val="superscript"/>
        </w:rPr>
        <w:t>rd</w:t>
      </w:r>
      <w:r w:rsidR="00BE07CA" w:rsidRPr="00FC2EC7">
        <w:t xml:space="preserve"> meetings, and had before it documents FCCC/SBI/2016/INF.3 and FCCC/SBI/2016/INF.5. The Executive Secretary made a statement, as well as the representative of one Party.</w:t>
      </w:r>
      <w:r w:rsidR="00BE07CA" w:rsidRPr="00FC2EC7">
        <w:rPr>
          <w:color w:val="1F497D" w:themeColor="text2"/>
        </w:rPr>
        <w:t xml:space="preserve"> </w:t>
      </w:r>
      <w:r w:rsidR="00BE07CA" w:rsidRPr="00FC2EC7">
        <w:t>At the resumed 1</w:t>
      </w:r>
      <w:r w:rsidR="00BE07CA" w:rsidRPr="00FC2EC7">
        <w:rPr>
          <w:vertAlign w:val="superscript"/>
        </w:rPr>
        <w:t>st</w:t>
      </w:r>
      <w:r w:rsidR="00BE07CA" w:rsidRPr="00FC2EC7">
        <w:t xml:space="preserve"> meeting, the Chair proposed to prepare draft conclusions on this sub-item, with the assistance of the secretariat and in consultation with interested Parties. </w:t>
      </w:r>
    </w:p>
    <w:p w14:paraId="03575EB9" w14:textId="222C2B6D" w:rsidR="00BE07CA" w:rsidRDefault="000E0429" w:rsidP="000E0429">
      <w:pPr>
        <w:pStyle w:val="RegSingleTxtG"/>
        <w:numPr>
          <w:ilvl w:val="0"/>
          <w:numId w:val="0"/>
        </w:numPr>
        <w:tabs>
          <w:tab w:val="left" w:pos="568"/>
        </w:tabs>
        <w:ind w:left="1135"/>
      </w:pPr>
      <w:r>
        <w:t>171.</w:t>
      </w:r>
      <w:r>
        <w:tab/>
      </w:r>
      <w:r w:rsidR="00BE07CA" w:rsidRPr="00725383">
        <w:t xml:space="preserve">At its resumed </w:t>
      </w:r>
      <w:r w:rsidR="00BE07CA" w:rsidRPr="00725383">
        <w:rPr>
          <w:snapToGrid w:val="0"/>
        </w:rPr>
        <w:t>3</w:t>
      </w:r>
      <w:r w:rsidR="00BE07CA" w:rsidRPr="00725383">
        <w:rPr>
          <w:snapToGrid w:val="0"/>
          <w:vertAlign w:val="superscript"/>
        </w:rPr>
        <w:t>rd</w:t>
      </w:r>
      <w:r w:rsidR="00BE07CA" w:rsidRPr="00725383">
        <w:rPr>
          <w:snapToGrid w:val="0"/>
        </w:rPr>
        <w:t xml:space="preserve"> meeting</w:t>
      </w:r>
      <w:r w:rsidR="00BE07CA" w:rsidRPr="00725383">
        <w:t>, the Chair informed the SBI that, in response to requests from several Parties, the secretariat will prepare an information note on the evolving functions and operations of the secretariat in the light of decision 1/CP.21. He also informed the SBI that this note will be considered at SBI 45 under the standing agenda item on administrative, financial and institutional matters, in the expectation that the consideration of this matter will continue at SBI 46.</w:t>
      </w:r>
      <w:r w:rsidR="00BE07CA" w:rsidRPr="004C4407">
        <w:rPr>
          <w:noProof/>
          <w:lang w:val="en-US" w:eastAsia="en-US"/>
        </w:rPr>
        <w:t xml:space="preserve"> </w:t>
      </w:r>
      <w:r w:rsidR="00BE07CA">
        <w:rPr>
          <w:noProof/>
          <w:lang w:val="en-US" w:eastAsia="en-US"/>
        </w:rPr>
        <w:t xml:space="preserve">At the same meeting, </w:t>
      </w:r>
      <w:r w:rsidR="00BE07CA">
        <w:t>the SBI considered and adopted the conclusions below.</w:t>
      </w:r>
      <w:r w:rsidR="00BE07CA" w:rsidRPr="004C4407">
        <w:rPr>
          <w:sz w:val="18"/>
          <w:vertAlign w:val="superscript"/>
        </w:rPr>
        <w:footnoteReference w:id="101"/>
      </w:r>
    </w:p>
    <w:p w14:paraId="49D984E5" w14:textId="3565EC6F"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38CC2D0B" w14:textId="5AE59A86" w:rsidR="00BE07CA" w:rsidRDefault="000E0429" w:rsidP="000E0429">
      <w:pPr>
        <w:pStyle w:val="RegSingleTxtG"/>
        <w:numPr>
          <w:ilvl w:val="0"/>
          <w:numId w:val="0"/>
        </w:numPr>
        <w:tabs>
          <w:tab w:val="left" w:pos="568"/>
        </w:tabs>
        <w:spacing w:before="120"/>
        <w:ind w:left="1135"/>
      </w:pPr>
      <w:r>
        <w:t>172.</w:t>
      </w:r>
      <w:r>
        <w:tab/>
      </w:r>
      <w:r w:rsidR="00BE07CA">
        <w:t>The SBI took note of the information relating to the status of contributions as at 29 April 2016. It expressed its appreciation to the Parties that had paid their indicative contributions to the core budget and their fees for the international transaction log on time. The SBI urged those Parties that have not yet paid their contributions for 1996–2015 to do so as soon as possible.</w:t>
      </w:r>
    </w:p>
    <w:p w14:paraId="0BE8CF66" w14:textId="1F7EB4AA" w:rsidR="00BE07CA" w:rsidRDefault="000E0429" w:rsidP="000E0429">
      <w:pPr>
        <w:pStyle w:val="RegSingleTxtG"/>
        <w:numPr>
          <w:ilvl w:val="0"/>
          <w:numId w:val="0"/>
        </w:numPr>
        <w:tabs>
          <w:tab w:val="left" w:pos="568"/>
        </w:tabs>
        <w:spacing w:before="120"/>
        <w:ind w:left="1135"/>
      </w:pPr>
      <w:r>
        <w:t>173.</w:t>
      </w:r>
      <w:r>
        <w:tab/>
      </w:r>
      <w:r w:rsidR="00BE07CA">
        <w:t>The SBI also expressed its appreciation to those Parties that had made voluntary contributions to the Trust Fund for Participation in the UNFCCC Process and the Trust Fund for Supplementary Activities. It urged Parties to contribute to the Trust Fund for Participation in the UNFCCC Process in order to ensure the widest possible participation therein in 2016, and to contribute to the Trust Fund for Supplementary Activities as well.</w:t>
      </w:r>
    </w:p>
    <w:p w14:paraId="7D692BB5" w14:textId="749BFE7B" w:rsidR="00BE07CA" w:rsidRDefault="000E0429" w:rsidP="000E0429">
      <w:pPr>
        <w:pStyle w:val="RegSingleTxtG"/>
        <w:numPr>
          <w:ilvl w:val="0"/>
          <w:numId w:val="0"/>
        </w:numPr>
        <w:tabs>
          <w:tab w:val="left" w:pos="568"/>
        </w:tabs>
        <w:spacing w:before="120"/>
        <w:ind w:left="1135"/>
      </w:pPr>
      <w:r>
        <w:t>174.</w:t>
      </w:r>
      <w:r>
        <w:tab/>
      </w:r>
      <w:r w:rsidR="00BE07CA">
        <w:t xml:space="preserve">The SBI requested the Executive Secretary to prepare an information note on the revised indicative contributions for the biennium 2016–2017 pursuant to United Nations General Assembly resolution A/RES/70/245 adopting the United Nations scale of assessments for the period 2016–2018 for consideration at SBI 45 with a view to the SBI preparing a draft decision on this matter for consideration and adoption at COP 22 and a draft decision for consideration and adoption at CMP 12. </w:t>
      </w:r>
    </w:p>
    <w:p w14:paraId="46BEACAC" w14:textId="0C0345DE" w:rsidR="00BE07CA" w:rsidRPr="00FC2EC7" w:rsidRDefault="000E0429" w:rsidP="000E0429">
      <w:pPr>
        <w:pStyle w:val="RegSingleTxtG"/>
        <w:numPr>
          <w:ilvl w:val="0"/>
          <w:numId w:val="0"/>
        </w:numPr>
        <w:tabs>
          <w:tab w:val="left" w:pos="568"/>
        </w:tabs>
        <w:ind w:left="1135"/>
      </w:pPr>
      <w:r w:rsidRPr="00FC2EC7">
        <w:t>175.</w:t>
      </w:r>
      <w:r w:rsidRPr="00FC2EC7">
        <w:tab/>
      </w:r>
      <w:r w:rsidR="00BE07CA">
        <w:t xml:space="preserve">The SBI took note of the information relating to an </w:t>
      </w:r>
      <w:r w:rsidR="00BE07CA">
        <w:rPr>
          <w:iCs/>
        </w:rPr>
        <w:t xml:space="preserve">overview of structures and bodies within the </w:t>
      </w:r>
      <w:r w:rsidR="00BE07CA" w:rsidRPr="00FC2EC7">
        <w:rPr>
          <w:iCs/>
        </w:rPr>
        <w:t>United Nations system that may inform Parties in making the budget process more efficient and transparent. It requested the secretariat to prepare an information document to further elaborate on document FCCC/SBI/2016/INF.5, including the range of options for improving the efficiency and transparency of the UNFCCC budget process included in paragraph 47 of that document, to enable SBI 45 to consider this matter under the agenda item on administrative, financial and institutional matters.</w:t>
      </w:r>
      <w:r w:rsidR="00BE07CA" w:rsidRPr="00FC2EC7">
        <w:rPr>
          <w:rStyle w:val="FootnoteReference"/>
          <w:iCs/>
        </w:rPr>
        <w:t xml:space="preserve"> </w:t>
      </w:r>
    </w:p>
    <w:p w14:paraId="1BF32E4F" w14:textId="31F480F0" w:rsidR="00BE07CA" w:rsidRPr="00FC2EC7" w:rsidRDefault="000E0429" w:rsidP="000E0429">
      <w:pPr>
        <w:pStyle w:val="RegSingleTxtG"/>
        <w:numPr>
          <w:ilvl w:val="0"/>
          <w:numId w:val="0"/>
        </w:numPr>
        <w:tabs>
          <w:tab w:val="left" w:pos="568"/>
        </w:tabs>
        <w:ind w:left="1135"/>
      </w:pPr>
      <w:r w:rsidRPr="00FC2EC7">
        <w:t>176.</w:t>
      </w:r>
      <w:r w:rsidRPr="00FC2EC7">
        <w:tab/>
      </w:r>
      <w:r w:rsidR="00BE07CA" w:rsidRPr="00FC2EC7">
        <w:rPr>
          <w:iCs/>
        </w:rPr>
        <w:t>The SBI</w:t>
      </w:r>
      <w:r w:rsidR="00BE07CA" w:rsidRPr="00FC2EC7">
        <w:t xml:space="preserve"> took note of the Secretary-General’s decision to upgrade the position of the Executive Secretary </w:t>
      </w:r>
      <w:r w:rsidR="00BE07CA" w:rsidRPr="00FC2EC7">
        <w:rPr>
          <w:rFonts w:eastAsia="Times New Roman"/>
          <w:lang w:val="en-US" w:eastAsia="en-GB"/>
        </w:rPr>
        <w:t xml:space="preserve">from Assistant Secretary-General to Under-Secretary-General and to </w:t>
      </w:r>
      <w:r w:rsidR="00BE07CA" w:rsidRPr="00FC2EC7">
        <w:rPr>
          <w:rFonts w:eastAsia="Times New Roman"/>
          <w:lang w:val="en-US" w:eastAsia="en-GB"/>
        </w:rPr>
        <w:lastRenderedPageBreak/>
        <w:t xml:space="preserve">upgrade one of the D-2 positions to the level of Assistant Secretary-General to serve as Deputy Executive Secretary. It recommended draft decisions on these matters </w:t>
      </w:r>
      <w:r w:rsidR="00BE07CA" w:rsidRPr="00FC2EC7">
        <w:t>for consideration and adoption at COP 22 and CMP 12 (</w:t>
      </w:r>
      <w:r w:rsidR="00BE07CA">
        <w:t>f</w:t>
      </w:r>
      <w:r w:rsidR="00BE07CA" w:rsidRPr="00FC2EC7">
        <w:t>or the texts of the draft decisions, see document FCCC/SBI/2016/8/Add.1).</w:t>
      </w:r>
    </w:p>
    <w:p w14:paraId="5B444EC9" w14:textId="5E3128C9" w:rsidR="00BE07CA" w:rsidRDefault="000E0429" w:rsidP="000E0429">
      <w:pPr>
        <w:pStyle w:val="RegH1G"/>
        <w:numPr>
          <w:ilvl w:val="0"/>
          <w:numId w:val="0"/>
        </w:numPr>
        <w:tabs>
          <w:tab w:val="left" w:pos="1135"/>
        </w:tabs>
        <w:spacing w:after="0"/>
        <w:ind w:left="1135" w:hanging="454"/>
        <w:rPr>
          <w:sz w:val="20"/>
          <w:lang w:eastAsia="en-US"/>
        </w:rPr>
      </w:pPr>
      <w:bookmarkStart w:id="161" w:name="_Toc453078784"/>
      <w:bookmarkStart w:id="162" w:name="_Toc421881710"/>
      <w:bookmarkStart w:id="163" w:name="_Toc421268903"/>
      <w:r>
        <w:rPr>
          <w:lang w:eastAsia="en-US"/>
        </w:rPr>
        <w:t>B.</w:t>
      </w:r>
      <w:r>
        <w:rPr>
          <w:lang w:eastAsia="en-US"/>
        </w:rPr>
        <w:tab/>
      </w:r>
      <w:r w:rsidR="00BE07CA">
        <w:rPr>
          <w:rFonts w:ascii="TimesNewRomanPSMT" w:eastAsia="Times New Roman" w:hAnsi="TimesNewRomanPSMT" w:cs="TimesNewRomanPSMT"/>
          <w:lang w:eastAsia="en-GB"/>
        </w:rPr>
        <w:t>Continuing review of functions and operations of the secretariat</w:t>
      </w:r>
      <w:bookmarkEnd w:id="161"/>
    </w:p>
    <w:p w14:paraId="668F56CD" w14:textId="77777777" w:rsidR="00BE07CA" w:rsidRDefault="00BE07CA" w:rsidP="00BE07CA">
      <w:pPr>
        <w:pStyle w:val="SingleTxtG"/>
        <w:spacing w:after="240"/>
      </w:pPr>
      <w:r>
        <w:t>(Agenda sub-item 18(b))</w:t>
      </w:r>
      <w:bookmarkEnd w:id="162"/>
      <w:bookmarkEnd w:id="163"/>
    </w:p>
    <w:p w14:paraId="2401D1E3" w14:textId="77777777" w:rsidR="00BE07CA" w:rsidRDefault="00BE07CA" w:rsidP="000E0429">
      <w:pPr>
        <w:pStyle w:val="RegH23G"/>
        <w:numPr>
          <w:ilvl w:val="0"/>
          <w:numId w:val="0"/>
        </w:numPr>
        <w:tabs>
          <w:tab w:val="left" w:pos="720"/>
        </w:tabs>
        <w:ind w:left="1134" w:hanging="454"/>
      </w:pPr>
      <w:r>
        <w:t>Proceedings</w:t>
      </w:r>
    </w:p>
    <w:p w14:paraId="74DDBC04" w14:textId="613C37AF" w:rsidR="00BE07CA" w:rsidRDefault="000E0429" w:rsidP="000E0429">
      <w:pPr>
        <w:pStyle w:val="RegSingleTxtG"/>
        <w:numPr>
          <w:ilvl w:val="0"/>
          <w:numId w:val="0"/>
        </w:numPr>
        <w:tabs>
          <w:tab w:val="left" w:pos="568"/>
        </w:tabs>
        <w:ind w:left="1135"/>
      </w:pPr>
      <w:r>
        <w:t>177.</w:t>
      </w:r>
      <w:r>
        <w:tab/>
      </w:r>
      <w:r w:rsidR="00BE07CA">
        <w:t>The SBI considered this agenda sub-item at its resumed 1</w:t>
      </w:r>
      <w:r w:rsidR="00BE07CA">
        <w:rPr>
          <w:vertAlign w:val="superscript"/>
        </w:rPr>
        <w:t>st</w:t>
      </w:r>
      <w:r w:rsidR="00BE07CA">
        <w:t xml:space="preserve"> meeting </w:t>
      </w:r>
      <w:r w:rsidR="00BE07CA">
        <w:rPr>
          <w:snapToGrid w:val="0"/>
        </w:rPr>
        <w:t>and agreed to continue to consider it at SBI 46</w:t>
      </w:r>
      <w:r w:rsidR="00BE07CA">
        <w:t xml:space="preserve">. </w:t>
      </w:r>
      <w:bookmarkStart w:id="164" w:name="_Toc421268905"/>
      <w:bookmarkStart w:id="165" w:name="_Toc421881712"/>
      <w:bookmarkStart w:id="166" w:name="_Toc406647825"/>
      <w:bookmarkEnd w:id="164"/>
      <w:bookmarkEnd w:id="165"/>
      <w:bookmarkEnd w:id="166"/>
    </w:p>
    <w:p w14:paraId="7982DB63" w14:textId="355618A4" w:rsidR="00BE07CA" w:rsidRDefault="000E0429" w:rsidP="000E0429">
      <w:pPr>
        <w:pStyle w:val="RegH1G"/>
        <w:numPr>
          <w:ilvl w:val="0"/>
          <w:numId w:val="0"/>
        </w:numPr>
        <w:tabs>
          <w:tab w:val="left" w:pos="1135"/>
        </w:tabs>
        <w:spacing w:after="0"/>
        <w:ind w:left="1135" w:hanging="454"/>
        <w:rPr>
          <w:sz w:val="20"/>
          <w:lang w:eastAsia="en-US"/>
        </w:rPr>
      </w:pPr>
      <w:bookmarkStart w:id="167" w:name="_Toc453078785"/>
      <w:bookmarkStart w:id="168" w:name="_Toc435527369"/>
      <w:bookmarkStart w:id="169" w:name="_Toc435526688"/>
      <w:bookmarkStart w:id="170" w:name="_Toc421881713"/>
      <w:bookmarkStart w:id="171" w:name="_Toc421268906"/>
      <w:r>
        <w:rPr>
          <w:lang w:eastAsia="en-US"/>
        </w:rPr>
        <w:t>C.</w:t>
      </w:r>
      <w:r>
        <w:rPr>
          <w:lang w:eastAsia="en-US"/>
        </w:rPr>
        <w:tab/>
      </w:r>
      <w:r w:rsidR="00BE07CA">
        <w:rPr>
          <w:lang w:eastAsia="en-GB"/>
        </w:rPr>
        <w:t>Privileges and immunities for individuals serving on constituted bodies established under the Kyoto Protocol</w:t>
      </w:r>
      <w:bookmarkEnd w:id="167"/>
    </w:p>
    <w:p w14:paraId="2C27616C" w14:textId="77777777" w:rsidR="00BE07CA" w:rsidRDefault="00BE07CA" w:rsidP="00BE07CA">
      <w:pPr>
        <w:pStyle w:val="SingleTxtG"/>
        <w:spacing w:after="240"/>
      </w:pPr>
      <w:r>
        <w:t>(Agenda sub-item 18(c))</w:t>
      </w:r>
    </w:p>
    <w:p w14:paraId="7DD13AD5" w14:textId="071114C2"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5ECAEBF9" w14:textId="6E607FBB" w:rsidR="00BE07CA" w:rsidRPr="00FC2EC7" w:rsidRDefault="000E0429" w:rsidP="000E0429">
      <w:pPr>
        <w:pStyle w:val="RegSingleTxtG"/>
        <w:numPr>
          <w:ilvl w:val="0"/>
          <w:numId w:val="0"/>
        </w:numPr>
        <w:tabs>
          <w:tab w:val="left" w:pos="568"/>
        </w:tabs>
        <w:ind w:left="1135"/>
      </w:pPr>
      <w:r w:rsidRPr="00FC2EC7">
        <w:t>178.</w:t>
      </w:r>
      <w:r w:rsidRPr="00FC2EC7">
        <w:tab/>
      </w:r>
      <w:r w:rsidR="00BE07CA">
        <w:t xml:space="preserve">The SBI considered </w:t>
      </w:r>
      <w:r w:rsidR="00BE07CA" w:rsidRPr="00FC2EC7">
        <w:t>this agenda sub-item at its resumed 1</w:t>
      </w:r>
      <w:r w:rsidR="00BE07CA" w:rsidRPr="00FC2EC7">
        <w:rPr>
          <w:vertAlign w:val="superscript"/>
        </w:rPr>
        <w:t>st</w:t>
      </w:r>
      <w:r w:rsidR="00BE07CA" w:rsidRPr="00FC2EC7">
        <w:t xml:space="preserve"> meeting and at its 3</w:t>
      </w:r>
      <w:r w:rsidR="00BE07CA" w:rsidRPr="00FC2EC7">
        <w:rPr>
          <w:vertAlign w:val="superscript"/>
        </w:rPr>
        <w:t>rd</w:t>
      </w:r>
      <w:r w:rsidR="00BE07CA" w:rsidRPr="00FC2EC7">
        <w:t xml:space="preserve"> meeting. At its resumed 1</w:t>
      </w:r>
      <w:r w:rsidR="00BE07CA" w:rsidRPr="00FC2EC7">
        <w:rPr>
          <w:vertAlign w:val="superscript"/>
        </w:rPr>
        <w:t>st</w:t>
      </w:r>
      <w:r w:rsidR="00BE07CA" w:rsidRPr="00FC2EC7">
        <w:t xml:space="preserve"> meeting, the SBI agreed to consider this agenda sub-item in informal consultations facilitated by Mr. Peter Horne (Australia). At its 3</w:t>
      </w:r>
      <w:r w:rsidR="00BE07CA" w:rsidRPr="00FC2EC7">
        <w:rPr>
          <w:snapToGrid w:val="0"/>
          <w:vertAlign w:val="superscript"/>
        </w:rPr>
        <w:t>rd</w:t>
      </w:r>
      <w:r w:rsidR="00BE07CA" w:rsidRPr="00FC2EC7">
        <w:rPr>
          <w:snapToGrid w:val="0"/>
        </w:rPr>
        <w:t xml:space="preserve"> meeting</w:t>
      </w:r>
      <w:r w:rsidR="00BE07CA" w:rsidRPr="00FC2EC7">
        <w:t>, the SBI considered and adopted the conclusions below.</w:t>
      </w:r>
      <w:r w:rsidR="00BE07CA" w:rsidRPr="00FC2EC7">
        <w:rPr>
          <w:sz w:val="18"/>
          <w:vertAlign w:val="superscript"/>
        </w:rPr>
        <w:footnoteReference w:id="102"/>
      </w:r>
    </w:p>
    <w:p w14:paraId="29CB8D32" w14:textId="7BAB1C10" w:rsidR="00BE07CA" w:rsidRPr="00FC2EC7" w:rsidRDefault="000E0429" w:rsidP="000E0429">
      <w:pPr>
        <w:pStyle w:val="RegH23G"/>
        <w:numPr>
          <w:ilvl w:val="0"/>
          <w:numId w:val="0"/>
        </w:numPr>
        <w:tabs>
          <w:tab w:val="left" w:pos="1135"/>
        </w:tabs>
        <w:ind w:left="1135" w:hanging="454"/>
      </w:pPr>
      <w:r w:rsidRPr="00FC2EC7">
        <w:rPr>
          <w:bCs/>
        </w:rPr>
        <w:t>2.</w:t>
      </w:r>
      <w:r w:rsidRPr="00FC2EC7">
        <w:rPr>
          <w:bCs/>
        </w:rPr>
        <w:tab/>
      </w:r>
      <w:r w:rsidR="00BE07CA" w:rsidRPr="00FC2EC7">
        <w:t>Conclusion</w:t>
      </w:r>
      <w:r w:rsidR="00BE07CA">
        <w:t>s</w:t>
      </w:r>
    </w:p>
    <w:p w14:paraId="00F4738F" w14:textId="0E7D657D" w:rsidR="00BE07CA" w:rsidRPr="00FC2EC7" w:rsidRDefault="000E0429" w:rsidP="000E0429">
      <w:pPr>
        <w:pStyle w:val="RegSingleTxtG"/>
        <w:numPr>
          <w:ilvl w:val="0"/>
          <w:numId w:val="0"/>
        </w:numPr>
        <w:tabs>
          <w:tab w:val="left" w:pos="568"/>
        </w:tabs>
        <w:ind w:left="1135"/>
      </w:pPr>
      <w:r w:rsidRPr="00FC2EC7">
        <w:t>179.</w:t>
      </w:r>
      <w:r w:rsidRPr="00FC2EC7">
        <w:tab/>
      </w:r>
      <w:r w:rsidR="00BE07CA" w:rsidRPr="00FC2EC7">
        <w:t>The SBI took note of the views of Parties on privileges and immunities for individuals serving on constituted bodies established under the Kyoto Protocol and recommended that CMP 12 conclude the consideration of this issue.</w:t>
      </w:r>
    </w:p>
    <w:p w14:paraId="3D01F7DC" w14:textId="55C8AC0D" w:rsidR="00BE07CA" w:rsidRDefault="000E0429" w:rsidP="000E0429">
      <w:pPr>
        <w:pStyle w:val="RegH1G"/>
        <w:numPr>
          <w:ilvl w:val="0"/>
          <w:numId w:val="0"/>
        </w:numPr>
        <w:tabs>
          <w:tab w:val="left" w:pos="1135"/>
        </w:tabs>
        <w:spacing w:after="0"/>
        <w:ind w:left="1135" w:hanging="454"/>
        <w:rPr>
          <w:sz w:val="20"/>
          <w:lang w:eastAsia="en-US"/>
        </w:rPr>
      </w:pPr>
      <w:bookmarkStart w:id="172" w:name="_Toc453078786"/>
      <w:r>
        <w:rPr>
          <w:lang w:eastAsia="en-US"/>
        </w:rPr>
        <w:t>D.</w:t>
      </w:r>
      <w:r>
        <w:rPr>
          <w:lang w:eastAsia="en-US"/>
        </w:rPr>
        <w:tab/>
      </w:r>
      <w:r w:rsidR="00BE07CA" w:rsidRPr="00FC2EC7">
        <w:rPr>
          <w:rFonts w:ascii="TimesNewRomanPSMT" w:eastAsia="Times New Roman" w:hAnsi="TimesNewRomanPSMT" w:cs="TimesNewRomanPSMT"/>
          <w:lang w:eastAsia="en-GB"/>
        </w:rPr>
        <w:t>Privileges and immunities for individuals serving on constituted bodies</w:t>
      </w:r>
      <w:r w:rsidR="00BE07CA">
        <w:rPr>
          <w:rFonts w:ascii="TimesNewRomanPSMT" w:eastAsia="Times New Roman" w:hAnsi="TimesNewRomanPSMT" w:cs="TimesNewRomanPSMT"/>
          <w:lang w:eastAsia="en-GB"/>
        </w:rPr>
        <w:t xml:space="preserve"> established under the Convention</w:t>
      </w:r>
      <w:bookmarkEnd w:id="172"/>
    </w:p>
    <w:p w14:paraId="0F8E94A2" w14:textId="77777777" w:rsidR="00BE07CA" w:rsidRDefault="00BE07CA" w:rsidP="00BE07CA">
      <w:pPr>
        <w:pStyle w:val="SingleTxtG"/>
        <w:spacing w:after="240"/>
      </w:pPr>
      <w:r>
        <w:t>(Agenda sub-item 18(d))</w:t>
      </w:r>
    </w:p>
    <w:p w14:paraId="6BE8C465" w14:textId="789DB8D5" w:rsidR="00BE07CA" w:rsidRDefault="000E0429" w:rsidP="000E0429">
      <w:pPr>
        <w:pStyle w:val="RegH23G"/>
        <w:numPr>
          <w:ilvl w:val="0"/>
          <w:numId w:val="0"/>
        </w:numPr>
        <w:tabs>
          <w:tab w:val="left" w:pos="1135"/>
        </w:tabs>
        <w:ind w:left="1135" w:hanging="454"/>
      </w:pPr>
      <w:r>
        <w:rPr>
          <w:bCs/>
        </w:rPr>
        <w:t>1.</w:t>
      </w:r>
      <w:r>
        <w:rPr>
          <w:bCs/>
        </w:rPr>
        <w:tab/>
      </w:r>
      <w:r w:rsidR="00BE07CA">
        <w:t>Proceedings</w:t>
      </w:r>
    </w:p>
    <w:p w14:paraId="5BC343B6" w14:textId="7B86ACBD" w:rsidR="00BE07CA" w:rsidRPr="00FC2EC7" w:rsidRDefault="000E0429" w:rsidP="000E0429">
      <w:pPr>
        <w:pStyle w:val="RegSingleTxtG"/>
        <w:numPr>
          <w:ilvl w:val="0"/>
          <w:numId w:val="0"/>
        </w:numPr>
        <w:tabs>
          <w:tab w:val="left" w:pos="568"/>
        </w:tabs>
        <w:ind w:left="1135"/>
      </w:pPr>
      <w:r w:rsidRPr="00FC2EC7">
        <w:t>180.</w:t>
      </w:r>
      <w:r w:rsidRPr="00FC2EC7">
        <w:tab/>
      </w:r>
      <w:r w:rsidR="00BE07CA" w:rsidRPr="00FC2EC7">
        <w:t>The SBI considered this agenda sub-item at its resumed 1</w:t>
      </w:r>
      <w:r w:rsidR="00BE07CA" w:rsidRPr="00FC2EC7">
        <w:rPr>
          <w:vertAlign w:val="superscript"/>
        </w:rPr>
        <w:t>st</w:t>
      </w:r>
      <w:r w:rsidR="00BE07CA" w:rsidRPr="00FC2EC7">
        <w:t xml:space="preserve"> meeting and at its 3</w:t>
      </w:r>
      <w:r w:rsidR="00BE07CA" w:rsidRPr="00FC2EC7">
        <w:rPr>
          <w:vertAlign w:val="superscript"/>
        </w:rPr>
        <w:t>rd</w:t>
      </w:r>
      <w:r w:rsidR="00BE07CA" w:rsidRPr="00FC2EC7">
        <w:t xml:space="preserve"> meeting. At its resumed 1</w:t>
      </w:r>
      <w:r w:rsidR="00BE07CA" w:rsidRPr="00FC2EC7">
        <w:rPr>
          <w:vertAlign w:val="superscript"/>
        </w:rPr>
        <w:t>st</w:t>
      </w:r>
      <w:r w:rsidR="00BE07CA" w:rsidRPr="00FC2EC7">
        <w:t xml:space="preserve"> meeting, the SBI agreed to consider this agenda sub-item in informal consultations facilitated by Mr. Horne. At its </w:t>
      </w:r>
      <w:r w:rsidR="00BE07CA" w:rsidRPr="00FC2EC7">
        <w:rPr>
          <w:snapToGrid w:val="0"/>
        </w:rPr>
        <w:t>3</w:t>
      </w:r>
      <w:r w:rsidR="00BE07CA" w:rsidRPr="00FC2EC7">
        <w:rPr>
          <w:snapToGrid w:val="0"/>
          <w:vertAlign w:val="superscript"/>
        </w:rPr>
        <w:t>rd</w:t>
      </w:r>
      <w:r w:rsidR="00BE07CA" w:rsidRPr="00FC2EC7">
        <w:rPr>
          <w:snapToGrid w:val="0"/>
        </w:rPr>
        <w:t xml:space="preserve"> meeting</w:t>
      </w:r>
      <w:r w:rsidR="00BE07CA" w:rsidRPr="00FC2EC7">
        <w:t>, the SBI considered and adopted the conclusion below.</w:t>
      </w:r>
      <w:r w:rsidR="00BE07CA" w:rsidRPr="00FC2EC7">
        <w:rPr>
          <w:sz w:val="18"/>
          <w:vertAlign w:val="superscript"/>
        </w:rPr>
        <w:footnoteReference w:id="103"/>
      </w:r>
    </w:p>
    <w:p w14:paraId="6D09820B" w14:textId="58602560" w:rsidR="00BE07CA" w:rsidRDefault="000E0429" w:rsidP="000E0429">
      <w:pPr>
        <w:pStyle w:val="RegH23G"/>
        <w:numPr>
          <w:ilvl w:val="0"/>
          <w:numId w:val="0"/>
        </w:numPr>
        <w:tabs>
          <w:tab w:val="left" w:pos="1135"/>
        </w:tabs>
        <w:ind w:left="1135" w:hanging="454"/>
      </w:pPr>
      <w:r>
        <w:rPr>
          <w:bCs/>
        </w:rPr>
        <w:t>2.</w:t>
      </w:r>
      <w:r>
        <w:rPr>
          <w:bCs/>
        </w:rPr>
        <w:tab/>
      </w:r>
      <w:r w:rsidR="00BE07CA">
        <w:t>Conclusions</w:t>
      </w:r>
    </w:p>
    <w:p w14:paraId="20CED38A" w14:textId="5C12CD70" w:rsidR="00BE07CA" w:rsidRDefault="000E0429" w:rsidP="000E0429">
      <w:pPr>
        <w:pStyle w:val="RegSingleTxtG"/>
        <w:numPr>
          <w:ilvl w:val="0"/>
          <w:numId w:val="0"/>
        </w:numPr>
        <w:tabs>
          <w:tab w:val="left" w:pos="568"/>
        </w:tabs>
        <w:ind w:left="1135"/>
      </w:pPr>
      <w:r>
        <w:t>181.</w:t>
      </w:r>
      <w:r>
        <w:tab/>
      </w:r>
      <w:r w:rsidR="00BE07CA">
        <w:t xml:space="preserve">The SBI </w:t>
      </w:r>
      <w:r w:rsidR="00BE07CA">
        <w:rPr>
          <w:lang w:val="en-US"/>
        </w:rPr>
        <w:t>took note of the views of Parties on privileges and immunities for individuals serving on constituted bodies established under the Convention and recommended that COP 22 conclude the consideration of this issue</w:t>
      </w:r>
      <w:r w:rsidR="00BE07CA">
        <w:t>.</w:t>
      </w:r>
      <w:r w:rsidR="00BE07CA">
        <w:rPr>
          <w:sz w:val="18"/>
          <w:vertAlign w:val="superscript"/>
        </w:rPr>
        <w:t xml:space="preserve"> </w:t>
      </w:r>
    </w:p>
    <w:p w14:paraId="39960C0E" w14:textId="05B717A5" w:rsidR="00BE07CA" w:rsidRDefault="000E0429" w:rsidP="000E0429">
      <w:pPr>
        <w:pStyle w:val="RegHChG"/>
        <w:numPr>
          <w:ilvl w:val="0"/>
          <w:numId w:val="0"/>
        </w:numPr>
        <w:tabs>
          <w:tab w:val="left" w:pos="1135"/>
        </w:tabs>
        <w:spacing w:after="0"/>
        <w:ind w:left="1135" w:hanging="454"/>
        <w:rPr>
          <w:sz w:val="20"/>
        </w:rPr>
      </w:pPr>
      <w:bookmarkStart w:id="173" w:name="_Toc453078787"/>
      <w:r>
        <w:t>XIX.</w:t>
      </w:r>
      <w:r>
        <w:tab/>
      </w:r>
      <w:r w:rsidR="00BE07CA">
        <w:rPr>
          <w:lang w:eastAsia="en-US"/>
        </w:rPr>
        <w:t>Other matters</w:t>
      </w:r>
      <w:bookmarkEnd w:id="168"/>
      <w:bookmarkEnd w:id="169"/>
      <w:bookmarkEnd w:id="173"/>
    </w:p>
    <w:p w14:paraId="4C595465" w14:textId="77777777" w:rsidR="00BE07CA" w:rsidRDefault="00BE07CA" w:rsidP="003C5590">
      <w:pPr>
        <w:pStyle w:val="SingleTxtG"/>
        <w:keepNext/>
        <w:spacing w:after="240"/>
      </w:pPr>
      <w:r>
        <w:t>(Agenda item 19)</w:t>
      </w:r>
      <w:bookmarkEnd w:id="170"/>
      <w:bookmarkEnd w:id="171"/>
    </w:p>
    <w:p w14:paraId="1A078255" w14:textId="04D5B2A4" w:rsidR="00BE07CA" w:rsidRDefault="00E47153" w:rsidP="000E0429">
      <w:pPr>
        <w:pStyle w:val="RegH23G"/>
        <w:numPr>
          <w:ilvl w:val="0"/>
          <w:numId w:val="0"/>
        </w:numPr>
        <w:tabs>
          <w:tab w:val="left" w:pos="720"/>
        </w:tabs>
        <w:ind w:left="851" w:hanging="454"/>
      </w:pPr>
      <w:r>
        <w:tab/>
      </w:r>
      <w:r w:rsidR="00BE07CA">
        <w:t>Proceedings</w:t>
      </w:r>
    </w:p>
    <w:p w14:paraId="2D1FAFFA" w14:textId="0149C27E" w:rsidR="00BE07CA" w:rsidRDefault="000E0429" w:rsidP="000E0429">
      <w:pPr>
        <w:pStyle w:val="RegSingleTxtG"/>
        <w:numPr>
          <w:ilvl w:val="0"/>
          <w:numId w:val="0"/>
        </w:numPr>
        <w:tabs>
          <w:tab w:val="left" w:pos="568"/>
        </w:tabs>
        <w:ind w:left="1135"/>
      </w:pPr>
      <w:r>
        <w:t>182.</w:t>
      </w:r>
      <w:r>
        <w:tab/>
      </w:r>
      <w:r w:rsidR="00BE07CA">
        <w:t>The SBI considered this agenda item at its 1</w:t>
      </w:r>
      <w:r w:rsidR="00BE07CA">
        <w:rPr>
          <w:vertAlign w:val="superscript"/>
        </w:rPr>
        <w:t>st</w:t>
      </w:r>
      <w:r w:rsidR="00BE07CA">
        <w:t xml:space="preserve"> meeting. No other matters were raised by Parties.</w:t>
      </w:r>
    </w:p>
    <w:p w14:paraId="33AECD08" w14:textId="3A44CDFE" w:rsidR="00BE07CA" w:rsidRDefault="000E0429" w:rsidP="000E0429">
      <w:pPr>
        <w:pStyle w:val="RegHChG"/>
        <w:numPr>
          <w:ilvl w:val="0"/>
          <w:numId w:val="0"/>
        </w:numPr>
        <w:tabs>
          <w:tab w:val="left" w:pos="1135"/>
        </w:tabs>
        <w:spacing w:after="0"/>
        <w:ind w:left="1135" w:hanging="454"/>
        <w:rPr>
          <w:sz w:val="20"/>
        </w:rPr>
      </w:pPr>
      <w:bookmarkStart w:id="174" w:name="_Toc453078788"/>
      <w:bookmarkStart w:id="175" w:name="_Toc435527370"/>
      <w:bookmarkStart w:id="176" w:name="_Toc435526689"/>
      <w:bookmarkStart w:id="177" w:name="_Toc406647828"/>
      <w:bookmarkStart w:id="178" w:name="_Toc421881714"/>
      <w:bookmarkStart w:id="179" w:name="_Toc421268907"/>
      <w:r>
        <w:t>XX.</w:t>
      </w:r>
      <w:r>
        <w:tab/>
      </w:r>
      <w:r w:rsidR="00BE07CA">
        <w:rPr>
          <w:lang w:eastAsia="en-US"/>
        </w:rPr>
        <w:t>Closure of and report on the session</w:t>
      </w:r>
      <w:bookmarkEnd w:id="174"/>
      <w:bookmarkEnd w:id="175"/>
      <w:bookmarkEnd w:id="176"/>
      <w:bookmarkEnd w:id="177"/>
    </w:p>
    <w:p w14:paraId="53FC831F" w14:textId="77777777" w:rsidR="00BE07CA" w:rsidRDefault="00BE07CA" w:rsidP="00BE07CA">
      <w:pPr>
        <w:pStyle w:val="SingleTxtG"/>
        <w:spacing w:after="240"/>
      </w:pPr>
      <w:r>
        <w:t>(Agenda item 20)</w:t>
      </w:r>
      <w:bookmarkEnd w:id="178"/>
      <w:bookmarkEnd w:id="179"/>
    </w:p>
    <w:p w14:paraId="193F2696" w14:textId="6855AFC4" w:rsidR="00BE07CA" w:rsidRDefault="000E0429" w:rsidP="000E0429">
      <w:pPr>
        <w:pStyle w:val="RegH23G"/>
        <w:numPr>
          <w:ilvl w:val="0"/>
          <w:numId w:val="0"/>
        </w:numPr>
        <w:tabs>
          <w:tab w:val="left" w:pos="1135"/>
        </w:tabs>
        <w:ind w:left="1135" w:hanging="454"/>
        <w:rPr>
          <w:lang w:eastAsia="en-US"/>
        </w:rPr>
      </w:pPr>
      <w:r>
        <w:rPr>
          <w:bCs/>
          <w:lang w:eastAsia="en-US"/>
        </w:rPr>
        <w:t>1.</w:t>
      </w:r>
      <w:r>
        <w:rPr>
          <w:bCs/>
          <w:lang w:eastAsia="en-US"/>
        </w:rPr>
        <w:tab/>
      </w:r>
      <w:r w:rsidR="00BE07CA">
        <w:t>Administrative and budgetary implications</w:t>
      </w:r>
    </w:p>
    <w:p w14:paraId="26B818AB" w14:textId="3ECD62D7" w:rsidR="00BE07CA" w:rsidRPr="009276C9" w:rsidRDefault="000E0429" w:rsidP="000E0429">
      <w:pPr>
        <w:pStyle w:val="RegSingleTxtG"/>
        <w:numPr>
          <w:ilvl w:val="0"/>
          <w:numId w:val="0"/>
        </w:numPr>
        <w:tabs>
          <w:tab w:val="left" w:pos="568"/>
        </w:tabs>
        <w:ind w:left="1135"/>
      </w:pPr>
      <w:r w:rsidRPr="009276C9">
        <w:t>183.</w:t>
      </w:r>
      <w:r w:rsidRPr="009276C9">
        <w:tab/>
      </w:r>
      <w:r w:rsidR="00BE07CA" w:rsidRPr="009276C9">
        <w:t>At the resumed 3</w:t>
      </w:r>
      <w:r w:rsidR="00BE07CA" w:rsidRPr="009276C9">
        <w:rPr>
          <w:vertAlign w:val="superscript"/>
        </w:rPr>
        <w:t>rd</w:t>
      </w:r>
      <w:r w:rsidR="00BE07CA" w:rsidRPr="009276C9">
        <w:t xml:space="preserve"> meeting, a representative of the secretariat provided a preliminary evaluation of the administrative and budgetary implications of the conclusions adopted during the session in accordance with the provisions of rule 15 of the draft rules of procedure being applied.</w:t>
      </w:r>
    </w:p>
    <w:p w14:paraId="7F97193B" w14:textId="50BEB25C" w:rsidR="00BE07CA" w:rsidRDefault="000E0429" w:rsidP="000E0429">
      <w:pPr>
        <w:pStyle w:val="RegSingleTxtG"/>
        <w:numPr>
          <w:ilvl w:val="0"/>
          <w:numId w:val="0"/>
        </w:numPr>
        <w:tabs>
          <w:tab w:val="left" w:pos="568"/>
        </w:tabs>
        <w:ind w:left="1135"/>
      </w:pPr>
      <w:r>
        <w:t>184.</w:t>
      </w:r>
      <w:r>
        <w:tab/>
      </w:r>
      <w:r w:rsidR="00BE07CA">
        <w:t>He informed the SBI that there were a number of activities coming out of negotiations at the session that call for more support by the secretariat and, therefore, require additional resources over and above the approved core budget for the biennium 2016–2017. These comprise:</w:t>
      </w:r>
    </w:p>
    <w:p w14:paraId="62AFE6B7" w14:textId="5F0EAAE3" w:rsidR="00BE07CA" w:rsidRDefault="000E0429" w:rsidP="000E0429">
      <w:pPr>
        <w:pStyle w:val="RegSingleTxtG"/>
        <w:numPr>
          <w:ilvl w:val="0"/>
          <w:numId w:val="0"/>
        </w:numPr>
        <w:tabs>
          <w:tab w:val="left" w:pos="2269"/>
        </w:tabs>
        <w:ind w:left="1135" w:firstLine="567"/>
      </w:pPr>
      <w:r>
        <w:t>(a)</w:t>
      </w:r>
      <w:r>
        <w:tab/>
      </w:r>
      <w:r w:rsidR="00BE07CA">
        <w:t>Under agenda item 12(c), “Terms of reference for the Paris Committee on Capacity-building”, funding in the amount of EUR 140,000 will be required to support and facilitate the work of the Paris Committee on Capacity-building;</w:t>
      </w:r>
    </w:p>
    <w:p w14:paraId="1132E51B" w14:textId="5A17D336" w:rsidR="00BE07CA" w:rsidRDefault="000E0429" w:rsidP="000E0429">
      <w:pPr>
        <w:pStyle w:val="RegSingleTxtG"/>
        <w:numPr>
          <w:ilvl w:val="0"/>
          <w:numId w:val="0"/>
        </w:numPr>
        <w:tabs>
          <w:tab w:val="left" w:pos="2269"/>
        </w:tabs>
        <w:ind w:left="1135" w:firstLine="567"/>
      </w:pPr>
      <w:r>
        <w:t>(b)</w:t>
      </w:r>
      <w:r>
        <w:tab/>
      </w:r>
      <w:r w:rsidR="00BE07CA">
        <w:t>Under agenda item 14(a), “Impact of the implementation of response measures: Improved forum and work programme”, funding in the amount of EUR 225,000 will be required to operationalize the work programme. Activities of this nature have been included in the recent call for contributions to the Trust Fund for Supplementary Activities. For the information of Parties, the same costs are also stated under SBSTA agenda item 7(a).</w:t>
      </w:r>
    </w:p>
    <w:p w14:paraId="688C027D" w14:textId="0B6FC651" w:rsidR="00BE07CA" w:rsidRDefault="000E0429" w:rsidP="000E0429">
      <w:pPr>
        <w:pStyle w:val="RegSingleTxtG"/>
        <w:numPr>
          <w:ilvl w:val="0"/>
          <w:numId w:val="0"/>
        </w:numPr>
        <w:tabs>
          <w:tab w:val="left" w:pos="568"/>
        </w:tabs>
        <w:ind w:left="1135"/>
      </w:pPr>
      <w:r>
        <w:t>185.</w:t>
      </w:r>
      <w:r>
        <w:tab/>
      </w:r>
      <w:r w:rsidR="00BE07CA">
        <w:t>He added that the above amounts were preliminary and based on the current available information. He noted that overall additional supplementary funds amounting to EUR 365,000 will be needed to cover additional requirements for the biennium 2016–2017 and expressed his gratitude to the continued generosity of Parties in providing additional funding for these activities in a timely and predictable manner as without supplementary contributions, the secretariat will not be in a position to provide the requested support.</w:t>
      </w:r>
    </w:p>
    <w:p w14:paraId="5E4872C3" w14:textId="3B501CDB" w:rsidR="00BE07CA" w:rsidRDefault="000E0429" w:rsidP="000E0429">
      <w:pPr>
        <w:pStyle w:val="RegSingleTxtG"/>
        <w:numPr>
          <w:ilvl w:val="0"/>
          <w:numId w:val="0"/>
        </w:numPr>
        <w:tabs>
          <w:tab w:val="left" w:pos="568"/>
        </w:tabs>
        <w:ind w:left="1135"/>
      </w:pPr>
      <w:r>
        <w:t>186.</w:t>
      </w:r>
      <w:r>
        <w:tab/>
      </w:r>
      <w:r w:rsidR="00BE07CA">
        <w:t>He also noted that some of the conclusions adopted by the SBI at its current session will have budgetary implications beyond 2017. With regard to the resource requirements for 2018–2019, he informed the SBI that they will be reviewed in the context of established budgetary procedures.</w:t>
      </w:r>
    </w:p>
    <w:p w14:paraId="1C679EA0" w14:textId="4B3E97BD" w:rsidR="00BE07CA" w:rsidRDefault="000E0429" w:rsidP="000E0429">
      <w:pPr>
        <w:pStyle w:val="RegH23G"/>
        <w:numPr>
          <w:ilvl w:val="0"/>
          <w:numId w:val="0"/>
        </w:numPr>
        <w:tabs>
          <w:tab w:val="left" w:pos="1135"/>
        </w:tabs>
        <w:ind w:left="1135" w:hanging="454"/>
      </w:pPr>
      <w:r>
        <w:rPr>
          <w:bCs/>
        </w:rPr>
        <w:t>2.</w:t>
      </w:r>
      <w:r>
        <w:rPr>
          <w:bCs/>
        </w:rPr>
        <w:tab/>
      </w:r>
      <w:r w:rsidR="00BE07CA">
        <w:t>Closure of and report on the session</w:t>
      </w:r>
    </w:p>
    <w:p w14:paraId="4E3D164C" w14:textId="283D1AEC" w:rsidR="00BE07CA" w:rsidRPr="009242C4" w:rsidRDefault="000E0429" w:rsidP="000E0429">
      <w:pPr>
        <w:pStyle w:val="RegSingleTxtG"/>
        <w:numPr>
          <w:ilvl w:val="0"/>
          <w:numId w:val="0"/>
        </w:numPr>
        <w:tabs>
          <w:tab w:val="left" w:pos="568"/>
        </w:tabs>
        <w:ind w:left="1135"/>
      </w:pPr>
      <w:r w:rsidRPr="009242C4">
        <w:t>187.</w:t>
      </w:r>
      <w:r w:rsidRPr="009242C4">
        <w:tab/>
      </w:r>
      <w:r w:rsidR="00BE07CA" w:rsidRPr="009242C4">
        <w:t xml:space="preserve">On 26 May, the SBI convened a meeting jointly with the SBSTA and the APA to bid farewell to Ms. Christiana Figueres, the outgoing Executive Secretary of the UNFCCC. </w:t>
      </w:r>
      <w:r w:rsidR="003C5590" w:rsidRPr="009242C4">
        <w:t>Representatives of t</w:t>
      </w:r>
      <w:r w:rsidR="00BE07CA" w:rsidRPr="009242C4">
        <w:t xml:space="preserve">he current and incoming Presidencies of the COP, the presiding officers of the three subsidiary bodies as well as Ms. Patricia Espinosa, Executive Secretary designate, thanked her for the services provided during her time in office. </w:t>
      </w:r>
    </w:p>
    <w:p w14:paraId="188D47F7" w14:textId="11B001AE" w:rsidR="00BE07CA" w:rsidRDefault="000E0429" w:rsidP="000E0429">
      <w:pPr>
        <w:pStyle w:val="RegSingleTxtG"/>
        <w:numPr>
          <w:ilvl w:val="0"/>
          <w:numId w:val="0"/>
        </w:numPr>
        <w:tabs>
          <w:tab w:val="left" w:pos="568"/>
        </w:tabs>
        <w:ind w:left="1135"/>
      </w:pPr>
      <w:r>
        <w:t>188.</w:t>
      </w:r>
      <w:r>
        <w:tab/>
      </w:r>
      <w:r w:rsidR="00BE07CA" w:rsidRPr="0038087F">
        <w:t>Ms. Figueres recalled her first address to Parties in 2010, in which she invited all governments to rise to the challenge posed by the scale and urgency</w:t>
      </w:r>
      <w:r w:rsidR="00BE07CA">
        <w:t xml:space="preserve"> of the threat of climate change, and the subsequent six years characterized by the tireless efforts Parties made to respond to climate change. She thanked Parties for their hard work, national aspirations, cooperation with </w:t>
      </w:r>
      <w:r w:rsidR="006E77AE">
        <w:t>one another</w:t>
      </w:r>
      <w:r w:rsidR="00BE07CA">
        <w:t xml:space="preserve"> and collective ambition. She underlined the crucial role played by non-Party actors and civil society, and thanked subnational governments, corporations, financial institutions and civil society at large for their support of the climate change process. Ms. Figueres further expressed her appreciation to United Nations organizations</w:t>
      </w:r>
      <w:r w:rsidR="006E77AE" w:rsidRPr="006E77AE">
        <w:rPr>
          <w:b/>
          <w:bCs/>
          <w:i/>
          <w:iCs/>
          <w:color w:val="1F497D"/>
        </w:rPr>
        <w:t xml:space="preserve"> </w:t>
      </w:r>
      <w:r w:rsidR="006E77AE" w:rsidRPr="006E77AE">
        <w:rPr>
          <w:bCs/>
          <w:iCs/>
        </w:rPr>
        <w:t>and extended her deep</w:t>
      </w:r>
      <w:r w:rsidR="006E77AE">
        <w:rPr>
          <w:bCs/>
          <w:iCs/>
        </w:rPr>
        <w:t>ly</w:t>
      </w:r>
      <w:r w:rsidR="006E77AE" w:rsidRPr="006E77AE">
        <w:rPr>
          <w:bCs/>
          <w:iCs/>
        </w:rPr>
        <w:t xml:space="preserve"> felt gratitude to the staff of the UNFCCC secretariat for their unwavering commitment, tireless dedication and collective wisdom.</w:t>
      </w:r>
      <w:r w:rsidR="00BE07CA" w:rsidRPr="00036531">
        <w:rPr>
          <w:sz w:val="18"/>
          <w:vertAlign w:val="superscript"/>
        </w:rPr>
        <w:footnoteReference w:id="104"/>
      </w:r>
      <w:r w:rsidR="0031180E">
        <w:rPr>
          <w:vertAlign w:val="superscript"/>
        </w:rPr>
        <w:t xml:space="preserve"> </w:t>
      </w:r>
    </w:p>
    <w:p w14:paraId="7F0E86D9" w14:textId="2F4F5657" w:rsidR="00BE07CA" w:rsidRPr="0038087F" w:rsidRDefault="000E0429" w:rsidP="000E0429">
      <w:pPr>
        <w:pStyle w:val="RegSingleTxtG"/>
        <w:numPr>
          <w:ilvl w:val="0"/>
          <w:numId w:val="0"/>
        </w:numPr>
        <w:tabs>
          <w:tab w:val="left" w:pos="568"/>
        </w:tabs>
        <w:ind w:left="1135"/>
      </w:pPr>
      <w:r w:rsidRPr="0038087F">
        <w:t>189.</w:t>
      </w:r>
      <w:r w:rsidRPr="0038087F">
        <w:tab/>
      </w:r>
      <w:r w:rsidR="00BE07CA" w:rsidRPr="0038087F">
        <w:t xml:space="preserve">Fourteen Parties made statements, including on behalf of the </w:t>
      </w:r>
      <w:r w:rsidR="002619D0">
        <w:t>African Group, AILAC, AOSIS, the Caribbean Community, the EIG, the EU, the G77 and China, the LDCs and the Umbrella Group</w:t>
      </w:r>
      <w:r w:rsidR="00BE07CA" w:rsidRPr="0038087F">
        <w:t>.</w:t>
      </w:r>
      <w:r w:rsidR="00ED5711">
        <w:t xml:space="preserve"> </w:t>
      </w:r>
    </w:p>
    <w:p w14:paraId="6B5834E8" w14:textId="71003071" w:rsidR="00BE07CA" w:rsidRPr="0038087F" w:rsidRDefault="000E0429" w:rsidP="000E0429">
      <w:pPr>
        <w:pStyle w:val="RegSingleTxtG"/>
        <w:numPr>
          <w:ilvl w:val="0"/>
          <w:numId w:val="0"/>
        </w:numPr>
        <w:tabs>
          <w:tab w:val="left" w:pos="568"/>
        </w:tabs>
        <w:ind w:left="1135"/>
      </w:pPr>
      <w:r w:rsidRPr="0038087F">
        <w:t>190.</w:t>
      </w:r>
      <w:r w:rsidRPr="0038087F">
        <w:tab/>
      </w:r>
      <w:r w:rsidR="00BE07CA" w:rsidRPr="0038087F">
        <w:t>At its resumed 3</w:t>
      </w:r>
      <w:r w:rsidR="00BE07CA" w:rsidRPr="0038087F">
        <w:rPr>
          <w:vertAlign w:val="superscript"/>
        </w:rPr>
        <w:t>rd</w:t>
      </w:r>
      <w:r w:rsidR="00BE07CA" w:rsidRPr="0038087F">
        <w:t xml:space="preserve"> meeting, the SBI considered and adopted the draft report on the session</w:t>
      </w:r>
      <w:r w:rsidR="00BE07CA" w:rsidRPr="0038087F">
        <w:rPr>
          <w:sz w:val="18"/>
          <w:vertAlign w:val="superscript"/>
        </w:rPr>
        <w:footnoteReference w:id="105"/>
      </w:r>
      <w:r w:rsidR="00BE07CA" w:rsidRPr="0038087F">
        <w:t xml:space="preserve"> and authorized the Rapporteur, with the assistance of the secretariat and under the guidance of the Chair, to complete the report on the session and to make it available to all Parties. </w:t>
      </w:r>
    </w:p>
    <w:p w14:paraId="31F28EB6" w14:textId="533D4801" w:rsidR="00BE07CA" w:rsidRPr="0038087F" w:rsidRDefault="000E0429" w:rsidP="000E0429">
      <w:pPr>
        <w:pStyle w:val="RegSingleTxtG"/>
        <w:numPr>
          <w:ilvl w:val="0"/>
          <w:numId w:val="0"/>
        </w:numPr>
        <w:tabs>
          <w:tab w:val="left" w:pos="568"/>
        </w:tabs>
        <w:ind w:left="1135"/>
      </w:pPr>
      <w:r w:rsidRPr="0038087F">
        <w:t>191.</w:t>
      </w:r>
      <w:r w:rsidRPr="0038087F">
        <w:tab/>
      </w:r>
      <w:r w:rsidR="00BE07CA" w:rsidRPr="0038087F">
        <w:t>Closing statements were made by representatives of nine Parties, including on behalf of the G77 and China, the Umbrella Group, the EU, the EIG, the African Group, AOSIS, the LDCs and AILAC. Statements were also made by representatives of research and independent NGOs, women and gender NGOs, youth NGOs, indigenous peoples organizations and environmental NGOs. The Chair thanked Parties for their support and closed the session.</w:t>
      </w:r>
    </w:p>
    <w:p w14:paraId="41599B48" w14:textId="77777777" w:rsidR="00BE07CA" w:rsidRDefault="00BE07CA" w:rsidP="00BE07CA">
      <w:pPr>
        <w:suppressAutoHyphens w:val="0"/>
        <w:spacing w:line="240" w:lineRule="auto"/>
        <w:sectPr w:rsidR="00BE07CA" w:rsidSect="00A94046">
          <w:headerReference w:type="even" r:id="rId15"/>
          <w:headerReference w:type="default" r:id="rId16"/>
          <w:footerReference w:type="even" r:id="rId17"/>
          <w:footerReference w:type="default" r:id="rId18"/>
          <w:headerReference w:type="first" r:id="rId19"/>
          <w:pgSz w:w="11906" w:h="16838" w:code="9"/>
          <w:pgMar w:top="1701" w:right="1134" w:bottom="2268" w:left="1134" w:header="1134" w:footer="1701" w:gutter="0"/>
          <w:cols w:space="720"/>
          <w:titlePg/>
          <w:docGrid w:linePitch="272"/>
        </w:sectPr>
      </w:pPr>
    </w:p>
    <w:p w14:paraId="40CEAB50" w14:textId="538EFE25" w:rsidR="00F940CC" w:rsidRDefault="00F940CC" w:rsidP="00F940CC">
      <w:pPr>
        <w:pStyle w:val="HChG"/>
        <w:rPr>
          <w:b w:val="0"/>
          <w:sz w:val="20"/>
        </w:rPr>
      </w:pPr>
      <w:r>
        <w:t>Annex I</w:t>
      </w:r>
      <w:r>
        <w:rPr>
          <w:b w:val="0"/>
          <w:sz w:val="20"/>
        </w:rPr>
        <w:t xml:space="preserve"> </w:t>
      </w:r>
    </w:p>
    <w:p w14:paraId="0D3AAD1A" w14:textId="77777777" w:rsidR="00895001" w:rsidRDefault="00F940CC" w:rsidP="000E0429">
      <w:pPr>
        <w:pStyle w:val="RegH1G"/>
        <w:numPr>
          <w:ilvl w:val="0"/>
          <w:numId w:val="0"/>
        </w:numPr>
        <w:ind w:left="1134" w:hanging="454"/>
      </w:pPr>
      <w:r w:rsidRPr="00F940CC">
        <w:t>Draft guidelines for the preparation of national communications by Parties included in Annex I to the Convention, Part II: UNFCCC reporting guidelines on national communications</w:t>
      </w:r>
      <w:r>
        <w:t xml:space="preserve"> </w:t>
      </w:r>
    </w:p>
    <w:p w14:paraId="2FE1F45F" w14:textId="7814DBB3" w:rsidR="006D4A81" w:rsidRPr="006D4A81" w:rsidRDefault="000E0429" w:rsidP="000E0429">
      <w:pPr>
        <w:pStyle w:val="RegHChG"/>
        <w:numPr>
          <w:ilvl w:val="0"/>
          <w:numId w:val="0"/>
        </w:numPr>
        <w:tabs>
          <w:tab w:val="left" w:pos="1135"/>
        </w:tabs>
        <w:ind w:left="1135" w:hanging="454"/>
        <w:rPr>
          <w:rFonts w:eastAsia="Calibri"/>
          <w:bCs/>
          <w:sz w:val="24"/>
          <w:szCs w:val="24"/>
          <w:lang w:eastAsia="en-US"/>
        </w:rPr>
      </w:pPr>
      <w:r w:rsidRPr="006D4A81">
        <w:rPr>
          <w:rFonts w:eastAsia="Calibri"/>
          <w:bCs/>
          <w:szCs w:val="24"/>
          <w:lang w:eastAsia="en-US"/>
        </w:rPr>
        <w:t>I.</w:t>
      </w:r>
      <w:r w:rsidRPr="006D4A81">
        <w:rPr>
          <w:rFonts w:eastAsia="Calibri"/>
          <w:bCs/>
          <w:szCs w:val="24"/>
          <w:lang w:eastAsia="en-US"/>
        </w:rPr>
        <w:tab/>
      </w:r>
      <w:r w:rsidR="00895001" w:rsidRPr="00F226BB">
        <w:rPr>
          <w:lang w:eastAsia="en-US"/>
        </w:rPr>
        <w:t>O</w:t>
      </w:r>
      <w:r w:rsidR="006D4A81">
        <w:rPr>
          <w:lang w:eastAsia="en-US"/>
        </w:rPr>
        <w:t>bjective</w:t>
      </w:r>
      <w:r w:rsidR="00565F31">
        <w:rPr>
          <w:lang w:eastAsia="en-US"/>
        </w:rPr>
        <w:t>s</w:t>
      </w:r>
    </w:p>
    <w:p w14:paraId="13A5906D" w14:textId="7EDCCF97" w:rsidR="006D4A81" w:rsidRPr="006D4A81" w:rsidRDefault="000E0429" w:rsidP="000E0429">
      <w:pPr>
        <w:pStyle w:val="RegSingleTxtG"/>
        <w:numPr>
          <w:ilvl w:val="0"/>
          <w:numId w:val="0"/>
        </w:numPr>
        <w:tabs>
          <w:tab w:val="left" w:pos="568"/>
        </w:tabs>
        <w:ind w:left="1134"/>
        <w:rPr>
          <w:rFonts w:eastAsia="Calibri"/>
          <w:bCs/>
          <w:sz w:val="24"/>
          <w:szCs w:val="24"/>
          <w:lang w:eastAsia="en-US"/>
        </w:rPr>
      </w:pPr>
      <w:r w:rsidRPr="006D4A81">
        <w:rPr>
          <w:rFonts w:eastAsia="Calibri"/>
          <w:bCs/>
          <w:szCs w:val="24"/>
          <w:lang w:eastAsia="en-US"/>
        </w:rPr>
        <w:t>1.</w:t>
      </w:r>
      <w:r w:rsidRPr="006D4A81">
        <w:rPr>
          <w:rFonts w:eastAsia="Calibri"/>
          <w:bCs/>
          <w:szCs w:val="24"/>
          <w:lang w:eastAsia="en-US"/>
        </w:rPr>
        <w:tab/>
      </w:r>
      <w:r w:rsidR="00895001" w:rsidRPr="00170C38">
        <w:rPr>
          <w:lang w:eastAsia="en-US"/>
        </w:rPr>
        <w:t>The objectives of these guidelines are:</w:t>
      </w:r>
    </w:p>
    <w:p w14:paraId="116CE286" w14:textId="773672BE" w:rsidR="005A17A8" w:rsidRDefault="000E0429" w:rsidP="000E0429">
      <w:pPr>
        <w:pStyle w:val="RegSingleTxtG"/>
        <w:numPr>
          <w:ilvl w:val="0"/>
          <w:numId w:val="0"/>
        </w:numPr>
        <w:tabs>
          <w:tab w:val="left" w:pos="2269"/>
        </w:tabs>
        <w:ind w:left="1134" w:firstLine="567"/>
        <w:rPr>
          <w:lang w:eastAsia="en-US"/>
        </w:rPr>
      </w:pPr>
      <w:r>
        <w:rPr>
          <w:lang w:eastAsia="en-US"/>
        </w:rPr>
        <w:t>(a)</w:t>
      </w:r>
      <w:r>
        <w:rPr>
          <w:lang w:eastAsia="en-US"/>
        </w:rPr>
        <w:tab/>
      </w:r>
      <w:r w:rsidR="00895001" w:rsidRPr="006D4A81">
        <w:rPr>
          <w:lang w:eastAsia="en-US"/>
        </w:rPr>
        <w:t>To assist Parties included in Annex I to the Convention (Annex I Parties) in meeting their commitments under Articles 4 and 12 of the Convention;</w:t>
      </w:r>
    </w:p>
    <w:p w14:paraId="7FD23482" w14:textId="34A69F35" w:rsidR="00895001" w:rsidRPr="005A17A8" w:rsidRDefault="000E0429" w:rsidP="000E0429">
      <w:pPr>
        <w:pStyle w:val="RegSingleTxtG"/>
        <w:numPr>
          <w:ilvl w:val="0"/>
          <w:numId w:val="0"/>
        </w:numPr>
        <w:tabs>
          <w:tab w:val="left" w:pos="2269"/>
        </w:tabs>
        <w:ind w:left="1134" w:firstLine="567"/>
        <w:rPr>
          <w:lang w:eastAsia="en-US"/>
        </w:rPr>
      </w:pPr>
      <w:r w:rsidRPr="005A17A8">
        <w:rPr>
          <w:lang w:eastAsia="en-US"/>
        </w:rPr>
        <w:t>(b)</w:t>
      </w:r>
      <w:r w:rsidRPr="005A17A8">
        <w:rPr>
          <w:lang w:eastAsia="en-US"/>
        </w:rPr>
        <w:tab/>
      </w:r>
      <w:r w:rsidR="00895001" w:rsidRPr="005A17A8">
        <w:rPr>
          <w:rFonts w:eastAsia="Calibri"/>
          <w:szCs w:val="24"/>
          <w:lang w:eastAsia="en-US"/>
        </w:rPr>
        <w:t>To promote the provision of consistent, transparent, comparable, accurate and complete information in order to enable a thorough review and assessment of the implementation of the Convention by Parties, and to monitor the progress that Annex I Parties are making towards meeting their goals under the Convention;</w:t>
      </w:r>
    </w:p>
    <w:p w14:paraId="1DF18F49" w14:textId="073919FC" w:rsidR="00895001" w:rsidRPr="005A17A8" w:rsidRDefault="000E0429" w:rsidP="000E0429">
      <w:pPr>
        <w:pStyle w:val="RegSingleTxtG"/>
        <w:numPr>
          <w:ilvl w:val="0"/>
          <w:numId w:val="0"/>
        </w:numPr>
        <w:tabs>
          <w:tab w:val="left" w:pos="2269"/>
        </w:tabs>
        <w:ind w:left="1134" w:firstLine="567"/>
        <w:rPr>
          <w:rFonts w:eastAsia="Calibri"/>
          <w:szCs w:val="24"/>
          <w:lang w:eastAsia="en-US"/>
        </w:rPr>
      </w:pPr>
      <w:r w:rsidRPr="005A17A8">
        <w:rPr>
          <w:rFonts w:eastAsia="Calibri"/>
          <w:szCs w:val="24"/>
          <w:lang w:eastAsia="en-US"/>
        </w:rPr>
        <w:t>(c)</w:t>
      </w:r>
      <w:r w:rsidRPr="005A17A8">
        <w:rPr>
          <w:rFonts w:eastAsia="Calibri"/>
          <w:szCs w:val="24"/>
          <w:lang w:eastAsia="en-US"/>
        </w:rPr>
        <w:tab/>
      </w:r>
      <w:r w:rsidR="00895001" w:rsidRPr="005A17A8">
        <w:rPr>
          <w:rFonts w:eastAsia="Calibri"/>
          <w:szCs w:val="24"/>
          <w:lang w:eastAsia="en-US"/>
        </w:rPr>
        <w:t>To assist the Conference of the Parties (COP) in carrying out its responsibility to review the implementation of the Convention pursuant to its Article 7, paragraph 2(a), and the adequacy of the commitments under Article 4, paragraph 2(a) and (b), in accordance with Article 4, paragraph 2(d), of the Convention.</w:t>
      </w:r>
    </w:p>
    <w:p w14:paraId="01C9C8B2" w14:textId="6828FB2F" w:rsidR="00895001" w:rsidRPr="005A17A8" w:rsidRDefault="000E0429" w:rsidP="000E0429">
      <w:pPr>
        <w:pStyle w:val="RegHChG"/>
        <w:numPr>
          <w:ilvl w:val="0"/>
          <w:numId w:val="0"/>
        </w:numPr>
        <w:tabs>
          <w:tab w:val="left" w:pos="1135"/>
        </w:tabs>
        <w:ind w:left="1135" w:hanging="454"/>
        <w:rPr>
          <w:rFonts w:eastAsia="Calibri"/>
          <w:b w:val="0"/>
          <w:bCs/>
          <w:szCs w:val="28"/>
          <w:lang w:eastAsia="en-US"/>
        </w:rPr>
      </w:pPr>
      <w:r w:rsidRPr="005A17A8">
        <w:rPr>
          <w:rFonts w:eastAsia="Calibri"/>
          <w:bCs/>
          <w:szCs w:val="28"/>
          <w:lang w:eastAsia="en-US"/>
        </w:rPr>
        <w:t>II.</w:t>
      </w:r>
      <w:r w:rsidRPr="005A17A8">
        <w:rPr>
          <w:rFonts w:eastAsia="Calibri"/>
          <w:bCs/>
          <w:szCs w:val="28"/>
          <w:lang w:eastAsia="en-US"/>
        </w:rPr>
        <w:tab/>
      </w:r>
      <w:r w:rsidR="00895001" w:rsidRPr="005A17A8">
        <w:rPr>
          <w:szCs w:val="28"/>
        </w:rPr>
        <w:t>E</w:t>
      </w:r>
      <w:r w:rsidR="005A17A8" w:rsidRPr="005A17A8">
        <w:rPr>
          <w:szCs w:val="28"/>
        </w:rPr>
        <w:t>xecutive</w:t>
      </w:r>
      <w:r w:rsidR="00895001" w:rsidRPr="005A17A8">
        <w:rPr>
          <w:rFonts w:eastAsia="Calibri"/>
          <w:bCs/>
          <w:szCs w:val="28"/>
          <w:lang w:eastAsia="en-US"/>
        </w:rPr>
        <w:t xml:space="preserve"> </w:t>
      </w:r>
      <w:r w:rsidR="005A17A8" w:rsidRPr="005A17A8">
        <w:rPr>
          <w:rFonts w:eastAsia="Calibri"/>
          <w:bCs/>
          <w:szCs w:val="28"/>
          <w:lang w:eastAsia="en-US"/>
        </w:rPr>
        <w:t>summary</w:t>
      </w:r>
    </w:p>
    <w:p w14:paraId="6AF22504" w14:textId="042DB297" w:rsidR="00895001" w:rsidRPr="00170C38" w:rsidRDefault="000E0429" w:rsidP="000E0429">
      <w:pPr>
        <w:pStyle w:val="RegSingleTxtG"/>
        <w:numPr>
          <w:ilvl w:val="0"/>
          <w:numId w:val="0"/>
        </w:numPr>
        <w:tabs>
          <w:tab w:val="left" w:pos="568"/>
        </w:tabs>
        <w:ind w:left="1134"/>
        <w:rPr>
          <w:rFonts w:eastAsia="MS Mincho"/>
          <w:szCs w:val="24"/>
          <w:lang w:eastAsia="ja-JP"/>
        </w:rPr>
      </w:pPr>
      <w:r w:rsidRPr="00170C38">
        <w:rPr>
          <w:rFonts w:eastAsia="MS Mincho"/>
          <w:szCs w:val="24"/>
          <w:lang w:eastAsia="ja-JP"/>
        </w:rPr>
        <w:t>2.</w:t>
      </w:r>
      <w:r w:rsidRPr="00170C38">
        <w:rPr>
          <w:rFonts w:eastAsia="MS Mincho"/>
          <w:szCs w:val="24"/>
          <w:lang w:eastAsia="ja-JP"/>
        </w:rPr>
        <w:tab/>
      </w:r>
      <w:r w:rsidR="00895001" w:rsidRPr="00170C38">
        <w:rPr>
          <w:rFonts w:eastAsia="Calibri"/>
          <w:szCs w:val="24"/>
          <w:lang w:eastAsia="en-US"/>
        </w:rPr>
        <w:t>The national communication shall include an executive summary that summarizes the information and data contained in the full document. The executive summary shall consist of no more than 15 pages.</w:t>
      </w:r>
    </w:p>
    <w:p w14:paraId="47B35507" w14:textId="753B6F67" w:rsidR="00895001" w:rsidRPr="00D8378F" w:rsidRDefault="000E0429" w:rsidP="000E0429">
      <w:pPr>
        <w:pStyle w:val="RegHChG"/>
        <w:numPr>
          <w:ilvl w:val="0"/>
          <w:numId w:val="0"/>
        </w:numPr>
        <w:tabs>
          <w:tab w:val="left" w:pos="1135"/>
        </w:tabs>
        <w:ind w:left="1135" w:hanging="454"/>
        <w:rPr>
          <w:rFonts w:eastAsia="Calibri"/>
          <w:bCs/>
          <w:sz w:val="24"/>
          <w:szCs w:val="24"/>
          <w:lang w:eastAsia="en-US"/>
        </w:rPr>
      </w:pPr>
      <w:r w:rsidRPr="00D8378F">
        <w:rPr>
          <w:rFonts w:eastAsia="Calibri"/>
          <w:bCs/>
          <w:szCs w:val="24"/>
          <w:lang w:eastAsia="en-US"/>
        </w:rPr>
        <w:t>III.</w:t>
      </w:r>
      <w:r w:rsidRPr="00D8378F">
        <w:rPr>
          <w:rFonts w:eastAsia="Calibri"/>
          <w:bCs/>
          <w:szCs w:val="24"/>
          <w:lang w:eastAsia="en-US"/>
        </w:rPr>
        <w:tab/>
      </w:r>
      <w:r w:rsidR="00895001" w:rsidRPr="00CC234D">
        <w:t>N</w:t>
      </w:r>
      <w:r w:rsidR="00CC234D" w:rsidRPr="00CC234D">
        <w:t>ational</w:t>
      </w:r>
      <w:r w:rsidR="00CC234D">
        <w:rPr>
          <w:rFonts w:eastAsia="Calibri"/>
          <w:bCs/>
          <w:sz w:val="24"/>
          <w:szCs w:val="24"/>
          <w:lang w:eastAsia="en-US"/>
        </w:rPr>
        <w:t xml:space="preserve"> </w:t>
      </w:r>
      <w:r w:rsidR="00CC234D" w:rsidRPr="00CC234D">
        <w:t>circumstances</w:t>
      </w:r>
      <w:r w:rsidR="00895001" w:rsidRPr="00D8378F">
        <w:rPr>
          <w:rFonts w:eastAsia="Calibri"/>
          <w:bCs/>
          <w:sz w:val="24"/>
          <w:szCs w:val="24"/>
          <w:lang w:eastAsia="en-US"/>
        </w:rPr>
        <w:t xml:space="preserve"> </w:t>
      </w:r>
      <w:r w:rsidR="00CC234D" w:rsidRPr="00CC234D">
        <w:t>relevant</w:t>
      </w:r>
      <w:r w:rsidR="00895001" w:rsidRPr="00D8378F">
        <w:rPr>
          <w:rFonts w:eastAsia="Calibri"/>
          <w:bCs/>
          <w:sz w:val="24"/>
          <w:szCs w:val="24"/>
          <w:lang w:eastAsia="en-US"/>
        </w:rPr>
        <w:t xml:space="preserve"> </w:t>
      </w:r>
      <w:r w:rsidR="00CC234D" w:rsidRPr="00565F31">
        <w:rPr>
          <w:rFonts w:eastAsia="Calibri"/>
          <w:bCs/>
          <w:szCs w:val="24"/>
          <w:lang w:eastAsia="en-US"/>
        </w:rPr>
        <w:t>to</w:t>
      </w:r>
      <w:r w:rsidR="00895001" w:rsidRPr="00D8378F">
        <w:rPr>
          <w:rFonts w:eastAsia="Calibri"/>
          <w:bCs/>
          <w:sz w:val="24"/>
          <w:szCs w:val="24"/>
          <w:lang w:eastAsia="en-US"/>
        </w:rPr>
        <w:t xml:space="preserve"> </w:t>
      </w:r>
      <w:r w:rsidR="00CC234D" w:rsidRPr="00CC234D">
        <w:t>greenhouse</w:t>
      </w:r>
      <w:r w:rsidR="00895001" w:rsidRPr="00D8378F">
        <w:rPr>
          <w:rFonts w:eastAsia="Calibri"/>
          <w:bCs/>
          <w:sz w:val="24"/>
          <w:szCs w:val="24"/>
          <w:lang w:eastAsia="en-US"/>
        </w:rPr>
        <w:t xml:space="preserve"> </w:t>
      </w:r>
      <w:r w:rsidR="00CC234D" w:rsidRPr="00CC234D">
        <w:t>gas</w:t>
      </w:r>
      <w:r w:rsidR="00CC234D">
        <w:rPr>
          <w:rFonts w:eastAsia="Calibri"/>
          <w:bCs/>
          <w:sz w:val="24"/>
          <w:szCs w:val="24"/>
          <w:lang w:eastAsia="en-US"/>
        </w:rPr>
        <w:t xml:space="preserve"> </w:t>
      </w:r>
      <w:r w:rsidR="00CC234D" w:rsidRPr="00CC234D">
        <w:t>emissions</w:t>
      </w:r>
      <w:r w:rsidR="00895001" w:rsidRPr="00D8378F">
        <w:rPr>
          <w:rFonts w:eastAsia="Calibri"/>
          <w:bCs/>
          <w:sz w:val="24"/>
          <w:szCs w:val="24"/>
          <w:lang w:eastAsia="en-US"/>
        </w:rPr>
        <w:t xml:space="preserve"> </w:t>
      </w:r>
      <w:r w:rsidR="00CC234D" w:rsidRPr="00CC234D">
        <w:t>and</w:t>
      </w:r>
      <w:r w:rsidR="00895001" w:rsidRPr="00D8378F">
        <w:rPr>
          <w:rFonts w:eastAsia="Calibri"/>
          <w:bCs/>
          <w:sz w:val="24"/>
          <w:szCs w:val="24"/>
          <w:lang w:eastAsia="en-US"/>
        </w:rPr>
        <w:t xml:space="preserve"> </w:t>
      </w:r>
      <w:r w:rsidR="00CC234D" w:rsidRPr="00CC234D">
        <w:t>removals</w:t>
      </w:r>
    </w:p>
    <w:p w14:paraId="195F88DB" w14:textId="6DC68DD1" w:rsidR="00895001" w:rsidRPr="00170C38" w:rsidRDefault="000E0429" w:rsidP="000E0429">
      <w:pPr>
        <w:pStyle w:val="RegSingleTxtG"/>
        <w:numPr>
          <w:ilvl w:val="0"/>
          <w:numId w:val="0"/>
        </w:numPr>
        <w:tabs>
          <w:tab w:val="left" w:pos="568"/>
        </w:tabs>
        <w:ind w:left="1134"/>
        <w:rPr>
          <w:rFonts w:eastAsia="Calibri"/>
          <w:szCs w:val="24"/>
          <w:lang w:eastAsia="en-US"/>
        </w:rPr>
      </w:pPr>
      <w:r w:rsidRPr="00170C38">
        <w:rPr>
          <w:rFonts w:eastAsia="Calibri"/>
          <w:szCs w:val="24"/>
          <w:lang w:eastAsia="en-US"/>
        </w:rPr>
        <w:t>3.</w:t>
      </w:r>
      <w:r w:rsidRPr="00170C38">
        <w:rPr>
          <w:rFonts w:eastAsia="Calibri"/>
          <w:szCs w:val="24"/>
          <w:lang w:eastAsia="en-US"/>
        </w:rPr>
        <w:tab/>
      </w:r>
      <w:r w:rsidR="00895001" w:rsidRPr="00170C38">
        <w:rPr>
          <w:rFonts w:eastAsia="Calibri"/>
          <w:szCs w:val="24"/>
          <w:lang w:eastAsia="en-US"/>
        </w:rPr>
        <w:t>Parties shall provide a description of their national circumstances, how the national circumstances affect greenhouse gas (GHG) emissions and removals, and how the national circumstances and changes therein affect GHG emissions and removals over time. Parties should provide information on how their national circumstances are relevant to factors affecting GHG emissions and removals, including disaggregated indicators, to explain the relationship between the national circumstances and emissions or removals. Parties may provide whatever information best describes their own national circumstances and historical trends. However, in order to improve the comparability of national communications, reporting information under the following headings is recommended:</w:t>
      </w:r>
    </w:p>
    <w:p w14:paraId="2BEF73B4" w14:textId="32F14A92"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(a)</w:t>
      </w:r>
      <w:r w:rsidRPr="00170C38">
        <w:rPr>
          <w:rFonts w:eastAsia="Calibri"/>
          <w:szCs w:val="24"/>
          <w:lang w:eastAsia="en-US"/>
        </w:rPr>
        <w:tab/>
      </w:r>
      <w:r w:rsidR="00895001" w:rsidRPr="00170C38">
        <w:rPr>
          <w:rFonts w:eastAsia="Calibri"/>
          <w:szCs w:val="24"/>
          <w:lang w:eastAsia="en-US"/>
        </w:rPr>
        <w:t xml:space="preserve">Government structure: for example, roles and responsibilities of different levels of government and relevant interministerial decision-making processes or bodies; </w:t>
      </w:r>
    </w:p>
    <w:p w14:paraId="1C369729" w14:textId="2539BC15"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(b)</w:t>
      </w:r>
      <w:r w:rsidRPr="00170C38">
        <w:rPr>
          <w:rFonts w:eastAsia="Calibri"/>
          <w:szCs w:val="24"/>
          <w:lang w:eastAsia="en-US"/>
        </w:rPr>
        <w:tab/>
      </w:r>
      <w:r w:rsidR="00895001" w:rsidRPr="00170C38">
        <w:rPr>
          <w:rFonts w:eastAsia="Calibri"/>
          <w:szCs w:val="24"/>
          <w:lang w:eastAsia="en-US"/>
        </w:rPr>
        <w:t>Population profile: for example, total population, density and distribution;</w:t>
      </w:r>
    </w:p>
    <w:p w14:paraId="7551CBE8" w14:textId="7B527404"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(c)</w:t>
      </w:r>
      <w:r w:rsidRPr="00170C38">
        <w:rPr>
          <w:rFonts w:eastAsia="Calibri"/>
          <w:szCs w:val="24"/>
          <w:lang w:eastAsia="en-US"/>
        </w:rPr>
        <w:tab/>
      </w:r>
      <w:r w:rsidR="00895001" w:rsidRPr="00170C38">
        <w:rPr>
          <w:rFonts w:eastAsia="Calibri"/>
          <w:szCs w:val="24"/>
          <w:lang w:eastAsia="en-US"/>
        </w:rPr>
        <w:t>Economic profile: for example, gross domestic product (GDP), GDP per capita (expressed in domestic currency and purchasing power parity), GDP by sector and international trade patterns;</w:t>
      </w:r>
    </w:p>
    <w:p w14:paraId="5E087AD4" w14:textId="3B8F162C"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(d)</w:t>
      </w:r>
      <w:r w:rsidRPr="00170C38">
        <w:rPr>
          <w:rFonts w:eastAsia="Calibri"/>
          <w:szCs w:val="24"/>
          <w:lang w:eastAsia="en-US"/>
        </w:rPr>
        <w:tab/>
      </w:r>
      <w:r w:rsidR="00895001" w:rsidRPr="00170C38">
        <w:rPr>
          <w:rFonts w:eastAsia="Calibri"/>
          <w:szCs w:val="24"/>
          <w:lang w:eastAsia="en-US"/>
        </w:rPr>
        <w:t>Geographical profile: for example, area, latitude, land use and ecosystems;</w:t>
      </w:r>
    </w:p>
    <w:p w14:paraId="065CFCB2" w14:textId="4A766860"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(e)</w:t>
      </w:r>
      <w:r w:rsidRPr="00170C38">
        <w:rPr>
          <w:rFonts w:eastAsia="Calibri"/>
          <w:szCs w:val="24"/>
          <w:lang w:eastAsia="en-US"/>
        </w:rPr>
        <w:tab/>
      </w:r>
      <w:r w:rsidR="00895001" w:rsidRPr="00170C38">
        <w:rPr>
          <w:rFonts w:eastAsia="Calibri"/>
          <w:szCs w:val="24"/>
          <w:lang w:eastAsia="en-US"/>
        </w:rPr>
        <w:t>Climate profile: for example, temperature distribution, annual temperature variation, precipitation distribution, climate variability and extreme events;</w:t>
      </w:r>
    </w:p>
    <w:p w14:paraId="3856FECC" w14:textId="2B828D60"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(f)</w:t>
      </w:r>
      <w:r w:rsidRPr="00170C38">
        <w:rPr>
          <w:rFonts w:eastAsia="Calibri"/>
          <w:szCs w:val="24"/>
          <w:lang w:eastAsia="en-US"/>
        </w:rPr>
        <w:tab/>
      </w:r>
      <w:r w:rsidR="00895001" w:rsidRPr="00170C38">
        <w:rPr>
          <w:rFonts w:eastAsia="Calibri"/>
          <w:szCs w:val="24"/>
          <w:lang w:eastAsia="en-US"/>
        </w:rPr>
        <w:t>Energy (by fuel type, where appropriate): for example, energy resource base, production, market structure, prices, taxes, subsidies and trade;</w:t>
      </w:r>
    </w:p>
    <w:p w14:paraId="7C79B28B" w14:textId="18BD26B4"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(g)</w:t>
      </w:r>
      <w:r w:rsidRPr="00170C38">
        <w:rPr>
          <w:rFonts w:eastAsia="Calibri"/>
          <w:szCs w:val="24"/>
          <w:lang w:eastAsia="en-US"/>
        </w:rPr>
        <w:tab/>
      </w:r>
      <w:r w:rsidR="00895001" w:rsidRPr="00170C38">
        <w:rPr>
          <w:rFonts w:eastAsia="Calibri"/>
          <w:szCs w:val="24"/>
          <w:lang w:eastAsia="en-US"/>
        </w:rPr>
        <w:t>Transportation: for example, modes (passenger and freight), travel distances and fleet characteristics;</w:t>
      </w:r>
    </w:p>
    <w:p w14:paraId="63C387EA" w14:textId="43C286E0"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(h)</w:t>
      </w:r>
      <w:r w:rsidRPr="00170C38">
        <w:rPr>
          <w:rFonts w:eastAsia="Calibri"/>
          <w:szCs w:val="24"/>
          <w:lang w:eastAsia="en-US"/>
        </w:rPr>
        <w:tab/>
      </w:r>
      <w:r w:rsidR="00895001" w:rsidRPr="00170C38">
        <w:rPr>
          <w:rFonts w:eastAsia="Calibri"/>
          <w:szCs w:val="24"/>
          <w:lang w:eastAsia="en-US"/>
        </w:rPr>
        <w:t>Industry: for example, structure;</w:t>
      </w:r>
    </w:p>
    <w:p w14:paraId="5F41FACA" w14:textId="7E815C65" w:rsidR="00895001" w:rsidRPr="00912360" w:rsidRDefault="000E0429" w:rsidP="000E0429">
      <w:pPr>
        <w:pStyle w:val="RegSingleTxtG"/>
        <w:numPr>
          <w:ilvl w:val="0"/>
          <w:numId w:val="0"/>
        </w:numPr>
        <w:tabs>
          <w:tab w:val="left" w:pos="2269"/>
        </w:tabs>
        <w:ind w:left="1135" w:firstLine="567"/>
        <w:rPr>
          <w:rFonts w:eastAsia="Calibri"/>
          <w:szCs w:val="24"/>
          <w:lang w:eastAsia="en-US"/>
        </w:rPr>
      </w:pPr>
      <w:r w:rsidRPr="00912360">
        <w:rPr>
          <w:rFonts w:eastAsia="Calibri"/>
          <w:szCs w:val="24"/>
          <w:lang w:eastAsia="en-US"/>
        </w:rPr>
        <w:t>(i)</w:t>
      </w:r>
      <w:r w:rsidRPr="00912360">
        <w:rPr>
          <w:rFonts w:eastAsia="Calibri"/>
          <w:szCs w:val="24"/>
          <w:lang w:eastAsia="en-US"/>
        </w:rPr>
        <w:tab/>
      </w:r>
      <w:r w:rsidR="00895001" w:rsidRPr="00170C38">
        <w:rPr>
          <w:rFonts w:eastAsia="Calibri"/>
          <w:szCs w:val="24"/>
          <w:lang w:eastAsia="en-US"/>
        </w:rPr>
        <w:t>Waste: for example, waste sources and management practices;</w:t>
      </w:r>
    </w:p>
    <w:p w14:paraId="013F0EF9" w14:textId="263947B9"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(j)</w:t>
      </w:r>
      <w:r w:rsidRPr="00170C38">
        <w:rPr>
          <w:rFonts w:eastAsia="Calibri"/>
          <w:szCs w:val="24"/>
          <w:lang w:eastAsia="en-US"/>
        </w:rPr>
        <w:tab/>
      </w:r>
      <w:r w:rsidR="00895001" w:rsidRPr="00170C38">
        <w:rPr>
          <w:rFonts w:eastAsia="Calibri"/>
          <w:szCs w:val="24"/>
          <w:lang w:eastAsia="en-US"/>
        </w:rPr>
        <w:t>Building stock and urban structure: for example, profile of residential and commercial buildings;</w:t>
      </w:r>
    </w:p>
    <w:p w14:paraId="6B2E1609" w14:textId="59442481"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(k)</w:t>
      </w:r>
      <w:r w:rsidRPr="00170C38">
        <w:rPr>
          <w:rFonts w:eastAsia="Calibri"/>
          <w:szCs w:val="24"/>
          <w:lang w:eastAsia="en-US"/>
        </w:rPr>
        <w:tab/>
      </w:r>
      <w:r w:rsidR="00895001" w:rsidRPr="00170C38">
        <w:rPr>
          <w:rFonts w:eastAsia="Calibri"/>
          <w:szCs w:val="24"/>
          <w:lang w:eastAsia="en-US"/>
        </w:rPr>
        <w:t>Agriculture: for example, structure and management practices;</w:t>
      </w:r>
    </w:p>
    <w:p w14:paraId="62103E38" w14:textId="309EDAFF"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(l)</w:t>
      </w:r>
      <w:r w:rsidRPr="00170C38">
        <w:rPr>
          <w:rFonts w:eastAsia="Calibri"/>
          <w:szCs w:val="24"/>
          <w:lang w:eastAsia="en-US"/>
        </w:rPr>
        <w:tab/>
      </w:r>
      <w:r w:rsidR="00895001" w:rsidRPr="00170C38">
        <w:rPr>
          <w:rFonts w:eastAsia="Calibri"/>
          <w:szCs w:val="24"/>
          <w:lang w:eastAsia="en-US"/>
        </w:rPr>
        <w:t>Forest: for example, types and management practices;</w:t>
      </w:r>
    </w:p>
    <w:p w14:paraId="242FE5C1" w14:textId="3335C3A2" w:rsidR="00895001" w:rsidRPr="00170C38" w:rsidRDefault="000E0429" w:rsidP="000E0429">
      <w:pPr>
        <w:pStyle w:val="RegSingleTxtG"/>
        <w:numPr>
          <w:ilvl w:val="0"/>
          <w:numId w:val="0"/>
        </w:numPr>
        <w:tabs>
          <w:tab w:val="left" w:pos="2269"/>
        </w:tabs>
        <w:ind w:left="1135" w:firstLine="567"/>
        <w:rPr>
          <w:rFonts w:eastAsia="Calibri"/>
          <w:szCs w:val="24"/>
          <w:lang w:eastAsia="en-US"/>
        </w:rPr>
      </w:pPr>
      <w:r w:rsidRPr="00170C38">
        <w:rPr>
          <w:rFonts w:eastAsia="Calibri"/>
          <w:szCs w:val="24"/>
          <w:lang w:eastAsia="en-US"/>
        </w:rPr>
        <w:t>(m)</w:t>
      </w:r>
      <w:r w:rsidRPr="00170C38">
        <w:rPr>
          <w:rFonts w:eastAsia="Calibri"/>
          <w:szCs w:val="24"/>
          <w:lang w:eastAsia="en-US"/>
        </w:rPr>
        <w:tab/>
      </w:r>
      <w:r w:rsidR="00895001" w:rsidRPr="00170C38">
        <w:rPr>
          <w:rFonts w:eastAsia="Calibri"/>
          <w:szCs w:val="24"/>
          <w:lang w:eastAsia="en-US"/>
        </w:rPr>
        <w:t>Other circumstances.</w:t>
      </w:r>
    </w:p>
    <w:p w14:paraId="5C8DD6CF" w14:textId="77777777" w:rsidR="00895001" w:rsidRPr="00D8378F" w:rsidRDefault="00895001" w:rsidP="000E0429">
      <w:pPr>
        <w:pStyle w:val="RegH1G"/>
        <w:numPr>
          <w:ilvl w:val="0"/>
          <w:numId w:val="0"/>
        </w:numPr>
        <w:ind w:left="1135" w:hanging="454"/>
        <w:rPr>
          <w:lang w:eastAsia="en-US"/>
        </w:rPr>
      </w:pPr>
      <w:r w:rsidRPr="00D8378F">
        <w:rPr>
          <w:lang w:eastAsia="en-US"/>
        </w:rPr>
        <w:t>Flexibility in accordance with Article 4</w:t>
      </w:r>
      <w:r>
        <w:rPr>
          <w:lang w:eastAsia="en-US"/>
        </w:rPr>
        <w:t xml:space="preserve">, paragraphs </w:t>
      </w:r>
      <w:r w:rsidRPr="00D8378F">
        <w:rPr>
          <w:lang w:eastAsia="en-US"/>
        </w:rPr>
        <w:t>6 and 10</w:t>
      </w:r>
      <w:r>
        <w:rPr>
          <w:lang w:eastAsia="en-US"/>
        </w:rPr>
        <w:t>, of the Convention</w:t>
      </w:r>
    </w:p>
    <w:p w14:paraId="08AA235C" w14:textId="1A831E80" w:rsidR="00895001" w:rsidRPr="00912360" w:rsidRDefault="000E0429" w:rsidP="000E0429">
      <w:pPr>
        <w:pStyle w:val="RegSingleTxtG"/>
        <w:numPr>
          <w:ilvl w:val="0"/>
          <w:numId w:val="0"/>
        </w:numPr>
        <w:tabs>
          <w:tab w:val="left" w:pos="568"/>
        </w:tabs>
        <w:ind w:left="1134"/>
        <w:rPr>
          <w:lang w:eastAsia="en-US"/>
        </w:rPr>
      </w:pPr>
      <w:r w:rsidRPr="00912360">
        <w:rPr>
          <w:lang w:eastAsia="en-US"/>
        </w:rPr>
        <w:t>4.</w:t>
      </w:r>
      <w:r w:rsidRPr="00912360">
        <w:rPr>
          <w:lang w:eastAsia="en-US"/>
        </w:rPr>
        <w:tab/>
      </w:r>
      <w:r w:rsidR="00895001" w:rsidRPr="00912360">
        <w:rPr>
          <w:lang w:eastAsia="en-US"/>
        </w:rPr>
        <w:t>Parties requesting flexibility or consideration in accordance with Article 4, paragraphs 6 and 10, of the Convention shall state the type of special consideration that they are seeking and provide a full explanation of their circumstances.</w:t>
      </w:r>
    </w:p>
    <w:p w14:paraId="6B8E2E99" w14:textId="6677BC63" w:rsidR="00895001" w:rsidRPr="00E355E5" w:rsidRDefault="000E0429" w:rsidP="000E0429">
      <w:pPr>
        <w:pStyle w:val="RegHChG"/>
        <w:numPr>
          <w:ilvl w:val="0"/>
          <w:numId w:val="0"/>
        </w:numPr>
        <w:tabs>
          <w:tab w:val="left" w:pos="1135"/>
        </w:tabs>
        <w:ind w:left="1135" w:hanging="454"/>
        <w:rPr>
          <w:szCs w:val="28"/>
        </w:rPr>
      </w:pPr>
      <w:r w:rsidRPr="00E355E5">
        <w:rPr>
          <w:szCs w:val="28"/>
        </w:rPr>
        <w:t>IV.</w:t>
      </w:r>
      <w:r w:rsidRPr="00E355E5">
        <w:rPr>
          <w:szCs w:val="28"/>
        </w:rPr>
        <w:tab/>
      </w:r>
      <w:r w:rsidR="00E355E5" w:rsidRPr="00E355E5">
        <w:rPr>
          <w:szCs w:val="28"/>
        </w:rPr>
        <w:t>Greenhouse gas inventory information</w:t>
      </w:r>
    </w:p>
    <w:p w14:paraId="09547AD1" w14:textId="05A001F5" w:rsidR="00895001" w:rsidRPr="00E355E5" w:rsidRDefault="000E0429" w:rsidP="000E0429">
      <w:pPr>
        <w:pStyle w:val="RegH1G"/>
        <w:numPr>
          <w:ilvl w:val="0"/>
          <w:numId w:val="0"/>
        </w:numPr>
        <w:tabs>
          <w:tab w:val="left" w:pos="1135"/>
        </w:tabs>
        <w:ind w:left="1135" w:hanging="454"/>
        <w:rPr>
          <w:lang w:eastAsia="en-US"/>
        </w:rPr>
      </w:pPr>
      <w:r w:rsidRPr="00E355E5">
        <w:rPr>
          <w:lang w:eastAsia="en-US"/>
        </w:rPr>
        <w:t>A.</w:t>
      </w:r>
      <w:r w:rsidRPr="00E355E5">
        <w:rPr>
          <w:lang w:eastAsia="en-US"/>
        </w:rPr>
        <w:tab/>
      </w:r>
      <w:r w:rsidR="00895001" w:rsidRPr="00E355E5">
        <w:rPr>
          <w:lang w:eastAsia="en-US"/>
        </w:rPr>
        <w:t>Summary tables</w:t>
      </w:r>
    </w:p>
    <w:p w14:paraId="3D48D90B" w14:textId="2A43C9C3" w:rsidR="00895001" w:rsidRPr="00E355E5" w:rsidRDefault="000E0429" w:rsidP="000E0429">
      <w:pPr>
        <w:pStyle w:val="RegSingleTxtG"/>
        <w:numPr>
          <w:ilvl w:val="0"/>
          <w:numId w:val="0"/>
        </w:numPr>
        <w:tabs>
          <w:tab w:val="left" w:pos="568"/>
        </w:tabs>
        <w:ind w:left="1134"/>
        <w:rPr>
          <w:lang w:eastAsia="en-US"/>
        </w:rPr>
      </w:pPr>
      <w:r w:rsidRPr="00E355E5">
        <w:rPr>
          <w:lang w:eastAsia="en-US"/>
        </w:rPr>
        <w:t>5.</w:t>
      </w:r>
      <w:r w:rsidRPr="00E355E5">
        <w:rPr>
          <w:lang w:eastAsia="en-US"/>
        </w:rPr>
        <w:tab/>
      </w:r>
      <w:r w:rsidR="00895001" w:rsidRPr="00E355E5">
        <w:rPr>
          <w:lang w:eastAsia="en-US"/>
        </w:rPr>
        <w:t xml:space="preserve">Summary information from the national GHG inventory prepared in accordance with the “Guidelines for the preparation of national communications by Parties included in Annex I to the Convention, Part I: UNFCCC reporting guidelines on annual greenhouse gas inventories” (hereinafter referred to as the UNFCCC Annex I inventory reporting guidelines) (annex I to decision 24/CP.19 and any relevant decisions adopted subsequently by the COP) shall be provided for the period from 1990 (or another base year) to the latest year reported in the most recent annual inventory submission available (the most recent inventory year). The information provided in the national communication should be consistent with that provided in the most recent annual inventory submission available (for the year prior to the due date of submission of the national communication) and any differences should be fully explained. </w:t>
      </w:r>
    </w:p>
    <w:p w14:paraId="62FD4F8F" w14:textId="0276FFE6" w:rsidR="00895001" w:rsidRPr="00E355E5" w:rsidRDefault="000E0429" w:rsidP="000E0429">
      <w:pPr>
        <w:pStyle w:val="RegSingleTxtG"/>
        <w:numPr>
          <w:ilvl w:val="0"/>
          <w:numId w:val="0"/>
        </w:numPr>
        <w:tabs>
          <w:tab w:val="left" w:pos="568"/>
        </w:tabs>
        <w:ind w:left="1134"/>
        <w:rPr>
          <w:lang w:eastAsia="en-US"/>
        </w:rPr>
      </w:pPr>
      <w:r w:rsidRPr="00E355E5">
        <w:rPr>
          <w:lang w:eastAsia="en-US"/>
        </w:rPr>
        <w:t>6.</w:t>
      </w:r>
      <w:r w:rsidRPr="00E355E5">
        <w:rPr>
          <w:lang w:eastAsia="en-US"/>
        </w:rPr>
        <w:tab/>
      </w:r>
      <w:r w:rsidR="00895001" w:rsidRPr="00E355E5">
        <w:rPr>
          <w:lang w:eastAsia="en-US"/>
        </w:rPr>
        <w:t xml:space="preserve">For the purpose of the national communication, complete inventory information need not be provided. However, at a minimum, Parties shall report the summary of GHG emissions and removals, including the information expressed in carbon dioxide (CO2) equivalent in emission trend tables provided in the common reporting format contained in the UNFCCC Annex I inventory reporting guidelines. Parties may elect to replicate the information reported in the biennial report submitted with the national communication. The tables may be provided as an annex, as part of the national communication rather than in the main text. </w:t>
      </w:r>
    </w:p>
    <w:p w14:paraId="3EB75702" w14:textId="3C4371F1" w:rsidR="00895001" w:rsidRPr="00D8378F" w:rsidRDefault="000E0429" w:rsidP="000E0429">
      <w:pPr>
        <w:pStyle w:val="RegH1G"/>
        <w:numPr>
          <w:ilvl w:val="0"/>
          <w:numId w:val="0"/>
        </w:numPr>
        <w:tabs>
          <w:tab w:val="left" w:pos="1135"/>
        </w:tabs>
        <w:ind w:left="1135" w:hanging="454"/>
        <w:rPr>
          <w:lang w:eastAsia="en-US"/>
        </w:rPr>
      </w:pPr>
      <w:r w:rsidRPr="00D8378F">
        <w:rPr>
          <w:lang w:eastAsia="en-US"/>
        </w:rPr>
        <w:t>B.</w:t>
      </w:r>
      <w:r w:rsidRPr="00D8378F">
        <w:rPr>
          <w:lang w:eastAsia="en-US"/>
        </w:rPr>
        <w:tab/>
      </w:r>
      <w:r w:rsidR="00895001" w:rsidRPr="00D8378F">
        <w:rPr>
          <w:lang w:eastAsia="en-US"/>
        </w:rPr>
        <w:t>Descriptive summary</w:t>
      </w:r>
    </w:p>
    <w:p w14:paraId="61603004" w14:textId="426F20A0" w:rsidR="00895001" w:rsidRPr="00E355E5" w:rsidRDefault="000E0429" w:rsidP="000E0429">
      <w:pPr>
        <w:pStyle w:val="RegSingleTxtG"/>
        <w:numPr>
          <w:ilvl w:val="0"/>
          <w:numId w:val="0"/>
        </w:numPr>
        <w:tabs>
          <w:tab w:val="left" w:pos="568"/>
        </w:tabs>
        <w:ind w:left="1134"/>
        <w:rPr>
          <w:lang w:eastAsia="en-US"/>
        </w:rPr>
      </w:pPr>
      <w:r w:rsidRPr="00E355E5">
        <w:rPr>
          <w:lang w:eastAsia="en-US"/>
        </w:rPr>
        <w:t>7.</w:t>
      </w:r>
      <w:r w:rsidRPr="00E355E5">
        <w:rPr>
          <w:lang w:eastAsia="en-US"/>
        </w:rPr>
        <w:tab/>
      </w:r>
      <w:r w:rsidR="00895001" w:rsidRPr="00E355E5">
        <w:rPr>
          <w:lang w:eastAsia="en-US"/>
        </w:rPr>
        <w:t>In the main text of the national communication, Parties should provide a descriptive summary and figures illustrating the GHG emissions reported in the summary tables referred to in paragraph 6 above. Parties should provide a description of the factors underlying emission trends.</w:t>
      </w:r>
    </w:p>
    <w:p w14:paraId="36A09ECE" w14:textId="2D416FEA" w:rsidR="00895001" w:rsidRPr="00D8378F" w:rsidRDefault="000E0429" w:rsidP="000E0429">
      <w:pPr>
        <w:pStyle w:val="RegH1G"/>
        <w:numPr>
          <w:ilvl w:val="0"/>
          <w:numId w:val="0"/>
        </w:numPr>
        <w:tabs>
          <w:tab w:val="left" w:pos="1135"/>
        </w:tabs>
        <w:ind w:left="1135" w:hanging="454"/>
        <w:rPr>
          <w:lang w:eastAsia="en-US"/>
        </w:rPr>
      </w:pPr>
      <w:r w:rsidRPr="00D8378F">
        <w:rPr>
          <w:lang w:eastAsia="en-US"/>
        </w:rPr>
        <w:t>C.</w:t>
      </w:r>
      <w:r w:rsidRPr="00D8378F">
        <w:rPr>
          <w:lang w:eastAsia="en-US"/>
        </w:rPr>
        <w:tab/>
      </w:r>
      <w:r w:rsidR="00895001" w:rsidRPr="00277263">
        <w:rPr>
          <w:bCs/>
          <w:lang w:eastAsia="en-US"/>
        </w:rPr>
        <w:t>National</w:t>
      </w:r>
      <w:r w:rsidR="00895001" w:rsidRPr="00D8378F">
        <w:rPr>
          <w:lang w:eastAsia="en-US"/>
        </w:rPr>
        <w:t xml:space="preserve"> inventory arrangements </w:t>
      </w:r>
    </w:p>
    <w:p w14:paraId="52907F37" w14:textId="488B90DE" w:rsidR="00895001" w:rsidRPr="00E355E5" w:rsidRDefault="000E0429" w:rsidP="000E0429">
      <w:pPr>
        <w:pStyle w:val="RegSingleTxtG"/>
        <w:numPr>
          <w:ilvl w:val="0"/>
          <w:numId w:val="0"/>
        </w:numPr>
        <w:tabs>
          <w:tab w:val="left" w:pos="568"/>
        </w:tabs>
        <w:ind w:left="1134"/>
        <w:rPr>
          <w:lang w:eastAsia="en-US"/>
        </w:rPr>
      </w:pPr>
      <w:r w:rsidRPr="00E355E5">
        <w:rPr>
          <w:lang w:eastAsia="en-US"/>
        </w:rPr>
        <w:t>8.</w:t>
      </w:r>
      <w:r w:rsidRPr="00E355E5">
        <w:rPr>
          <w:lang w:eastAsia="en-US"/>
        </w:rPr>
        <w:tab/>
      </w:r>
      <w:r w:rsidR="00895001" w:rsidRPr="00E355E5">
        <w:rPr>
          <w:lang w:eastAsia="en-US"/>
        </w:rPr>
        <w:t>Parties shall provide summary information on their national inventory arrangements in accordance with the reporting requirements related to national inventory arrangements contained in the UNFCCC Annex I inventory reporting guidelines and on any changes to those national inventory arrangements since their previous national communication or biennial report.</w:t>
      </w:r>
    </w:p>
    <w:p w14:paraId="04F07312" w14:textId="2565AC31" w:rsidR="00895001" w:rsidRPr="00D8378F" w:rsidRDefault="000E0429" w:rsidP="000E0429">
      <w:pPr>
        <w:pStyle w:val="RegHChG"/>
        <w:numPr>
          <w:ilvl w:val="0"/>
          <w:numId w:val="0"/>
        </w:numPr>
        <w:tabs>
          <w:tab w:val="left" w:pos="1135"/>
        </w:tabs>
        <w:ind w:left="1135" w:hanging="454"/>
        <w:rPr>
          <w:lang w:eastAsia="en-US"/>
        </w:rPr>
      </w:pPr>
      <w:r w:rsidRPr="00D8378F">
        <w:rPr>
          <w:lang w:eastAsia="en-US"/>
        </w:rPr>
        <w:t>V.</w:t>
      </w:r>
      <w:r w:rsidRPr="00D8378F">
        <w:rPr>
          <w:lang w:eastAsia="en-US"/>
        </w:rPr>
        <w:tab/>
      </w:r>
      <w:r w:rsidR="00E355E5" w:rsidRPr="00D8378F">
        <w:rPr>
          <w:lang w:eastAsia="en-US"/>
        </w:rPr>
        <w:t>Policies and measures</w:t>
      </w:r>
    </w:p>
    <w:p w14:paraId="69475D78" w14:textId="5DA5316B" w:rsidR="00895001" w:rsidRPr="00D8378F" w:rsidRDefault="000E0429" w:rsidP="000E0429">
      <w:pPr>
        <w:pStyle w:val="RegH1G"/>
        <w:numPr>
          <w:ilvl w:val="0"/>
          <w:numId w:val="0"/>
        </w:numPr>
        <w:tabs>
          <w:tab w:val="left" w:pos="1135"/>
        </w:tabs>
        <w:ind w:left="1135" w:hanging="454"/>
        <w:rPr>
          <w:lang w:eastAsia="en-US"/>
        </w:rPr>
      </w:pPr>
      <w:r w:rsidRPr="00D8378F">
        <w:rPr>
          <w:lang w:eastAsia="en-US"/>
        </w:rPr>
        <w:t>A.</w:t>
      </w:r>
      <w:r w:rsidRPr="00D8378F">
        <w:rPr>
          <w:lang w:eastAsia="en-US"/>
        </w:rPr>
        <w:tab/>
      </w:r>
      <w:r w:rsidR="00895001" w:rsidRPr="00D8378F">
        <w:rPr>
          <w:lang w:eastAsia="en-US"/>
        </w:rPr>
        <w:t>Selection of policies and measures to be reported in the national communication</w:t>
      </w:r>
    </w:p>
    <w:p w14:paraId="4A9ED4F0" w14:textId="38A2EE85" w:rsidR="00895001" w:rsidRPr="00170C38" w:rsidRDefault="000E0429" w:rsidP="000E0429">
      <w:pPr>
        <w:pStyle w:val="RegSingleTxtG"/>
        <w:numPr>
          <w:ilvl w:val="0"/>
          <w:numId w:val="0"/>
        </w:numPr>
        <w:tabs>
          <w:tab w:val="left" w:pos="568"/>
        </w:tabs>
        <w:ind w:left="1135"/>
        <w:rPr>
          <w:lang w:eastAsia="en-US"/>
        </w:rPr>
      </w:pPr>
      <w:r w:rsidRPr="00170C38">
        <w:rPr>
          <w:lang w:eastAsia="en-US"/>
        </w:rPr>
        <w:t>9.</w:t>
      </w:r>
      <w:r w:rsidRPr="00170C38">
        <w:rPr>
          <w:lang w:eastAsia="en-US"/>
        </w:rPr>
        <w:tab/>
      </w:r>
      <w:r w:rsidR="00895001" w:rsidRPr="00170C38">
        <w:rPr>
          <w:lang w:eastAsia="en-US"/>
        </w:rPr>
        <w:t>In accordance with Article 12, paragraph 2, of the Convention, Parties shall communicate information on policies and measures adopted to implement their commitments under Article 4, paragraph 2(a) and (b), of the Convention, which need not have the limitation or reduction of GHG emissions or the enhancement of removals as a primary objective.</w:t>
      </w:r>
    </w:p>
    <w:p w14:paraId="3DE0580C" w14:textId="7341A6A5" w:rsidR="00895001" w:rsidRDefault="000E0429" w:rsidP="000E0429">
      <w:pPr>
        <w:pStyle w:val="RegSingleTxtG"/>
        <w:numPr>
          <w:ilvl w:val="0"/>
          <w:numId w:val="0"/>
        </w:numPr>
        <w:tabs>
          <w:tab w:val="left" w:pos="568"/>
        </w:tabs>
        <w:ind w:left="1135"/>
        <w:rPr>
          <w:lang w:eastAsia="en-US"/>
        </w:rPr>
      </w:pPr>
      <w:r>
        <w:rPr>
          <w:lang w:eastAsia="en-US"/>
        </w:rPr>
        <w:t>10.</w:t>
      </w:r>
      <w:r>
        <w:rPr>
          <w:lang w:eastAsia="en-US"/>
        </w:rPr>
        <w:tab/>
      </w:r>
      <w:r w:rsidR="00895001" w:rsidRPr="00170C38">
        <w:rPr>
          <w:lang w:eastAsia="en-US"/>
        </w:rPr>
        <w:t>In their reporting, Parties should give priority to policies and measures, or combinations of policies and measures, that have the most significant impact on GHG emissions and removals, and they may also indicate those that are innovative and/or effectively replicable by other Parties. Parties may report on adopted policies and measures and those in the planning stage, but should clearly distinguish them from implemented policies and measures. The national communication does not have to report every policy and measure that affects GHG emissions.</w:t>
      </w:r>
    </w:p>
    <w:p w14:paraId="26B9DA4B" w14:textId="1D196B9A" w:rsidR="00E355E5" w:rsidRPr="00170C38" w:rsidRDefault="000E0429" w:rsidP="000E0429">
      <w:pPr>
        <w:pStyle w:val="RegSingleTxtG"/>
        <w:numPr>
          <w:ilvl w:val="0"/>
          <w:numId w:val="0"/>
        </w:numPr>
        <w:tabs>
          <w:tab w:val="left" w:pos="568"/>
        </w:tabs>
        <w:ind w:left="1135"/>
        <w:rPr>
          <w:lang w:eastAsia="en-US"/>
        </w:rPr>
      </w:pPr>
      <w:r w:rsidRPr="00170C38">
        <w:rPr>
          <w:lang w:eastAsia="en-US"/>
        </w:rPr>
        <w:t>11.</w:t>
      </w:r>
      <w:r w:rsidRPr="00170C38">
        <w:rPr>
          <w:lang w:eastAsia="en-US"/>
        </w:rPr>
        <w:tab/>
      </w:r>
      <w:r w:rsidR="00E355E5" w:rsidRPr="00E355E5">
        <w:rPr>
          <w:lang w:eastAsia="en-US"/>
        </w:rPr>
        <w:t>Policies and measures reported on should be: those implemented (those for which one or more of the following applies: (1) national legislation is in force; (2) one or more voluntary agreements have been established; (3) financial resources have been allocated; and (4) human resources have been mobilized); those adopted (those for which an official government decision has been made and there is a clear commitment to proceed with implementation); and/or those planned (options under discussion or announced and with a realistic chance of being adopted and implemented in the future) by governments at the national, state, provincial, regional and local levels, as applicable. Furthermore, policies and measures reported may also include those adopted in the context of regional or international efforts</w:t>
      </w:r>
      <w:r w:rsidR="00E355E5">
        <w:rPr>
          <w:lang w:eastAsia="en-US"/>
        </w:rPr>
        <w:t>.</w:t>
      </w:r>
    </w:p>
    <w:p w14:paraId="69E12285" w14:textId="33B76138" w:rsidR="00895001" w:rsidRPr="00170C38" w:rsidRDefault="000E0429" w:rsidP="000E0429">
      <w:pPr>
        <w:pStyle w:val="RegSingleTxtG"/>
        <w:numPr>
          <w:ilvl w:val="0"/>
          <w:numId w:val="0"/>
        </w:numPr>
        <w:tabs>
          <w:tab w:val="left" w:pos="568"/>
        </w:tabs>
        <w:ind w:left="1135"/>
        <w:rPr>
          <w:lang w:eastAsia="en-US"/>
        </w:rPr>
      </w:pPr>
      <w:r w:rsidRPr="00170C38">
        <w:rPr>
          <w:lang w:eastAsia="en-US"/>
        </w:rPr>
        <w:t>12.</w:t>
      </w:r>
      <w:r w:rsidRPr="00170C38">
        <w:rPr>
          <w:lang w:eastAsia="en-US"/>
        </w:rPr>
        <w:tab/>
      </w:r>
      <w:r w:rsidR="00895001" w:rsidRPr="00170C38">
        <w:rPr>
          <w:lang w:eastAsia="en-US"/>
        </w:rPr>
        <w:t>Parties should report on actions taken to implement their commitments under Article 4, paragraph 2(e)(ii), of the Convention, which requires them to identify and periodically update their own policies and practices that encourage activities that lead to greater levels of anthropogenic GHG emissions than would otherwise occur. Parties should also provide the rationale for such actions in the context of their national communications.</w:t>
      </w:r>
    </w:p>
    <w:p w14:paraId="0F3A88A3" w14:textId="281B206B" w:rsidR="00895001" w:rsidRPr="00170C38" w:rsidRDefault="000E0429" w:rsidP="000E0429">
      <w:pPr>
        <w:pStyle w:val="RegSingleTxtG"/>
        <w:numPr>
          <w:ilvl w:val="0"/>
          <w:numId w:val="0"/>
        </w:numPr>
        <w:tabs>
          <w:tab w:val="left" w:pos="568"/>
        </w:tabs>
        <w:ind w:left="1135"/>
        <w:rPr>
          <w:lang w:eastAsia="en-US"/>
        </w:rPr>
      </w:pPr>
      <w:r w:rsidRPr="00170C38">
        <w:rPr>
          <w:lang w:eastAsia="en-US"/>
        </w:rPr>
        <w:t>13.</w:t>
      </w:r>
      <w:r w:rsidRPr="00170C38">
        <w:rPr>
          <w:lang w:eastAsia="en-US"/>
        </w:rPr>
        <w:tab/>
      </w:r>
      <w:r w:rsidR="00895001" w:rsidRPr="00170C38">
        <w:rPr>
          <w:lang w:eastAsia="en-US"/>
        </w:rPr>
        <w:t xml:space="preserve">Parties are encouraged to provide, to the extent possible, detailed information on the assessment of the economic and social consequences of response measures. </w:t>
      </w:r>
    </w:p>
    <w:p w14:paraId="54D53B53" w14:textId="684B341D" w:rsidR="00895001" w:rsidRPr="00D8378F" w:rsidRDefault="000E0429" w:rsidP="000E0429">
      <w:pPr>
        <w:pStyle w:val="RegH1G"/>
        <w:numPr>
          <w:ilvl w:val="0"/>
          <w:numId w:val="0"/>
        </w:numPr>
        <w:tabs>
          <w:tab w:val="left" w:pos="1135"/>
        </w:tabs>
        <w:ind w:left="1135" w:hanging="454"/>
        <w:rPr>
          <w:lang w:eastAsia="en-US"/>
        </w:rPr>
      </w:pPr>
      <w:r w:rsidRPr="00D8378F">
        <w:rPr>
          <w:lang w:eastAsia="en-US"/>
        </w:rPr>
        <w:t>B.</w:t>
      </w:r>
      <w:r w:rsidRPr="00D8378F">
        <w:rPr>
          <w:lang w:eastAsia="en-US"/>
        </w:rPr>
        <w:tab/>
      </w:r>
      <w:r w:rsidR="00895001" w:rsidRPr="00D8378F">
        <w:rPr>
          <w:lang w:eastAsia="en-US"/>
        </w:rPr>
        <w:t>Structure of the policies and measures section of the national communication</w:t>
      </w:r>
    </w:p>
    <w:p w14:paraId="431E43D5" w14:textId="2AF085D6" w:rsidR="00895001" w:rsidRPr="006475C2" w:rsidRDefault="000E0429" w:rsidP="000E0429">
      <w:pPr>
        <w:pStyle w:val="RegSingleTxtG"/>
        <w:numPr>
          <w:ilvl w:val="0"/>
          <w:numId w:val="0"/>
        </w:numPr>
        <w:tabs>
          <w:tab w:val="left" w:pos="568"/>
        </w:tabs>
        <w:ind w:left="1135"/>
        <w:rPr>
          <w:lang w:eastAsia="en-US"/>
        </w:rPr>
      </w:pPr>
      <w:r w:rsidRPr="006475C2">
        <w:rPr>
          <w:lang w:eastAsia="en-US"/>
        </w:rPr>
        <w:t>14.</w:t>
      </w:r>
      <w:r w:rsidRPr="006475C2">
        <w:rPr>
          <w:lang w:eastAsia="en-US"/>
        </w:rPr>
        <w:tab/>
      </w:r>
      <w:r w:rsidR="00895001" w:rsidRPr="006475C2">
        <w:rPr>
          <w:lang w:eastAsia="en-US"/>
        </w:rPr>
        <w:t xml:space="preserve">Parties shall organize the reporting on policies and measures by sector, indicating which GHGs (CO2, methane (CH4), nitrous oxide (N2O), hydrofluorocarbons (HFCs), perfluorocarbons (PFCs), sulphur hexafluoride (SF6) and nitrogen trifluoride (NF3)) are affected by which policies and measures. To the extent appropriate, the following sectors should be considered: energy, transport, industry/industrial processes and product use, agriculture, forestry/land use, land-use change and forestry (LULUCF), waste management/waste, other sectors and cross-cutting. Each sector shall have its own textual description of the significant policies and measures, as set out in section D below, supplemented by table 1 below. Parties may include separate text describing cross-sectoral policies and measures. Policies and measures influencing GHG emissions from international transport should be reported under the transport sector. </w:t>
      </w:r>
    </w:p>
    <w:p w14:paraId="249FDB3C" w14:textId="0BD5FA50" w:rsidR="00895001" w:rsidRPr="006475C2" w:rsidRDefault="000E0429" w:rsidP="000E0429">
      <w:pPr>
        <w:pStyle w:val="RegSingleTxtG"/>
        <w:numPr>
          <w:ilvl w:val="0"/>
          <w:numId w:val="0"/>
        </w:numPr>
        <w:tabs>
          <w:tab w:val="left" w:pos="568"/>
        </w:tabs>
        <w:ind w:left="1135"/>
        <w:rPr>
          <w:lang w:eastAsia="en-US"/>
        </w:rPr>
      </w:pPr>
      <w:r w:rsidRPr="006475C2">
        <w:rPr>
          <w:lang w:eastAsia="en-US"/>
        </w:rPr>
        <w:t>15.</w:t>
      </w:r>
      <w:r w:rsidRPr="006475C2">
        <w:rPr>
          <w:lang w:eastAsia="en-US"/>
        </w:rPr>
        <w:tab/>
      </w:r>
      <w:r w:rsidR="00895001" w:rsidRPr="006475C2">
        <w:rPr>
          <w:lang w:eastAsia="en-US"/>
        </w:rPr>
        <w:t>In cases where a policy or measure has been maintained over time and is thoroughly described in a Party’s previous national communication and/or biennial report, reference should be made to it and only a brief description contained in the latest national communication, focusing on any alterations to the policy or measure or effects achieved.</w:t>
      </w:r>
    </w:p>
    <w:p w14:paraId="5AD45106" w14:textId="070CA9AD" w:rsidR="00895001" w:rsidRPr="006475C2" w:rsidRDefault="000E0429" w:rsidP="000E0429">
      <w:pPr>
        <w:pStyle w:val="RegSingleTxtG"/>
        <w:numPr>
          <w:ilvl w:val="0"/>
          <w:numId w:val="0"/>
        </w:numPr>
        <w:tabs>
          <w:tab w:val="left" w:pos="568"/>
        </w:tabs>
        <w:ind w:left="1135"/>
        <w:rPr>
          <w:lang w:eastAsia="en-US"/>
        </w:rPr>
      </w:pPr>
      <w:r w:rsidRPr="006475C2">
        <w:rPr>
          <w:lang w:eastAsia="en-US"/>
        </w:rPr>
        <w:t>16.</w:t>
      </w:r>
      <w:r w:rsidRPr="006475C2">
        <w:rPr>
          <w:lang w:eastAsia="en-US"/>
        </w:rPr>
        <w:tab/>
      </w:r>
      <w:r w:rsidR="00895001" w:rsidRPr="006475C2">
        <w:rPr>
          <w:lang w:eastAsia="en-US"/>
        </w:rPr>
        <w:t>Some information, such as the effect of policies and measures, may be presented in aggregate for several complementary measures in a particular sector or affecting a particular gas.</w:t>
      </w:r>
    </w:p>
    <w:p w14:paraId="7B7F8E4B" w14:textId="33380460" w:rsidR="00895001" w:rsidRPr="006475C2" w:rsidRDefault="000E0429" w:rsidP="000E0429">
      <w:pPr>
        <w:pStyle w:val="RegH1G"/>
        <w:numPr>
          <w:ilvl w:val="0"/>
          <w:numId w:val="0"/>
        </w:numPr>
        <w:tabs>
          <w:tab w:val="left" w:pos="1135"/>
        </w:tabs>
        <w:ind w:left="1135" w:hanging="454"/>
        <w:rPr>
          <w:lang w:eastAsia="en-US"/>
        </w:rPr>
      </w:pPr>
      <w:r w:rsidRPr="006475C2">
        <w:rPr>
          <w:lang w:eastAsia="en-US"/>
        </w:rPr>
        <w:t>C.</w:t>
      </w:r>
      <w:r w:rsidRPr="006475C2">
        <w:rPr>
          <w:lang w:eastAsia="en-US"/>
        </w:rPr>
        <w:tab/>
      </w:r>
      <w:r w:rsidR="00895001" w:rsidRPr="006475C2">
        <w:rPr>
          <w:lang w:eastAsia="en-US"/>
        </w:rPr>
        <w:t>Policymaking process</w:t>
      </w:r>
    </w:p>
    <w:p w14:paraId="1E7E50FA" w14:textId="41E6181E" w:rsidR="00895001" w:rsidRPr="006475C2" w:rsidRDefault="000E0429" w:rsidP="000E0429">
      <w:pPr>
        <w:pStyle w:val="RegSingleTxtG"/>
        <w:numPr>
          <w:ilvl w:val="0"/>
          <w:numId w:val="0"/>
        </w:numPr>
        <w:tabs>
          <w:tab w:val="left" w:pos="568"/>
        </w:tabs>
        <w:ind w:left="1135"/>
        <w:rPr>
          <w:lang w:eastAsia="en-US"/>
        </w:rPr>
      </w:pPr>
      <w:r w:rsidRPr="006475C2">
        <w:rPr>
          <w:lang w:eastAsia="en-US"/>
        </w:rPr>
        <w:t>17.</w:t>
      </w:r>
      <w:r w:rsidRPr="006475C2">
        <w:rPr>
          <w:lang w:eastAsia="en-US"/>
        </w:rPr>
        <w:tab/>
      </w:r>
      <w:r w:rsidR="00895001" w:rsidRPr="006475C2">
        <w:rPr>
          <w:lang w:eastAsia="en-US"/>
        </w:rPr>
        <w:t xml:space="preserve">The national communication should describe the overall policy context, including any national targets for GHG mitigation. Strategies for sustainable development, long-term mitigation strategies or other relevant policy objectives may also be covered. </w:t>
      </w:r>
    </w:p>
    <w:p w14:paraId="5567B221" w14:textId="48E630AC" w:rsidR="00895001" w:rsidRPr="006475C2" w:rsidRDefault="000E0429" w:rsidP="000E0429">
      <w:pPr>
        <w:pStyle w:val="RegSingleTxtG"/>
        <w:numPr>
          <w:ilvl w:val="0"/>
          <w:numId w:val="0"/>
        </w:numPr>
        <w:tabs>
          <w:tab w:val="left" w:pos="568"/>
        </w:tabs>
        <w:ind w:left="1135"/>
        <w:rPr>
          <w:lang w:eastAsia="en-US"/>
        </w:rPr>
      </w:pPr>
      <w:r w:rsidRPr="006475C2">
        <w:rPr>
          <w:lang w:eastAsia="en-US"/>
        </w:rPr>
        <w:t>18.</w:t>
      </w:r>
      <w:r w:rsidRPr="006475C2">
        <w:rPr>
          <w:lang w:eastAsia="en-US"/>
        </w:rPr>
        <w:tab/>
      </w:r>
      <w:r w:rsidR="00895001" w:rsidRPr="006475C2">
        <w:rPr>
          <w:lang w:eastAsia="en-US"/>
        </w:rPr>
        <w:t xml:space="preserve">The national communication should provide a description of the way in which progress with policies and measures to mitigate GHG emissions is monitored and evaluated over time. Institutional arrangements for the monitoring of GHG mitigation policy should also be reported in this context. </w:t>
      </w:r>
    </w:p>
    <w:p w14:paraId="7EAE624A" w14:textId="7FE680C0" w:rsidR="00895001" w:rsidRPr="00FC6A55" w:rsidRDefault="000E0429" w:rsidP="000E0429">
      <w:pPr>
        <w:pStyle w:val="RegH1G"/>
        <w:numPr>
          <w:ilvl w:val="0"/>
          <w:numId w:val="0"/>
        </w:numPr>
        <w:tabs>
          <w:tab w:val="left" w:pos="1135"/>
        </w:tabs>
        <w:ind w:left="1135" w:hanging="454"/>
        <w:rPr>
          <w:lang w:eastAsia="en-US"/>
        </w:rPr>
      </w:pPr>
      <w:r w:rsidRPr="00FC6A55">
        <w:rPr>
          <w:lang w:eastAsia="en-US"/>
        </w:rPr>
        <w:t>D.</w:t>
      </w:r>
      <w:r w:rsidRPr="00FC6A55">
        <w:rPr>
          <w:lang w:eastAsia="en-US"/>
        </w:rPr>
        <w:tab/>
      </w:r>
      <w:r w:rsidR="00895001" w:rsidRPr="00FC6A55">
        <w:rPr>
          <w:lang w:eastAsia="en-US"/>
        </w:rPr>
        <w:t>Policies and measures and their effects</w:t>
      </w:r>
    </w:p>
    <w:p w14:paraId="58547830" w14:textId="71630C94" w:rsidR="00895001" w:rsidRPr="00FC6A55" w:rsidRDefault="000E0429" w:rsidP="000E0429">
      <w:pPr>
        <w:pStyle w:val="RegSingleTxtG"/>
        <w:numPr>
          <w:ilvl w:val="0"/>
          <w:numId w:val="0"/>
        </w:numPr>
        <w:tabs>
          <w:tab w:val="left" w:pos="568"/>
        </w:tabs>
        <w:ind w:left="1135"/>
        <w:rPr>
          <w:lang w:eastAsia="en-US"/>
        </w:rPr>
      </w:pPr>
      <w:r w:rsidRPr="00FC6A55">
        <w:rPr>
          <w:lang w:eastAsia="en-US"/>
        </w:rPr>
        <w:t>19.</w:t>
      </w:r>
      <w:r w:rsidRPr="00FC6A55">
        <w:rPr>
          <w:lang w:eastAsia="en-US"/>
        </w:rPr>
        <w:tab/>
      </w:r>
      <w:r w:rsidR="00895001" w:rsidRPr="00FC6A55">
        <w:rPr>
          <w:lang w:eastAsia="en-US"/>
        </w:rPr>
        <w:t>The presentation of each policy or measure shall include information on each of the subject headings listed below. The presentation of each policy or measure should be concise and include the details suggested after each subject heading as follows:</w:t>
      </w:r>
    </w:p>
    <w:p w14:paraId="2BE2CCD6" w14:textId="50FF68C4"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(a)</w:t>
      </w:r>
      <w:r w:rsidRPr="00FC6A55">
        <w:rPr>
          <w:rFonts w:eastAsia="Calibri"/>
          <w:szCs w:val="24"/>
          <w:lang w:eastAsia="en-US"/>
        </w:rPr>
        <w:tab/>
      </w:r>
      <w:r w:rsidR="00895001" w:rsidRPr="00696558">
        <w:rPr>
          <w:rFonts w:eastAsia="Calibri"/>
          <w:i/>
          <w:szCs w:val="24"/>
          <w:lang w:eastAsia="en-US"/>
        </w:rPr>
        <w:t>Name of policy or measure</w:t>
      </w:r>
      <w:r w:rsidR="00895001" w:rsidRPr="00FC6A55">
        <w:rPr>
          <w:rFonts w:eastAsia="Calibri"/>
          <w:szCs w:val="24"/>
          <w:lang w:eastAsia="en-US"/>
        </w:rPr>
        <w:t>;</w:t>
      </w:r>
    </w:p>
    <w:p w14:paraId="36D905C9" w14:textId="1BE8E755"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(b)</w:t>
      </w:r>
      <w:r w:rsidRPr="00FC6A55">
        <w:rPr>
          <w:rFonts w:eastAsia="Calibri"/>
          <w:szCs w:val="24"/>
          <w:lang w:eastAsia="en-US"/>
        </w:rPr>
        <w:tab/>
      </w:r>
      <w:r w:rsidR="00895001" w:rsidRPr="00696558">
        <w:rPr>
          <w:rFonts w:eastAsia="Calibri"/>
          <w:i/>
          <w:szCs w:val="24"/>
          <w:lang w:eastAsia="en-US"/>
        </w:rPr>
        <w:t>Sector(s) affected</w:t>
      </w:r>
      <w:r w:rsidR="00895001" w:rsidRPr="00FC6A55">
        <w:rPr>
          <w:rFonts w:eastAsia="Calibri"/>
          <w:szCs w:val="24"/>
          <w:lang w:eastAsia="en-US"/>
        </w:rPr>
        <w:t>. To the extent possible, the following sectors should be used: energy, transport, industry/industrial processes and product use, agriculture, forestry/LULUCF, waste management/waste, other sectors and cross-cutting, as appropriate;</w:t>
      </w:r>
    </w:p>
    <w:p w14:paraId="3EBFB3E8" w14:textId="3B49DE7B"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(c)</w:t>
      </w:r>
      <w:r w:rsidRPr="00FC6A55">
        <w:rPr>
          <w:rFonts w:eastAsia="Calibri"/>
          <w:szCs w:val="24"/>
          <w:lang w:eastAsia="en-US"/>
        </w:rPr>
        <w:tab/>
      </w:r>
      <w:r w:rsidR="00895001" w:rsidRPr="00696558">
        <w:rPr>
          <w:rFonts w:eastAsia="Calibri"/>
          <w:i/>
          <w:szCs w:val="24"/>
          <w:lang w:eastAsia="en-US"/>
        </w:rPr>
        <w:t>The GHG(s) affected</w:t>
      </w:r>
      <w:r w:rsidR="00895001" w:rsidRPr="00FC6A55">
        <w:rPr>
          <w:rFonts w:eastAsia="Calibri"/>
          <w:szCs w:val="24"/>
          <w:lang w:eastAsia="en-US"/>
        </w:rPr>
        <w:t>;</w:t>
      </w:r>
    </w:p>
    <w:p w14:paraId="5B65947C" w14:textId="6D825027"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(d)</w:t>
      </w:r>
      <w:r w:rsidRPr="00FC6A55">
        <w:rPr>
          <w:rFonts w:eastAsia="Calibri"/>
          <w:szCs w:val="24"/>
          <w:lang w:eastAsia="en-US"/>
        </w:rPr>
        <w:tab/>
      </w:r>
      <w:r w:rsidR="00895001" w:rsidRPr="00696558">
        <w:rPr>
          <w:rFonts w:eastAsia="Calibri"/>
          <w:i/>
          <w:szCs w:val="24"/>
          <w:lang w:eastAsia="en-US"/>
        </w:rPr>
        <w:t>Objective and/or activity affected</w:t>
      </w:r>
      <w:r w:rsidR="00895001" w:rsidRPr="00FC6A55">
        <w:rPr>
          <w:rFonts w:eastAsia="Calibri"/>
          <w:szCs w:val="24"/>
          <w:lang w:eastAsia="en-US"/>
        </w:rPr>
        <w:t xml:space="preserve">. The description of the objectives should focus on the key purposes and benefits of the policy or measure, including a description of activities and/or source and sink categories affected. Objectives should be described in quantitative terms, to the extent possible;   </w:t>
      </w:r>
    </w:p>
    <w:p w14:paraId="62FE44A4" w14:textId="68FA830C"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(e)</w:t>
      </w:r>
      <w:r w:rsidRPr="00FC6A55">
        <w:rPr>
          <w:rFonts w:eastAsia="Calibri"/>
          <w:szCs w:val="24"/>
          <w:lang w:eastAsia="en-US"/>
        </w:rPr>
        <w:tab/>
      </w:r>
      <w:r w:rsidR="00895001" w:rsidRPr="00696558">
        <w:rPr>
          <w:rFonts w:eastAsia="Calibri"/>
          <w:i/>
          <w:szCs w:val="24"/>
          <w:lang w:eastAsia="en-US"/>
        </w:rPr>
        <w:t>Type of instrument</w:t>
      </w:r>
      <w:r w:rsidR="00895001" w:rsidRPr="00FC6A55">
        <w:rPr>
          <w:rFonts w:eastAsia="Calibri"/>
          <w:szCs w:val="24"/>
          <w:lang w:eastAsia="en-US"/>
        </w:rPr>
        <w:t>. To the extent possible, the following terms should be used: economic, fiscal, voluntary agreement, regulatory, information, education, research or other;</w:t>
      </w:r>
    </w:p>
    <w:p w14:paraId="4F9C417C" w14:textId="5F6962A7"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(f)</w:t>
      </w:r>
      <w:r w:rsidRPr="00FC6A55">
        <w:rPr>
          <w:rFonts w:eastAsia="Calibri"/>
          <w:szCs w:val="24"/>
          <w:lang w:eastAsia="en-US"/>
        </w:rPr>
        <w:tab/>
      </w:r>
      <w:r w:rsidR="00895001" w:rsidRPr="00696558">
        <w:rPr>
          <w:rFonts w:eastAsia="Calibri"/>
          <w:i/>
          <w:szCs w:val="24"/>
          <w:lang w:eastAsia="en-US"/>
        </w:rPr>
        <w:t>Status of implementation</w:t>
      </w:r>
      <w:r w:rsidR="00895001" w:rsidRPr="00FC6A55">
        <w:rPr>
          <w:rFonts w:eastAsia="Calibri"/>
          <w:szCs w:val="24"/>
          <w:lang w:eastAsia="en-US"/>
        </w:rPr>
        <w:t xml:space="preserve">. It should be noted whether the policy or measure is no longer in place, in the planning stage, has been adopted or is under implementation. For adopted and implemented measures, additional information may include the funds already provided, future budget allocated and the time frame for implementation; </w:t>
      </w:r>
    </w:p>
    <w:p w14:paraId="38892031" w14:textId="7BD96E4C"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(g)</w:t>
      </w:r>
      <w:r w:rsidRPr="00FC6A55">
        <w:rPr>
          <w:rFonts w:eastAsia="Calibri"/>
          <w:szCs w:val="24"/>
          <w:lang w:eastAsia="en-US"/>
        </w:rPr>
        <w:tab/>
      </w:r>
      <w:r w:rsidR="00895001" w:rsidRPr="00696558">
        <w:rPr>
          <w:rFonts w:eastAsia="Calibri"/>
          <w:i/>
          <w:szCs w:val="24"/>
          <w:lang w:eastAsia="en-US"/>
        </w:rPr>
        <w:t>Brief description of the policy or measure</w:t>
      </w:r>
      <w:r w:rsidR="00895001" w:rsidRPr="00FC6A55">
        <w:rPr>
          <w:rFonts w:eastAsia="Calibri"/>
          <w:szCs w:val="24"/>
          <w:lang w:eastAsia="en-US"/>
        </w:rPr>
        <w:t>;</w:t>
      </w:r>
    </w:p>
    <w:p w14:paraId="7FA4D216" w14:textId="2BDA96D7"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(h)</w:t>
      </w:r>
      <w:r w:rsidRPr="00FC6A55">
        <w:rPr>
          <w:rFonts w:eastAsia="Calibri"/>
          <w:szCs w:val="24"/>
          <w:lang w:eastAsia="en-US"/>
        </w:rPr>
        <w:tab/>
      </w:r>
      <w:r w:rsidR="00895001" w:rsidRPr="00696558">
        <w:rPr>
          <w:rFonts w:eastAsia="Calibri"/>
          <w:i/>
          <w:szCs w:val="24"/>
          <w:lang w:eastAsia="en-US"/>
        </w:rPr>
        <w:t>Start year of implementation</w:t>
      </w:r>
      <w:r w:rsidR="00895001" w:rsidRPr="00FC6A55">
        <w:rPr>
          <w:rFonts w:eastAsia="Calibri"/>
          <w:szCs w:val="24"/>
          <w:lang w:eastAsia="en-US"/>
        </w:rPr>
        <w:t>;</w:t>
      </w:r>
    </w:p>
    <w:p w14:paraId="711C9179" w14:textId="1A5AE39C"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(i)</w:t>
      </w:r>
      <w:r w:rsidRPr="00FC6A55">
        <w:rPr>
          <w:rFonts w:eastAsia="Calibri"/>
          <w:szCs w:val="24"/>
          <w:lang w:eastAsia="en-US"/>
        </w:rPr>
        <w:tab/>
      </w:r>
      <w:r w:rsidR="00895001" w:rsidRPr="00696558">
        <w:rPr>
          <w:rFonts w:eastAsia="Calibri"/>
          <w:i/>
          <w:szCs w:val="24"/>
          <w:lang w:eastAsia="en-US"/>
        </w:rPr>
        <w:t>Implementing entity or entities</w:t>
      </w:r>
      <w:r w:rsidR="00895001" w:rsidRPr="00FC6A55">
        <w:rPr>
          <w:rFonts w:eastAsia="Calibri"/>
          <w:szCs w:val="24"/>
          <w:lang w:eastAsia="en-US"/>
        </w:rPr>
        <w:t xml:space="preserve">. This should describe the role of national, state, provincial, regional and local governments and the involvement of any other entities; </w:t>
      </w:r>
    </w:p>
    <w:p w14:paraId="7005B5FB" w14:textId="75781217"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(j)</w:t>
      </w:r>
      <w:r w:rsidRPr="00FC6A55">
        <w:rPr>
          <w:rFonts w:eastAsia="Calibri"/>
          <w:szCs w:val="24"/>
          <w:lang w:eastAsia="en-US"/>
        </w:rPr>
        <w:tab/>
      </w:r>
      <w:r w:rsidR="00895001" w:rsidRPr="00696558">
        <w:rPr>
          <w:rFonts w:eastAsia="Calibri"/>
          <w:i/>
          <w:szCs w:val="24"/>
          <w:lang w:eastAsia="en-US"/>
        </w:rPr>
        <w:t>Estimate of mitigation impact</w:t>
      </w:r>
      <w:r w:rsidR="00895001" w:rsidRPr="00FC6A55">
        <w:rPr>
          <w:rFonts w:eastAsia="Calibri"/>
          <w:szCs w:val="24"/>
          <w:lang w:eastAsia="en-US"/>
        </w:rPr>
        <w:t xml:space="preserve"> (for a particular year, not cumulative, in kt CO2 eq).</w:t>
      </w:r>
    </w:p>
    <w:p w14:paraId="26235519" w14:textId="579B221A" w:rsidR="00895001" w:rsidRPr="00FC6A55" w:rsidRDefault="000E0429" w:rsidP="000E0429">
      <w:pPr>
        <w:pStyle w:val="RegSingleTxtG"/>
        <w:numPr>
          <w:ilvl w:val="0"/>
          <w:numId w:val="0"/>
        </w:numPr>
        <w:tabs>
          <w:tab w:val="left" w:pos="568"/>
        </w:tabs>
        <w:ind w:left="1135"/>
        <w:rPr>
          <w:lang w:eastAsia="en-US"/>
        </w:rPr>
      </w:pPr>
      <w:r w:rsidRPr="00FC6A55">
        <w:rPr>
          <w:lang w:eastAsia="en-US"/>
        </w:rPr>
        <w:t>20.</w:t>
      </w:r>
      <w:r w:rsidRPr="00FC6A55">
        <w:rPr>
          <w:lang w:eastAsia="en-US"/>
        </w:rPr>
        <w:tab/>
      </w:r>
      <w:r w:rsidR="00895001" w:rsidRPr="00FC6A55">
        <w:rPr>
          <w:lang w:eastAsia="en-US"/>
        </w:rPr>
        <w:t xml:space="preserve">In the description of each policy or measure or set of complementary measures reported, Parties shall include, as appropriate, a quantitative estimate of the impact of individual policies or measures or collections of policies and measures (if such estimation is not possible, Parties shall explain why), including estimated changes in activity levels and/or emissions and removals due to adopted and implemented policies and measures reported and a brief description of estimation methods. Estimates should be presented for a particular year, ending in either a zero or a five, following the most recent inventory year. </w:t>
      </w:r>
    </w:p>
    <w:p w14:paraId="550D5508" w14:textId="4D913B42" w:rsidR="00895001" w:rsidRPr="00FC6A55" w:rsidRDefault="000E0429" w:rsidP="000E0429">
      <w:pPr>
        <w:pStyle w:val="RegSingleTxtG"/>
        <w:numPr>
          <w:ilvl w:val="0"/>
          <w:numId w:val="0"/>
        </w:numPr>
        <w:tabs>
          <w:tab w:val="left" w:pos="568"/>
        </w:tabs>
        <w:ind w:left="1135"/>
        <w:rPr>
          <w:lang w:eastAsia="en-US"/>
        </w:rPr>
      </w:pPr>
      <w:r w:rsidRPr="00FC6A55">
        <w:rPr>
          <w:lang w:eastAsia="en-US"/>
        </w:rPr>
        <w:t>21.</w:t>
      </w:r>
      <w:r w:rsidRPr="00FC6A55">
        <w:rPr>
          <w:lang w:eastAsia="en-US"/>
        </w:rPr>
        <w:tab/>
      </w:r>
      <w:r w:rsidR="00895001" w:rsidRPr="00FC6A55">
        <w:rPr>
          <w:lang w:eastAsia="en-US"/>
        </w:rPr>
        <w:t>Parties may also provide information under the following headings for each policy or measure reported:</w:t>
      </w:r>
    </w:p>
    <w:p w14:paraId="117230F9" w14:textId="45439AAA"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(a)</w:t>
      </w:r>
      <w:r w:rsidRPr="00FC6A55">
        <w:rPr>
          <w:rFonts w:eastAsia="Calibri"/>
          <w:szCs w:val="24"/>
          <w:lang w:eastAsia="en-US"/>
        </w:rPr>
        <w:tab/>
      </w:r>
      <w:r w:rsidR="00895001" w:rsidRPr="002D0694">
        <w:rPr>
          <w:rFonts w:eastAsia="Calibri"/>
          <w:i/>
          <w:szCs w:val="24"/>
          <w:lang w:eastAsia="en-US"/>
        </w:rPr>
        <w:t>Information on costs of policy or measure</w:t>
      </w:r>
      <w:r w:rsidR="00895001" w:rsidRPr="00FC6A55">
        <w:rPr>
          <w:rFonts w:eastAsia="Calibri"/>
          <w:szCs w:val="24"/>
          <w:lang w:eastAsia="en-US"/>
        </w:rPr>
        <w:t>. Such information should be accompanied by a brief definition of the term ‘cost’ in this context;</w:t>
      </w:r>
    </w:p>
    <w:p w14:paraId="64CD79A0" w14:textId="118F65DD"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(b)</w:t>
      </w:r>
      <w:r w:rsidRPr="00FC6A55">
        <w:rPr>
          <w:rFonts w:eastAsia="Calibri"/>
          <w:szCs w:val="24"/>
          <w:lang w:eastAsia="en-US"/>
        </w:rPr>
        <w:tab/>
      </w:r>
      <w:r w:rsidR="00895001" w:rsidRPr="002D0694">
        <w:rPr>
          <w:rFonts w:eastAsia="Calibri"/>
          <w:i/>
          <w:szCs w:val="24"/>
          <w:lang w:eastAsia="en-US"/>
        </w:rPr>
        <w:t>Information on non-GHG mitigation benefits</w:t>
      </w:r>
      <w:r w:rsidR="00895001" w:rsidRPr="00FC6A55">
        <w:rPr>
          <w:rFonts w:eastAsia="Calibri"/>
          <w:szCs w:val="24"/>
          <w:lang w:eastAsia="en-US"/>
        </w:rPr>
        <w:t>. Such benefits may include, for example, reduced emissions of other pollutants, or health benefits;</w:t>
      </w:r>
    </w:p>
    <w:p w14:paraId="39BFDFAB" w14:textId="17542155" w:rsidR="00895001" w:rsidRPr="00FC6A55" w:rsidRDefault="000E0429" w:rsidP="000E0429">
      <w:pPr>
        <w:pStyle w:val="RegSingleTxtG"/>
        <w:numPr>
          <w:ilvl w:val="0"/>
          <w:numId w:val="0"/>
        </w:numPr>
        <w:tabs>
          <w:tab w:val="left" w:pos="2269"/>
        </w:tabs>
        <w:ind w:left="1135" w:firstLine="567"/>
        <w:rPr>
          <w:rFonts w:eastAsia="Calibri"/>
          <w:szCs w:val="24"/>
          <w:lang w:eastAsia="en-US"/>
        </w:rPr>
      </w:pPr>
      <w:r w:rsidRPr="00FC6A55">
        <w:rPr>
          <w:rFonts w:eastAsia="Calibri"/>
          <w:szCs w:val="24"/>
          <w:lang w:eastAsia="en-US"/>
        </w:rPr>
        <w:t>(c)</w:t>
      </w:r>
      <w:r w:rsidRPr="00FC6A55">
        <w:rPr>
          <w:rFonts w:eastAsia="Calibri"/>
          <w:szCs w:val="24"/>
          <w:lang w:eastAsia="en-US"/>
        </w:rPr>
        <w:tab/>
      </w:r>
      <w:r w:rsidR="00895001" w:rsidRPr="002D0694">
        <w:rPr>
          <w:rFonts w:eastAsia="Calibri"/>
          <w:i/>
          <w:szCs w:val="24"/>
          <w:lang w:eastAsia="en-US"/>
        </w:rPr>
        <w:t>Information on how it interacts with other policies and measures at the national level</w:t>
      </w:r>
      <w:r w:rsidR="00895001" w:rsidRPr="00FC6A55">
        <w:rPr>
          <w:rFonts w:eastAsia="Calibri"/>
          <w:szCs w:val="24"/>
          <w:lang w:eastAsia="en-US"/>
        </w:rPr>
        <w:t xml:space="preserve">. This may include a description of how policies complement each other in order to enhance overall GHG mitigation. </w:t>
      </w:r>
    </w:p>
    <w:p w14:paraId="0D6806AF" w14:textId="1144CC09" w:rsidR="00895001" w:rsidRPr="00FC6A55" w:rsidRDefault="000E0429" w:rsidP="000E0429">
      <w:pPr>
        <w:pStyle w:val="RegSingleTxtG"/>
        <w:numPr>
          <w:ilvl w:val="0"/>
          <w:numId w:val="0"/>
        </w:numPr>
        <w:tabs>
          <w:tab w:val="left" w:pos="568"/>
        </w:tabs>
        <w:ind w:left="1135"/>
        <w:rPr>
          <w:lang w:eastAsia="en-US"/>
        </w:rPr>
      </w:pPr>
      <w:r w:rsidRPr="00FC6A55">
        <w:rPr>
          <w:lang w:eastAsia="en-US"/>
        </w:rPr>
        <w:t>22.</w:t>
      </w:r>
      <w:r w:rsidRPr="00FC6A55">
        <w:rPr>
          <w:lang w:eastAsia="en-US"/>
        </w:rPr>
        <w:tab/>
      </w:r>
      <w:r w:rsidR="00895001" w:rsidRPr="00FC6A55">
        <w:rPr>
          <w:lang w:eastAsia="en-US"/>
        </w:rPr>
        <w:t>In the light of the information provided in paragraph 34 below, Parties shall provide information on how they believe their policies and measures are modifying longer-term trends in anthropogenic GHG emissions and removals consistent with the objective of the Convention.</w:t>
      </w:r>
    </w:p>
    <w:p w14:paraId="0A81AA29" w14:textId="0F537F3C" w:rsidR="00895001" w:rsidRPr="00C50202" w:rsidRDefault="000E0429" w:rsidP="000E0429">
      <w:pPr>
        <w:pStyle w:val="RegH1G"/>
        <w:numPr>
          <w:ilvl w:val="0"/>
          <w:numId w:val="0"/>
        </w:numPr>
        <w:tabs>
          <w:tab w:val="left" w:pos="1135"/>
        </w:tabs>
        <w:ind w:left="1135" w:hanging="454"/>
        <w:rPr>
          <w:lang w:eastAsia="en-US"/>
        </w:rPr>
      </w:pPr>
      <w:r w:rsidRPr="00C50202">
        <w:rPr>
          <w:lang w:eastAsia="en-US"/>
        </w:rPr>
        <w:t>E.</w:t>
      </w:r>
      <w:r w:rsidRPr="00C50202">
        <w:rPr>
          <w:lang w:eastAsia="en-US"/>
        </w:rPr>
        <w:tab/>
      </w:r>
      <w:r w:rsidR="00895001" w:rsidRPr="00C50202">
        <w:rPr>
          <w:lang w:eastAsia="en-US"/>
        </w:rPr>
        <w:t>Policies and measures no longer in place</w:t>
      </w:r>
    </w:p>
    <w:p w14:paraId="0CB8C72C" w14:textId="6A1DABC4" w:rsidR="00895001" w:rsidRPr="00170C38" w:rsidRDefault="000E0429" w:rsidP="000E0429">
      <w:pPr>
        <w:pStyle w:val="RegSingleTxtG"/>
        <w:numPr>
          <w:ilvl w:val="0"/>
          <w:numId w:val="0"/>
        </w:numPr>
        <w:tabs>
          <w:tab w:val="left" w:pos="568"/>
        </w:tabs>
        <w:ind w:left="1135"/>
        <w:rPr>
          <w:rFonts w:eastAsia="Calibri"/>
          <w:szCs w:val="24"/>
          <w:lang w:eastAsia="en-US"/>
        </w:rPr>
      </w:pPr>
      <w:r w:rsidRPr="00170C38">
        <w:rPr>
          <w:rFonts w:eastAsia="Calibri"/>
          <w:szCs w:val="24"/>
          <w:lang w:eastAsia="en-US"/>
        </w:rPr>
        <w:t>23.</w:t>
      </w:r>
      <w:r w:rsidRPr="00170C38">
        <w:rPr>
          <w:rFonts w:eastAsia="Calibri"/>
          <w:szCs w:val="24"/>
          <w:lang w:eastAsia="en-US"/>
        </w:rPr>
        <w:tab/>
      </w:r>
      <w:r w:rsidR="00895001" w:rsidRPr="00C50202">
        <w:rPr>
          <w:lang w:eastAsia="en-US"/>
        </w:rPr>
        <w:t>When policies and measures listed in previous national communications are no longer in place, Parties may explain why this is so</w:t>
      </w:r>
      <w:r w:rsidR="00895001" w:rsidRPr="00170C38">
        <w:rPr>
          <w:rFonts w:eastAsia="Calibri"/>
          <w:szCs w:val="24"/>
          <w:lang w:eastAsia="en-US"/>
        </w:rPr>
        <w:t>.</w:t>
      </w:r>
    </w:p>
    <w:p w14:paraId="27BD8E5F" w14:textId="77777777" w:rsidR="00895001" w:rsidRDefault="00895001" w:rsidP="00895001">
      <w:pPr>
        <w:sectPr w:rsidR="00895001" w:rsidSect="00DF0F3A">
          <w:headerReference w:type="default" r:id="rId20"/>
          <w:pgSz w:w="11906" w:h="16838" w:code="9"/>
          <w:pgMar w:top="1701" w:right="1134" w:bottom="2268" w:left="1134" w:header="1134" w:footer="1701" w:gutter="0"/>
          <w:cols w:space="708"/>
          <w:docGrid w:linePitch="360"/>
        </w:sectPr>
      </w:pPr>
    </w:p>
    <w:p w14:paraId="2E0B8C82" w14:textId="77777777" w:rsidR="00895001" w:rsidRPr="00170C38" w:rsidRDefault="00895001" w:rsidP="00895001">
      <w:pPr>
        <w:suppressAutoHyphens w:val="0"/>
        <w:autoSpaceDE w:val="0"/>
        <w:autoSpaceDN w:val="0"/>
        <w:adjustRightInd w:val="0"/>
        <w:spacing w:line="240" w:lineRule="auto"/>
        <w:rPr>
          <w:rFonts w:eastAsia="Times New Roman"/>
          <w:bCs/>
          <w:lang w:eastAsia="en-US"/>
        </w:rPr>
      </w:pPr>
      <w:r w:rsidRPr="00170C38">
        <w:rPr>
          <w:rFonts w:eastAsia="Times New Roman"/>
          <w:bCs/>
          <w:lang w:eastAsia="en-US"/>
        </w:rPr>
        <w:t>Table 1</w:t>
      </w:r>
    </w:p>
    <w:p w14:paraId="0C1A2156" w14:textId="77777777" w:rsidR="00895001" w:rsidRPr="00170C38" w:rsidRDefault="00895001" w:rsidP="001B2B4C">
      <w:pPr>
        <w:suppressAutoHyphens w:val="0"/>
        <w:autoSpaceDE w:val="0"/>
        <w:autoSpaceDN w:val="0"/>
        <w:adjustRightInd w:val="0"/>
        <w:spacing w:after="60" w:line="240" w:lineRule="auto"/>
        <w:rPr>
          <w:rFonts w:eastAsia="Calibri"/>
          <w:strike/>
          <w:lang w:eastAsia="en-US"/>
        </w:rPr>
      </w:pPr>
      <w:r w:rsidRPr="00170C38">
        <w:rPr>
          <w:rFonts w:eastAsia="Times New Roman"/>
          <w:b/>
          <w:bCs/>
          <w:lang w:eastAsia="en-US"/>
        </w:rPr>
        <w:t xml:space="preserve">Summary of policies and measures by sector </w:t>
      </w:r>
    </w:p>
    <w:tbl>
      <w:tblPr>
        <w:tblW w:w="12361" w:type="dxa"/>
        <w:tblLayout w:type="fixed"/>
        <w:tblLook w:val="04A0" w:firstRow="1" w:lastRow="0" w:firstColumn="1" w:lastColumn="0" w:noHBand="0" w:noVBand="1"/>
      </w:tblPr>
      <w:tblGrid>
        <w:gridCol w:w="1051"/>
        <w:gridCol w:w="269"/>
        <w:gridCol w:w="961"/>
        <w:gridCol w:w="884"/>
        <w:gridCol w:w="1038"/>
        <w:gridCol w:w="1063"/>
        <w:gridCol w:w="1426"/>
        <w:gridCol w:w="1116"/>
        <w:gridCol w:w="1315"/>
        <w:gridCol w:w="1194"/>
        <w:gridCol w:w="778"/>
        <w:gridCol w:w="1266"/>
      </w:tblGrid>
      <w:tr w:rsidR="00895001" w:rsidRPr="00242C92" w14:paraId="32EC53C2" w14:textId="77777777" w:rsidTr="001B2B4C">
        <w:trPr>
          <w:trHeight w:val="915"/>
        </w:trPr>
        <w:tc>
          <w:tcPr>
            <w:tcW w:w="1320" w:type="dxa"/>
            <w:gridSpan w:val="2"/>
            <w:vMerge w:val="restart"/>
            <w:tcBorders>
              <w:top w:val="single" w:sz="8" w:space="0" w:color="auto"/>
              <w:bottom w:val="single" w:sz="4" w:space="0" w:color="auto"/>
            </w:tcBorders>
            <w:shd w:val="clear" w:color="auto" w:fill="auto"/>
            <w:vAlign w:val="center"/>
            <w:hideMark/>
          </w:tcPr>
          <w:p w14:paraId="278AC32F" w14:textId="77777777" w:rsidR="00895001" w:rsidRPr="00242C92" w:rsidRDefault="00895001" w:rsidP="006D4A81">
            <w:pPr>
              <w:suppressAutoHyphens w:val="0"/>
              <w:spacing w:line="240" w:lineRule="auto"/>
              <w:rPr>
                <w:rFonts w:eastAsia="Times New Roman"/>
                <w:i/>
                <w:iCs/>
                <w:color w:val="000000"/>
                <w:sz w:val="16"/>
                <w:szCs w:val="16"/>
                <w:lang w:eastAsia="en-US"/>
              </w:rPr>
            </w:pPr>
            <w:r w:rsidRPr="00242C92">
              <w:rPr>
                <w:rFonts w:eastAsia="Times New Roman"/>
                <w:i/>
                <w:iCs/>
                <w:sz w:val="16"/>
                <w:szCs w:val="16"/>
                <w:lang w:eastAsia="en-US"/>
              </w:rPr>
              <w:t>Name of policy or measure</w:t>
            </w:r>
            <w:r w:rsidRPr="00242C92">
              <w:rPr>
                <w:rFonts w:eastAsia="Times New Roman"/>
                <w:i/>
                <w:iCs/>
                <w:sz w:val="16"/>
                <w:szCs w:val="16"/>
                <w:vertAlign w:val="superscript"/>
                <w:lang w:eastAsia="en-US"/>
              </w:rPr>
              <w:t>a</w:t>
            </w:r>
          </w:p>
        </w:tc>
        <w:tc>
          <w:tcPr>
            <w:tcW w:w="961" w:type="dxa"/>
            <w:vMerge w:val="restart"/>
            <w:tcBorders>
              <w:top w:val="single" w:sz="8" w:space="0" w:color="auto"/>
              <w:bottom w:val="single" w:sz="4" w:space="0" w:color="auto"/>
            </w:tcBorders>
            <w:shd w:val="clear" w:color="auto" w:fill="auto"/>
            <w:vAlign w:val="center"/>
            <w:hideMark/>
          </w:tcPr>
          <w:p w14:paraId="116EAE5B"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Sector(s) affected</w:t>
            </w:r>
            <w:r w:rsidRPr="00242C92">
              <w:rPr>
                <w:rFonts w:eastAsia="Times New Roman"/>
                <w:i/>
                <w:iCs/>
                <w:color w:val="000000"/>
                <w:sz w:val="16"/>
                <w:szCs w:val="16"/>
                <w:vertAlign w:val="superscript"/>
                <w:lang w:eastAsia="en-US"/>
              </w:rPr>
              <w:t>b</w:t>
            </w:r>
          </w:p>
        </w:tc>
        <w:tc>
          <w:tcPr>
            <w:tcW w:w="884" w:type="dxa"/>
            <w:vMerge w:val="restart"/>
            <w:tcBorders>
              <w:top w:val="single" w:sz="8" w:space="0" w:color="auto"/>
              <w:bottom w:val="single" w:sz="4" w:space="0" w:color="auto"/>
            </w:tcBorders>
            <w:shd w:val="clear" w:color="auto" w:fill="auto"/>
            <w:vAlign w:val="center"/>
            <w:hideMark/>
          </w:tcPr>
          <w:p w14:paraId="5E238916"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GHG(s) affected</w:t>
            </w:r>
          </w:p>
        </w:tc>
        <w:tc>
          <w:tcPr>
            <w:tcW w:w="1038" w:type="dxa"/>
            <w:vMerge w:val="restart"/>
            <w:tcBorders>
              <w:top w:val="single" w:sz="8" w:space="0" w:color="auto"/>
              <w:bottom w:val="single" w:sz="4" w:space="0" w:color="auto"/>
            </w:tcBorders>
            <w:shd w:val="clear" w:color="auto" w:fill="auto"/>
            <w:vAlign w:val="center"/>
            <w:hideMark/>
          </w:tcPr>
          <w:p w14:paraId="144EFB65"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Objective and/or activity affected</w:t>
            </w:r>
          </w:p>
        </w:tc>
        <w:tc>
          <w:tcPr>
            <w:tcW w:w="1063" w:type="dxa"/>
            <w:vMerge w:val="restart"/>
            <w:tcBorders>
              <w:top w:val="single" w:sz="8" w:space="0" w:color="auto"/>
              <w:bottom w:val="single" w:sz="4" w:space="0" w:color="auto"/>
            </w:tcBorders>
            <w:shd w:val="clear" w:color="auto" w:fill="auto"/>
            <w:vAlign w:val="center"/>
            <w:hideMark/>
          </w:tcPr>
          <w:p w14:paraId="350F0279"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Type of instrument</w:t>
            </w:r>
            <w:r w:rsidRPr="00242C92">
              <w:rPr>
                <w:rFonts w:eastAsia="Times New Roman"/>
                <w:i/>
                <w:iCs/>
                <w:color w:val="000000"/>
                <w:sz w:val="16"/>
                <w:szCs w:val="16"/>
                <w:vertAlign w:val="superscript"/>
                <w:lang w:eastAsia="en-US"/>
              </w:rPr>
              <w:t>c</w:t>
            </w:r>
          </w:p>
        </w:tc>
        <w:tc>
          <w:tcPr>
            <w:tcW w:w="1426" w:type="dxa"/>
            <w:vMerge w:val="restart"/>
            <w:tcBorders>
              <w:top w:val="single" w:sz="8" w:space="0" w:color="auto"/>
              <w:bottom w:val="single" w:sz="4" w:space="0" w:color="auto"/>
            </w:tcBorders>
            <w:shd w:val="clear" w:color="auto" w:fill="auto"/>
            <w:vAlign w:val="center"/>
            <w:hideMark/>
          </w:tcPr>
          <w:p w14:paraId="1BDE98F4"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Status of implementation</w:t>
            </w:r>
            <w:r w:rsidRPr="00242C92">
              <w:rPr>
                <w:rFonts w:eastAsia="Times New Roman"/>
                <w:i/>
                <w:iCs/>
                <w:color w:val="000000"/>
                <w:sz w:val="16"/>
                <w:szCs w:val="16"/>
                <w:vertAlign w:val="superscript"/>
                <w:lang w:eastAsia="en-US"/>
              </w:rPr>
              <w:t>d</w:t>
            </w:r>
          </w:p>
        </w:tc>
        <w:tc>
          <w:tcPr>
            <w:tcW w:w="1116" w:type="dxa"/>
            <w:vMerge w:val="restart"/>
            <w:tcBorders>
              <w:top w:val="single" w:sz="8" w:space="0" w:color="auto"/>
              <w:bottom w:val="single" w:sz="4" w:space="0" w:color="auto"/>
            </w:tcBorders>
            <w:shd w:val="clear" w:color="auto" w:fill="auto"/>
            <w:vAlign w:val="center"/>
            <w:hideMark/>
          </w:tcPr>
          <w:p w14:paraId="459E7692"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Brief description</w:t>
            </w:r>
            <w:r w:rsidRPr="00242C92">
              <w:rPr>
                <w:rFonts w:eastAsia="Times New Roman"/>
                <w:i/>
                <w:iCs/>
                <w:color w:val="000000"/>
                <w:sz w:val="16"/>
                <w:szCs w:val="16"/>
                <w:vertAlign w:val="superscript"/>
                <w:lang w:eastAsia="en-US"/>
              </w:rPr>
              <w:t>e</w:t>
            </w:r>
          </w:p>
        </w:tc>
        <w:tc>
          <w:tcPr>
            <w:tcW w:w="1315" w:type="dxa"/>
            <w:vMerge w:val="restart"/>
            <w:tcBorders>
              <w:top w:val="single" w:sz="8" w:space="0" w:color="auto"/>
              <w:bottom w:val="single" w:sz="4" w:space="0" w:color="auto"/>
            </w:tcBorders>
            <w:shd w:val="clear" w:color="auto" w:fill="auto"/>
            <w:vAlign w:val="center"/>
            <w:hideMark/>
          </w:tcPr>
          <w:p w14:paraId="6B37A623"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Start year of implementation</w:t>
            </w:r>
          </w:p>
        </w:tc>
        <w:tc>
          <w:tcPr>
            <w:tcW w:w="1194" w:type="dxa"/>
            <w:vMerge w:val="restart"/>
            <w:tcBorders>
              <w:top w:val="single" w:sz="8" w:space="0" w:color="auto"/>
              <w:bottom w:val="single" w:sz="4" w:space="0" w:color="auto"/>
            </w:tcBorders>
            <w:shd w:val="clear" w:color="auto" w:fill="auto"/>
            <w:vAlign w:val="center"/>
            <w:hideMark/>
          </w:tcPr>
          <w:p w14:paraId="50ED8A85"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Implementing entity or entities</w:t>
            </w:r>
          </w:p>
        </w:tc>
        <w:tc>
          <w:tcPr>
            <w:tcW w:w="2044" w:type="dxa"/>
            <w:gridSpan w:val="2"/>
            <w:tcBorders>
              <w:top w:val="single" w:sz="8" w:space="0" w:color="auto"/>
              <w:bottom w:val="single" w:sz="4" w:space="0" w:color="auto"/>
            </w:tcBorders>
            <w:shd w:val="clear" w:color="auto" w:fill="auto"/>
            <w:vAlign w:val="center"/>
            <w:hideMark/>
          </w:tcPr>
          <w:p w14:paraId="43E7E942" w14:textId="77777777" w:rsidR="00895001" w:rsidRPr="00242C92" w:rsidRDefault="00895001" w:rsidP="006D4A81">
            <w:pPr>
              <w:suppressAutoHyphens w:val="0"/>
              <w:spacing w:line="240" w:lineRule="auto"/>
              <w:jc w:val="center"/>
              <w:rPr>
                <w:rFonts w:eastAsia="Times New Roman"/>
                <w:i/>
                <w:iCs/>
                <w:color w:val="000000"/>
                <w:sz w:val="16"/>
                <w:szCs w:val="16"/>
                <w:lang w:eastAsia="en-US"/>
              </w:rPr>
            </w:pPr>
            <w:r w:rsidRPr="00242C92">
              <w:rPr>
                <w:rFonts w:eastAsia="Times New Roman"/>
                <w:i/>
                <w:iCs/>
                <w:color w:val="000000"/>
                <w:sz w:val="16"/>
                <w:szCs w:val="16"/>
                <w:lang w:eastAsia="en-US"/>
              </w:rPr>
              <w:t>Estimate of mitigation impact (not cumulative, in kt CO</w:t>
            </w:r>
            <w:r w:rsidRPr="00242C92">
              <w:rPr>
                <w:rFonts w:eastAsia="Times New Roman"/>
                <w:i/>
                <w:iCs/>
                <w:color w:val="000000"/>
                <w:sz w:val="16"/>
                <w:szCs w:val="16"/>
                <w:vertAlign w:val="subscript"/>
                <w:lang w:eastAsia="en-US"/>
              </w:rPr>
              <w:t>2</w:t>
            </w:r>
            <w:r w:rsidRPr="00242C92">
              <w:rPr>
                <w:rFonts w:eastAsia="Times New Roman"/>
                <w:i/>
                <w:iCs/>
                <w:color w:val="000000"/>
                <w:sz w:val="16"/>
                <w:szCs w:val="16"/>
                <w:lang w:eastAsia="en-US"/>
              </w:rPr>
              <w:t xml:space="preserve"> eq)</w:t>
            </w:r>
          </w:p>
        </w:tc>
      </w:tr>
      <w:tr w:rsidR="00895001" w:rsidRPr="00242C92" w14:paraId="22A3B44E" w14:textId="77777777" w:rsidTr="001B2B4C">
        <w:trPr>
          <w:trHeight w:val="255"/>
        </w:trPr>
        <w:tc>
          <w:tcPr>
            <w:tcW w:w="1320" w:type="dxa"/>
            <w:gridSpan w:val="2"/>
            <w:vMerge/>
            <w:tcBorders>
              <w:top w:val="single" w:sz="4" w:space="0" w:color="auto"/>
              <w:bottom w:val="single" w:sz="12" w:space="0" w:color="auto"/>
            </w:tcBorders>
            <w:vAlign w:val="center"/>
            <w:hideMark/>
          </w:tcPr>
          <w:p w14:paraId="2F55F798" w14:textId="77777777" w:rsidR="00895001" w:rsidRPr="00242C92" w:rsidRDefault="00895001" w:rsidP="006D4A81">
            <w:pPr>
              <w:suppressAutoHyphens w:val="0"/>
              <w:spacing w:line="240" w:lineRule="auto"/>
              <w:rPr>
                <w:rFonts w:eastAsia="Times New Roman"/>
                <w:i/>
                <w:iCs/>
                <w:sz w:val="16"/>
                <w:szCs w:val="16"/>
                <w:lang w:eastAsia="en-US"/>
              </w:rPr>
            </w:pPr>
          </w:p>
        </w:tc>
        <w:tc>
          <w:tcPr>
            <w:tcW w:w="961" w:type="dxa"/>
            <w:vMerge/>
            <w:tcBorders>
              <w:top w:val="single" w:sz="4" w:space="0" w:color="auto"/>
              <w:bottom w:val="single" w:sz="12" w:space="0" w:color="auto"/>
            </w:tcBorders>
            <w:vAlign w:val="center"/>
            <w:hideMark/>
          </w:tcPr>
          <w:p w14:paraId="10084BF4" w14:textId="77777777" w:rsidR="00895001" w:rsidRPr="00242C92" w:rsidRDefault="00895001" w:rsidP="006D4A81">
            <w:pPr>
              <w:suppressAutoHyphens w:val="0"/>
              <w:spacing w:line="240" w:lineRule="auto"/>
              <w:rPr>
                <w:rFonts w:eastAsia="Times New Roman"/>
                <w:i/>
                <w:iCs/>
                <w:sz w:val="16"/>
                <w:szCs w:val="16"/>
                <w:lang w:eastAsia="en-US"/>
              </w:rPr>
            </w:pPr>
          </w:p>
        </w:tc>
        <w:tc>
          <w:tcPr>
            <w:tcW w:w="884" w:type="dxa"/>
            <w:vMerge/>
            <w:tcBorders>
              <w:top w:val="single" w:sz="4" w:space="0" w:color="auto"/>
              <w:bottom w:val="single" w:sz="12" w:space="0" w:color="auto"/>
            </w:tcBorders>
            <w:vAlign w:val="center"/>
            <w:hideMark/>
          </w:tcPr>
          <w:p w14:paraId="295678EE" w14:textId="77777777" w:rsidR="00895001" w:rsidRPr="00242C92" w:rsidRDefault="00895001" w:rsidP="006D4A81">
            <w:pPr>
              <w:suppressAutoHyphens w:val="0"/>
              <w:spacing w:line="240" w:lineRule="auto"/>
              <w:rPr>
                <w:rFonts w:eastAsia="Times New Roman"/>
                <w:i/>
                <w:iCs/>
                <w:sz w:val="16"/>
                <w:szCs w:val="16"/>
                <w:lang w:eastAsia="en-US"/>
              </w:rPr>
            </w:pPr>
          </w:p>
        </w:tc>
        <w:tc>
          <w:tcPr>
            <w:tcW w:w="1038" w:type="dxa"/>
            <w:vMerge/>
            <w:tcBorders>
              <w:top w:val="single" w:sz="4" w:space="0" w:color="auto"/>
              <w:bottom w:val="single" w:sz="12" w:space="0" w:color="auto"/>
            </w:tcBorders>
            <w:vAlign w:val="center"/>
            <w:hideMark/>
          </w:tcPr>
          <w:p w14:paraId="7569F928" w14:textId="77777777" w:rsidR="00895001" w:rsidRPr="00242C92" w:rsidRDefault="00895001" w:rsidP="006D4A81">
            <w:pPr>
              <w:suppressAutoHyphens w:val="0"/>
              <w:spacing w:line="240" w:lineRule="auto"/>
              <w:rPr>
                <w:rFonts w:eastAsia="Times New Roman"/>
                <w:i/>
                <w:iCs/>
                <w:sz w:val="16"/>
                <w:szCs w:val="16"/>
                <w:lang w:eastAsia="en-US"/>
              </w:rPr>
            </w:pPr>
          </w:p>
        </w:tc>
        <w:tc>
          <w:tcPr>
            <w:tcW w:w="1063" w:type="dxa"/>
            <w:vMerge/>
            <w:tcBorders>
              <w:top w:val="single" w:sz="4" w:space="0" w:color="auto"/>
              <w:bottom w:val="single" w:sz="12" w:space="0" w:color="auto"/>
            </w:tcBorders>
            <w:vAlign w:val="center"/>
            <w:hideMark/>
          </w:tcPr>
          <w:p w14:paraId="7D88644B" w14:textId="77777777" w:rsidR="00895001" w:rsidRPr="00242C92" w:rsidRDefault="00895001" w:rsidP="006D4A81">
            <w:pPr>
              <w:suppressAutoHyphens w:val="0"/>
              <w:spacing w:line="240" w:lineRule="auto"/>
              <w:rPr>
                <w:rFonts w:eastAsia="Times New Roman"/>
                <w:i/>
                <w:iCs/>
                <w:sz w:val="16"/>
                <w:szCs w:val="16"/>
                <w:lang w:eastAsia="en-US"/>
              </w:rPr>
            </w:pPr>
          </w:p>
        </w:tc>
        <w:tc>
          <w:tcPr>
            <w:tcW w:w="1426" w:type="dxa"/>
            <w:vMerge/>
            <w:tcBorders>
              <w:top w:val="single" w:sz="4" w:space="0" w:color="auto"/>
              <w:bottom w:val="single" w:sz="12" w:space="0" w:color="auto"/>
            </w:tcBorders>
            <w:vAlign w:val="center"/>
            <w:hideMark/>
          </w:tcPr>
          <w:p w14:paraId="747C9FAF" w14:textId="77777777" w:rsidR="00895001" w:rsidRPr="00242C92" w:rsidRDefault="00895001" w:rsidP="006D4A81">
            <w:pPr>
              <w:suppressAutoHyphens w:val="0"/>
              <w:spacing w:line="240" w:lineRule="auto"/>
              <w:rPr>
                <w:rFonts w:eastAsia="Times New Roman"/>
                <w:i/>
                <w:iCs/>
                <w:sz w:val="16"/>
                <w:szCs w:val="16"/>
                <w:lang w:eastAsia="en-US"/>
              </w:rPr>
            </w:pPr>
          </w:p>
        </w:tc>
        <w:tc>
          <w:tcPr>
            <w:tcW w:w="1116" w:type="dxa"/>
            <w:vMerge/>
            <w:tcBorders>
              <w:top w:val="single" w:sz="4" w:space="0" w:color="auto"/>
              <w:bottom w:val="single" w:sz="12" w:space="0" w:color="auto"/>
            </w:tcBorders>
            <w:vAlign w:val="center"/>
            <w:hideMark/>
          </w:tcPr>
          <w:p w14:paraId="6C06E1F3" w14:textId="77777777" w:rsidR="00895001" w:rsidRPr="00242C92" w:rsidRDefault="00895001" w:rsidP="006D4A81">
            <w:pPr>
              <w:suppressAutoHyphens w:val="0"/>
              <w:spacing w:line="240" w:lineRule="auto"/>
              <w:rPr>
                <w:rFonts w:eastAsia="Times New Roman"/>
                <w:i/>
                <w:iCs/>
                <w:sz w:val="16"/>
                <w:szCs w:val="16"/>
                <w:lang w:eastAsia="en-US"/>
              </w:rPr>
            </w:pPr>
          </w:p>
        </w:tc>
        <w:tc>
          <w:tcPr>
            <w:tcW w:w="1315" w:type="dxa"/>
            <w:vMerge/>
            <w:tcBorders>
              <w:top w:val="single" w:sz="4" w:space="0" w:color="auto"/>
              <w:bottom w:val="single" w:sz="12" w:space="0" w:color="auto"/>
            </w:tcBorders>
            <w:vAlign w:val="center"/>
            <w:hideMark/>
          </w:tcPr>
          <w:p w14:paraId="5F171E56" w14:textId="77777777" w:rsidR="00895001" w:rsidRPr="00242C92" w:rsidRDefault="00895001" w:rsidP="006D4A81">
            <w:pPr>
              <w:suppressAutoHyphens w:val="0"/>
              <w:spacing w:line="240" w:lineRule="auto"/>
              <w:rPr>
                <w:rFonts w:eastAsia="Times New Roman"/>
                <w:i/>
                <w:iCs/>
                <w:sz w:val="16"/>
                <w:szCs w:val="16"/>
                <w:lang w:eastAsia="en-US"/>
              </w:rPr>
            </w:pPr>
          </w:p>
        </w:tc>
        <w:tc>
          <w:tcPr>
            <w:tcW w:w="1194" w:type="dxa"/>
            <w:vMerge/>
            <w:tcBorders>
              <w:top w:val="single" w:sz="4" w:space="0" w:color="auto"/>
              <w:bottom w:val="single" w:sz="12" w:space="0" w:color="auto"/>
            </w:tcBorders>
            <w:vAlign w:val="center"/>
            <w:hideMark/>
          </w:tcPr>
          <w:p w14:paraId="14F3BB36" w14:textId="77777777" w:rsidR="00895001" w:rsidRPr="00242C92" w:rsidRDefault="00895001" w:rsidP="006D4A81">
            <w:pPr>
              <w:suppressAutoHyphens w:val="0"/>
              <w:spacing w:line="240" w:lineRule="auto"/>
              <w:rPr>
                <w:rFonts w:eastAsia="Times New Roman"/>
                <w:i/>
                <w:iCs/>
                <w:sz w:val="16"/>
                <w:szCs w:val="16"/>
                <w:lang w:eastAsia="en-US"/>
              </w:rPr>
            </w:pPr>
          </w:p>
        </w:tc>
        <w:tc>
          <w:tcPr>
            <w:tcW w:w="778" w:type="dxa"/>
            <w:tcBorders>
              <w:top w:val="nil"/>
              <w:bottom w:val="single" w:sz="12" w:space="0" w:color="auto"/>
            </w:tcBorders>
            <w:shd w:val="clear" w:color="auto" w:fill="auto"/>
            <w:vAlign w:val="center"/>
            <w:hideMark/>
          </w:tcPr>
          <w:p w14:paraId="6561C4A8" w14:textId="77777777" w:rsidR="00895001" w:rsidRPr="00242C92" w:rsidRDefault="00895001" w:rsidP="006D4A81">
            <w:pPr>
              <w:suppressAutoHyphens w:val="0"/>
              <w:spacing w:line="240" w:lineRule="auto"/>
              <w:jc w:val="center"/>
              <w:rPr>
                <w:rFonts w:eastAsia="Times New Roman"/>
                <w:i/>
                <w:iCs/>
                <w:sz w:val="16"/>
                <w:szCs w:val="16"/>
                <w:lang w:eastAsia="en-US"/>
              </w:rPr>
            </w:pPr>
            <w:r w:rsidRPr="00242C92">
              <w:rPr>
                <w:rFonts w:eastAsia="Times New Roman"/>
                <w:i/>
                <w:iCs/>
                <w:sz w:val="16"/>
                <w:szCs w:val="16"/>
                <w:lang w:eastAsia="en-US"/>
              </w:rPr>
              <w:t>20XX</w:t>
            </w:r>
            <w:r w:rsidRPr="00242C92">
              <w:rPr>
                <w:rFonts w:eastAsia="Times New Roman"/>
                <w:i/>
                <w:iCs/>
                <w:sz w:val="16"/>
                <w:szCs w:val="16"/>
                <w:vertAlign w:val="superscript"/>
                <w:lang w:eastAsia="en-US"/>
              </w:rPr>
              <w:t>f</w:t>
            </w:r>
          </w:p>
        </w:tc>
        <w:tc>
          <w:tcPr>
            <w:tcW w:w="1266" w:type="dxa"/>
            <w:tcBorders>
              <w:top w:val="nil"/>
              <w:bottom w:val="single" w:sz="12" w:space="0" w:color="auto"/>
            </w:tcBorders>
            <w:shd w:val="clear" w:color="auto" w:fill="auto"/>
            <w:vAlign w:val="center"/>
            <w:hideMark/>
          </w:tcPr>
          <w:p w14:paraId="72C24A27" w14:textId="77777777" w:rsidR="00895001" w:rsidRPr="00242C92" w:rsidRDefault="00895001" w:rsidP="006D4A81">
            <w:pPr>
              <w:suppressAutoHyphens w:val="0"/>
              <w:spacing w:line="240" w:lineRule="auto"/>
              <w:jc w:val="center"/>
              <w:rPr>
                <w:rFonts w:eastAsia="Times New Roman"/>
                <w:i/>
                <w:iCs/>
                <w:sz w:val="16"/>
                <w:szCs w:val="16"/>
                <w:lang w:eastAsia="en-US"/>
              </w:rPr>
            </w:pPr>
            <w:r w:rsidRPr="00242C92">
              <w:rPr>
                <w:rFonts w:eastAsia="Times New Roman"/>
                <w:i/>
                <w:iCs/>
                <w:sz w:val="16"/>
                <w:szCs w:val="16"/>
                <w:lang w:eastAsia="en-US"/>
              </w:rPr>
              <w:t>2020</w:t>
            </w:r>
          </w:p>
        </w:tc>
      </w:tr>
      <w:tr w:rsidR="00895001" w:rsidRPr="00F071DA" w14:paraId="56640E4E" w14:textId="77777777" w:rsidTr="001B2B4C">
        <w:trPr>
          <w:trHeight w:val="240"/>
        </w:trPr>
        <w:tc>
          <w:tcPr>
            <w:tcW w:w="1051" w:type="dxa"/>
            <w:tcBorders>
              <w:top w:val="single" w:sz="12" w:space="0" w:color="auto"/>
            </w:tcBorders>
            <w:shd w:val="clear" w:color="auto" w:fill="auto"/>
            <w:hideMark/>
          </w:tcPr>
          <w:p w14:paraId="7D48CAA8"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xml:space="preserve"> </w:t>
            </w:r>
          </w:p>
        </w:tc>
        <w:tc>
          <w:tcPr>
            <w:tcW w:w="269" w:type="dxa"/>
            <w:tcBorders>
              <w:top w:val="single" w:sz="12" w:space="0" w:color="auto"/>
            </w:tcBorders>
            <w:shd w:val="clear" w:color="auto" w:fill="auto"/>
            <w:hideMark/>
          </w:tcPr>
          <w:p w14:paraId="6C938351"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961" w:type="dxa"/>
            <w:tcBorders>
              <w:top w:val="single" w:sz="12" w:space="0" w:color="auto"/>
            </w:tcBorders>
            <w:shd w:val="clear" w:color="auto" w:fill="auto"/>
            <w:hideMark/>
          </w:tcPr>
          <w:p w14:paraId="7221B707"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884" w:type="dxa"/>
            <w:tcBorders>
              <w:top w:val="single" w:sz="12" w:space="0" w:color="auto"/>
            </w:tcBorders>
            <w:shd w:val="clear" w:color="auto" w:fill="auto"/>
            <w:hideMark/>
          </w:tcPr>
          <w:p w14:paraId="12778A72"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38" w:type="dxa"/>
            <w:tcBorders>
              <w:top w:val="single" w:sz="12" w:space="0" w:color="auto"/>
            </w:tcBorders>
            <w:shd w:val="clear" w:color="auto" w:fill="auto"/>
            <w:hideMark/>
          </w:tcPr>
          <w:p w14:paraId="0F06F77B"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63" w:type="dxa"/>
            <w:tcBorders>
              <w:top w:val="single" w:sz="12" w:space="0" w:color="auto"/>
            </w:tcBorders>
            <w:shd w:val="clear" w:color="auto" w:fill="auto"/>
            <w:hideMark/>
          </w:tcPr>
          <w:p w14:paraId="1950E8C7"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426" w:type="dxa"/>
            <w:tcBorders>
              <w:top w:val="single" w:sz="12" w:space="0" w:color="auto"/>
            </w:tcBorders>
            <w:shd w:val="clear" w:color="auto" w:fill="auto"/>
            <w:hideMark/>
          </w:tcPr>
          <w:p w14:paraId="4FFECB85"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16" w:type="dxa"/>
            <w:tcBorders>
              <w:top w:val="single" w:sz="12" w:space="0" w:color="auto"/>
            </w:tcBorders>
            <w:shd w:val="clear" w:color="auto" w:fill="auto"/>
            <w:hideMark/>
          </w:tcPr>
          <w:p w14:paraId="7CD2941D" w14:textId="77777777" w:rsidR="00895001" w:rsidRDefault="00895001" w:rsidP="006D4A81">
            <w:pPr>
              <w:suppressAutoHyphens w:val="0"/>
              <w:spacing w:line="240" w:lineRule="auto"/>
              <w:jc w:val="right"/>
              <w:rPr>
                <w:rFonts w:eastAsia="Times New Roman"/>
                <w:color w:val="000000"/>
                <w:sz w:val="18"/>
                <w:szCs w:val="18"/>
                <w:lang w:eastAsia="en-US"/>
              </w:rPr>
            </w:pPr>
          </w:p>
          <w:p w14:paraId="358924D5" w14:textId="77777777" w:rsidR="00895001" w:rsidRDefault="00895001" w:rsidP="006D4A81">
            <w:pPr>
              <w:suppressAutoHyphens w:val="0"/>
              <w:spacing w:line="240" w:lineRule="auto"/>
              <w:jc w:val="right"/>
              <w:rPr>
                <w:rFonts w:eastAsia="Times New Roman"/>
                <w:color w:val="000000"/>
                <w:sz w:val="18"/>
                <w:szCs w:val="18"/>
                <w:lang w:eastAsia="en-US"/>
              </w:rPr>
            </w:pPr>
          </w:p>
          <w:p w14:paraId="6956C270" w14:textId="77777777" w:rsidR="00895001" w:rsidRDefault="00895001" w:rsidP="006D4A81">
            <w:pPr>
              <w:suppressAutoHyphens w:val="0"/>
              <w:spacing w:line="240" w:lineRule="auto"/>
              <w:jc w:val="right"/>
              <w:rPr>
                <w:rFonts w:eastAsia="Times New Roman"/>
                <w:color w:val="000000"/>
                <w:sz w:val="18"/>
                <w:szCs w:val="18"/>
                <w:lang w:eastAsia="en-US"/>
              </w:rPr>
            </w:pPr>
          </w:p>
          <w:p w14:paraId="406E3255" w14:textId="77777777" w:rsidR="00895001" w:rsidRDefault="00895001" w:rsidP="006D4A81">
            <w:pPr>
              <w:suppressAutoHyphens w:val="0"/>
              <w:spacing w:line="240" w:lineRule="auto"/>
              <w:jc w:val="right"/>
              <w:rPr>
                <w:rFonts w:eastAsia="Times New Roman"/>
                <w:color w:val="000000"/>
                <w:sz w:val="18"/>
                <w:szCs w:val="18"/>
                <w:lang w:eastAsia="en-US"/>
              </w:rPr>
            </w:pPr>
          </w:p>
          <w:p w14:paraId="5E8DB314" w14:textId="77777777" w:rsidR="00895001" w:rsidRDefault="00895001" w:rsidP="006D4A81">
            <w:pPr>
              <w:suppressAutoHyphens w:val="0"/>
              <w:spacing w:line="240" w:lineRule="auto"/>
              <w:jc w:val="right"/>
              <w:rPr>
                <w:rFonts w:eastAsia="Times New Roman"/>
                <w:color w:val="000000"/>
                <w:sz w:val="18"/>
                <w:szCs w:val="18"/>
                <w:lang w:eastAsia="en-US"/>
              </w:rPr>
            </w:pPr>
          </w:p>
          <w:p w14:paraId="7D1BFC0D"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315" w:type="dxa"/>
            <w:tcBorders>
              <w:top w:val="single" w:sz="12" w:space="0" w:color="auto"/>
            </w:tcBorders>
            <w:shd w:val="clear" w:color="auto" w:fill="auto"/>
            <w:hideMark/>
          </w:tcPr>
          <w:p w14:paraId="35A16D3E"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94" w:type="dxa"/>
            <w:tcBorders>
              <w:top w:val="single" w:sz="12" w:space="0" w:color="auto"/>
            </w:tcBorders>
            <w:shd w:val="clear" w:color="auto" w:fill="auto"/>
            <w:hideMark/>
          </w:tcPr>
          <w:p w14:paraId="0CE8BA5E" w14:textId="77777777" w:rsidR="00895001" w:rsidRPr="00B85A93" w:rsidRDefault="00895001" w:rsidP="006D4A81">
            <w:pPr>
              <w:suppressAutoHyphens w:val="0"/>
              <w:spacing w:line="240" w:lineRule="auto"/>
              <w:jc w:val="right"/>
              <w:rPr>
                <w:rFonts w:eastAsia="Times New Roman"/>
                <w:color w:val="000000"/>
                <w:sz w:val="18"/>
                <w:szCs w:val="18"/>
                <w:lang w:eastAsia="en-US"/>
              </w:rPr>
            </w:pPr>
            <w:r w:rsidRPr="00B85A93">
              <w:rPr>
                <w:rFonts w:eastAsia="Times New Roman"/>
                <w:color w:val="000000"/>
                <w:sz w:val="18"/>
                <w:szCs w:val="18"/>
                <w:lang w:eastAsia="en-US"/>
              </w:rPr>
              <w:t> </w:t>
            </w:r>
          </w:p>
        </w:tc>
        <w:tc>
          <w:tcPr>
            <w:tcW w:w="778" w:type="dxa"/>
            <w:tcBorders>
              <w:top w:val="single" w:sz="12" w:space="0" w:color="auto"/>
            </w:tcBorders>
            <w:shd w:val="clear" w:color="auto" w:fill="auto"/>
            <w:hideMark/>
          </w:tcPr>
          <w:p w14:paraId="57426FA1" w14:textId="77777777" w:rsidR="00895001" w:rsidRPr="00B85A93" w:rsidRDefault="00895001" w:rsidP="006D4A81">
            <w:pPr>
              <w:suppressAutoHyphens w:val="0"/>
              <w:spacing w:line="240" w:lineRule="auto"/>
              <w:jc w:val="right"/>
              <w:rPr>
                <w:rFonts w:eastAsia="Times New Roman"/>
                <w:color w:val="000000"/>
                <w:sz w:val="18"/>
                <w:szCs w:val="18"/>
                <w:lang w:eastAsia="en-US"/>
              </w:rPr>
            </w:pPr>
            <w:r w:rsidRPr="00B85A93">
              <w:rPr>
                <w:rFonts w:eastAsia="Times New Roman"/>
                <w:color w:val="000000"/>
                <w:sz w:val="18"/>
                <w:szCs w:val="18"/>
                <w:lang w:eastAsia="en-US"/>
              </w:rPr>
              <w:t> </w:t>
            </w:r>
          </w:p>
        </w:tc>
        <w:tc>
          <w:tcPr>
            <w:tcW w:w="1266" w:type="dxa"/>
            <w:tcBorders>
              <w:top w:val="single" w:sz="12" w:space="0" w:color="auto"/>
            </w:tcBorders>
            <w:shd w:val="clear" w:color="auto" w:fill="auto"/>
            <w:hideMark/>
          </w:tcPr>
          <w:p w14:paraId="2AC15845" w14:textId="77777777" w:rsidR="00895001" w:rsidRPr="00B85A93" w:rsidRDefault="00895001" w:rsidP="006D4A81">
            <w:pPr>
              <w:suppressAutoHyphens w:val="0"/>
              <w:spacing w:line="240" w:lineRule="auto"/>
              <w:jc w:val="right"/>
              <w:rPr>
                <w:rFonts w:eastAsia="Times New Roman"/>
                <w:color w:val="000000"/>
                <w:sz w:val="18"/>
                <w:szCs w:val="18"/>
                <w:lang w:eastAsia="en-US"/>
              </w:rPr>
            </w:pPr>
            <w:r w:rsidRPr="00B85A93">
              <w:rPr>
                <w:rFonts w:eastAsia="Times New Roman"/>
                <w:color w:val="000000"/>
                <w:sz w:val="18"/>
                <w:szCs w:val="18"/>
                <w:lang w:eastAsia="en-US"/>
              </w:rPr>
              <w:t> </w:t>
            </w:r>
          </w:p>
        </w:tc>
      </w:tr>
      <w:tr w:rsidR="00895001" w:rsidRPr="00F071DA" w14:paraId="4E6B90DF" w14:textId="77777777" w:rsidTr="001B2B4C">
        <w:trPr>
          <w:trHeight w:val="240"/>
        </w:trPr>
        <w:tc>
          <w:tcPr>
            <w:tcW w:w="1051" w:type="dxa"/>
            <w:tcBorders>
              <w:bottom w:val="single" w:sz="12" w:space="0" w:color="auto"/>
            </w:tcBorders>
            <w:shd w:val="clear" w:color="auto" w:fill="auto"/>
            <w:hideMark/>
          </w:tcPr>
          <w:p w14:paraId="5785ABDD"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269" w:type="dxa"/>
            <w:tcBorders>
              <w:bottom w:val="single" w:sz="12" w:space="0" w:color="auto"/>
            </w:tcBorders>
            <w:shd w:val="clear" w:color="auto" w:fill="auto"/>
            <w:hideMark/>
          </w:tcPr>
          <w:p w14:paraId="3E1F1BD8"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961" w:type="dxa"/>
            <w:tcBorders>
              <w:bottom w:val="single" w:sz="12" w:space="0" w:color="auto"/>
            </w:tcBorders>
            <w:shd w:val="clear" w:color="auto" w:fill="auto"/>
            <w:hideMark/>
          </w:tcPr>
          <w:p w14:paraId="4A7C1026"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884" w:type="dxa"/>
            <w:tcBorders>
              <w:bottom w:val="single" w:sz="12" w:space="0" w:color="auto"/>
            </w:tcBorders>
            <w:shd w:val="clear" w:color="auto" w:fill="auto"/>
            <w:hideMark/>
          </w:tcPr>
          <w:p w14:paraId="1484641D"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38" w:type="dxa"/>
            <w:tcBorders>
              <w:bottom w:val="single" w:sz="12" w:space="0" w:color="auto"/>
            </w:tcBorders>
            <w:shd w:val="clear" w:color="auto" w:fill="auto"/>
            <w:hideMark/>
          </w:tcPr>
          <w:p w14:paraId="36016C00"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063" w:type="dxa"/>
            <w:tcBorders>
              <w:bottom w:val="single" w:sz="12" w:space="0" w:color="auto"/>
            </w:tcBorders>
            <w:shd w:val="clear" w:color="auto" w:fill="auto"/>
            <w:hideMark/>
          </w:tcPr>
          <w:p w14:paraId="6F991011"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426" w:type="dxa"/>
            <w:tcBorders>
              <w:bottom w:val="single" w:sz="12" w:space="0" w:color="auto"/>
            </w:tcBorders>
            <w:shd w:val="clear" w:color="auto" w:fill="auto"/>
            <w:hideMark/>
          </w:tcPr>
          <w:p w14:paraId="5E0A54BC"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16" w:type="dxa"/>
            <w:tcBorders>
              <w:bottom w:val="single" w:sz="12" w:space="0" w:color="auto"/>
            </w:tcBorders>
            <w:shd w:val="clear" w:color="auto" w:fill="auto"/>
            <w:hideMark/>
          </w:tcPr>
          <w:p w14:paraId="4D61942D"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315" w:type="dxa"/>
            <w:tcBorders>
              <w:bottom w:val="single" w:sz="12" w:space="0" w:color="auto"/>
            </w:tcBorders>
            <w:shd w:val="clear" w:color="auto" w:fill="auto"/>
            <w:hideMark/>
          </w:tcPr>
          <w:p w14:paraId="337E610F"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194" w:type="dxa"/>
            <w:tcBorders>
              <w:bottom w:val="single" w:sz="12" w:space="0" w:color="auto"/>
            </w:tcBorders>
            <w:shd w:val="clear" w:color="auto" w:fill="auto"/>
            <w:hideMark/>
          </w:tcPr>
          <w:p w14:paraId="125E46B5"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778" w:type="dxa"/>
            <w:tcBorders>
              <w:bottom w:val="single" w:sz="12" w:space="0" w:color="auto"/>
            </w:tcBorders>
            <w:shd w:val="clear" w:color="auto" w:fill="auto"/>
            <w:hideMark/>
          </w:tcPr>
          <w:p w14:paraId="45CB4174"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c>
          <w:tcPr>
            <w:tcW w:w="1266" w:type="dxa"/>
            <w:tcBorders>
              <w:bottom w:val="single" w:sz="12" w:space="0" w:color="auto"/>
            </w:tcBorders>
            <w:shd w:val="clear" w:color="auto" w:fill="auto"/>
            <w:hideMark/>
          </w:tcPr>
          <w:p w14:paraId="219AE5B8" w14:textId="77777777" w:rsidR="00895001" w:rsidRPr="00F071DA" w:rsidRDefault="00895001" w:rsidP="006D4A81">
            <w:pPr>
              <w:suppressAutoHyphens w:val="0"/>
              <w:spacing w:line="240" w:lineRule="auto"/>
              <w:jc w:val="right"/>
              <w:rPr>
                <w:rFonts w:eastAsia="Times New Roman"/>
                <w:color w:val="000000"/>
                <w:sz w:val="18"/>
                <w:szCs w:val="18"/>
                <w:lang w:eastAsia="en-US"/>
              </w:rPr>
            </w:pPr>
            <w:r w:rsidRPr="00F071DA">
              <w:rPr>
                <w:rFonts w:eastAsia="Times New Roman"/>
                <w:color w:val="000000"/>
                <w:sz w:val="18"/>
                <w:szCs w:val="18"/>
                <w:lang w:eastAsia="en-US"/>
              </w:rPr>
              <w:t> </w:t>
            </w:r>
          </w:p>
        </w:tc>
      </w:tr>
    </w:tbl>
    <w:p w14:paraId="0FA18A5D" w14:textId="77777777" w:rsidR="00895001" w:rsidRPr="0083711D" w:rsidRDefault="00895001" w:rsidP="00432B79">
      <w:pPr>
        <w:spacing w:before="120"/>
        <w:ind w:right="820" w:firstLine="284"/>
        <w:rPr>
          <w:rFonts w:eastAsia="Calibri"/>
          <w:sz w:val="24"/>
          <w:szCs w:val="24"/>
          <w:lang w:eastAsia="en-US"/>
        </w:rPr>
      </w:pPr>
      <w:r w:rsidRPr="00F071DA">
        <w:rPr>
          <w:rFonts w:eastAsia="Times New Roman"/>
          <w:i/>
          <w:iCs/>
          <w:color w:val="000000"/>
          <w:sz w:val="18"/>
          <w:szCs w:val="18"/>
          <w:lang w:eastAsia="en-US"/>
        </w:rPr>
        <w:t>Note</w:t>
      </w:r>
      <w:r w:rsidRPr="00F071DA">
        <w:rPr>
          <w:rFonts w:eastAsia="Times New Roman"/>
          <w:color w:val="000000"/>
          <w:sz w:val="18"/>
          <w:szCs w:val="18"/>
          <w:lang w:eastAsia="en-US"/>
        </w:rPr>
        <w:t>: The two final columns specify the year identified by the Party for estimating impacts (based on the status of the measure and whether an ex post or ex ante estimation is available).</w:t>
      </w:r>
    </w:p>
    <w:p w14:paraId="4345D2F9" w14:textId="77777777" w:rsidR="00895001" w:rsidRPr="0083711D" w:rsidRDefault="00895001" w:rsidP="00432B79">
      <w:pPr>
        <w:ind w:left="284" w:right="820"/>
        <w:rPr>
          <w:rFonts w:eastAsia="Calibri"/>
          <w:sz w:val="24"/>
          <w:szCs w:val="24"/>
          <w:lang w:eastAsia="en-US"/>
        </w:rPr>
      </w:pPr>
      <w:r w:rsidRPr="00D8378F">
        <w:rPr>
          <w:rFonts w:eastAsia="Times New Roman"/>
          <w:i/>
          <w:iCs/>
          <w:color w:val="000000"/>
          <w:sz w:val="18"/>
          <w:szCs w:val="18"/>
          <w:lang w:eastAsia="en-US"/>
        </w:rPr>
        <w:t>Abbreviation</w:t>
      </w:r>
      <w:r w:rsidRPr="00D8378F">
        <w:rPr>
          <w:rFonts w:eastAsia="Times New Roman"/>
          <w:color w:val="000000"/>
          <w:sz w:val="18"/>
          <w:szCs w:val="18"/>
          <w:lang w:eastAsia="en-US"/>
        </w:rPr>
        <w:t>:</w:t>
      </w:r>
      <w:r w:rsidRPr="00D8378F">
        <w:rPr>
          <w:rFonts w:eastAsia="Times New Roman"/>
          <w:b/>
          <w:bCs/>
          <w:i/>
          <w:iCs/>
          <w:color w:val="000000"/>
          <w:sz w:val="18"/>
          <w:szCs w:val="18"/>
          <w:lang w:eastAsia="en-US"/>
        </w:rPr>
        <w:t xml:space="preserve"> </w:t>
      </w:r>
      <w:r w:rsidRPr="00D8378F">
        <w:rPr>
          <w:rFonts w:eastAsia="Times New Roman"/>
          <w:color w:val="000000"/>
          <w:sz w:val="18"/>
          <w:szCs w:val="18"/>
          <w:lang w:eastAsia="en-US"/>
        </w:rPr>
        <w:t>GHG = greenhouse gas.</w:t>
      </w:r>
    </w:p>
    <w:p w14:paraId="68BB7558" w14:textId="582A4ECB" w:rsidR="00895001" w:rsidRPr="00147163" w:rsidRDefault="000E0429" w:rsidP="000E0429">
      <w:pPr>
        <w:pStyle w:val="FootnoteTable"/>
        <w:ind w:right="820" w:firstLine="284"/>
        <w:rPr>
          <w:i/>
          <w:iCs/>
          <w:lang w:eastAsia="en-US"/>
        </w:rPr>
      </w:pPr>
      <w:r w:rsidRPr="00147163">
        <w:rPr>
          <w:i/>
          <w:iCs/>
          <w:vertAlign w:val="superscript"/>
          <w:lang w:eastAsia="en-US"/>
        </w:rPr>
        <w:t xml:space="preserve">a   </w:t>
      </w:r>
      <w:r w:rsidR="00895001" w:rsidRPr="00D8378F">
        <w:rPr>
          <w:lang w:eastAsia="en-US"/>
        </w:rPr>
        <w:t>Parties should use an asterisk (*) to indicate that the policy or measure is included in the ‘with measures’ projection.</w:t>
      </w:r>
    </w:p>
    <w:p w14:paraId="7A919778" w14:textId="75DA70E7" w:rsidR="00895001" w:rsidRPr="00147163" w:rsidRDefault="000E0429" w:rsidP="000E0429">
      <w:pPr>
        <w:pStyle w:val="FootnoteTable"/>
        <w:ind w:right="820" w:firstLine="284"/>
        <w:rPr>
          <w:i/>
          <w:iCs/>
          <w:lang w:eastAsia="en-US"/>
        </w:rPr>
      </w:pPr>
      <w:r w:rsidRPr="00147163">
        <w:rPr>
          <w:i/>
          <w:iCs/>
          <w:vertAlign w:val="superscript"/>
          <w:lang w:eastAsia="en-US"/>
        </w:rPr>
        <w:t xml:space="preserve">b   </w:t>
      </w:r>
      <w:r w:rsidR="00895001" w:rsidRPr="00D8378F">
        <w:rPr>
          <w:rFonts w:eastAsia="Times New Roman"/>
          <w:color w:val="000000"/>
          <w:szCs w:val="18"/>
          <w:lang w:eastAsia="en-US"/>
        </w:rPr>
        <w:t>To the extent possible, the following sectors should be used: energy, transport, industry/industrial processes</w:t>
      </w:r>
      <w:r w:rsidR="00895001" w:rsidRPr="00D8378F">
        <w:rPr>
          <w:rFonts w:eastAsia="Calibri"/>
          <w:sz w:val="24"/>
          <w:szCs w:val="24"/>
          <w:lang w:eastAsia="en-US"/>
        </w:rPr>
        <w:t xml:space="preserve"> </w:t>
      </w:r>
      <w:r w:rsidR="00895001" w:rsidRPr="00D8378F">
        <w:rPr>
          <w:rFonts w:eastAsia="Times New Roman"/>
          <w:color w:val="000000"/>
          <w:szCs w:val="18"/>
          <w:lang w:eastAsia="en-US"/>
        </w:rPr>
        <w:t>and product use, agriculture, forestry/land use, land-use change and forestry, waste management/waste, other sectors and cross-cutting, as appropriate</w:t>
      </w:r>
      <w:r w:rsidR="00895001">
        <w:rPr>
          <w:rFonts w:eastAsia="Times New Roman"/>
          <w:color w:val="000000"/>
          <w:szCs w:val="18"/>
          <w:lang w:eastAsia="en-US"/>
        </w:rPr>
        <w:t>.</w:t>
      </w:r>
    </w:p>
    <w:p w14:paraId="3E6CC304" w14:textId="60714E6C" w:rsidR="00895001" w:rsidRPr="008D1DCB" w:rsidRDefault="000E0429" w:rsidP="000E0429">
      <w:pPr>
        <w:pStyle w:val="FootnoteTable"/>
        <w:ind w:right="820" w:firstLine="284"/>
        <w:rPr>
          <w:i/>
          <w:iCs/>
          <w:lang w:eastAsia="en-US"/>
        </w:rPr>
      </w:pPr>
      <w:r w:rsidRPr="008D1DCB">
        <w:rPr>
          <w:i/>
          <w:iCs/>
          <w:vertAlign w:val="superscript"/>
          <w:lang w:eastAsia="en-US"/>
        </w:rPr>
        <w:t xml:space="preserve">c   </w:t>
      </w:r>
      <w:r w:rsidR="00895001" w:rsidRPr="008D1DCB">
        <w:rPr>
          <w:rFonts w:eastAsia="Times New Roman"/>
          <w:color w:val="000000"/>
          <w:szCs w:val="18"/>
          <w:lang w:eastAsia="en-US"/>
        </w:rPr>
        <w:t>To the extent possible, the following types of instrument should be referred to: economic, fiscal, voluntary agreement, regulatory, information, education, research and other.</w:t>
      </w:r>
    </w:p>
    <w:p w14:paraId="6D8243FF" w14:textId="6E6CD697" w:rsidR="00895001" w:rsidRPr="008D1DCB" w:rsidRDefault="000E0429" w:rsidP="000E0429">
      <w:pPr>
        <w:pStyle w:val="FootnoteTable"/>
        <w:ind w:right="820" w:firstLine="284"/>
        <w:rPr>
          <w:i/>
          <w:iCs/>
          <w:lang w:eastAsia="en-US"/>
        </w:rPr>
      </w:pPr>
      <w:r w:rsidRPr="008D1DCB">
        <w:rPr>
          <w:i/>
          <w:iCs/>
          <w:vertAlign w:val="superscript"/>
          <w:lang w:eastAsia="en-US"/>
        </w:rPr>
        <w:t xml:space="preserve">d   </w:t>
      </w:r>
      <w:r w:rsidR="00895001" w:rsidRPr="008D1DCB">
        <w:rPr>
          <w:lang w:eastAsia="en-US"/>
        </w:rPr>
        <w:t>To</w:t>
      </w:r>
      <w:r w:rsidR="00895001" w:rsidRPr="008D1DCB">
        <w:rPr>
          <w:rFonts w:eastAsia="Times New Roman"/>
          <w:color w:val="000000"/>
          <w:szCs w:val="18"/>
          <w:lang w:eastAsia="en-US"/>
        </w:rPr>
        <w:t xml:space="preserve"> the extent possible, the following descriptive terms should be used to report on the status of implementation: implemented, adopted and planned.</w:t>
      </w:r>
    </w:p>
    <w:p w14:paraId="39777BC8" w14:textId="5B2D2838" w:rsidR="00895001" w:rsidRPr="008D1DCB" w:rsidRDefault="000E0429" w:rsidP="000E0429">
      <w:pPr>
        <w:pStyle w:val="FootnoteTable"/>
        <w:ind w:right="820" w:firstLine="284"/>
        <w:rPr>
          <w:i/>
          <w:iCs/>
          <w:lang w:eastAsia="en-US"/>
        </w:rPr>
      </w:pPr>
      <w:r w:rsidRPr="008D1DCB">
        <w:rPr>
          <w:i/>
          <w:iCs/>
          <w:vertAlign w:val="superscript"/>
          <w:lang w:eastAsia="en-US"/>
        </w:rPr>
        <w:t xml:space="preserve">e   </w:t>
      </w:r>
      <w:r w:rsidR="00895001" w:rsidRPr="008D1DCB">
        <w:rPr>
          <w:rFonts w:eastAsia="Times New Roman"/>
          <w:color w:val="000000"/>
          <w:szCs w:val="18"/>
          <w:lang w:eastAsia="en-US"/>
        </w:rPr>
        <w:t>Additional information may be provided on the cost of the policy or measure and the relevant timescale.</w:t>
      </w:r>
    </w:p>
    <w:p w14:paraId="37D481F2" w14:textId="26927206" w:rsidR="00895001" w:rsidRPr="008D1DCB" w:rsidRDefault="000E0429" w:rsidP="000E0429">
      <w:pPr>
        <w:pStyle w:val="FootnoteTable"/>
        <w:ind w:right="820" w:firstLine="284"/>
        <w:rPr>
          <w:i/>
          <w:iCs/>
          <w:lang w:eastAsia="en-US"/>
        </w:rPr>
      </w:pPr>
      <w:r w:rsidRPr="008D1DCB">
        <w:rPr>
          <w:i/>
          <w:iCs/>
          <w:vertAlign w:val="superscript"/>
          <w:lang w:eastAsia="en-US"/>
        </w:rPr>
        <w:t xml:space="preserve">f   </w:t>
      </w:r>
      <w:r w:rsidR="00895001" w:rsidRPr="008D1DCB">
        <w:rPr>
          <w:rFonts w:eastAsia="Times New Roman"/>
          <w:color w:val="000000"/>
          <w:szCs w:val="18"/>
          <w:lang w:eastAsia="en-US"/>
        </w:rPr>
        <w:t>Optional year or yea</w:t>
      </w:r>
      <w:r w:rsidR="00895001">
        <w:rPr>
          <w:rFonts w:eastAsia="Times New Roman"/>
          <w:color w:val="000000"/>
          <w:szCs w:val="18"/>
          <w:lang w:eastAsia="en-US"/>
        </w:rPr>
        <w:t>rs deemed relevant by the Party.</w:t>
      </w:r>
    </w:p>
    <w:p w14:paraId="6E89F608" w14:textId="77777777" w:rsidR="00895001" w:rsidRDefault="00895001" w:rsidP="00432B79">
      <w:pPr>
        <w:ind w:right="820"/>
      </w:pPr>
    </w:p>
    <w:p w14:paraId="3DB077EF" w14:textId="77777777" w:rsidR="00895001" w:rsidRDefault="00895001" w:rsidP="00895001">
      <w:pPr>
        <w:jc w:val="right"/>
      </w:pPr>
    </w:p>
    <w:p w14:paraId="35F5DC60" w14:textId="77777777" w:rsidR="00895001" w:rsidRDefault="00895001" w:rsidP="00895001"/>
    <w:p w14:paraId="34140C78" w14:textId="77777777" w:rsidR="00895001" w:rsidRPr="002007CD" w:rsidRDefault="00895001" w:rsidP="00895001">
      <w:pPr>
        <w:sectPr w:rsidR="00895001" w:rsidRPr="002007CD" w:rsidSect="00D06A4E">
          <w:headerReference w:type="even" r:id="rId21"/>
          <w:headerReference w:type="default" r:id="rId22"/>
          <w:footerReference w:type="even" r:id="rId23"/>
          <w:footerReference w:type="default" r:id="rId24"/>
          <w:pgSz w:w="16838" w:h="11906" w:orient="landscape" w:code="9"/>
          <w:pgMar w:top="1134" w:right="1701" w:bottom="1134" w:left="2268" w:header="567" w:footer="567" w:gutter="0"/>
          <w:cols w:space="708"/>
          <w:docGrid w:linePitch="360"/>
        </w:sectPr>
      </w:pPr>
    </w:p>
    <w:p w14:paraId="002F16EA" w14:textId="06773755" w:rsidR="00895001" w:rsidRPr="00D94410" w:rsidRDefault="000E0429" w:rsidP="000E0429">
      <w:pPr>
        <w:pStyle w:val="RegHChG"/>
        <w:numPr>
          <w:ilvl w:val="0"/>
          <w:numId w:val="0"/>
        </w:numPr>
        <w:tabs>
          <w:tab w:val="left" w:pos="1135"/>
        </w:tabs>
        <w:ind w:left="1135" w:hanging="454"/>
        <w:rPr>
          <w:lang w:eastAsia="en-US"/>
        </w:rPr>
      </w:pPr>
      <w:r w:rsidRPr="00D94410">
        <w:rPr>
          <w:lang w:eastAsia="en-US"/>
        </w:rPr>
        <w:t>VI.</w:t>
      </w:r>
      <w:r w:rsidRPr="00D94410">
        <w:rPr>
          <w:lang w:eastAsia="en-US"/>
        </w:rPr>
        <w:tab/>
      </w:r>
      <w:r w:rsidR="00D94410" w:rsidRPr="00D94410">
        <w:rPr>
          <w:lang w:eastAsia="en-US"/>
        </w:rPr>
        <w:t>Projections and total effect of policies and measures</w:t>
      </w:r>
    </w:p>
    <w:p w14:paraId="61D3E2BB" w14:textId="03CDBA78" w:rsidR="00895001" w:rsidRPr="00D94410" w:rsidRDefault="000E0429" w:rsidP="000E0429">
      <w:pPr>
        <w:pStyle w:val="RegH1G"/>
        <w:numPr>
          <w:ilvl w:val="0"/>
          <w:numId w:val="0"/>
        </w:numPr>
        <w:tabs>
          <w:tab w:val="left" w:pos="1135"/>
        </w:tabs>
        <w:ind w:left="1135" w:hanging="454"/>
        <w:rPr>
          <w:lang w:eastAsia="en-US"/>
        </w:rPr>
      </w:pPr>
      <w:r w:rsidRPr="00D94410">
        <w:rPr>
          <w:lang w:eastAsia="en-US"/>
        </w:rPr>
        <w:t>A.</w:t>
      </w:r>
      <w:r w:rsidRPr="00D94410">
        <w:rPr>
          <w:lang w:eastAsia="en-US"/>
        </w:rPr>
        <w:tab/>
      </w:r>
      <w:r w:rsidR="00895001" w:rsidRPr="00D94410">
        <w:rPr>
          <w:lang w:eastAsia="en-US"/>
        </w:rPr>
        <w:t>Purpose</w:t>
      </w:r>
    </w:p>
    <w:p w14:paraId="68DD69DD" w14:textId="2CB05586" w:rsidR="00895001" w:rsidRPr="00D94410" w:rsidRDefault="000E0429" w:rsidP="000E0429">
      <w:pPr>
        <w:pStyle w:val="RegSingleTxtG"/>
        <w:numPr>
          <w:ilvl w:val="0"/>
          <w:numId w:val="0"/>
        </w:numPr>
        <w:tabs>
          <w:tab w:val="left" w:pos="568"/>
        </w:tabs>
        <w:ind w:left="1135"/>
        <w:rPr>
          <w:lang w:eastAsia="en-US"/>
        </w:rPr>
      </w:pPr>
      <w:r w:rsidRPr="00D94410">
        <w:rPr>
          <w:lang w:eastAsia="en-US"/>
        </w:rPr>
        <w:t>24.</w:t>
      </w:r>
      <w:r w:rsidRPr="00D94410">
        <w:rPr>
          <w:lang w:eastAsia="en-US"/>
        </w:rPr>
        <w:tab/>
      </w:r>
      <w:r w:rsidR="00895001" w:rsidRPr="00D94410">
        <w:rPr>
          <w:lang w:eastAsia="en-US"/>
        </w:rPr>
        <w:t>The primary objective of the projections section of the national communication is to give an indication of future trends in GHG emissions and removals, given current national circumstances and implemented and adopted policies and measures, and to give an indication of the path of emissions and removals without such policies and measures.</w:t>
      </w:r>
    </w:p>
    <w:p w14:paraId="71CE7C56" w14:textId="54DC90EA" w:rsidR="00895001" w:rsidRPr="00D94410" w:rsidRDefault="000E0429" w:rsidP="000E0429">
      <w:pPr>
        <w:pStyle w:val="RegH1G"/>
        <w:numPr>
          <w:ilvl w:val="0"/>
          <w:numId w:val="0"/>
        </w:numPr>
        <w:tabs>
          <w:tab w:val="left" w:pos="1135"/>
        </w:tabs>
        <w:ind w:left="1135" w:hanging="454"/>
        <w:rPr>
          <w:lang w:eastAsia="en-US"/>
        </w:rPr>
      </w:pPr>
      <w:r w:rsidRPr="00D94410">
        <w:rPr>
          <w:lang w:eastAsia="en-US"/>
        </w:rPr>
        <w:t>B.</w:t>
      </w:r>
      <w:r w:rsidRPr="00D94410">
        <w:rPr>
          <w:lang w:eastAsia="en-US"/>
        </w:rPr>
        <w:tab/>
      </w:r>
      <w:r w:rsidR="00895001" w:rsidRPr="00D94410">
        <w:rPr>
          <w:lang w:eastAsia="en-US"/>
        </w:rPr>
        <w:t>Projections</w:t>
      </w:r>
    </w:p>
    <w:p w14:paraId="1A41ECD7" w14:textId="718D4D54" w:rsidR="00895001" w:rsidRPr="00D94410" w:rsidRDefault="000E0429" w:rsidP="000E0429">
      <w:pPr>
        <w:pStyle w:val="RegSingleTxtG"/>
        <w:numPr>
          <w:ilvl w:val="0"/>
          <w:numId w:val="0"/>
        </w:numPr>
        <w:tabs>
          <w:tab w:val="left" w:pos="568"/>
        </w:tabs>
        <w:ind w:left="1135"/>
        <w:rPr>
          <w:lang w:eastAsia="en-US"/>
        </w:rPr>
      </w:pPr>
      <w:r w:rsidRPr="00D94410">
        <w:rPr>
          <w:lang w:eastAsia="en-US"/>
        </w:rPr>
        <w:t>25.</w:t>
      </w:r>
      <w:r w:rsidRPr="00D94410">
        <w:rPr>
          <w:lang w:eastAsia="en-US"/>
        </w:rPr>
        <w:tab/>
      </w:r>
      <w:r w:rsidR="00895001" w:rsidRPr="00D94410">
        <w:rPr>
          <w:lang w:eastAsia="en-US"/>
        </w:rPr>
        <w:t>At a minimum, Parties shall report a ‘with measures’ projection, in accordance with paragraph 26 below, and may report ‘without measures’ and ‘with additional measures’ projections.</w:t>
      </w:r>
    </w:p>
    <w:p w14:paraId="05938B6E" w14:textId="33DAF247" w:rsidR="00895001" w:rsidRPr="00D94410" w:rsidRDefault="000E0429" w:rsidP="000E0429">
      <w:pPr>
        <w:pStyle w:val="RegSingleTxtG"/>
        <w:numPr>
          <w:ilvl w:val="0"/>
          <w:numId w:val="0"/>
        </w:numPr>
        <w:tabs>
          <w:tab w:val="left" w:pos="568"/>
        </w:tabs>
        <w:ind w:left="1135"/>
        <w:rPr>
          <w:lang w:eastAsia="en-US"/>
        </w:rPr>
      </w:pPr>
      <w:r w:rsidRPr="00D94410">
        <w:rPr>
          <w:lang w:eastAsia="en-US"/>
        </w:rPr>
        <w:t>26.</w:t>
      </w:r>
      <w:r w:rsidRPr="00D94410">
        <w:rPr>
          <w:lang w:eastAsia="en-US"/>
        </w:rPr>
        <w:tab/>
      </w:r>
      <w:r w:rsidR="00895001" w:rsidRPr="00D94410">
        <w:rPr>
          <w:lang w:eastAsia="en-US"/>
        </w:rPr>
        <w:t xml:space="preserve">A ‘with measures’ projection shall encompass currently implemented and adopted policies and measures. If provided, a ‘with additional measures’ projection also encompasses planned policies and measures. If provided, a ‘without measures’ projection excludes all policies and measures implemented, adopted or planned after the year chosen as the starting point for that projection. In their reporting, Parties may refer to their ‘without measures’ projection as a ‘baseline’ or ‘reference’ projection, for example, if preferred, but should explain the nature of that projection. </w:t>
      </w:r>
    </w:p>
    <w:p w14:paraId="4CD853FB" w14:textId="35205147" w:rsidR="00895001" w:rsidRPr="00D94410" w:rsidRDefault="000E0429" w:rsidP="000E0429">
      <w:pPr>
        <w:pStyle w:val="RegSingleTxtG"/>
        <w:numPr>
          <w:ilvl w:val="0"/>
          <w:numId w:val="0"/>
        </w:numPr>
        <w:tabs>
          <w:tab w:val="left" w:pos="568"/>
        </w:tabs>
        <w:ind w:left="1135"/>
        <w:rPr>
          <w:lang w:eastAsia="en-US"/>
        </w:rPr>
      </w:pPr>
      <w:r w:rsidRPr="00D94410">
        <w:rPr>
          <w:lang w:eastAsia="en-US"/>
        </w:rPr>
        <w:t>27.</w:t>
      </w:r>
      <w:r w:rsidRPr="00D94410">
        <w:rPr>
          <w:lang w:eastAsia="en-US"/>
        </w:rPr>
        <w:tab/>
      </w:r>
      <w:r w:rsidR="00895001" w:rsidRPr="00D94410">
        <w:rPr>
          <w:lang w:eastAsia="en-US"/>
        </w:rPr>
        <w:t xml:space="preserve">Parties may report a sensitivity analysis for any of the projections, but should aim to limit the number of scenarios presented. Parties may provide the results of a sensitivity analysis for the reported GHG emissions together with a brief explanation of the methodologies and parameters used. </w:t>
      </w:r>
    </w:p>
    <w:p w14:paraId="72275E1C" w14:textId="07BE9329" w:rsidR="00895001" w:rsidRPr="00D94410" w:rsidRDefault="000E0429" w:rsidP="000E0429">
      <w:pPr>
        <w:pStyle w:val="RegH1G"/>
        <w:numPr>
          <w:ilvl w:val="0"/>
          <w:numId w:val="0"/>
        </w:numPr>
        <w:tabs>
          <w:tab w:val="left" w:pos="1135"/>
        </w:tabs>
        <w:ind w:left="1135" w:hanging="454"/>
        <w:rPr>
          <w:lang w:eastAsia="en-US"/>
        </w:rPr>
      </w:pPr>
      <w:r w:rsidRPr="00D94410">
        <w:rPr>
          <w:lang w:eastAsia="en-US"/>
        </w:rPr>
        <w:t>C.</w:t>
      </w:r>
      <w:r w:rsidRPr="00D94410">
        <w:rPr>
          <w:lang w:eastAsia="en-US"/>
        </w:rPr>
        <w:tab/>
      </w:r>
      <w:r w:rsidR="00895001" w:rsidRPr="00D94410">
        <w:rPr>
          <w:lang w:eastAsia="en-US"/>
        </w:rPr>
        <w:t>Presentation of projections relative to actual data</w:t>
      </w:r>
    </w:p>
    <w:p w14:paraId="4C806163" w14:textId="6345CC61" w:rsidR="00895001" w:rsidRPr="00D94410" w:rsidRDefault="000E0429" w:rsidP="000E0429">
      <w:pPr>
        <w:pStyle w:val="RegSingleTxtG"/>
        <w:numPr>
          <w:ilvl w:val="0"/>
          <w:numId w:val="0"/>
        </w:numPr>
        <w:tabs>
          <w:tab w:val="left" w:pos="568"/>
        </w:tabs>
        <w:ind w:left="1135"/>
        <w:rPr>
          <w:lang w:eastAsia="en-US"/>
        </w:rPr>
      </w:pPr>
      <w:r w:rsidRPr="00D94410">
        <w:rPr>
          <w:lang w:eastAsia="en-US"/>
        </w:rPr>
        <w:t>28.</w:t>
      </w:r>
      <w:r w:rsidRPr="00D94410">
        <w:rPr>
          <w:lang w:eastAsia="en-US"/>
        </w:rPr>
        <w:tab/>
      </w:r>
      <w:r w:rsidR="00895001" w:rsidRPr="00D94410">
        <w:rPr>
          <w:lang w:eastAsia="en-US"/>
        </w:rPr>
        <w:t>Emission projections shall be presented relative to actual inventory data for the preceding years.</w:t>
      </w:r>
    </w:p>
    <w:p w14:paraId="479D6C82" w14:textId="79EF1000" w:rsidR="00895001" w:rsidRPr="00D94410" w:rsidRDefault="000E0429" w:rsidP="000E0429">
      <w:pPr>
        <w:pStyle w:val="RegSingleTxtG"/>
        <w:numPr>
          <w:ilvl w:val="0"/>
          <w:numId w:val="0"/>
        </w:numPr>
        <w:tabs>
          <w:tab w:val="left" w:pos="568"/>
        </w:tabs>
        <w:ind w:left="1135"/>
        <w:rPr>
          <w:lang w:eastAsia="en-US"/>
        </w:rPr>
      </w:pPr>
      <w:r w:rsidRPr="00D94410">
        <w:rPr>
          <w:lang w:eastAsia="en-US"/>
        </w:rPr>
        <w:t>29.</w:t>
      </w:r>
      <w:r w:rsidRPr="00D94410">
        <w:rPr>
          <w:lang w:eastAsia="en-US"/>
        </w:rPr>
        <w:tab/>
      </w:r>
      <w:r w:rsidR="00895001" w:rsidRPr="00D94410">
        <w:rPr>
          <w:lang w:eastAsia="en-US"/>
        </w:rPr>
        <w:t xml:space="preserve">For the ‘with measures’ and ‘with additional measures’ projections, the starting point should generally be the most recent inventory year. Parties may provide a ‘without measures’ projection starting from an earlier year. </w:t>
      </w:r>
    </w:p>
    <w:p w14:paraId="49B0CBA0" w14:textId="47AAAE57" w:rsidR="00895001" w:rsidRPr="00D94410" w:rsidRDefault="000E0429" w:rsidP="000E0429">
      <w:pPr>
        <w:pStyle w:val="RegSingleTxtG"/>
        <w:numPr>
          <w:ilvl w:val="0"/>
          <w:numId w:val="0"/>
        </w:numPr>
        <w:tabs>
          <w:tab w:val="left" w:pos="568"/>
        </w:tabs>
        <w:ind w:left="1135"/>
        <w:rPr>
          <w:lang w:eastAsia="en-US"/>
        </w:rPr>
      </w:pPr>
      <w:r w:rsidRPr="00D94410">
        <w:rPr>
          <w:lang w:eastAsia="en-US"/>
        </w:rPr>
        <w:t>30.</w:t>
      </w:r>
      <w:r w:rsidRPr="00D94410">
        <w:rPr>
          <w:lang w:eastAsia="en-US"/>
        </w:rPr>
        <w:tab/>
      </w:r>
      <w:r w:rsidR="00895001" w:rsidRPr="00D94410">
        <w:rPr>
          <w:lang w:eastAsia="en-US"/>
        </w:rPr>
        <w:t xml:space="preserve">Parties should present their projections relative to unadjusted inventory data for the preceding years presented in the most recent annual inventory submission available. In addition, Parties may present their projections relative to adjusted inventory data. In that case, Parties shall explain the nature of the adjustments. </w:t>
      </w:r>
    </w:p>
    <w:p w14:paraId="437677B7" w14:textId="6235DEA1" w:rsidR="00895001" w:rsidRPr="007D29CC" w:rsidRDefault="000E0429" w:rsidP="000E0429">
      <w:pPr>
        <w:pStyle w:val="RegH1G"/>
        <w:numPr>
          <w:ilvl w:val="0"/>
          <w:numId w:val="0"/>
        </w:numPr>
        <w:tabs>
          <w:tab w:val="left" w:pos="1135"/>
        </w:tabs>
        <w:ind w:left="1135" w:hanging="454"/>
        <w:rPr>
          <w:lang w:eastAsia="en-US"/>
        </w:rPr>
      </w:pPr>
      <w:r w:rsidRPr="007D29CC">
        <w:rPr>
          <w:lang w:eastAsia="en-US"/>
        </w:rPr>
        <w:t>D.</w:t>
      </w:r>
      <w:r w:rsidRPr="007D29CC">
        <w:rPr>
          <w:lang w:eastAsia="en-US"/>
        </w:rPr>
        <w:tab/>
      </w:r>
      <w:r w:rsidR="00895001" w:rsidRPr="007D29CC">
        <w:rPr>
          <w:lang w:eastAsia="en-US"/>
        </w:rPr>
        <w:t>Coverage and presentation</w:t>
      </w:r>
    </w:p>
    <w:p w14:paraId="2B0B2C4E" w14:textId="5F6C8BA3" w:rsidR="00895001" w:rsidRPr="007D29CC" w:rsidRDefault="000E0429" w:rsidP="000E0429">
      <w:pPr>
        <w:pStyle w:val="RegSingleTxtG"/>
        <w:numPr>
          <w:ilvl w:val="0"/>
          <w:numId w:val="0"/>
        </w:numPr>
        <w:tabs>
          <w:tab w:val="left" w:pos="568"/>
        </w:tabs>
        <w:ind w:left="1135"/>
        <w:rPr>
          <w:lang w:eastAsia="en-US"/>
        </w:rPr>
      </w:pPr>
      <w:r w:rsidRPr="007D29CC">
        <w:rPr>
          <w:lang w:eastAsia="en-US"/>
        </w:rPr>
        <w:t>31.</w:t>
      </w:r>
      <w:r w:rsidRPr="007D29CC">
        <w:rPr>
          <w:lang w:eastAsia="en-US"/>
        </w:rPr>
        <w:tab/>
      </w:r>
      <w:r w:rsidR="00895001" w:rsidRPr="007D29CC">
        <w:rPr>
          <w:lang w:eastAsia="en-US"/>
        </w:rPr>
        <w:t xml:space="preserve">Projections shall be presented on a sectoral basis. To the extent possible, the sectoral categories used should be the same as in the GHG inventories. </w:t>
      </w:r>
    </w:p>
    <w:p w14:paraId="761A4542" w14:textId="7AF68C2D" w:rsidR="00895001" w:rsidRPr="007D29CC" w:rsidRDefault="000E0429" w:rsidP="000E0429">
      <w:pPr>
        <w:pStyle w:val="RegSingleTxtG"/>
        <w:numPr>
          <w:ilvl w:val="0"/>
          <w:numId w:val="0"/>
        </w:numPr>
        <w:tabs>
          <w:tab w:val="left" w:pos="568"/>
        </w:tabs>
        <w:ind w:left="1135"/>
        <w:rPr>
          <w:lang w:eastAsia="en-US"/>
        </w:rPr>
      </w:pPr>
      <w:r w:rsidRPr="007D29CC">
        <w:rPr>
          <w:lang w:eastAsia="en-US"/>
        </w:rPr>
        <w:t>32.</w:t>
      </w:r>
      <w:r w:rsidRPr="007D29CC">
        <w:rPr>
          <w:lang w:eastAsia="en-US"/>
        </w:rPr>
        <w:tab/>
      </w:r>
      <w:r w:rsidR="00895001" w:rsidRPr="007D29CC">
        <w:rPr>
          <w:lang w:eastAsia="en-US"/>
        </w:rPr>
        <w:t xml:space="preserve">Projections shall be presented on a gas-by-gas basis for the following GHGs: CO2, CH4, N2O, PFCs, HFCs, SF6 and NF3 (treating PFCs and HFCs collectively in each case). Parties may also provide projections of indirect emissions of carbon monoxide, nitrogen oxide and non-methane volatile organic compounds, as well as sulphur oxide. In addition, projections shall be provided in an aggregated format for each sector as well as for a national total, using global warming potential values agreed upon by the COP. </w:t>
      </w:r>
    </w:p>
    <w:p w14:paraId="72D37732" w14:textId="20551440" w:rsidR="00895001" w:rsidRPr="007D29CC" w:rsidRDefault="000E0429" w:rsidP="000E0429">
      <w:pPr>
        <w:pStyle w:val="RegSingleTxtG"/>
        <w:numPr>
          <w:ilvl w:val="0"/>
          <w:numId w:val="0"/>
        </w:numPr>
        <w:tabs>
          <w:tab w:val="left" w:pos="568"/>
        </w:tabs>
        <w:ind w:left="1135"/>
        <w:rPr>
          <w:lang w:eastAsia="en-US"/>
        </w:rPr>
      </w:pPr>
      <w:r w:rsidRPr="007D29CC">
        <w:rPr>
          <w:lang w:eastAsia="en-US"/>
        </w:rPr>
        <w:t>33.</w:t>
      </w:r>
      <w:r w:rsidRPr="007D29CC">
        <w:rPr>
          <w:lang w:eastAsia="en-US"/>
        </w:rPr>
        <w:tab/>
      </w:r>
      <w:r w:rsidR="00895001" w:rsidRPr="007D29CC">
        <w:rPr>
          <w:lang w:eastAsia="en-US"/>
        </w:rPr>
        <w:t>To ensure consistency with inventory reporting, emission projections related to fuel sold to ships and aircraft engaged in international transport shall, to the extent possible, be reported separately and not included in the national total.</w:t>
      </w:r>
    </w:p>
    <w:p w14:paraId="0BE1FFCC" w14:textId="433D438B" w:rsidR="00895001" w:rsidRPr="00170C38" w:rsidRDefault="000E0429" w:rsidP="000E0429">
      <w:pPr>
        <w:pStyle w:val="RegSingleTxtG"/>
        <w:numPr>
          <w:ilvl w:val="0"/>
          <w:numId w:val="0"/>
        </w:numPr>
        <w:tabs>
          <w:tab w:val="left" w:pos="568"/>
        </w:tabs>
        <w:ind w:left="1135"/>
        <w:rPr>
          <w:rFonts w:eastAsia="Calibri"/>
          <w:lang w:eastAsia="en-US"/>
        </w:rPr>
      </w:pPr>
      <w:r w:rsidRPr="00170C38">
        <w:rPr>
          <w:rFonts w:eastAsia="Calibri"/>
          <w:lang w:eastAsia="en-US"/>
        </w:rPr>
        <w:t>34.</w:t>
      </w:r>
      <w:r w:rsidRPr="00170C38">
        <w:rPr>
          <w:rFonts w:eastAsia="Calibri"/>
          <w:lang w:eastAsia="en-US"/>
        </w:rPr>
        <w:tab/>
      </w:r>
      <w:r w:rsidR="00895001" w:rsidRPr="007D29CC">
        <w:rPr>
          <w:lang w:eastAsia="en-US"/>
        </w:rPr>
        <w:t>In view of the objective of the Convention and the intent to modify longer-term trends in emissions and removals, Parties should include information on historical emissions and removals on a quantitative basis for the period from 1990 (or another base year, as appropriate) to the most recent inventory year. The information should be presented for 1990 (and another base year, as appropriate), 1995, 2000, 2005, 2010 and subsequent years that end in either a zero or a five up to the most recent inventory year. Parties should include projections on a quantitative basis, starting from the most recent inventory year and for subsequent years that end in either a zero or a five, extending at least 15 years from the most recent inventory year (e.g. 2020, 2025, 2030 and 2035). Projections and information on historical emissions and removals should be presented in tabular format. The tabular format used shall be as in tables 2, 3 and 4 below. For Parties using a base year other than 1990 for their GHG inventories, in accordance with Article 4, paragraph 6, of the Convention, inventory data for that year shall be given</w:t>
      </w:r>
      <w:r w:rsidR="00895001" w:rsidRPr="00170C38">
        <w:rPr>
          <w:rFonts w:eastAsia="Calibri"/>
          <w:lang w:eastAsia="en-US"/>
        </w:rPr>
        <w:t xml:space="preserve">. </w:t>
      </w:r>
    </w:p>
    <w:p w14:paraId="781EFA31" w14:textId="77777777" w:rsidR="00895001" w:rsidRDefault="00895001" w:rsidP="00895001"/>
    <w:p w14:paraId="577115C5" w14:textId="77777777" w:rsidR="00895001" w:rsidRDefault="00895001" w:rsidP="00895001">
      <w:pPr>
        <w:sectPr w:rsidR="00895001" w:rsidSect="006D4A81">
          <w:headerReference w:type="even" r:id="rId25"/>
          <w:headerReference w:type="default" r:id="rId26"/>
          <w:footerReference w:type="even" r:id="rId27"/>
          <w:footerReference w:type="default" r:id="rId28"/>
          <w:pgSz w:w="11906" w:h="16838" w:code="9"/>
          <w:pgMar w:top="1701" w:right="1134" w:bottom="2268" w:left="1134" w:header="1134" w:footer="1701" w:gutter="0"/>
          <w:cols w:space="708"/>
          <w:docGrid w:linePitch="360"/>
        </w:sectPr>
      </w:pPr>
    </w:p>
    <w:p w14:paraId="285D1D08" w14:textId="77777777" w:rsidR="00895001" w:rsidRPr="00170C38" w:rsidRDefault="00895001" w:rsidP="00895001">
      <w:pPr>
        <w:keepNext/>
        <w:suppressAutoHyphens w:val="0"/>
        <w:spacing w:line="240" w:lineRule="auto"/>
        <w:ind w:right="255"/>
        <w:rPr>
          <w:rFonts w:eastAsia="Times New Roman"/>
          <w:bCs/>
          <w:snapToGrid w:val="0"/>
          <w:color w:val="000000"/>
          <w:lang w:eastAsia="en-US"/>
        </w:rPr>
      </w:pPr>
      <w:r w:rsidRPr="00170C38">
        <w:rPr>
          <w:rFonts w:eastAsia="Times New Roman"/>
          <w:bCs/>
          <w:snapToGrid w:val="0"/>
          <w:color w:val="000000"/>
          <w:lang w:eastAsia="en-US"/>
        </w:rPr>
        <w:t>Table 2</w:t>
      </w:r>
    </w:p>
    <w:p w14:paraId="172F760E" w14:textId="77777777" w:rsidR="00895001" w:rsidRPr="00170C38" w:rsidRDefault="00895001" w:rsidP="00895001">
      <w:pPr>
        <w:keepNext/>
        <w:suppressAutoHyphens w:val="0"/>
        <w:spacing w:after="120" w:line="240" w:lineRule="auto"/>
        <w:ind w:right="255"/>
        <w:rPr>
          <w:rFonts w:eastAsia="Calibri"/>
          <w:lang w:eastAsia="en-US"/>
        </w:rPr>
      </w:pPr>
      <w:r w:rsidRPr="00170C38">
        <w:rPr>
          <w:rFonts w:eastAsia="Times New Roman"/>
          <w:b/>
          <w:bCs/>
          <w:snapToGrid w:val="0"/>
          <w:color w:val="000000"/>
          <w:lang w:eastAsia="en-US"/>
        </w:rPr>
        <w:t>Information on updated greenhouse gas projections under a ‘with measures’ scenario</w:t>
      </w:r>
      <w:r w:rsidRPr="00170C38">
        <w:rPr>
          <w:rFonts w:eastAsia="Times New Roman"/>
          <w:bCs/>
          <w:i/>
          <w:iCs/>
          <w:snapToGrid w:val="0"/>
          <w:color w:val="000000"/>
          <w:sz w:val="18"/>
          <w:vertAlign w:val="superscript"/>
          <w:lang w:eastAsia="en-US"/>
        </w:rPr>
        <w:t>a</w:t>
      </w:r>
    </w:p>
    <w:tbl>
      <w:tblPr>
        <w:tblW w:w="12474" w:type="dxa"/>
        <w:tblBorders>
          <w:top w:val="single" w:sz="4" w:space="0" w:color="auto"/>
        </w:tblBorders>
        <w:tblLayout w:type="fixed"/>
        <w:tblCellMar>
          <w:left w:w="0" w:type="dxa"/>
          <w:right w:w="113" w:type="dxa"/>
        </w:tblCellMar>
        <w:tblLook w:val="01E0" w:firstRow="1" w:lastRow="1" w:firstColumn="1" w:lastColumn="1" w:noHBand="0" w:noVBand="0"/>
      </w:tblPr>
      <w:tblGrid>
        <w:gridCol w:w="2553"/>
        <w:gridCol w:w="525"/>
        <w:gridCol w:w="265"/>
        <w:gridCol w:w="504"/>
        <w:gridCol w:w="284"/>
        <w:gridCol w:w="484"/>
        <w:gridCol w:w="304"/>
        <w:gridCol w:w="464"/>
        <w:gridCol w:w="324"/>
        <w:gridCol w:w="429"/>
        <w:gridCol w:w="359"/>
        <w:gridCol w:w="409"/>
        <w:gridCol w:w="379"/>
        <w:gridCol w:w="379"/>
        <w:gridCol w:w="409"/>
        <w:gridCol w:w="791"/>
        <w:gridCol w:w="337"/>
        <w:gridCol w:w="566"/>
        <w:gridCol w:w="392"/>
        <w:gridCol w:w="511"/>
        <w:gridCol w:w="269"/>
        <w:gridCol w:w="634"/>
        <w:gridCol w:w="903"/>
      </w:tblGrid>
      <w:tr w:rsidR="00895001" w:rsidRPr="00720B87" w14:paraId="3F098B8C" w14:textId="77777777" w:rsidTr="006D4A81">
        <w:trPr>
          <w:trHeight w:val="444"/>
          <w:tblHeader/>
        </w:trPr>
        <w:tc>
          <w:tcPr>
            <w:tcW w:w="1023" w:type="pct"/>
            <w:vMerge w:val="restart"/>
            <w:tcBorders>
              <w:top w:val="single" w:sz="4" w:space="0" w:color="auto"/>
              <w:left w:val="nil"/>
              <w:bottom w:val="single" w:sz="4" w:space="0" w:color="auto"/>
              <w:right w:val="nil"/>
            </w:tcBorders>
            <w:shd w:val="clear" w:color="auto" w:fill="auto"/>
            <w:vAlign w:val="center"/>
          </w:tcPr>
          <w:p w14:paraId="12D0A8C4" w14:textId="77777777" w:rsidR="00895001" w:rsidRPr="00720B87" w:rsidRDefault="00895001" w:rsidP="006D4A81">
            <w:pPr>
              <w:suppressAutoHyphens w:val="0"/>
              <w:autoSpaceDE w:val="0"/>
              <w:autoSpaceDN w:val="0"/>
              <w:adjustRightInd w:val="0"/>
              <w:spacing w:before="80" w:after="80" w:line="200" w:lineRule="exact"/>
              <w:rPr>
                <w:rFonts w:eastAsia="MS Mincho"/>
                <w:i/>
                <w:sz w:val="16"/>
                <w:lang w:eastAsia="ja-JP"/>
              </w:rPr>
            </w:pPr>
          </w:p>
        </w:tc>
        <w:tc>
          <w:tcPr>
            <w:tcW w:w="2528" w:type="pct"/>
            <w:gridSpan w:val="15"/>
            <w:tcBorders>
              <w:top w:val="single" w:sz="4" w:space="0" w:color="auto"/>
              <w:left w:val="nil"/>
              <w:bottom w:val="single" w:sz="4" w:space="0" w:color="auto"/>
              <w:right w:val="nil"/>
            </w:tcBorders>
            <w:shd w:val="clear" w:color="auto" w:fill="auto"/>
            <w:vAlign w:val="center"/>
          </w:tcPr>
          <w:p w14:paraId="69E72B16" w14:textId="77777777" w:rsidR="00895001" w:rsidRPr="00720B87" w:rsidRDefault="00895001" w:rsidP="006D4A81">
            <w:pPr>
              <w:suppressAutoHyphens w:val="0"/>
              <w:autoSpaceDE w:val="0"/>
              <w:autoSpaceDN w:val="0"/>
              <w:adjustRightInd w:val="0"/>
              <w:spacing w:before="40" w:after="40" w:line="220" w:lineRule="exact"/>
              <w:jc w:val="center"/>
              <w:rPr>
                <w:rFonts w:eastAsia="MS Mincho"/>
                <w:i/>
                <w:sz w:val="16"/>
                <w:lang w:eastAsia="ja-JP"/>
              </w:rPr>
            </w:pPr>
            <w:r w:rsidRPr="00720B87">
              <w:rPr>
                <w:rFonts w:eastAsia="MS Mincho"/>
                <w:i/>
                <w:sz w:val="16"/>
                <w:lang w:eastAsia="ja-JP"/>
              </w:rPr>
              <w:t>GHG emissions and removals</w:t>
            </w:r>
            <w:r w:rsidRPr="007D29CC">
              <w:rPr>
                <w:rFonts w:eastAsia="Times New Roman"/>
                <w:bCs/>
                <w:i/>
                <w:iCs/>
                <w:snapToGrid w:val="0"/>
                <w:color w:val="000000"/>
                <w:sz w:val="18"/>
                <w:szCs w:val="16"/>
                <w:vertAlign w:val="superscript"/>
                <w:lang w:eastAsia="en-US"/>
              </w:rPr>
              <w:t>b, c</w:t>
            </w:r>
            <w:r w:rsidRPr="00720B87">
              <w:rPr>
                <w:rFonts w:eastAsia="MS Mincho"/>
                <w:i/>
                <w:sz w:val="16"/>
                <w:lang w:eastAsia="ja-JP"/>
              </w:rPr>
              <w:br/>
              <w:t>(kt CO</w:t>
            </w:r>
            <w:r w:rsidRPr="002649B1">
              <w:rPr>
                <w:rFonts w:eastAsia="MS Mincho"/>
                <w:i/>
                <w:sz w:val="16"/>
                <w:vertAlign w:val="subscript"/>
                <w:lang w:eastAsia="ja-JP"/>
              </w:rPr>
              <w:t>2</w:t>
            </w:r>
            <w:r w:rsidRPr="00720B87">
              <w:rPr>
                <w:rFonts w:eastAsia="MS Mincho"/>
                <w:i/>
                <w:sz w:val="16"/>
                <w:lang w:eastAsia="ja-JP"/>
              </w:rPr>
              <w:t xml:space="preserve"> eq)</w:t>
            </w:r>
          </w:p>
        </w:tc>
        <w:tc>
          <w:tcPr>
            <w:tcW w:w="1449" w:type="pct"/>
            <w:gridSpan w:val="7"/>
            <w:tcBorders>
              <w:top w:val="single" w:sz="4" w:space="0" w:color="auto"/>
              <w:left w:val="nil"/>
              <w:bottom w:val="single" w:sz="4" w:space="0" w:color="auto"/>
              <w:right w:val="nil"/>
            </w:tcBorders>
            <w:shd w:val="clear" w:color="auto" w:fill="auto"/>
            <w:vAlign w:val="center"/>
          </w:tcPr>
          <w:p w14:paraId="646CDA8F" w14:textId="77777777" w:rsidR="00895001" w:rsidRPr="00720B87" w:rsidRDefault="00895001" w:rsidP="006D4A81">
            <w:pPr>
              <w:suppressAutoHyphens w:val="0"/>
              <w:autoSpaceDE w:val="0"/>
              <w:autoSpaceDN w:val="0"/>
              <w:adjustRightInd w:val="0"/>
              <w:spacing w:before="40" w:after="40" w:line="220" w:lineRule="exact"/>
              <w:jc w:val="center"/>
              <w:rPr>
                <w:rFonts w:eastAsia="MS Mincho"/>
                <w:i/>
                <w:sz w:val="16"/>
                <w:lang w:eastAsia="ja-JP"/>
              </w:rPr>
            </w:pPr>
            <w:r w:rsidRPr="00720B87">
              <w:rPr>
                <w:rFonts w:eastAsia="MS Mincho"/>
                <w:i/>
                <w:sz w:val="16"/>
                <w:lang w:eastAsia="ja-JP"/>
              </w:rPr>
              <w:t>GHG emission projections</w:t>
            </w:r>
            <w:r w:rsidRPr="007D29CC">
              <w:rPr>
                <w:rFonts w:eastAsia="Times New Roman"/>
                <w:bCs/>
                <w:i/>
                <w:iCs/>
                <w:snapToGrid w:val="0"/>
                <w:color w:val="000000"/>
                <w:sz w:val="18"/>
                <w:szCs w:val="16"/>
                <w:vertAlign w:val="superscript"/>
                <w:lang w:eastAsia="en-US"/>
              </w:rPr>
              <w:t>c, d</w:t>
            </w:r>
            <w:r w:rsidRPr="007D29CC">
              <w:rPr>
                <w:rFonts w:eastAsia="MS Mincho"/>
                <w:i/>
                <w:sz w:val="18"/>
                <w:szCs w:val="16"/>
                <w:lang w:eastAsia="ja-JP"/>
              </w:rPr>
              <w:t xml:space="preserve"> </w:t>
            </w:r>
            <w:r w:rsidRPr="00720B87">
              <w:rPr>
                <w:rFonts w:eastAsia="MS Mincho"/>
                <w:i/>
                <w:sz w:val="16"/>
                <w:lang w:eastAsia="ja-JP"/>
              </w:rPr>
              <w:br/>
              <w:t>(kt CO</w:t>
            </w:r>
            <w:r w:rsidRPr="002649B1">
              <w:rPr>
                <w:rFonts w:eastAsia="MS Mincho"/>
                <w:i/>
                <w:sz w:val="16"/>
                <w:vertAlign w:val="subscript"/>
                <w:lang w:eastAsia="ja-JP"/>
              </w:rPr>
              <w:t>2</w:t>
            </w:r>
            <w:r w:rsidRPr="00720B87">
              <w:rPr>
                <w:rFonts w:eastAsia="MS Mincho"/>
                <w:i/>
                <w:sz w:val="16"/>
                <w:lang w:eastAsia="ja-JP"/>
              </w:rPr>
              <w:t xml:space="preserve"> eq)</w:t>
            </w:r>
          </w:p>
        </w:tc>
      </w:tr>
      <w:tr w:rsidR="00895001" w:rsidRPr="00720B87" w14:paraId="37866943" w14:textId="77777777" w:rsidTr="006D4A81">
        <w:trPr>
          <w:trHeight w:val="240"/>
          <w:tblHeader/>
        </w:trPr>
        <w:tc>
          <w:tcPr>
            <w:tcW w:w="1023" w:type="pct"/>
            <w:vMerge/>
            <w:tcBorders>
              <w:top w:val="single" w:sz="4" w:space="0" w:color="auto"/>
              <w:bottom w:val="single" w:sz="12" w:space="0" w:color="auto"/>
            </w:tcBorders>
            <w:shd w:val="clear" w:color="auto" w:fill="auto"/>
            <w:vAlign w:val="center"/>
          </w:tcPr>
          <w:p w14:paraId="6C3B4D67" w14:textId="77777777" w:rsidR="00895001" w:rsidRPr="00720B87" w:rsidRDefault="00895001" w:rsidP="006D4A81">
            <w:pPr>
              <w:suppressAutoHyphens w:val="0"/>
              <w:autoSpaceDE w:val="0"/>
              <w:autoSpaceDN w:val="0"/>
              <w:adjustRightInd w:val="0"/>
              <w:spacing w:before="40" w:after="120" w:line="220" w:lineRule="exact"/>
              <w:rPr>
                <w:rFonts w:eastAsia="MS Mincho"/>
                <w:lang w:eastAsia="ja-JP"/>
              </w:rPr>
            </w:pPr>
          </w:p>
        </w:tc>
        <w:tc>
          <w:tcPr>
            <w:tcW w:w="316" w:type="pct"/>
            <w:gridSpan w:val="2"/>
            <w:tcBorders>
              <w:top w:val="single" w:sz="4" w:space="0" w:color="auto"/>
              <w:bottom w:val="single" w:sz="12" w:space="0" w:color="auto"/>
            </w:tcBorders>
            <w:shd w:val="clear" w:color="auto" w:fill="auto"/>
            <w:vAlign w:val="center"/>
          </w:tcPr>
          <w:p w14:paraId="3A155690"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Base year</w:t>
            </w:r>
          </w:p>
        </w:tc>
        <w:tc>
          <w:tcPr>
            <w:tcW w:w="316" w:type="pct"/>
            <w:gridSpan w:val="2"/>
            <w:tcBorders>
              <w:top w:val="single" w:sz="4" w:space="0" w:color="auto"/>
              <w:bottom w:val="single" w:sz="12" w:space="0" w:color="auto"/>
            </w:tcBorders>
            <w:shd w:val="clear" w:color="auto" w:fill="auto"/>
            <w:vAlign w:val="center"/>
          </w:tcPr>
          <w:p w14:paraId="5FA6AC99"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1990</w:t>
            </w:r>
          </w:p>
        </w:tc>
        <w:tc>
          <w:tcPr>
            <w:tcW w:w="316" w:type="pct"/>
            <w:gridSpan w:val="2"/>
            <w:tcBorders>
              <w:top w:val="single" w:sz="4" w:space="0" w:color="auto"/>
              <w:bottom w:val="single" w:sz="12" w:space="0" w:color="auto"/>
            </w:tcBorders>
            <w:shd w:val="clear" w:color="auto" w:fill="auto"/>
            <w:vAlign w:val="center"/>
          </w:tcPr>
          <w:p w14:paraId="18386511"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1995</w:t>
            </w:r>
          </w:p>
        </w:tc>
        <w:tc>
          <w:tcPr>
            <w:tcW w:w="316" w:type="pct"/>
            <w:gridSpan w:val="2"/>
            <w:tcBorders>
              <w:top w:val="single" w:sz="4" w:space="0" w:color="auto"/>
              <w:bottom w:val="single" w:sz="12" w:space="0" w:color="auto"/>
            </w:tcBorders>
            <w:shd w:val="clear" w:color="auto" w:fill="auto"/>
            <w:vAlign w:val="center"/>
          </w:tcPr>
          <w:p w14:paraId="4689FDD7"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2000</w:t>
            </w:r>
          </w:p>
        </w:tc>
        <w:tc>
          <w:tcPr>
            <w:tcW w:w="316" w:type="pct"/>
            <w:gridSpan w:val="2"/>
            <w:tcBorders>
              <w:top w:val="single" w:sz="4" w:space="0" w:color="auto"/>
              <w:bottom w:val="single" w:sz="12" w:space="0" w:color="auto"/>
            </w:tcBorders>
            <w:shd w:val="clear" w:color="auto" w:fill="auto"/>
            <w:vAlign w:val="center"/>
          </w:tcPr>
          <w:p w14:paraId="36DBF194"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2005</w:t>
            </w:r>
          </w:p>
        </w:tc>
        <w:tc>
          <w:tcPr>
            <w:tcW w:w="316" w:type="pct"/>
            <w:gridSpan w:val="2"/>
            <w:tcBorders>
              <w:top w:val="single" w:sz="4" w:space="0" w:color="auto"/>
              <w:bottom w:val="single" w:sz="12" w:space="0" w:color="auto"/>
            </w:tcBorders>
            <w:shd w:val="clear" w:color="auto" w:fill="auto"/>
            <w:vAlign w:val="center"/>
          </w:tcPr>
          <w:p w14:paraId="2ECF97C1"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2010</w:t>
            </w:r>
          </w:p>
        </w:tc>
        <w:tc>
          <w:tcPr>
            <w:tcW w:w="316" w:type="pct"/>
            <w:gridSpan w:val="2"/>
            <w:tcBorders>
              <w:top w:val="single" w:sz="4" w:space="0" w:color="auto"/>
              <w:bottom w:val="single" w:sz="12" w:space="0" w:color="auto"/>
            </w:tcBorders>
            <w:shd w:val="clear" w:color="auto" w:fill="auto"/>
            <w:vAlign w:val="center"/>
          </w:tcPr>
          <w:p w14:paraId="6CFD8A8C"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Pr>
                <w:rFonts w:eastAsia="MS Mincho"/>
                <w:i/>
                <w:sz w:val="16"/>
                <w:szCs w:val="16"/>
                <w:lang w:eastAsia="ja-JP"/>
              </w:rPr>
              <w:t>…</w:t>
            </w:r>
          </w:p>
        </w:tc>
        <w:tc>
          <w:tcPr>
            <w:tcW w:w="317" w:type="pct"/>
            <w:tcBorders>
              <w:top w:val="single" w:sz="4" w:space="0" w:color="auto"/>
              <w:bottom w:val="single" w:sz="12" w:space="0" w:color="auto"/>
            </w:tcBorders>
            <w:shd w:val="clear" w:color="auto" w:fill="auto"/>
            <w:vAlign w:val="center"/>
          </w:tcPr>
          <w:p w14:paraId="55B908FB" w14:textId="77777777" w:rsidR="00895001" w:rsidRPr="002B73ED" w:rsidDel="00864326"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20XX</w:t>
            </w:r>
            <w:r w:rsidRPr="007D29CC">
              <w:rPr>
                <w:rFonts w:eastAsia="Times New Roman"/>
                <w:bCs/>
                <w:i/>
                <w:iCs/>
                <w:snapToGrid w:val="0"/>
                <w:color w:val="000000"/>
                <w:sz w:val="18"/>
                <w:szCs w:val="16"/>
                <w:vertAlign w:val="superscript"/>
                <w:lang w:eastAsia="en-US"/>
              </w:rPr>
              <w:t>e</w:t>
            </w:r>
            <w:r w:rsidRPr="007D29CC">
              <w:rPr>
                <w:rFonts w:eastAsia="MS Mincho"/>
                <w:i/>
                <w:sz w:val="18"/>
                <w:szCs w:val="16"/>
                <w:lang w:eastAsia="ja-JP"/>
              </w:rPr>
              <w:t xml:space="preserve"> </w:t>
            </w:r>
          </w:p>
        </w:tc>
        <w:tc>
          <w:tcPr>
            <w:tcW w:w="362" w:type="pct"/>
            <w:gridSpan w:val="2"/>
            <w:tcBorders>
              <w:top w:val="single" w:sz="4" w:space="0" w:color="auto"/>
              <w:bottom w:val="single" w:sz="12" w:space="0" w:color="auto"/>
            </w:tcBorders>
            <w:shd w:val="clear" w:color="auto" w:fill="auto"/>
            <w:vAlign w:val="center"/>
          </w:tcPr>
          <w:p w14:paraId="369A6338" w14:textId="77777777" w:rsidR="00895001" w:rsidRPr="002B73ED" w:rsidDel="00864326" w:rsidRDefault="00895001" w:rsidP="006D4A81">
            <w:pPr>
              <w:pStyle w:val="FootnoteTable"/>
              <w:spacing w:before="40" w:after="40"/>
              <w:jc w:val="left"/>
              <w:rPr>
                <w:i/>
                <w:sz w:val="16"/>
                <w:szCs w:val="16"/>
                <w:lang w:eastAsia="ja-JP"/>
              </w:rPr>
            </w:pPr>
            <w:r w:rsidRPr="002B73ED">
              <w:rPr>
                <w:i/>
                <w:sz w:val="16"/>
                <w:szCs w:val="16"/>
                <w:lang w:eastAsia="ja-JP"/>
              </w:rPr>
              <w:t>20YY</w:t>
            </w:r>
            <w:r w:rsidRPr="007D29CC">
              <w:rPr>
                <w:i/>
                <w:szCs w:val="16"/>
                <w:vertAlign w:val="superscript"/>
                <w:lang w:eastAsia="ja-JP"/>
              </w:rPr>
              <w:t>f</w:t>
            </w:r>
          </w:p>
        </w:tc>
        <w:tc>
          <w:tcPr>
            <w:tcW w:w="362" w:type="pct"/>
            <w:gridSpan w:val="2"/>
            <w:tcBorders>
              <w:top w:val="single" w:sz="4" w:space="0" w:color="auto"/>
              <w:bottom w:val="single" w:sz="12" w:space="0" w:color="auto"/>
            </w:tcBorders>
            <w:shd w:val="clear" w:color="auto" w:fill="auto"/>
            <w:tcMar>
              <w:right w:w="57" w:type="dxa"/>
            </w:tcMar>
            <w:vAlign w:val="center"/>
          </w:tcPr>
          <w:p w14:paraId="5BDD339C"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62" w:type="pct"/>
            <w:gridSpan w:val="2"/>
            <w:tcBorders>
              <w:top w:val="single" w:sz="4" w:space="0" w:color="auto"/>
              <w:bottom w:val="single" w:sz="12" w:space="0" w:color="auto"/>
            </w:tcBorders>
            <w:shd w:val="clear" w:color="auto" w:fill="auto"/>
            <w:tcMar>
              <w:right w:w="57" w:type="dxa"/>
            </w:tcMar>
            <w:vAlign w:val="center"/>
          </w:tcPr>
          <w:p w14:paraId="5011C076"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62" w:type="pct"/>
            <w:tcBorders>
              <w:top w:val="single" w:sz="4" w:space="0" w:color="auto"/>
              <w:bottom w:val="single" w:sz="12" w:space="0" w:color="auto"/>
            </w:tcBorders>
            <w:shd w:val="clear" w:color="auto" w:fill="auto"/>
            <w:vAlign w:val="center"/>
          </w:tcPr>
          <w:p w14:paraId="54115212" w14:textId="77777777" w:rsidR="00895001" w:rsidRPr="002B73ED"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r>
      <w:tr w:rsidR="00895001" w:rsidRPr="00401E66" w14:paraId="40BA9F86" w14:textId="77777777" w:rsidTr="006D4A81">
        <w:trPr>
          <w:trHeight w:val="240"/>
        </w:trPr>
        <w:tc>
          <w:tcPr>
            <w:tcW w:w="1023" w:type="pct"/>
            <w:tcBorders>
              <w:top w:val="single" w:sz="12" w:space="0" w:color="auto"/>
            </w:tcBorders>
            <w:shd w:val="clear" w:color="auto" w:fill="auto"/>
            <w:vAlign w:val="center"/>
          </w:tcPr>
          <w:p w14:paraId="3A80F852" w14:textId="5C8703CE"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562AD1">
              <w:rPr>
                <w:rFonts w:eastAsia="MS Mincho"/>
                <w:b/>
                <w:i/>
                <w:sz w:val="18"/>
                <w:szCs w:val="18"/>
                <w:lang w:eastAsia="ja-JP"/>
              </w:rPr>
              <w:t>Sector</w:t>
            </w:r>
            <w:r w:rsidRPr="00401E66">
              <w:rPr>
                <w:rFonts w:eastAsia="Times New Roman"/>
                <w:bCs/>
                <w:i/>
                <w:iCs/>
                <w:snapToGrid w:val="0"/>
                <w:color w:val="000000"/>
                <w:sz w:val="18"/>
                <w:szCs w:val="18"/>
                <w:vertAlign w:val="superscript"/>
                <w:lang w:eastAsia="en-US"/>
              </w:rPr>
              <w:t>g</w:t>
            </w:r>
            <w:r>
              <w:rPr>
                <w:rFonts w:eastAsia="Times New Roman"/>
                <w:bCs/>
                <w:i/>
                <w:iCs/>
                <w:snapToGrid w:val="0"/>
                <w:color w:val="000000"/>
                <w:sz w:val="18"/>
                <w:szCs w:val="18"/>
                <w:vertAlign w:val="superscript"/>
                <w:lang w:eastAsia="en-US"/>
              </w:rPr>
              <w:t>, h</w:t>
            </w:r>
          </w:p>
        </w:tc>
        <w:tc>
          <w:tcPr>
            <w:tcW w:w="210" w:type="pct"/>
            <w:tcBorders>
              <w:top w:val="single" w:sz="12" w:space="0" w:color="auto"/>
            </w:tcBorders>
            <w:shd w:val="clear" w:color="auto" w:fill="auto"/>
            <w:vAlign w:val="center"/>
          </w:tcPr>
          <w:p w14:paraId="00C3387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5C5AA69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1CB5DBE1"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07C110B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tcBorders>
              <w:top w:val="single" w:sz="12" w:space="0" w:color="auto"/>
            </w:tcBorders>
            <w:shd w:val="clear" w:color="auto" w:fill="auto"/>
            <w:vAlign w:val="center"/>
          </w:tcPr>
          <w:p w14:paraId="14AA3AD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top w:val="single" w:sz="12" w:space="0" w:color="auto"/>
            </w:tcBorders>
            <w:shd w:val="clear" w:color="auto" w:fill="auto"/>
            <w:vAlign w:val="center"/>
          </w:tcPr>
          <w:p w14:paraId="61A0B441"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tcBorders>
              <w:top w:val="single" w:sz="12" w:space="0" w:color="auto"/>
            </w:tcBorders>
            <w:shd w:val="clear" w:color="auto" w:fill="auto"/>
            <w:vAlign w:val="center"/>
          </w:tcPr>
          <w:p w14:paraId="6D30138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tcBorders>
              <w:top w:val="single" w:sz="12" w:space="0" w:color="auto"/>
            </w:tcBorders>
            <w:shd w:val="clear" w:color="auto" w:fill="auto"/>
            <w:vAlign w:val="center"/>
          </w:tcPr>
          <w:p w14:paraId="6869194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tcBorders>
              <w:top w:val="single" w:sz="12" w:space="0" w:color="auto"/>
            </w:tcBorders>
            <w:shd w:val="clear" w:color="auto" w:fill="auto"/>
            <w:vAlign w:val="center"/>
          </w:tcPr>
          <w:p w14:paraId="22FC65E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tcBorders>
              <w:top w:val="single" w:sz="12" w:space="0" w:color="auto"/>
            </w:tcBorders>
            <w:shd w:val="clear" w:color="auto" w:fill="auto"/>
            <w:vAlign w:val="center"/>
          </w:tcPr>
          <w:p w14:paraId="47DF35D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tcBorders>
              <w:top w:val="single" w:sz="12" w:space="0" w:color="auto"/>
            </w:tcBorders>
            <w:shd w:val="clear" w:color="auto" w:fill="auto"/>
            <w:vAlign w:val="center"/>
          </w:tcPr>
          <w:p w14:paraId="5920BBBD"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tcBorders>
              <w:top w:val="single" w:sz="12" w:space="0" w:color="auto"/>
            </w:tcBorders>
            <w:shd w:val="clear" w:color="auto" w:fill="auto"/>
            <w:vAlign w:val="center"/>
          </w:tcPr>
          <w:p w14:paraId="57CF249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7BA67BC0" w14:textId="77777777" w:rsidTr="006D4A81">
        <w:trPr>
          <w:trHeight w:val="240"/>
        </w:trPr>
        <w:tc>
          <w:tcPr>
            <w:tcW w:w="1023" w:type="pct"/>
            <w:shd w:val="clear" w:color="auto" w:fill="auto"/>
            <w:vAlign w:val="center"/>
          </w:tcPr>
          <w:p w14:paraId="5286B12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Energy</w:t>
            </w:r>
          </w:p>
        </w:tc>
        <w:tc>
          <w:tcPr>
            <w:tcW w:w="210" w:type="pct"/>
            <w:shd w:val="clear" w:color="auto" w:fill="auto"/>
            <w:vAlign w:val="center"/>
          </w:tcPr>
          <w:p w14:paraId="1446ADA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 </w:t>
            </w:r>
          </w:p>
        </w:tc>
        <w:tc>
          <w:tcPr>
            <w:tcW w:w="308" w:type="pct"/>
            <w:gridSpan w:val="2"/>
            <w:shd w:val="clear" w:color="auto" w:fill="auto"/>
            <w:vAlign w:val="center"/>
          </w:tcPr>
          <w:p w14:paraId="76800DD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9A00A3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BB38A8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31D58A7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82E175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4B42B7E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5995FB7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69DC3F2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416F5C8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683CE0E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028D23E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416A5C12" w14:textId="77777777" w:rsidTr="006D4A81">
        <w:trPr>
          <w:trHeight w:val="240"/>
        </w:trPr>
        <w:tc>
          <w:tcPr>
            <w:tcW w:w="1023" w:type="pct"/>
            <w:shd w:val="clear" w:color="auto" w:fill="auto"/>
            <w:vAlign w:val="center"/>
          </w:tcPr>
          <w:p w14:paraId="3CE66F1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Transport</w:t>
            </w:r>
          </w:p>
        </w:tc>
        <w:tc>
          <w:tcPr>
            <w:tcW w:w="210" w:type="pct"/>
            <w:shd w:val="clear" w:color="auto" w:fill="auto"/>
            <w:vAlign w:val="center"/>
          </w:tcPr>
          <w:p w14:paraId="6F41676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B28B94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458B0F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98A855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522B4E7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26E646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400DB0B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6840F6E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1F4DE6D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0A9ECDC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9484FA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3624EB7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726C424B" w14:textId="77777777" w:rsidTr="006D4A81">
        <w:trPr>
          <w:trHeight w:val="240"/>
        </w:trPr>
        <w:tc>
          <w:tcPr>
            <w:tcW w:w="1023" w:type="pct"/>
            <w:shd w:val="clear" w:color="auto" w:fill="auto"/>
            <w:vAlign w:val="center"/>
          </w:tcPr>
          <w:p w14:paraId="285AF39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50252A">
              <w:rPr>
                <w:rFonts w:eastAsia="MS Mincho"/>
                <w:sz w:val="18"/>
                <w:szCs w:val="18"/>
                <w:lang w:eastAsia="ja-JP"/>
              </w:rPr>
              <w:t>Industry/industrial processes</w:t>
            </w:r>
            <w:r w:rsidRPr="0050252A">
              <w:rPr>
                <w:rFonts w:eastAsia="Calibri"/>
                <w:sz w:val="24"/>
                <w:szCs w:val="24"/>
                <w:lang w:eastAsia="en-US"/>
              </w:rPr>
              <w:t xml:space="preserve"> </w:t>
            </w:r>
            <w:r w:rsidRPr="0050252A">
              <w:rPr>
                <w:rFonts w:eastAsia="MS Mincho"/>
                <w:sz w:val="18"/>
                <w:szCs w:val="18"/>
                <w:lang w:eastAsia="ja-JP"/>
              </w:rPr>
              <w:t>and product use</w:t>
            </w:r>
          </w:p>
        </w:tc>
        <w:tc>
          <w:tcPr>
            <w:tcW w:w="210" w:type="pct"/>
            <w:shd w:val="clear" w:color="auto" w:fill="auto"/>
            <w:vAlign w:val="center"/>
          </w:tcPr>
          <w:p w14:paraId="443F7B3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265B50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2DED08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8F2454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615868C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7B90FD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31A1414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12525E5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7CFB159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4778FD3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797882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5B4EA06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5820D3A4" w14:textId="77777777" w:rsidTr="006D4A81">
        <w:trPr>
          <w:trHeight w:val="240"/>
        </w:trPr>
        <w:tc>
          <w:tcPr>
            <w:tcW w:w="1023" w:type="pct"/>
            <w:shd w:val="clear" w:color="auto" w:fill="auto"/>
            <w:vAlign w:val="center"/>
          </w:tcPr>
          <w:p w14:paraId="3E381DE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Agriculture</w:t>
            </w:r>
          </w:p>
        </w:tc>
        <w:tc>
          <w:tcPr>
            <w:tcW w:w="210" w:type="pct"/>
            <w:shd w:val="clear" w:color="auto" w:fill="auto"/>
            <w:vAlign w:val="center"/>
          </w:tcPr>
          <w:p w14:paraId="09DFD48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AE9F07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BBA53B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629F7D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33157F3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ABF57B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7994304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450C6A0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084D94B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234E42F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C6AB59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74C5823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32FE7A8E" w14:textId="77777777" w:rsidTr="006D4A81">
        <w:trPr>
          <w:trHeight w:val="240"/>
        </w:trPr>
        <w:tc>
          <w:tcPr>
            <w:tcW w:w="1023" w:type="pct"/>
            <w:shd w:val="clear" w:color="auto" w:fill="auto"/>
            <w:vAlign w:val="center"/>
          </w:tcPr>
          <w:p w14:paraId="7E6410D1"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Forestry/LULUCF </w:t>
            </w:r>
          </w:p>
          <w:p w14:paraId="5FE624C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Waste management/waste </w:t>
            </w:r>
          </w:p>
        </w:tc>
        <w:tc>
          <w:tcPr>
            <w:tcW w:w="210" w:type="pct"/>
            <w:shd w:val="clear" w:color="auto" w:fill="auto"/>
            <w:vAlign w:val="center"/>
          </w:tcPr>
          <w:p w14:paraId="1B1CB92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37F72FF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20F7A55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78EE48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1FE2EF4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00272D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58FDCD6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1BBE7E1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75F88B6D"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5B09C89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2161033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21C58EA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2FA8903C" w14:textId="77777777" w:rsidTr="006D4A81">
        <w:trPr>
          <w:trHeight w:val="240"/>
        </w:trPr>
        <w:tc>
          <w:tcPr>
            <w:tcW w:w="1023" w:type="pct"/>
            <w:tcBorders>
              <w:bottom w:val="single" w:sz="4" w:space="0" w:color="auto"/>
            </w:tcBorders>
            <w:shd w:val="clear" w:color="auto" w:fill="auto"/>
            <w:vAlign w:val="center"/>
          </w:tcPr>
          <w:p w14:paraId="67B063E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 xml:space="preserve">Other (specify)   </w:t>
            </w:r>
          </w:p>
        </w:tc>
        <w:tc>
          <w:tcPr>
            <w:tcW w:w="210" w:type="pct"/>
            <w:tcBorders>
              <w:bottom w:val="single" w:sz="4" w:space="0" w:color="auto"/>
            </w:tcBorders>
            <w:shd w:val="clear" w:color="auto" w:fill="auto"/>
            <w:vAlign w:val="center"/>
          </w:tcPr>
          <w:p w14:paraId="74F5E90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18FA071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4AEECAC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45E5404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tcBorders>
              <w:bottom w:val="single" w:sz="4" w:space="0" w:color="auto"/>
            </w:tcBorders>
            <w:shd w:val="clear" w:color="auto" w:fill="auto"/>
            <w:vAlign w:val="center"/>
          </w:tcPr>
          <w:p w14:paraId="06E0C34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tcBorders>
              <w:bottom w:val="single" w:sz="4" w:space="0" w:color="auto"/>
            </w:tcBorders>
            <w:shd w:val="clear" w:color="auto" w:fill="auto"/>
            <w:vAlign w:val="center"/>
          </w:tcPr>
          <w:p w14:paraId="77B07DE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tcBorders>
              <w:bottom w:val="single" w:sz="4" w:space="0" w:color="auto"/>
            </w:tcBorders>
            <w:shd w:val="clear" w:color="auto" w:fill="auto"/>
            <w:vAlign w:val="center"/>
          </w:tcPr>
          <w:p w14:paraId="48DB754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tcBorders>
              <w:bottom w:val="single" w:sz="4" w:space="0" w:color="auto"/>
            </w:tcBorders>
            <w:shd w:val="clear" w:color="auto" w:fill="auto"/>
            <w:vAlign w:val="center"/>
          </w:tcPr>
          <w:p w14:paraId="262E83E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tcBorders>
              <w:bottom w:val="single" w:sz="4" w:space="0" w:color="auto"/>
            </w:tcBorders>
            <w:shd w:val="clear" w:color="auto" w:fill="auto"/>
            <w:vAlign w:val="center"/>
          </w:tcPr>
          <w:p w14:paraId="6186F25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tcBorders>
              <w:bottom w:val="single" w:sz="4" w:space="0" w:color="auto"/>
            </w:tcBorders>
            <w:shd w:val="clear" w:color="auto" w:fill="auto"/>
            <w:vAlign w:val="center"/>
          </w:tcPr>
          <w:p w14:paraId="110C8B2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tcBorders>
              <w:bottom w:val="single" w:sz="4" w:space="0" w:color="auto"/>
            </w:tcBorders>
            <w:shd w:val="clear" w:color="auto" w:fill="auto"/>
            <w:vAlign w:val="center"/>
          </w:tcPr>
          <w:p w14:paraId="294398A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tcBorders>
              <w:bottom w:val="single" w:sz="4" w:space="0" w:color="auto"/>
            </w:tcBorders>
            <w:shd w:val="clear" w:color="auto" w:fill="auto"/>
            <w:vAlign w:val="center"/>
          </w:tcPr>
          <w:p w14:paraId="2143588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562AD1" w14:paraId="07058754" w14:textId="77777777" w:rsidTr="006D4A81">
        <w:trPr>
          <w:trHeight w:val="240"/>
        </w:trPr>
        <w:tc>
          <w:tcPr>
            <w:tcW w:w="1023" w:type="pct"/>
            <w:tcBorders>
              <w:top w:val="single" w:sz="4" w:space="0" w:color="auto"/>
            </w:tcBorders>
            <w:shd w:val="clear" w:color="auto" w:fill="auto"/>
            <w:vAlign w:val="center"/>
          </w:tcPr>
          <w:p w14:paraId="70B20910"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r w:rsidRPr="00562AD1">
              <w:rPr>
                <w:rFonts w:eastAsia="MS Mincho"/>
                <w:b/>
                <w:i/>
                <w:sz w:val="18"/>
                <w:szCs w:val="18"/>
                <w:lang w:eastAsia="ja-JP"/>
              </w:rPr>
              <w:t xml:space="preserve">Gas </w:t>
            </w:r>
          </w:p>
        </w:tc>
        <w:tc>
          <w:tcPr>
            <w:tcW w:w="210" w:type="pct"/>
            <w:tcBorders>
              <w:top w:val="single" w:sz="4" w:space="0" w:color="auto"/>
            </w:tcBorders>
            <w:shd w:val="clear" w:color="auto" w:fill="auto"/>
            <w:vAlign w:val="center"/>
          </w:tcPr>
          <w:p w14:paraId="79129EA6"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5A5D3F76"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46588721"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4D44E118"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02" w:type="pct"/>
            <w:gridSpan w:val="2"/>
            <w:tcBorders>
              <w:top w:val="single" w:sz="4" w:space="0" w:color="auto"/>
            </w:tcBorders>
            <w:shd w:val="clear" w:color="auto" w:fill="auto"/>
            <w:vAlign w:val="center"/>
          </w:tcPr>
          <w:p w14:paraId="667C22F8"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08" w:type="pct"/>
            <w:gridSpan w:val="2"/>
            <w:tcBorders>
              <w:top w:val="single" w:sz="4" w:space="0" w:color="auto"/>
            </w:tcBorders>
            <w:shd w:val="clear" w:color="auto" w:fill="auto"/>
            <w:vAlign w:val="center"/>
          </w:tcPr>
          <w:p w14:paraId="43566859"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04" w:type="pct"/>
            <w:gridSpan w:val="2"/>
            <w:tcBorders>
              <w:top w:val="single" w:sz="4" w:space="0" w:color="auto"/>
            </w:tcBorders>
            <w:shd w:val="clear" w:color="auto" w:fill="auto"/>
            <w:vAlign w:val="center"/>
          </w:tcPr>
          <w:p w14:paraId="64EDF985"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481" w:type="pct"/>
            <w:gridSpan w:val="2"/>
            <w:tcBorders>
              <w:top w:val="single" w:sz="4" w:space="0" w:color="auto"/>
            </w:tcBorders>
            <w:shd w:val="clear" w:color="auto" w:fill="auto"/>
            <w:vAlign w:val="center"/>
          </w:tcPr>
          <w:p w14:paraId="188A3F55"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135" w:type="pct"/>
            <w:tcBorders>
              <w:top w:val="single" w:sz="4" w:space="0" w:color="auto"/>
            </w:tcBorders>
            <w:shd w:val="clear" w:color="auto" w:fill="auto"/>
            <w:vAlign w:val="center"/>
          </w:tcPr>
          <w:p w14:paraId="0AAC5575"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84" w:type="pct"/>
            <w:gridSpan w:val="2"/>
            <w:tcBorders>
              <w:top w:val="single" w:sz="4" w:space="0" w:color="auto"/>
            </w:tcBorders>
            <w:shd w:val="clear" w:color="auto" w:fill="auto"/>
            <w:vAlign w:val="center"/>
          </w:tcPr>
          <w:p w14:paraId="1057181D"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313" w:type="pct"/>
            <w:gridSpan w:val="2"/>
            <w:tcBorders>
              <w:top w:val="single" w:sz="4" w:space="0" w:color="auto"/>
            </w:tcBorders>
            <w:shd w:val="clear" w:color="auto" w:fill="auto"/>
            <w:vAlign w:val="center"/>
          </w:tcPr>
          <w:p w14:paraId="7844C342"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c>
          <w:tcPr>
            <w:tcW w:w="616" w:type="pct"/>
            <w:gridSpan w:val="2"/>
            <w:tcBorders>
              <w:top w:val="single" w:sz="4" w:space="0" w:color="auto"/>
            </w:tcBorders>
            <w:shd w:val="clear" w:color="auto" w:fill="auto"/>
            <w:vAlign w:val="center"/>
          </w:tcPr>
          <w:p w14:paraId="0103BA0F" w14:textId="77777777" w:rsidR="00895001" w:rsidRPr="00562AD1" w:rsidRDefault="00895001" w:rsidP="006D4A81">
            <w:pPr>
              <w:suppressAutoHyphens w:val="0"/>
              <w:autoSpaceDE w:val="0"/>
              <w:autoSpaceDN w:val="0"/>
              <w:adjustRightInd w:val="0"/>
              <w:spacing w:after="120" w:line="240" w:lineRule="auto"/>
              <w:rPr>
                <w:rFonts w:eastAsia="MS Mincho"/>
                <w:b/>
                <w:i/>
                <w:sz w:val="18"/>
                <w:szCs w:val="18"/>
                <w:lang w:eastAsia="ja-JP"/>
              </w:rPr>
            </w:pPr>
          </w:p>
        </w:tc>
      </w:tr>
      <w:tr w:rsidR="00895001" w:rsidRPr="00401E66" w14:paraId="7B83DA9A" w14:textId="77777777" w:rsidTr="006D4A81">
        <w:trPr>
          <w:trHeight w:val="240"/>
        </w:trPr>
        <w:tc>
          <w:tcPr>
            <w:tcW w:w="1023" w:type="pct"/>
            <w:shd w:val="clear" w:color="auto" w:fill="auto"/>
            <w:vAlign w:val="center"/>
          </w:tcPr>
          <w:p w14:paraId="7A2545A1"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CO</w:t>
            </w:r>
            <w:r w:rsidRPr="00401E66">
              <w:rPr>
                <w:rFonts w:eastAsia="MS Mincho"/>
                <w:sz w:val="18"/>
                <w:szCs w:val="18"/>
                <w:vertAlign w:val="subscript"/>
                <w:lang w:eastAsia="ja-JP"/>
              </w:rPr>
              <w:t>2</w:t>
            </w:r>
            <w:r w:rsidRPr="00401E66">
              <w:rPr>
                <w:rFonts w:eastAsia="MS Mincho"/>
                <w:sz w:val="18"/>
                <w:szCs w:val="18"/>
                <w:lang w:eastAsia="ja-JP"/>
              </w:rPr>
              <w:t xml:space="preserve"> emissions including net CO</w:t>
            </w:r>
            <w:r w:rsidRPr="00401E66">
              <w:rPr>
                <w:rFonts w:eastAsia="MS Mincho"/>
                <w:sz w:val="18"/>
                <w:szCs w:val="18"/>
                <w:vertAlign w:val="subscript"/>
                <w:lang w:eastAsia="ja-JP"/>
              </w:rPr>
              <w:t>2</w:t>
            </w:r>
            <w:r w:rsidRPr="00401E66">
              <w:rPr>
                <w:rFonts w:eastAsia="MS Mincho"/>
                <w:sz w:val="18"/>
                <w:szCs w:val="18"/>
                <w:lang w:eastAsia="ja-JP"/>
              </w:rPr>
              <w:t xml:space="preserve"> from LULUCF</w:t>
            </w:r>
          </w:p>
        </w:tc>
        <w:tc>
          <w:tcPr>
            <w:tcW w:w="210" w:type="pct"/>
            <w:shd w:val="clear" w:color="auto" w:fill="auto"/>
            <w:vAlign w:val="center"/>
          </w:tcPr>
          <w:p w14:paraId="02ED2BF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FBC3ED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3C3294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113669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60540BA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350844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12EF5EF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041B65B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2A1A604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50ED014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2F56C71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2F200C4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3255630A" w14:textId="77777777" w:rsidTr="006D4A81">
        <w:trPr>
          <w:trHeight w:val="240"/>
        </w:trPr>
        <w:tc>
          <w:tcPr>
            <w:tcW w:w="1023" w:type="pct"/>
            <w:shd w:val="clear" w:color="auto" w:fill="auto"/>
            <w:vAlign w:val="center"/>
          </w:tcPr>
          <w:p w14:paraId="0C664BD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CO</w:t>
            </w:r>
            <w:r w:rsidRPr="00401E66">
              <w:rPr>
                <w:rFonts w:eastAsia="MS Mincho"/>
                <w:sz w:val="18"/>
                <w:szCs w:val="18"/>
                <w:vertAlign w:val="subscript"/>
                <w:lang w:eastAsia="ja-JP"/>
              </w:rPr>
              <w:t>2</w:t>
            </w:r>
            <w:r w:rsidRPr="00401E66">
              <w:rPr>
                <w:rFonts w:eastAsia="MS Mincho"/>
                <w:sz w:val="18"/>
                <w:szCs w:val="18"/>
                <w:lang w:eastAsia="ja-JP"/>
              </w:rPr>
              <w:t xml:space="preserve"> emissions excluding net CO</w:t>
            </w:r>
            <w:r w:rsidRPr="00401E66">
              <w:rPr>
                <w:rFonts w:eastAsia="MS Mincho"/>
                <w:sz w:val="18"/>
                <w:szCs w:val="18"/>
                <w:vertAlign w:val="subscript"/>
                <w:lang w:eastAsia="ja-JP"/>
              </w:rPr>
              <w:t>2</w:t>
            </w:r>
            <w:r w:rsidRPr="00401E66">
              <w:rPr>
                <w:rFonts w:eastAsia="MS Mincho"/>
                <w:sz w:val="18"/>
                <w:szCs w:val="18"/>
                <w:lang w:eastAsia="ja-JP"/>
              </w:rPr>
              <w:t xml:space="preserve"> from LULUCF</w:t>
            </w:r>
          </w:p>
        </w:tc>
        <w:tc>
          <w:tcPr>
            <w:tcW w:w="210" w:type="pct"/>
            <w:shd w:val="clear" w:color="auto" w:fill="auto"/>
            <w:vAlign w:val="center"/>
          </w:tcPr>
          <w:p w14:paraId="4B7867B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52FFE4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D3A83A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48D91DF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4C5F8271"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71C109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5AB5BED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0966D7E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4974BF2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1ED65B5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207BE5F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4C31ECC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2C1B5643" w14:textId="77777777" w:rsidTr="006D4A81">
        <w:trPr>
          <w:trHeight w:val="240"/>
        </w:trPr>
        <w:tc>
          <w:tcPr>
            <w:tcW w:w="1023" w:type="pct"/>
            <w:shd w:val="clear" w:color="auto" w:fill="auto"/>
            <w:vAlign w:val="center"/>
          </w:tcPr>
          <w:p w14:paraId="10C53AD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CH</w:t>
            </w:r>
            <w:r w:rsidRPr="00401E66">
              <w:rPr>
                <w:rFonts w:eastAsia="MS Mincho"/>
                <w:sz w:val="18"/>
                <w:szCs w:val="18"/>
                <w:vertAlign w:val="subscript"/>
                <w:lang w:eastAsia="ja-JP"/>
              </w:rPr>
              <w:t>4</w:t>
            </w:r>
            <w:r w:rsidRPr="00401E66">
              <w:rPr>
                <w:rFonts w:eastAsia="MS Mincho"/>
                <w:sz w:val="18"/>
                <w:szCs w:val="18"/>
                <w:lang w:eastAsia="ja-JP"/>
              </w:rPr>
              <w:t xml:space="preserve"> emissions including CH</w:t>
            </w:r>
            <w:r w:rsidRPr="00401E66">
              <w:rPr>
                <w:rFonts w:eastAsia="MS Mincho"/>
                <w:sz w:val="18"/>
                <w:szCs w:val="18"/>
                <w:vertAlign w:val="subscript"/>
                <w:lang w:eastAsia="ja-JP"/>
              </w:rPr>
              <w:t>4</w:t>
            </w:r>
            <w:r w:rsidRPr="00401E66">
              <w:rPr>
                <w:rFonts w:eastAsia="MS Mincho"/>
                <w:sz w:val="18"/>
                <w:szCs w:val="18"/>
                <w:lang w:eastAsia="ja-JP"/>
              </w:rPr>
              <w:t xml:space="preserve"> from LULUCF</w:t>
            </w:r>
          </w:p>
        </w:tc>
        <w:tc>
          <w:tcPr>
            <w:tcW w:w="210" w:type="pct"/>
            <w:shd w:val="clear" w:color="auto" w:fill="auto"/>
            <w:vAlign w:val="center"/>
          </w:tcPr>
          <w:p w14:paraId="796E490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6F3867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77ACB5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CD88ED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7AECC90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68EA476C"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7EC2E78D"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163A0CF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4C0FA25D"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0ED4ACB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FF1D32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4B3E324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6F54B7FC" w14:textId="77777777" w:rsidTr="006D4A81">
        <w:trPr>
          <w:trHeight w:val="240"/>
        </w:trPr>
        <w:tc>
          <w:tcPr>
            <w:tcW w:w="1023" w:type="pct"/>
            <w:shd w:val="clear" w:color="auto" w:fill="auto"/>
            <w:vAlign w:val="center"/>
          </w:tcPr>
          <w:p w14:paraId="2FC90FF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CH</w:t>
            </w:r>
            <w:r w:rsidRPr="00401E66">
              <w:rPr>
                <w:rFonts w:eastAsia="MS Mincho"/>
                <w:sz w:val="18"/>
                <w:szCs w:val="18"/>
                <w:vertAlign w:val="subscript"/>
                <w:lang w:eastAsia="ja-JP"/>
              </w:rPr>
              <w:t>4</w:t>
            </w:r>
            <w:r w:rsidRPr="00401E66">
              <w:rPr>
                <w:rFonts w:eastAsia="MS Mincho"/>
                <w:sz w:val="18"/>
                <w:szCs w:val="18"/>
                <w:lang w:eastAsia="ja-JP"/>
              </w:rPr>
              <w:t xml:space="preserve"> emissions excluding CH</w:t>
            </w:r>
            <w:r w:rsidRPr="00401E66">
              <w:rPr>
                <w:rFonts w:eastAsia="MS Mincho"/>
                <w:sz w:val="18"/>
                <w:szCs w:val="18"/>
                <w:vertAlign w:val="subscript"/>
                <w:lang w:eastAsia="ja-JP"/>
              </w:rPr>
              <w:t>4</w:t>
            </w:r>
            <w:r w:rsidRPr="00401E66">
              <w:rPr>
                <w:rFonts w:eastAsia="MS Mincho"/>
                <w:sz w:val="18"/>
                <w:szCs w:val="18"/>
                <w:lang w:eastAsia="ja-JP"/>
              </w:rPr>
              <w:t xml:space="preserve"> from LULUCF</w:t>
            </w:r>
          </w:p>
        </w:tc>
        <w:tc>
          <w:tcPr>
            <w:tcW w:w="210" w:type="pct"/>
            <w:shd w:val="clear" w:color="auto" w:fill="auto"/>
            <w:vAlign w:val="center"/>
          </w:tcPr>
          <w:p w14:paraId="4F768FC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277D59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A48B53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25D499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7FDCDF5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7705947"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0C1DE8D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72793C3D"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3008F7B5"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6313A4D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03A8580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6C46B32D"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401E66" w14:paraId="6B25C935" w14:textId="77777777" w:rsidTr="006D4A81">
        <w:trPr>
          <w:trHeight w:val="240"/>
        </w:trPr>
        <w:tc>
          <w:tcPr>
            <w:tcW w:w="1023" w:type="pct"/>
            <w:shd w:val="clear" w:color="auto" w:fill="auto"/>
            <w:vAlign w:val="center"/>
          </w:tcPr>
          <w:p w14:paraId="20233B4E"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N</w:t>
            </w:r>
            <w:r w:rsidRPr="00401E66">
              <w:rPr>
                <w:rFonts w:eastAsia="MS Mincho"/>
                <w:sz w:val="18"/>
                <w:szCs w:val="18"/>
                <w:vertAlign w:val="subscript"/>
                <w:lang w:eastAsia="ja-JP"/>
              </w:rPr>
              <w:t>2</w:t>
            </w:r>
            <w:r w:rsidRPr="00401E66">
              <w:rPr>
                <w:rFonts w:eastAsia="MS Mincho"/>
                <w:sz w:val="18"/>
                <w:szCs w:val="18"/>
                <w:lang w:eastAsia="ja-JP"/>
              </w:rPr>
              <w:t>O emissions including N</w:t>
            </w:r>
            <w:r w:rsidRPr="00401E66">
              <w:rPr>
                <w:rFonts w:eastAsia="MS Mincho"/>
                <w:sz w:val="18"/>
                <w:szCs w:val="18"/>
                <w:vertAlign w:val="subscript"/>
                <w:lang w:eastAsia="ja-JP"/>
              </w:rPr>
              <w:t>2</w:t>
            </w:r>
            <w:r w:rsidRPr="00401E66">
              <w:rPr>
                <w:rFonts w:eastAsia="MS Mincho"/>
                <w:sz w:val="18"/>
                <w:szCs w:val="18"/>
                <w:lang w:eastAsia="ja-JP"/>
              </w:rPr>
              <w:t>O from LULUCF</w:t>
            </w:r>
          </w:p>
        </w:tc>
        <w:tc>
          <w:tcPr>
            <w:tcW w:w="210" w:type="pct"/>
            <w:shd w:val="clear" w:color="auto" w:fill="auto"/>
            <w:vAlign w:val="center"/>
          </w:tcPr>
          <w:p w14:paraId="02A6E373"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57706A8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0EB375E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15BF7DA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2" w:type="pct"/>
            <w:gridSpan w:val="2"/>
            <w:shd w:val="clear" w:color="auto" w:fill="auto"/>
            <w:vAlign w:val="center"/>
          </w:tcPr>
          <w:p w14:paraId="6E4556B9"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8" w:type="pct"/>
            <w:gridSpan w:val="2"/>
            <w:shd w:val="clear" w:color="auto" w:fill="auto"/>
            <w:vAlign w:val="center"/>
          </w:tcPr>
          <w:p w14:paraId="751CE13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04" w:type="pct"/>
            <w:gridSpan w:val="2"/>
            <w:shd w:val="clear" w:color="auto" w:fill="auto"/>
            <w:vAlign w:val="center"/>
          </w:tcPr>
          <w:p w14:paraId="6FF96F2B"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481" w:type="pct"/>
            <w:gridSpan w:val="2"/>
            <w:shd w:val="clear" w:color="auto" w:fill="auto"/>
            <w:vAlign w:val="center"/>
          </w:tcPr>
          <w:p w14:paraId="4F2AC3A0"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135" w:type="pct"/>
            <w:shd w:val="clear" w:color="auto" w:fill="auto"/>
            <w:vAlign w:val="center"/>
          </w:tcPr>
          <w:p w14:paraId="369FA67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84" w:type="pct"/>
            <w:gridSpan w:val="2"/>
            <w:shd w:val="clear" w:color="auto" w:fill="auto"/>
            <w:vAlign w:val="center"/>
          </w:tcPr>
          <w:p w14:paraId="25C21F2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313" w:type="pct"/>
            <w:gridSpan w:val="2"/>
            <w:shd w:val="clear" w:color="auto" w:fill="auto"/>
            <w:vAlign w:val="center"/>
          </w:tcPr>
          <w:p w14:paraId="2332525F"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c>
          <w:tcPr>
            <w:tcW w:w="616" w:type="pct"/>
            <w:gridSpan w:val="2"/>
            <w:shd w:val="clear" w:color="auto" w:fill="auto"/>
            <w:vAlign w:val="center"/>
          </w:tcPr>
          <w:p w14:paraId="5C8EBE42"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p>
        </w:tc>
      </w:tr>
      <w:tr w:rsidR="00895001" w:rsidRPr="00720B87" w14:paraId="7779C05E" w14:textId="77777777" w:rsidTr="006D4A81">
        <w:trPr>
          <w:trHeight w:val="240"/>
        </w:trPr>
        <w:tc>
          <w:tcPr>
            <w:tcW w:w="1023" w:type="pct"/>
            <w:shd w:val="clear" w:color="auto" w:fill="auto"/>
            <w:vAlign w:val="center"/>
          </w:tcPr>
          <w:p w14:paraId="23A4F14A"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N</w:t>
            </w:r>
            <w:r w:rsidRPr="00401E66">
              <w:rPr>
                <w:rFonts w:eastAsia="MS Mincho"/>
                <w:sz w:val="18"/>
                <w:szCs w:val="18"/>
                <w:vertAlign w:val="subscript"/>
                <w:lang w:eastAsia="ja-JP"/>
              </w:rPr>
              <w:t>2</w:t>
            </w:r>
            <w:r w:rsidRPr="00401E66">
              <w:rPr>
                <w:rFonts w:eastAsia="MS Mincho"/>
                <w:sz w:val="18"/>
                <w:szCs w:val="18"/>
                <w:lang w:eastAsia="ja-JP"/>
              </w:rPr>
              <w:t>O emissions excluding N</w:t>
            </w:r>
            <w:r w:rsidRPr="00401E66">
              <w:rPr>
                <w:rFonts w:eastAsia="MS Mincho"/>
                <w:sz w:val="18"/>
                <w:szCs w:val="18"/>
                <w:vertAlign w:val="subscript"/>
                <w:lang w:eastAsia="ja-JP"/>
              </w:rPr>
              <w:t>2</w:t>
            </w:r>
            <w:r w:rsidRPr="00401E66">
              <w:rPr>
                <w:rFonts w:eastAsia="MS Mincho"/>
                <w:sz w:val="18"/>
                <w:szCs w:val="18"/>
                <w:lang w:eastAsia="ja-JP"/>
              </w:rPr>
              <w:t>O from LULUCF</w:t>
            </w:r>
          </w:p>
        </w:tc>
        <w:tc>
          <w:tcPr>
            <w:tcW w:w="210" w:type="pct"/>
            <w:shd w:val="clear" w:color="auto" w:fill="auto"/>
            <w:vAlign w:val="center"/>
          </w:tcPr>
          <w:p w14:paraId="09C9611A"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0D9EE549"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23CED5E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50F08AC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shd w:val="clear" w:color="auto" w:fill="auto"/>
            <w:vAlign w:val="center"/>
          </w:tcPr>
          <w:p w14:paraId="370802C7"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495F5F0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shd w:val="clear" w:color="auto" w:fill="auto"/>
            <w:vAlign w:val="center"/>
          </w:tcPr>
          <w:p w14:paraId="6ACCE44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shd w:val="clear" w:color="auto" w:fill="auto"/>
            <w:vAlign w:val="center"/>
          </w:tcPr>
          <w:p w14:paraId="515F8BF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shd w:val="clear" w:color="auto" w:fill="auto"/>
            <w:vAlign w:val="center"/>
          </w:tcPr>
          <w:p w14:paraId="5989070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shd w:val="clear" w:color="auto" w:fill="auto"/>
            <w:vAlign w:val="center"/>
          </w:tcPr>
          <w:p w14:paraId="78DE7266"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shd w:val="clear" w:color="auto" w:fill="auto"/>
            <w:vAlign w:val="center"/>
          </w:tcPr>
          <w:p w14:paraId="08D7A65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shd w:val="clear" w:color="auto" w:fill="auto"/>
            <w:vAlign w:val="center"/>
          </w:tcPr>
          <w:p w14:paraId="541652F7"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r w:rsidR="00895001" w:rsidRPr="00720B87" w14:paraId="61E32220" w14:textId="77777777" w:rsidTr="006D4A81">
        <w:trPr>
          <w:trHeight w:val="240"/>
        </w:trPr>
        <w:tc>
          <w:tcPr>
            <w:tcW w:w="1023" w:type="pct"/>
            <w:shd w:val="clear" w:color="auto" w:fill="auto"/>
            <w:vAlign w:val="center"/>
          </w:tcPr>
          <w:p w14:paraId="14D5D2E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HFCs</w:t>
            </w:r>
          </w:p>
        </w:tc>
        <w:tc>
          <w:tcPr>
            <w:tcW w:w="210" w:type="pct"/>
            <w:shd w:val="clear" w:color="auto" w:fill="auto"/>
            <w:vAlign w:val="center"/>
          </w:tcPr>
          <w:p w14:paraId="6A08D264"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6F7C246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088EBBED"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66CC217A"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shd w:val="clear" w:color="auto" w:fill="auto"/>
            <w:vAlign w:val="center"/>
          </w:tcPr>
          <w:p w14:paraId="402D2FDE"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20923CBB"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shd w:val="clear" w:color="auto" w:fill="auto"/>
            <w:vAlign w:val="center"/>
          </w:tcPr>
          <w:p w14:paraId="253086A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shd w:val="clear" w:color="auto" w:fill="auto"/>
            <w:vAlign w:val="center"/>
          </w:tcPr>
          <w:p w14:paraId="51ABBC9E"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shd w:val="clear" w:color="auto" w:fill="auto"/>
            <w:vAlign w:val="center"/>
          </w:tcPr>
          <w:p w14:paraId="446FD97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shd w:val="clear" w:color="auto" w:fill="auto"/>
            <w:vAlign w:val="center"/>
          </w:tcPr>
          <w:p w14:paraId="11F6321A"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shd w:val="clear" w:color="auto" w:fill="auto"/>
            <w:vAlign w:val="center"/>
          </w:tcPr>
          <w:p w14:paraId="2CECC5B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shd w:val="clear" w:color="auto" w:fill="auto"/>
            <w:vAlign w:val="center"/>
          </w:tcPr>
          <w:p w14:paraId="126904A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r w:rsidR="00895001" w:rsidRPr="00720B87" w14:paraId="149D9716" w14:textId="77777777" w:rsidTr="006D4A81">
        <w:trPr>
          <w:trHeight w:val="240"/>
        </w:trPr>
        <w:tc>
          <w:tcPr>
            <w:tcW w:w="1023" w:type="pct"/>
            <w:shd w:val="clear" w:color="auto" w:fill="auto"/>
            <w:vAlign w:val="center"/>
          </w:tcPr>
          <w:p w14:paraId="61A101B6"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PFCs</w:t>
            </w:r>
          </w:p>
        </w:tc>
        <w:tc>
          <w:tcPr>
            <w:tcW w:w="210" w:type="pct"/>
            <w:shd w:val="clear" w:color="auto" w:fill="auto"/>
            <w:vAlign w:val="center"/>
          </w:tcPr>
          <w:p w14:paraId="78CB860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32E16507"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0BED9716"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34C9DCCB"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shd w:val="clear" w:color="auto" w:fill="auto"/>
            <w:vAlign w:val="center"/>
          </w:tcPr>
          <w:p w14:paraId="3F281B4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shd w:val="clear" w:color="auto" w:fill="auto"/>
            <w:vAlign w:val="center"/>
          </w:tcPr>
          <w:p w14:paraId="00AA7FB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shd w:val="clear" w:color="auto" w:fill="auto"/>
            <w:vAlign w:val="center"/>
          </w:tcPr>
          <w:p w14:paraId="27F1F63B"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shd w:val="clear" w:color="auto" w:fill="auto"/>
            <w:vAlign w:val="center"/>
          </w:tcPr>
          <w:p w14:paraId="0880071C"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shd w:val="clear" w:color="auto" w:fill="auto"/>
            <w:vAlign w:val="center"/>
          </w:tcPr>
          <w:p w14:paraId="329D7BB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shd w:val="clear" w:color="auto" w:fill="auto"/>
            <w:vAlign w:val="center"/>
          </w:tcPr>
          <w:p w14:paraId="5E9F5EE6"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shd w:val="clear" w:color="auto" w:fill="auto"/>
            <w:vAlign w:val="center"/>
          </w:tcPr>
          <w:p w14:paraId="23089016"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shd w:val="clear" w:color="auto" w:fill="auto"/>
            <w:vAlign w:val="center"/>
          </w:tcPr>
          <w:p w14:paraId="1A8C54CA"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r w:rsidR="00895001" w:rsidRPr="00720B87" w14:paraId="2408228A" w14:textId="77777777" w:rsidTr="006D4A81">
        <w:trPr>
          <w:trHeight w:val="240"/>
        </w:trPr>
        <w:tc>
          <w:tcPr>
            <w:tcW w:w="1023" w:type="pct"/>
            <w:tcBorders>
              <w:bottom w:val="nil"/>
            </w:tcBorders>
            <w:shd w:val="clear" w:color="auto" w:fill="auto"/>
            <w:vAlign w:val="center"/>
          </w:tcPr>
          <w:p w14:paraId="7CB9E854"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SF</w:t>
            </w:r>
            <w:r w:rsidRPr="00401E66">
              <w:rPr>
                <w:rFonts w:eastAsia="MS Mincho"/>
                <w:sz w:val="18"/>
                <w:szCs w:val="18"/>
                <w:vertAlign w:val="subscript"/>
                <w:lang w:eastAsia="ja-JP"/>
              </w:rPr>
              <w:t>6</w:t>
            </w:r>
          </w:p>
        </w:tc>
        <w:tc>
          <w:tcPr>
            <w:tcW w:w="210" w:type="pct"/>
            <w:tcBorders>
              <w:bottom w:val="nil"/>
            </w:tcBorders>
            <w:shd w:val="clear" w:color="auto" w:fill="auto"/>
            <w:vAlign w:val="center"/>
          </w:tcPr>
          <w:p w14:paraId="0312C758"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027632F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0B8D155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3E7816D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tcBorders>
              <w:bottom w:val="nil"/>
            </w:tcBorders>
            <w:shd w:val="clear" w:color="auto" w:fill="auto"/>
            <w:vAlign w:val="center"/>
          </w:tcPr>
          <w:p w14:paraId="20104A4E"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nil"/>
            </w:tcBorders>
            <w:shd w:val="clear" w:color="auto" w:fill="auto"/>
            <w:vAlign w:val="center"/>
          </w:tcPr>
          <w:p w14:paraId="2BFF55B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tcBorders>
              <w:bottom w:val="nil"/>
            </w:tcBorders>
            <w:shd w:val="clear" w:color="auto" w:fill="auto"/>
            <w:vAlign w:val="center"/>
          </w:tcPr>
          <w:p w14:paraId="7D8772D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tcBorders>
              <w:bottom w:val="nil"/>
            </w:tcBorders>
            <w:shd w:val="clear" w:color="auto" w:fill="auto"/>
            <w:vAlign w:val="center"/>
          </w:tcPr>
          <w:p w14:paraId="504C9E0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tcBorders>
              <w:bottom w:val="nil"/>
            </w:tcBorders>
            <w:shd w:val="clear" w:color="auto" w:fill="auto"/>
            <w:vAlign w:val="center"/>
          </w:tcPr>
          <w:p w14:paraId="265683BA"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tcBorders>
              <w:bottom w:val="nil"/>
            </w:tcBorders>
            <w:shd w:val="clear" w:color="auto" w:fill="auto"/>
            <w:vAlign w:val="center"/>
          </w:tcPr>
          <w:p w14:paraId="6008379B"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tcBorders>
              <w:bottom w:val="nil"/>
            </w:tcBorders>
            <w:shd w:val="clear" w:color="auto" w:fill="auto"/>
            <w:vAlign w:val="center"/>
          </w:tcPr>
          <w:p w14:paraId="364A28A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tcBorders>
              <w:bottom w:val="nil"/>
            </w:tcBorders>
            <w:shd w:val="clear" w:color="auto" w:fill="auto"/>
            <w:vAlign w:val="center"/>
          </w:tcPr>
          <w:p w14:paraId="56054A81"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r w:rsidR="00895001" w:rsidRPr="00720B87" w14:paraId="7AB3B2A2" w14:textId="77777777" w:rsidTr="006D4A81">
        <w:trPr>
          <w:trHeight w:val="240"/>
        </w:trPr>
        <w:tc>
          <w:tcPr>
            <w:tcW w:w="1023" w:type="pct"/>
            <w:tcBorders>
              <w:top w:val="nil"/>
              <w:bottom w:val="single" w:sz="4" w:space="0" w:color="auto"/>
            </w:tcBorders>
            <w:shd w:val="clear" w:color="auto" w:fill="auto"/>
            <w:vAlign w:val="center"/>
          </w:tcPr>
          <w:p w14:paraId="6721BC48" w14:textId="77777777" w:rsidR="00895001" w:rsidRPr="00401E66" w:rsidRDefault="00895001" w:rsidP="006D4A81">
            <w:pPr>
              <w:suppressAutoHyphens w:val="0"/>
              <w:autoSpaceDE w:val="0"/>
              <w:autoSpaceDN w:val="0"/>
              <w:adjustRightInd w:val="0"/>
              <w:spacing w:after="120" w:line="240" w:lineRule="auto"/>
              <w:rPr>
                <w:rFonts w:eastAsia="MS Mincho"/>
                <w:sz w:val="18"/>
                <w:szCs w:val="18"/>
                <w:lang w:eastAsia="ja-JP"/>
              </w:rPr>
            </w:pPr>
            <w:r w:rsidRPr="00401E66">
              <w:rPr>
                <w:rFonts w:eastAsia="MS Mincho"/>
                <w:sz w:val="18"/>
                <w:szCs w:val="18"/>
                <w:lang w:eastAsia="ja-JP"/>
              </w:rPr>
              <w:t>Other (specify, e.g. NF</w:t>
            </w:r>
            <w:r w:rsidRPr="00401E66">
              <w:rPr>
                <w:rFonts w:eastAsia="MS Mincho"/>
                <w:sz w:val="18"/>
                <w:szCs w:val="18"/>
                <w:vertAlign w:val="subscript"/>
                <w:lang w:eastAsia="ja-JP"/>
              </w:rPr>
              <w:t>3</w:t>
            </w:r>
            <w:r w:rsidRPr="00401E66">
              <w:rPr>
                <w:rFonts w:eastAsia="MS Mincho"/>
                <w:sz w:val="18"/>
                <w:szCs w:val="18"/>
                <w:lang w:eastAsia="ja-JP"/>
              </w:rPr>
              <w:t xml:space="preserve">) </w:t>
            </w:r>
          </w:p>
        </w:tc>
        <w:tc>
          <w:tcPr>
            <w:tcW w:w="210" w:type="pct"/>
            <w:tcBorders>
              <w:top w:val="nil"/>
              <w:bottom w:val="single" w:sz="4" w:space="0" w:color="auto"/>
            </w:tcBorders>
            <w:shd w:val="clear" w:color="auto" w:fill="auto"/>
            <w:vAlign w:val="center"/>
          </w:tcPr>
          <w:p w14:paraId="1441002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1CB0BF6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43AA9779"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0281CF6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tcBorders>
              <w:top w:val="nil"/>
              <w:bottom w:val="single" w:sz="4" w:space="0" w:color="auto"/>
            </w:tcBorders>
            <w:shd w:val="clear" w:color="auto" w:fill="auto"/>
            <w:vAlign w:val="center"/>
          </w:tcPr>
          <w:p w14:paraId="48FD8E96"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nil"/>
              <w:bottom w:val="single" w:sz="4" w:space="0" w:color="auto"/>
            </w:tcBorders>
            <w:shd w:val="clear" w:color="auto" w:fill="auto"/>
            <w:vAlign w:val="center"/>
          </w:tcPr>
          <w:p w14:paraId="4253DBD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tcBorders>
              <w:top w:val="nil"/>
              <w:bottom w:val="single" w:sz="4" w:space="0" w:color="auto"/>
            </w:tcBorders>
            <w:shd w:val="clear" w:color="auto" w:fill="auto"/>
            <w:vAlign w:val="center"/>
          </w:tcPr>
          <w:p w14:paraId="2626E084"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tcBorders>
              <w:top w:val="nil"/>
              <w:bottom w:val="single" w:sz="4" w:space="0" w:color="auto"/>
            </w:tcBorders>
            <w:shd w:val="clear" w:color="auto" w:fill="auto"/>
            <w:vAlign w:val="center"/>
          </w:tcPr>
          <w:p w14:paraId="3C7FEE0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tcBorders>
              <w:top w:val="nil"/>
              <w:bottom w:val="single" w:sz="4" w:space="0" w:color="auto"/>
            </w:tcBorders>
            <w:shd w:val="clear" w:color="auto" w:fill="auto"/>
            <w:vAlign w:val="center"/>
          </w:tcPr>
          <w:p w14:paraId="12DABC9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tcBorders>
              <w:top w:val="nil"/>
              <w:bottom w:val="single" w:sz="4" w:space="0" w:color="auto"/>
            </w:tcBorders>
            <w:shd w:val="clear" w:color="auto" w:fill="auto"/>
            <w:vAlign w:val="center"/>
          </w:tcPr>
          <w:p w14:paraId="6C80A12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tcBorders>
              <w:top w:val="nil"/>
              <w:bottom w:val="single" w:sz="4" w:space="0" w:color="auto"/>
            </w:tcBorders>
            <w:shd w:val="clear" w:color="auto" w:fill="auto"/>
            <w:vAlign w:val="center"/>
          </w:tcPr>
          <w:p w14:paraId="1DB22709"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tcBorders>
              <w:top w:val="nil"/>
              <w:bottom w:val="single" w:sz="4" w:space="0" w:color="auto"/>
            </w:tcBorders>
            <w:shd w:val="clear" w:color="auto" w:fill="auto"/>
            <w:vAlign w:val="center"/>
          </w:tcPr>
          <w:p w14:paraId="5690590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r w:rsidR="00895001" w:rsidRPr="00720B87" w14:paraId="46E3A1EA" w14:textId="77777777" w:rsidTr="006D4A81">
        <w:trPr>
          <w:trHeight w:val="240"/>
        </w:trPr>
        <w:tc>
          <w:tcPr>
            <w:tcW w:w="1023" w:type="pct"/>
            <w:tcBorders>
              <w:top w:val="single" w:sz="4" w:space="0" w:color="auto"/>
            </w:tcBorders>
            <w:shd w:val="clear" w:color="auto" w:fill="auto"/>
            <w:vAlign w:val="center"/>
          </w:tcPr>
          <w:p w14:paraId="5AD8FC4B" w14:textId="4EA7DF1C" w:rsidR="00895001" w:rsidRPr="00401E66" w:rsidRDefault="007540E4" w:rsidP="007540E4">
            <w:pPr>
              <w:tabs>
                <w:tab w:val="left" w:pos="142"/>
              </w:tabs>
              <w:suppressAutoHyphens w:val="0"/>
              <w:autoSpaceDE w:val="0"/>
              <w:autoSpaceDN w:val="0"/>
              <w:adjustRightInd w:val="0"/>
              <w:spacing w:after="120" w:line="240" w:lineRule="auto"/>
              <w:rPr>
                <w:rFonts w:eastAsia="MS Mincho"/>
                <w:sz w:val="18"/>
                <w:szCs w:val="18"/>
                <w:lang w:eastAsia="ja-JP"/>
              </w:rPr>
            </w:pPr>
            <w:r>
              <w:rPr>
                <w:rFonts w:eastAsia="MS Mincho"/>
                <w:b/>
                <w:sz w:val="18"/>
                <w:szCs w:val="18"/>
                <w:lang w:eastAsia="ja-JP"/>
              </w:rPr>
              <w:tab/>
            </w:r>
            <w:r w:rsidR="00895001" w:rsidRPr="002461F0">
              <w:rPr>
                <w:rFonts w:eastAsia="MS Mincho"/>
                <w:b/>
                <w:sz w:val="18"/>
                <w:szCs w:val="18"/>
                <w:lang w:eastAsia="ja-JP"/>
              </w:rPr>
              <w:t>Total with LULUCF</w:t>
            </w:r>
            <w:r w:rsidR="00895001">
              <w:rPr>
                <w:rFonts w:eastAsia="MS Mincho"/>
                <w:i/>
                <w:sz w:val="18"/>
                <w:szCs w:val="18"/>
                <w:vertAlign w:val="superscript"/>
                <w:lang w:eastAsia="ja-JP"/>
              </w:rPr>
              <w:t>i</w:t>
            </w:r>
            <w:r w:rsidR="00895001" w:rsidRPr="00401E66">
              <w:rPr>
                <w:rFonts w:eastAsia="MS Mincho"/>
                <w:sz w:val="18"/>
                <w:szCs w:val="18"/>
                <w:lang w:eastAsia="ja-JP"/>
              </w:rPr>
              <w:t xml:space="preserve"> </w:t>
            </w:r>
          </w:p>
        </w:tc>
        <w:tc>
          <w:tcPr>
            <w:tcW w:w="210" w:type="pct"/>
            <w:tcBorders>
              <w:top w:val="single" w:sz="4" w:space="0" w:color="auto"/>
            </w:tcBorders>
            <w:shd w:val="clear" w:color="auto" w:fill="auto"/>
            <w:vAlign w:val="center"/>
          </w:tcPr>
          <w:p w14:paraId="5153A46F"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10D81257"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4C44492E"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72B83EAD"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tcBorders>
              <w:top w:val="single" w:sz="4" w:space="0" w:color="auto"/>
            </w:tcBorders>
            <w:shd w:val="clear" w:color="auto" w:fill="auto"/>
            <w:vAlign w:val="center"/>
          </w:tcPr>
          <w:p w14:paraId="2149724E"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top w:val="single" w:sz="4" w:space="0" w:color="auto"/>
            </w:tcBorders>
            <w:shd w:val="clear" w:color="auto" w:fill="auto"/>
            <w:vAlign w:val="center"/>
          </w:tcPr>
          <w:p w14:paraId="19B2CCC4"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tcBorders>
              <w:top w:val="single" w:sz="4" w:space="0" w:color="auto"/>
            </w:tcBorders>
            <w:shd w:val="clear" w:color="auto" w:fill="auto"/>
            <w:vAlign w:val="center"/>
          </w:tcPr>
          <w:p w14:paraId="7B66380B"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tcBorders>
              <w:top w:val="single" w:sz="4" w:space="0" w:color="auto"/>
            </w:tcBorders>
            <w:shd w:val="clear" w:color="auto" w:fill="auto"/>
            <w:vAlign w:val="center"/>
          </w:tcPr>
          <w:p w14:paraId="1B80EAB8"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tcBorders>
              <w:top w:val="single" w:sz="4" w:space="0" w:color="auto"/>
            </w:tcBorders>
            <w:shd w:val="clear" w:color="auto" w:fill="auto"/>
            <w:vAlign w:val="center"/>
          </w:tcPr>
          <w:p w14:paraId="3BB95DE6"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tcBorders>
              <w:top w:val="single" w:sz="4" w:space="0" w:color="auto"/>
            </w:tcBorders>
            <w:shd w:val="clear" w:color="auto" w:fill="auto"/>
            <w:vAlign w:val="center"/>
          </w:tcPr>
          <w:p w14:paraId="51541E37"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tcBorders>
              <w:top w:val="single" w:sz="4" w:space="0" w:color="auto"/>
            </w:tcBorders>
            <w:shd w:val="clear" w:color="auto" w:fill="auto"/>
            <w:vAlign w:val="center"/>
          </w:tcPr>
          <w:p w14:paraId="2317FFC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tcBorders>
              <w:top w:val="single" w:sz="4" w:space="0" w:color="auto"/>
            </w:tcBorders>
            <w:shd w:val="clear" w:color="auto" w:fill="auto"/>
            <w:vAlign w:val="center"/>
          </w:tcPr>
          <w:p w14:paraId="6ABBEF99"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r w:rsidR="00895001" w:rsidRPr="00720B87" w14:paraId="2191EA12" w14:textId="77777777" w:rsidTr="006D4A81">
        <w:trPr>
          <w:trHeight w:val="240"/>
        </w:trPr>
        <w:tc>
          <w:tcPr>
            <w:tcW w:w="1023" w:type="pct"/>
            <w:tcBorders>
              <w:bottom w:val="single" w:sz="12" w:space="0" w:color="auto"/>
            </w:tcBorders>
            <w:shd w:val="clear" w:color="auto" w:fill="auto"/>
            <w:vAlign w:val="center"/>
          </w:tcPr>
          <w:p w14:paraId="25C765FA" w14:textId="1927142F" w:rsidR="00895001" w:rsidRPr="0050252A" w:rsidRDefault="007540E4" w:rsidP="007540E4">
            <w:pPr>
              <w:tabs>
                <w:tab w:val="left" w:pos="142"/>
              </w:tabs>
              <w:suppressAutoHyphens w:val="0"/>
              <w:autoSpaceDE w:val="0"/>
              <w:autoSpaceDN w:val="0"/>
              <w:adjustRightInd w:val="0"/>
              <w:spacing w:after="120" w:line="240" w:lineRule="auto"/>
              <w:rPr>
                <w:rFonts w:eastAsia="MS Mincho"/>
                <w:b/>
                <w:sz w:val="18"/>
                <w:szCs w:val="18"/>
                <w:vertAlign w:val="superscript"/>
                <w:lang w:eastAsia="ja-JP"/>
              </w:rPr>
            </w:pPr>
            <w:r>
              <w:rPr>
                <w:rFonts w:eastAsia="MS Mincho"/>
                <w:b/>
                <w:sz w:val="18"/>
                <w:szCs w:val="18"/>
                <w:lang w:eastAsia="ja-JP"/>
              </w:rPr>
              <w:tab/>
            </w:r>
            <w:r w:rsidR="00895001" w:rsidRPr="002461F0">
              <w:rPr>
                <w:rFonts w:eastAsia="MS Mincho"/>
                <w:b/>
                <w:sz w:val="18"/>
                <w:szCs w:val="18"/>
                <w:lang w:eastAsia="ja-JP"/>
              </w:rPr>
              <w:t>Total without LULUCF</w:t>
            </w:r>
          </w:p>
        </w:tc>
        <w:tc>
          <w:tcPr>
            <w:tcW w:w="210" w:type="pct"/>
            <w:tcBorders>
              <w:bottom w:val="single" w:sz="12" w:space="0" w:color="auto"/>
            </w:tcBorders>
            <w:shd w:val="clear" w:color="auto" w:fill="auto"/>
            <w:vAlign w:val="center"/>
          </w:tcPr>
          <w:p w14:paraId="6D9FE4BC"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2A16F3FD"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4D9AF5C5"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4CD35DA2"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2" w:type="pct"/>
            <w:gridSpan w:val="2"/>
            <w:tcBorders>
              <w:bottom w:val="single" w:sz="12" w:space="0" w:color="auto"/>
            </w:tcBorders>
            <w:shd w:val="clear" w:color="auto" w:fill="auto"/>
            <w:vAlign w:val="center"/>
          </w:tcPr>
          <w:p w14:paraId="63BBEC3C"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8" w:type="pct"/>
            <w:gridSpan w:val="2"/>
            <w:tcBorders>
              <w:bottom w:val="single" w:sz="12" w:space="0" w:color="auto"/>
            </w:tcBorders>
            <w:shd w:val="clear" w:color="auto" w:fill="auto"/>
            <w:vAlign w:val="center"/>
          </w:tcPr>
          <w:p w14:paraId="3B62B89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04" w:type="pct"/>
            <w:gridSpan w:val="2"/>
            <w:tcBorders>
              <w:bottom w:val="single" w:sz="12" w:space="0" w:color="auto"/>
            </w:tcBorders>
            <w:shd w:val="clear" w:color="auto" w:fill="auto"/>
            <w:vAlign w:val="center"/>
          </w:tcPr>
          <w:p w14:paraId="554FC621"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481" w:type="pct"/>
            <w:gridSpan w:val="2"/>
            <w:tcBorders>
              <w:bottom w:val="single" w:sz="12" w:space="0" w:color="auto"/>
            </w:tcBorders>
            <w:shd w:val="clear" w:color="auto" w:fill="auto"/>
            <w:vAlign w:val="center"/>
          </w:tcPr>
          <w:p w14:paraId="7070BAF3"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135" w:type="pct"/>
            <w:tcBorders>
              <w:bottom w:val="single" w:sz="12" w:space="0" w:color="auto"/>
            </w:tcBorders>
            <w:shd w:val="clear" w:color="auto" w:fill="auto"/>
            <w:vAlign w:val="center"/>
          </w:tcPr>
          <w:p w14:paraId="2FC0E9C0"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84" w:type="pct"/>
            <w:gridSpan w:val="2"/>
            <w:tcBorders>
              <w:bottom w:val="single" w:sz="12" w:space="0" w:color="auto"/>
            </w:tcBorders>
            <w:shd w:val="clear" w:color="auto" w:fill="auto"/>
            <w:vAlign w:val="center"/>
          </w:tcPr>
          <w:p w14:paraId="16D42CC4"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313" w:type="pct"/>
            <w:gridSpan w:val="2"/>
            <w:tcBorders>
              <w:bottom w:val="single" w:sz="12" w:space="0" w:color="auto"/>
            </w:tcBorders>
            <w:shd w:val="clear" w:color="auto" w:fill="auto"/>
            <w:vAlign w:val="center"/>
          </w:tcPr>
          <w:p w14:paraId="64C60FA7"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c>
          <w:tcPr>
            <w:tcW w:w="616" w:type="pct"/>
            <w:gridSpan w:val="2"/>
            <w:tcBorders>
              <w:bottom w:val="single" w:sz="12" w:space="0" w:color="auto"/>
            </w:tcBorders>
            <w:shd w:val="clear" w:color="auto" w:fill="auto"/>
            <w:vAlign w:val="center"/>
          </w:tcPr>
          <w:p w14:paraId="1D535934" w14:textId="77777777" w:rsidR="00895001" w:rsidRPr="00720B87" w:rsidRDefault="00895001" w:rsidP="006D4A81">
            <w:pPr>
              <w:suppressAutoHyphens w:val="0"/>
              <w:autoSpaceDE w:val="0"/>
              <w:autoSpaceDN w:val="0"/>
              <w:adjustRightInd w:val="0"/>
              <w:spacing w:after="120" w:line="240" w:lineRule="auto"/>
              <w:rPr>
                <w:rFonts w:eastAsia="MS Mincho"/>
                <w:lang w:eastAsia="ja-JP"/>
              </w:rPr>
            </w:pPr>
          </w:p>
        </w:tc>
      </w:tr>
    </w:tbl>
    <w:p w14:paraId="75CD87A2" w14:textId="77777777" w:rsidR="00895001" w:rsidRPr="00F071DA" w:rsidRDefault="00895001" w:rsidP="00895001">
      <w:pPr>
        <w:spacing w:before="120" w:line="220" w:lineRule="exact"/>
        <w:ind w:left="284" w:right="919"/>
        <w:rPr>
          <w:sz w:val="18"/>
          <w:szCs w:val="18"/>
        </w:rPr>
      </w:pPr>
      <w:r w:rsidRPr="00F071DA">
        <w:rPr>
          <w:i/>
          <w:sz w:val="18"/>
          <w:szCs w:val="18"/>
        </w:rPr>
        <w:t>Abbreviations</w:t>
      </w:r>
      <w:r w:rsidRPr="00F071DA">
        <w:rPr>
          <w:sz w:val="18"/>
          <w:szCs w:val="18"/>
        </w:rPr>
        <w:t>: GHG = greenhouse gas, LULUCF = land use, land-use change and forestry.</w:t>
      </w:r>
    </w:p>
    <w:p w14:paraId="68D93C8C" w14:textId="533F6CC9" w:rsidR="00895001" w:rsidRPr="0039231C" w:rsidRDefault="000E0429" w:rsidP="000E0429">
      <w:pPr>
        <w:spacing w:line="220" w:lineRule="exact"/>
        <w:ind w:right="919" w:firstLine="284"/>
        <w:rPr>
          <w:rFonts w:eastAsia="MS Mincho"/>
          <w:sz w:val="18"/>
          <w:lang w:eastAsia="ja-JP"/>
        </w:rPr>
      </w:pPr>
      <w:r w:rsidRPr="0039231C">
        <w:rPr>
          <w:rFonts w:eastAsia="MS Mincho"/>
          <w:i/>
          <w:sz w:val="18"/>
          <w:vertAlign w:val="superscript"/>
          <w:lang w:eastAsia="ja-JP"/>
        </w:rPr>
        <w:t xml:space="preserve">a   </w:t>
      </w:r>
      <w:r w:rsidR="00895001" w:rsidRPr="00F071DA">
        <w:rPr>
          <w:rFonts w:eastAsia="MS Mincho"/>
          <w:sz w:val="18"/>
          <w:lang w:eastAsia="ja-JP"/>
        </w:rPr>
        <w:t>In accordance with</w:t>
      </w:r>
      <w:r w:rsidR="00895001">
        <w:rPr>
          <w:rFonts w:eastAsia="MS Mincho"/>
          <w:sz w:val="18"/>
          <w:lang w:eastAsia="ja-JP"/>
        </w:rPr>
        <w:t xml:space="preserve"> paragraph 25 of these guidelines, </w:t>
      </w:r>
      <w:r w:rsidR="00895001" w:rsidRPr="00F071DA">
        <w:rPr>
          <w:rFonts w:eastAsia="MS Mincho"/>
          <w:sz w:val="18"/>
          <w:lang w:eastAsia="ja-JP"/>
        </w:rPr>
        <w:t>a</w:t>
      </w:r>
      <w:r w:rsidR="00895001" w:rsidRPr="00F071DA">
        <w:rPr>
          <w:sz w:val="18"/>
          <w:lang w:eastAsia="en-GB"/>
        </w:rPr>
        <w:t xml:space="preserve">t a minimum Parties shall report a ‘with measures’ </w:t>
      </w:r>
      <w:r w:rsidR="00895001">
        <w:rPr>
          <w:sz w:val="18"/>
          <w:lang w:eastAsia="en-GB"/>
        </w:rPr>
        <w:t>projection</w:t>
      </w:r>
      <w:r w:rsidR="00895001" w:rsidRPr="00F071DA">
        <w:rPr>
          <w:sz w:val="18"/>
          <w:lang w:eastAsia="en-GB"/>
        </w:rPr>
        <w:t xml:space="preserve"> and </w:t>
      </w:r>
      <w:r w:rsidR="00895001">
        <w:rPr>
          <w:sz w:val="18"/>
          <w:lang w:eastAsia="en-GB"/>
        </w:rPr>
        <w:t xml:space="preserve">they </w:t>
      </w:r>
      <w:r w:rsidR="00895001" w:rsidRPr="00F071DA">
        <w:rPr>
          <w:sz w:val="18"/>
          <w:lang w:eastAsia="en-GB"/>
        </w:rPr>
        <w:t xml:space="preserve">may </w:t>
      </w:r>
      <w:r w:rsidR="00895001">
        <w:rPr>
          <w:sz w:val="18"/>
          <w:lang w:eastAsia="en-GB"/>
        </w:rPr>
        <w:t xml:space="preserve">also </w:t>
      </w:r>
      <w:r w:rsidR="00895001" w:rsidRPr="00F071DA">
        <w:rPr>
          <w:sz w:val="18"/>
          <w:lang w:eastAsia="en-GB"/>
        </w:rPr>
        <w:t xml:space="preserve">report ‘without measures’ and ‘with additional measures’ </w:t>
      </w:r>
      <w:r w:rsidR="00895001">
        <w:rPr>
          <w:sz w:val="18"/>
          <w:lang w:eastAsia="en-GB"/>
        </w:rPr>
        <w:t>projection</w:t>
      </w:r>
      <w:r w:rsidR="00895001" w:rsidRPr="00F071DA">
        <w:rPr>
          <w:sz w:val="18"/>
          <w:lang w:eastAsia="en-GB"/>
        </w:rPr>
        <w:t xml:space="preserve">s. If a Party chooses to report </w:t>
      </w:r>
      <w:r w:rsidR="00895001">
        <w:rPr>
          <w:sz w:val="18"/>
          <w:lang w:eastAsia="en-GB"/>
        </w:rPr>
        <w:t xml:space="preserve">a </w:t>
      </w:r>
      <w:r w:rsidR="00895001" w:rsidRPr="00F071DA">
        <w:rPr>
          <w:sz w:val="18"/>
          <w:lang w:eastAsia="en-GB"/>
        </w:rPr>
        <w:t xml:space="preserve">‘without measures’ and/or ‘with additional measures’ </w:t>
      </w:r>
      <w:r w:rsidR="00895001">
        <w:rPr>
          <w:sz w:val="18"/>
          <w:lang w:eastAsia="en-GB"/>
        </w:rPr>
        <w:t>projection,</w:t>
      </w:r>
      <w:r w:rsidR="00895001" w:rsidRPr="00F071DA">
        <w:rPr>
          <w:sz w:val="18"/>
          <w:lang w:eastAsia="en-GB"/>
        </w:rPr>
        <w:t xml:space="preserve"> </w:t>
      </w:r>
      <w:r w:rsidR="00895001">
        <w:rPr>
          <w:sz w:val="18"/>
          <w:lang w:eastAsia="en-GB"/>
        </w:rPr>
        <w:t>it is</w:t>
      </w:r>
      <w:r w:rsidR="00895001" w:rsidRPr="00F071DA">
        <w:rPr>
          <w:sz w:val="18"/>
          <w:lang w:eastAsia="en-GB"/>
        </w:rPr>
        <w:t xml:space="preserve"> to </w:t>
      </w:r>
      <w:r w:rsidR="00895001" w:rsidRPr="00A141BA">
        <w:rPr>
          <w:sz w:val="18"/>
          <w:lang w:eastAsia="en-GB"/>
        </w:rPr>
        <w:t xml:space="preserve">use table </w:t>
      </w:r>
      <w:r w:rsidR="00895001">
        <w:rPr>
          <w:sz w:val="18"/>
          <w:lang w:eastAsia="en-GB"/>
        </w:rPr>
        <w:t>3</w:t>
      </w:r>
      <w:r w:rsidR="00895001" w:rsidRPr="00A141BA">
        <w:rPr>
          <w:sz w:val="18"/>
          <w:lang w:eastAsia="en-GB"/>
        </w:rPr>
        <w:t xml:space="preserve"> and/or </w:t>
      </w:r>
      <w:r w:rsidR="00895001">
        <w:rPr>
          <w:sz w:val="18"/>
          <w:lang w:eastAsia="en-GB"/>
        </w:rPr>
        <w:t>4 below</w:t>
      </w:r>
      <w:r w:rsidR="00895001" w:rsidRPr="00A141BA">
        <w:rPr>
          <w:sz w:val="18"/>
          <w:lang w:eastAsia="en-GB"/>
        </w:rPr>
        <w:t xml:space="preserve">, respectively. If a Party does not choose to report </w:t>
      </w:r>
      <w:r w:rsidR="00895001">
        <w:rPr>
          <w:sz w:val="18"/>
          <w:lang w:eastAsia="en-GB"/>
        </w:rPr>
        <w:t xml:space="preserve">a </w:t>
      </w:r>
      <w:r w:rsidR="00895001" w:rsidRPr="00A141BA">
        <w:rPr>
          <w:sz w:val="18"/>
          <w:lang w:eastAsia="en-GB"/>
        </w:rPr>
        <w:t xml:space="preserve">‘without measures’ or ‘with additional measures’ </w:t>
      </w:r>
      <w:r w:rsidR="00895001">
        <w:rPr>
          <w:sz w:val="18"/>
          <w:lang w:eastAsia="en-GB"/>
        </w:rPr>
        <w:t>projection,</w:t>
      </w:r>
      <w:r w:rsidR="00895001" w:rsidRPr="00A141BA">
        <w:rPr>
          <w:sz w:val="18"/>
          <w:lang w:eastAsia="en-GB"/>
        </w:rPr>
        <w:t xml:space="preserve"> then it should not include table </w:t>
      </w:r>
      <w:r w:rsidR="00895001">
        <w:rPr>
          <w:sz w:val="18"/>
          <w:lang w:eastAsia="en-GB"/>
        </w:rPr>
        <w:t>3</w:t>
      </w:r>
      <w:r w:rsidR="00895001" w:rsidRPr="00A141BA">
        <w:rPr>
          <w:sz w:val="18"/>
          <w:lang w:eastAsia="en-GB"/>
        </w:rPr>
        <w:t xml:space="preserve"> or </w:t>
      </w:r>
      <w:r w:rsidR="00895001" w:rsidRPr="0039231C">
        <w:rPr>
          <w:sz w:val="18"/>
          <w:lang w:eastAsia="en-GB"/>
        </w:rPr>
        <w:t xml:space="preserve">4 in its national communication. </w:t>
      </w:r>
    </w:p>
    <w:p w14:paraId="70F4B9DF" w14:textId="72EB9852" w:rsidR="00895001" w:rsidRPr="0039231C" w:rsidRDefault="000E0429" w:rsidP="000E0429">
      <w:pPr>
        <w:spacing w:line="220" w:lineRule="exact"/>
        <w:ind w:right="919" w:firstLine="284"/>
        <w:rPr>
          <w:rFonts w:eastAsia="MS Mincho"/>
          <w:sz w:val="18"/>
          <w:lang w:eastAsia="ja-JP"/>
        </w:rPr>
      </w:pPr>
      <w:r w:rsidRPr="0039231C">
        <w:rPr>
          <w:rFonts w:eastAsia="MS Mincho"/>
          <w:i/>
          <w:sz w:val="18"/>
          <w:vertAlign w:val="superscript"/>
          <w:lang w:eastAsia="ja-JP"/>
        </w:rPr>
        <w:t xml:space="preserve">b   </w:t>
      </w:r>
      <w:r w:rsidR="00895001" w:rsidRPr="0039231C">
        <w:rPr>
          <w:rFonts w:eastAsia="MS Mincho"/>
          <w:sz w:val="18"/>
          <w:szCs w:val="18"/>
          <w:lang w:eastAsia="ja-JP"/>
        </w:rPr>
        <w:t xml:space="preserve">Emissions and removals reported in these columns should be </w:t>
      </w:r>
      <w:r w:rsidR="00895001" w:rsidRPr="0039231C">
        <w:rPr>
          <w:rFonts w:eastAsia="MS Mincho"/>
          <w:sz w:val="18"/>
          <w:lang w:eastAsia="ja-JP"/>
        </w:rPr>
        <w:t>as reported in the most recent annual inventory submission available</w:t>
      </w:r>
      <w:r w:rsidR="00895001" w:rsidRPr="0039231C">
        <w:rPr>
          <w:rFonts w:eastAsia="MS Mincho"/>
          <w:i/>
          <w:sz w:val="18"/>
          <w:lang w:eastAsia="ja-JP"/>
        </w:rPr>
        <w:t xml:space="preserve"> </w:t>
      </w:r>
      <w:r w:rsidR="00895001" w:rsidRPr="0039231C">
        <w:rPr>
          <w:rFonts w:eastAsia="MS Mincho"/>
          <w:sz w:val="18"/>
          <w:lang w:eastAsia="ja-JP"/>
        </w:rPr>
        <w:t>and</w:t>
      </w:r>
      <w:r w:rsidR="00895001" w:rsidRPr="0039231C">
        <w:rPr>
          <w:rFonts w:eastAsia="MS Mincho"/>
          <w:i/>
          <w:sz w:val="18"/>
          <w:lang w:eastAsia="ja-JP"/>
        </w:rPr>
        <w:t xml:space="preserve"> </w:t>
      </w:r>
      <w:r w:rsidR="00895001" w:rsidRPr="0039231C">
        <w:rPr>
          <w:rFonts w:eastAsia="MS Mincho"/>
          <w:sz w:val="18"/>
          <w:szCs w:val="18"/>
          <w:lang w:eastAsia="ja-JP"/>
        </w:rPr>
        <w:t xml:space="preserve">consistent with the emissions and removals reported in the table on GHG emissions and trends provided in accordance with section IV of these guidelines. </w:t>
      </w:r>
      <w:r w:rsidR="00895001" w:rsidRPr="0039231C">
        <w:rPr>
          <w:sz w:val="18"/>
          <w:szCs w:val="18"/>
        </w:rPr>
        <w:t>Where the sectoral breakdown differs from that reported in the GHG inventory, Parties should explain in their national communication how the inventory sectors relate to the sectors reported in this table.</w:t>
      </w:r>
    </w:p>
    <w:p w14:paraId="778B993E" w14:textId="1B17963E" w:rsidR="00895001" w:rsidRPr="0050252A" w:rsidRDefault="000E0429" w:rsidP="000E0429">
      <w:pPr>
        <w:spacing w:line="220" w:lineRule="exact"/>
        <w:ind w:right="919" w:firstLine="284"/>
        <w:rPr>
          <w:rFonts w:eastAsia="MS Mincho"/>
          <w:sz w:val="18"/>
          <w:lang w:eastAsia="ja-JP"/>
        </w:rPr>
      </w:pPr>
      <w:r w:rsidRPr="0050252A">
        <w:rPr>
          <w:rFonts w:eastAsia="MS Mincho"/>
          <w:i/>
          <w:sz w:val="18"/>
          <w:vertAlign w:val="superscript"/>
          <w:lang w:eastAsia="ja-JP"/>
        </w:rPr>
        <w:t xml:space="preserve">c   </w:t>
      </w:r>
      <w:r w:rsidR="00895001" w:rsidRPr="0050252A">
        <w:rPr>
          <w:rFonts w:eastAsia="MS Mincho"/>
          <w:sz w:val="18"/>
          <w:lang w:eastAsia="ja-JP"/>
        </w:rPr>
        <w:t>Parties may include indirect CO</w:t>
      </w:r>
      <w:r w:rsidR="00895001" w:rsidRPr="0050252A">
        <w:rPr>
          <w:rFonts w:eastAsia="MS Mincho"/>
          <w:sz w:val="18"/>
          <w:vertAlign w:val="subscript"/>
          <w:lang w:eastAsia="ja-JP"/>
        </w:rPr>
        <w:t>2</w:t>
      </w:r>
      <w:r w:rsidR="00895001" w:rsidRPr="0050252A">
        <w:rPr>
          <w:rFonts w:eastAsia="MS Mincho"/>
          <w:sz w:val="18"/>
          <w:lang w:eastAsia="ja-JP"/>
        </w:rPr>
        <w:t xml:space="preserve"> emissions in historical GHG emissions and in GHG emission projections and shall indicate this in a custom footnote below.</w:t>
      </w:r>
    </w:p>
    <w:p w14:paraId="4182DBAE" w14:textId="5B59B23C" w:rsidR="00895001" w:rsidRPr="0050252A" w:rsidRDefault="000E0429" w:rsidP="000E0429">
      <w:pPr>
        <w:spacing w:line="220" w:lineRule="exact"/>
        <w:ind w:right="919" w:firstLine="284"/>
        <w:rPr>
          <w:rFonts w:eastAsia="MS Mincho"/>
          <w:sz w:val="18"/>
          <w:lang w:eastAsia="ja-JP"/>
        </w:rPr>
      </w:pPr>
      <w:r w:rsidRPr="0050252A">
        <w:rPr>
          <w:rFonts w:eastAsia="MS Mincho"/>
          <w:i/>
          <w:sz w:val="18"/>
          <w:vertAlign w:val="superscript"/>
          <w:lang w:eastAsia="ja-JP"/>
        </w:rPr>
        <w:t xml:space="preserve">d   </w:t>
      </w:r>
      <w:r w:rsidR="00895001" w:rsidRPr="00541CD6">
        <w:rPr>
          <w:rFonts w:eastAsia="Calibri"/>
          <w:sz w:val="18"/>
          <w:szCs w:val="18"/>
          <w:lang w:eastAsia="en-US"/>
        </w:rPr>
        <w:t>Parties should include projections on a quantitative basis starting from the most recent inventory year and</w:t>
      </w:r>
      <w:r w:rsidR="00895001">
        <w:rPr>
          <w:rFonts w:eastAsia="Calibri"/>
          <w:sz w:val="18"/>
          <w:szCs w:val="18"/>
          <w:lang w:eastAsia="en-US"/>
        </w:rPr>
        <w:t xml:space="preserve"> for</w:t>
      </w:r>
      <w:r w:rsidR="00895001" w:rsidRPr="00541CD6">
        <w:rPr>
          <w:rFonts w:eastAsia="Calibri"/>
          <w:sz w:val="18"/>
          <w:szCs w:val="18"/>
          <w:lang w:eastAsia="en-US"/>
        </w:rPr>
        <w:t xml:space="preserve"> subsequent years that end in either a </w:t>
      </w:r>
      <w:r w:rsidR="00895001">
        <w:rPr>
          <w:rFonts w:eastAsia="Calibri"/>
          <w:sz w:val="18"/>
          <w:szCs w:val="18"/>
          <w:lang w:eastAsia="en-US"/>
        </w:rPr>
        <w:t>zero</w:t>
      </w:r>
      <w:r w:rsidR="00895001" w:rsidRPr="00541CD6">
        <w:rPr>
          <w:rFonts w:eastAsia="Calibri"/>
          <w:sz w:val="18"/>
          <w:szCs w:val="18"/>
          <w:lang w:eastAsia="en-US"/>
        </w:rPr>
        <w:t xml:space="preserve"> or a </w:t>
      </w:r>
      <w:r w:rsidR="00895001">
        <w:rPr>
          <w:rFonts w:eastAsia="Calibri"/>
          <w:sz w:val="18"/>
          <w:szCs w:val="18"/>
          <w:lang w:eastAsia="en-US"/>
        </w:rPr>
        <w:t>five</w:t>
      </w:r>
      <w:r w:rsidR="00895001" w:rsidRPr="00541CD6">
        <w:rPr>
          <w:rFonts w:eastAsia="Calibri"/>
          <w:sz w:val="18"/>
          <w:szCs w:val="18"/>
          <w:lang w:eastAsia="en-US"/>
        </w:rPr>
        <w:t xml:space="preserve">, extending at </w:t>
      </w:r>
      <w:r w:rsidR="00895001" w:rsidRPr="0050252A">
        <w:rPr>
          <w:rFonts w:eastAsia="Calibri"/>
          <w:sz w:val="18"/>
          <w:szCs w:val="18"/>
          <w:lang w:eastAsia="en-US"/>
        </w:rPr>
        <w:t xml:space="preserve">least 15 years from the </w:t>
      </w:r>
      <w:r w:rsidR="00895001">
        <w:rPr>
          <w:rFonts w:eastAsia="Calibri"/>
          <w:sz w:val="18"/>
          <w:szCs w:val="18"/>
          <w:lang w:eastAsia="en-US"/>
        </w:rPr>
        <w:t>most recent</w:t>
      </w:r>
      <w:r w:rsidR="00895001" w:rsidRPr="0050252A">
        <w:rPr>
          <w:rFonts w:eastAsia="Calibri"/>
          <w:sz w:val="18"/>
          <w:szCs w:val="18"/>
          <w:lang w:eastAsia="en-US"/>
        </w:rPr>
        <w:t xml:space="preserve"> inventory year.</w:t>
      </w:r>
    </w:p>
    <w:p w14:paraId="54327B4D" w14:textId="0F08B022" w:rsidR="00895001" w:rsidRPr="0050252A" w:rsidRDefault="000E0429" w:rsidP="000E0429">
      <w:pPr>
        <w:spacing w:line="220" w:lineRule="exact"/>
        <w:ind w:right="919" w:firstLine="284"/>
        <w:rPr>
          <w:rFonts w:eastAsia="MS Mincho"/>
          <w:sz w:val="18"/>
          <w:lang w:eastAsia="ja-JP"/>
        </w:rPr>
      </w:pPr>
      <w:r w:rsidRPr="0050252A">
        <w:rPr>
          <w:rFonts w:eastAsia="MS Mincho"/>
          <w:i/>
          <w:sz w:val="18"/>
          <w:vertAlign w:val="superscript"/>
          <w:lang w:eastAsia="ja-JP"/>
        </w:rPr>
        <w:t xml:space="preserve">e   </w:t>
      </w:r>
      <w:r w:rsidR="00895001" w:rsidRPr="0050252A">
        <w:rPr>
          <w:sz w:val="18"/>
        </w:rPr>
        <w:t>The most recent inventory year.</w:t>
      </w:r>
    </w:p>
    <w:p w14:paraId="2FB111B0" w14:textId="7DC52426" w:rsidR="00895001" w:rsidRPr="00CB4F08" w:rsidRDefault="000E0429" w:rsidP="000E0429">
      <w:pPr>
        <w:spacing w:line="220" w:lineRule="exact"/>
        <w:ind w:left="1134" w:right="919" w:hanging="850"/>
        <w:rPr>
          <w:rFonts w:eastAsia="MS Mincho"/>
          <w:sz w:val="18"/>
          <w:lang w:eastAsia="ja-JP"/>
        </w:rPr>
      </w:pPr>
      <w:r w:rsidRPr="00CB4F08">
        <w:rPr>
          <w:rFonts w:eastAsia="MS Mincho"/>
          <w:i/>
          <w:sz w:val="18"/>
          <w:vertAlign w:val="superscript"/>
          <w:lang w:eastAsia="ja-JP"/>
        </w:rPr>
        <w:t xml:space="preserve">f   </w:t>
      </w:r>
      <w:r w:rsidR="00895001" w:rsidRPr="00CB4F08">
        <w:rPr>
          <w:sz w:val="18"/>
        </w:rPr>
        <w:t>A year that ends in either a zero or a five following the most recent inventory year,</w:t>
      </w:r>
      <w:r w:rsidR="00895001" w:rsidRPr="00CB4F08">
        <w:rPr>
          <w:rFonts w:eastAsiaTheme="minorHAnsi"/>
          <w:color w:val="000000"/>
          <w:sz w:val="18"/>
          <w:szCs w:val="18"/>
          <w:lang w:val="en-US" w:eastAsia="en-US"/>
        </w:rPr>
        <w:t xml:space="preserve"> </w:t>
      </w:r>
      <w:r w:rsidR="00895001" w:rsidRPr="00CB4F08">
        <w:rPr>
          <w:sz w:val="18"/>
          <w:lang w:val="en-US"/>
        </w:rPr>
        <w:t>extending at least 15 years from the most recent inventory year.</w:t>
      </w:r>
      <w:r w:rsidR="00895001" w:rsidRPr="00CB4F08">
        <w:rPr>
          <w:sz w:val="18"/>
        </w:rPr>
        <w:t xml:space="preserve"> </w:t>
      </w:r>
    </w:p>
    <w:p w14:paraId="3700692D" w14:textId="2FDAF3BB" w:rsidR="00895001" w:rsidRPr="0050252A" w:rsidRDefault="000E0429" w:rsidP="000E0429">
      <w:pPr>
        <w:spacing w:line="220" w:lineRule="exact"/>
        <w:ind w:right="919" w:firstLine="284"/>
        <w:rPr>
          <w:rFonts w:eastAsia="MS Mincho"/>
          <w:sz w:val="18"/>
          <w:lang w:eastAsia="ja-JP"/>
        </w:rPr>
      </w:pPr>
      <w:r w:rsidRPr="0050252A">
        <w:rPr>
          <w:rFonts w:eastAsia="MS Mincho"/>
          <w:i/>
          <w:sz w:val="18"/>
          <w:vertAlign w:val="superscript"/>
          <w:lang w:eastAsia="ja-JP"/>
        </w:rPr>
        <w:t xml:space="preserve">g   </w:t>
      </w:r>
      <w:r w:rsidR="00895001" w:rsidRPr="0050252A">
        <w:rPr>
          <w:rFonts w:eastAsia="MS Mincho"/>
          <w:sz w:val="18"/>
          <w:szCs w:val="18"/>
          <w:lang w:eastAsia="ja-JP"/>
        </w:rPr>
        <w:t>In accordance with paragraph 31 of the</w:t>
      </w:r>
      <w:r w:rsidR="00895001">
        <w:rPr>
          <w:rFonts w:eastAsia="MS Mincho"/>
          <w:sz w:val="18"/>
          <w:szCs w:val="18"/>
          <w:lang w:eastAsia="ja-JP"/>
        </w:rPr>
        <w:t>se guidelines</w:t>
      </w:r>
      <w:r w:rsidR="00895001" w:rsidRPr="0050252A">
        <w:rPr>
          <w:rFonts w:eastAsia="MS Mincho"/>
          <w:sz w:val="18"/>
          <w:szCs w:val="18"/>
          <w:lang w:eastAsia="ja-JP"/>
        </w:rPr>
        <w:t>, p</w:t>
      </w:r>
      <w:r w:rsidR="00895001" w:rsidRPr="0050252A">
        <w:rPr>
          <w:rFonts w:eastAsia="Times New Roman"/>
          <w:sz w:val="18"/>
          <w:szCs w:val="18"/>
          <w:lang w:eastAsia="en-GB"/>
        </w:rPr>
        <w:t>rojections shall be presented on a sectoral basis, to the extent possible, using the same sectoral categories as used in the GHG inventories</w:t>
      </w:r>
      <w:r w:rsidR="00895001" w:rsidRPr="0050252A">
        <w:rPr>
          <w:rFonts w:eastAsia="MS Mincho"/>
          <w:sz w:val="18"/>
          <w:szCs w:val="18"/>
          <w:lang w:eastAsia="ja-JP"/>
        </w:rPr>
        <w:t>. This table should follow, to the extent possible, the same sectoral categories as those listed in paragraph 14 of th</w:t>
      </w:r>
      <w:r w:rsidR="00895001">
        <w:rPr>
          <w:rFonts w:eastAsia="MS Mincho"/>
          <w:sz w:val="18"/>
          <w:szCs w:val="18"/>
          <w:lang w:eastAsia="ja-JP"/>
        </w:rPr>
        <w:t>e</w:t>
      </w:r>
      <w:r w:rsidR="00895001" w:rsidRPr="0050252A">
        <w:rPr>
          <w:rFonts w:eastAsia="MS Mincho"/>
          <w:sz w:val="18"/>
          <w:szCs w:val="18"/>
          <w:lang w:eastAsia="ja-JP"/>
        </w:rPr>
        <w:t>se guidelines; namely, t</w:t>
      </w:r>
      <w:r w:rsidR="00895001" w:rsidRPr="0050252A">
        <w:rPr>
          <w:rFonts w:eastAsia="Times New Roman"/>
          <w:sz w:val="18"/>
          <w:szCs w:val="18"/>
          <w:lang w:eastAsia="en-GB"/>
        </w:rPr>
        <w:t>o the extent appropriate, the following sectors should be considered: energy, transport, industry/industrial processes</w:t>
      </w:r>
      <w:r w:rsidR="00895001" w:rsidRPr="0050252A">
        <w:rPr>
          <w:rFonts w:eastAsia="Calibri"/>
          <w:sz w:val="24"/>
          <w:szCs w:val="24"/>
          <w:lang w:eastAsia="en-US"/>
        </w:rPr>
        <w:t xml:space="preserve"> </w:t>
      </w:r>
      <w:r w:rsidR="00895001" w:rsidRPr="0050252A">
        <w:rPr>
          <w:rFonts w:eastAsia="Times New Roman"/>
          <w:sz w:val="18"/>
          <w:szCs w:val="18"/>
          <w:lang w:eastAsia="en-GB"/>
        </w:rPr>
        <w:t>and product use, agriculture, forestry/LULUCF,</w:t>
      </w:r>
      <w:r w:rsidR="00895001" w:rsidRPr="0050252A">
        <w:rPr>
          <w:rFonts w:eastAsia="Times New Roman"/>
          <w:b/>
          <w:sz w:val="18"/>
          <w:szCs w:val="18"/>
          <w:lang w:eastAsia="en-GB"/>
        </w:rPr>
        <w:t xml:space="preserve"> </w:t>
      </w:r>
      <w:r w:rsidR="00895001" w:rsidRPr="0050252A">
        <w:rPr>
          <w:rFonts w:eastAsia="Times New Roman"/>
          <w:sz w:val="18"/>
          <w:szCs w:val="18"/>
          <w:lang w:eastAsia="en-GB"/>
        </w:rPr>
        <w:t>waste management/waste, other sectors and cross-cutting.</w:t>
      </w:r>
      <w:r w:rsidR="00895001" w:rsidRPr="0050252A">
        <w:rPr>
          <w:rFonts w:eastAsia="MS Mincho"/>
          <w:sz w:val="18"/>
          <w:szCs w:val="18"/>
          <w:lang w:eastAsia="ja-JP"/>
        </w:rPr>
        <w:t xml:space="preserve"> </w:t>
      </w:r>
    </w:p>
    <w:p w14:paraId="25CFADD4" w14:textId="2D1C4049" w:rsidR="00895001" w:rsidRPr="0050252A" w:rsidRDefault="000E0429" w:rsidP="000E0429">
      <w:pPr>
        <w:spacing w:line="220" w:lineRule="exact"/>
        <w:ind w:right="919" w:firstLine="284"/>
        <w:rPr>
          <w:rFonts w:eastAsia="Times New Roman"/>
          <w:b/>
          <w:sz w:val="18"/>
          <w:szCs w:val="18"/>
          <w:lang w:eastAsia="en-US"/>
        </w:rPr>
      </w:pPr>
      <w:r w:rsidRPr="0050252A">
        <w:rPr>
          <w:rFonts w:eastAsia="Times New Roman"/>
          <w:i/>
          <w:sz w:val="18"/>
          <w:szCs w:val="18"/>
          <w:vertAlign w:val="superscript"/>
          <w:lang w:eastAsia="en-US"/>
        </w:rPr>
        <w:t xml:space="preserve">h   </w:t>
      </w:r>
      <w:r w:rsidR="00895001" w:rsidRPr="0050252A">
        <w:rPr>
          <w:rFonts w:eastAsia="MS Mincho"/>
          <w:sz w:val="18"/>
          <w:szCs w:val="18"/>
          <w:lang w:eastAsia="ja-JP"/>
        </w:rPr>
        <w:t>To the extent possible, the following sectors should be used: energy, transport, industry/industrial processes</w:t>
      </w:r>
      <w:r w:rsidR="00895001" w:rsidRPr="0050252A">
        <w:rPr>
          <w:rFonts w:eastAsia="Calibri"/>
          <w:sz w:val="24"/>
          <w:szCs w:val="24"/>
          <w:lang w:eastAsia="en-US"/>
        </w:rPr>
        <w:t xml:space="preserve"> </w:t>
      </w:r>
      <w:r w:rsidR="00895001" w:rsidRPr="0050252A">
        <w:rPr>
          <w:rFonts w:eastAsia="MS Mincho"/>
          <w:sz w:val="18"/>
          <w:szCs w:val="18"/>
          <w:lang w:eastAsia="ja-JP"/>
        </w:rPr>
        <w:t xml:space="preserve">and product use, agriculture, forestry/LULUCF, waste management/waste and other sectors (i.e. cross-cutting), as appropriate. </w:t>
      </w:r>
    </w:p>
    <w:p w14:paraId="2B4C669F" w14:textId="6E96E000" w:rsidR="00895001" w:rsidRPr="0050252A" w:rsidRDefault="000E0429" w:rsidP="000E0429">
      <w:pPr>
        <w:spacing w:line="220" w:lineRule="exact"/>
        <w:ind w:right="919" w:firstLine="284"/>
        <w:rPr>
          <w:rFonts w:eastAsia="MS Mincho"/>
          <w:sz w:val="18"/>
          <w:szCs w:val="18"/>
          <w:lang w:eastAsia="ja-JP"/>
        </w:rPr>
      </w:pPr>
      <w:r w:rsidRPr="0050252A">
        <w:rPr>
          <w:rFonts w:eastAsia="MS Mincho"/>
          <w:i/>
          <w:sz w:val="18"/>
          <w:szCs w:val="18"/>
          <w:vertAlign w:val="superscript"/>
          <w:lang w:eastAsia="ja-JP"/>
        </w:rPr>
        <w:t xml:space="preserve">i   </w:t>
      </w:r>
      <w:r w:rsidR="00895001" w:rsidRPr="0050252A">
        <w:rPr>
          <w:rFonts w:eastAsia="MS Mincho"/>
          <w:sz w:val="18"/>
          <w:szCs w:val="18"/>
          <w:lang w:eastAsia="ja-JP"/>
        </w:rPr>
        <w:t>Parties may choose to report total emissions with or without LULUCF, as appropriate.</w:t>
      </w:r>
    </w:p>
    <w:p w14:paraId="2D09BBFA" w14:textId="77777777" w:rsidR="00895001" w:rsidRPr="0050252A" w:rsidRDefault="00895001" w:rsidP="00895001">
      <w:pPr>
        <w:spacing w:line="220" w:lineRule="exact"/>
        <w:ind w:right="919"/>
        <w:rPr>
          <w:rFonts w:eastAsia="MS Mincho"/>
          <w:b/>
          <w:i/>
          <w:sz w:val="18"/>
          <w:szCs w:val="18"/>
          <w:lang w:eastAsia="ja-JP"/>
        </w:rPr>
      </w:pPr>
    </w:p>
    <w:p w14:paraId="697D33F8" w14:textId="77777777" w:rsidR="00895001" w:rsidRPr="00872C4F" w:rsidRDefault="00895001" w:rsidP="00895001">
      <w:pPr>
        <w:spacing w:line="220" w:lineRule="exact"/>
        <w:ind w:right="919"/>
        <w:rPr>
          <w:rFonts w:eastAsia="MS Mincho"/>
          <w:b/>
          <w:i/>
          <w:sz w:val="18"/>
          <w:szCs w:val="18"/>
          <w:lang w:eastAsia="ja-JP"/>
        </w:rPr>
      </w:pPr>
      <w:r w:rsidRPr="0050252A">
        <w:rPr>
          <w:rFonts w:eastAsia="MS Mincho"/>
          <w:b/>
          <w:i/>
          <w:sz w:val="18"/>
          <w:szCs w:val="18"/>
          <w:lang w:eastAsia="ja-JP"/>
        </w:rPr>
        <w:t>Custom footnote </w:t>
      </w:r>
      <w:r w:rsidRPr="00872C4F">
        <w:rPr>
          <w:rFonts w:eastAsia="MS Mincho"/>
          <w:b/>
          <w:i/>
          <w:sz w:val="18"/>
          <w:szCs w:val="18"/>
          <w:lang w:eastAsia="ja-JP"/>
        </w:rPr>
        <w:br w:type="page"/>
      </w:r>
    </w:p>
    <w:p w14:paraId="033F9C3F" w14:textId="77777777" w:rsidR="00895001" w:rsidRPr="00170C38" w:rsidRDefault="00895001" w:rsidP="00895001">
      <w:pPr>
        <w:suppressAutoHyphens w:val="0"/>
        <w:spacing w:line="240" w:lineRule="auto"/>
      </w:pPr>
      <w:r w:rsidRPr="00170C38">
        <w:t>Table 3</w:t>
      </w:r>
    </w:p>
    <w:p w14:paraId="3A59C69F" w14:textId="77777777" w:rsidR="00895001" w:rsidRPr="00170C38" w:rsidRDefault="00895001" w:rsidP="00895001">
      <w:pPr>
        <w:suppressAutoHyphens w:val="0"/>
        <w:spacing w:after="120" w:line="240" w:lineRule="auto"/>
        <w:ind w:right="566"/>
        <w:rPr>
          <w:rFonts w:eastAsia="MS Mincho"/>
          <w:vertAlign w:val="superscript"/>
          <w:lang w:eastAsia="ja-JP"/>
        </w:rPr>
      </w:pPr>
      <w:r w:rsidRPr="00170C38">
        <w:rPr>
          <w:b/>
        </w:rPr>
        <w:t>Information on updated greenhouse gas projections under a ‘without measures’ scenario</w:t>
      </w:r>
      <w:r w:rsidRPr="00170C38">
        <w:rPr>
          <w:rFonts w:eastAsia="MS Mincho"/>
          <w:i/>
          <w:sz w:val="18"/>
          <w:vertAlign w:val="superscript"/>
          <w:lang w:eastAsia="ja-JP"/>
        </w:rPr>
        <w:t>a</w:t>
      </w:r>
    </w:p>
    <w:tbl>
      <w:tblPr>
        <w:tblW w:w="12417" w:type="dxa"/>
        <w:tblBorders>
          <w:top w:val="single" w:sz="4" w:space="0" w:color="auto"/>
        </w:tblBorders>
        <w:tblLayout w:type="fixed"/>
        <w:tblCellMar>
          <w:left w:w="0" w:type="dxa"/>
          <w:right w:w="0" w:type="dxa"/>
        </w:tblCellMar>
        <w:tblLook w:val="01E0" w:firstRow="1" w:lastRow="1" w:firstColumn="1" w:lastColumn="1" w:noHBand="0" w:noVBand="0"/>
      </w:tblPr>
      <w:tblGrid>
        <w:gridCol w:w="2542"/>
        <w:gridCol w:w="771"/>
        <w:gridCol w:w="771"/>
        <w:gridCol w:w="776"/>
        <w:gridCol w:w="779"/>
        <w:gridCol w:w="779"/>
        <w:gridCol w:w="780"/>
        <w:gridCol w:w="762"/>
        <w:gridCol w:w="17"/>
        <w:gridCol w:w="775"/>
        <w:gridCol w:w="897"/>
        <w:gridCol w:w="420"/>
        <w:gridCol w:w="477"/>
        <w:gridCol w:w="897"/>
        <w:gridCol w:w="897"/>
        <w:gridCol w:w="22"/>
        <w:gridCol w:w="55"/>
      </w:tblGrid>
      <w:tr w:rsidR="00895001" w:rsidRPr="002B7051" w14:paraId="268DA388" w14:textId="77777777" w:rsidTr="006D4A81">
        <w:trPr>
          <w:trHeight w:val="240"/>
          <w:tblHeader/>
        </w:trPr>
        <w:tc>
          <w:tcPr>
            <w:tcW w:w="1024" w:type="pct"/>
            <w:vMerge w:val="restart"/>
            <w:tcBorders>
              <w:top w:val="single" w:sz="4" w:space="0" w:color="auto"/>
              <w:bottom w:val="single" w:sz="4" w:space="0" w:color="auto"/>
              <w:right w:val="nil"/>
            </w:tcBorders>
            <w:shd w:val="clear" w:color="auto" w:fill="auto"/>
          </w:tcPr>
          <w:p w14:paraId="2125A246" w14:textId="77777777" w:rsidR="00895001" w:rsidRPr="002649B1" w:rsidRDefault="00895001" w:rsidP="006D4A81">
            <w:pPr>
              <w:rPr>
                <w:sz w:val="16"/>
                <w:szCs w:val="16"/>
              </w:rPr>
            </w:pPr>
          </w:p>
        </w:tc>
        <w:tc>
          <w:tcPr>
            <w:tcW w:w="3033" w:type="pct"/>
            <w:gridSpan w:val="11"/>
            <w:tcBorders>
              <w:top w:val="single" w:sz="4" w:space="0" w:color="auto"/>
              <w:left w:val="nil"/>
              <w:bottom w:val="single" w:sz="4" w:space="0" w:color="auto"/>
              <w:right w:val="nil"/>
            </w:tcBorders>
            <w:shd w:val="clear" w:color="auto" w:fill="auto"/>
          </w:tcPr>
          <w:p w14:paraId="3BCF201C" w14:textId="77777777" w:rsidR="00895001" w:rsidRPr="002B7051" w:rsidRDefault="00895001" w:rsidP="006D4A81">
            <w:pPr>
              <w:jc w:val="center"/>
              <w:rPr>
                <w:i/>
                <w:sz w:val="16"/>
                <w:szCs w:val="16"/>
                <w:vertAlign w:val="superscript"/>
              </w:rPr>
            </w:pPr>
            <w:r w:rsidRPr="002B7051">
              <w:rPr>
                <w:i/>
                <w:sz w:val="16"/>
                <w:szCs w:val="16"/>
              </w:rPr>
              <w:t>GHG emissions and removals</w:t>
            </w:r>
            <w:r w:rsidRPr="00FF1706">
              <w:rPr>
                <w:i/>
                <w:sz w:val="18"/>
                <w:szCs w:val="16"/>
                <w:vertAlign w:val="superscript"/>
              </w:rPr>
              <w:t>b, c</w:t>
            </w:r>
          </w:p>
          <w:p w14:paraId="140FB35B" w14:textId="77777777" w:rsidR="00895001" w:rsidRPr="002B7051" w:rsidRDefault="00895001" w:rsidP="006D4A81">
            <w:pPr>
              <w:jc w:val="center"/>
              <w:rPr>
                <w:i/>
                <w:sz w:val="16"/>
                <w:szCs w:val="16"/>
                <w:vertAlign w:val="superscript"/>
              </w:rPr>
            </w:pPr>
            <w:r w:rsidRPr="002B7051">
              <w:rPr>
                <w:i/>
                <w:sz w:val="16"/>
                <w:szCs w:val="16"/>
              </w:rPr>
              <w:t>(kt CO</w:t>
            </w:r>
            <w:r w:rsidRPr="002B7051">
              <w:rPr>
                <w:i/>
                <w:sz w:val="16"/>
                <w:szCs w:val="16"/>
                <w:vertAlign w:val="subscript"/>
              </w:rPr>
              <w:t>2</w:t>
            </w:r>
            <w:r w:rsidRPr="002B7051">
              <w:rPr>
                <w:i/>
                <w:sz w:val="16"/>
                <w:szCs w:val="16"/>
              </w:rPr>
              <w:t xml:space="preserve"> eq)</w:t>
            </w:r>
          </w:p>
        </w:tc>
        <w:tc>
          <w:tcPr>
            <w:tcW w:w="943" w:type="pct"/>
            <w:gridSpan w:val="5"/>
            <w:tcBorders>
              <w:top w:val="single" w:sz="4" w:space="0" w:color="auto"/>
              <w:left w:val="nil"/>
              <w:bottom w:val="single" w:sz="4" w:space="0" w:color="auto"/>
              <w:right w:val="nil"/>
            </w:tcBorders>
            <w:shd w:val="clear" w:color="auto" w:fill="auto"/>
          </w:tcPr>
          <w:p w14:paraId="39607417" w14:textId="77777777" w:rsidR="00895001" w:rsidRPr="002B7051" w:rsidRDefault="00895001" w:rsidP="006D4A81">
            <w:pPr>
              <w:jc w:val="center"/>
              <w:rPr>
                <w:i/>
                <w:sz w:val="16"/>
                <w:szCs w:val="16"/>
              </w:rPr>
            </w:pPr>
            <w:r w:rsidRPr="002B7051">
              <w:rPr>
                <w:i/>
                <w:sz w:val="16"/>
                <w:szCs w:val="16"/>
              </w:rPr>
              <w:t>GHG emissions and removals</w:t>
            </w:r>
            <w:r w:rsidRPr="00FF1706">
              <w:rPr>
                <w:i/>
                <w:sz w:val="18"/>
                <w:szCs w:val="16"/>
                <w:vertAlign w:val="superscript"/>
              </w:rPr>
              <w:t>c, d</w:t>
            </w:r>
          </w:p>
          <w:p w14:paraId="44525B84" w14:textId="77777777" w:rsidR="00895001" w:rsidRPr="002B7051" w:rsidRDefault="00895001" w:rsidP="006D4A81">
            <w:pPr>
              <w:jc w:val="center"/>
              <w:rPr>
                <w:sz w:val="16"/>
                <w:szCs w:val="16"/>
              </w:rPr>
            </w:pPr>
            <w:r w:rsidRPr="002B7051">
              <w:rPr>
                <w:i/>
                <w:sz w:val="16"/>
                <w:szCs w:val="16"/>
              </w:rPr>
              <w:t>(kt CO</w:t>
            </w:r>
            <w:r w:rsidRPr="002B7051">
              <w:rPr>
                <w:i/>
                <w:sz w:val="16"/>
                <w:szCs w:val="16"/>
                <w:vertAlign w:val="subscript"/>
              </w:rPr>
              <w:t>2</w:t>
            </w:r>
            <w:r w:rsidRPr="002B7051">
              <w:rPr>
                <w:i/>
                <w:sz w:val="16"/>
                <w:szCs w:val="16"/>
              </w:rPr>
              <w:t xml:space="preserve"> eq)</w:t>
            </w:r>
          </w:p>
        </w:tc>
      </w:tr>
      <w:tr w:rsidR="00895001" w:rsidRPr="002649B1" w14:paraId="75946057" w14:textId="77777777" w:rsidTr="006D4A81">
        <w:trPr>
          <w:trHeight w:val="240"/>
          <w:tblHeader/>
        </w:trPr>
        <w:tc>
          <w:tcPr>
            <w:tcW w:w="1024" w:type="pct"/>
            <w:vMerge/>
            <w:tcBorders>
              <w:top w:val="single" w:sz="4" w:space="0" w:color="auto"/>
              <w:bottom w:val="single" w:sz="12" w:space="0" w:color="auto"/>
            </w:tcBorders>
            <w:shd w:val="clear" w:color="auto" w:fill="auto"/>
          </w:tcPr>
          <w:p w14:paraId="22C76450" w14:textId="77777777" w:rsidR="00895001" w:rsidRPr="002B7051" w:rsidRDefault="00895001" w:rsidP="006D4A81">
            <w:pPr>
              <w:suppressAutoHyphens w:val="0"/>
              <w:autoSpaceDE w:val="0"/>
              <w:autoSpaceDN w:val="0"/>
              <w:adjustRightInd w:val="0"/>
              <w:spacing w:before="40" w:after="40" w:line="220" w:lineRule="exact"/>
              <w:rPr>
                <w:rFonts w:eastAsia="MS Mincho"/>
                <w:sz w:val="16"/>
                <w:szCs w:val="16"/>
                <w:lang w:eastAsia="ja-JP"/>
              </w:rPr>
            </w:pPr>
          </w:p>
        </w:tc>
        <w:tc>
          <w:tcPr>
            <w:tcW w:w="311" w:type="pct"/>
            <w:tcBorders>
              <w:top w:val="single" w:sz="4" w:space="0" w:color="auto"/>
              <w:bottom w:val="single" w:sz="12" w:space="0" w:color="auto"/>
            </w:tcBorders>
            <w:shd w:val="clear" w:color="auto" w:fill="auto"/>
            <w:vAlign w:val="center"/>
          </w:tcPr>
          <w:p w14:paraId="5660049D" w14:textId="77777777" w:rsidR="00895001" w:rsidRPr="002B7051"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051">
              <w:rPr>
                <w:i/>
                <w:sz w:val="16"/>
                <w:szCs w:val="16"/>
              </w:rPr>
              <w:t>Base year</w:t>
            </w:r>
          </w:p>
        </w:tc>
        <w:tc>
          <w:tcPr>
            <w:tcW w:w="311" w:type="pct"/>
            <w:tcBorders>
              <w:top w:val="single" w:sz="4" w:space="0" w:color="auto"/>
              <w:bottom w:val="single" w:sz="12" w:space="0" w:color="auto"/>
            </w:tcBorders>
            <w:shd w:val="clear" w:color="auto" w:fill="auto"/>
            <w:vAlign w:val="center"/>
          </w:tcPr>
          <w:p w14:paraId="3C9DD3AD" w14:textId="77777777" w:rsidR="00895001" w:rsidRPr="002B7051"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1990</w:t>
            </w:r>
          </w:p>
        </w:tc>
        <w:tc>
          <w:tcPr>
            <w:tcW w:w="313" w:type="pct"/>
            <w:tcBorders>
              <w:top w:val="single" w:sz="4" w:space="0" w:color="auto"/>
              <w:bottom w:val="single" w:sz="12" w:space="0" w:color="auto"/>
            </w:tcBorders>
            <w:shd w:val="clear" w:color="auto" w:fill="auto"/>
            <w:vAlign w:val="center"/>
          </w:tcPr>
          <w:p w14:paraId="0DCE691F" w14:textId="77777777" w:rsidR="00895001" w:rsidRPr="002B7051"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1995</w:t>
            </w:r>
          </w:p>
        </w:tc>
        <w:tc>
          <w:tcPr>
            <w:tcW w:w="314" w:type="pct"/>
            <w:tcBorders>
              <w:top w:val="single" w:sz="4" w:space="0" w:color="auto"/>
              <w:bottom w:val="single" w:sz="12" w:space="0" w:color="auto"/>
            </w:tcBorders>
            <w:shd w:val="clear" w:color="auto" w:fill="auto"/>
            <w:vAlign w:val="center"/>
          </w:tcPr>
          <w:p w14:paraId="42A37280" w14:textId="77777777" w:rsidR="00895001" w:rsidRPr="002B7051"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2000</w:t>
            </w:r>
          </w:p>
        </w:tc>
        <w:tc>
          <w:tcPr>
            <w:tcW w:w="314" w:type="pct"/>
            <w:tcBorders>
              <w:top w:val="single" w:sz="4" w:space="0" w:color="auto"/>
              <w:bottom w:val="single" w:sz="12" w:space="0" w:color="auto"/>
            </w:tcBorders>
            <w:shd w:val="clear" w:color="auto" w:fill="auto"/>
            <w:vAlign w:val="center"/>
          </w:tcPr>
          <w:p w14:paraId="136C60BC" w14:textId="77777777" w:rsidR="00895001" w:rsidRPr="002B7051"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2005</w:t>
            </w:r>
          </w:p>
        </w:tc>
        <w:tc>
          <w:tcPr>
            <w:tcW w:w="314" w:type="pct"/>
            <w:tcBorders>
              <w:top w:val="single" w:sz="4" w:space="0" w:color="auto"/>
              <w:bottom w:val="single" w:sz="12" w:space="0" w:color="auto"/>
            </w:tcBorders>
            <w:shd w:val="clear" w:color="auto" w:fill="auto"/>
            <w:vAlign w:val="center"/>
          </w:tcPr>
          <w:p w14:paraId="3FC7C3AB" w14:textId="77777777" w:rsidR="00895001" w:rsidRPr="002B7051"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2010</w:t>
            </w:r>
          </w:p>
        </w:tc>
        <w:tc>
          <w:tcPr>
            <w:tcW w:w="307" w:type="pct"/>
            <w:tcBorders>
              <w:top w:val="single" w:sz="4" w:space="0" w:color="auto"/>
              <w:bottom w:val="single" w:sz="12" w:space="0" w:color="auto"/>
            </w:tcBorders>
            <w:shd w:val="clear" w:color="auto" w:fill="auto"/>
            <w:vAlign w:val="center"/>
          </w:tcPr>
          <w:p w14:paraId="6DAA59E0" w14:textId="77777777" w:rsidR="00895001" w:rsidRPr="002B7051"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2B7051">
              <w:rPr>
                <w:rFonts w:eastAsia="MS Mincho"/>
                <w:i/>
                <w:sz w:val="16"/>
                <w:szCs w:val="16"/>
                <w:lang w:eastAsia="ja-JP"/>
              </w:rPr>
              <w:t>…</w:t>
            </w:r>
          </w:p>
        </w:tc>
        <w:tc>
          <w:tcPr>
            <w:tcW w:w="319" w:type="pct"/>
            <w:gridSpan w:val="2"/>
            <w:tcBorders>
              <w:top w:val="single" w:sz="4" w:space="0" w:color="auto"/>
              <w:bottom w:val="single" w:sz="12" w:space="0" w:color="auto"/>
            </w:tcBorders>
            <w:shd w:val="clear" w:color="auto" w:fill="auto"/>
            <w:vAlign w:val="center"/>
          </w:tcPr>
          <w:p w14:paraId="3B46CFA6" w14:textId="0D784556" w:rsidR="00895001" w:rsidRPr="002B7051"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051">
              <w:rPr>
                <w:rFonts w:eastAsia="MS Mincho"/>
                <w:i/>
                <w:sz w:val="16"/>
                <w:szCs w:val="16"/>
                <w:lang w:eastAsia="ja-JP"/>
              </w:rPr>
              <w:t>20XX</w:t>
            </w:r>
            <w:r w:rsidRPr="00FF1706">
              <w:rPr>
                <w:rFonts w:eastAsia="MS Mincho"/>
                <w:i/>
                <w:sz w:val="18"/>
                <w:szCs w:val="16"/>
                <w:vertAlign w:val="superscript"/>
                <w:lang w:eastAsia="ja-JP"/>
              </w:rPr>
              <w:t>e</w:t>
            </w:r>
          </w:p>
        </w:tc>
        <w:tc>
          <w:tcPr>
            <w:tcW w:w="361" w:type="pct"/>
            <w:tcBorders>
              <w:top w:val="single" w:sz="4" w:space="0" w:color="auto"/>
              <w:bottom w:val="single" w:sz="12" w:space="0" w:color="auto"/>
            </w:tcBorders>
            <w:shd w:val="clear" w:color="auto" w:fill="auto"/>
            <w:tcMar>
              <w:right w:w="57" w:type="dxa"/>
            </w:tcMar>
            <w:vAlign w:val="center"/>
          </w:tcPr>
          <w:p w14:paraId="2698F517" w14:textId="77777777" w:rsidR="00895001" w:rsidRPr="002B7051" w:rsidRDefault="00895001" w:rsidP="006D4A81">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20YY</w:t>
            </w:r>
            <w:r w:rsidRPr="00FF1706">
              <w:rPr>
                <w:rFonts w:eastAsia="MS Mincho"/>
                <w:i/>
                <w:sz w:val="18"/>
                <w:szCs w:val="16"/>
                <w:vertAlign w:val="superscript"/>
                <w:lang w:eastAsia="ja-JP"/>
              </w:rPr>
              <w:t>f</w:t>
            </w:r>
          </w:p>
        </w:tc>
        <w:tc>
          <w:tcPr>
            <w:tcW w:w="361" w:type="pct"/>
            <w:gridSpan w:val="2"/>
            <w:tcBorders>
              <w:top w:val="single" w:sz="4" w:space="0" w:color="auto"/>
              <w:bottom w:val="single" w:sz="12" w:space="0" w:color="auto"/>
            </w:tcBorders>
            <w:shd w:val="clear" w:color="auto" w:fill="auto"/>
            <w:vAlign w:val="center"/>
          </w:tcPr>
          <w:p w14:paraId="54FF2867" w14:textId="0FE73EEE" w:rsidR="00895001" w:rsidRPr="002B7051" w:rsidRDefault="00895001" w:rsidP="006D4A81">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20ZZ</w:t>
            </w:r>
            <w:r w:rsidRPr="00FF1706">
              <w:rPr>
                <w:rFonts w:eastAsia="MS Mincho"/>
                <w:i/>
                <w:sz w:val="18"/>
                <w:szCs w:val="16"/>
                <w:vertAlign w:val="superscript"/>
                <w:lang w:eastAsia="ja-JP"/>
              </w:rPr>
              <w:t>g</w:t>
            </w:r>
          </w:p>
        </w:tc>
        <w:tc>
          <w:tcPr>
            <w:tcW w:w="361" w:type="pct"/>
            <w:tcBorders>
              <w:top w:val="single" w:sz="4" w:space="0" w:color="auto"/>
              <w:bottom w:val="single" w:sz="12" w:space="0" w:color="auto"/>
            </w:tcBorders>
            <w:shd w:val="clear" w:color="auto" w:fill="auto"/>
            <w:vAlign w:val="center"/>
          </w:tcPr>
          <w:p w14:paraId="5BBDE855" w14:textId="77777777" w:rsidR="00895001" w:rsidRPr="002B7051" w:rsidRDefault="00895001" w:rsidP="006D4A81">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w:t>
            </w:r>
          </w:p>
        </w:tc>
        <w:tc>
          <w:tcPr>
            <w:tcW w:w="361" w:type="pct"/>
            <w:tcBorders>
              <w:top w:val="single" w:sz="4" w:space="0" w:color="auto"/>
              <w:bottom w:val="single" w:sz="12" w:space="0" w:color="auto"/>
            </w:tcBorders>
            <w:shd w:val="clear" w:color="auto" w:fill="auto"/>
            <w:vAlign w:val="center"/>
          </w:tcPr>
          <w:p w14:paraId="1F86FAD1" w14:textId="77777777" w:rsidR="00895001" w:rsidRPr="002B7051" w:rsidRDefault="00895001" w:rsidP="006D4A81">
            <w:pPr>
              <w:suppressAutoHyphens w:val="0"/>
              <w:autoSpaceDE w:val="0"/>
              <w:autoSpaceDN w:val="0"/>
              <w:adjustRightInd w:val="0"/>
              <w:spacing w:before="40" w:after="40" w:line="220" w:lineRule="exact"/>
              <w:ind w:left="46"/>
              <w:rPr>
                <w:rFonts w:eastAsia="MS Mincho"/>
                <w:i/>
                <w:sz w:val="16"/>
                <w:szCs w:val="16"/>
                <w:lang w:eastAsia="ja-JP"/>
              </w:rPr>
            </w:pPr>
            <w:r w:rsidRPr="002B7051">
              <w:rPr>
                <w:rFonts w:eastAsia="MS Mincho"/>
                <w:i/>
                <w:sz w:val="16"/>
                <w:szCs w:val="16"/>
                <w:lang w:eastAsia="ja-JP"/>
              </w:rPr>
              <w:t>…</w:t>
            </w:r>
          </w:p>
        </w:tc>
        <w:tc>
          <w:tcPr>
            <w:tcW w:w="29" w:type="pct"/>
            <w:gridSpan w:val="2"/>
            <w:tcBorders>
              <w:top w:val="single" w:sz="4" w:space="0" w:color="auto"/>
              <w:bottom w:val="single" w:sz="12" w:space="0" w:color="auto"/>
            </w:tcBorders>
            <w:shd w:val="clear" w:color="auto" w:fill="auto"/>
            <w:tcMar>
              <w:right w:w="57" w:type="dxa"/>
            </w:tcMar>
            <w:vAlign w:val="bottom"/>
          </w:tcPr>
          <w:p w14:paraId="1850FA05"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i/>
                <w:sz w:val="16"/>
                <w:szCs w:val="16"/>
                <w:lang w:eastAsia="ja-JP"/>
              </w:rPr>
            </w:pPr>
            <w:r w:rsidRPr="002B7051">
              <w:rPr>
                <w:rFonts w:eastAsia="MS Mincho"/>
                <w:i/>
                <w:sz w:val="16"/>
                <w:szCs w:val="16"/>
                <w:lang w:eastAsia="ja-JP"/>
              </w:rPr>
              <w:t>…</w:t>
            </w:r>
          </w:p>
        </w:tc>
      </w:tr>
      <w:tr w:rsidR="00895001" w:rsidRPr="002649B1" w14:paraId="3AD93436" w14:textId="77777777" w:rsidTr="006D4A81">
        <w:trPr>
          <w:gridAfter w:val="1"/>
          <w:wAfter w:w="21" w:type="pct"/>
          <w:trHeight w:val="240"/>
        </w:trPr>
        <w:tc>
          <w:tcPr>
            <w:tcW w:w="1024" w:type="pct"/>
            <w:shd w:val="clear" w:color="auto" w:fill="auto"/>
          </w:tcPr>
          <w:p w14:paraId="5840D13B" w14:textId="3565E9EF" w:rsidR="00895001" w:rsidRPr="002649B1" w:rsidRDefault="00895001" w:rsidP="006D4A81">
            <w:pPr>
              <w:rPr>
                <w:sz w:val="18"/>
                <w:szCs w:val="18"/>
              </w:rPr>
            </w:pPr>
            <w:r w:rsidRPr="002461F0">
              <w:rPr>
                <w:b/>
                <w:i/>
                <w:sz w:val="18"/>
                <w:szCs w:val="18"/>
              </w:rPr>
              <w:t>Sector</w:t>
            </w:r>
            <w:r>
              <w:rPr>
                <w:i/>
                <w:sz w:val="18"/>
                <w:szCs w:val="18"/>
                <w:vertAlign w:val="superscript"/>
              </w:rPr>
              <w:t>h, i</w:t>
            </w:r>
          </w:p>
        </w:tc>
        <w:tc>
          <w:tcPr>
            <w:tcW w:w="311" w:type="pct"/>
            <w:shd w:val="clear" w:color="auto" w:fill="auto"/>
          </w:tcPr>
          <w:p w14:paraId="49A7A65D" w14:textId="77777777" w:rsidR="00895001" w:rsidRPr="002649B1" w:rsidRDefault="00895001" w:rsidP="006D4A81">
            <w:pPr>
              <w:rPr>
                <w:sz w:val="18"/>
                <w:szCs w:val="18"/>
              </w:rPr>
            </w:pPr>
          </w:p>
        </w:tc>
        <w:tc>
          <w:tcPr>
            <w:tcW w:w="311" w:type="pct"/>
            <w:shd w:val="clear" w:color="auto" w:fill="auto"/>
          </w:tcPr>
          <w:p w14:paraId="3FA62722" w14:textId="77777777" w:rsidR="00895001" w:rsidRPr="002649B1" w:rsidRDefault="00895001" w:rsidP="006D4A81">
            <w:pPr>
              <w:rPr>
                <w:sz w:val="18"/>
                <w:szCs w:val="18"/>
              </w:rPr>
            </w:pPr>
          </w:p>
        </w:tc>
        <w:tc>
          <w:tcPr>
            <w:tcW w:w="313" w:type="pct"/>
            <w:shd w:val="clear" w:color="auto" w:fill="auto"/>
            <w:vAlign w:val="bottom"/>
          </w:tcPr>
          <w:p w14:paraId="64382C06"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shd w:val="clear" w:color="auto" w:fill="auto"/>
            <w:vAlign w:val="bottom"/>
          </w:tcPr>
          <w:p w14:paraId="59FDD8DD"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shd w:val="clear" w:color="auto" w:fill="auto"/>
            <w:vAlign w:val="bottom"/>
          </w:tcPr>
          <w:p w14:paraId="7A758BB2"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shd w:val="clear" w:color="auto" w:fill="auto"/>
            <w:vAlign w:val="bottom"/>
          </w:tcPr>
          <w:p w14:paraId="0A7D1DB5"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gridSpan w:val="2"/>
            <w:shd w:val="clear" w:color="auto" w:fill="auto"/>
            <w:vAlign w:val="bottom"/>
          </w:tcPr>
          <w:p w14:paraId="7CE96DC2"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2" w:type="pct"/>
          </w:tcPr>
          <w:p w14:paraId="2224B6D8"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44" w:type="pct"/>
            <w:gridSpan w:val="5"/>
            <w:shd w:val="clear" w:color="auto" w:fill="auto"/>
            <w:vAlign w:val="bottom"/>
          </w:tcPr>
          <w:p w14:paraId="7587509C"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8" w:type="pct"/>
            <w:shd w:val="clear" w:color="auto" w:fill="auto"/>
            <w:vAlign w:val="bottom"/>
          </w:tcPr>
          <w:p w14:paraId="632C7033"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2649B1" w14:paraId="2692DDD6" w14:textId="77777777" w:rsidTr="006D4A81">
        <w:trPr>
          <w:gridAfter w:val="1"/>
          <w:wAfter w:w="21" w:type="pct"/>
          <w:trHeight w:val="240"/>
        </w:trPr>
        <w:tc>
          <w:tcPr>
            <w:tcW w:w="1024" w:type="pct"/>
            <w:shd w:val="clear" w:color="auto" w:fill="auto"/>
          </w:tcPr>
          <w:p w14:paraId="39B4D3BC" w14:textId="77777777" w:rsidR="00895001" w:rsidRPr="002649B1" w:rsidRDefault="00895001" w:rsidP="006D4A81">
            <w:pPr>
              <w:spacing w:after="120" w:line="240" w:lineRule="auto"/>
              <w:rPr>
                <w:sz w:val="18"/>
                <w:szCs w:val="18"/>
              </w:rPr>
            </w:pPr>
            <w:r w:rsidRPr="002649B1">
              <w:rPr>
                <w:sz w:val="18"/>
                <w:szCs w:val="18"/>
              </w:rPr>
              <w:t>Energy</w:t>
            </w:r>
          </w:p>
        </w:tc>
        <w:tc>
          <w:tcPr>
            <w:tcW w:w="311" w:type="pct"/>
            <w:shd w:val="clear" w:color="auto" w:fill="auto"/>
          </w:tcPr>
          <w:p w14:paraId="692B9E26" w14:textId="77777777" w:rsidR="00895001" w:rsidRPr="002649B1" w:rsidRDefault="00895001" w:rsidP="006D4A81">
            <w:pPr>
              <w:spacing w:after="120" w:line="240" w:lineRule="auto"/>
              <w:rPr>
                <w:sz w:val="18"/>
                <w:szCs w:val="18"/>
              </w:rPr>
            </w:pPr>
            <w:r w:rsidRPr="002649B1">
              <w:rPr>
                <w:sz w:val="18"/>
                <w:szCs w:val="18"/>
              </w:rPr>
              <w:t xml:space="preserve"> </w:t>
            </w:r>
          </w:p>
        </w:tc>
        <w:tc>
          <w:tcPr>
            <w:tcW w:w="311" w:type="pct"/>
            <w:shd w:val="clear" w:color="auto" w:fill="auto"/>
          </w:tcPr>
          <w:p w14:paraId="495F0340" w14:textId="77777777" w:rsidR="00895001" w:rsidRPr="002649B1" w:rsidRDefault="00895001" w:rsidP="006D4A81">
            <w:pPr>
              <w:spacing w:after="120" w:line="240" w:lineRule="auto"/>
              <w:rPr>
                <w:sz w:val="18"/>
                <w:szCs w:val="18"/>
              </w:rPr>
            </w:pPr>
          </w:p>
        </w:tc>
        <w:tc>
          <w:tcPr>
            <w:tcW w:w="313" w:type="pct"/>
            <w:shd w:val="clear" w:color="auto" w:fill="auto"/>
            <w:vAlign w:val="bottom"/>
          </w:tcPr>
          <w:p w14:paraId="5D0C9A38"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7854CBB"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5FDD7B79"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ED6AD1E"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1CBC41C6"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7D3415A7"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522FA7DF"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0947E7C3" w14:textId="77777777" w:rsidR="00895001" w:rsidRPr="002649B1"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4C2F1ED5" w14:textId="77777777" w:rsidTr="006D4A81">
        <w:trPr>
          <w:gridAfter w:val="1"/>
          <w:wAfter w:w="21" w:type="pct"/>
          <w:trHeight w:val="240"/>
        </w:trPr>
        <w:tc>
          <w:tcPr>
            <w:tcW w:w="1024" w:type="pct"/>
            <w:shd w:val="clear" w:color="auto" w:fill="auto"/>
          </w:tcPr>
          <w:p w14:paraId="6B5524D8" w14:textId="77777777" w:rsidR="00895001" w:rsidRPr="00695316" w:rsidRDefault="00895001" w:rsidP="006D4A81">
            <w:pPr>
              <w:spacing w:after="120" w:line="240" w:lineRule="auto"/>
              <w:rPr>
                <w:sz w:val="18"/>
                <w:szCs w:val="18"/>
              </w:rPr>
            </w:pPr>
            <w:r w:rsidRPr="00695316">
              <w:rPr>
                <w:sz w:val="18"/>
                <w:szCs w:val="18"/>
              </w:rPr>
              <w:t>Transport</w:t>
            </w:r>
          </w:p>
        </w:tc>
        <w:tc>
          <w:tcPr>
            <w:tcW w:w="311" w:type="pct"/>
            <w:shd w:val="clear" w:color="auto" w:fill="auto"/>
          </w:tcPr>
          <w:p w14:paraId="3C7364F6" w14:textId="77777777" w:rsidR="00895001" w:rsidRPr="00F071DA" w:rsidRDefault="00895001" w:rsidP="006D4A81">
            <w:pPr>
              <w:spacing w:after="120" w:line="240" w:lineRule="auto"/>
              <w:rPr>
                <w:sz w:val="18"/>
                <w:szCs w:val="18"/>
              </w:rPr>
            </w:pPr>
          </w:p>
        </w:tc>
        <w:tc>
          <w:tcPr>
            <w:tcW w:w="311" w:type="pct"/>
            <w:shd w:val="clear" w:color="auto" w:fill="auto"/>
          </w:tcPr>
          <w:p w14:paraId="31F4F9D3" w14:textId="77777777" w:rsidR="00895001" w:rsidRPr="00F071DA" w:rsidRDefault="00895001" w:rsidP="006D4A81">
            <w:pPr>
              <w:spacing w:after="120" w:line="240" w:lineRule="auto"/>
              <w:rPr>
                <w:sz w:val="18"/>
                <w:szCs w:val="18"/>
              </w:rPr>
            </w:pPr>
          </w:p>
        </w:tc>
        <w:tc>
          <w:tcPr>
            <w:tcW w:w="313" w:type="pct"/>
            <w:shd w:val="clear" w:color="auto" w:fill="auto"/>
            <w:vAlign w:val="bottom"/>
          </w:tcPr>
          <w:p w14:paraId="1E20DFE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6E3B83D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C3E2C9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78419A5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07CB9ED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2999EC8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1114075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486B01C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17F83174" w14:textId="77777777" w:rsidTr="006D4A81">
        <w:trPr>
          <w:gridAfter w:val="1"/>
          <w:wAfter w:w="21" w:type="pct"/>
          <w:trHeight w:val="240"/>
        </w:trPr>
        <w:tc>
          <w:tcPr>
            <w:tcW w:w="1024" w:type="pct"/>
            <w:tcBorders>
              <w:bottom w:val="nil"/>
            </w:tcBorders>
            <w:shd w:val="clear" w:color="auto" w:fill="auto"/>
          </w:tcPr>
          <w:p w14:paraId="46BEA36D" w14:textId="77777777" w:rsidR="00895001" w:rsidRPr="00695316" w:rsidRDefault="00895001" w:rsidP="006D4A81">
            <w:pPr>
              <w:spacing w:after="120" w:line="240" w:lineRule="auto"/>
              <w:rPr>
                <w:sz w:val="18"/>
                <w:szCs w:val="18"/>
              </w:rPr>
            </w:pPr>
            <w:r w:rsidRPr="00695316">
              <w:rPr>
                <w:sz w:val="18"/>
                <w:szCs w:val="18"/>
              </w:rPr>
              <w:t>Industry/industrial processes</w:t>
            </w:r>
            <w:r w:rsidRPr="00695316">
              <w:rPr>
                <w:rFonts w:eastAsia="Calibri"/>
                <w:sz w:val="24"/>
                <w:szCs w:val="24"/>
                <w:lang w:eastAsia="en-US"/>
              </w:rPr>
              <w:t xml:space="preserve"> </w:t>
            </w:r>
            <w:r w:rsidRPr="00695316">
              <w:rPr>
                <w:sz w:val="18"/>
                <w:szCs w:val="18"/>
              </w:rPr>
              <w:t>and product use</w:t>
            </w:r>
          </w:p>
        </w:tc>
        <w:tc>
          <w:tcPr>
            <w:tcW w:w="311" w:type="pct"/>
            <w:tcBorders>
              <w:bottom w:val="nil"/>
            </w:tcBorders>
            <w:shd w:val="clear" w:color="auto" w:fill="auto"/>
          </w:tcPr>
          <w:p w14:paraId="1A906278" w14:textId="77777777" w:rsidR="00895001" w:rsidRPr="00F071DA" w:rsidRDefault="00895001" w:rsidP="006D4A81">
            <w:pPr>
              <w:spacing w:after="120" w:line="240" w:lineRule="auto"/>
              <w:rPr>
                <w:sz w:val="18"/>
                <w:szCs w:val="18"/>
              </w:rPr>
            </w:pPr>
          </w:p>
        </w:tc>
        <w:tc>
          <w:tcPr>
            <w:tcW w:w="311" w:type="pct"/>
            <w:tcBorders>
              <w:bottom w:val="nil"/>
            </w:tcBorders>
            <w:shd w:val="clear" w:color="auto" w:fill="auto"/>
          </w:tcPr>
          <w:p w14:paraId="301E4F37" w14:textId="77777777" w:rsidR="00895001" w:rsidRPr="00F071DA" w:rsidRDefault="00895001" w:rsidP="006D4A81">
            <w:pPr>
              <w:spacing w:after="120" w:line="240" w:lineRule="auto"/>
              <w:rPr>
                <w:sz w:val="18"/>
                <w:szCs w:val="18"/>
              </w:rPr>
            </w:pPr>
          </w:p>
        </w:tc>
        <w:tc>
          <w:tcPr>
            <w:tcW w:w="313" w:type="pct"/>
            <w:tcBorders>
              <w:bottom w:val="nil"/>
            </w:tcBorders>
            <w:shd w:val="clear" w:color="auto" w:fill="auto"/>
            <w:vAlign w:val="bottom"/>
          </w:tcPr>
          <w:p w14:paraId="15D1BE9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nil"/>
            </w:tcBorders>
            <w:shd w:val="clear" w:color="auto" w:fill="auto"/>
            <w:vAlign w:val="bottom"/>
          </w:tcPr>
          <w:p w14:paraId="2A8A210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nil"/>
            </w:tcBorders>
            <w:shd w:val="clear" w:color="auto" w:fill="auto"/>
            <w:vAlign w:val="bottom"/>
          </w:tcPr>
          <w:p w14:paraId="1022699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nil"/>
            </w:tcBorders>
            <w:shd w:val="clear" w:color="auto" w:fill="auto"/>
            <w:vAlign w:val="bottom"/>
          </w:tcPr>
          <w:p w14:paraId="133930A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bottom w:val="nil"/>
            </w:tcBorders>
            <w:shd w:val="clear" w:color="auto" w:fill="auto"/>
            <w:vAlign w:val="bottom"/>
          </w:tcPr>
          <w:p w14:paraId="140C410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bottom w:val="nil"/>
            </w:tcBorders>
          </w:tcPr>
          <w:p w14:paraId="352657A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bottom w:val="nil"/>
            </w:tcBorders>
            <w:shd w:val="clear" w:color="auto" w:fill="auto"/>
            <w:vAlign w:val="bottom"/>
          </w:tcPr>
          <w:p w14:paraId="1AFE1D9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bottom w:val="nil"/>
            </w:tcBorders>
            <w:shd w:val="clear" w:color="auto" w:fill="auto"/>
            <w:vAlign w:val="bottom"/>
          </w:tcPr>
          <w:p w14:paraId="21C1842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01F4F528" w14:textId="77777777" w:rsidTr="006D4A81">
        <w:trPr>
          <w:gridAfter w:val="1"/>
          <w:wAfter w:w="21" w:type="pct"/>
          <w:trHeight w:val="240"/>
        </w:trPr>
        <w:tc>
          <w:tcPr>
            <w:tcW w:w="1024" w:type="pct"/>
            <w:tcBorders>
              <w:top w:val="nil"/>
              <w:bottom w:val="nil"/>
            </w:tcBorders>
            <w:shd w:val="clear" w:color="auto" w:fill="auto"/>
          </w:tcPr>
          <w:p w14:paraId="278DDBBA" w14:textId="77777777" w:rsidR="00895001" w:rsidRPr="00F071DA" w:rsidRDefault="00895001" w:rsidP="006D4A81">
            <w:pPr>
              <w:spacing w:after="120" w:line="240" w:lineRule="auto"/>
              <w:rPr>
                <w:sz w:val="18"/>
                <w:szCs w:val="18"/>
              </w:rPr>
            </w:pPr>
            <w:r w:rsidRPr="00F071DA">
              <w:rPr>
                <w:sz w:val="18"/>
                <w:szCs w:val="18"/>
              </w:rPr>
              <w:t>Agriculture</w:t>
            </w:r>
          </w:p>
        </w:tc>
        <w:tc>
          <w:tcPr>
            <w:tcW w:w="311" w:type="pct"/>
            <w:tcBorders>
              <w:top w:val="nil"/>
              <w:bottom w:val="nil"/>
            </w:tcBorders>
            <w:shd w:val="clear" w:color="auto" w:fill="auto"/>
          </w:tcPr>
          <w:p w14:paraId="083324F9" w14:textId="77777777" w:rsidR="00895001" w:rsidRPr="00F071DA" w:rsidRDefault="00895001" w:rsidP="006D4A81">
            <w:pPr>
              <w:spacing w:after="120" w:line="240" w:lineRule="auto"/>
              <w:rPr>
                <w:sz w:val="18"/>
                <w:szCs w:val="18"/>
              </w:rPr>
            </w:pPr>
          </w:p>
        </w:tc>
        <w:tc>
          <w:tcPr>
            <w:tcW w:w="311" w:type="pct"/>
            <w:tcBorders>
              <w:top w:val="nil"/>
              <w:bottom w:val="nil"/>
            </w:tcBorders>
            <w:shd w:val="clear" w:color="auto" w:fill="auto"/>
          </w:tcPr>
          <w:p w14:paraId="2D1E12FD" w14:textId="77777777" w:rsidR="00895001" w:rsidRPr="00F071DA" w:rsidRDefault="00895001" w:rsidP="006D4A81">
            <w:pPr>
              <w:spacing w:after="120" w:line="240" w:lineRule="auto"/>
              <w:rPr>
                <w:sz w:val="18"/>
                <w:szCs w:val="18"/>
              </w:rPr>
            </w:pPr>
          </w:p>
        </w:tc>
        <w:tc>
          <w:tcPr>
            <w:tcW w:w="313" w:type="pct"/>
            <w:tcBorders>
              <w:top w:val="nil"/>
              <w:bottom w:val="nil"/>
            </w:tcBorders>
            <w:shd w:val="clear" w:color="auto" w:fill="auto"/>
            <w:vAlign w:val="bottom"/>
          </w:tcPr>
          <w:p w14:paraId="75CB460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bottom w:val="nil"/>
            </w:tcBorders>
            <w:shd w:val="clear" w:color="auto" w:fill="auto"/>
            <w:vAlign w:val="bottom"/>
          </w:tcPr>
          <w:p w14:paraId="124A7DB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bottom w:val="nil"/>
            </w:tcBorders>
            <w:shd w:val="clear" w:color="auto" w:fill="auto"/>
            <w:vAlign w:val="bottom"/>
          </w:tcPr>
          <w:p w14:paraId="4EC6BDF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bottom w:val="nil"/>
            </w:tcBorders>
            <w:shd w:val="clear" w:color="auto" w:fill="auto"/>
            <w:vAlign w:val="bottom"/>
          </w:tcPr>
          <w:p w14:paraId="39725B5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top w:val="nil"/>
              <w:bottom w:val="nil"/>
            </w:tcBorders>
            <w:shd w:val="clear" w:color="auto" w:fill="auto"/>
            <w:vAlign w:val="bottom"/>
          </w:tcPr>
          <w:p w14:paraId="7326CB5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top w:val="nil"/>
              <w:bottom w:val="nil"/>
            </w:tcBorders>
          </w:tcPr>
          <w:p w14:paraId="3253549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top w:val="nil"/>
              <w:bottom w:val="nil"/>
            </w:tcBorders>
            <w:shd w:val="clear" w:color="auto" w:fill="auto"/>
            <w:vAlign w:val="bottom"/>
          </w:tcPr>
          <w:p w14:paraId="41E1277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top w:val="nil"/>
              <w:bottom w:val="nil"/>
            </w:tcBorders>
            <w:shd w:val="clear" w:color="auto" w:fill="auto"/>
            <w:vAlign w:val="bottom"/>
          </w:tcPr>
          <w:p w14:paraId="75B37DF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4A9A567E" w14:textId="77777777" w:rsidTr="006D4A81">
        <w:trPr>
          <w:gridAfter w:val="1"/>
          <w:wAfter w:w="21" w:type="pct"/>
          <w:trHeight w:val="240"/>
        </w:trPr>
        <w:tc>
          <w:tcPr>
            <w:tcW w:w="1024" w:type="pct"/>
            <w:tcBorders>
              <w:top w:val="nil"/>
            </w:tcBorders>
            <w:shd w:val="clear" w:color="auto" w:fill="auto"/>
          </w:tcPr>
          <w:p w14:paraId="2D6DB375" w14:textId="77777777" w:rsidR="00895001" w:rsidRPr="00F071DA" w:rsidRDefault="00895001" w:rsidP="006D4A81">
            <w:pPr>
              <w:spacing w:after="120" w:line="240" w:lineRule="auto"/>
              <w:rPr>
                <w:sz w:val="18"/>
                <w:szCs w:val="18"/>
              </w:rPr>
            </w:pPr>
            <w:r w:rsidRPr="00F071DA">
              <w:rPr>
                <w:sz w:val="18"/>
                <w:szCs w:val="18"/>
              </w:rPr>
              <w:t xml:space="preserve">Forestry/LULUCF </w:t>
            </w:r>
          </w:p>
        </w:tc>
        <w:tc>
          <w:tcPr>
            <w:tcW w:w="311" w:type="pct"/>
            <w:tcBorders>
              <w:top w:val="nil"/>
            </w:tcBorders>
            <w:shd w:val="clear" w:color="auto" w:fill="auto"/>
          </w:tcPr>
          <w:p w14:paraId="648A649F" w14:textId="77777777" w:rsidR="00895001" w:rsidRPr="00F071DA" w:rsidRDefault="00895001" w:rsidP="006D4A81">
            <w:pPr>
              <w:spacing w:after="120" w:line="240" w:lineRule="auto"/>
              <w:rPr>
                <w:sz w:val="18"/>
                <w:szCs w:val="18"/>
              </w:rPr>
            </w:pPr>
          </w:p>
        </w:tc>
        <w:tc>
          <w:tcPr>
            <w:tcW w:w="311" w:type="pct"/>
            <w:tcBorders>
              <w:top w:val="nil"/>
            </w:tcBorders>
            <w:shd w:val="clear" w:color="auto" w:fill="auto"/>
          </w:tcPr>
          <w:p w14:paraId="2C4325CB" w14:textId="77777777" w:rsidR="00895001" w:rsidRPr="00F071DA" w:rsidRDefault="00895001" w:rsidP="006D4A81">
            <w:pPr>
              <w:spacing w:after="120" w:line="240" w:lineRule="auto"/>
              <w:rPr>
                <w:sz w:val="18"/>
                <w:szCs w:val="18"/>
              </w:rPr>
            </w:pPr>
          </w:p>
        </w:tc>
        <w:tc>
          <w:tcPr>
            <w:tcW w:w="313" w:type="pct"/>
            <w:tcBorders>
              <w:top w:val="nil"/>
            </w:tcBorders>
            <w:shd w:val="clear" w:color="auto" w:fill="auto"/>
            <w:vAlign w:val="bottom"/>
          </w:tcPr>
          <w:p w14:paraId="270DA42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tcBorders>
            <w:shd w:val="clear" w:color="auto" w:fill="auto"/>
            <w:vAlign w:val="bottom"/>
          </w:tcPr>
          <w:p w14:paraId="515F49F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tcBorders>
            <w:shd w:val="clear" w:color="auto" w:fill="auto"/>
            <w:vAlign w:val="bottom"/>
          </w:tcPr>
          <w:p w14:paraId="4FA5E58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top w:val="nil"/>
            </w:tcBorders>
            <w:shd w:val="clear" w:color="auto" w:fill="auto"/>
            <w:vAlign w:val="bottom"/>
          </w:tcPr>
          <w:p w14:paraId="2A63EAA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top w:val="nil"/>
            </w:tcBorders>
            <w:shd w:val="clear" w:color="auto" w:fill="auto"/>
            <w:vAlign w:val="bottom"/>
          </w:tcPr>
          <w:p w14:paraId="562DC46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top w:val="nil"/>
            </w:tcBorders>
          </w:tcPr>
          <w:p w14:paraId="34D3DAE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top w:val="nil"/>
            </w:tcBorders>
            <w:shd w:val="clear" w:color="auto" w:fill="auto"/>
            <w:vAlign w:val="bottom"/>
          </w:tcPr>
          <w:p w14:paraId="3E8116E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top w:val="nil"/>
            </w:tcBorders>
            <w:shd w:val="clear" w:color="auto" w:fill="auto"/>
            <w:vAlign w:val="bottom"/>
          </w:tcPr>
          <w:p w14:paraId="795846A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0F8216C9" w14:textId="77777777" w:rsidTr="006D4A81">
        <w:trPr>
          <w:gridAfter w:val="1"/>
          <w:wAfter w:w="21" w:type="pct"/>
          <w:trHeight w:val="240"/>
        </w:trPr>
        <w:tc>
          <w:tcPr>
            <w:tcW w:w="1024" w:type="pct"/>
            <w:shd w:val="clear" w:color="auto" w:fill="auto"/>
          </w:tcPr>
          <w:p w14:paraId="1DF50F0B" w14:textId="77777777" w:rsidR="00895001" w:rsidRPr="00F071DA" w:rsidRDefault="00895001" w:rsidP="006D4A81">
            <w:pPr>
              <w:spacing w:after="120" w:line="240" w:lineRule="auto"/>
              <w:rPr>
                <w:sz w:val="18"/>
                <w:szCs w:val="18"/>
              </w:rPr>
            </w:pPr>
            <w:r w:rsidRPr="00F071DA">
              <w:rPr>
                <w:sz w:val="18"/>
                <w:szCs w:val="18"/>
              </w:rPr>
              <w:t>Waste management/waste</w:t>
            </w:r>
          </w:p>
        </w:tc>
        <w:tc>
          <w:tcPr>
            <w:tcW w:w="311" w:type="pct"/>
            <w:shd w:val="clear" w:color="auto" w:fill="auto"/>
          </w:tcPr>
          <w:p w14:paraId="5D4EE8B8" w14:textId="77777777" w:rsidR="00895001" w:rsidRPr="00F071DA" w:rsidRDefault="00895001" w:rsidP="006D4A81">
            <w:pPr>
              <w:spacing w:after="120" w:line="240" w:lineRule="auto"/>
              <w:rPr>
                <w:sz w:val="18"/>
                <w:szCs w:val="18"/>
              </w:rPr>
            </w:pPr>
          </w:p>
        </w:tc>
        <w:tc>
          <w:tcPr>
            <w:tcW w:w="311" w:type="pct"/>
            <w:shd w:val="clear" w:color="auto" w:fill="auto"/>
          </w:tcPr>
          <w:p w14:paraId="3742BEE0" w14:textId="77777777" w:rsidR="00895001" w:rsidRPr="00F071DA" w:rsidRDefault="00895001" w:rsidP="006D4A81">
            <w:pPr>
              <w:spacing w:after="120" w:line="240" w:lineRule="auto"/>
              <w:rPr>
                <w:sz w:val="18"/>
                <w:szCs w:val="18"/>
              </w:rPr>
            </w:pPr>
          </w:p>
        </w:tc>
        <w:tc>
          <w:tcPr>
            <w:tcW w:w="313" w:type="pct"/>
            <w:shd w:val="clear" w:color="auto" w:fill="auto"/>
            <w:vAlign w:val="bottom"/>
          </w:tcPr>
          <w:p w14:paraId="16A15DA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792DE6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686B169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6F4EA4C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37134A4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7A15F25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36FEDE4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6AA322F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43CEF447" w14:textId="77777777" w:rsidTr="006D4A81">
        <w:trPr>
          <w:gridAfter w:val="1"/>
          <w:wAfter w:w="21" w:type="pct"/>
          <w:trHeight w:val="240"/>
        </w:trPr>
        <w:tc>
          <w:tcPr>
            <w:tcW w:w="1024" w:type="pct"/>
            <w:tcBorders>
              <w:bottom w:val="single" w:sz="4" w:space="0" w:color="auto"/>
            </w:tcBorders>
            <w:shd w:val="clear" w:color="auto" w:fill="auto"/>
          </w:tcPr>
          <w:p w14:paraId="0CB0CC74" w14:textId="77777777" w:rsidR="00895001" w:rsidRPr="00F071DA" w:rsidRDefault="00895001" w:rsidP="006D4A81">
            <w:pPr>
              <w:spacing w:after="120" w:line="240" w:lineRule="auto"/>
              <w:rPr>
                <w:sz w:val="18"/>
                <w:szCs w:val="18"/>
              </w:rPr>
            </w:pPr>
            <w:r w:rsidRPr="00F071DA">
              <w:rPr>
                <w:sz w:val="18"/>
                <w:szCs w:val="18"/>
              </w:rPr>
              <w:t xml:space="preserve">Other (specify) </w:t>
            </w:r>
          </w:p>
        </w:tc>
        <w:tc>
          <w:tcPr>
            <w:tcW w:w="311" w:type="pct"/>
            <w:tcBorders>
              <w:bottom w:val="single" w:sz="4" w:space="0" w:color="auto"/>
            </w:tcBorders>
            <w:shd w:val="clear" w:color="auto" w:fill="auto"/>
          </w:tcPr>
          <w:p w14:paraId="75A030CA" w14:textId="77777777" w:rsidR="00895001" w:rsidRPr="00F071DA" w:rsidRDefault="00895001" w:rsidP="006D4A81">
            <w:pPr>
              <w:spacing w:after="120" w:line="240" w:lineRule="auto"/>
              <w:rPr>
                <w:sz w:val="18"/>
                <w:szCs w:val="18"/>
              </w:rPr>
            </w:pPr>
          </w:p>
        </w:tc>
        <w:tc>
          <w:tcPr>
            <w:tcW w:w="311" w:type="pct"/>
            <w:tcBorders>
              <w:bottom w:val="single" w:sz="4" w:space="0" w:color="auto"/>
            </w:tcBorders>
            <w:shd w:val="clear" w:color="auto" w:fill="auto"/>
          </w:tcPr>
          <w:p w14:paraId="1D7CAD7F" w14:textId="77777777" w:rsidR="00895001" w:rsidRPr="00F071DA" w:rsidRDefault="00895001" w:rsidP="006D4A81">
            <w:pPr>
              <w:spacing w:after="120" w:line="240" w:lineRule="auto"/>
              <w:rPr>
                <w:sz w:val="18"/>
                <w:szCs w:val="18"/>
              </w:rPr>
            </w:pPr>
          </w:p>
        </w:tc>
        <w:tc>
          <w:tcPr>
            <w:tcW w:w="313" w:type="pct"/>
            <w:tcBorders>
              <w:bottom w:val="single" w:sz="4" w:space="0" w:color="auto"/>
            </w:tcBorders>
            <w:shd w:val="clear" w:color="auto" w:fill="auto"/>
            <w:vAlign w:val="bottom"/>
          </w:tcPr>
          <w:p w14:paraId="53189B3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single" w:sz="4" w:space="0" w:color="auto"/>
            </w:tcBorders>
            <w:shd w:val="clear" w:color="auto" w:fill="auto"/>
            <w:vAlign w:val="bottom"/>
          </w:tcPr>
          <w:p w14:paraId="7207115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single" w:sz="4" w:space="0" w:color="auto"/>
            </w:tcBorders>
            <w:shd w:val="clear" w:color="auto" w:fill="auto"/>
            <w:vAlign w:val="bottom"/>
          </w:tcPr>
          <w:p w14:paraId="14308B8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tcBorders>
              <w:bottom w:val="single" w:sz="4" w:space="0" w:color="auto"/>
            </w:tcBorders>
            <w:shd w:val="clear" w:color="auto" w:fill="auto"/>
            <w:vAlign w:val="bottom"/>
          </w:tcPr>
          <w:p w14:paraId="25655C9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tcBorders>
              <w:bottom w:val="single" w:sz="4" w:space="0" w:color="auto"/>
            </w:tcBorders>
            <w:shd w:val="clear" w:color="auto" w:fill="auto"/>
            <w:vAlign w:val="bottom"/>
          </w:tcPr>
          <w:p w14:paraId="3C9DB63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Borders>
              <w:bottom w:val="single" w:sz="4" w:space="0" w:color="auto"/>
            </w:tcBorders>
          </w:tcPr>
          <w:p w14:paraId="0964400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tcBorders>
              <w:bottom w:val="single" w:sz="4" w:space="0" w:color="auto"/>
            </w:tcBorders>
            <w:shd w:val="clear" w:color="auto" w:fill="auto"/>
            <w:vAlign w:val="bottom"/>
          </w:tcPr>
          <w:p w14:paraId="65F8795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tcBorders>
              <w:bottom w:val="single" w:sz="4" w:space="0" w:color="auto"/>
            </w:tcBorders>
            <w:shd w:val="clear" w:color="auto" w:fill="auto"/>
            <w:vAlign w:val="bottom"/>
          </w:tcPr>
          <w:p w14:paraId="085519E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3900BCF0" w14:textId="77777777" w:rsidTr="006D4A81">
        <w:trPr>
          <w:gridAfter w:val="1"/>
          <w:wAfter w:w="21" w:type="pct"/>
          <w:trHeight w:val="240"/>
        </w:trPr>
        <w:tc>
          <w:tcPr>
            <w:tcW w:w="1024" w:type="pct"/>
            <w:tcBorders>
              <w:top w:val="single" w:sz="4" w:space="0" w:color="auto"/>
            </w:tcBorders>
            <w:shd w:val="clear" w:color="auto" w:fill="auto"/>
          </w:tcPr>
          <w:p w14:paraId="757E2753" w14:textId="77777777" w:rsidR="00895001" w:rsidRPr="002461F0" w:rsidRDefault="00895001" w:rsidP="006D4A81">
            <w:pPr>
              <w:rPr>
                <w:i/>
                <w:sz w:val="18"/>
                <w:szCs w:val="18"/>
              </w:rPr>
            </w:pPr>
            <w:r w:rsidRPr="002461F0">
              <w:rPr>
                <w:b/>
                <w:i/>
                <w:sz w:val="18"/>
                <w:szCs w:val="18"/>
              </w:rPr>
              <w:t>Gas</w:t>
            </w:r>
            <w:r w:rsidRPr="002461F0">
              <w:rPr>
                <w:i/>
                <w:sz w:val="18"/>
                <w:szCs w:val="18"/>
              </w:rPr>
              <w:t xml:space="preserve"> </w:t>
            </w:r>
          </w:p>
        </w:tc>
        <w:tc>
          <w:tcPr>
            <w:tcW w:w="311" w:type="pct"/>
            <w:tcBorders>
              <w:top w:val="single" w:sz="4" w:space="0" w:color="auto"/>
            </w:tcBorders>
            <w:shd w:val="clear" w:color="auto" w:fill="auto"/>
          </w:tcPr>
          <w:p w14:paraId="03B78BB3" w14:textId="77777777" w:rsidR="00895001" w:rsidRPr="00F071DA" w:rsidRDefault="00895001" w:rsidP="006D4A81">
            <w:pPr>
              <w:rPr>
                <w:sz w:val="18"/>
                <w:szCs w:val="18"/>
              </w:rPr>
            </w:pPr>
          </w:p>
        </w:tc>
        <w:tc>
          <w:tcPr>
            <w:tcW w:w="311" w:type="pct"/>
            <w:tcBorders>
              <w:top w:val="single" w:sz="4" w:space="0" w:color="auto"/>
            </w:tcBorders>
            <w:shd w:val="clear" w:color="auto" w:fill="auto"/>
          </w:tcPr>
          <w:p w14:paraId="3376FEC3" w14:textId="77777777" w:rsidR="00895001" w:rsidRPr="00F071DA" w:rsidRDefault="00895001" w:rsidP="006D4A81">
            <w:pPr>
              <w:rPr>
                <w:sz w:val="18"/>
                <w:szCs w:val="18"/>
              </w:rPr>
            </w:pPr>
          </w:p>
        </w:tc>
        <w:tc>
          <w:tcPr>
            <w:tcW w:w="313" w:type="pct"/>
            <w:tcBorders>
              <w:top w:val="single" w:sz="4" w:space="0" w:color="auto"/>
            </w:tcBorders>
            <w:shd w:val="clear" w:color="auto" w:fill="auto"/>
            <w:vAlign w:val="bottom"/>
          </w:tcPr>
          <w:p w14:paraId="7718432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tcBorders>
              <w:top w:val="single" w:sz="4" w:space="0" w:color="auto"/>
            </w:tcBorders>
            <w:shd w:val="clear" w:color="auto" w:fill="auto"/>
            <w:vAlign w:val="bottom"/>
          </w:tcPr>
          <w:p w14:paraId="78D5E1F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tcBorders>
              <w:top w:val="single" w:sz="4" w:space="0" w:color="auto"/>
            </w:tcBorders>
            <w:shd w:val="clear" w:color="auto" w:fill="auto"/>
            <w:vAlign w:val="bottom"/>
          </w:tcPr>
          <w:p w14:paraId="404BECF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tcBorders>
              <w:top w:val="single" w:sz="4" w:space="0" w:color="auto"/>
            </w:tcBorders>
            <w:shd w:val="clear" w:color="auto" w:fill="auto"/>
            <w:vAlign w:val="bottom"/>
          </w:tcPr>
          <w:p w14:paraId="3BCDDCC0"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4" w:type="pct"/>
            <w:gridSpan w:val="2"/>
            <w:tcBorders>
              <w:top w:val="single" w:sz="4" w:space="0" w:color="auto"/>
            </w:tcBorders>
            <w:shd w:val="clear" w:color="auto" w:fill="auto"/>
            <w:vAlign w:val="bottom"/>
          </w:tcPr>
          <w:p w14:paraId="639A8D9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2" w:type="pct"/>
            <w:tcBorders>
              <w:top w:val="single" w:sz="4" w:space="0" w:color="auto"/>
            </w:tcBorders>
          </w:tcPr>
          <w:p w14:paraId="3B378E0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44" w:type="pct"/>
            <w:gridSpan w:val="5"/>
            <w:tcBorders>
              <w:top w:val="single" w:sz="4" w:space="0" w:color="auto"/>
            </w:tcBorders>
            <w:shd w:val="clear" w:color="auto" w:fill="auto"/>
            <w:vAlign w:val="bottom"/>
          </w:tcPr>
          <w:p w14:paraId="5D50CC7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8" w:type="pct"/>
            <w:tcBorders>
              <w:top w:val="single" w:sz="4" w:space="0" w:color="auto"/>
            </w:tcBorders>
            <w:shd w:val="clear" w:color="auto" w:fill="auto"/>
            <w:vAlign w:val="bottom"/>
          </w:tcPr>
          <w:p w14:paraId="7FC1630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1DBAD693" w14:textId="77777777" w:rsidTr="006D4A81">
        <w:trPr>
          <w:gridAfter w:val="1"/>
          <w:wAfter w:w="21" w:type="pct"/>
          <w:trHeight w:val="240"/>
        </w:trPr>
        <w:tc>
          <w:tcPr>
            <w:tcW w:w="1024" w:type="pct"/>
            <w:shd w:val="clear" w:color="auto" w:fill="auto"/>
          </w:tcPr>
          <w:p w14:paraId="6C5D2245" w14:textId="77777777" w:rsidR="00895001" w:rsidRPr="00F071DA" w:rsidRDefault="00895001" w:rsidP="006D4A81">
            <w:pPr>
              <w:spacing w:after="120" w:line="240" w:lineRule="auto"/>
              <w:rPr>
                <w:sz w:val="18"/>
                <w:szCs w:val="18"/>
              </w:rPr>
            </w:pPr>
            <w:r w:rsidRPr="00F071DA">
              <w:rPr>
                <w:sz w:val="18"/>
                <w:szCs w:val="18"/>
              </w:rPr>
              <w:t>CO</w:t>
            </w:r>
            <w:r w:rsidRPr="00F071DA">
              <w:rPr>
                <w:sz w:val="18"/>
                <w:szCs w:val="18"/>
                <w:vertAlign w:val="subscript"/>
              </w:rPr>
              <w:t>2</w:t>
            </w:r>
            <w:r w:rsidRPr="00F071DA">
              <w:rPr>
                <w:sz w:val="18"/>
                <w:szCs w:val="18"/>
              </w:rPr>
              <w:t xml:space="preserve"> emissions including net CO</w:t>
            </w:r>
            <w:r w:rsidRPr="00F071DA">
              <w:rPr>
                <w:sz w:val="18"/>
                <w:szCs w:val="18"/>
                <w:vertAlign w:val="subscript"/>
              </w:rPr>
              <w:t>2</w:t>
            </w:r>
            <w:r w:rsidRPr="00F071DA">
              <w:rPr>
                <w:sz w:val="18"/>
                <w:szCs w:val="18"/>
              </w:rPr>
              <w:t xml:space="preserve"> from LULUCF</w:t>
            </w:r>
          </w:p>
        </w:tc>
        <w:tc>
          <w:tcPr>
            <w:tcW w:w="311" w:type="pct"/>
            <w:shd w:val="clear" w:color="auto" w:fill="auto"/>
          </w:tcPr>
          <w:p w14:paraId="4BF89E29" w14:textId="77777777" w:rsidR="00895001" w:rsidRPr="00F071DA" w:rsidRDefault="00895001" w:rsidP="006D4A81">
            <w:pPr>
              <w:spacing w:after="120" w:line="240" w:lineRule="auto"/>
              <w:rPr>
                <w:sz w:val="18"/>
                <w:szCs w:val="18"/>
              </w:rPr>
            </w:pPr>
          </w:p>
        </w:tc>
        <w:tc>
          <w:tcPr>
            <w:tcW w:w="311" w:type="pct"/>
            <w:shd w:val="clear" w:color="auto" w:fill="auto"/>
          </w:tcPr>
          <w:p w14:paraId="1BD876B8" w14:textId="77777777" w:rsidR="00895001" w:rsidRPr="00F071DA" w:rsidRDefault="00895001" w:rsidP="006D4A81">
            <w:pPr>
              <w:spacing w:after="120" w:line="240" w:lineRule="auto"/>
              <w:rPr>
                <w:sz w:val="18"/>
                <w:szCs w:val="18"/>
              </w:rPr>
            </w:pPr>
          </w:p>
        </w:tc>
        <w:tc>
          <w:tcPr>
            <w:tcW w:w="313" w:type="pct"/>
            <w:shd w:val="clear" w:color="auto" w:fill="auto"/>
            <w:vAlign w:val="bottom"/>
          </w:tcPr>
          <w:p w14:paraId="5A4F32E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2B61B63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5E9943E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38D018B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2252009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3EEDC3A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4278925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26942E2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79F825EE" w14:textId="77777777" w:rsidTr="006D4A81">
        <w:trPr>
          <w:gridAfter w:val="1"/>
          <w:wAfter w:w="21" w:type="pct"/>
          <w:trHeight w:val="240"/>
        </w:trPr>
        <w:tc>
          <w:tcPr>
            <w:tcW w:w="1024" w:type="pct"/>
            <w:shd w:val="clear" w:color="auto" w:fill="auto"/>
          </w:tcPr>
          <w:p w14:paraId="23C6816C" w14:textId="77777777" w:rsidR="00895001" w:rsidRPr="00F071DA" w:rsidRDefault="00895001" w:rsidP="006D4A81">
            <w:pPr>
              <w:spacing w:after="120" w:line="240" w:lineRule="auto"/>
              <w:rPr>
                <w:sz w:val="18"/>
                <w:szCs w:val="18"/>
              </w:rPr>
            </w:pPr>
            <w:r w:rsidRPr="00F071DA">
              <w:rPr>
                <w:sz w:val="18"/>
                <w:szCs w:val="18"/>
              </w:rPr>
              <w:t>CO</w:t>
            </w:r>
            <w:r w:rsidRPr="00F071DA">
              <w:rPr>
                <w:sz w:val="18"/>
                <w:szCs w:val="18"/>
                <w:vertAlign w:val="subscript"/>
              </w:rPr>
              <w:t>2</w:t>
            </w:r>
            <w:r w:rsidRPr="00F071DA">
              <w:rPr>
                <w:sz w:val="18"/>
                <w:szCs w:val="18"/>
              </w:rPr>
              <w:t xml:space="preserve"> emissions excluding net CO</w:t>
            </w:r>
            <w:r w:rsidRPr="00F071DA">
              <w:rPr>
                <w:sz w:val="18"/>
                <w:szCs w:val="18"/>
                <w:vertAlign w:val="subscript"/>
              </w:rPr>
              <w:t>2</w:t>
            </w:r>
            <w:r w:rsidRPr="00F071DA">
              <w:rPr>
                <w:sz w:val="18"/>
                <w:szCs w:val="18"/>
              </w:rPr>
              <w:t xml:space="preserve"> from LULUCF</w:t>
            </w:r>
          </w:p>
        </w:tc>
        <w:tc>
          <w:tcPr>
            <w:tcW w:w="311" w:type="pct"/>
            <w:shd w:val="clear" w:color="auto" w:fill="auto"/>
          </w:tcPr>
          <w:p w14:paraId="115FD2AC" w14:textId="77777777" w:rsidR="00895001" w:rsidRPr="00F071DA" w:rsidRDefault="00895001" w:rsidP="006D4A81">
            <w:pPr>
              <w:spacing w:after="120" w:line="240" w:lineRule="auto"/>
              <w:rPr>
                <w:sz w:val="18"/>
                <w:szCs w:val="18"/>
              </w:rPr>
            </w:pPr>
          </w:p>
        </w:tc>
        <w:tc>
          <w:tcPr>
            <w:tcW w:w="311" w:type="pct"/>
            <w:shd w:val="clear" w:color="auto" w:fill="auto"/>
          </w:tcPr>
          <w:p w14:paraId="2421BA12" w14:textId="77777777" w:rsidR="00895001" w:rsidRPr="00F071DA" w:rsidRDefault="00895001" w:rsidP="006D4A81">
            <w:pPr>
              <w:spacing w:after="120" w:line="240" w:lineRule="auto"/>
              <w:rPr>
                <w:sz w:val="18"/>
                <w:szCs w:val="18"/>
              </w:rPr>
            </w:pPr>
          </w:p>
        </w:tc>
        <w:tc>
          <w:tcPr>
            <w:tcW w:w="313" w:type="pct"/>
            <w:shd w:val="clear" w:color="auto" w:fill="auto"/>
            <w:vAlign w:val="bottom"/>
          </w:tcPr>
          <w:p w14:paraId="3CEC171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83F6D7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4456E4A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shd w:val="clear" w:color="auto" w:fill="auto"/>
            <w:vAlign w:val="bottom"/>
          </w:tcPr>
          <w:p w14:paraId="548E37D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4" w:type="pct"/>
            <w:gridSpan w:val="2"/>
            <w:shd w:val="clear" w:color="auto" w:fill="auto"/>
            <w:vAlign w:val="bottom"/>
          </w:tcPr>
          <w:p w14:paraId="6F00881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312" w:type="pct"/>
          </w:tcPr>
          <w:p w14:paraId="0271F6E2"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1444" w:type="pct"/>
            <w:gridSpan w:val="5"/>
            <w:shd w:val="clear" w:color="auto" w:fill="auto"/>
            <w:vAlign w:val="bottom"/>
          </w:tcPr>
          <w:p w14:paraId="691900C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szCs w:val="18"/>
                <w:lang w:eastAsia="ja-JP"/>
              </w:rPr>
            </w:pPr>
          </w:p>
        </w:tc>
        <w:tc>
          <w:tcPr>
            <w:tcW w:w="8" w:type="pct"/>
            <w:shd w:val="clear" w:color="auto" w:fill="auto"/>
            <w:vAlign w:val="bottom"/>
          </w:tcPr>
          <w:p w14:paraId="7F40F4B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3370473F" w14:textId="77777777" w:rsidTr="006D4A81">
        <w:trPr>
          <w:gridAfter w:val="1"/>
          <w:wAfter w:w="21" w:type="pct"/>
          <w:trHeight w:val="240"/>
        </w:trPr>
        <w:tc>
          <w:tcPr>
            <w:tcW w:w="1024" w:type="pct"/>
            <w:tcBorders>
              <w:top w:val="nil"/>
            </w:tcBorders>
            <w:shd w:val="clear" w:color="auto" w:fill="auto"/>
          </w:tcPr>
          <w:p w14:paraId="3FD4106D" w14:textId="77777777" w:rsidR="00895001" w:rsidRPr="00F071DA" w:rsidRDefault="00895001" w:rsidP="006D4A81">
            <w:pPr>
              <w:spacing w:after="120" w:line="240" w:lineRule="auto"/>
              <w:rPr>
                <w:sz w:val="18"/>
                <w:szCs w:val="18"/>
              </w:rPr>
            </w:pPr>
            <w:r w:rsidRPr="00F071DA">
              <w:rPr>
                <w:sz w:val="18"/>
                <w:szCs w:val="18"/>
              </w:rPr>
              <w:t>CH</w:t>
            </w:r>
            <w:r w:rsidRPr="00F071DA">
              <w:rPr>
                <w:sz w:val="18"/>
                <w:szCs w:val="18"/>
                <w:vertAlign w:val="subscript"/>
              </w:rPr>
              <w:t>4</w:t>
            </w:r>
            <w:r w:rsidRPr="00F071DA">
              <w:rPr>
                <w:sz w:val="18"/>
                <w:szCs w:val="18"/>
              </w:rPr>
              <w:t xml:space="preserve"> emissions including CH</w:t>
            </w:r>
            <w:r w:rsidRPr="00F071DA">
              <w:rPr>
                <w:sz w:val="18"/>
                <w:szCs w:val="18"/>
                <w:vertAlign w:val="subscript"/>
              </w:rPr>
              <w:t>4</w:t>
            </w:r>
            <w:r w:rsidRPr="00F071DA">
              <w:rPr>
                <w:sz w:val="18"/>
                <w:szCs w:val="18"/>
              </w:rPr>
              <w:t xml:space="preserve"> from LULUCF</w:t>
            </w:r>
          </w:p>
        </w:tc>
        <w:tc>
          <w:tcPr>
            <w:tcW w:w="311" w:type="pct"/>
            <w:tcBorders>
              <w:top w:val="nil"/>
            </w:tcBorders>
            <w:shd w:val="clear" w:color="auto" w:fill="auto"/>
          </w:tcPr>
          <w:p w14:paraId="4586EDE7" w14:textId="77777777" w:rsidR="00895001" w:rsidRPr="00F071DA" w:rsidRDefault="00895001" w:rsidP="006D4A81">
            <w:pPr>
              <w:spacing w:after="120" w:line="240" w:lineRule="auto"/>
              <w:rPr>
                <w:sz w:val="18"/>
                <w:szCs w:val="18"/>
              </w:rPr>
            </w:pPr>
          </w:p>
        </w:tc>
        <w:tc>
          <w:tcPr>
            <w:tcW w:w="311" w:type="pct"/>
            <w:tcBorders>
              <w:top w:val="nil"/>
            </w:tcBorders>
            <w:shd w:val="clear" w:color="auto" w:fill="auto"/>
          </w:tcPr>
          <w:p w14:paraId="64619B9F" w14:textId="77777777" w:rsidR="00895001" w:rsidRPr="00F071DA" w:rsidRDefault="00895001" w:rsidP="006D4A81">
            <w:pPr>
              <w:spacing w:after="120" w:line="240" w:lineRule="auto"/>
              <w:rPr>
                <w:sz w:val="18"/>
                <w:szCs w:val="18"/>
              </w:rPr>
            </w:pPr>
          </w:p>
        </w:tc>
        <w:tc>
          <w:tcPr>
            <w:tcW w:w="313" w:type="pct"/>
            <w:tcBorders>
              <w:top w:val="nil"/>
            </w:tcBorders>
            <w:shd w:val="clear" w:color="auto" w:fill="auto"/>
            <w:vAlign w:val="bottom"/>
          </w:tcPr>
          <w:p w14:paraId="0F9C016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tcBorders>
            <w:shd w:val="clear" w:color="auto" w:fill="auto"/>
            <w:vAlign w:val="bottom"/>
          </w:tcPr>
          <w:p w14:paraId="6EEE695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tcBorders>
            <w:shd w:val="clear" w:color="auto" w:fill="auto"/>
            <w:vAlign w:val="bottom"/>
          </w:tcPr>
          <w:p w14:paraId="4B4C0CC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tcBorders>
            <w:shd w:val="clear" w:color="auto" w:fill="auto"/>
            <w:vAlign w:val="bottom"/>
          </w:tcPr>
          <w:p w14:paraId="3F9387A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gridSpan w:val="2"/>
            <w:tcBorders>
              <w:top w:val="nil"/>
            </w:tcBorders>
            <w:shd w:val="clear" w:color="auto" w:fill="auto"/>
            <w:vAlign w:val="bottom"/>
          </w:tcPr>
          <w:p w14:paraId="19C835E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2" w:type="pct"/>
            <w:tcBorders>
              <w:top w:val="nil"/>
            </w:tcBorders>
          </w:tcPr>
          <w:p w14:paraId="30C90B7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1444" w:type="pct"/>
            <w:gridSpan w:val="5"/>
            <w:tcBorders>
              <w:top w:val="nil"/>
            </w:tcBorders>
            <w:shd w:val="clear" w:color="auto" w:fill="auto"/>
            <w:vAlign w:val="bottom"/>
          </w:tcPr>
          <w:p w14:paraId="2BCA2D6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8" w:type="pct"/>
            <w:tcBorders>
              <w:top w:val="nil"/>
            </w:tcBorders>
            <w:shd w:val="clear" w:color="auto" w:fill="auto"/>
            <w:vAlign w:val="bottom"/>
          </w:tcPr>
          <w:p w14:paraId="063B7E7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lang w:eastAsia="ja-JP"/>
              </w:rPr>
            </w:pPr>
          </w:p>
        </w:tc>
      </w:tr>
      <w:tr w:rsidR="00895001" w:rsidRPr="00F071DA" w14:paraId="7AB7792E" w14:textId="77777777" w:rsidTr="006D4A81">
        <w:trPr>
          <w:gridAfter w:val="1"/>
          <w:wAfter w:w="21" w:type="pct"/>
          <w:trHeight w:val="240"/>
        </w:trPr>
        <w:tc>
          <w:tcPr>
            <w:tcW w:w="1024" w:type="pct"/>
            <w:tcBorders>
              <w:top w:val="nil"/>
              <w:bottom w:val="nil"/>
            </w:tcBorders>
            <w:shd w:val="clear" w:color="auto" w:fill="auto"/>
          </w:tcPr>
          <w:p w14:paraId="7569FA73" w14:textId="77777777" w:rsidR="00895001" w:rsidRPr="00F071DA" w:rsidRDefault="00895001" w:rsidP="006D4A81">
            <w:pPr>
              <w:spacing w:after="120" w:line="240" w:lineRule="auto"/>
              <w:rPr>
                <w:sz w:val="18"/>
                <w:szCs w:val="18"/>
              </w:rPr>
            </w:pPr>
            <w:r w:rsidRPr="00F071DA">
              <w:rPr>
                <w:sz w:val="18"/>
                <w:szCs w:val="18"/>
              </w:rPr>
              <w:t>CH</w:t>
            </w:r>
            <w:r w:rsidRPr="00F071DA">
              <w:rPr>
                <w:sz w:val="18"/>
                <w:szCs w:val="18"/>
                <w:vertAlign w:val="subscript"/>
              </w:rPr>
              <w:t>4</w:t>
            </w:r>
            <w:r w:rsidRPr="00F071DA">
              <w:rPr>
                <w:sz w:val="18"/>
                <w:szCs w:val="18"/>
              </w:rPr>
              <w:t xml:space="preserve"> emissions excluding CH</w:t>
            </w:r>
            <w:r w:rsidRPr="00F071DA">
              <w:rPr>
                <w:sz w:val="18"/>
                <w:szCs w:val="18"/>
                <w:vertAlign w:val="subscript"/>
              </w:rPr>
              <w:t>4</w:t>
            </w:r>
            <w:r w:rsidRPr="00F071DA">
              <w:rPr>
                <w:sz w:val="18"/>
                <w:szCs w:val="18"/>
              </w:rPr>
              <w:t xml:space="preserve"> from LULUCF</w:t>
            </w:r>
          </w:p>
        </w:tc>
        <w:tc>
          <w:tcPr>
            <w:tcW w:w="311" w:type="pct"/>
            <w:tcBorders>
              <w:top w:val="nil"/>
              <w:bottom w:val="nil"/>
            </w:tcBorders>
            <w:shd w:val="clear" w:color="auto" w:fill="auto"/>
          </w:tcPr>
          <w:p w14:paraId="7DBA0150" w14:textId="77777777" w:rsidR="00895001" w:rsidRPr="00F071DA" w:rsidRDefault="00895001" w:rsidP="006D4A81">
            <w:pPr>
              <w:spacing w:after="120" w:line="240" w:lineRule="auto"/>
              <w:rPr>
                <w:sz w:val="18"/>
                <w:szCs w:val="18"/>
              </w:rPr>
            </w:pPr>
          </w:p>
        </w:tc>
        <w:tc>
          <w:tcPr>
            <w:tcW w:w="311" w:type="pct"/>
            <w:tcBorders>
              <w:top w:val="nil"/>
              <w:bottom w:val="nil"/>
            </w:tcBorders>
            <w:shd w:val="clear" w:color="auto" w:fill="auto"/>
          </w:tcPr>
          <w:p w14:paraId="63D15DB6" w14:textId="77777777" w:rsidR="00895001" w:rsidRPr="00F071DA" w:rsidRDefault="00895001" w:rsidP="006D4A81">
            <w:pPr>
              <w:spacing w:after="120" w:line="240" w:lineRule="auto"/>
              <w:rPr>
                <w:sz w:val="18"/>
                <w:szCs w:val="18"/>
              </w:rPr>
            </w:pPr>
          </w:p>
        </w:tc>
        <w:tc>
          <w:tcPr>
            <w:tcW w:w="313" w:type="pct"/>
            <w:tcBorders>
              <w:top w:val="nil"/>
              <w:bottom w:val="nil"/>
            </w:tcBorders>
            <w:shd w:val="clear" w:color="auto" w:fill="auto"/>
            <w:vAlign w:val="bottom"/>
          </w:tcPr>
          <w:p w14:paraId="7204EE8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bottom w:val="nil"/>
            </w:tcBorders>
            <w:shd w:val="clear" w:color="auto" w:fill="auto"/>
            <w:vAlign w:val="bottom"/>
          </w:tcPr>
          <w:p w14:paraId="423E871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bottom w:val="nil"/>
            </w:tcBorders>
            <w:shd w:val="clear" w:color="auto" w:fill="auto"/>
            <w:vAlign w:val="bottom"/>
          </w:tcPr>
          <w:p w14:paraId="73D1F22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tcBorders>
              <w:top w:val="nil"/>
              <w:bottom w:val="nil"/>
            </w:tcBorders>
            <w:shd w:val="clear" w:color="auto" w:fill="auto"/>
            <w:vAlign w:val="bottom"/>
          </w:tcPr>
          <w:p w14:paraId="58435F6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4" w:type="pct"/>
            <w:gridSpan w:val="2"/>
            <w:tcBorders>
              <w:top w:val="nil"/>
              <w:bottom w:val="nil"/>
            </w:tcBorders>
            <w:shd w:val="clear" w:color="auto" w:fill="auto"/>
            <w:vAlign w:val="bottom"/>
          </w:tcPr>
          <w:p w14:paraId="2BAF5306"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312" w:type="pct"/>
            <w:tcBorders>
              <w:top w:val="nil"/>
              <w:bottom w:val="nil"/>
            </w:tcBorders>
          </w:tcPr>
          <w:p w14:paraId="0010E2E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1444" w:type="pct"/>
            <w:gridSpan w:val="5"/>
            <w:tcBorders>
              <w:top w:val="nil"/>
              <w:bottom w:val="nil"/>
            </w:tcBorders>
            <w:shd w:val="clear" w:color="auto" w:fill="auto"/>
            <w:vAlign w:val="bottom"/>
          </w:tcPr>
          <w:p w14:paraId="22DD639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szCs w:val="18"/>
                <w:lang w:eastAsia="ja-JP"/>
              </w:rPr>
            </w:pPr>
          </w:p>
        </w:tc>
        <w:tc>
          <w:tcPr>
            <w:tcW w:w="8" w:type="pct"/>
            <w:tcBorders>
              <w:top w:val="nil"/>
              <w:bottom w:val="nil"/>
            </w:tcBorders>
            <w:shd w:val="clear" w:color="auto" w:fill="auto"/>
            <w:vAlign w:val="bottom"/>
          </w:tcPr>
          <w:p w14:paraId="2242E0D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b/>
                <w:sz w:val="18"/>
                <w:lang w:eastAsia="ja-JP"/>
              </w:rPr>
            </w:pPr>
          </w:p>
        </w:tc>
      </w:tr>
      <w:tr w:rsidR="00895001" w:rsidRPr="00F071DA" w14:paraId="62217F6F" w14:textId="77777777" w:rsidTr="006D4A81">
        <w:trPr>
          <w:gridAfter w:val="1"/>
          <w:wAfter w:w="21" w:type="pct"/>
          <w:trHeight w:val="240"/>
        </w:trPr>
        <w:tc>
          <w:tcPr>
            <w:tcW w:w="1024" w:type="pct"/>
            <w:tcBorders>
              <w:top w:val="nil"/>
              <w:bottom w:val="nil"/>
            </w:tcBorders>
            <w:shd w:val="clear" w:color="auto" w:fill="auto"/>
          </w:tcPr>
          <w:p w14:paraId="6BB0CFF2" w14:textId="77777777" w:rsidR="00895001" w:rsidRPr="00F071DA" w:rsidRDefault="00895001" w:rsidP="006D4A81">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including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311" w:type="pct"/>
            <w:tcBorders>
              <w:top w:val="nil"/>
              <w:bottom w:val="nil"/>
            </w:tcBorders>
            <w:shd w:val="clear" w:color="auto" w:fill="auto"/>
            <w:vAlign w:val="bottom"/>
          </w:tcPr>
          <w:p w14:paraId="792668E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5192643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781B822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525CC26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B9B822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27DDC32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0193871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13B2E08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505CDDC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15B52A3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47DE1EDD" w14:textId="77777777" w:rsidTr="006D4A81">
        <w:trPr>
          <w:gridAfter w:val="1"/>
          <w:wAfter w:w="21" w:type="pct"/>
          <w:trHeight w:val="240"/>
        </w:trPr>
        <w:tc>
          <w:tcPr>
            <w:tcW w:w="1024" w:type="pct"/>
            <w:tcBorders>
              <w:top w:val="nil"/>
              <w:bottom w:val="nil"/>
            </w:tcBorders>
            <w:shd w:val="clear" w:color="auto" w:fill="auto"/>
          </w:tcPr>
          <w:p w14:paraId="3A229E0A" w14:textId="77777777" w:rsidR="00895001" w:rsidRPr="00F071DA" w:rsidRDefault="00895001" w:rsidP="006D4A81">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excluding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311" w:type="pct"/>
            <w:tcBorders>
              <w:top w:val="nil"/>
              <w:bottom w:val="nil"/>
            </w:tcBorders>
            <w:shd w:val="clear" w:color="auto" w:fill="auto"/>
            <w:vAlign w:val="bottom"/>
          </w:tcPr>
          <w:p w14:paraId="5D15C1D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26BB527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7B587460"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0B75877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36DA3B4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6D21710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36FA100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3244D6F2"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15F6E0E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3B1FA3D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6DC12841" w14:textId="77777777" w:rsidTr="006D4A81">
        <w:trPr>
          <w:gridAfter w:val="1"/>
          <w:wAfter w:w="21" w:type="pct"/>
          <w:trHeight w:val="240"/>
        </w:trPr>
        <w:tc>
          <w:tcPr>
            <w:tcW w:w="1024" w:type="pct"/>
            <w:tcBorders>
              <w:top w:val="nil"/>
              <w:bottom w:val="nil"/>
            </w:tcBorders>
            <w:shd w:val="clear" w:color="auto" w:fill="auto"/>
          </w:tcPr>
          <w:p w14:paraId="2F52EC5D" w14:textId="77777777" w:rsidR="00895001" w:rsidRPr="00F071DA" w:rsidRDefault="00895001" w:rsidP="006D4A81">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HFCs</w:t>
            </w:r>
          </w:p>
        </w:tc>
        <w:tc>
          <w:tcPr>
            <w:tcW w:w="311" w:type="pct"/>
            <w:tcBorders>
              <w:top w:val="nil"/>
              <w:bottom w:val="nil"/>
            </w:tcBorders>
            <w:shd w:val="clear" w:color="auto" w:fill="auto"/>
            <w:vAlign w:val="bottom"/>
          </w:tcPr>
          <w:p w14:paraId="1B426AB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5E052B3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075818C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59BA5EE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5DD8C0DA"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5F6B56B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33EA9D6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4AA6042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5DF98CA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4994D52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75523DF8" w14:textId="77777777" w:rsidTr="006D4A81">
        <w:trPr>
          <w:gridAfter w:val="1"/>
          <w:wAfter w:w="21" w:type="pct"/>
          <w:trHeight w:val="240"/>
        </w:trPr>
        <w:tc>
          <w:tcPr>
            <w:tcW w:w="1024" w:type="pct"/>
            <w:tcBorders>
              <w:top w:val="nil"/>
              <w:bottom w:val="nil"/>
            </w:tcBorders>
            <w:shd w:val="clear" w:color="auto" w:fill="auto"/>
          </w:tcPr>
          <w:p w14:paraId="26323A94" w14:textId="77777777" w:rsidR="00895001" w:rsidRPr="00F071DA" w:rsidRDefault="00895001" w:rsidP="006D4A81">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PFCs</w:t>
            </w:r>
          </w:p>
        </w:tc>
        <w:tc>
          <w:tcPr>
            <w:tcW w:w="311" w:type="pct"/>
            <w:tcBorders>
              <w:top w:val="nil"/>
              <w:bottom w:val="nil"/>
            </w:tcBorders>
            <w:shd w:val="clear" w:color="auto" w:fill="auto"/>
            <w:vAlign w:val="bottom"/>
          </w:tcPr>
          <w:p w14:paraId="6FFE0812"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7F887F3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32864C2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6524844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44F296C4"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298EBF4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644D247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7E7BE37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71D2DD1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4179B64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3C4355DF" w14:textId="77777777" w:rsidTr="006D4A81">
        <w:trPr>
          <w:gridAfter w:val="1"/>
          <w:wAfter w:w="21" w:type="pct"/>
          <w:trHeight w:val="240"/>
        </w:trPr>
        <w:tc>
          <w:tcPr>
            <w:tcW w:w="1024" w:type="pct"/>
            <w:tcBorders>
              <w:top w:val="nil"/>
              <w:bottom w:val="nil"/>
            </w:tcBorders>
            <w:shd w:val="clear" w:color="auto" w:fill="auto"/>
          </w:tcPr>
          <w:p w14:paraId="6F20492E" w14:textId="77777777" w:rsidR="00895001" w:rsidRPr="00F071DA" w:rsidRDefault="00895001" w:rsidP="006D4A81">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SF</w:t>
            </w:r>
            <w:r w:rsidRPr="00F071DA">
              <w:rPr>
                <w:rFonts w:eastAsia="MS Mincho"/>
                <w:sz w:val="18"/>
                <w:vertAlign w:val="subscript"/>
                <w:lang w:eastAsia="ja-JP"/>
              </w:rPr>
              <w:t>6</w:t>
            </w:r>
          </w:p>
        </w:tc>
        <w:tc>
          <w:tcPr>
            <w:tcW w:w="311" w:type="pct"/>
            <w:tcBorders>
              <w:top w:val="nil"/>
              <w:bottom w:val="nil"/>
            </w:tcBorders>
            <w:shd w:val="clear" w:color="auto" w:fill="auto"/>
            <w:vAlign w:val="bottom"/>
          </w:tcPr>
          <w:p w14:paraId="44A44DBE"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nil"/>
            </w:tcBorders>
            <w:shd w:val="clear" w:color="auto" w:fill="auto"/>
            <w:vAlign w:val="bottom"/>
          </w:tcPr>
          <w:p w14:paraId="6E47386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nil"/>
            </w:tcBorders>
            <w:shd w:val="clear" w:color="auto" w:fill="auto"/>
            <w:vAlign w:val="bottom"/>
          </w:tcPr>
          <w:p w14:paraId="3D4AD09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7A30BAD1"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3A7BEA33"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nil"/>
            </w:tcBorders>
            <w:shd w:val="clear" w:color="auto" w:fill="auto"/>
            <w:vAlign w:val="bottom"/>
          </w:tcPr>
          <w:p w14:paraId="3ED46D2F"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nil"/>
            </w:tcBorders>
            <w:shd w:val="clear" w:color="auto" w:fill="auto"/>
            <w:vAlign w:val="bottom"/>
          </w:tcPr>
          <w:p w14:paraId="766D88ED"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nil"/>
            </w:tcBorders>
          </w:tcPr>
          <w:p w14:paraId="632AD8AB"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nil"/>
            </w:tcBorders>
            <w:shd w:val="clear" w:color="auto" w:fill="auto"/>
            <w:vAlign w:val="bottom"/>
          </w:tcPr>
          <w:p w14:paraId="7DC6F99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nil"/>
            </w:tcBorders>
            <w:shd w:val="clear" w:color="auto" w:fill="auto"/>
            <w:vAlign w:val="bottom"/>
          </w:tcPr>
          <w:p w14:paraId="55626ED9"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F071DA" w14:paraId="63098799" w14:textId="77777777" w:rsidTr="006D4A81">
        <w:trPr>
          <w:gridAfter w:val="1"/>
          <w:wAfter w:w="21" w:type="pct"/>
          <w:trHeight w:val="240"/>
        </w:trPr>
        <w:tc>
          <w:tcPr>
            <w:tcW w:w="1024" w:type="pct"/>
            <w:tcBorders>
              <w:top w:val="nil"/>
              <w:bottom w:val="single" w:sz="4" w:space="0" w:color="auto"/>
            </w:tcBorders>
            <w:shd w:val="clear" w:color="auto" w:fill="auto"/>
          </w:tcPr>
          <w:p w14:paraId="7E421A15" w14:textId="77777777" w:rsidR="00895001" w:rsidRPr="00F071DA" w:rsidRDefault="00895001" w:rsidP="006D4A81">
            <w:pPr>
              <w:suppressAutoHyphens w:val="0"/>
              <w:autoSpaceDE w:val="0"/>
              <w:autoSpaceDN w:val="0"/>
              <w:adjustRightInd w:val="0"/>
              <w:spacing w:after="120" w:line="240" w:lineRule="auto"/>
              <w:rPr>
                <w:rFonts w:eastAsia="MS Mincho"/>
                <w:sz w:val="18"/>
                <w:lang w:eastAsia="ja-JP"/>
              </w:rPr>
            </w:pPr>
            <w:r w:rsidRPr="00F071DA">
              <w:rPr>
                <w:rFonts w:eastAsia="MS Mincho"/>
                <w:sz w:val="18"/>
                <w:lang w:eastAsia="ja-JP"/>
              </w:rPr>
              <w:t>Other (specify, e.g. NF</w:t>
            </w:r>
            <w:r w:rsidRPr="00F071DA">
              <w:rPr>
                <w:rFonts w:eastAsia="MS Mincho"/>
                <w:sz w:val="18"/>
                <w:vertAlign w:val="subscript"/>
                <w:lang w:eastAsia="ja-JP"/>
              </w:rPr>
              <w:t>3</w:t>
            </w:r>
            <w:r w:rsidRPr="00F071DA">
              <w:rPr>
                <w:rFonts w:eastAsia="MS Mincho"/>
                <w:sz w:val="18"/>
                <w:lang w:eastAsia="ja-JP"/>
              </w:rPr>
              <w:t>)</w:t>
            </w:r>
          </w:p>
        </w:tc>
        <w:tc>
          <w:tcPr>
            <w:tcW w:w="311" w:type="pct"/>
            <w:tcBorders>
              <w:top w:val="nil"/>
              <w:bottom w:val="single" w:sz="4" w:space="0" w:color="auto"/>
            </w:tcBorders>
            <w:shd w:val="clear" w:color="auto" w:fill="auto"/>
            <w:vAlign w:val="bottom"/>
          </w:tcPr>
          <w:p w14:paraId="48EFA22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1" w:type="pct"/>
            <w:tcBorders>
              <w:top w:val="nil"/>
              <w:bottom w:val="single" w:sz="4" w:space="0" w:color="auto"/>
            </w:tcBorders>
            <w:shd w:val="clear" w:color="auto" w:fill="auto"/>
            <w:vAlign w:val="bottom"/>
          </w:tcPr>
          <w:p w14:paraId="2C2D464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3" w:type="pct"/>
            <w:tcBorders>
              <w:top w:val="nil"/>
              <w:bottom w:val="single" w:sz="4" w:space="0" w:color="auto"/>
            </w:tcBorders>
            <w:shd w:val="clear" w:color="auto" w:fill="auto"/>
            <w:vAlign w:val="bottom"/>
          </w:tcPr>
          <w:p w14:paraId="5FEDF8E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single" w:sz="4" w:space="0" w:color="auto"/>
            </w:tcBorders>
            <w:shd w:val="clear" w:color="auto" w:fill="auto"/>
            <w:vAlign w:val="bottom"/>
          </w:tcPr>
          <w:p w14:paraId="477240A2"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single" w:sz="4" w:space="0" w:color="auto"/>
            </w:tcBorders>
            <w:shd w:val="clear" w:color="auto" w:fill="auto"/>
            <w:vAlign w:val="bottom"/>
          </w:tcPr>
          <w:p w14:paraId="05265FB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tcBorders>
              <w:top w:val="nil"/>
              <w:bottom w:val="single" w:sz="4" w:space="0" w:color="auto"/>
            </w:tcBorders>
            <w:shd w:val="clear" w:color="auto" w:fill="auto"/>
            <w:vAlign w:val="bottom"/>
          </w:tcPr>
          <w:p w14:paraId="2C32D9A8"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4" w:type="pct"/>
            <w:gridSpan w:val="2"/>
            <w:tcBorders>
              <w:top w:val="nil"/>
              <w:bottom w:val="single" w:sz="4" w:space="0" w:color="auto"/>
            </w:tcBorders>
            <w:shd w:val="clear" w:color="auto" w:fill="auto"/>
            <w:vAlign w:val="bottom"/>
          </w:tcPr>
          <w:p w14:paraId="35D4C44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312" w:type="pct"/>
            <w:tcBorders>
              <w:top w:val="nil"/>
              <w:bottom w:val="single" w:sz="4" w:space="0" w:color="auto"/>
            </w:tcBorders>
          </w:tcPr>
          <w:p w14:paraId="3E7A546C"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1444" w:type="pct"/>
            <w:gridSpan w:val="5"/>
            <w:tcBorders>
              <w:top w:val="nil"/>
              <w:bottom w:val="single" w:sz="4" w:space="0" w:color="auto"/>
            </w:tcBorders>
            <w:shd w:val="clear" w:color="auto" w:fill="auto"/>
            <w:vAlign w:val="bottom"/>
          </w:tcPr>
          <w:p w14:paraId="76058667"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c>
          <w:tcPr>
            <w:tcW w:w="8" w:type="pct"/>
            <w:tcBorders>
              <w:top w:val="nil"/>
              <w:bottom w:val="single" w:sz="4" w:space="0" w:color="auto"/>
            </w:tcBorders>
            <w:shd w:val="clear" w:color="auto" w:fill="auto"/>
            <w:vAlign w:val="bottom"/>
          </w:tcPr>
          <w:p w14:paraId="4D020F15" w14:textId="77777777" w:rsidR="00895001" w:rsidRPr="00F071DA" w:rsidRDefault="00895001" w:rsidP="006D4A81">
            <w:pPr>
              <w:suppressAutoHyphens w:val="0"/>
              <w:autoSpaceDE w:val="0"/>
              <w:autoSpaceDN w:val="0"/>
              <w:adjustRightInd w:val="0"/>
              <w:spacing w:after="120" w:line="240" w:lineRule="auto"/>
              <w:ind w:left="113"/>
              <w:jc w:val="right"/>
              <w:rPr>
                <w:rFonts w:eastAsia="MS Mincho"/>
                <w:sz w:val="18"/>
                <w:lang w:eastAsia="ja-JP"/>
              </w:rPr>
            </w:pPr>
          </w:p>
        </w:tc>
      </w:tr>
      <w:tr w:rsidR="00895001" w:rsidRPr="002649B1" w14:paraId="28E72406" w14:textId="77777777" w:rsidTr="006D4A81">
        <w:trPr>
          <w:gridAfter w:val="1"/>
          <w:wAfter w:w="21" w:type="pct"/>
          <w:trHeight w:val="240"/>
        </w:trPr>
        <w:tc>
          <w:tcPr>
            <w:tcW w:w="1024" w:type="pct"/>
            <w:tcBorders>
              <w:top w:val="nil"/>
              <w:bottom w:val="nil"/>
            </w:tcBorders>
            <w:shd w:val="clear" w:color="auto" w:fill="auto"/>
          </w:tcPr>
          <w:p w14:paraId="7FA3D2CB" w14:textId="0B3E0ED7" w:rsidR="00895001" w:rsidRPr="002649B1" w:rsidRDefault="007540E4" w:rsidP="007540E4">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tab/>
            </w:r>
            <w:r w:rsidR="00895001" w:rsidRPr="002649B1">
              <w:rPr>
                <w:rFonts w:eastAsia="MS Mincho"/>
                <w:b/>
                <w:sz w:val="18"/>
                <w:lang w:eastAsia="ja-JP"/>
              </w:rPr>
              <w:t>Total with LULUCF</w:t>
            </w:r>
            <w:r w:rsidR="00895001">
              <w:rPr>
                <w:rFonts w:eastAsia="MS Mincho"/>
                <w:i/>
                <w:sz w:val="18"/>
                <w:vertAlign w:val="superscript"/>
                <w:lang w:eastAsia="ja-JP"/>
              </w:rPr>
              <w:t>j</w:t>
            </w:r>
          </w:p>
        </w:tc>
        <w:tc>
          <w:tcPr>
            <w:tcW w:w="311" w:type="pct"/>
            <w:tcBorders>
              <w:top w:val="nil"/>
              <w:bottom w:val="nil"/>
            </w:tcBorders>
            <w:shd w:val="clear" w:color="auto" w:fill="auto"/>
            <w:vAlign w:val="bottom"/>
          </w:tcPr>
          <w:p w14:paraId="4ADAAA42"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1" w:type="pct"/>
            <w:tcBorders>
              <w:top w:val="nil"/>
              <w:bottom w:val="nil"/>
            </w:tcBorders>
            <w:shd w:val="clear" w:color="auto" w:fill="auto"/>
            <w:vAlign w:val="bottom"/>
          </w:tcPr>
          <w:p w14:paraId="41C29133"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3" w:type="pct"/>
            <w:tcBorders>
              <w:top w:val="nil"/>
              <w:bottom w:val="nil"/>
            </w:tcBorders>
            <w:shd w:val="clear" w:color="auto" w:fill="auto"/>
            <w:vAlign w:val="bottom"/>
          </w:tcPr>
          <w:p w14:paraId="60492898"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nil"/>
            </w:tcBorders>
            <w:shd w:val="clear" w:color="auto" w:fill="auto"/>
            <w:vAlign w:val="bottom"/>
          </w:tcPr>
          <w:p w14:paraId="71A72B9A"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nil"/>
            </w:tcBorders>
            <w:shd w:val="clear" w:color="auto" w:fill="auto"/>
            <w:vAlign w:val="bottom"/>
          </w:tcPr>
          <w:p w14:paraId="3540B1BA"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nil"/>
            </w:tcBorders>
            <w:shd w:val="clear" w:color="auto" w:fill="auto"/>
            <w:vAlign w:val="bottom"/>
          </w:tcPr>
          <w:p w14:paraId="0DEEECF0"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gridSpan w:val="2"/>
            <w:tcBorders>
              <w:top w:val="nil"/>
              <w:bottom w:val="nil"/>
            </w:tcBorders>
            <w:shd w:val="clear" w:color="auto" w:fill="auto"/>
            <w:vAlign w:val="bottom"/>
          </w:tcPr>
          <w:p w14:paraId="220467CA"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2" w:type="pct"/>
            <w:tcBorders>
              <w:top w:val="nil"/>
              <w:bottom w:val="nil"/>
            </w:tcBorders>
          </w:tcPr>
          <w:p w14:paraId="1E0E777E"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1444" w:type="pct"/>
            <w:gridSpan w:val="5"/>
            <w:tcBorders>
              <w:top w:val="nil"/>
              <w:bottom w:val="nil"/>
            </w:tcBorders>
            <w:shd w:val="clear" w:color="auto" w:fill="auto"/>
            <w:vAlign w:val="bottom"/>
          </w:tcPr>
          <w:p w14:paraId="2C0ADEB6"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8" w:type="pct"/>
            <w:tcBorders>
              <w:top w:val="nil"/>
              <w:bottom w:val="nil"/>
            </w:tcBorders>
            <w:shd w:val="clear" w:color="auto" w:fill="auto"/>
            <w:vAlign w:val="bottom"/>
          </w:tcPr>
          <w:p w14:paraId="380EBFF6" w14:textId="77777777" w:rsidR="00895001" w:rsidRPr="002649B1"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r>
      <w:tr w:rsidR="00895001" w:rsidRPr="00F071DA" w14:paraId="0CC90D2F" w14:textId="77777777" w:rsidTr="006D4A81">
        <w:trPr>
          <w:gridAfter w:val="1"/>
          <w:wAfter w:w="21" w:type="pct"/>
          <w:trHeight w:val="240"/>
        </w:trPr>
        <w:tc>
          <w:tcPr>
            <w:tcW w:w="1024" w:type="pct"/>
            <w:tcBorders>
              <w:top w:val="nil"/>
              <w:bottom w:val="single" w:sz="12" w:space="0" w:color="auto"/>
            </w:tcBorders>
            <w:shd w:val="clear" w:color="auto" w:fill="auto"/>
          </w:tcPr>
          <w:p w14:paraId="465DC3FC" w14:textId="66CC17AF" w:rsidR="00895001" w:rsidRPr="00F071DA" w:rsidRDefault="007540E4" w:rsidP="007540E4">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tab/>
            </w:r>
            <w:r w:rsidR="00895001" w:rsidRPr="00F071DA">
              <w:rPr>
                <w:rFonts w:eastAsia="MS Mincho"/>
                <w:b/>
                <w:sz w:val="18"/>
                <w:lang w:eastAsia="ja-JP"/>
              </w:rPr>
              <w:t>Total without LULUCF</w:t>
            </w:r>
          </w:p>
        </w:tc>
        <w:tc>
          <w:tcPr>
            <w:tcW w:w="311" w:type="pct"/>
            <w:tcBorders>
              <w:top w:val="nil"/>
              <w:bottom w:val="single" w:sz="12" w:space="0" w:color="auto"/>
            </w:tcBorders>
            <w:shd w:val="clear" w:color="auto" w:fill="auto"/>
            <w:vAlign w:val="bottom"/>
          </w:tcPr>
          <w:p w14:paraId="1634712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1" w:type="pct"/>
            <w:tcBorders>
              <w:top w:val="nil"/>
              <w:bottom w:val="single" w:sz="12" w:space="0" w:color="auto"/>
            </w:tcBorders>
            <w:shd w:val="clear" w:color="auto" w:fill="auto"/>
            <w:vAlign w:val="bottom"/>
          </w:tcPr>
          <w:p w14:paraId="74E6313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3" w:type="pct"/>
            <w:tcBorders>
              <w:top w:val="nil"/>
              <w:bottom w:val="single" w:sz="12" w:space="0" w:color="auto"/>
            </w:tcBorders>
            <w:shd w:val="clear" w:color="auto" w:fill="auto"/>
            <w:vAlign w:val="bottom"/>
          </w:tcPr>
          <w:p w14:paraId="3DFA3C4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single" w:sz="12" w:space="0" w:color="auto"/>
            </w:tcBorders>
            <w:shd w:val="clear" w:color="auto" w:fill="auto"/>
            <w:vAlign w:val="bottom"/>
          </w:tcPr>
          <w:p w14:paraId="43E860D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single" w:sz="12" w:space="0" w:color="auto"/>
            </w:tcBorders>
            <w:shd w:val="clear" w:color="auto" w:fill="auto"/>
            <w:vAlign w:val="bottom"/>
          </w:tcPr>
          <w:p w14:paraId="44D6FBA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tcBorders>
              <w:top w:val="nil"/>
              <w:bottom w:val="single" w:sz="12" w:space="0" w:color="auto"/>
            </w:tcBorders>
            <w:shd w:val="clear" w:color="auto" w:fill="auto"/>
            <w:vAlign w:val="bottom"/>
          </w:tcPr>
          <w:p w14:paraId="06812BA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4" w:type="pct"/>
            <w:gridSpan w:val="2"/>
            <w:tcBorders>
              <w:top w:val="nil"/>
              <w:bottom w:val="single" w:sz="12" w:space="0" w:color="auto"/>
            </w:tcBorders>
            <w:shd w:val="clear" w:color="auto" w:fill="auto"/>
            <w:vAlign w:val="bottom"/>
          </w:tcPr>
          <w:p w14:paraId="24758F4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2" w:type="pct"/>
            <w:tcBorders>
              <w:top w:val="nil"/>
              <w:bottom w:val="single" w:sz="12" w:space="0" w:color="auto"/>
            </w:tcBorders>
          </w:tcPr>
          <w:p w14:paraId="4D063AD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1444" w:type="pct"/>
            <w:gridSpan w:val="5"/>
            <w:tcBorders>
              <w:top w:val="nil"/>
              <w:bottom w:val="single" w:sz="12" w:space="0" w:color="auto"/>
            </w:tcBorders>
            <w:shd w:val="clear" w:color="auto" w:fill="auto"/>
            <w:vAlign w:val="bottom"/>
          </w:tcPr>
          <w:p w14:paraId="030BE56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8" w:type="pct"/>
            <w:tcBorders>
              <w:top w:val="nil"/>
              <w:bottom w:val="single" w:sz="12" w:space="0" w:color="auto"/>
            </w:tcBorders>
            <w:shd w:val="clear" w:color="auto" w:fill="auto"/>
            <w:vAlign w:val="bottom"/>
          </w:tcPr>
          <w:p w14:paraId="7A6B989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r>
    </w:tbl>
    <w:p w14:paraId="180B7CF3" w14:textId="77777777" w:rsidR="00895001" w:rsidRPr="00F071DA" w:rsidRDefault="00895001" w:rsidP="00895001">
      <w:pPr>
        <w:tabs>
          <w:tab w:val="left" w:pos="12900"/>
        </w:tabs>
        <w:suppressAutoHyphens w:val="0"/>
        <w:spacing w:before="120" w:line="240" w:lineRule="auto"/>
        <w:ind w:right="919" w:firstLine="284"/>
      </w:pPr>
      <w:r w:rsidRPr="00F071DA">
        <w:rPr>
          <w:i/>
          <w:sz w:val="18"/>
          <w:szCs w:val="18"/>
        </w:rPr>
        <w:t>Abbreviations</w:t>
      </w:r>
      <w:r w:rsidRPr="00F071DA">
        <w:rPr>
          <w:sz w:val="18"/>
          <w:szCs w:val="18"/>
        </w:rPr>
        <w:t>: GHG = greenhouse gas, LULUCF = land use, land-use change and forestry.</w:t>
      </w:r>
    </w:p>
    <w:p w14:paraId="0BC52496" w14:textId="1864D047" w:rsidR="00895001" w:rsidRPr="00A141BA" w:rsidRDefault="000E0429" w:rsidP="000E0429">
      <w:pPr>
        <w:tabs>
          <w:tab w:val="left" w:pos="8364"/>
          <w:tab w:val="left" w:pos="10065"/>
          <w:tab w:val="left" w:pos="10206"/>
          <w:tab w:val="left" w:pos="12900"/>
        </w:tabs>
        <w:spacing w:line="220" w:lineRule="exact"/>
        <w:ind w:right="919" w:firstLine="284"/>
        <w:rPr>
          <w:rFonts w:eastAsia="MS Mincho"/>
          <w:sz w:val="18"/>
          <w:lang w:eastAsia="ja-JP"/>
        </w:rPr>
      </w:pPr>
      <w:r w:rsidRPr="00A141BA">
        <w:rPr>
          <w:rFonts w:eastAsia="MS Mincho"/>
          <w:i/>
          <w:sz w:val="18"/>
          <w:vertAlign w:val="superscript"/>
          <w:lang w:eastAsia="ja-JP"/>
        </w:rPr>
        <w:t xml:space="preserve">a   </w:t>
      </w:r>
      <w:r w:rsidR="00895001" w:rsidRPr="00F071DA">
        <w:rPr>
          <w:rFonts w:eastAsia="MS Mincho"/>
          <w:sz w:val="18"/>
          <w:lang w:eastAsia="ja-JP"/>
        </w:rPr>
        <w:t xml:space="preserve">In accordance with </w:t>
      </w:r>
      <w:r w:rsidR="00895001" w:rsidRPr="00904E0C">
        <w:rPr>
          <w:rFonts w:eastAsia="MS Mincho"/>
          <w:sz w:val="18"/>
          <w:lang w:eastAsia="ja-JP"/>
        </w:rPr>
        <w:t>paragraph 25 of these guidelines,</w:t>
      </w:r>
      <w:r w:rsidR="00895001" w:rsidRPr="00F071DA">
        <w:rPr>
          <w:rFonts w:eastAsia="MS Mincho"/>
          <w:sz w:val="18"/>
          <w:lang w:eastAsia="ja-JP"/>
        </w:rPr>
        <w:t xml:space="preserve"> a</w:t>
      </w:r>
      <w:r w:rsidR="00895001" w:rsidRPr="00F071DA">
        <w:rPr>
          <w:sz w:val="18"/>
          <w:lang w:eastAsia="en-GB"/>
        </w:rPr>
        <w:t xml:space="preserve">t a minimum Parties shall report a ‘with measures’ </w:t>
      </w:r>
      <w:r w:rsidR="00895001">
        <w:rPr>
          <w:sz w:val="18"/>
          <w:lang w:eastAsia="en-GB"/>
        </w:rPr>
        <w:t>projection</w:t>
      </w:r>
      <w:r w:rsidR="00895001" w:rsidRPr="00F071DA">
        <w:rPr>
          <w:sz w:val="18"/>
          <w:lang w:eastAsia="en-GB"/>
        </w:rPr>
        <w:t xml:space="preserve"> and </w:t>
      </w:r>
      <w:r w:rsidR="00895001">
        <w:rPr>
          <w:sz w:val="18"/>
          <w:lang w:eastAsia="en-GB"/>
        </w:rPr>
        <w:t xml:space="preserve">they </w:t>
      </w:r>
      <w:r w:rsidR="00895001" w:rsidRPr="00F071DA">
        <w:rPr>
          <w:sz w:val="18"/>
          <w:lang w:eastAsia="en-GB"/>
        </w:rPr>
        <w:t xml:space="preserve">may </w:t>
      </w:r>
      <w:r w:rsidR="00895001">
        <w:rPr>
          <w:sz w:val="18"/>
          <w:lang w:eastAsia="en-GB"/>
        </w:rPr>
        <w:t xml:space="preserve">also </w:t>
      </w:r>
      <w:r w:rsidR="00895001" w:rsidRPr="00F071DA">
        <w:rPr>
          <w:sz w:val="18"/>
          <w:lang w:eastAsia="en-GB"/>
        </w:rPr>
        <w:t xml:space="preserve">report ‘without measures’ and ‘with additional measures’ </w:t>
      </w:r>
      <w:r w:rsidR="00895001">
        <w:rPr>
          <w:sz w:val="18"/>
          <w:lang w:eastAsia="en-GB"/>
        </w:rPr>
        <w:t>projection</w:t>
      </w:r>
      <w:r w:rsidR="00895001" w:rsidRPr="00F071DA">
        <w:rPr>
          <w:sz w:val="18"/>
          <w:lang w:eastAsia="en-GB"/>
        </w:rPr>
        <w:t xml:space="preserve">s. If a Party chooses to report ‘without measures’ and/or ‘with additional measures’ </w:t>
      </w:r>
      <w:r w:rsidR="00895001">
        <w:rPr>
          <w:sz w:val="18"/>
          <w:lang w:eastAsia="en-GB"/>
        </w:rPr>
        <w:t>projection,</w:t>
      </w:r>
      <w:r w:rsidR="00895001" w:rsidRPr="00F071DA">
        <w:rPr>
          <w:sz w:val="18"/>
          <w:lang w:eastAsia="en-GB"/>
        </w:rPr>
        <w:t xml:space="preserve"> they are to </w:t>
      </w:r>
      <w:r w:rsidR="00895001" w:rsidRPr="00A141BA">
        <w:rPr>
          <w:sz w:val="18"/>
          <w:lang w:eastAsia="en-GB"/>
        </w:rPr>
        <w:t xml:space="preserve">use table </w:t>
      </w:r>
      <w:r w:rsidR="00895001">
        <w:rPr>
          <w:sz w:val="18"/>
          <w:lang w:eastAsia="en-GB"/>
        </w:rPr>
        <w:t>3</w:t>
      </w:r>
      <w:r w:rsidR="00895001" w:rsidRPr="00A141BA">
        <w:rPr>
          <w:sz w:val="18"/>
          <w:lang w:eastAsia="en-GB"/>
        </w:rPr>
        <w:t xml:space="preserve"> and/or </w:t>
      </w:r>
      <w:r w:rsidR="00895001">
        <w:rPr>
          <w:sz w:val="18"/>
          <w:lang w:eastAsia="en-GB"/>
        </w:rPr>
        <w:t>4 below</w:t>
      </w:r>
      <w:r w:rsidR="00895001" w:rsidRPr="00A141BA">
        <w:rPr>
          <w:sz w:val="18"/>
          <w:lang w:eastAsia="en-GB"/>
        </w:rPr>
        <w:t xml:space="preserve">, respectively. If a Party does not choose to report ‘without measures’ or ‘with additional measures’ </w:t>
      </w:r>
      <w:r w:rsidR="00895001">
        <w:rPr>
          <w:sz w:val="18"/>
          <w:lang w:eastAsia="en-GB"/>
        </w:rPr>
        <w:t>projection</w:t>
      </w:r>
      <w:r w:rsidR="00895001" w:rsidRPr="00A141BA">
        <w:rPr>
          <w:sz w:val="18"/>
          <w:lang w:eastAsia="en-GB"/>
        </w:rPr>
        <w:t>s</w:t>
      </w:r>
      <w:r w:rsidR="00895001">
        <w:rPr>
          <w:sz w:val="18"/>
          <w:lang w:eastAsia="en-GB"/>
        </w:rPr>
        <w:t>,</w:t>
      </w:r>
      <w:r w:rsidR="00895001" w:rsidRPr="00A141BA">
        <w:rPr>
          <w:sz w:val="18"/>
          <w:lang w:eastAsia="en-GB"/>
        </w:rPr>
        <w:t xml:space="preserve"> then it should not include table </w:t>
      </w:r>
      <w:r w:rsidR="00895001">
        <w:rPr>
          <w:sz w:val="18"/>
          <w:lang w:eastAsia="en-GB"/>
        </w:rPr>
        <w:t>3</w:t>
      </w:r>
      <w:r w:rsidR="00895001" w:rsidRPr="00A141BA">
        <w:rPr>
          <w:sz w:val="18"/>
          <w:lang w:eastAsia="en-GB"/>
        </w:rPr>
        <w:t xml:space="preserve"> or </w:t>
      </w:r>
      <w:r w:rsidR="00895001">
        <w:rPr>
          <w:sz w:val="18"/>
          <w:lang w:eastAsia="en-GB"/>
        </w:rPr>
        <w:t>4</w:t>
      </w:r>
      <w:r w:rsidR="00895001" w:rsidRPr="00A141BA">
        <w:rPr>
          <w:sz w:val="18"/>
          <w:lang w:eastAsia="en-GB"/>
        </w:rPr>
        <w:t xml:space="preserve"> in the national communication. </w:t>
      </w:r>
    </w:p>
    <w:p w14:paraId="25194BB6" w14:textId="1F72F66F" w:rsidR="00895001" w:rsidRPr="0039231C" w:rsidRDefault="000E0429" w:rsidP="000E0429">
      <w:pPr>
        <w:tabs>
          <w:tab w:val="left" w:pos="8364"/>
          <w:tab w:val="left" w:pos="10065"/>
          <w:tab w:val="left" w:pos="10206"/>
          <w:tab w:val="left" w:pos="12900"/>
        </w:tabs>
        <w:spacing w:line="220" w:lineRule="exact"/>
        <w:ind w:right="919" w:firstLine="284"/>
        <w:rPr>
          <w:rFonts w:eastAsia="MS Mincho"/>
          <w:sz w:val="18"/>
          <w:lang w:eastAsia="ja-JP"/>
        </w:rPr>
      </w:pPr>
      <w:r w:rsidRPr="0039231C">
        <w:rPr>
          <w:rFonts w:eastAsia="MS Mincho"/>
          <w:i/>
          <w:sz w:val="18"/>
          <w:vertAlign w:val="superscript"/>
          <w:lang w:eastAsia="ja-JP"/>
        </w:rPr>
        <w:t xml:space="preserve">b   </w:t>
      </w:r>
      <w:r w:rsidR="00895001" w:rsidRPr="0039231C">
        <w:rPr>
          <w:rFonts w:eastAsia="MS Mincho"/>
          <w:sz w:val="18"/>
          <w:szCs w:val="18"/>
          <w:lang w:eastAsia="ja-JP"/>
        </w:rPr>
        <w:t xml:space="preserve">Emissions and removals reported in these columns should be </w:t>
      </w:r>
      <w:r w:rsidR="00895001" w:rsidRPr="0039231C">
        <w:rPr>
          <w:rFonts w:eastAsia="MS Mincho"/>
          <w:sz w:val="18"/>
          <w:szCs w:val="16"/>
          <w:lang w:eastAsia="ja-JP"/>
        </w:rPr>
        <w:t>as reported in the most recent annual inventory submission available</w:t>
      </w:r>
      <w:r w:rsidR="00895001" w:rsidRPr="0039231C" w:rsidDel="0036046F">
        <w:rPr>
          <w:rFonts w:eastAsia="MS Mincho"/>
          <w:sz w:val="18"/>
          <w:szCs w:val="16"/>
          <w:lang w:eastAsia="ja-JP"/>
        </w:rPr>
        <w:t xml:space="preserve"> </w:t>
      </w:r>
      <w:r w:rsidR="00895001" w:rsidRPr="0039231C">
        <w:rPr>
          <w:rFonts w:eastAsia="MS Mincho"/>
          <w:sz w:val="18"/>
          <w:szCs w:val="16"/>
          <w:lang w:eastAsia="ja-JP"/>
        </w:rPr>
        <w:t>and</w:t>
      </w:r>
      <w:r w:rsidR="00895001" w:rsidRPr="0039231C">
        <w:rPr>
          <w:rFonts w:eastAsia="MS Mincho"/>
          <w:i/>
          <w:sz w:val="18"/>
          <w:szCs w:val="16"/>
          <w:lang w:eastAsia="ja-JP"/>
        </w:rPr>
        <w:t xml:space="preserve"> </w:t>
      </w:r>
      <w:r w:rsidR="00895001" w:rsidRPr="0039231C">
        <w:rPr>
          <w:rFonts w:eastAsia="MS Mincho"/>
          <w:sz w:val="18"/>
          <w:szCs w:val="18"/>
          <w:lang w:eastAsia="ja-JP"/>
        </w:rPr>
        <w:t xml:space="preserve">consistent with the emissions and removals reported in the table on GHG emissions and trends provided in accordance with section IV of these guidelines. </w:t>
      </w:r>
      <w:r w:rsidR="00895001" w:rsidRPr="0039231C">
        <w:rPr>
          <w:sz w:val="18"/>
          <w:szCs w:val="18"/>
        </w:rPr>
        <w:t>Where the sectoral breakdown differs from that reported in the GHG inventory, Parties should explain in their national communication</w:t>
      </w:r>
      <w:r w:rsidR="00895001" w:rsidRPr="0039231C" w:rsidDel="00A141BA">
        <w:rPr>
          <w:sz w:val="18"/>
          <w:szCs w:val="18"/>
        </w:rPr>
        <w:t xml:space="preserve"> </w:t>
      </w:r>
      <w:r w:rsidR="00895001" w:rsidRPr="0039231C">
        <w:rPr>
          <w:sz w:val="18"/>
          <w:szCs w:val="18"/>
        </w:rPr>
        <w:t xml:space="preserve">how the inventory sectors relate to the sectors reported in this table. </w:t>
      </w:r>
    </w:p>
    <w:p w14:paraId="567A47F4" w14:textId="1D3BF000" w:rsidR="00895001" w:rsidRPr="00F12B18" w:rsidRDefault="000E0429" w:rsidP="000E0429">
      <w:pPr>
        <w:tabs>
          <w:tab w:val="left" w:pos="8364"/>
          <w:tab w:val="left" w:pos="10065"/>
          <w:tab w:val="left" w:pos="10206"/>
          <w:tab w:val="left" w:pos="12900"/>
        </w:tabs>
        <w:spacing w:line="220" w:lineRule="exact"/>
        <w:ind w:right="919" w:firstLine="284"/>
        <w:rPr>
          <w:rFonts w:eastAsia="MS Mincho"/>
          <w:sz w:val="18"/>
          <w:lang w:eastAsia="ja-JP"/>
        </w:rPr>
      </w:pPr>
      <w:r w:rsidRPr="00F12B18">
        <w:rPr>
          <w:rFonts w:eastAsia="MS Mincho"/>
          <w:i/>
          <w:sz w:val="18"/>
          <w:vertAlign w:val="superscript"/>
          <w:lang w:eastAsia="ja-JP"/>
        </w:rPr>
        <w:t xml:space="preserve">c   </w:t>
      </w:r>
      <w:r w:rsidR="00895001" w:rsidRPr="00F12B18">
        <w:rPr>
          <w:sz w:val="18"/>
          <w:szCs w:val="18"/>
        </w:rPr>
        <w:t>Parties may include indirect CO</w:t>
      </w:r>
      <w:r w:rsidR="00895001" w:rsidRPr="00F12B18">
        <w:rPr>
          <w:sz w:val="18"/>
          <w:szCs w:val="18"/>
          <w:vertAlign w:val="subscript"/>
        </w:rPr>
        <w:t>2</w:t>
      </w:r>
      <w:r w:rsidR="00895001" w:rsidRPr="00F12B18">
        <w:rPr>
          <w:sz w:val="18"/>
          <w:szCs w:val="18"/>
        </w:rPr>
        <w:t xml:space="preserve"> emissions in historical GHG emissions and in GHG emission projections and shall indicate this in a custom footnote below. </w:t>
      </w:r>
    </w:p>
    <w:p w14:paraId="2C273661" w14:textId="67A76E36" w:rsidR="00895001" w:rsidRPr="008D1DCB" w:rsidRDefault="000E0429" w:rsidP="000E0429">
      <w:pPr>
        <w:keepNext/>
        <w:tabs>
          <w:tab w:val="left" w:pos="10065"/>
          <w:tab w:val="left" w:pos="10206"/>
          <w:tab w:val="left" w:pos="12900"/>
        </w:tabs>
        <w:spacing w:line="220" w:lineRule="exact"/>
        <w:ind w:right="919" w:firstLine="284"/>
        <w:rPr>
          <w:rFonts w:eastAsia="MS Mincho"/>
          <w:sz w:val="18"/>
          <w:lang w:eastAsia="ja-JP"/>
        </w:rPr>
      </w:pPr>
      <w:r w:rsidRPr="008D1DCB">
        <w:rPr>
          <w:rFonts w:eastAsia="MS Mincho"/>
          <w:i/>
          <w:sz w:val="18"/>
          <w:vertAlign w:val="superscript"/>
          <w:lang w:eastAsia="ja-JP"/>
        </w:rPr>
        <w:t xml:space="preserve">d   </w:t>
      </w:r>
      <w:r w:rsidR="00895001" w:rsidRPr="00F12B18">
        <w:rPr>
          <w:rFonts w:eastAsia="Calibri"/>
          <w:sz w:val="18"/>
          <w:szCs w:val="18"/>
          <w:lang w:eastAsia="en-US"/>
        </w:rPr>
        <w:t>Parties</w:t>
      </w:r>
      <w:r w:rsidR="00895001" w:rsidRPr="002B7051">
        <w:rPr>
          <w:rFonts w:eastAsia="Calibri"/>
          <w:sz w:val="18"/>
          <w:szCs w:val="18"/>
          <w:lang w:eastAsia="en-US"/>
        </w:rPr>
        <w:t xml:space="preserve"> should include projections on a quantitative basis starting from the </w:t>
      </w:r>
      <w:r w:rsidR="00895001" w:rsidRPr="008D1DCB">
        <w:rPr>
          <w:rFonts w:eastAsia="Calibri"/>
          <w:sz w:val="18"/>
          <w:szCs w:val="18"/>
          <w:lang w:eastAsia="en-US"/>
        </w:rPr>
        <w:t xml:space="preserve">most recent inventory year (or an earlier year followed by the most recent inventory year) and for subsequent years that end in either a zero or a five, extending at least 15 years from the </w:t>
      </w:r>
      <w:r w:rsidR="00895001">
        <w:rPr>
          <w:rFonts w:eastAsia="Calibri"/>
          <w:sz w:val="18"/>
          <w:szCs w:val="18"/>
          <w:lang w:eastAsia="en-US"/>
        </w:rPr>
        <w:t>most recent</w:t>
      </w:r>
      <w:r w:rsidR="00895001" w:rsidRPr="008D1DCB">
        <w:rPr>
          <w:rFonts w:eastAsia="Calibri"/>
          <w:sz w:val="18"/>
          <w:szCs w:val="18"/>
          <w:lang w:eastAsia="en-US"/>
        </w:rPr>
        <w:t xml:space="preserve"> inventory year.</w:t>
      </w:r>
    </w:p>
    <w:p w14:paraId="775DFFCD" w14:textId="74E3F127" w:rsidR="00895001" w:rsidRPr="008D1DCB" w:rsidRDefault="000E0429" w:rsidP="000E0429">
      <w:pPr>
        <w:tabs>
          <w:tab w:val="left" w:pos="10065"/>
          <w:tab w:val="left" w:pos="10206"/>
          <w:tab w:val="left" w:pos="12900"/>
        </w:tabs>
        <w:spacing w:line="220" w:lineRule="exact"/>
        <w:ind w:right="919" w:firstLine="284"/>
        <w:rPr>
          <w:rFonts w:eastAsia="MS Mincho"/>
          <w:sz w:val="18"/>
          <w:lang w:eastAsia="ja-JP"/>
        </w:rPr>
      </w:pPr>
      <w:r w:rsidRPr="008D1DCB">
        <w:rPr>
          <w:rFonts w:eastAsia="MS Mincho"/>
          <w:i/>
          <w:sz w:val="18"/>
          <w:vertAlign w:val="superscript"/>
          <w:lang w:eastAsia="ja-JP"/>
        </w:rPr>
        <w:t xml:space="preserve">e   </w:t>
      </w:r>
      <w:r w:rsidR="00895001" w:rsidRPr="008D1DCB">
        <w:rPr>
          <w:rFonts w:eastAsia="MS Mincho"/>
          <w:sz w:val="18"/>
          <w:lang w:eastAsia="ja-JP"/>
        </w:rPr>
        <w:t xml:space="preserve">The starting year of the projections. </w:t>
      </w:r>
    </w:p>
    <w:p w14:paraId="6C2B5022" w14:textId="195BE16E" w:rsidR="00895001" w:rsidRPr="002B7051" w:rsidRDefault="000E0429" w:rsidP="000E0429">
      <w:pPr>
        <w:tabs>
          <w:tab w:val="left" w:pos="10065"/>
          <w:tab w:val="left" w:pos="10206"/>
          <w:tab w:val="left" w:pos="12900"/>
        </w:tabs>
        <w:spacing w:line="220" w:lineRule="exact"/>
        <w:ind w:right="919" w:firstLine="284"/>
        <w:rPr>
          <w:rFonts w:eastAsia="MS Mincho"/>
          <w:sz w:val="18"/>
          <w:lang w:eastAsia="ja-JP"/>
        </w:rPr>
      </w:pPr>
      <w:r w:rsidRPr="002B7051">
        <w:rPr>
          <w:rFonts w:eastAsia="MS Mincho"/>
          <w:i/>
          <w:sz w:val="18"/>
          <w:vertAlign w:val="superscript"/>
          <w:lang w:eastAsia="ja-JP"/>
        </w:rPr>
        <w:t xml:space="preserve">f   </w:t>
      </w:r>
      <w:r w:rsidR="00895001" w:rsidRPr="002B7051">
        <w:rPr>
          <w:sz w:val="18"/>
        </w:rPr>
        <w:t xml:space="preserve">The most recent inventory year, in </w:t>
      </w:r>
      <w:r w:rsidR="00895001">
        <w:rPr>
          <w:sz w:val="18"/>
        </w:rPr>
        <w:t xml:space="preserve">the </w:t>
      </w:r>
      <w:r w:rsidR="00895001" w:rsidRPr="002B7051">
        <w:rPr>
          <w:sz w:val="18"/>
        </w:rPr>
        <w:t xml:space="preserve">case that </w:t>
      </w:r>
      <w:r w:rsidR="00895001">
        <w:rPr>
          <w:sz w:val="18"/>
        </w:rPr>
        <w:t xml:space="preserve">the </w:t>
      </w:r>
      <w:r w:rsidR="00895001" w:rsidRPr="002B7051">
        <w:rPr>
          <w:sz w:val="18"/>
        </w:rPr>
        <w:t>projections are started from an earlier year.</w:t>
      </w:r>
    </w:p>
    <w:p w14:paraId="54AE2182" w14:textId="0832A11F" w:rsidR="00895001" w:rsidRPr="00CB4F08" w:rsidRDefault="000E0429" w:rsidP="000E0429">
      <w:pPr>
        <w:keepNext/>
        <w:tabs>
          <w:tab w:val="left" w:pos="12900"/>
        </w:tabs>
        <w:spacing w:line="220" w:lineRule="exact"/>
        <w:ind w:left="114" w:right="919" w:firstLine="170"/>
        <w:rPr>
          <w:rFonts w:eastAsia="MS Mincho"/>
          <w:sz w:val="18"/>
          <w:lang w:eastAsia="ja-JP"/>
        </w:rPr>
      </w:pPr>
      <w:r w:rsidRPr="00CB4F08">
        <w:rPr>
          <w:rFonts w:eastAsia="MS Mincho"/>
          <w:i/>
          <w:sz w:val="18"/>
          <w:vertAlign w:val="superscript"/>
          <w:lang w:eastAsia="ja-JP"/>
        </w:rPr>
        <w:t xml:space="preserve">g   </w:t>
      </w:r>
      <w:r w:rsidR="00895001" w:rsidRPr="00CB4F08">
        <w:rPr>
          <w:sz w:val="18"/>
        </w:rPr>
        <w:t xml:space="preserve">A year that ends in either a </w:t>
      </w:r>
      <w:r w:rsidR="00895001">
        <w:rPr>
          <w:sz w:val="18"/>
        </w:rPr>
        <w:t>zero</w:t>
      </w:r>
      <w:r w:rsidR="00895001" w:rsidRPr="00CB4F08">
        <w:rPr>
          <w:sz w:val="18"/>
        </w:rPr>
        <w:t xml:space="preserve"> or a </w:t>
      </w:r>
      <w:r w:rsidR="00895001">
        <w:rPr>
          <w:sz w:val="18"/>
        </w:rPr>
        <w:t>five</w:t>
      </w:r>
      <w:r w:rsidR="00895001" w:rsidRPr="00CB4F08">
        <w:rPr>
          <w:sz w:val="18"/>
        </w:rPr>
        <w:t xml:space="preserve">, following the most recent inventory year, </w:t>
      </w:r>
      <w:r w:rsidR="00895001" w:rsidRPr="00CB4F08">
        <w:rPr>
          <w:sz w:val="18"/>
          <w:lang w:val="en-US"/>
        </w:rPr>
        <w:t>extending at least 15 years from the most recent inventory year.</w:t>
      </w:r>
      <w:r w:rsidR="00895001" w:rsidRPr="00CB4F08">
        <w:rPr>
          <w:sz w:val="18"/>
        </w:rPr>
        <w:t xml:space="preserve"> </w:t>
      </w:r>
    </w:p>
    <w:p w14:paraId="37486D7D" w14:textId="7FD77864" w:rsidR="00895001" w:rsidRPr="00F12B18" w:rsidRDefault="000E0429" w:rsidP="000E0429">
      <w:pPr>
        <w:keepNext/>
        <w:tabs>
          <w:tab w:val="left" w:pos="10065"/>
          <w:tab w:val="left" w:pos="10206"/>
          <w:tab w:val="left" w:pos="12900"/>
        </w:tabs>
        <w:spacing w:line="220" w:lineRule="exact"/>
        <w:ind w:right="919" w:firstLine="284"/>
        <w:rPr>
          <w:rFonts w:eastAsia="MS Mincho"/>
          <w:sz w:val="18"/>
          <w:lang w:eastAsia="ja-JP"/>
        </w:rPr>
      </w:pPr>
      <w:r w:rsidRPr="00F12B18">
        <w:rPr>
          <w:rFonts w:eastAsia="MS Mincho"/>
          <w:i/>
          <w:sz w:val="18"/>
          <w:vertAlign w:val="superscript"/>
          <w:lang w:eastAsia="ja-JP"/>
        </w:rPr>
        <w:t xml:space="preserve">h   </w:t>
      </w:r>
      <w:r w:rsidR="00895001" w:rsidRPr="00F12B18">
        <w:rPr>
          <w:rFonts w:eastAsia="MS Mincho"/>
          <w:sz w:val="18"/>
          <w:szCs w:val="18"/>
          <w:lang w:eastAsia="ja-JP"/>
        </w:rPr>
        <w:t xml:space="preserve">In accordance with paragraph 31 of </w:t>
      </w:r>
      <w:r w:rsidR="00895001" w:rsidRPr="00904E0C">
        <w:rPr>
          <w:rFonts w:eastAsia="MS Mincho"/>
          <w:sz w:val="18"/>
          <w:szCs w:val="18"/>
          <w:lang w:eastAsia="ja-JP"/>
        </w:rPr>
        <w:t>these guidelines</w:t>
      </w:r>
      <w:r w:rsidR="00895001" w:rsidRPr="00F12B18">
        <w:rPr>
          <w:rFonts w:eastAsia="MS Mincho"/>
          <w:sz w:val="18"/>
          <w:szCs w:val="18"/>
          <w:lang w:eastAsia="ja-JP"/>
        </w:rPr>
        <w:t>, p</w:t>
      </w:r>
      <w:r w:rsidR="00895001" w:rsidRPr="00F12B18">
        <w:rPr>
          <w:rFonts w:eastAsia="Times New Roman"/>
          <w:sz w:val="18"/>
          <w:szCs w:val="18"/>
          <w:lang w:eastAsia="en-GB"/>
        </w:rPr>
        <w:t>rojections shall be presented on a sectoral basis, to the extent possible, using the same sectoral categories used in the GHG inventories</w:t>
      </w:r>
      <w:r w:rsidR="00895001" w:rsidRPr="00F12B18">
        <w:rPr>
          <w:rFonts w:eastAsia="MS Mincho"/>
          <w:sz w:val="18"/>
          <w:szCs w:val="18"/>
          <w:lang w:eastAsia="ja-JP"/>
        </w:rPr>
        <w:t>. This table should follow, to the extent possible, the same sectoral categories as those listed in paragraph 14 of th</w:t>
      </w:r>
      <w:r w:rsidR="00895001">
        <w:rPr>
          <w:rFonts w:eastAsia="MS Mincho"/>
          <w:sz w:val="18"/>
          <w:szCs w:val="18"/>
          <w:lang w:eastAsia="ja-JP"/>
        </w:rPr>
        <w:t>e</w:t>
      </w:r>
      <w:r w:rsidR="00895001" w:rsidRPr="00F12B18">
        <w:rPr>
          <w:rFonts w:eastAsia="MS Mincho"/>
          <w:sz w:val="18"/>
          <w:szCs w:val="18"/>
          <w:lang w:eastAsia="ja-JP"/>
        </w:rPr>
        <w:t>se guidelines</w:t>
      </w:r>
      <w:r w:rsidR="00895001">
        <w:rPr>
          <w:rFonts w:eastAsia="MS Mincho"/>
          <w:sz w:val="18"/>
          <w:szCs w:val="18"/>
          <w:lang w:eastAsia="ja-JP"/>
        </w:rPr>
        <w:t>;</w:t>
      </w:r>
      <w:r w:rsidR="00895001" w:rsidRPr="00F12B18">
        <w:rPr>
          <w:rFonts w:eastAsia="MS Mincho"/>
          <w:sz w:val="18"/>
          <w:szCs w:val="18"/>
          <w:lang w:eastAsia="ja-JP"/>
        </w:rPr>
        <w:t xml:space="preserve"> namely, t</w:t>
      </w:r>
      <w:r w:rsidR="00895001" w:rsidRPr="00F12B18">
        <w:rPr>
          <w:rFonts w:eastAsia="Times New Roman"/>
          <w:sz w:val="18"/>
          <w:szCs w:val="18"/>
          <w:lang w:eastAsia="en-GB"/>
        </w:rPr>
        <w:t>o the extent appropriate, the following sectors should be considered: energy, transport, industry/industrial processes</w:t>
      </w:r>
      <w:r w:rsidR="00895001" w:rsidRPr="00F12B18">
        <w:rPr>
          <w:rFonts w:eastAsia="Calibri"/>
          <w:sz w:val="24"/>
          <w:szCs w:val="24"/>
          <w:lang w:eastAsia="en-US"/>
        </w:rPr>
        <w:t xml:space="preserve"> </w:t>
      </w:r>
      <w:r w:rsidR="00895001" w:rsidRPr="00F12B18">
        <w:rPr>
          <w:rFonts w:eastAsia="Times New Roman"/>
          <w:sz w:val="18"/>
          <w:szCs w:val="18"/>
          <w:lang w:eastAsia="en-GB"/>
        </w:rPr>
        <w:t>and product use, agriculture, forestry/LULUCF,</w:t>
      </w:r>
      <w:r w:rsidR="00895001" w:rsidRPr="00F12B18">
        <w:rPr>
          <w:rFonts w:eastAsia="Times New Roman"/>
          <w:b/>
          <w:sz w:val="18"/>
          <w:szCs w:val="18"/>
          <w:lang w:eastAsia="en-GB"/>
        </w:rPr>
        <w:t xml:space="preserve"> </w:t>
      </w:r>
      <w:r w:rsidR="00895001" w:rsidRPr="00F12B18">
        <w:rPr>
          <w:rFonts w:eastAsia="Times New Roman"/>
          <w:sz w:val="18"/>
          <w:szCs w:val="18"/>
          <w:lang w:eastAsia="en-GB"/>
        </w:rPr>
        <w:t>waste management/waste, other sectors and cross-cutting.</w:t>
      </w:r>
    </w:p>
    <w:p w14:paraId="709D3883" w14:textId="51FA067B" w:rsidR="00895001" w:rsidRPr="00F12B18" w:rsidRDefault="000E0429" w:rsidP="000E0429">
      <w:pPr>
        <w:tabs>
          <w:tab w:val="left" w:pos="12900"/>
        </w:tabs>
        <w:spacing w:line="220" w:lineRule="exact"/>
        <w:ind w:left="114" w:right="919" w:firstLine="170"/>
        <w:rPr>
          <w:rFonts w:eastAsia="Times New Roman"/>
          <w:b/>
          <w:sz w:val="18"/>
          <w:szCs w:val="18"/>
          <w:lang w:eastAsia="en-US"/>
        </w:rPr>
      </w:pPr>
      <w:r w:rsidRPr="00F12B18">
        <w:rPr>
          <w:rFonts w:eastAsia="Times New Roman"/>
          <w:b/>
          <w:i/>
          <w:sz w:val="18"/>
          <w:szCs w:val="18"/>
          <w:vertAlign w:val="superscript"/>
          <w:lang w:eastAsia="en-US"/>
        </w:rPr>
        <w:t xml:space="preserve">i   </w:t>
      </w:r>
      <w:r w:rsidR="00895001" w:rsidRPr="00F12B18">
        <w:rPr>
          <w:rFonts w:eastAsia="MS Mincho"/>
          <w:sz w:val="18"/>
          <w:szCs w:val="18"/>
          <w:lang w:eastAsia="ja-JP"/>
        </w:rPr>
        <w:t>To the extent possible, the following sectors should be used: energy, transport, industry/industrial processes</w:t>
      </w:r>
      <w:r w:rsidR="00895001" w:rsidRPr="00F12B18">
        <w:rPr>
          <w:rFonts w:eastAsia="Calibri"/>
          <w:sz w:val="24"/>
          <w:szCs w:val="24"/>
          <w:lang w:eastAsia="en-US"/>
        </w:rPr>
        <w:t xml:space="preserve"> </w:t>
      </w:r>
      <w:r w:rsidR="00895001" w:rsidRPr="00F12B18">
        <w:rPr>
          <w:rFonts w:eastAsia="MS Mincho"/>
          <w:sz w:val="18"/>
          <w:szCs w:val="18"/>
          <w:lang w:eastAsia="ja-JP"/>
        </w:rPr>
        <w:t xml:space="preserve">and product use, agriculture, forestry/LULUCF, waste management/waste, other sectors (i.e. cross-cutting), as appropriate. </w:t>
      </w:r>
    </w:p>
    <w:p w14:paraId="5A8DED34" w14:textId="209D6A0C" w:rsidR="00895001" w:rsidRPr="00F12B18" w:rsidRDefault="000E0429" w:rsidP="000E0429">
      <w:pPr>
        <w:keepNext/>
        <w:tabs>
          <w:tab w:val="left" w:pos="12900"/>
        </w:tabs>
        <w:spacing w:line="220" w:lineRule="exact"/>
        <w:ind w:right="919" w:firstLine="284"/>
        <w:rPr>
          <w:rFonts w:eastAsia="MS Mincho"/>
          <w:sz w:val="18"/>
          <w:lang w:eastAsia="ja-JP"/>
        </w:rPr>
      </w:pPr>
      <w:r w:rsidRPr="00F12B18">
        <w:rPr>
          <w:rFonts w:eastAsia="MS Mincho"/>
          <w:i/>
          <w:sz w:val="18"/>
          <w:vertAlign w:val="superscript"/>
          <w:lang w:eastAsia="ja-JP"/>
        </w:rPr>
        <w:t xml:space="preserve">j   </w:t>
      </w:r>
      <w:r w:rsidR="00895001" w:rsidRPr="00F12B18">
        <w:rPr>
          <w:rFonts w:eastAsia="MS Mincho"/>
          <w:sz w:val="18"/>
          <w:szCs w:val="18"/>
          <w:lang w:eastAsia="ja-JP"/>
        </w:rPr>
        <w:t>Parties may choose to report total emissions with or without LULUCF, as appropriate.</w:t>
      </w:r>
    </w:p>
    <w:p w14:paraId="11D1C839" w14:textId="77777777" w:rsidR="00895001" w:rsidRDefault="00895001" w:rsidP="00895001">
      <w:pPr>
        <w:suppressAutoHyphens w:val="0"/>
        <w:spacing w:line="240" w:lineRule="auto"/>
        <w:rPr>
          <w:rFonts w:eastAsia="Calibri"/>
          <w:b/>
          <w:i/>
          <w:sz w:val="18"/>
          <w:szCs w:val="18"/>
          <w:lang w:eastAsia="en-US"/>
        </w:rPr>
      </w:pPr>
    </w:p>
    <w:p w14:paraId="37FAEE80" w14:textId="77777777" w:rsidR="00895001" w:rsidRPr="001D68EF" w:rsidRDefault="00895001" w:rsidP="00895001">
      <w:pPr>
        <w:suppressAutoHyphens w:val="0"/>
        <w:spacing w:line="240" w:lineRule="auto"/>
        <w:rPr>
          <w:rFonts w:eastAsia="Calibri"/>
          <w:b/>
          <w:i/>
          <w:sz w:val="18"/>
          <w:szCs w:val="18"/>
          <w:lang w:eastAsia="en-US"/>
        </w:rPr>
      </w:pPr>
      <w:r w:rsidRPr="00F12B18">
        <w:rPr>
          <w:rFonts w:eastAsia="Calibri"/>
          <w:b/>
          <w:i/>
          <w:sz w:val="18"/>
          <w:szCs w:val="18"/>
          <w:lang w:eastAsia="en-US"/>
        </w:rPr>
        <w:t>Custom footnote</w:t>
      </w:r>
      <w:r w:rsidRPr="001D68EF">
        <w:rPr>
          <w:rFonts w:eastAsia="Calibri"/>
          <w:b/>
          <w:i/>
          <w:sz w:val="18"/>
          <w:szCs w:val="18"/>
          <w:lang w:eastAsia="en-US"/>
        </w:rPr>
        <w:br w:type="page"/>
      </w:r>
    </w:p>
    <w:p w14:paraId="309C7C64" w14:textId="77777777" w:rsidR="00895001" w:rsidRPr="00170C38" w:rsidRDefault="00895001" w:rsidP="00895001">
      <w:pPr>
        <w:suppressAutoHyphens w:val="0"/>
        <w:spacing w:line="240" w:lineRule="auto"/>
      </w:pPr>
      <w:r w:rsidRPr="00170C38">
        <w:t>Table 4</w:t>
      </w:r>
    </w:p>
    <w:p w14:paraId="7E5CE4A3" w14:textId="77777777" w:rsidR="00895001" w:rsidRPr="00170C38" w:rsidRDefault="00895001" w:rsidP="00895001">
      <w:pPr>
        <w:suppressAutoHyphens w:val="0"/>
        <w:spacing w:after="120" w:line="240" w:lineRule="auto"/>
        <w:ind w:right="-1"/>
        <w:rPr>
          <w:rFonts w:eastAsia="MS Mincho"/>
          <w:vertAlign w:val="superscript"/>
          <w:lang w:eastAsia="ja-JP"/>
        </w:rPr>
      </w:pPr>
      <w:r w:rsidRPr="00170C38">
        <w:rPr>
          <w:b/>
        </w:rPr>
        <w:t>Information on updated greenhouse gas projections under a ‘with additional measures’ scenario</w:t>
      </w:r>
      <w:r w:rsidRPr="00170C38">
        <w:rPr>
          <w:rFonts w:eastAsia="MS Mincho"/>
          <w:i/>
          <w:sz w:val="18"/>
          <w:vertAlign w:val="superscript"/>
          <w:lang w:eastAsia="ja-JP"/>
        </w:rPr>
        <w:t>a</w:t>
      </w:r>
    </w:p>
    <w:tbl>
      <w:tblPr>
        <w:tblW w:w="12304" w:type="dxa"/>
        <w:tblBorders>
          <w:top w:val="single" w:sz="4" w:space="0" w:color="auto"/>
        </w:tblBorders>
        <w:tblCellMar>
          <w:left w:w="0" w:type="dxa"/>
          <w:right w:w="0" w:type="dxa"/>
        </w:tblCellMar>
        <w:tblLook w:val="01E0" w:firstRow="1" w:lastRow="1" w:firstColumn="1" w:lastColumn="1" w:noHBand="0" w:noVBand="0"/>
      </w:tblPr>
      <w:tblGrid>
        <w:gridCol w:w="2524"/>
        <w:gridCol w:w="625"/>
        <w:gridCol w:w="10"/>
        <w:gridCol w:w="126"/>
        <w:gridCol w:w="635"/>
        <w:gridCol w:w="20"/>
        <w:gridCol w:w="106"/>
        <w:gridCol w:w="645"/>
        <w:gridCol w:w="30"/>
        <w:gridCol w:w="86"/>
        <w:gridCol w:w="655"/>
        <w:gridCol w:w="42"/>
        <w:gridCol w:w="64"/>
        <w:gridCol w:w="664"/>
        <w:gridCol w:w="52"/>
        <w:gridCol w:w="44"/>
        <w:gridCol w:w="620"/>
        <w:gridCol w:w="54"/>
        <w:gridCol w:w="66"/>
        <w:gridCol w:w="20"/>
        <w:gridCol w:w="684"/>
        <w:gridCol w:w="76"/>
        <w:gridCol w:w="111"/>
        <w:gridCol w:w="583"/>
        <w:gridCol w:w="89"/>
        <w:gridCol w:w="682"/>
        <w:gridCol w:w="236"/>
        <w:gridCol w:w="920"/>
        <w:gridCol w:w="920"/>
        <w:gridCol w:w="915"/>
      </w:tblGrid>
      <w:tr w:rsidR="00895001" w:rsidRPr="0061640E" w14:paraId="4F458D4D" w14:textId="77777777" w:rsidTr="006D4A81">
        <w:trPr>
          <w:trHeight w:val="240"/>
          <w:tblHeader/>
        </w:trPr>
        <w:tc>
          <w:tcPr>
            <w:tcW w:w="1026" w:type="pct"/>
            <w:vMerge w:val="restart"/>
            <w:tcBorders>
              <w:top w:val="single" w:sz="4" w:space="0" w:color="auto"/>
              <w:bottom w:val="single" w:sz="12" w:space="0" w:color="auto"/>
            </w:tcBorders>
            <w:shd w:val="clear" w:color="auto" w:fill="auto"/>
          </w:tcPr>
          <w:p w14:paraId="4CBC3906" w14:textId="77777777" w:rsidR="00895001" w:rsidRPr="0061640E" w:rsidRDefault="00895001" w:rsidP="006D4A81">
            <w:pPr>
              <w:spacing w:before="40" w:after="40" w:line="220" w:lineRule="exact"/>
              <w:rPr>
                <w:i/>
                <w:sz w:val="16"/>
                <w:szCs w:val="16"/>
              </w:rPr>
            </w:pPr>
          </w:p>
        </w:tc>
        <w:tc>
          <w:tcPr>
            <w:tcW w:w="1797" w:type="pct"/>
            <w:gridSpan w:val="16"/>
            <w:tcBorders>
              <w:top w:val="single" w:sz="4" w:space="0" w:color="auto"/>
              <w:bottom w:val="single" w:sz="2" w:space="0" w:color="auto"/>
            </w:tcBorders>
            <w:shd w:val="clear" w:color="auto" w:fill="auto"/>
          </w:tcPr>
          <w:p w14:paraId="6BE4861A" w14:textId="77777777" w:rsidR="00895001" w:rsidRPr="002B7051" w:rsidRDefault="00895001" w:rsidP="006D4A81">
            <w:pPr>
              <w:spacing w:before="40" w:after="40" w:line="220" w:lineRule="exact"/>
              <w:jc w:val="center"/>
              <w:rPr>
                <w:i/>
                <w:sz w:val="16"/>
                <w:szCs w:val="16"/>
                <w:vertAlign w:val="superscript"/>
              </w:rPr>
            </w:pPr>
            <w:r w:rsidRPr="002B7051">
              <w:rPr>
                <w:i/>
                <w:sz w:val="16"/>
                <w:szCs w:val="16"/>
              </w:rPr>
              <w:t>GHG emissions and removals</w:t>
            </w:r>
            <w:r w:rsidRPr="001221FE">
              <w:rPr>
                <w:i/>
                <w:sz w:val="18"/>
                <w:szCs w:val="16"/>
                <w:vertAlign w:val="superscript"/>
              </w:rPr>
              <w:t>b, c</w:t>
            </w:r>
          </w:p>
          <w:p w14:paraId="38F97501" w14:textId="77777777" w:rsidR="00895001" w:rsidRPr="002B7051" w:rsidRDefault="00895001" w:rsidP="006D4A81">
            <w:pPr>
              <w:spacing w:before="40" w:after="40" w:line="220" w:lineRule="exact"/>
              <w:jc w:val="center"/>
              <w:rPr>
                <w:i/>
                <w:sz w:val="16"/>
                <w:szCs w:val="16"/>
              </w:rPr>
            </w:pPr>
            <w:r w:rsidRPr="002B7051">
              <w:rPr>
                <w:i/>
                <w:sz w:val="16"/>
                <w:szCs w:val="16"/>
              </w:rPr>
              <w:t>(kt CO</w:t>
            </w:r>
            <w:r w:rsidRPr="002B7051">
              <w:rPr>
                <w:i/>
                <w:sz w:val="16"/>
                <w:szCs w:val="16"/>
                <w:vertAlign w:val="subscript"/>
              </w:rPr>
              <w:t>2</w:t>
            </w:r>
            <w:r w:rsidRPr="002B7051">
              <w:rPr>
                <w:i/>
                <w:sz w:val="16"/>
                <w:szCs w:val="16"/>
              </w:rPr>
              <w:t xml:space="preserve"> eq)</w:t>
            </w:r>
          </w:p>
        </w:tc>
        <w:tc>
          <w:tcPr>
            <w:tcW w:w="411" w:type="pct"/>
            <w:gridSpan w:val="6"/>
            <w:tcBorders>
              <w:top w:val="single" w:sz="4" w:space="0" w:color="auto"/>
              <w:bottom w:val="single" w:sz="2" w:space="0" w:color="auto"/>
            </w:tcBorders>
          </w:tcPr>
          <w:p w14:paraId="550A6DDF" w14:textId="77777777" w:rsidR="00895001" w:rsidRPr="002B7051" w:rsidRDefault="00895001" w:rsidP="006D4A81">
            <w:pPr>
              <w:spacing w:before="40" w:after="40" w:line="220" w:lineRule="exact"/>
              <w:jc w:val="center"/>
              <w:rPr>
                <w:i/>
                <w:sz w:val="16"/>
                <w:szCs w:val="16"/>
              </w:rPr>
            </w:pPr>
          </w:p>
        </w:tc>
        <w:tc>
          <w:tcPr>
            <w:tcW w:w="1767" w:type="pct"/>
            <w:gridSpan w:val="7"/>
            <w:tcBorders>
              <w:top w:val="single" w:sz="4" w:space="0" w:color="auto"/>
              <w:bottom w:val="single" w:sz="2" w:space="0" w:color="auto"/>
            </w:tcBorders>
            <w:shd w:val="clear" w:color="auto" w:fill="auto"/>
          </w:tcPr>
          <w:p w14:paraId="0C25DAEF" w14:textId="77777777" w:rsidR="00895001" w:rsidRPr="002B7051" w:rsidRDefault="00895001" w:rsidP="006D4A81">
            <w:pPr>
              <w:spacing w:before="40" w:after="40" w:line="220" w:lineRule="exact"/>
              <w:jc w:val="center"/>
              <w:rPr>
                <w:i/>
                <w:sz w:val="16"/>
                <w:szCs w:val="16"/>
              </w:rPr>
            </w:pPr>
            <w:r w:rsidRPr="002B7051">
              <w:rPr>
                <w:i/>
                <w:sz w:val="16"/>
                <w:szCs w:val="16"/>
              </w:rPr>
              <w:t>GHG emission projections</w:t>
            </w:r>
            <w:r w:rsidRPr="001221FE">
              <w:rPr>
                <w:i/>
                <w:sz w:val="18"/>
                <w:szCs w:val="16"/>
                <w:vertAlign w:val="superscript"/>
              </w:rPr>
              <w:t>c, d</w:t>
            </w:r>
          </w:p>
          <w:p w14:paraId="234CAAEA" w14:textId="77777777" w:rsidR="00895001" w:rsidRPr="0061640E" w:rsidRDefault="00895001" w:rsidP="006D4A81">
            <w:pPr>
              <w:spacing w:before="40" w:after="40" w:line="220" w:lineRule="exact"/>
              <w:jc w:val="center"/>
              <w:rPr>
                <w:i/>
                <w:sz w:val="16"/>
                <w:szCs w:val="16"/>
              </w:rPr>
            </w:pPr>
            <w:r w:rsidRPr="002B7051">
              <w:rPr>
                <w:i/>
                <w:sz w:val="16"/>
                <w:szCs w:val="16"/>
              </w:rPr>
              <w:t>(kt CO</w:t>
            </w:r>
            <w:r w:rsidRPr="002B7051">
              <w:rPr>
                <w:i/>
                <w:sz w:val="16"/>
                <w:szCs w:val="16"/>
                <w:vertAlign w:val="subscript"/>
              </w:rPr>
              <w:t>2</w:t>
            </w:r>
            <w:r w:rsidRPr="002B7051">
              <w:rPr>
                <w:i/>
                <w:sz w:val="16"/>
                <w:szCs w:val="16"/>
              </w:rPr>
              <w:t xml:space="preserve"> eq)</w:t>
            </w:r>
          </w:p>
        </w:tc>
      </w:tr>
      <w:tr w:rsidR="00895001" w:rsidRPr="00F071DA" w14:paraId="2C52E377" w14:textId="77777777" w:rsidTr="006D4A81">
        <w:trPr>
          <w:trHeight w:val="144"/>
          <w:tblHeader/>
        </w:trPr>
        <w:tc>
          <w:tcPr>
            <w:tcW w:w="1026" w:type="pct"/>
            <w:vMerge/>
            <w:tcBorders>
              <w:top w:val="single" w:sz="12" w:space="0" w:color="auto"/>
              <w:bottom w:val="single" w:sz="12" w:space="0" w:color="auto"/>
            </w:tcBorders>
            <w:shd w:val="clear" w:color="auto" w:fill="auto"/>
          </w:tcPr>
          <w:p w14:paraId="3A4AA8F3" w14:textId="77777777" w:rsidR="00895001" w:rsidRPr="00F071DA" w:rsidRDefault="00895001" w:rsidP="006D4A81">
            <w:pPr>
              <w:suppressAutoHyphens w:val="0"/>
              <w:autoSpaceDE w:val="0"/>
              <w:autoSpaceDN w:val="0"/>
              <w:adjustRightInd w:val="0"/>
              <w:spacing w:before="40" w:after="40" w:line="220" w:lineRule="exact"/>
              <w:rPr>
                <w:rFonts w:eastAsia="MS Mincho"/>
                <w:sz w:val="16"/>
                <w:szCs w:val="16"/>
                <w:lang w:eastAsia="ja-JP"/>
              </w:rPr>
            </w:pPr>
          </w:p>
        </w:tc>
        <w:tc>
          <w:tcPr>
            <w:tcW w:w="309" w:type="pct"/>
            <w:gridSpan w:val="3"/>
            <w:tcBorders>
              <w:top w:val="single" w:sz="2" w:space="0" w:color="auto"/>
              <w:bottom w:val="single" w:sz="12" w:space="0" w:color="auto"/>
            </w:tcBorders>
            <w:shd w:val="clear" w:color="auto" w:fill="auto"/>
            <w:vAlign w:val="center"/>
          </w:tcPr>
          <w:p w14:paraId="5D405448" w14:textId="77777777" w:rsidR="00895001" w:rsidRPr="00F071DA"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F071DA">
              <w:rPr>
                <w:i/>
                <w:sz w:val="16"/>
                <w:szCs w:val="16"/>
              </w:rPr>
              <w:t>Base year</w:t>
            </w:r>
          </w:p>
        </w:tc>
        <w:tc>
          <w:tcPr>
            <w:tcW w:w="309" w:type="pct"/>
            <w:gridSpan w:val="3"/>
            <w:tcBorders>
              <w:top w:val="single" w:sz="2" w:space="0" w:color="auto"/>
              <w:bottom w:val="single" w:sz="12" w:space="0" w:color="auto"/>
            </w:tcBorders>
            <w:shd w:val="clear" w:color="auto" w:fill="auto"/>
            <w:vAlign w:val="center"/>
          </w:tcPr>
          <w:p w14:paraId="07EE3E7A" w14:textId="77777777" w:rsidR="00895001" w:rsidRPr="00F071DA"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F071DA">
              <w:rPr>
                <w:rFonts w:eastAsia="MS Mincho"/>
                <w:i/>
                <w:sz w:val="16"/>
                <w:szCs w:val="16"/>
                <w:lang w:eastAsia="ja-JP"/>
              </w:rPr>
              <w:t>1990</w:t>
            </w:r>
          </w:p>
        </w:tc>
        <w:tc>
          <w:tcPr>
            <w:tcW w:w="309" w:type="pct"/>
            <w:gridSpan w:val="3"/>
            <w:tcBorders>
              <w:top w:val="single" w:sz="2" w:space="0" w:color="auto"/>
              <w:bottom w:val="single" w:sz="12" w:space="0" w:color="auto"/>
            </w:tcBorders>
            <w:shd w:val="clear" w:color="auto" w:fill="auto"/>
            <w:vAlign w:val="center"/>
          </w:tcPr>
          <w:p w14:paraId="59DF8C82" w14:textId="77777777" w:rsidR="00895001" w:rsidRPr="00F071DA"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1995</w:t>
            </w:r>
          </w:p>
        </w:tc>
        <w:tc>
          <w:tcPr>
            <w:tcW w:w="309" w:type="pct"/>
            <w:gridSpan w:val="3"/>
            <w:tcBorders>
              <w:top w:val="single" w:sz="2" w:space="0" w:color="auto"/>
              <w:bottom w:val="single" w:sz="12" w:space="0" w:color="auto"/>
            </w:tcBorders>
            <w:shd w:val="clear" w:color="auto" w:fill="auto"/>
            <w:vAlign w:val="center"/>
          </w:tcPr>
          <w:p w14:paraId="701E4E49" w14:textId="77777777" w:rsidR="00895001" w:rsidRPr="00F071DA"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2000</w:t>
            </w:r>
          </w:p>
        </w:tc>
        <w:tc>
          <w:tcPr>
            <w:tcW w:w="309" w:type="pct"/>
            <w:gridSpan w:val="3"/>
            <w:tcBorders>
              <w:top w:val="single" w:sz="2" w:space="0" w:color="auto"/>
              <w:bottom w:val="single" w:sz="12" w:space="0" w:color="auto"/>
            </w:tcBorders>
            <w:shd w:val="clear" w:color="auto" w:fill="auto"/>
            <w:vAlign w:val="center"/>
          </w:tcPr>
          <w:p w14:paraId="55AE3869" w14:textId="77777777" w:rsidR="00895001" w:rsidRPr="00F071DA"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2005</w:t>
            </w:r>
          </w:p>
        </w:tc>
        <w:tc>
          <w:tcPr>
            <w:tcW w:w="309" w:type="pct"/>
            <w:gridSpan w:val="4"/>
            <w:tcBorders>
              <w:top w:val="single" w:sz="2" w:space="0" w:color="auto"/>
              <w:bottom w:val="single" w:sz="12" w:space="0" w:color="auto"/>
            </w:tcBorders>
            <w:shd w:val="clear" w:color="auto" w:fill="auto"/>
            <w:vAlign w:val="center"/>
          </w:tcPr>
          <w:p w14:paraId="17B6F195" w14:textId="77777777" w:rsidR="00895001" w:rsidRPr="00F071DA" w:rsidRDefault="00895001" w:rsidP="006D4A81">
            <w:pPr>
              <w:suppressAutoHyphens w:val="0"/>
              <w:autoSpaceDE w:val="0"/>
              <w:autoSpaceDN w:val="0"/>
              <w:adjustRightInd w:val="0"/>
              <w:spacing w:before="40" w:after="40" w:line="220" w:lineRule="exact"/>
              <w:ind w:left="113"/>
              <w:rPr>
                <w:rFonts w:eastAsia="MS Mincho"/>
                <w:i/>
                <w:sz w:val="16"/>
                <w:szCs w:val="16"/>
                <w:lang w:eastAsia="ja-JP"/>
              </w:rPr>
            </w:pPr>
            <w:r w:rsidRPr="00F071DA">
              <w:rPr>
                <w:rFonts w:eastAsia="MS Mincho"/>
                <w:i/>
                <w:sz w:val="16"/>
                <w:szCs w:val="16"/>
                <w:lang w:eastAsia="ja-JP"/>
              </w:rPr>
              <w:t>2010</w:t>
            </w:r>
          </w:p>
        </w:tc>
        <w:tc>
          <w:tcPr>
            <w:tcW w:w="309" w:type="pct"/>
            <w:gridSpan w:val="2"/>
            <w:tcBorders>
              <w:top w:val="single" w:sz="2" w:space="0" w:color="auto"/>
              <w:bottom w:val="single" w:sz="12" w:space="0" w:color="auto"/>
            </w:tcBorders>
            <w:shd w:val="clear" w:color="auto" w:fill="auto"/>
            <w:vAlign w:val="center"/>
          </w:tcPr>
          <w:p w14:paraId="605EA802" w14:textId="77777777" w:rsidR="00895001" w:rsidRPr="00F071DA" w:rsidRDefault="00895001" w:rsidP="006D4A81">
            <w:pPr>
              <w:suppressAutoHyphens w:val="0"/>
              <w:autoSpaceDE w:val="0"/>
              <w:autoSpaceDN w:val="0"/>
              <w:adjustRightInd w:val="0"/>
              <w:spacing w:before="40" w:after="40" w:line="220" w:lineRule="exact"/>
              <w:ind w:left="113"/>
              <w:rPr>
                <w:rFonts w:eastAsia="MS Mincho"/>
                <w:i/>
                <w:color w:val="E36C0A" w:themeColor="accent6" w:themeShade="BF"/>
                <w:sz w:val="16"/>
                <w:szCs w:val="16"/>
                <w:lang w:eastAsia="ja-JP"/>
              </w:rPr>
            </w:pPr>
            <w:r w:rsidRPr="00F071DA">
              <w:rPr>
                <w:rFonts w:eastAsia="MS Mincho"/>
                <w:i/>
                <w:sz w:val="16"/>
                <w:szCs w:val="16"/>
                <w:lang w:eastAsia="ja-JP"/>
              </w:rPr>
              <w:t>…</w:t>
            </w:r>
          </w:p>
        </w:tc>
        <w:tc>
          <w:tcPr>
            <w:tcW w:w="318" w:type="pct"/>
            <w:gridSpan w:val="3"/>
            <w:tcBorders>
              <w:top w:val="single" w:sz="2" w:space="0" w:color="auto"/>
              <w:bottom w:val="single" w:sz="12" w:space="0" w:color="auto"/>
            </w:tcBorders>
            <w:vAlign w:val="bottom"/>
          </w:tcPr>
          <w:p w14:paraId="2A604E7D" w14:textId="43FD2D39" w:rsidR="00895001" w:rsidRPr="005E05B8"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5E05B8">
              <w:rPr>
                <w:rFonts w:eastAsia="MS Mincho"/>
                <w:i/>
                <w:sz w:val="16"/>
                <w:szCs w:val="16"/>
                <w:lang w:eastAsia="ja-JP"/>
              </w:rPr>
              <w:t>20XX</w:t>
            </w:r>
            <w:r w:rsidRPr="001B289E">
              <w:rPr>
                <w:rFonts w:eastAsia="MS Mincho"/>
                <w:i/>
                <w:sz w:val="18"/>
                <w:szCs w:val="16"/>
                <w:vertAlign w:val="superscript"/>
                <w:lang w:eastAsia="ja-JP"/>
              </w:rPr>
              <w:t>e</w:t>
            </w:r>
            <w:r w:rsidRPr="005E05B8">
              <w:rPr>
                <w:rFonts w:eastAsia="MS Mincho"/>
                <w:i/>
                <w:sz w:val="16"/>
                <w:szCs w:val="16"/>
                <w:vertAlign w:val="superscript"/>
                <w:lang w:eastAsia="ja-JP"/>
              </w:rPr>
              <w:t xml:space="preserve"> </w:t>
            </w:r>
          </w:p>
        </w:tc>
        <w:tc>
          <w:tcPr>
            <w:tcW w:w="373" w:type="pct"/>
            <w:gridSpan w:val="2"/>
            <w:tcBorders>
              <w:top w:val="single" w:sz="2" w:space="0" w:color="auto"/>
              <w:bottom w:val="single" w:sz="12" w:space="0" w:color="auto"/>
            </w:tcBorders>
            <w:shd w:val="clear" w:color="auto" w:fill="auto"/>
            <w:tcMar>
              <w:right w:w="57" w:type="dxa"/>
            </w:tcMar>
            <w:vAlign w:val="center"/>
          </w:tcPr>
          <w:p w14:paraId="4BAFCB41" w14:textId="77777777" w:rsidR="00895001" w:rsidRPr="005E05B8"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i/>
                <w:sz w:val="16"/>
                <w:szCs w:val="16"/>
                <w:lang w:eastAsia="ja-JP"/>
              </w:rPr>
              <w:t>20YY</w:t>
            </w:r>
            <w:r w:rsidRPr="001B289E">
              <w:rPr>
                <w:rFonts w:eastAsia="Times New Roman"/>
                <w:bCs/>
                <w:i/>
                <w:iCs/>
                <w:snapToGrid w:val="0"/>
                <w:color w:val="000000"/>
                <w:sz w:val="18"/>
                <w:szCs w:val="16"/>
                <w:vertAlign w:val="superscript"/>
                <w:lang w:eastAsia="en-US"/>
              </w:rPr>
              <w:t>f</w:t>
            </w:r>
          </w:p>
        </w:tc>
        <w:tc>
          <w:tcPr>
            <w:tcW w:w="374" w:type="pct"/>
            <w:tcBorders>
              <w:top w:val="single" w:sz="2" w:space="0" w:color="auto"/>
              <w:bottom w:val="single" w:sz="12" w:space="0" w:color="auto"/>
            </w:tcBorders>
            <w:shd w:val="clear" w:color="auto" w:fill="auto"/>
            <w:vAlign w:val="center"/>
          </w:tcPr>
          <w:p w14:paraId="32155F25" w14:textId="77777777" w:rsidR="00895001" w:rsidRPr="005E05B8"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74" w:type="pct"/>
            <w:tcBorders>
              <w:top w:val="single" w:sz="2" w:space="0" w:color="auto"/>
              <w:bottom w:val="single" w:sz="12" w:space="0" w:color="auto"/>
            </w:tcBorders>
            <w:shd w:val="clear" w:color="auto" w:fill="auto"/>
            <w:vAlign w:val="center"/>
          </w:tcPr>
          <w:p w14:paraId="78EFE2CF" w14:textId="77777777" w:rsidR="00895001" w:rsidRPr="005E05B8"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c>
          <w:tcPr>
            <w:tcW w:w="373" w:type="pct"/>
            <w:tcBorders>
              <w:top w:val="single" w:sz="2" w:space="0" w:color="auto"/>
              <w:bottom w:val="single" w:sz="12" w:space="0" w:color="auto"/>
            </w:tcBorders>
            <w:shd w:val="clear" w:color="auto" w:fill="auto"/>
            <w:vAlign w:val="center"/>
          </w:tcPr>
          <w:p w14:paraId="25DD0D45" w14:textId="77777777" w:rsidR="00895001" w:rsidRPr="005E05B8" w:rsidRDefault="00895001" w:rsidP="006D4A81">
            <w:pPr>
              <w:suppressAutoHyphens w:val="0"/>
              <w:autoSpaceDE w:val="0"/>
              <w:autoSpaceDN w:val="0"/>
              <w:adjustRightInd w:val="0"/>
              <w:spacing w:before="40" w:after="40" w:line="220" w:lineRule="exact"/>
              <w:rPr>
                <w:rFonts w:eastAsia="MS Mincho"/>
                <w:i/>
                <w:sz w:val="16"/>
                <w:szCs w:val="16"/>
                <w:lang w:eastAsia="ja-JP"/>
              </w:rPr>
            </w:pPr>
            <w:r w:rsidRPr="002B73ED">
              <w:rPr>
                <w:rFonts w:eastAsia="MS Mincho"/>
                <w:i/>
                <w:sz w:val="16"/>
                <w:szCs w:val="16"/>
                <w:lang w:eastAsia="ja-JP"/>
              </w:rPr>
              <w:t>…</w:t>
            </w:r>
          </w:p>
        </w:tc>
      </w:tr>
      <w:tr w:rsidR="00895001" w:rsidRPr="00F071DA" w14:paraId="44E4C7EF" w14:textId="77777777" w:rsidTr="006D4A81">
        <w:trPr>
          <w:trHeight w:val="240"/>
        </w:trPr>
        <w:tc>
          <w:tcPr>
            <w:tcW w:w="1026" w:type="pct"/>
            <w:shd w:val="clear" w:color="auto" w:fill="auto"/>
          </w:tcPr>
          <w:p w14:paraId="02ED0614" w14:textId="62BCBB00" w:rsidR="00895001" w:rsidRPr="00F071DA" w:rsidRDefault="00895001" w:rsidP="006D4A81">
            <w:pPr>
              <w:rPr>
                <w:b/>
                <w:sz w:val="18"/>
                <w:szCs w:val="18"/>
              </w:rPr>
            </w:pPr>
            <w:r w:rsidRPr="00EF45CF">
              <w:rPr>
                <w:b/>
                <w:i/>
                <w:sz w:val="18"/>
                <w:szCs w:val="18"/>
              </w:rPr>
              <w:t>Sector</w:t>
            </w:r>
            <w:r w:rsidRPr="005E05B8">
              <w:rPr>
                <w:i/>
                <w:sz w:val="18"/>
                <w:szCs w:val="18"/>
                <w:vertAlign w:val="superscript"/>
              </w:rPr>
              <w:t>g</w:t>
            </w:r>
            <w:r>
              <w:rPr>
                <w:i/>
                <w:sz w:val="18"/>
                <w:szCs w:val="18"/>
                <w:vertAlign w:val="superscript"/>
              </w:rPr>
              <w:t>,h</w:t>
            </w:r>
          </w:p>
        </w:tc>
        <w:tc>
          <w:tcPr>
            <w:tcW w:w="258" w:type="pct"/>
            <w:gridSpan w:val="2"/>
            <w:shd w:val="clear" w:color="auto" w:fill="auto"/>
          </w:tcPr>
          <w:p w14:paraId="5A0EE96F" w14:textId="77777777" w:rsidR="00895001" w:rsidRPr="00F071DA" w:rsidRDefault="00895001" w:rsidP="006D4A81">
            <w:pPr>
              <w:rPr>
                <w:sz w:val="18"/>
                <w:szCs w:val="18"/>
              </w:rPr>
            </w:pPr>
          </w:p>
        </w:tc>
        <w:tc>
          <w:tcPr>
            <w:tcW w:w="317" w:type="pct"/>
            <w:gridSpan w:val="3"/>
            <w:shd w:val="clear" w:color="auto" w:fill="auto"/>
          </w:tcPr>
          <w:p w14:paraId="091E1BB3" w14:textId="77777777" w:rsidR="00895001" w:rsidRPr="00F071DA" w:rsidRDefault="00895001" w:rsidP="006D4A81">
            <w:pPr>
              <w:rPr>
                <w:sz w:val="18"/>
                <w:szCs w:val="18"/>
              </w:rPr>
            </w:pPr>
          </w:p>
        </w:tc>
        <w:tc>
          <w:tcPr>
            <w:tcW w:w="317" w:type="pct"/>
            <w:gridSpan w:val="3"/>
            <w:shd w:val="clear" w:color="auto" w:fill="auto"/>
            <w:vAlign w:val="bottom"/>
          </w:tcPr>
          <w:p w14:paraId="63195A5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shd w:val="clear" w:color="auto" w:fill="auto"/>
            <w:vAlign w:val="bottom"/>
          </w:tcPr>
          <w:p w14:paraId="5EACDF2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28F8CF0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shd w:val="clear" w:color="auto" w:fill="auto"/>
            <w:vAlign w:val="bottom"/>
          </w:tcPr>
          <w:p w14:paraId="6C2C0C4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70E0B2F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Pr>
          <w:p w14:paraId="773FD65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shd w:val="clear" w:color="auto" w:fill="auto"/>
          </w:tcPr>
          <w:p w14:paraId="670EFBF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447363E9" w14:textId="77777777" w:rsidTr="006D4A81">
        <w:trPr>
          <w:gridAfter w:val="4"/>
          <w:wAfter w:w="1217" w:type="pct"/>
          <w:trHeight w:val="240"/>
        </w:trPr>
        <w:tc>
          <w:tcPr>
            <w:tcW w:w="1026" w:type="pct"/>
            <w:shd w:val="clear" w:color="auto" w:fill="auto"/>
          </w:tcPr>
          <w:p w14:paraId="17D7052D" w14:textId="77777777" w:rsidR="00895001" w:rsidRPr="00F071DA" w:rsidRDefault="00895001" w:rsidP="006D4A81">
            <w:pPr>
              <w:rPr>
                <w:sz w:val="18"/>
                <w:szCs w:val="18"/>
              </w:rPr>
            </w:pPr>
            <w:r w:rsidRPr="00F071DA">
              <w:rPr>
                <w:sz w:val="18"/>
                <w:szCs w:val="18"/>
              </w:rPr>
              <w:t>Energy</w:t>
            </w:r>
          </w:p>
        </w:tc>
        <w:tc>
          <w:tcPr>
            <w:tcW w:w="254" w:type="pct"/>
            <w:shd w:val="clear" w:color="auto" w:fill="auto"/>
          </w:tcPr>
          <w:p w14:paraId="2EEE51A9" w14:textId="77777777" w:rsidR="00895001" w:rsidRPr="00F071DA" w:rsidRDefault="00895001" w:rsidP="006D4A81">
            <w:pPr>
              <w:rPr>
                <w:sz w:val="18"/>
                <w:szCs w:val="18"/>
              </w:rPr>
            </w:pPr>
          </w:p>
        </w:tc>
        <w:tc>
          <w:tcPr>
            <w:tcW w:w="313" w:type="pct"/>
            <w:gridSpan w:val="3"/>
            <w:shd w:val="clear" w:color="auto" w:fill="auto"/>
          </w:tcPr>
          <w:p w14:paraId="07BF90B9" w14:textId="77777777" w:rsidR="00895001" w:rsidRPr="00F071DA" w:rsidRDefault="00895001" w:rsidP="006D4A81">
            <w:pPr>
              <w:rPr>
                <w:sz w:val="18"/>
                <w:szCs w:val="18"/>
              </w:rPr>
            </w:pPr>
          </w:p>
        </w:tc>
        <w:tc>
          <w:tcPr>
            <w:tcW w:w="313" w:type="pct"/>
            <w:gridSpan w:val="3"/>
            <w:shd w:val="clear" w:color="auto" w:fill="auto"/>
            <w:vAlign w:val="bottom"/>
          </w:tcPr>
          <w:p w14:paraId="5B1FB1E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3" w:type="pct"/>
            <w:gridSpan w:val="3"/>
            <w:shd w:val="clear" w:color="auto" w:fill="auto"/>
            <w:vAlign w:val="bottom"/>
          </w:tcPr>
          <w:p w14:paraId="69F869D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3" w:type="pct"/>
            <w:gridSpan w:val="3"/>
            <w:shd w:val="clear" w:color="auto" w:fill="auto"/>
            <w:vAlign w:val="bottom"/>
          </w:tcPr>
          <w:p w14:paraId="7A02550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3" w:type="pct"/>
            <w:gridSpan w:val="4"/>
            <w:shd w:val="clear" w:color="auto" w:fill="auto"/>
            <w:vAlign w:val="bottom"/>
          </w:tcPr>
          <w:p w14:paraId="468485D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3" w:type="pct"/>
            <w:gridSpan w:val="3"/>
            <w:shd w:val="clear" w:color="auto" w:fill="auto"/>
            <w:vAlign w:val="bottom"/>
          </w:tcPr>
          <w:p w14:paraId="650E9D6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3" w:type="pct"/>
            <w:gridSpan w:val="3"/>
          </w:tcPr>
          <w:p w14:paraId="7CBA847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3" w:type="pct"/>
            <w:gridSpan w:val="2"/>
            <w:shd w:val="clear" w:color="auto" w:fill="auto"/>
            <w:vAlign w:val="bottom"/>
          </w:tcPr>
          <w:p w14:paraId="1A798F1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55D17131" w14:textId="77777777" w:rsidTr="006D4A81">
        <w:trPr>
          <w:trHeight w:val="240"/>
        </w:trPr>
        <w:tc>
          <w:tcPr>
            <w:tcW w:w="1026" w:type="pct"/>
            <w:shd w:val="clear" w:color="auto" w:fill="auto"/>
          </w:tcPr>
          <w:p w14:paraId="19CCB378" w14:textId="77777777" w:rsidR="00895001" w:rsidRPr="00695316" w:rsidRDefault="00895001" w:rsidP="006D4A81">
            <w:pPr>
              <w:rPr>
                <w:sz w:val="18"/>
                <w:szCs w:val="18"/>
              </w:rPr>
            </w:pPr>
            <w:r w:rsidRPr="00695316">
              <w:rPr>
                <w:sz w:val="18"/>
                <w:szCs w:val="18"/>
              </w:rPr>
              <w:t>Transport</w:t>
            </w:r>
          </w:p>
        </w:tc>
        <w:tc>
          <w:tcPr>
            <w:tcW w:w="258" w:type="pct"/>
            <w:gridSpan w:val="2"/>
            <w:shd w:val="clear" w:color="auto" w:fill="auto"/>
          </w:tcPr>
          <w:p w14:paraId="5D0DC38E" w14:textId="77777777" w:rsidR="00895001" w:rsidRPr="00F071DA" w:rsidRDefault="00895001" w:rsidP="006D4A81">
            <w:pPr>
              <w:rPr>
                <w:sz w:val="18"/>
                <w:szCs w:val="18"/>
              </w:rPr>
            </w:pPr>
          </w:p>
        </w:tc>
        <w:tc>
          <w:tcPr>
            <w:tcW w:w="317" w:type="pct"/>
            <w:gridSpan w:val="3"/>
            <w:shd w:val="clear" w:color="auto" w:fill="auto"/>
          </w:tcPr>
          <w:p w14:paraId="74140AEE" w14:textId="77777777" w:rsidR="00895001" w:rsidRPr="00F071DA" w:rsidRDefault="00895001" w:rsidP="006D4A81">
            <w:pPr>
              <w:rPr>
                <w:sz w:val="18"/>
                <w:szCs w:val="18"/>
              </w:rPr>
            </w:pPr>
          </w:p>
        </w:tc>
        <w:tc>
          <w:tcPr>
            <w:tcW w:w="317" w:type="pct"/>
            <w:gridSpan w:val="3"/>
            <w:shd w:val="clear" w:color="auto" w:fill="auto"/>
            <w:vAlign w:val="bottom"/>
          </w:tcPr>
          <w:p w14:paraId="3FF43F5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shd w:val="clear" w:color="auto" w:fill="auto"/>
            <w:vAlign w:val="bottom"/>
          </w:tcPr>
          <w:p w14:paraId="182E3E8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41217FA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shd w:val="clear" w:color="auto" w:fill="auto"/>
            <w:vAlign w:val="bottom"/>
          </w:tcPr>
          <w:p w14:paraId="3D2C30B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6355DC0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Pr>
          <w:p w14:paraId="6FE6186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shd w:val="clear" w:color="auto" w:fill="auto"/>
            <w:vAlign w:val="bottom"/>
          </w:tcPr>
          <w:p w14:paraId="69434C4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42255C8C" w14:textId="77777777" w:rsidTr="006D4A81">
        <w:trPr>
          <w:trHeight w:val="240"/>
        </w:trPr>
        <w:tc>
          <w:tcPr>
            <w:tcW w:w="1026" w:type="pct"/>
            <w:tcBorders>
              <w:bottom w:val="nil"/>
            </w:tcBorders>
            <w:shd w:val="clear" w:color="auto" w:fill="auto"/>
          </w:tcPr>
          <w:p w14:paraId="5EF0503F" w14:textId="77777777" w:rsidR="00895001" w:rsidRPr="00695316" w:rsidRDefault="00895001" w:rsidP="006D4A81">
            <w:pPr>
              <w:rPr>
                <w:sz w:val="18"/>
                <w:szCs w:val="18"/>
              </w:rPr>
            </w:pPr>
            <w:r w:rsidRPr="00695316">
              <w:rPr>
                <w:sz w:val="18"/>
                <w:szCs w:val="18"/>
              </w:rPr>
              <w:t>Industry/industrial processes</w:t>
            </w:r>
            <w:r w:rsidRPr="00695316">
              <w:rPr>
                <w:rFonts w:eastAsia="Calibri"/>
                <w:sz w:val="24"/>
                <w:szCs w:val="24"/>
                <w:lang w:eastAsia="en-US"/>
              </w:rPr>
              <w:t xml:space="preserve"> </w:t>
            </w:r>
            <w:r w:rsidRPr="00695316">
              <w:rPr>
                <w:sz w:val="18"/>
                <w:szCs w:val="18"/>
              </w:rPr>
              <w:t>and product use</w:t>
            </w:r>
          </w:p>
        </w:tc>
        <w:tc>
          <w:tcPr>
            <w:tcW w:w="258" w:type="pct"/>
            <w:gridSpan w:val="2"/>
            <w:tcBorders>
              <w:bottom w:val="nil"/>
            </w:tcBorders>
            <w:shd w:val="clear" w:color="auto" w:fill="auto"/>
          </w:tcPr>
          <w:p w14:paraId="44436CDC" w14:textId="77777777" w:rsidR="00895001" w:rsidRPr="00F071DA" w:rsidRDefault="00895001" w:rsidP="006D4A81">
            <w:pPr>
              <w:rPr>
                <w:sz w:val="18"/>
                <w:szCs w:val="18"/>
              </w:rPr>
            </w:pPr>
          </w:p>
        </w:tc>
        <w:tc>
          <w:tcPr>
            <w:tcW w:w="317" w:type="pct"/>
            <w:gridSpan w:val="3"/>
            <w:tcBorders>
              <w:bottom w:val="nil"/>
            </w:tcBorders>
            <w:shd w:val="clear" w:color="auto" w:fill="auto"/>
          </w:tcPr>
          <w:p w14:paraId="69B403F1" w14:textId="77777777" w:rsidR="00895001" w:rsidRPr="00F071DA" w:rsidRDefault="00895001" w:rsidP="006D4A81">
            <w:pPr>
              <w:rPr>
                <w:sz w:val="18"/>
                <w:szCs w:val="18"/>
              </w:rPr>
            </w:pPr>
          </w:p>
        </w:tc>
        <w:tc>
          <w:tcPr>
            <w:tcW w:w="317" w:type="pct"/>
            <w:gridSpan w:val="3"/>
            <w:tcBorders>
              <w:bottom w:val="nil"/>
            </w:tcBorders>
            <w:shd w:val="clear" w:color="auto" w:fill="auto"/>
            <w:vAlign w:val="bottom"/>
          </w:tcPr>
          <w:p w14:paraId="3A08347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bottom w:val="nil"/>
            </w:tcBorders>
            <w:shd w:val="clear" w:color="auto" w:fill="auto"/>
            <w:vAlign w:val="bottom"/>
          </w:tcPr>
          <w:p w14:paraId="67D1224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bottom w:val="nil"/>
            </w:tcBorders>
            <w:shd w:val="clear" w:color="auto" w:fill="auto"/>
            <w:vAlign w:val="bottom"/>
          </w:tcPr>
          <w:p w14:paraId="5D1DCDD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tcBorders>
              <w:bottom w:val="nil"/>
            </w:tcBorders>
            <w:shd w:val="clear" w:color="auto" w:fill="auto"/>
            <w:vAlign w:val="bottom"/>
          </w:tcPr>
          <w:p w14:paraId="5B6ECA8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bottom w:val="nil"/>
            </w:tcBorders>
            <w:shd w:val="clear" w:color="auto" w:fill="auto"/>
            <w:vAlign w:val="bottom"/>
          </w:tcPr>
          <w:p w14:paraId="445DA9C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bottom w:val="nil"/>
            </w:tcBorders>
          </w:tcPr>
          <w:p w14:paraId="58477C0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tcBorders>
              <w:bottom w:val="nil"/>
            </w:tcBorders>
            <w:shd w:val="clear" w:color="auto" w:fill="auto"/>
            <w:vAlign w:val="bottom"/>
          </w:tcPr>
          <w:p w14:paraId="496EFE7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0776601B" w14:textId="77777777" w:rsidTr="006D4A81">
        <w:trPr>
          <w:trHeight w:val="240"/>
        </w:trPr>
        <w:tc>
          <w:tcPr>
            <w:tcW w:w="1026" w:type="pct"/>
            <w:tcBorders>
              <w:top w:val="nil"/>
              <w:bottom w:val="nil"/>
            </w:tcBorders>
            <w:shd w:val="clear" w:color="auto" w:fill="auto"/>
          </w:tcPr>
          <w:p w14:paraId="2E5C329D" w14:textId="77777777" w:rsidR="00895001" w:rsidRPr="00695316" w:rsidRDefault="00895001" w:rsidP="006D4A81">
            <w:pPr>
              <w:rPr>
                <w:sz w:val="18"/>
                <w:szCs w:val="18"/>
              </w:rPr>
            </w:pPr>
            <w:r w:rsidRPr="00695316">
              <w:rPr>
                <w:sz w:val="18"/>
                <w:szCs w:val="18"/>
              </w:rPr>
              <w:t>Agriculture</w:t>
            </w:r>
          </w:p>
        </w:tc>
        <w:tc>
          <w:tcPr>
            <w:tcW w:w="258" w:type="pct"/>
            <w:gridSpan w:val="2"/>
            <w:tcBorders>
              <w:top w:val="nil"/>
              <w:bottom w:val="nil"/>
            </w:tcBorders>
            <w:shd w:val="clear" w:color="auto" w:fill="auto"/>
          </w:tcPr>
          <w:p w14:paraId="220E7D04" w14:textId="77777777" w:rsidR="00895001" w:rsidRPr="00F071DA" w:rsidRDefault="00895001" w:rsidP="006D4A81">
            <w:pPr>
              <w:rPr>
                <w:sz w:val="18"/>
                <w:szCs w:val="18"/>
              </w:rPr>
            </w:pPr>
          </w:p>
        </w:tc>
        <w:tc>
          <w:tcPr>
            <w:tcW w:w="317" w:type="pct"/>
            <w:gridSpan w:val="3"/>
            <w:tcBorders>
              <w:top w:val="nil"/>
              <w:bottom w:val="nil"/>
            </w:tcBorders>
            <w:shd w:val="clear" w:color="auto" w:fill="auto"/>
          </w:tcPr>
          <w:p w14:paraId="20DEBCF9" w14:textId="77777777" w:rsidR="00895001" w:rsidRPr="00F071DA" w:rsidRDefault="00895001" w:rsidP="006D4A81">
            <w:pPr>
              <w:rPr>
                <w:sz w:val="18"/>
                <w:szCs w:val="18"/>
              </w:rPr>
            </w:pPr>
          </w:p>
        </w:tc>
        <w:tc>
          <w:tcPr>
            <w:tcW w:w="317" w:type="pct"/>
            <w:gridSpan w:val="3"/>
            <w:tcBorders>
              <w:top w:val="nil"/>
              <w:bottom w:val="nil"/>
            </w:tcBorders>
            <w:shd w:val="clear" w:color="auto" w:fill="auto"/>
            <w:vAlign w:val="bottom"/>
          </w:tcPr>
          <w:p w14:paraId="1C0470F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top w:val="nil"/>
              <w:bottom w:val="nil"/>
            </w:tcBorders>
            <w:shd w:val="clear" w:color="auto" w:fill="auto"/>
            <w:vAlign w:val="bottom"/>
          </w:tcPr>
          <w:p w14:paraId="716EFC7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top w:val="nil"/>
              <w:bottom w:val="nil"/>
            </w:tcBorders>
            <w:shd w:val="clear" w:color="auto" w:fill="auto"/>
            <w:vAlign w:val="bottom"/>
          </w:tcPr>
          <w:p w14:paraId="49D82C4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tcBorders>
              <w:top w:val="nil"/>
              <w:bottom w:val="nil"/>
            </w:tcBorders>
            <w:shd w:val="clear" w:color="auto" w:fill="auto"/>
            <w:vAlign w:val="bottom"/>
          </w:tcPr>
          <w:p w14:paraId="0528ACB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top w:val="nil"/>
              <w:bottom w:val="nil"/>
            </w:tcBorders>
            <w:shd w:val="clear" w:color="auto" w:fill="auto"/>
            <w:vAlign w:val="bottom"/>
          </w:tcPr>
          <w:p w14:paraId="0475BB8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top w:val="nil"/>
              <w:bottom w:val="nil"/>
            </w:tcBorders>
          </w:tcPr>
          <w:p w14:paraId="33A8BB0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tcBorders>
              <w:top w:val="nil"/>
              <w:bottom w:val="nil"/>
            </w:tcBorders>
            <w:shd w:val="clear" w:color="auto" w:fill="auto"/>
            <w:vAlign w:val="bottom"/>
          </w:tcPr>
          <w:p w14:paraId="6B1B0AB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57239B49" w14:textId="77777777" w:rsidTr="006D4A81">
        <w:trPr>
          <w:trHeight w:val="240"/>
        </w:trPr>
        <w:tc>
          <w:tcPr>
            <w:tcW w:w="1026" w:type="pct"/>
            <w:tcBorders>
              <w:top w:val="nil"/>
            </w:tcBorders>
            <w:shd w:val="clear" w:color="auto" w:fill="auto"/>
          </w:tcPr>
          <w:p w14:paraId="63518EA6" w14:textId="77777777" w:rsidR="00895001" w:rsidRPr="00F071DA" w:rsidRDefault="00895001" w:rsidP="006D4A81">
            <w:pPr>
              <w:rPr>
                <w:sz w:val="18"/>
                <w:szCs w:val="18"/>
              </w:rPr>
            </w:pPr>
            <w:r w:rsidRPr="00F071DA">
              <w:rPr>
                <w:sz w:val="18"/>
                <w:szCs w:val="18"/>
              </w:rPr>
              <w:t xml:space="preserve">Forestry/LULUCF </w:t>
            </w:r>
          </w:p>
        </w:tc>
        <w:tc>
          <w:tcPr>
            <w:tcW w:w="258" w:type="pct"/>
            <w:gridSpan w:val="2"/>
            <w:tcBorders>
              <w:top w:val="nil"/>
            </w:tcBorders>
            <w:shd w:val="clear" w:color="auto" w:fill="auto"/>
          </w:tcPr>
          <w:p w14:paraId="4ADA61E7" w14:textId="77777777" w:rsidR="00895001" w:rsidRPr="00F071DA" w:rsidRDefault="00895001" w:rsidP="006D4A81">
            <w:pPr>
              <w:rPr>
                <w:sz w:val="18"/>
                <w:szCs w:val="18"/>
              </w:rPr>
            </w:pPr>
          </w:p>
        </w:tc>
        <w:tc>
          <w:tcPr>
            <w:tcW w:w="317" w:type="pct"/>
            <w:gridSpan w:val="3"/>
            <w:tcBorders>
              <w:top w:val="nil"/>
            </w:tcBorders>
            <w:shd w:val="clear" w:color="auto" w:fill="auto"/>
          </w:tcPr>
          <w:p w14:paraId="36EAAE77" w14:textId="77777777" w:rsidR="00895001" w:rsidRPr="00F071DA" w:rsidRDefault="00895001" w:rsidP="006D4A81">
            <w:pPr>
              <w:rPr>
                <w:sz w:val="18"/>
                <w:szCs w:val="18"/>
              </w:rPr>
            </w:pPr>
          </w:p>
        </w:tc>
        <w:tc>
          <w:tcPr>
            <w:tcW w:w="317" w:type="pct"/>
            <w:gridSpan w:val="3"/>
            <w:tcBorders>
              <w:top w:val="nil"/>
            </w:tcBorders>
            <w:shd w:val="clear" w:color="auto" w:fill="auto"/>
            <w:vAlign w:val="bottom"/>
          </w:tcPr>
          <w:p w14:paraId="6433D30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top w:val="nil"/>
            </w:tcBorders>
            <w:shd w:val="clear" w:color="auto" w:fill="auto"/>
            <w:vAlign w:val="bottom"/>
          </w:tcPr>
          <w:p w14:paraId="3332F46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top w:val="nil"/>
            </w:tcBorders>
            <w:shd w:val="clear" w:color="auto" w:fill="auto"/>
            <w:vAlign w:val="bottom"/>
          </w:tcPr>
          <w:p w14:paraId="44D6025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tcBorders>
              <w:top w:val="nil"/>
            </w:tcBorders>
            <w:shd w:val="clear" w:color="auto" w:fill="auto"/>
            <w:vAlign w:val="bottom"/>
          </w:tcPr>
          <w:p w14:paraId="6125441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top w:val="nil"/>
            </w:tcBorders>
            <w:shd w:val="clear" w:color="auto" w:fill="auto"/>
            <w:vAlign w:val="bottom"/>
          </w:tcPr>
          <w:p w14:paraId="6DB1D07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top w:val="nil"/>
            </w:tcBorders>
          </w:tcPr>
          <w:p w14:paraId="5997423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tcBorders>
              <w:top w:val="nil"/>
            </w:tcBorders>
            <w:shd w:val="clear" w:color="auto" w:fill="auto"/>
            <w:vAlign w:val="bottom"/>
          </w:tcPr>
          <w:p w14:paraId="1AD421D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42110592" w14:textId="77777777" w:rsidTr="006D4A81">
        <w:trPr>
          <w:trHeight w:val="240"/>
        </w:trPr>
        <w:tc>
          <w:tcPr>
            <w:tcW w:w="1026" w:type="pct"/>
            <w:shd w:val="clear" w:color="auto" w:fill="auto"/>
          </w:tcPr>
          <w:p w14:paraId="0C09195D" w14:textId="77777777" w:rsidR="00895001" w:rsidRPr="00F071DA" w:rsidRDefault="00895001" w:rsidP="006D4A81">
            <w:pPr>
              <w:rPr>
                <w:sz w:val="18"/>
                <w:szCs w:val="18"/>
              </w:rPr>
            </w:pPr>
            <w:r w:rsidRPr="00F071DA">
              <w:rPr>
                <w:sz w:val="18"/>
                <w:szCs w:val="18"/>
              </w:rPr>
              <w:t xml:space="preserve">Waste management/waste </w:t>
            </w:r>
          </w:p>
        </w:tc>
        <w:tc>
          <w:tcPr>
            <w:tcW w:w="258" w:type="pct"/>
            <w:gridSpan w:val="2"/>
            <w:shd w:val="clear" w:color="auto" w:fill="auto"/>
          </w:tcPr>
          <w:p w14:paraId="541EB018" w14:textId="77777777" w:rsidR="00895001" w:rsidRPr="00F071DA" w:rsidRDefault="00895001" w:rsidP="006D4A81">
            <w:pPr>
              <w:rPr>
                <w:sz w:val="18"/>
                <w:szCs w:val="18"/>
              </w:rPr>
            </w:pPr>
          </w:p>
        </w:tc>
        <w:tc>
          <w:tcPr>
            <w:tcW w:w="317" w:type="pct"/>
            <w:gridSpan w:val="3"/>
            <w:shd w:val="clear" w:color="auto" w:fill="auto"/>
          </w:tcPr>
          <w:p w14:paraId="3856621C" w14:textId="77777777" w:rsidR="00895001" w:rsidRPr="00F071DA" w:rsidRDefault="00895001" w:rsidP="006D4A81">
            <w:pPr>
              <w:rPr>
                <w:sz w:val="18"/>
                <w:szCs w:val="18"/>
              </w:rPr>
            </w:pPr>
          </w:p>
        </w:tc>
        <w:tc>
          <w:tcPr>
            <w:tcW w:w="317" w:type="pct"/>
            <w:gridSpan w:val="3"/>
            <w:shd w:val="clear" w:color="auto" w:fill="auto"/>
            <w:vAlign w:val="bottom"/>
          </w:tcPr>
          <w:p w14:paraId="64FE9A6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shd w:val="clear" w:color="auto" w:fill="auto"/>
            <w:vAlign w:val="bottom"/>
          </w:tcPr>
          <w:p w14:paraId="167606C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48EFFF2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shd w:val="clear" w:color="auto" w:fill="auto"/>
            <w:vAlign w:val="bottom"/>
          </w:tcPr>
          <w:p w14:paraId="3A1D423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0F82A5F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Pr>
          <w:p w14:paraId="2225574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shd w:val="clear" w:color="auto" w:fill="auto"/>
            <w:vAlign w:val="bottom"/>
          </w:tcPr>
          <w:p w14:paraId="0D92569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094F05A9" w14:textId="77777777" w:rsidTr="006D4A81">
        <w:trPr>
          <w:trHeight w:val="240"/>
        </w:trPr>
        <w:tc>
          <w:tcPr>
            <w:tcW w:w="1026" w:type="pct"/>
            <w:tcBorders>
              <w:bottom w:val="single" w:sz="4" w:space="0" w:color="auto"/>
            </w:tcBorders>
            <w:shd w:val="clear" w:color="auto" w:fill="auto"/>
          </w:tcPr>
          <w:p w14:paraId="220F91A6" w14:textId="77777777" w:rsidR="00895001" w:rsidRPr="00F071DA" w:rsidRDefault="00895001" w:rsidP="006D4A81">
            <w:pPr>
              <w:rPr>
                <w:sz w:val="18"/>
                <w:szCs w:val="18"/>
              </w:rPr>
            </w:pPr>
            <w:r w:rsidRPr="00F071DA">
              <w:rPr>
                <w:sz w:val="18"/>
                <w:szCs w:val="18"/>
              </w:rPr>
              <w:t xml:space="preserve">Other (specify) </w:t>
            </w:r>
          </w:p>
        </w:tc>
        <w:tc>
          <w:tcPr>
            <w:tcW w:w="258" w:type="pct"/>
            <w:gridSpan w:val="2"/>
            <w:tcBorders>
              <w:bottom w:val="single" w:sz="4" w:space="0" w:color="auto"/>
            </w:tcBorders>
            <w:shd w:val="clear" w:color="auto" w:fill="auto"/>
          </w:tcPr>
          <w:p w14:paraId="4A535E74" w14:textId="77777777" w:rsidR="00895001" w:rsidRPr="00F071DA" w:rsidRDefault="00895001" w:rsidP="006D4A81">
            <w:pPr>
              <w:rPr>
                <w:sz w:val="18"/>
                <w:szCs w:val="18"/>
              </w:rPr>
            </w:pPr>
          </w:p>
        </w:tc>
        <w:tc>
          <w:tcPr>
            <w:tcW w:w="317" w:type="pct"/>
            <w:gridSpan w:val="3"/>
            <w:tcBorders>
              <w:bottom w:val="single" w:sz="4" w:space="0" w:color="auto"/>
            </w:tcBorders>
            <w:shd w:val="clear" w:color="auto" w:fill="auto"/>
          </w:tcPr>
          <w:p w14:paraId="7B5B571D" w14:textId="77777777" w:rsidR="00895001" w:rsidRPr="00F071DA" w:rsidRDefault="00895001" w:rsidP="006D4A81">
            <w:pPr>
              <w:rPr>
                <w:sz w:val="18"/>
                <w:szCs w:val="18"/>
              </w:rPr>
            </w:pPr>
          </w:p>
        </w:tc>
        <w:tc>
          <w:tcPr>
            <w:tcW w:w="317" w:type="pct"/>
            <w:gridSpan w:val="3"/>
            <w:tcBorders>
              <w:bottom w:val="single" w:sz="4" w:space="0" w:color="auto"/>
            </w:tcBorders>
            <w:shd w:val="clear" w:color="auto" w:fill="auto"/>
            <w:vAlign w:val="bottom"/>
          </w:tcPr>
          <w:p w14:paraId="7A29DE9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bottom w:val="single" w:sz="4" w:space="0" w:color="auto"/>
            </w:tcBorders>
            <w:shd w:val="clear" w:color="auto" w:fill="auto"/>
            <w:vAlign w:val="bottom"/>
          </w:tcPr>
          <w:p w14:paraId="334DCFE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bottom w:val="single" w:sz="4" w:space="0" w:color="auto"/>
            </w:tcBorders>
            <w:shd w:val="clear" w:color="auto" w:fill="auto"/>
            <w:vAlign w:val="bottom"/>
          </w:tcPr>
          <w:p w14:paraId="4B2CB00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tcBorders>
              <w:bottom w:val="single" w:sz="4" w:space="0" w:color="auto"/>
            </w:tcBorders>
            <w:shd w:val="clear" w:color="auto" w:fill="auto"/>
            <w:vAlign w:val="bottom"/>
          </w:tcPr>
          <w:p w14:paraId="0C6A96E0"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bottom w:val="single" w:sz="4" w:space="0" w:color="auto"/>
            </w:tcBorders>
            <w:shd w:val="clear" w:color="auto" w:fill="auto"/>
            <w:vAlign w:val="bottom"/>
          </w:tcPr>
          <w:p w14:paraId="702AD30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bottom w:val="single" w:sz="4" w:space="0" w:color="auto"/>
            </w:tcBorders>
          </w:tcPr>
          <w:p w14:paraId="35EEDAE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tcBorders>
              <w:bottom w:val="single" w:sz="4" w:space="0" w:color="auto"/>
            </w:tcBorders>
            <w:shd w:val="clear" w:color="auto" w:fill="auto"/>
            <w:vAlign w:val="bottom"/>
          </w:tcPr>
          <w:p w14:paraId="2751D46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4FA56A9C" w14:textId="77777777" w:rsidTr="006D4A81">
        <w:trPr>
          <w:trHeight w:val="240"/>
        </w:trPr>
        <w:tc>
          <w:tcPr>
            <w:tcW w:w="1026" w:type="pct"/>
            <w:tcBorders>
              <w:top w:val="single" w:sz="4" w:space="0" w:color="auto"/>
            </w:tcBorders>
            <w:shd w:val="clear" w:color="auto" w:fill="auto"/>
          </w:tcPr>
          <w:p w14:paraId="3798D061" w14:textId="77777777" w:rsidR="00895001" w:rsidRPr="00EF45CF" w:rsidRDefault="00895001" w:rsidP="006D4A81">
            <w:pPr>
              <w:rPr>
                <w:b/>
                <w:i/>
                <w:sz w:val="18"/>
                <w:szCs w:val="18"/>
              </w:rPr>
            </w:pPr>
            <w:r w:rsidRPr="00EF45CF">
              <w:rPr>
                <w:b/>
                <w:i/>
                <w:sz w:val="18"/>
                <w:szCs w:val="18"/>
              </w:rPr>
              <w:t xml:space="preserve">Gas </w:t>
            </w:r>
          </w:p>
        </w:tc>
        <w:tc>
          <w:tcPr>
            <w:tcW w:w="258" w:type="pct"/>
            <w:gridSpan w:val="2"/>
            <w:tcBorders>
              <w:top w:val="single" w:sz="4" w:space="0" w:color="auto"/>
            </w:tcBorders>
            <w:shd w:val="clear" w:color="auto" w:fill="auto"/>
          </w:tcPr>
          <w:p w14:paraId="7C7EE49D" w14:textId="77777777" w:rsidR="00895001" w:rsidRPr="00F071DA" w:rsidRDefault="00895001" w:rsidP="006D4A81">
            <w:pPr>
              <w:rPr>
                <w:sz w:val="18"/>
                <w:szCs w:val="18"/>
              </w:rPr>
            </w:pPr>
          </w:p>
        </w:tc>
        <w:tc>
          <w:tcPr>
            <w:tcW w:w="317" w:type="pct"/>
            <w:gridSpan w:val="3"/>
            <w:tcBorders>
              <w:top w:val="single" w:sz="4" w:space="0" w:color="auto"/>
            </w:tcBorders>
            <w:shd w:val="clear" w:color="auto" w:fill="auto"/>
          </w:tcPr>
          <w:p w14:paraId="2B1550E6" w14:textId="77777777" w:rsidR="00895001" w:rsidRPr="00F071DA" w:rsidRDefault="00895001" w:rsidP="006D4A81">
            <w:pPr>
              <w:rPr>
                <w:sz w:val="18"/>
                <w:szCs w:val="18"/>
              </w:rPr>
            </w:pPr>
          </w:p>
        </w:tc>
        <w:tc>
          <w:tcPr>
            <w:tcW w:w="317" w:type="pct"/>
            <w:gridSpan w:val="3"/>
            <w:tcBorders>
              <w:top w:val="single" w:sz="4" w:space="0" w:color="auto"/>
            </w:tcBorders>
            <w:shd w:val="clear" w:color="auto" w:fill="auto"/>
            <w:vAlign w:val="bottom"/>
          </w:tcPr>
          <w:p w14:paraId="6BCD56C0"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top w:val="single" w:sz="4" w:space="0" w:color="auto"/>
            </w:tcBorders>
            <w:shd w:val="clear" w:color="auto" w:fill="auto"/>
            <w:vAlign w:val="bottom"/>
          </w:tcPr>
          <w:p w14:paraId="3F8603B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top w:val="single" w:sz="4" w:space="0" w:color="auto"/>
            </w:tcBorders>
            <w:shd w:val="clear" w:color="auto" w:fill="auto"/>
            <w:vAlign w:val="bottom"/>
          </w:tcPr>
          <w:p w14:paraId="1349D9B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tcBorders>
              <w:top w:val="single" w:sz="4" w:space="0" w:color="auto"/>
            </w:tcBorders>
            <w:shd w:val="clear" w:color="auto" w:fill="auto"/>
            <w:vAlign w:val="bottom"/>
          </w:tcPr>
          <w:p w14:paraId="13318DC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tcBorders>
              <w:top w:val="single" w:sz="4" w:space="0" w:color="auto"/>
            </w:tcBorders>
            <w:shd w:val="clear" w:color="auto" w:fill="auto"/>
            <w:vAlign w:val="bottom"/>
          </w:tcPr>
          <w:p w14:paraId="6F18FEC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Borders>
              <w:top w:val="single" w:sz="4" w:space="0" w:color="auto"/>
            </w:tcBorders>
          </w:tcPr>
          <w:p w14:paraId="2CF22EC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tcBorders>
              <w:top w:val="single" w:sz="4" w:space="0" w:color="auto"/>
            </w:tcBorders>
            <w:shd w:val="clear" w:color="auto" w:fill="auto"/>
            <w:vAlign w:val="bottom"/>
          </w:tcPr>
          <w:p w14:paraId="61FA052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62D6A339" w14:textId="77777777" w:rsidTr="006D4A81">
        <w:trPr>
          <w:trHeight w:val="240"/>
        </w:trPr>
        <w:tc>
          <w:tcPr>
            <w:tcW w:w="1026" w:type="pct"/>
            <w:shd w:val="clear" w:color="auto" w:fill="auto"/>
          </w:tcPr>
          <w:p w14:paraId="17F7C5A8" w14:textId="77777777" w:rsidR="00895001" w:rsidRPr="00F071DA" w:rsidRDefault="00895001" w:rsidP="006D4A81">
            <w:pPr>
              <w:rPr>
                <w:sz w:val="18"/>
                <w:szCs w:val="18"/>
              </w:rPr>
            </w:pPr>
            <w:r w:rsidRPr="00F071DA">
              <w:rPr>
                <w:sz w:val="18"/>
                <w:szCs w:val="18"/>
              </w:rPr>
              <w:t>CO</w:t>
            </w:r>
            <w:r w:rsidRPr="00F071DA">
              <w:rPr>
                <w:sz w:val="18"/>
                <w:szCs w:val="18"/>
                <w:vertAlign w:val="subscript"/>
              </w:rPr>
              <w:t>2</w:t>
            </w:r>
            <w:r w:rsidRPr="00F071DA">
              <w:rPr>
                <w:sz w:val="18"/>
                <w:szCs w:val="18"/>
              </w:rPr>
              <w:t xml:space="preserve"> emissions including net CO</w:t>
            </w:r>
            <w:r w:rsidRPr="00F071DA">
              <w:rPr>
                <w:sz w:val="18"/>
                <w:szCs w:val="18"/>
                <w:vertAlign w:val="subscript"/>
              </w:rPr>
              <w:t xml:space="preserve">2 </w:t>
            </w:r>
            <w:r w:rsidRPr="00F071DA">
              <w:rPr>
                <w:sz w:val="18"/>
                <w:szCs w:val="18"/>
              </w:rPr>
              <w:t>from LULUCF</w:t>
            </w:r>
          </w:p>
        </w:tc>
        <w:tc>
          <w:tcPr>
            <w:tcW w:w="258" w:type="pct"/>
            <w:gridSpan w:val="2"/>
            <w:shd w:val="clear" w:color="auto" w:fill="auto"/>
          </w:tcPr>
          <w:p w14:paraId="17666F7D" w14:textId="77777777" w:rsidR="00895001" w:rsidRPr="00F071DA" w:rsidRDefault="00895001" w:rsidP="006D4A81">
            <w:pPr>
              <w:rPr>
                <w:sz w:val="18"/>
                <w:szCs w:val="18"/>
              </w:rPr>
            </w:pPr>
          </w:p>
        </w:tc>
        <w:tc>
          <w:tcPr>
            <w:tcW w:w="317" w:type="pct"/>
            <w:gridSpan w:val="3"/>
            <w:shd w:val="clear" w:color="auto" w:fill="auto"/>
          </w:tcPr>
          <w:p w14:paraId="4FCFBD64" w14:textId="77777777" w:rsidR="00895001" w:rsidRPr="00F071DA" w:rsidRDefault="00895001" w:rsidP="006D4A81">
            <w:pPr>
              <w:rPr>
                <w:sz w:val="18"/>
                <w:szCs w:val="18"/>
              </w:rPr>
            </w:pPr>
          </w:p>
        </w:tc>
        <w:tc>
          <w:tcPr>
            <w:tcW w:w="317" w:type="pct"/>
            <w:gridSpan w:val="3"/>
            <w:shd w:val="clear" w:color="auto" w:fill="auto"/>
            <w:vAlign w:val="bottom"/>
          </w:tcPr>
          <w:p w14:paraId="6FA17AE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shd w:val="clear" w:color="auto" w:fill="auto"/>
            <w:vAlign w:val="bottom"/>
          </w:tcPr>
          <w:p w14:paraId="20F48DA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60EB90F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shd w:val="clear" w:color="auto" w:fill="auto"/>
            <w:vAlign w:val="bottom"/>
          </w:tcPr>
          <w:p w14:paraId="482453C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34ADE3A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Pr>
          <w:p w14:paraId="0E03AE5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shd w:val="clear" w:color="auto" w:fill="auto"/>
            <w:vAlign w:val="bottom"/>
          </w:tcPr>
          <w:p w14:paraId="3E44720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6A83C34E" w14:textId="77777777" w:rsidTr="006D4A81">
        <w:trPr>
          <w:trHeight w:val="240"/>
        </w:trPr>
        <w:tc>
          <w:tcPr>
            <w:tcW w:w="1026" w:type="pct"/>
            <w:shd w:val="clear" w:color="auto" w:fill="auto"/>
          </w:tcPr>
          <w:p w14:paraId="5F409C25" w14:textId="77777777" w:rsidR="00895001" w:rsidRPr="00F071DA" w:rsidRDefault="00895001" w:rsidP="006D4A81">
            <w:pPr>
              <w:rPr>
                <w:sz w:val="18"/>
                <w:szCs w:val="18"/>
              </w:rPr>
            </w:pPr>
            <w:r w:rsidRPr="00F071DA">
              <w:rPr>
                <w:sz w:val="18"/>
                <w:szCs w:val="18"/>
              </w:rPr>
              <w:t>CO</w:t>
            </w:r>
            <w:r w:rsidRPr="00F071DA">
              <w:rPr>
                <w:sz w:val="18"/>
                <w:szCs w:val="18"/>
                <w:vertAlign w:val="subscript"/>
              </w:rPr>
              <w:t>2</w:t>
            </w:r>
            <w:r w:rsidRPr="00F071DA">
              <w:rPr>
                <w:sz w:val="18"/>
                <w:szCs w:val="18"/>
              </w:rPr>
              <w:t xml:space="preserve"> emissions excluding net CO</w:t>
            </w:r>
            <w:r w:rsidRPr="00F071DA">
              <w:rPr>
                <w:sz w:val="18"/>
                <w:szCs w:val="18"/>
                <w:vertAlign w:val="subscript"/>
              </w:rPr>
              <w:t>2</w:t>
            </w:r>
            <w:r w:rsidRPr="00F071DA">
              <w:rPr>
                <w:sz w:val="18"/>
                <w:szCs w:val="18"/>
              </w:rPr>
              <w:t xml:space="preserve"> from LULUCF</w:t>
            </w:r>
          </w:p>
        </w:tc>
        <w:tc>
          <w:tcPr>
            <w:tcW w:w="258" w:type="pct"/>
            <w:gridSpan w:val="2"/>
            <w:shd w:val="clear" w:color="auto" w:fill="auto"/>
          </w:tcPr>
          <w:p w14:paraId="4CB31A7F" w14:textId="77777777" w:rsidR="00895001" w:rsidRPr="00F071DA" w:rsidRDefault="00895001" w:rsidP="006D4A81">
            <w:pPr>
              <w:rPr>
                <w:sz w:val="18"/>
                <w:szCs w:val="18"/>
              </w:rPr>
            </w:pPr>
          </w:p>
        </w:tc>
        <w:tc>
          <w:tcPr>
            <w:tcW w:w="317" w:type="pct"/>
            <w:gridSpan w:val="3"/>
            <w:shd w:val="clear" w:color="auto" w:fill="auto"/>
          </w:tcPr>
          <w:p w14:paraId="0E0C58ED" w14:textId="77777777" w:rsidR="00895001" w:rsidRPr="00F071DA" w:rsidRDefault="00895001" w:rsidP="006D4A81">
            <w:pPr>
              <w:rPr>
                <w:sz w:val="18"/>
                <w:szCs w:val="18"/>
              </w:rPr>
            </w:pPr>
          </w:p>
        </w:tc>
        <w:tc>
          <w:tcPr>
            <w:tcW w:w="317" w:type="pct"/>
            <w:gridSpan w:val="3"/>
            <w:shd w:val="clear" w:color="auto" w:fill="auto"/>
            <w:vAlign w:val="bottom"/>
          </w:tcPr>
          <w:p w14:paraId="0ABC26F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shd w:val="clear" w:color="auto" w:fill="auto"/>
            <w:vAlign w:val="bottom"/>
          </w:tcPr>
          <w:p w14:paraId="6F2F5AF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06C0DCD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9" w:type="pct"/>
            <w:gridSpan w:val="4"/>
            <w:shd w:val="clear" w:color="auto" w:fill="auto"/>
            <w:vAlign w:val="bottom"/>
          </w:tcPr>
          <w:p w14:paraId="2FE5FA2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7" w:type="pct"/>
            <w:gridSpan w:val="3"/>
            <w:shd w:val="clear" w:color="auto" w:fill="auto"/>
            <w:vAlign w:val="bottom"/>
          </w:tcPr>
          <w:p w14:paraId="24BA8B4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318" w:type="pct"/>
            <w:gridSpan w:val="3"/>
          </w:tcPr>
          <w:p w14:paraId="237DE5D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c>
          <w:tcPr>
            <w:tcW w:w="1494" w:type="pct"/>
            <w:gridSpan w:val="5"/>
            <w:shd w:val="clear" w:color="auto" w:fill="auto"/>
            <w:vAlign w:val="bottom"/>
          </w:tcPr>
          <w:p w14:paraId="2FE7CBD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szCs w:val="18"/>
                <w:lang w:eastAsia="ja-JP"/>
              </w:rPr>
            </w:pPr>
          </w:p>
        </w:tc>
      </w:tr>
      <w:tr w:rsidR="00895001" w:rsidRPr="00F071DA" w14:paraId="6EFB2FFA" w14:textId="77777777" w:rsidTr="006D4A81">
        <w:trPr>
          <w:trHeight w:val="240"/>
        </w:trPr>
        <w:tc>
          <w:tcPr>
            <w:tcW w:w="1026" w:type="pct"/>
            <w:tcBorders>
              <w:top w:val="nil"/>
            </w:tcBorders>
            <w:shd w:val="clear" w:color="auto" w:fill="auto"/>
          </w:tcPr>
          <w:p w14:paraId="5BE87D1F" w14:textId="77777777" w:rsidR="00895001" w:rsidRPr="00F071DA" w:rsidRDefault="00895001" w:rsidP="006D4A81">
            <w:pPr>
              <w:rPr>
                <w:sz w:val="18"/>
                <w:szCs w:val="18"/>
              </w:rPr>
            </w:pPr>
            <w:r w:rsidRPr="00F071DA">
              <w:rPr>
                <w:sz w:val="18"/>
                <w:szCs w:val="18"/>
              </w:rPr>
              <w:t>CH</w:t>
            </w:r>
            <w:r w:rsidRPr="00F071DA">
              <w:rPr>
                <w:sz w:val="18"/>
                <w:szCs w:val="18"/>
                <w:vertAlign w:val="subscript"/>
              </w:rPr>
              <w:t>4</w:t>
            </w:r>
            <w:r w:rsidRPr="00F071DA">
              <w:rPr>
                <w:sz w:val="18"/>
                <w:szCs w:val="18"/>
              </w:rPr>
              <w:t xml:space="preserve"> emissions including CH</w:t>
            </w:r>
            <w:r w:rsidRPr="00F071DA">
              <w:rPr>
                <w:sz w:val="18"/>
                <w:szCs w:val="18"/>
                <w:vertAlign w:val="subscript"/>
              </w:rPr>
              <w:t>4</w:t>
            </w:r>
            <w:r w:rsidRPr="00F071DA">
              <w:rPr>
                <w:sz w:val="18"/>
                <w:szCs w:val="18"/>
              </w:rPr>
              <w:t xml:space="preserve"> from LULUCF</w:t>
            </w:r>
          </w:p>
        </w:tc>
        <w:tc>
          <w:tcPr>
            <w:tcW w:w="258" w:type="pct"/>
            <w:gridSpan w:val="2"/>
            <w:tcBorders>
              <w:top w:val="nil"/>
            </w:tcBorders>
            <w:shd w:val="clear" w:color="auto" w:fill="auto"/>
          </w:tcPr>
          <w:p w14:paraId="0114FCC9" w14:textId="77777777" w:rsidR="00895001" w:rsidRPr="00F071DA" w:rsidRDefault="00895001" w:rsidP="006D4A81">
            <w:pPr>
              <w:rPr>
                <w:sz w:val="18"/>
                <w:szCs w:val="18"/>
              </w:rPr>
            </w:pPr>
          </w:p>
        </w:tc>
        <w:tc>
          <w:tcPr>
            <w:tcW w:w="317" w:type="pct"/>
            <w:gridSpan w:val="3"/>
            <w:tcBorders>
              <w:top w:val="nil"/>
            </w:tcBorders>
            <w:shd w:val="clear" w:color="auto" w:fill="auto"/>
          </w:tcPr>
          <w:p w14:paraId="1D325B6D" w14:textId="77777777" w:rsidR="00895001" w:rsidRPr="00F071DA" w:rsidRDefault="00895001" w:rsidP="006D4A81">
            <w:pPr>
              <w:rPr>
                <w:sz w:val="18"/>
                <w:szCs w:val="18"/>
              </w:rPr>
            </w:pPr>
          </w:p>
        </w:tc>
        <w:tc>
          <w:tcPr>
            <w:tcW w:w="317" w:type="pct"/>
            <w:gridSpan w:val="3"/>
            <w:tcBorders>
              <w:top w:val="nil"/>
            </w:tcBorders>
            <w:shd w:val="clear" w:color="auto" w:fill="auto"/>
            <w:vAlign w:val="bottom"/>
          </w:tcPr>
          <w:p w14:paraId="2FEA251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8" w:type="pct"/>
            <w:gridSpan w:val="3"/>
            <w:tcBorders>
              <w:top w:val="nil"/>
            </w:tcBorders>
            <w:shd w:val="clear" w:color="auto" w:fill="auto"/>
            <w:vAlign w:val="bottom"/>
          </w:tcPr>
          <w:p w14:paraId="449E979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7" w:type="pct"/>
            <w:gridSpan w:val="3"/>
            <w:tcBorders>
              <w:top w:val="nil"/>
            </w:tcBorders>
            <w:shd w:val="clear" w:color="auto" w:fill="auto"/>
            <w:vAlign w:val="bottom"/>
          </w:tcPr>
          <w:p w14:paraId="1329AFE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9" w:type="pct"/>
            <w:gridSpan w:val="4"/>
            <w:tcBorders>
              <w:top w:val="nil"/>
            </w:tcBorders>
            <w:shd w:val="clear" w:color="auto" w:fill="auto"/>
            <w:vAlign w:val="bottom"/>
          </w:tcPr>
          <w:p w14:paraId="414E8D8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7" w:type="pct"/>
            <w:gridSpan w:val="3"/>
            <w:tcBorders>
              <w:top w:val="nil"/>
            </w:tcBorders>
            <w:shd w:val="clear" w:color="auto" w:fill="auto"/>
            <w:vAlign w:val="bottom"/>
          </w:tcPr>
          <w:p w14:paraId="7D97847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8" w:type="pct"/>
            <w:gridSpan w:val="3"/>
            <w:tcBorders>
              <w:top w:val="nil"/>
            </w:tcBorders>
          </w:tcPr>
          <w:p w14:paraId="38C2046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1494" w:type="pct"/>
            <w:gridSpan w:val="5"/>
            <w:tcBorders>
              <w:top w:val="nil"/>
            </w:tcBorders>
            <w:shd w:val="clear" w:color="auto" w:fill="auto"/>
            <w:vAlign w:val="bottom"/>
          </w:tcPr>
          <w:p w14:paraId="062FB33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r>
      <w:tr w:rsidR="00895001" w:rsidRPr="00F071DA" w14:paraId="397BF1B9" w14:textId="77777777" w:rsidTr="006D4A81">
        <w:trPr>
          <w:trHeight w:val="240"/>
        </w:trPr>
        <w:tc>
          <w:tcPr>
            <w:tcW w:w="1026" w:type="pct"/>
            <w:tcBorders>
              <w:top w:val="nil"/>
              <w:bottom w:val="nil"/>
            </w:tcBorders>
            <w:shd w:val="clear" w:color="auto" w:fill="auto"/>
          </w:tcPr>
          <w:p w14:paraId="356C7259" w14:textId="77777777" w:rsidR="00895001" w:rsidRPr="00F071DA" w:rsidRDefault="00895001" w:rsidP="006D4A81">
            <w:pPr>
              <w:rPr>
                <w:sz w:val="18"/>
                <w:szCs w:val="18"/>
              </w:rPr>
            </w:pPr>
            <w:r w:rsidRPr="00F071DA">
              <w:rPr>
                <w:sz w:val="18"/>
                <w:szCs w:val="18"/>
              </w:rPr>
              <w:t>CH</w:t>
            </w:r>
            <w:r w:rsidRPr="00F071DA">
              <w:rPr>
                <w:sz w:val="18"/>
                <w:szCs w:val="18"/>
                <w:vertAlign w:val="subscript"/>
              </w:rPr>
              <w:t xml:space="preserve">4 </w:t>
            </w:r>
            <w:r w:rsidRPr="00F071DA">
              <w:rPr>
                <w:sz w:val="18"/>
                <w:szCs w:val="18"/>
              </w:rPr>
              <w:t>emissions excluding CH</w:t>
            </w:r>
            <w:r w:rsidRPr="00F071DA">
              <w:rPr>
                <w:sz w:val="18"/>
                <w:szCs w:val="18"/>
                <w:vertAlign w:val="subscript"/>
              </w:rPr>
              <w:t xml:space="preserve">4 </w:t>
            </w:r>
            <w:r w:rsidRPr="00F071DA">
              <w:rPr>
                <w:sz w:val="18"/>
                <w:szCs w:val="18"/>
              </w:rPr>
              <w:t>from LULUCF</w:t>
            </w:r>
          </w:p>
        </w:tc>
        <w:tc>
          <w:tcPr>
            <w:tcW w:w="258" w:type="pct"/>
            <w:gridSpan w:val="2"/>
            <w:tcBorders>
              <w:top w:val="nil"/>
              <w:bottom w:val="nil"/>
            </w:tcBorders>
            <w:shd w:val="clear" w:color="auto" w:fill="auto"/>
          </w:tcPr>
          <w:p w14:paraId="1C6B82CC" w14:textId="77777777" w:rsidR="00895001" w:rsidRPr="00F071DA" w:rsidRDefault="00895001" w:rsidP="006D4A81">
            <w:pPr>
              <w:rPr>
                <w:sz w:val="18"/>
                <w:szCs w:val="18"/>
              </w:rPr>
            </w:pPr>
          </w:p>
        </w:tc>
        <w:tc>
          <w:tcPr>
            <w:tcW w:w="317" w:type="pct"/>
            <w:gridSpan w:val="3"/>
            <w:tcBorders>
              <w:top w:val="nil"/>
              <w:bottom w:val="nil"/>
            </w:tcBorders>
            <w:shd w:val="clear" w:color="auto" w:fill="auto"/>
          </w:tcPr>
          <w:p w14:paraId="63858401" w14:textId="77777777" w:rsidR="00895001" w:rsidRPr="00F071DA" w:rsidRDefault="00895001" w:rsidP="006D4A81">
            <w:pPr>
              <w:rPr>
                <w:sz w:val="18"/>
                <w:szCs w:val="18"/>
              </w:rPr>
            </w:pPr>
          </w:p>
        </w:tc>
        <w:tc>
          <w:tcPr>
            <w:tcW w:w="317" w:type="pct"/>
            <w:gridSpan w:val="3"/>
            <w:tcBorders>
              <w:top w:val="nil"/>
              <w:bottom w:val="nil"/>
            </w:tcBorders>
            <w:shd w:val="clear" w:color="auto" w:fill="auto"/>
            <w:vAlign w:val="bottom"/>
          </w:tcPr>
          <w:p w14:paraId="1426078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8" w:type="pct"/>
            <w:gridSpan w:val="3"/>
            <w:tcBorders>
              <w:top w:val="nil"/>
              <w:bottom w:val="nil"/>
            </w:tcBorders>
            <w:shd w:val="clear" w:color="auto" w:fill="auto"/>
            <w:vAlign w:val="bottom"/>
          </w:tcPr>
          <w:p w14:paraId="11FBDF3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7" w:type="pct"/>
            <w:gridSpan w:val="3"/>
            <w:tcBorders>
              <w:top w:val="nil"/>
              <w:bottom w:val="nil"/>
            </w:tcBorders>
            <w:shd w:val="clear" w:color="auto" w:fill="auto"/>
            <w:vAlign w:val="bottom"/>
          </w:tcPr>
          <w:p w14:paraId="06AE657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9" w:type="pct"/>
            <w:gridSpan w:val="4"/>
            <w:tcBorders>
              <w:top w:val="nil"/>
              <w:bottom w:val="nil"/>
            </w:tcBorders>
            <w:shd w:val="clear" w:color="auto" w:fill="auto"/>
            <w:vAlign w:val="bottom"/>
          </w:tcPr>
          <w:p w14:paraId="6B7874E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7" w:type="pct"/>
            <w:gridSpan w:val="3"/>
            <w:tcBorders>
              <w:top w:val="nil"/>
              <w:bottom w:val="nil"/>
            </w:tcBorders>
            <w:shd w:val="clear" w:color="auto" w:fill="auto"/>
            <w:vAlign w:val="bottom"/>
          </w:tcPr>
          <w:p w14:paraId="072AA65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318" w:type="pct"/>
            <w:gridSpan w:val="3"/>
            <w:tcBorders>
              <w:top w:val="nil"/>
              <w:bottom w:val="nil"/>
            </w:tcBorders>
          </w:tcPr>
          <w:p w14:paraId="0A3CA71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c>
          <w:tcPr>
            <w:tcW w:w="1494" w:type="pct"/>
            <w:gridSpan w:val="5"/>
            <w:tcBorders>
              <w:top w:val="nil"/>
              <w:bottom w:val="nil"/>
            </w:tcBorders>
            <w:shd w:val="clear" w:color="auto" w:fill="auto"/>
            <w:vAlign w:val="bottom"/>
          </w:tcPr>
          <w:p w14:paraId="53E2A90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szCs w:val="18"/>
                <w:lang w:eastAsia="ja-JP"/>
              </w:rPr>
            </w:pPr>
          </w:p>
        </w:tc>
      </w:tr>
      <w:tr w:rsidR="00895001" w:rsidRPr="00F071DA" w14:paraId="7604549C" w14:textId="77777777" w:rsidTr="006D4A81">
        <w:trPr>
          <w:trHeight w:val="240"/>
        </w:trPr>
        <w:tc>
          <w:tcPr>
            <w:tcW w:w="1026" w:type="pct"/>
            <w:tcBorders>
              <w:top w:val="nil"/>
              <w:bottom w:val="nil"/>
            </w:tcBorders>
            <w:shd w:val="clear" w:color="auto" w:fill="auto"/>
          </w:tcPr>
          <w:p w14:paraId="62F5212B" w14:textId="77777777" w:rsidR="00895001" w:rsidRPr="00F071DA" w:rsidRDefault="00895001" w:rsidP="006D4A81">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including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258" w:type="pct"/>
            <w:gridSpan w:val="2"/>
            <w:tcBorders>
              <w:top w:val="nil"/>
              <w:bottom w:val="nil"/>
            </w:tcBorders>
            <w:shd w:val="clear" w:color="auto" w:fill="auto"/>
            <w:vAlign w:val="bottom"/>
          </w:tcPr>
          <w:p w14:paraId="71065C1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1C07C6A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715CEEE0"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shd w:val="clear" w:color="auto" w:fill="auto"/>
            <w:vAlign w:val="bottom"/>
          </w:tcPr>
          <w:p w14:paraId="1544EB0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0FF95BB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9" w:type="pct"/>
            <w:gridSpan w:val="4"/>
            <w:tcBorders>
              <w:top w:val="nil"/>
              <w:bottom w:val="nil"/>
            </w:tcBorders>
            <w:shd w:val="clear" w:color="auto" w:fill="auto"/>
            <w:vAlign w:val="bottom"/>
          </w:tcPr>
          <w:p w14:paraId="6C402BB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74DAA43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tcPr>
          <w:p w14:paraId="02DB830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1494" w:type="pct"/>
            <w:gridSpan w:val="5"/>
            <w:tcBorders>
              <w:top w:val="nil"/>
              <w:bottom w:val="nil"/>
            </w:tcBorders>
            <w:shd w:val="clear" w:color="auto" w:fill="auto"/>
            <w:vAlign w:val="bottom"/>
          </w:tcPr>
          <w:p w14:paraId="3A3DF59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3664DC75" w14:textId="77777777" w:rsidTr="006D4A81">
        <w:trPr>
          <w:trHeight w:val="240"/>
        </w:trPr>
        <w:tc>
          <w:tcPr>
            <w:tcW w:w="1026" w:type="pct"/>
            <w:tcBorders>
              <w:top w:val="nil"/>
              <w:bottom w:val="nil"/>
            </w:tcBorders>
            <w:shd w:val="clear" w:color="auto" w:fill="auto"/>
          </w:tcPr>
          <w:p w14:paraId="1F2EEDF1" w14:textId="77777777" w:rsidR="00895001" w:rsidRPr="00F071DA" w:rsidRDefault="00895001" w:rsidP="006D4A81">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N</w:t>
            </w:r>
            <w:r w:rsidRPr="00F071DA">
              <w:rPr>
                <w:rFonts w:eastAsia="MS Mincho"/>
                <w:sz w:val="18"/>
                <w:vertAlign w:val="subscript"/>
                <w:lang w:eastAsia="ja-JP"/>
              </w:rPr>
              <w:t>2</w:t>
            </w:r>
            <w:r w:rsidRPr="00F071DA">
              <w:rPr>
                <w:rFonts w:eastAsia="MS Mincho"/>
                <w:sz w:val="18"/>
                <w:lang w:eastAsia="ja-JP"/>
              </w:rPr>
              <w:t>O emissions excluding N</w:t>
            </w:r>
            <w:r w:rsidRPr="00F071DA">
              <w:rPr>
                <w:rFonts w:eastAsia="MS Mincho"/>
                <w:sz w:val="18"/>
                <w:vertAlign w:val="subscript"/>
                <w:lang w:eastAsia="ja-JP"/>
              </w:rPr>
              <w:t>2</w:t>
            </w:r>
            <w:r w:rsidRPr="00F071DA">
              <w:rPr>
                <w:rFonts w:eastAsia="MS Mincho"/>
                <w:sz w:val="18"/>
                <w:lang w:eastAsia="ja-JP"/>
              </w:rPr>
              <w:t>O</w:t>
            </w:r>
            <w:r w:rsidRPr="00F071DA">
              <w:rPr>
                <w:rFonts w:eastAsia="MS Mincho"/>
                <w:sz w:val="18"/>
                <w:vertAlign w:val="subscript"/>
                <w:lang w:eastAsia="ja-JP"/>
              </w:rPr>
              <w:t xml:space="preserve"> </w:t>
            </w:r>
            <w:r w:rsidRPr="00F071DA">
              <w:rPr>
                <w:rFonts w:eastAsia="MS Mincho"/>
                <w:sz w:val="18"/>
                <w:lang w:eastAsia="ja-JP"/>
              </w:rPr>
              <w:t>from LULUCF</w:t>
            </w:r>
          </w:p>
        </w:tc>
        <w:tc>
          <w:tcPr>
            <w:tcW w:w="258" w:type="pct"/>
            <w:gridSpan w:val="2"/>
            <w:tcBorders>
              <w:top w:val="nil"/>
              <w:bottom w:val="nil"/>
            </w:tcBorders>
            <w:shd w:val="clear" w:color="auto" w:fill="auto"/>
            <w:vAlign w:val="bottom"/>
          </w:tcPr>
          <w:p w14:paraId="666B076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3307AD8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48989C8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shd w:val="clear" w:color="auto" w:fill="auto"/>
            <w:vAlign w:val="bottom"/>
          </w:tcPr>
          <w:p w14:paraId="21B9153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546FF80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9" w:type="pct"/>
            <w:gridSpan w:val="4"/>
            <w:tcBorders>
              <w:top w:val="nil"/>
              <w:bottom w:val="nil"/>
            </w:tcBorders>
            <w:shd w:val="clear" w:color="auto" w:fill="auto"/>
            <w:vAlign w:val="bottom"/>
          </w:tcPr>
          <w:p w14:paraId="668C34C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2BD2CF7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tcPr>
          <w:p w14:paraId="516E52D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1494" w:type="pct"/>
            <w:gridSpan w:val="5"/>
            <w:tcBorders>
              <w:top w:val="nil"/>
              <w:bottom w:val="nil"/>
            </w:tcBorders>
            <w:shd w:val="clear" w:color="auto" w:fill="auto"/>
            <w:vAlign w:val="bottom"/>
          </w:tcPr>
          <w:p w14:paraId="106CBB9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2AAD2D07" w14:textId="77777777" w:rsidTr="006D4A81">
        <w:trPr>
          <w:trHeight w:val="240"/>
        </w:trPr>
        <w:tc>
          <w:tcPr>
            <w:tcW w:w="1026" w:type="pct"/>
            <w:tcBorders>
              <w:top w:val="nil"/>
              <w:bottom w:val="nil"/>
            </w:tcBorders>
            <w:shd w:val="clear" w:color="auto" w:fill="auto"/>
          </w:tcPr>
          <w:p w14:paraId="566A371D" w14:textId="77777777" w:rsidR="00895001" w:rsidRPr="00F071DA" w:rsidRDefault="00895001" w:rsidP="006D4A81">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HFCs</w:t>
            </w:r>
          </w:p>
        </w:tc>
        <w:tc>
          <w:tcPr>
            <w:tcW w:w="258" w:type="pct"/>
            <w:gridSpan w:val="2"/>
            <w:tcBorders>
              <w:top w:val="nil"/>
              <w:bottom w:val="nil"/>
            </w:tcBorders>
            <w:shd w:val="clear" w:color="auto" w:fill="auto"/>
            <w:vAlign w:val="bottom"/>
          </w:tcPr>
          <w:p w14:paraId="43D13FBB"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4D86CDD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47946476"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shd w:val="clear" w:color="auto" w:fill="auto"/>
            <w:vAlign w:val="bottom"/>
          </w:tcPr>
          <w:p w14:paraId="22DEE02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5B4A177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9" w:type="pct"/>
            <w:gridSpan w:val="4"/>
            <w:tcBorders>
              <w:top w:val="nil"/>
              <w:bottom w:val="nil"/>
            </w:tcBorders>
            <w:shd w:val="clear" w:color="auto" w:fill="auto"/>
            <w:vAlign w:val="bottom"/>
          </w:tcPr>
          <w:p w14:paraId="44737EF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1DDA5C7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tcPr>
          <w:p w14:paraId="5D1A047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1494" w:type="pct"/>
            <w:gridSpan w:val="5"/>
            <w:tcBorders>
              <w:top w:val="nil"/>
              <w:bottom w:val="nil"/>
            </w:tcBorders>
            <w:shd w:val="clear" w:color="auto" w:fill="auto"/>
            <w:vAlign w:val="bottom"/>
          </w:tcPr>
          <w:p w14:paraId="4A293A4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3AE4763D" w14:textId="77777777" w:rsidTr="006D4A81">
        <w:trPr>
          <w:trHeight w:val="240"/>
        </w:trPr>
        <w:tc>
          <w:tcPr>
            <w:tcW w:w="1026" w:type="pct"/>
            <w:tcBorders>
              <w:top w:val="nil"/>
              <w:bottom w:val="nil"/>
            </w:tcBorders>
            <w:shd w:val="clear" w:color="auto" w:fill="auto"/>
          </w:tcPr>
          <w:p w14:paraId="50A535B7" w14:textId="77777777" w:rsidR="00895001" w:rsidRPr="00F071DA" w:rsidRDefault="00895001" w:rsidP="006D4A81">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PFCs</w:t>
            </w:r>
          </w:p>
        </w:tc>
        <w:tc>
          <w:tcPr>
            <w:tcW w:w="258" w:type="pct"/>
            <w:gridSpan w:val="2"/>
            <w:tcBorders>
              <w:top w:val="nil"/>
              <w:bottom w:val="nil"/>
            </w:tcBorders>
            <w:shd w:val="clear" w:color="auto" w:fill="auto"/>
            <w:vAlign w:val="bottom"/>
          </w:tcPr>
          <w:p w14:paraId="6D0A94F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4A014EE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2F3D9E5C"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shd w:val="clear" w:color="auto" w:fill="auto"/>
            <w:vAlign w:val="bottom"/>
          </w:tcPr>
          <w:p w14:paraId="69F0F51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5BF7E3C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9" w:type="pct"/>
            <w:gridSpan w:val="4"/>
            <w:tcBorders>
              <w:top w:val="nil"/>
              <w:bottom w:val="nil"/>
            </w:tcBorders>
            <w:shd w:val="clear" w:color="auto" w:fill="auto"/>
            <w:vAlign w:val="bottom"/>
          </w:tcPr>
          <w:p w14:paraId="4FEB04E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06277B5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tcPr>
          <w:p w14:paraId="33B4852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1494" w:type="pct"/>
            <w:gridSpan w:val="5"/>
            <w:tcBorders>
              <w:top w:val="nil"/>
              <w:bottom w:val="nil"/>
            </w:tcBorders>
            <w:shd w:val="clear" w:color="auto" w:fill="auto"/>
            <w:vAlign w:val="bottom"/>
          </w:tcPr>
          <w:p w14:paraId="2F646E3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22284013" w14:textId="77777777" w:rsidTr="006D4A81">
        <w:trPr>
          <w:trHeight w:val="240"/>
        </w:trPr>
        <w:tc>
          <w:tcPr>
            <w:tcW w:w="1026" w:type="pct"/>
            <w:tcBorders>
              <w:top w:val="nil"/>
              <w:bottom w:val="nil"/>
            </w:tcBorders>
            <w:shd w:val="clear" w:color="auto" w:fill="auto"/>
          </w:tcPr>
          <w:p w14:paraId="6998E896" w14:textId="77777777" w:rsidR="00895001" w:rsidRPr="00F071DA" w:rsidRDefault="00895001" w:rsidP="006D4A81">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SF</w:t>
            </w:r>
            <w:r w:rsidRPr="00F071DA">
              <w:rPr>
                <w:rFonts w:eastAsia="MS Mincho"/>
                <w:sz w:val="18"/>
                <w:vertAlign w:val="subscript"/>
                <w:lang w:eastAsia="ja-JP"/>
              </w:rPr>
              <w:t>6</w:t>
            </w:r>
          </w:p>
        </w:tc>
        <w:tc>
          <w:tcPr>
            <w:tcW w:w="258" w:type="pct"/>
            <w:gridSpan w:val="2"/>
            <w:tcBorders>
              <w:top w:val="nil"/>
              <w:bottom w:val="nil"/>
            </w:tcBorders>
            <w:shd w:val="clear" w:color="auto" w:fill="auto"/>
            <w:vAlign w:val="bottom"/>
          </w:tcPr>
          <w:p w14:paraId="2A1FA7F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1B7AC68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501E29A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shd w:val="clear" w:color="auto" w:fill="auto"/>
            <w:vAlign w:val="bottom"/>
          </w:tcPr>
          <w:p w14:paraId="303140B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6C8B894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9" w:type="pct"/>
            <w:gridSpan w:val="4"/>
            <w:tcBorders>
              <w:top w:val="nil"/>
              <w:bottom w:val="nil"/>
            </w:tcBorders>
            <w:shd w:val="clear" w:color="auto" w:fill="auto"/>
            <w:vAlign w:val="bottom"/>
          </w:tcPr>
          <w:p w14:paraId="401E9E3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nil"/>
            </w:tcBorders>
            <w:shd w:val="clear" w:color="auto" w:fill="auto"/>
            <w:vAlign w:val="bottom"/>
          </w:tcPr>
          <w:p w14:paraId="71A7B48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nil"/>
            </w:tcBorders>
          </w:tcPr>
          <w:p w14:paraId="49C6CE5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1494" w:type="pct"/>
            <w:gridSpan w:val="5"/>
            <w:tcBorders>
              <w:top w:val="nil"/>
              <w:bottom w:val="nil"/>
            </w:tcBorders>
            <w:shd w:val="clear" w:color="auto" w:fill="auto"/>
            <w:vAlign w:val="bottom"/>
          </w:tcPr>
          <w:p w14:paraId="6AE65A6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655D66BB" w14:textId="77777777" w:rsidTr="006D4A81">
        <w:trPr>
          <w:trHeight w:val="240"/>
        </w:trPr>
        <w:tc>
          <w:tcPr>
            <w:tcW w:w="1026" w:type="pct"/>
            <w:tcBorders>
              <w:top w:val="nil"/>
              <w:bottom w:val="single" w:sz="12" w:space="0" w:color="auto"/>
            </w:tcBorders>
            <w:shd w:val="clear" w:color="auto" w:fill="auto"/>
          </w:tcPr>
          <w:p w14:paraId="7D2ED404" w14:textId="77777777" w:rsidR="00895001" w:rsidRDefault="00895001" w:rsidP="006D4A81">
            <w:pPr>
              <w:suppressAutoHyphens w:val="0"/>
              <w:autoSpaceDE w:val="0"/>
              <w:autoSpaceDN w:val="0"/>
              <w:adjustRightInd w:val="0"/>
              <w:spacing w:before="40" w:after="40" w:line="220" w:lineRule="exact"/>
              <w:rPr>
                <w:rFonts w:eastAsia="MS Mincho"/>
                <w:sz w:val="18"/>
                <w:lang w:eastAsia="ja-JP"/>
              </w:rPr>
            </w:pPr>
            <w:r w:rsidRPr="00F071DA">
              <w:rPr>
                <w:rFonts w:eastAsia="MS Mincho"/>
                <w:sz w:val="18"/>
                <w:lang w:eastAsia="ja-JP"/>
              </w:rPr>
              <w:t>Other (specify, e.g. NF</w:t>
            </w:r>
            <w:r w:rsidRPr="00F071DA">
              <w:rPr>
                <w:rFonts w:eastAsia="MS Mincho"/>
                <w:sz w:val="18"/>
                <w:vertAlign w:val="subscript"/>
                <w:lang w:eastAsia="ja-JP"/>
              </w:rPr>
              <w:t>3</w:t>
            </w:r>
            <w:r w:rsidRPr="00F071DA">
              <w:rPr>
                <w:rFonts w:eastAsia="MS Mincho"/>
                <w:sz w:val="18"/>
                <w:lang w:eastAsia="ja-JP"/>
              </w:rPr>
              <w:t xml:space="preserve">) </w:t>
            </w:r>
          </w:p>
          <w:p w14:paraId="0888A9B9" w14:textId="77777777" w:rsidR="00895001" w:rsidRPr="00F071DA" w:rsidRDefault="00895001" w:rsidP="006D4A81">
            <w:pPr>
              <w:suppressAutoHyphens w:val="0"/>
              <w:autoSpaceDE w:val="0"/>
              <w:autoSpaceDN w:val="0"/>
              <w:adjustRightInd w:val="0"/>
              <w:spacing w:before="40" w:after="40" w:line="220" w:lineRule="exact"/>
              <w:rPr>
                <w:rFonts w:eastAsia="MS Mincho"/>
                <w:sz w:val="18"/>
                <w:lang w:eastAsia="ja-JP"/>
              </w:rPr>
            </w:pPr>
          </w:p>
        </w:tc>
        <w:tc>
          <w:tcPr>
            <w:tcW w:w="258" w:type="pct"/>
            <w:gridSpan w:val="2"/>
            <w:tcBorders>
              <w:top w:val="nil"/>
              <w:bottom w:val="single" w:sz="12" w:space="0" w:color="auto"/>
            </w:tcBorders>
            <w:shd w:val="clear" w:color="auto" w:fill="auto"/>
            <w:vAlign w:val="bottom"/>
          </w:tcPr>
          <w:p w14:paraId="7DE3D2E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single" w:sz="12" w:space="0" w:color="auto"/>
            </w:tcBorders>
            <w:shd w:val="clear" w:color="auto" w:fill="auto"/>
            <w:vAlign w:val="bottom"/>
          </w:tcPr>
          <w:p w14:paraId="281DF62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single" w:sz="12" w:space="0" w:color="auto"/>
            </w:tcBorders>
            <w:shd w:val="clear" w:color="auto" w:fill="auto"/>
            <w:vAlign w:val="bottom"/>
          </w:tcPr>
          <w:p w14:paraId="207A0087"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single" w:sz="12" w:space="0" w:color="auto"/>
            </w:tcBorders>
            <w:shd w:val="clear" w:color="auto" w:fill="auto"/>
            <w:vAlign w:val="bottom"/>
          </w:tcPr>
          <w:p w14:paraId="03730F4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single" w:sz="12" w:space="0" w:color="auto"/>
            </w:tcBorders>
            <w:shd w:val="clear" w:color="auto" w:fill="auto"/>
            <w:vAlign w:val="bottom"/>
          </w:tcPr>
          <w:p w14:paraId="701D5D7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9" w:type="pct"/>
            <w:gridSpan w:val="4"/>
            <w:tcBorders>
              <w:top w:val="nil"/>
              <w:bottom w:val="single" w:sz="12" w:space="0" w:color="auto"/>
            </w:tcBorders>
            <w:shd w:val="clear" w:color="auto" w:fill="auto"/>
            <w:vAlign w:val="bottom"/>
          </w:tcPr>
          <w:p w14:paraId="3197C685"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7" w:type="pct"/>
            <w:gridSpan w:val="3"/>
            <w:tcBorders>
              <w:top w:val="nil"/>
              <w:bottom w:val="single" w:sz="12" w:space="0" w:color="auto"/>
            </w:tcBorders>
            <w:shd w:val="clear" w:color="auto" w:fill="auto"/>
            <w:vAlign w:val="bottom"/>
          </w:tcPr>
          <w:p w14:paraId="26A7B4C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318" w:type="pct"/>
            <w:gridSpan w:val="3"/>
            <w:tcBorders>
              <w:top w:val="nil"/>
              <w:bottom w:val="single" w:sz="12" w:space="0" w:color="auto"/>
            </w:tcBorders>
          </w:tcPr>
          <w:p w14:paraId="0AD0308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c>
          <w:tcPr>
            <w:tcW w:w="1494" w:type="pct"/>
            <w:gridSpan w:val="5"/>
            <w:tcBorders>
              <w:top w:val="nil"/>
              <w:bottom w:val="single" w:sz="12" w:space="0" w:color="auto"/>
            </w:tcBorders>
            <w:shd w:val="clear" w:color="auto" w:fill="auto"/>
            <w:vAlign w:val="bottom"/>
          </w:tcPr>
          <w:p w14:paraId="6FE2A83F"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sz w:val="18"/>
                <w:lang w:eastAsia="ja-JP"/>
              </w:rPr>
            </w:pPr>
          </w:p>
        </w:tc>
      </w:tr>
      <w:tr w:rsidR="00895001" w:rsidRPr="00F071DA" w14:paraId="02C0C8DB" w14:textId="77777777" w:rsidTr="006D4A81">
        <w:trPr>
          <w:trHeight w:val="240"/>
        </w:trPr>
        <w:tc>
          <w:tcPr>
            <w:tcW w:w="1026" w:type="pct"/>
            <w:tcBorders>
              <w:top w:val="single" w:sz="12" w:space="0" w:color="auto"/>
              <w:bottom w:val="nil"/>
            </w:tcBorders>
            <w:shd w:val="clear" w:color="auto" w:fill="auto"/>
          </w:tcPr>
          <w:p w14:paraId="4B3AF8B6" w14:textId="3EB57CA6" w:rsidR="00895001" w:rsidRPr="00F071DA" w:rsidRDefault="007540E4" w:rsidP="007540E4">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tab/>
            </w:r>
            <w:r w:rsidR="00895001" w:rsidRPr="00F071DA">
              <w:rPr>
                <w:rFonts w:eastAsia="MS Mincho"/>
                <w:b/>
                <w:sz w:val="18"/>
                <w:lang w:eastAsia="ja-JP"/>
              </w:rPr>
              <w:t>Total with LULUCF</w:t>
            </w:r>
            <w:r w:rsidR="00895001">
              <w:rPr>
                <w:rFonts w:eastAsia="MS Mincho"/>
                <w:i/>
                <w:sz w:val="18"/>
                <w:vertAlign w:val="superscript"/>
                <w:lang w:eastAsia="ja-JP"/>
              </w:rPr>
              <w:t>i</w:t>
            </w:r>
          </w:p>
        </w:tc>
        <w:tc>
          <w:tcPr>
            <w:tcW w:w="258" w:type="pct"/>
            <w:gridSpan w:val="2"/>
            <w:tcBorders>
              <w:top w:val="single" w:sz="12" w:space="0" w:color="auto"/>
              <w:bottom w:val="nil"/>
            </w:tcBorders>
            <w:shd w:val="clear" w:color="auto" w:fill="auto"/>
            <w:vAlign w:val="bottom"/>
          </w:tcPr>
          <w:p w14:paraId="306443B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single" w:sz="12" w:space="0" w:color="auto"/>
              <w:bottom w:val="nil"/>
            </w:tcBorders>
            <w:shd w:val="clear" w:color="auto" w:fill="auto"/>
            <w:vAlign w:val="bottom"/>
          </w:tcPr>
          <w:p w14:paraId="1186CF60"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single" w:sz="12" w:space="0" w:color="auto"/>
              <w:bottom w:val="nil"/>
            </w:tcBorders>
            <w:shd w:val="clear" w:color="auto" w:fill="auto"/>
            <w:vAlign w:val="bottom"/>
          </w:tcPr>
          <w:p w14:paraId="7BCE4E1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8" w:type="pct"/>
            <w:gridSpan w:val="3"/>
            <w:tcBorders>
              <w:top w:val="single" w:sz="12" w:space="0" w:color="auto"/>
              <w:bottom w:val="nil"/>
            </w:tcBorders>
            <w:shd w:val="clear" w:color="auto" w:fill="auto"/>
            <w:vAlign w:val="bottom"/>
          </w:tcPr>
          <w:p w14:paraId="3495EB3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single" w:sz="12" w:space="0" w:color="auto"/>
              <w:bottom w:val="nil"/>
            </w:tcBorders>
            <w:shd w:val="clear" w:color="auto" w:fill="auto"/>
            <w:vAlign w:val="bottom"/>
          </w:tcPr>
          <w:p w14:paraId="766DA5B9"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9" w:type="pct"/>
            <w:gridSpan w:val="4"/>
            <w:tcBorders>
              <w:top w:val="single" w:sz="12" w:space="0" w:color="auto"/>
              <w:bottom w:val="nil"/>
            </w:tcBorders>
            <w:shd w:val="clear" w:color="auto" w:fill="auto"/>
            <w:vAlign w:val="bottom"/>
          </w:tcPr>
          <w:p w14:paraId="677B9700"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single" w:sz="12" w:space="0" w:color="auto"/>
              <w:bottom w:val="nil"/>
            </w:tcBorders>
            <w:shd w:val="clear" w:color="auto" w:fill="auto"/>
            <w:vAlign w:val="bottom"/>
          </w:tcPr>
          <w:p w14:paraId="0B5CD15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8" w:type="pct"/>
            <w:gridSpan w:val="3"/>
            <w:tcBorders>
              <w:top w:val="single" w:sz="12" w:space="0" w:color="auto"/>
              <w:bottom w:val="nil"/>
            </w:tcBorders>
          </w:tcPr>
          <w:p w14:paraId="02D6BCA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1494" w:type="pct"/>
            <w:gridSpan w:val="5"/>
            <w:tcBorders>
              <w:top w:val="single" w:sz="12" w:space="0" w:color="auto"/>
              <w:bottom w:val="nil"/>
            </w:tcBorders>
            <w:shd w:val="clear" w:color="auto" w:fill="auto"/>
            <w:vAlign w:val="bottom"/>
          </w:tcPr>
          <w:p w14:paraId="030F7323"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r>
      <w:tr w:rsidR="00895001" w:rsidRPr="00F071DA" w14:paraId="2F564476" w14:textId="77777777" w:rsidTr="006D4A81">
        <w:trPr>
          <w:trHeight w:val="240"/>
        </w:trPr>
        <w:tc>
          <w:tcPr>
            <w:tcW w:w="1026" w:type="pct"/>
            <w:tcBorders>
              <w:top w:val="nil"/>
              <w:bottom w:val="single" w:sz="12" w:space="0" w:color="auto"/>
            </w:tcBorders>
            <w:shd w:val="clear" w:color="auto" w:fill="auto"/>
          </w:tcPr>
          <w:p w14:paraId="38E63A71" w14:textId="537BD19B" w:rsidR="00895001" w:rsidRPr="00F071DA" w:rsidRDefault="007540E4" w:rsidP="007540E4">
            <w:pPr>
              <w:tabs>
                <w:tab w:val="left" w:pos="142"/>
              </w:tabs>
              <w:suppressAutoHyphens w:val="0"/>
              <w:autoSpaceDE w:val="0"/>
              <w:autoSpaceDN w:val="0"/>
              <w:adjustRightInd w:val="0"/>
              <w:spacing w:before="40" w:after="40" w:line="220" w:lineRule="exact"/>
              <w:rPr>
                <w:rFonts w:eastAsia="MS Mincho"/>
                <w:b/>
                <w:sz w:val="18"/>
                <w:lang w:eastAsia="ja-JP"/>
              </w:rPr>
            </w:pPr>
            <w:r>
              <w:rPr>
                <w:rFonts w:eastAsia="MS Mincho"/>
                <w:b/>
                <w:sz w:val="18"/>
                <w:lang w:eastAsia="ja-JP"/>
              </w:rPr>
              <w:tab/>
            </w:r>
            <w:r w:rsidR="00895001" w:rsidRPr="00F071DA">
              <w:rPr>
                <w:rFonts w:eastAsia="MS Mincho"/>
                <w:b/>
                <w:sz w:val="18"/>
                <w:lang w:eastAsia="ja-JP"/>
              </w:rPr>
              <w:t>Total without LULUCF</w:t>
            </w:r>
          </w:p>
        </w:tc>
        <w:tc>
          <w:tcPr>
            <w:tcW w:w="258" w:type="pct"/>
            <w:gridSpan w:val="2"/>
            <w:tcBorders>
              <w:top w:val="nil"/>
              <w:bottom w:val="single" w:sz="12" w:space="0" w:color="auto"/>
            </w:tcBorders>
            <w:shd w:val="clear" w:color="auto" w:fill="auto"/>
            <w:vAlign w:val="bottom"/>
          </w:tcPr>
          <w:p w14:paraId="735CDECD"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nil"/>
              <w:bottom w:val="single" w:sz="12" w:space="0" w:color="auto"/>
            </w:tcBorders>
            <w:shd w:val="clear" w:color="auto" w:fill="auto"/>
            <w:vAlign w:val="bottom"/>
          </w:tcPr>
          <w:p w14:paraId="4CDC48B8"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nil"/>
              <w:bottom w:val="single" w:sz="12" w:space="0" w:color="auto"/>
            </w:tcBorders>
            <w:shd w:val="clear" w:color="auto" w:fill="auto"/>
            <w:vAlign w:val="bottom"/>
          </w:tcPr>
          <w:p w14:paraId="39DEAA6A"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8" w:type="pct"/>
            <w:gridSpan w:val="3"/>
            <w:tcBorders>
              <w:top w:val="nil"/>
              <w:bottom w:val="single" w:sz="12" w:space="0" w:color="auto"/>
            </w:tcBorders>
            <w:shd w:val="clear" w:color="auto" w:fill="auto"/>
            <w:vAlign w:val="bottom"/>
          </w:tcPr>
          <w:p w14:paraId="2E3C69BE"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nil"/>
              <w:bottom w:val="single" w:sz="12" w:space="0" w:color="auto"/>
            </w:tcBorders>
            <w:shd w:val="clear" w:color="auto" w:fill="auto"/>
            <w:vAlign w:val="bottom"/>
          </w:tcPr>
          <w:p w14:paraId="5EB1719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9" w:type="pct"/>
            <w:gridSpan w:val="4"/>
            <w:tcBorders>
              <w:top w:val="nil"/>
              <w:bottom w:val="single" w:sz="12" w:space="0" w:color="auto"/>
            </w:tcBorders>
            <w:shd w:val="clear" w:color="auto" w:fill="auto"/>
            <w:vAlign w:val="bottom"/>
          </w:tcPr>
          <w:p w14:paraId="585EB5D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7" w:type="pct"/>
            <w:gridSpan w:val="3"/>
            <w:tcBorders>
              <w:top w:val="nil"/>
              <w:bottom w:val="single" w:sz="12" w:space="0" w:color="auto"/>
            </w:tcBorders>
            <w:shd w:val="clear" w:color="auto" w:fill="auto"/>
            <w:vAlign w:val="bottom"/>
          </w:tcPr>
          <w:p w14:paraId="44721394"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318" w:type="pct"/>
            <w:gridSpan w:val="3"/>
            <w:tcBorders>
              <w:top w:val="nil"/>
              <w:bottom w:val="single" w:sz="12" w:space="0" w:color="auto"/>
            </w:tcBorders>
          </w:tcPr>
          <w:p w14:paraId="6765E9E2"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c>
          <w:tcPr>
            <w:tcW w:w="1494" w:type="pct"/>
            <w:gridSpan w:val="5"/>
            <w:tcBorders>
              <w:top w:val="nil"/>
              <w:bottom w:val="single" w:sz="12" w:space="0" w:color="auto"/>
            </w:tcBorders>
            <w:shd w:val="clear" w:color="auto" w:fill="auto"/>
            <w:vAlign w:val="bottom"/>
          </w:tcPr>
          <w:p w14:paraId="4BCA6A21" w14:textId="77777777" w:rsidR="00895001" w:rsidRPr="00F071DA" w:rsidRDefault="00895001" w:rsidP="006D4A81">
            <w:pPr>
              <w:suppressAutoHyphens w:val="0"/>
              <w:autoSpaceDE w:val="0"/>
              <w:autoSpaceDN w:val="0"/>
              <w:adjustRightInd w:val="0"/>
              <w:spacing w:before="40" w:after="40" w:line="220" w:lineRule="exact"/>
              <w:ind w:left="113"/>
              <w:jc w:val="right"/>
              <w:rPr>
                <w:rFonts w:eastAsia="MS Mincho"/>
                <w:b/>
                <w:sz w:val="18"/>
                <w:lang w:eastAsia="ja-JP"/>
              </w:rPr>
            </w:pPr>
          </w:p>
        </w:tc>
      </w:tr>
    </w:tbl>
    <w:p w14:paraId="1B8D3FDB" w14:textId="77777777" w:rsidR="00895001" w:rsidRPr="00F071DA" w:rsidRDefault="00895001" w:rsidP="00895001">
      <w:pPr>
        <w:suppressAutoHyphens w:val="0"/>
        <w:spacing w:before="120" w:line="240" w:lineRule="auto"/>
        <w:ind w:right="919" w:firstLine="284"/>
      </w:pPr>
      <w:r w:rsidRPr="00F071DA">
        <w:rPr>
          <w:i/>
          <w:sz w:val="18"/>
          <w:szCs w:val="18"/>
        </w:rPr>
        <w:t>Abbreviations</w:t>
      </w:r>
      <w:r w:rsidRPr="00F071DA">
        <w:rPr>
          <w:sz w:val="18"/>
          <w:szCs w:val="18"/>
        </w:rPr>
        <w:t>: GHG = greenhouse gas, LULUCF = land use, land-use change and forestry.</w:t>
      </w:r>
    </w:p>
    <w:p w14:paraId="14D777FF" w14:textId="368ED566" w:rsidR="00895001" w:rsidRPr="005E05B8" w:rsidRDefault="000E0429" w:rsidP="000E0429">
      <w:pPr>
        <w:spacing w:line="220" w:lineRule="exact"/>
        <w:ind w:right="919" w:firstLine="284"/>
        <w:rPr>
          <w:rFonts w:eastAsia="MS Mincho"/>
          <w:sz w:val="18"/>
          <w:lang w:eastAsia="ja-JP"/>
        </w:rPr>
      </w:pPr>
      <w:r w:rsidRPr="005E05B8">
        <w:rPr>
          <w:rFonts w:eastAsia="MS Mincho"/>
          <w:i/>
          <w:sz w:val="18"/>
          <w:vertAlign w:val="superscript"/>
          <w:lang w:eastAsia="ja-JP"/>
        </w:rPr>
        <w:t xml:space="preserve">a   </w:t>
      </w:r>
      <w:r w:rsidR="00895001" w:rsidRPr="00F071DA">
        <w:rPr>
          <w:rFonts w:eastAsia="MS Mincho"/>
          <w:sz w:val="18"/>
          <w:lang w:eastAsia="ja-JP"/>
        </w:rPr>
        <w:t xml:space="preserve">In accordance with </w:t>
      </w:r>
      <w:r w:rsidR="00895001" w:rsidRPr="00904E0C">
        <w:rPr>
          <w:rFonts w:eastAsia="MS Mincho"/>
          <w:sz w:val="18"/>
          <w:lang w:eastAsia="ja-JP"/>
        </w:rPr>
        <w:t xml:space="preserve">paragraph 25 of these guidelines, </w:t>
      </w:r>
      <w:r w:rsidR="00895001" w:rsidRPr="00F071DA">
        <w:rPr>
          <w:rFonts w:eastAsia="MS Mincho"/>
          <w:sz w:val="18"/>
          <w:lang w:eastAsia="ja-JP"/>
        </w:rPr>
        <w:t>a</w:t>
      </w:r>
      <w:r w:rsidR="00895001" w:rsidRPr="00F071DA">
        <w:rPr>
          <w:sz w:val="18"/>
          <w:lang w:eastAsia="en-GB"/>
        </w:rPr>
        <w:t xml:space="preserve">t a minimum Parties shall report a ‘with measures’ </w:t>
      </w:r>
      <w:r w:rsidR="00895001">
        <w:rPr>
          <w:sz w:val="18"/>
          <w:lang w:eastAsia="en-GB"/>
        </w:rPr>
        <w:t>projection</w:t>
      </w:r>
      <w:r w:rsidR="00895001" w:rsidRPr="00F071DA">
        <w:rPr>
          <w:sz w:val="18"/>
          <w:lang w:eastAsia="en-GB"/>
        </w:rPr>
        <w:t xml:space="preserve"> and </w:t>
      </w:r>
      <w:r w:rsidR="00895001">
        <w:rPr>
          <w:sz w:val="18"/>
          <w:lang w:eastAsia="en-GB"/>
        </w:rPr>
        <w:t xml:space="preserve">they </w:t>
      </w:r>
      <w:r w:rsidR="00895001" w:rsidRPr="00F071DA">
        <w:rPr>
          <w:sz w:val="18"/>
          <w:lang w:eastAsia="en-GB"/>
        </w:rPr>
        <w:t xml:space="preserve">may </w:t>
      </w:r>
      <w:r w:rsidR="00895001">
        <w:rPr>
          <w:sz w:val="18"/>
          <w:lang w:eastAsia="en-GB"/>
        </w:rPr>
        <w:t xml:space="preserve">also </w:t>
      </w:r>
      <w:r w:rsidR="00895001" w:rsidRPr="00F071DA">
        <w:rPr>
          <w:sz w:val="18"/>
          <w:lang w:eastAsia="en-GB"/>
        </w:rPr>
        <w:t xml:space="preserve">report ‘without measures’ and ‘with additional measures’ </w:t>
      </w:r>
      <w:r w:rsidR="00895001">
        <w:rPr>
          <w:sz w:val="18"/>
          <w:lang w:eastAsia="en-GB"/>
        </w:rPr>
        <w:t>projection</w:t>
      </w:r>
      <w:r w:rsidR="00895001" w:rsidRPr="00F071DA">
        <w:rPr>
          <w:sz w:val="18"/>
          <w:lang w:eastAsia="en-GB"/>
        </w:rPr>
        <w:t xml:space="preserve">s. If a Party chooses to report ‘without measures’ and/or ‘with additional measures’ </w:t>
      </w:r>
      <w:r w:rsidR="00895001">
        <w:rPr>
          <w:sz w:val="18"/>
          <w:lang w:eastAsia="en-GB"/>
        </w:rPr>
        <w:t>projection</w:t>
      </w:r>
      <w:r w:rsidR="00895001" w:rsidRPr="00F071DA">
        <w:rPr>
          <w:sz w:val="18"/>
          <w:lang w:eastAsia="en-GB"/>
        </w:rPr>
        <w:t>s</w:t>
      </w:r>
      <w:r w:rsidR="00895001">
        <w:rPr>
          <w:sz w:val="18"/>
          <w:lang w:eastAsia="en-GB"/>
        </w:rPr>
        <w:t>,</w:t>
      </w:r>
      <w:r w:rsidR="00895001" w:rsidRPr="00F071DA">
        <w:rPr>
          <w:sz w:val="18"/>
          <w:lang w:eastAsia="en-GB"/>
        </w:rPr>
        <w:t xml:space="preserve"> they are to </w:t>
      </w:r>
      <w:r w:rsidR="00895001" w:rsidRPr="005E05B8">
        <w:rPr>
          <w:sz w:val="18"/>
          <w:lang w:eastAsia="en-GB"/>
        </w:rPr>
        <w:t xml:space="preserve">use table </w:t>
      </w:r>
      <w:r w:rsidR="00895001">
        <w:rPr>
          <w:sz w:val="18"/>
          <w:lang w:eastAsia="en-GB"/>
        </w:rPr>
        <w:t>3</w:t>
      </w:r>
      <w:r w:rsidR="00895001" w:rsidRPr="005E05B8">
        <w:rPr>
          <w:sz w:val="18"/>
          <w:lang w:eastAsia="en-GB"/>
        </w:rPr>
        <w:t xml:space="preserve"> and/or </w:t>
      </w:r>
      <w:r w:rsidR="00895001">
        <w:rPr>
          <w:sz w:val="18"/>
          <w:lang w:eastAsia="en-GB"/>
        </w:rPr>
        <w:t>4 below</w:t>
      </w:r>
      <w:r w:rsidR="00895001" w:rsidRPr="005E05B8">
        <w:rPr>
          <w:sz w:val="18"/>
          <w:lang w:eastAsia="en-GB"/>
        </w:rPr>
        <w:t xml:space="preserve">, respectively. If a Party does not choose to report ‘without measures’ or ‘with additional measures’ </w:t>
      </w:r>
      <w:r w:rsidR="00895001">
        <w:rPr>
          <w:sz w:val="18"/>
          <w:lang w:eastAsia="en-GB"/>
        </w:rPr>
        <w:t>projection</w:t>
      </w:r>
      <w:r w:rsidR="00895001" w:rsidRPr="005E05B8">
        <w:rPr>
          <w:sz w:val="18"/>
          <w:lang w:eastAsia="en-GB"/>
        </w:rPr>
        <w:t>s</w:t>
      </w:r>
      <w:r w:rsidR="00895001">
        <w:rPr>
          <w:sz w:val="18"/>
          <w:lang w:eastAsia="en-GB"/>
        </w:rPr>
        <w:t>,</w:t>
      </w:r>
      <w:r w:rsidR="00895001" w:rsidRPr="005E05B8">
        <w:rPr>
          <w:sz w:val="18"/>
          <w:lang w:eastAsia="en-GB"/>
        </w:rPr>
        <w:t xml:space="preserve"> then it should not include table </w:t>
      </w:r>
      <w:r w:rsidR="00895001">
        <w:rPr>
          <w:sz w:val="18"/>
          <w:lang w:eastAsia="en-GB"/>
        </w:rPr>
        <w:t>3</w:t>
      </w:r>
      <w:r w:rsidR="00895001" w:rsidRPr="005E05B8">
        <w:rPr>
          <w:sz w:val="18"/>
          <w:lang w:eastAsia="en-GB"/>
        </w:rPr>
        <w:t xml:space="preserve"> or </w:t>
      </w:r>
      <w:r w:rsidR="00895001">
        <w:rPr>
          <w:sz w:val="18"/>
          <w:lang w:eastAsia="en-GB"/>
        </w:rPr>
        <w:t>4</w:t>
      </w:r>
      <w:r w:rsidR="00895001" w:rsidRPr="005E05B8">
        <w:rPr>
          <w:sz w:val="18"/>
          <w:lang w:eastAsia="en-GB"/>
        </w:rPr>
        <w:t xml:space="preserve"> in the national communication.</w:t>
      </w:r>
    </w:p>
    <w:p w14:paraId="29233766" w14:textId="1495168D" w:rsidR="00895001" w:rsidRPr="0039231C" w:rsidRDefault="000E0429" w:rsidP="000E0429">
      <w:pPr>
        <w:spacing w:line="220" w:lineRule="exact"/>
        <w:ind w:right="919" w:firstLine="284"/>
        <w:rPr>
          <w:rFonts w:eastAsia="MS Mincho"/>
          <w:sz w:val="18"/>
          <w:lang w:eastAsia="ja-JP"/>
        </w:rPr>
      </w:pPr>
      <w:r w:rsidRPr="0039231C">
        <w:rPr>
          <w:rFonts w:eastAsia="MS Mincho"/>
          <w:i/>
          <w:sz w:val="18"/>
          <w:vertAlign w:val="superscript"/>
          <w:lang w:eastAsia="ja-JP"/>
        </w:rPr>
        <w:t xml:space="preserve">b   </w:t>
      </w:r>
      <w:r w:rsidR="00895001" w:rsidRPr="0039231C">
        <w:rPr>
          <w:rFonts w:eastAsia="MS Mincho"/>
          <w:sz w:val="18"/>
          <w:szCs w:val="18"/>
          <w:lang w:eastAsia="ja-JP"/>
        </w:rPr>
        <w:t xml:space="preserve">Emissions and removals reported in these columns should be </w:t>
      </w:r>
      <w:r w:rsidR="00895001" w:rsidRPr="0039231C">
        <w:rPr>
          <w:rFonts w:eastAsia="MS Mincho"/>
          <w:sz w:val="18"/>
          <w:szCs w:val="16"/>
          <w:lang w:eastAsia="ja-JP"/>
        </w:rPr>
        <w:t>as reported in the most recent annual inventory submission available and</w:t>
      </w:r>
      <w:r w:rsidR="00895001" w:rsidRPr="0039231C">
        <w:rPr>
          <w:rFonts w:eastAsia="MS Mincho"/>
          <w:szCs w:val="18"/>
          <w:lang w:eastAsia="ja-JP"/>
        </w:rPr>
        <w:t xml:space="preserve"> </w:t>
      </w:r>
      <w:r w:rsidR="00895001" w:rsidRPr="0039231C">
        <w:rPr>
          <w:rFonts w:eastAsia="MS Mincho"/>
          <w:sz w:val="18"/>
          <w:szCs w:val="18"/>
          <w:lang w:eastAsia="ja-JP"/>
        </w:rPr>
        <w:t xml:space="preserve">consistent with the emissions and removals reported in the table on GHG emissions and trends provided in accordance with section IV of these guidelines. </w:t>
      </w:r>
      <w:r w:rsidR="00895001" w:rsidRPr="0039231C">
        <w:rPr>
          <w:sz w:val="18"/>
          <w:szCs w:val="18"/>
        </w:rPr>
        <w:t>Where the sectoral breakdown differs from that reported in the GHG inventory, Parties should explain in their national communication</w:t>
      </w:r>
      <w:r w:rsidR="00895001" w:rsidRPr="0039231C" w:rsidDel="00A141BA">
        <w:rPr>
          <w:sz w:val="18"/>
          <w:szCs w:val="18"/>
        </w:rPr>
        <w:t xml:space="preserve"> </w:t>
      </w:r>
      <w:r w:rsidR="00895001" w:rsidRPr="0039231C">
        <w:rPr>
          <w:sz w:val="18"/>
          <w:szCs w:val="18"/>
        </w:rPr>
        <w:t xml:space="preserve">how the inventory sectors relate to the sectors reported in this table. </w:t>
      </w:r>
    </w:p>
    <w:p w14:paraId="4710FBA7" w14:textId="60A0D194" w:rsidR="00895001" w:rsidRPr="0039231C" w:rsidRDefault="000E0429" w:rsidP="000E0429">
      <w:pPr>
        <w:spacing w:line="220" w:lineRule="exact"/>
        <w:ind w:right="919" w:firstLine="284"/>
        <w:rPr>
          <w:rFonts w:eastAsia="MS Mincho"/>
          <w:sz w:val="18"/>
          <w:lang w:eastAsia="ja-JP"/>
        </w:rPr>
      </w:pPr>
      <w:r w:rsidRPr="0039231C">
        <w:rPr>
          <w:rFonts w:eastAsia="MS Mincho"/>
          <w:i/>
          <w:sz w:val="18"/>
          <w:vertAlign w:val="superscript"/>
          <w:lang w:eastAsia="ja-JP"/>
        </w:rPr>
        <w:t xml:space="preserve">c   </w:t>
      </w:r>
      <w:r w:rsidR="00895001" w:rsidRPr="0039231C">
        <w:rPr>
          <w:rFonts w:eastAsia="MS Mincho"/>
          <w:sz w:val="18"/>
          <w:lang w:eastAsia="ja-JP"/>
        </w:rPr>
        <w:t>Parties may include indirect CO</w:t>
      </w:r>
      <w:r w:rsidR="00895001" w:rsidRPr="0039231C">
        <w:rPr>
          <w:rFonts w:eastAsia="MS Mincho"/>
          <w:sz w:val="18"/>
          <w:vertAlign w:val="subscript"/>
          <w:lang w:eastAsia="ja-JP"/>
        </w:rPr>
        <w:t>2</w:t>
      </w:r>
      <w:r w:rsidR="00895001" w:rsidRPr="0039231C">
        <w:rPr>
          <w:rFonts w:eastAsia="MS Mincho"/>
          <w:sz w:val="18"/>
          <w:lang w:eastAsia="ja-JP"/>
        </w:rPr>
        <w:t xml:space="preserve"> emissions in historical GHG emissions and in GHG emission projections and shall indicate this in a custom footnote below.</w:t>
      </w:r>
    </w:p>
    <w:p w14:paraId="719306F6" w14:textId="09AA2D84" w:rsidR="00895001" w:rsidRPr="005E05B8" w:rsidRDefault="000E0429" w:rsidP="000E0429">
      <w:pPr>
        <w:spacing w:line="220" w:lineRule="exact"/>
        <w:ind w:right="919" w:firstLine="284"/>
        <w:rPr>
          <w:rFonts w:eastAsia="MS Mincho"/>
          <w:sz w:val="18"/>
          <w:lang w:eastAsia="ja-JP"/>
        </w:rPr>
      </w:pPr>
      <w:r w:rsidRPr="005E05B8">
        <w:rPr>
          <w:rFonts w:eastAsia="MS Mincho"/>
          <w:i/>
          <w:sz w:val="18"/>
          <w:vertAlign w:val="superscript"/>
          <w:lang w:eastAsia="ja-JP"/>
        </w:rPr>
        <w:t xml:space="preserve">d   </w:t>
      </w:r>
      <w:r w:rsidR="00895001" w:rsidRPr="005E05B8">
        <w:rPr>
          <w:rFonts w:eastAsia="Calibri"/>
          <w:sz w:val="18"/>
          <w:szCs w:val="18"/>
          <w:lang w:eastAsia="en-US"/>
        </w:rPr>
        <w:t xml:space="preserve">Parties should include projections on a quantitative basis starting from the most recent inventory year and </w:t>
      </w:r>
      <w:r w:rsidR="00895001">
        <w:rPr>
          <w:rFonts w:eastAsia="Calibri"/>
          <w:sz w:val="18"/>
          <w:szCs w:val="18"/>
          <w:lang w:eastAsia="en-US"/>
        </w:rPr>
        <w:t xml:space="preserve">for </w:t>
      </w:r>
      <w:r w:rsidR="00895001" w:rsidRPr="005E05B8">
        <w:rPr>
          <w:rFonts w:eastAsia="Calibri"/>
          <w:sz w:val="18"/>
          <w:szCs w:val="18"/>
          <w:lang w:eastAsia="en-US"/>
        </w:rPr>
        <w:t xml:space="preserve">subsequent years that end in either a </w:t>
      </w:r>
      <w:r w:rsidR="00895001">
        <w:rPr>
          <w:rFonts w:eastAsia="Calibri"/>
          <w:sz w:val="18"/>
          <w:szCs w:val="18"/>
          <w:lang w:eastAsia="en-US"/>
        </w:rPr>
        <w:t>zero</w:t>
      </w:r>
      <w:r w:rsidR="00895001" w:rsidRPr="005E05B8">
        <w:rPr>
          <w:rFonts w:eastAsia="Calibri"/>
          <w:sz w:val="18"/>
          <w:szCs w:val="18"/>
          <w:lang w:eastAsia="en-US"/>
        </w:rPr>
        <w:t xml:space="preserve"> or a </w:t>
      </w:r>
      <w:r w:rsidR="00895001">
        <w:rPr>
          <w:rFonts w:eastAsia="Calibri"/>
          <w:sz w:val="18"/>
          <w:szCs w:val="18"/>
          <w:lang w:eastAsia="en-US"/>
        </w:rPr>
        <w:t>five</w:t>
      </w:r>
      <w:r w:rsidR="00895001" w:rsidRPr="005E05B8">
        <w:rPr>
          <w:rFonts w:eastAsia="Calibri"/>
          <w:sz w:val="18"/>
          <w:szCs w:val="18"/>
          <w:lang w:eastAsia="en-US"/>
        </w:rPr>
        <w:t xml:space="preserve">, extending at least 15 years from the </w:t>
      </w:r>
      <w:r w:rsidR="00895001">
        <w:rPr>
          <w:rFonts w:eastAsia="Calibri"/>
          <w:sz w:val="18"/>
          <w:szCs w:val="18"/>
          <w:lang w:eastAsia="en-US"/>
        </w:rPr>
        <w:t>most recent</w:t>
      </w:r>
      <w:r w:rsidR="00895001" w:rsidRPr="005E05B8">
        <w:rPr>
          <w:rFonts w:eastAsia="Calibri"/>
          <w:sz w:val="18"/>
          <w:szCs w:val="18"/>
          <w:lang w:eastAsia="en-US"/>
        </w:rPr>
        <w:t xml:space="preserve"> inventory year.</w:t>
      </w:r>
    </w:p>
    <w:p w14:paraId="307F0EA5" w14:textId="3C9A61E4" w:rsidR="00895001" w:rsidRPr="00695316" w:rsidRDefault="000E0429" w:rsidP="000E0429">
      <w:pPr>
        <w:spacing w:line="220" w:lineRule="exact"/>
        <w:ind w:right="919" w:firstLine="284"/>
        <w:rPr>
          <w:rFonts w:eastAsia="MS Mincho"/>
          <w:sz w:val="18"/>
          <w:lang w:eastAsia="ja-JP"/>
        </w:rPr>
      </w:pPr>
      <w:r w:rsidRPr="00695316">
        <w:rPr>
          <w:rFonts w:eastAsia="MS Mincho"/>
          <w:i/>
          <w:sz w:val="18"/>
          <w:vertAlign w:val="superscript"/>
          <w:lang w:eastAsia="ja-JP"/>
        </w:rPr>
        <w:t xml:space="preserve">e   </w:t>
      </w:r>
      <w:r w:rsidR="00895001" w:rsidRPr="00695316">
        <w:rPr>
          <w:sz w:val="18"/>
        </w:rPr>
        <w:t>The most recent inventory year.</w:t>
      </w:r>
    </w:p>
    <w:p w14:paraId="15618C69" w14:textId="1B1CD815" w:rsidR="00895001" w:rsidRPr="00CB4F08" w:rsidRDefault="000E0429" w:rsidP="000E0429">
      <w:pPr>
        <w:spacing w:line="220" w:lineRule="exact"/>
        <w:ind w:right="919" w:firstLine="284"/>
        <w:rPr>
          <w:rFonts w:eastAsia="MS Mincho"/>
          <w:sz w:val="18"/>
          <w:lang w:eastAsia="ja-JP"/>
        </w:rPr>
      </w:pPr>
      <w:r w:rsidRPr="00CB4F08">
        <w:rPr>
          <w:rFonts w:eastAsia="MS Mincho"/>
          <w:i/>
          <w:sz w:val="18"/>
          <w:vertAlign w:val="superscript"/>
          <w:lang w:eastAsia="ja-JP"/>
        </w:rPr>
        <w:t xml:space="preserve">f   </w:t>
      </w:r>
      <w:r w:rsidR="00895001" w:rsidRPr="00695316">
        <w:rPr>
          <w:sz w:val="18"/>
        </w:rPr>
        <w:t xml:space="preserve">A year that ends in either a </w:t>
      </w:r>
      <w:r w:rsidR="00895001">
        <w:rPr>
          <w:sz w:val="18"/>
        </w:rPr>
        <w:t>zero</w:t>
      </w:r>
      <w:r w:rsidR="00895001" w:rsidRPr="00695316">
        <w:rPr>
          <w:sz w:val="18"/>
        </w:rPr>
        <w:t xml:space="preserve"> or a </w:t>
      </w:r>
      <w:r w:rsidR="00895001">
        <w:rPr>
          <w:sz w:val="18"/>
        </w:rPr>
        <w:t>five</w:t>
      </w:r>
      <w:r w:rsidR="00895001" w:rsidRPr="00695316">
        <w:rPr>
          <w:sz w:val="18"/>
        </w:rPr>
        <w:t>, following the most recent inventory year</w:t>
      </w:r>
      <w:r w:rsidR="00895001">
        <w:rPr>
          <w:sz w:val="18"/>
        </w:rPr>
        <w:t xml:space="preserve">, </w:t>
      </w:r>
      <w:r w:rsidR="00895001" w:rsidRPr="005A2280">
        <w:rPr>
          <w:sz w:val="18"/>
          <w:lang w:val="en-US"/>
        </w:rPr>
        <w:t xml:space="preserve">extending at least 15 years from </w:t>
      </w:r>
      <w:r w:rsidR="00895001" w:rsidRPr="00CB4F08">
        <w:rPr>
          <w:sz w:val="18"/>
          <w:lang w:val="en-US"/>
        </w:rPr>
        <w:t>the most recent inventory year.</w:t>
      </w:r>
    </w:p>
    <w:p w14:paraId="5A546206" w14:textId="55F4603D" w:rsidR="00895001" w:rsidRPr="00695316" w:rsidRDefault="000E0429" w:rsidP="000E0429">
      <w:pPr>
        <w:spacing w:line="220" w:lineRule="exact"/>
        <w:ind w:right="919" w:firstLine="284"/>
        <w:rPr>
          <w:rFonts w:eastAsia="MS Mincho"/>
          <w:sz w:val="18"/>
          <w:lang w:eastAsia="ja-JP"/>
        </w:rPr>
      </w:pPr>
      <w:r w:rsidRPr="00695316">
        <w:rPr>
          <w:rFonts w:eastAsia="MS Mincho"/>
          <w:i/>
          <w:sz w:val="18"/>
          <w:vertAlign w:val="superscript"/>
          <w:lang w:eastAsia="ja-JP"/>
        </w:rPr>
        <w:t xml:space="preserve">g   </w:t>
      </w:r>
      <w:r w:rsidR="00895001" w:rsidRPr="00695316">
        <w:rPr>
          <w:rFonts w:eastAsia="MS Mincho"/>
          <w:sz w:val="18"/>
          <w:szCs w:val="18"/>
          <w:lang w:eastAsia="ja-JP"/>
        </w:rPr>
        <w:t>In accordance with paragraph 31 of the</w:t>
      </w:r>
      <w:r w:rsidR="00895001">
        <w:rPr>
          <w:rFonts w:eastAsia="MS Mincho"/>
          <w:sz w:val="18"/>
          <w:szCs w:val="18"/>
          <w:lang w:eastAsia="ja-JP"/>
        </w:rPr>
        <w:t>se guidelines</w:t>
      </w:r>
      <w:r w:rsidR="00895001" w:rsidRPr="00695316">
        <w:rPr>
          <w:rFonts w:eastAsia="MS Mincho"/>
          <w:sz w:val="18"/>
          <w:szCs w:val="18"/>
          <w:lang w:eastAsia="ja-JP"/>
        </w:rPr>
        <w:t>, p</w:t>
      </w:r>
      <w:r w:rsidR="00895001" w:rsidRPr="00695316">
        <w:rPr>
          <w:rFonts w:eastAsia="Times New Roman"/>
          <w:sz w:val="18"/>
          <w:szCs w:val="18"/>
          <w:lang w:eastAsia="en-GB"/>
        </w:rPr>
        <w:t>rojections shall be presented on a sectoral basis, to the extent possible, using the same sectoral categories used in the GHG inventories</w:t>
      </w:r>
      <w:r w:rsidR="00895001" w:rsidRPr="00695316">
        <w:rPr>
          <w:rFonts w:eastAsia="MS Mincho"/>
          <w:sz w:val="18"/>
          <w:szCs w:val="18"/>
          <w:lang w:eastAsia="ja-JP"/>
        </w:rPr>
        <w:t>. This table should follow, to the extent possible, the same sectoral categories as those listed in paragraph 14 of th</w:t>
      </w:r>
      <w:r w:rsidR="00895001">
        <w:rPr>
          <w:rFonts w:eastAsia="MS Mincho"/>
          <w:sz w:val="18"/>
          <w:szCs w:val="18"/>
          <w:lang w:eastAsia="ja-JP"/>
        </w:rPr>
        <w:t>e</w:t>
      </w:r>
      <w:r w:rsidR="00895001" w:rsidRPr="00695316">
        <w:rPr>
          <w:rFonts w:eastAsia="MS Mincho"/>
          <w:sz w:val="18"/>
          <w:szCs w:val="18"/>
          <w:lang w:eastAsia="ja-JP"/>
        </w:rPr>
        <w:t>se guidelines</w:t>
      </w:r>
      <w:r w:rsidR="00895001">
        <w:rPr>
          <w:rFonts w:eastAsia="MS Mincho"/>
          <w:sz w:val="18"/>
          <w:szCs w:val="18"/>
          <w:lang w:eastAsia="ja-JP"/>
        </w:rPr>
        <w:t>;</w:t>
      </w:r>
      <w:r w:rsidR="00895001" w:rsidRPr="00695316">
        <w:rPr>
          <w:rFonts w:eastAsia="MS Mincho"/>
          <w:sz w:val="18"/>
          <w:szCs w:val="18"/>
          <w:lang w:eastAsia="ja-JP"/>
        </w:rPr>
        <w:t xml:space="preserve"> namely, t</w:t>
      </w:r>
      <w:r w:rsidR="00895001" w:rsidRPr="00695316">
        <w:rPr>
          <w:rFonts w:eastAsia="Times New Roman"/>
          <w:sz w:val="18"/>
          <w:szCs w:val="18"/>
          <w:lang w:eastAsia="en-GB"/>
        </w:rPr>
        <w:t>o the extent appropriate, the following sectors should be considered: energy, transport, industry/industrial processes</w:t>
      </w:r>
      <w:r w:rsidR="00895001" w:rsidRPr="00695316">
        <w:rPr>
          <w:rFonts w:eastAsia="Calibri"/>
          <w:sz w:val="24"/>
          <w:szCs w:val="24"/>
          <w:lang w:eastAsia="en-US"/>
        </w:rPr>
        <w:t xml:space="preserve"> </w:t>
      </w:r>
      <w:r w:rsidR="00895001" w:rsidRPr="00695316">
        <w:rPr>
          <w:rFonts w:eastAsia="Times New Roman"/>
          <w:sz w:val="18"/>
          <w:szCs w:val="18"/>
          <w:lang w:eastAsia="en-GB"/>
        </w:rPr>
        <w:t>and product use, agriculture, forestry/LULUCF,</w:t>
      </w:r>
      <w:r w:rsidR="00895001" w:rsidRPr="00695316">
        <w:rPr>
          <w:rFonts w:eastAsia="Times New Roman"/>
          <w:b/>
          <w:sz w:val="18"/>
          <w:szCs w:val="18"/>
          <w:lang w:eastAsia="en-GB"/>
        </w:rPr>
        <w:t xml:space="preserve"> </w:t>
      </w:r>
      <w:r w:rsidR="00895001" w:rsidRPr="00695316">
        <w:rPr>
          <w:rFonts w:eastAsia="Times New Roman"/>
          <w:sz w:val="18"/>
          <w:szCs w:val="18"/>
          <w:lang w:eastAsia="en-GB"/>
        </w:rPr>
        <w:t>waste management/waste, other sectors and cross-cutting.</w:t>
      </w:r>
    </w:p>
    <w:p w14:paraId="72415DC3" w14:textId="0F29E9A0" w:rsidR="00895001" w:rsidRPr="00695316" w:rsidRDefault="000E0429" w:rsidP="000E0429">
      <w:pPr>
        <w:spacing w:line="220" w:lineRule="exact"/>
        <w:ind w:right="919" w:firstLine="284"/>
        <w:rPr>
          <w:rFonts w:eastAsia="Times New Roman"/>
          <w:b/>
          <w:sz w:val="18"/>
          <w:szCs w:val="18"/>
          <w:lang w:eastAsia="en-US"/>
        </w:rPr>
      </w:pPr>
      <w:r w:rsidRPr="00695316">
        <w:rPr>
          <w:rFonts w:eastAsia="Times New Roman"/>
          <w:i/>
          <w:sz w:val="18"/>
          <w:szCs w:val="18"/>
          <w:vertAlign w:val="superscript"/>
          <w:lang w:eastAsia="en-US"/>
        </w:rPr>
        <w:t xml:space="preserve">h   </w:t>
      </w:r>
      <w:r w:rsidR="00895001" w:rsidRPr="00695316">
        <w:rPr>
          <w:rFonts w:eastAsia="MS Mincho"/>
          <w:sz w:val="18"/>
          <w:szCs w:val="18"/>
          <w:lang w:eastAsia="ja-JP"/>
        </w:rPr>
        <w:t>To the extent possible, the following sectors should be used: energy, transport, industry/industrial processes</w:t>
      </w:r>
      <w:r w:rsidR="00895001" w:rsidRPr="00695316">
        <w:rPr>
          <w:rFonts w:eastAsia="Calibri"/>
          <w:sz w:val="24"/>
          <w:szCs w:val="24"/>
          <w:lang w:eastAsia="en-US"/>
        </w:rPr>
        <w:t xml:space="preserve"> </w:t>
      </w:r>
      <w:r w:rsidR="00895001" w:rsidRPr="00695316">
        <w:rPr>
          <w:rFonts w:eastAsia="MS Mincho"/>
          <w:sz w:val="18"/>
          <w:szCs w:val="18"/>
          <w:lang w:eastAsia="ja-JP"/>
        </w:rPr>
        <w:t xml:space="preserve">and product use, agriculture, forestry/LULUCF, waste management/waste, other sectors (i.e. cross-cutting), as appropriate. </w:t>
      </w:r>
    </w:p>
    <w:p w14:paraId="50B6FD05" w14:textId="65E4A20E" w:rsidR="00895001" w:rsidRPr="00695316" w:rsidRDefault="000E0429" w:rsidP="000E0429">
      <w:pPr>
        <w:spacing w:line="220" w:lineRule="exact"/>
        <w:ind w:right="919" w:firstLine="284"/>
        <w:rPr>
          <w:rFonts w:eastAsia="MS Mincho"/>
          <w:sz w:val="18"/>
          <w:lang w:eastAsia="ja-JP"/>
        </w:rPr>
      </w:pPr>
      <w:r w:rsidRPr="00695316">
        <w:rPr>
          <w:rFonts w:eastAsia="MS Mincho"/>
          <w:i/>
          <w:sz w:val="18"/>
          <w:vertAlign w:val="superscript"/>
          <w:lang w:eastAsia="ja-JP"/>
        </w:rPr>
        <w:t xml:space="preserve">i   </w:t>
      </w:r>
      <w:r w:rsidR="00895001" w:rsidRPr="00695316">
        <w:rPr>
          <w:rFonts w:eastAsia="MS Mincho"/>
          <w:sz w:val="18"/>
          <w:szCs w:val="18"/>
          <w:lang w:eastAsia="ja-JP"/>
        </w:rPr>
        <w:t>Parties may choose to report total emissions with or without LULUCF, as appropriate.</w:t>
      </w:r>
    </w:p>
    <w:p w14:paraId="17159A56" w14:textId="77777777" w:rsidR="00895001" w:rsidRPr="00695316" w:rsidRDefault="00895001" w:rsidP="00895001">
      <w:pPr>
        <w:suppressAutoHyphens w:val="0"/>
        <w:spacing w:line="240" w:lineRule="auto"/>
        <w:ind w:right="919"/>
        <w:rPr>
          <w:rFonts w:eastAsia="MS Mincho"/>
          <w:sz w:val="18"/>
          <w:szCs w:val="18"/>
          <w:lang w:eastAsia="ja-JP"/>
        </w:rPr>
      </w:pPr>
    </w:p>
    <w:p w14:paraId="32CE8FD6" w14:textId="77777777" w:rsidR="00895001" w:rsidRDefault="00895001" w:rsidP="00895001">
      <w:pPr>
        <w:suppressAutoHyphens w:val="0"/>
        <w:spacing w:line="240" w:lineRule="auto"/>
        <w:ind w:right="919"/>
        <w:rPr>
          <w:rFonts w:eastAsia="Calibri"/>
          <w:b/>
          <w:i/>
          <w:sz w:val="18"/>
          <w:szCs w:val="18"/>
          <w:lang w:eastAsia="en-US"/>
        </w:rPr>
      </w:pPr>
      <w:r w:rsidRPr="00695316">
        <w:rPr>
          <w:rFonts w:eastAsia="Calibri"/>
          <w:b/>
          <w:i/>
          <w:sz w:val="18"/>
          <w:szCs w:val="18"/>
          <w:lang w:eastAsia="en-US"/>
        </w:rPr>
        <w:t>Custom footnote</w:t>
      </w:r>
    </w:p>
    <w:p w14:paraId="3970E03B" w14:textId="77777777" w:rsidR="00895001" w:rsidRDefault="00895001" w:rsidP="00895001">
      <w:pPr>
        <w:sectPr w:rsidR="00895001" w:rsidSect="008F63F4">
          <w:headerReference w:type="even" r:id="rId29"/>
          <w:headerReference w:type="default" r:id="rId30"/>
          <w:footerReference w:type="even" r:id="rId31"/>
          <w:footerReference w:type="default" r:id="rId32"/>
          <w:pgSz w:w="16838" w:h="11906" w:orient="landscape" w:code="9"/>
          <w:pgMar w:top="1134" w:right="1701" w:bottom="1134" w:left="2268" w:header="567" w:footer="567" w:gutter="0"/>
          <w:cols w:space="708"/>
          <w:docGrid w:linePitch="360"/>
        </w:sectPr>
      </w:pPr>
    </w:p>
    <w:p w14:paraId="67CDF3BC" w14:textId="77777777" w:rsidR="001B289E" w:rsidRDefault="001B289E" w:rsidP="001B289E">
      <w:pPr>
        <w:pStyle w:val="RegSingleTxtG"/>
        <w:numPr>
          <w:ilvl w:val="0"/>
          <w:numId w:val="0"/>
        </w:numPr>
        <w:ind w:left="1135"/>
        <w:rPr>
          <w:lang w:eastAsia="en-US"/>
        </w:rPr>
      </w:pPr>
    </w:p>
    <w:p w14:paraId="3A5708F5" w14:textId="463B2419" w:rsidR="00895001" w:rsidRPr="00170C38" w:rsidRDefault="000E0429" w:rsidP="000E0429">
      <w:pPr>
        <w:pStyle w:val="RegSingleTxtG"/>
        <w:numPr>
          <w:ilvl w:val="0"/>
          <w:numId w:val="0"/>
        </w:numPr>
        <w:tabs>
          <w:tab w:val="left" w:pos="568"/>
        </w:tabs>
        <w:ind w:left="1135"/>
        <w:rPr>
          <w:lang w:eastAsia="en-US"/>
        </w:rPr>
      </w:pPr>
      <w:r w:rsidRPr="00170C38">
        <w:rPr>
          <w:lang w:eastAsia="en-US"/>
        </w:rPr>
        <w:t>35.</w:t>
      </w:r>
      <w:r w:rsidRPr="00170C38">
        <w:rPr>
          <w:lang w:eastAsia="en-US"/>
        </w:rPr>
        <w:tab/>
      </w:r>
      <w:r w:rsidR="00895001" w:rsidRPr="00170C38">
        <w:rPr>
          <w:lang w:eastAsia="en-US"/>
        </w:rPr>
        <w:t>Figures illustrating the information referred to in paragraphs 31–34 above should be presented showing unadjusted inventory data and a ‘with measures’ projection for the period from 1990 (or another base year, as appropriate) to the most recent inventory year and for subsequent years that end in either a zero or a five, extending at least 15 years from the most recent inventory year. Additional figures may also be presented. The figure below illustrates the presentation of a hypothetical Party’s projection of emissions. It shows unadjusted inventory data for the period from 1990 to the most recent inventory year and ‘with measures’, ‘with additional measures’ and ‘without measures’ projections.</w:t>
      </w:r>
    </w:p>
    <w:p w14:paraId="5CA3E0F8" w14:textId="77777777" w:rsidR="00895001" w:rsidRPr="00170C38" w:rsidRDefault="00895001" w:rsidP="001B289E">
      <w:pPr>
        <w:suppressAutoHyphens w:val="0"/>
        <w:autoSpaceDE w:val="0"/>
        <w:autoSpaceDN w:val="0"/>
        <w:adjustRightInd w:val="0"/>
        <w:spacing w:line="240" w:lineRule="auto"/>
        <w:ind w:left="1134"/>
        <w:jc w:val="both"/>
        <w:rPr>
          <w:rFonts w:eastAsia="Calibri"/>
          <w:b/>
          <w:lang w:eastAsia="en-US"/>
        </w:rPr>
      </w:pPr>
      <w:r w:rsidRPr="00170C38">
        <w:rPr>
          <w:rFonts w:eastAsia="Calibri"/>
          <w:b/>
          <w:lang w:eastAsia="en-US"/>
        </w:rPr>
        <w:t xml:space="preserve">Hypothetical Party’s projection of emissions </w:t>
      </w:r>
    </w:p>
    <w:p w14:paraId="6FE35831" w14:textId="77777777" w:rsidR="00895001" w:rsidRPr="00F071DA" w:rsidRDefault="00895001" w:rsidP="00895001">
      <w:pPr>
        <w:suppressAutoHyphens w:val="0"/>
        <w:autoSpaceDE w:val="0"/>
        <w:autoSpaceDN w:val="0"/>
        <w:adjustRightInd w:val="0"/>
        <w:spacing w:line="240" w:lineRule="auto"/>
        <w:jc w:val="center"/>
        <w:rPr>
          <w:rFonts w:eastAsia="Calibri"/>
          <w:sz w:val="24"/>
          <w:szCs w:val="24"/>
          <w:lang w:eastAsia="en-US"/>
        </w:rPr>
      </w:pPr>
      <w:r>
        <w:rPr>
          <w:rFonts w:eastAsia="Calibri"/>
          <w:noProof/>
          <w:sz w:val="24"/>
          <w:szCs w:val="24"/>
          <w:lang w:val="en-US" w:eastAsia="en-US"/>
        </w:rPr>
        <w:drawing>
          <wp:inline distT="0" distB="0" distL="0" distR="0" wp14:anchorId="20938B28" wp14:editId="574E4250">
            <wp:extent cx="5810163" cy="301354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815199" cy="3016157"/>
                    </a:xfrm>
                    <a:prstGeom prst="rect">
                      <a:avLst/>
                    </a:prstGeom>
                    <a:noFill/>
                  </pic:spPr>
                </pic:pic>
              </a:graphicData>
            </a:graphic>
          </wp:inline>
        </w:drawing>
      </w:r>
    </w:p>
    <w:p w14:paraId="4E9D37AF" w14:textId="01842990" w:rsidR="00895001" w:rsidRPr="00F071DA" w:rsidRDefault="000E0429" w:rsidP="000E0429">
      <w:pPr>
        <w:pStyle w:val="RegH1G"/>
        <w:numPr>
          <w:ilvl w:val="0"/>
          <w:numId w:val="0"/>
        </w:numPr>
        <w:tabs>
          <w:tab w:val="left" w:pos="1135"/>
        </w:tabs>
        <w:ind w:left="1135" w:hanging="454"/>
        <w:rPr>
          <w:lang w:eastAsia="en-US"/>
        </w:rPr>
      </w:pPr>
      <w:r w:rsidRPr="00F071DA">
        <w:rPr>
          <w:lang w:eastAsia="en-US"/>
        </w:rPr>
        <w:t>E.</w:t>
      </w:r>
      <w:r w:rsidRPr="00F071DA">
        <w:rPr>
          <w:lang w:eastAsia="en-US"/>
        </w:rPr>
        <w:tab/>
      </w:r>
      <w:r w:rsidR="00895001" w:rsidRPr="00F071DA">
        <w:rPr>
          <w:lang w:eastAsia="en-US"/>
        </w:rPr>
        <w:t>Assessment of aggregate effect of policies and measures</w:t>
      </w:r>
    </w:p>
    <w:p w14:paraId="191A8AF5" w14:textId="52938C8F" w:rsidR="00895001" w:rsidRPr="00952179" w:rsidRDefault="000E0429" w:rsidP="000E0429">
      <w:pPr>
        <w:pStyle w:val="RegSingleTxtG"/>
        <w:numPr>
          <w:ilvl w:val="0"/>
          <w:numId w:val="0"/>
        </w:numPr>
        <w:tabs>
          <w:tab w:val="left" w:pos="568"/>
        </w:tabs>
        <w:ind w:left="1135"/>
        <w:rPr>
          <w:lang w:eastAsia="en-US"/>
        </w:rPr>
      </w:pPr>
      <w:r w:rsidRPr="00952179">
        <w:rPr>
          <w:lang w:eastAsia="en-US"/>
        </w:rPr>
        <w:t>36.</w:t>
      </w:r>
      <w:r w:rsidRPr="00952179">
        <w:rPr>
          <w:lang w:eastAsia="en-US"/>
        </w:rPr>
        <w:tab/>
      </w:r>
      <w:r w:rsidR="00895001" w:rsidRPr="00952179">
        <w:rPr>
          <w:lang w:eastAsia="en-US"/>
        </w:rPr>
        <w:t xml:space="preserve">The estimated and expected effects of individual policies and measures are addressed in the policies and measures section of the national communication. In the projections section of the national communication, Parties shall present the estimated and expected total effect of implemented and adopted policies and measures. Parties may also present the total expected effect of planned policies and measures. </w:t>
      </w:r>
    </w:p>
    <w:p w14:paraId="192A7DF5" w14:textId="3462EFBA" w:rsidR="00895001" w:rsidRPr="00952179" w:rsidRDefault="000E0429" w:rsidP="000E0429">
      <w:pPr>
        <w:pStyle w:val="RegSingleTxtG"/>
        <w:numPr>
          <w:ilvl w:val="0"/>
          <w:numId w:val="0"/>
        </w:numPr>
        <w:tabs>
          <w:tab w:val="left" w:pos="568"/>
        </w:tabs>
        <w:ind w:left="1135"/>
        <w:rPr>
          <w:lang w:eastAsia="en-US"/>
        </w:rPr>
      </w:pPr>
      <w:r w:rsidRPr="00952179">
        <w:rPr>
          <w:lang w:eastAsia="en-US"/>
        </w:rPr>
        <w:t>37.</w:t>
      </w:r>
      <w:r w:rsidRPr="00952179">
        <w:rPr>
          <w:lang w:eastAsia="en-US"/>
        </w:rPr>
        <w:tab/>
      </w:r>
      <w:r w:rsidR="00895001" w:rsidRPr="00952179">
        <w:rPr>
          <w:lang w:eastAsia="en-US"/>
        </w:rPr>
        <w:t>Parties shall provide an estimate of the total effect of their policies and measures, in accordance with the ‘with measures’ definition, compared with a situation without such policies and measures. That effect shall be presented in terms of GHG emissions avoided or sequestered, by gas (on a CO2 eq basis), in the most recent inventory year and in subsequent years that end in either a zero or a five, extending at least 15 years from the most recent inventory year (not cumulative savings). This information may be presented in tabular format.</w:t>
      </w:r>
    </w:p>
    <w:p w14:paraId="38B411EB" w14:textId="24FA60DE" w:rsidR="00895001" w:rsidRPr="00952179" w:rsidRDefault="000E0429" w:rsidP="000E0429">
      <w:pPr>
        <w:pStyle w:val="RegSingleTxtG"/>
        <w:numPr>
          <w:ilvl w:val="0"/>
          <w:numId w:val="0"/>
        </w:numPr>
        <w:tabs>
          <w:tab w:val="left" w:pos="568"/>
        </w:tabs>
        <w:ind w:left="1135"/>
        <w:rPr>
          <w:lang w:eastAsia="en-US"/>
        </w:rPr>
      </w:pPr>
      <w:r w:rsidRPr="00952179">
        <w:rPr>
          <w:lang w:eastAsia="en-US"/>
        </w:rPr>
        <w:t>38.</w:t>
      </w:r>
      <w:r w:rsidRPr="00952179">
        <w:rPr>
          <w:lang w:eastAsia="en-US"/>
        </w:rPr>
        <w:tab/>
      </w:r>
      <w:r w:rsidR="00895001" w:rsidRPr="00952179">
        <w:rPr>
          <w:lang w:eastAsia="en-US"/>
        </w:rPr>
        <w:t>Parties may estimate the total effect of their measures by calculating the difference between a ‘with measures’ and a ‘without measures’ projection. Alternatively, Parties may use another approach, for example individually assessing the effect of each significant policy and measure and aggregating the individual effects to arrive at a total. In either case, in the reporting it should be clear from what year onward it was assumed that policies were implemented or not implemented in calculating the estimate.</w:t>
      </w:r>
    </w:p>
    <w:p w14:paraId="3F7D27BE" w14:textId="3E5383F7" w:rsidR="00895001" w:rsidRPr="009203E1" w:rsidRDefault="000E0429" w:rsidP="000E0429">
      <w:pPr>
        <w:pStyle w:val="RegH1G"/>
        <w:numPr>
          <w:ilvl w:val="0"/>
          <w:numId w:val="0"/>
        </w:numPr>
        <w:tabs>
          <w:tab w:val="left" w:pos="1135"/>
        </w:tabs>
        <w:ind w:left="1135" w:hanging="454"/>
        <w:rPr>
          <w:lang w:eastAsia="en-US"/>
        </w:rPr>
      </w:pPr>
      <w:r w:rsidRPr="009203E1">
        <w:rPr>
          <w:lang w:eastAsia="en-US"/>
        </w:rPr>
        <w:t>F.</w:t>
      </w:r>
      <w:r w:rsidRPr="009203E1">
        <w:rPr>
          <w:lang w:eastAsia="en-US"/>
        </w:rPr>
        <w:tab/>
      </w:r>
      <w:r w:rsidR="00895001" w:rsidRPr="009203E1">
        <w:rPr>
          <w:lang w:eastAsia="en-US"/>
        </w:rPr>
        <w:t>Methodology</w:t>
      </w:r>
    </w:p>
    <w:p w14:paraId="7165F03C" w14:textId="026380DE" w:rsidR="00895001" w:rsidRPr="009203E1" w:rsidRDefault="000E0429" w:rsidP="000E0429">
      <w:pPr>
        <w:pStyle w:val="RegSingleTxtG"/>
        <w:numPr>
          <w:ilvl w:val="0"/>
          <w:numId w:val="0"/>
        </w:numPr>
        <w:tabs>
          <w:tab w:val="left" w:pos="568"/>
        </w:tabs>
        <w:ind w:left="1135"/>
        <w:rPr>
          <w:lang w:eastAsia="en-US"/>
        </w:rPr>
      </w:pPr>
      <w:r w:rsidRPr="009203E1">
        <w:rPr>
          <w:lang w:eastAsia="en-US"/>
        </w:rPr>
        <w:t>39.</w:t>
      </w:r>
      <w:r w:rsidRPr="009203E1">
        <w:rPr>
          <w:lang w:eastAsia="en-US"/>
        </w:rPr>
        <w:tab/>
      </w:r>
      <w:r w:rsidR="00895001" w:rsidRPr="009203E1">
        <w:rPr>
          <w:lang w:eastAsia="en-US"/>
        </w:rPr>
        <w:t>When projecting GHG emissions and removals and estimating the total effects of policies and measures on emissions and removals, Parties may use any models and/or approaches that they choose. Sufficient information should be reported in the national communication to allow a reader to obtain a basic understanding of such models and/or approaches.</w:t>
      </w:r>
    </w:p>
    <w:p w14:paraId="0D14F47F" w14:textId="7BF85F0D" w:rsidR="00895001" w:rsidRPr="009203E1" w:rsidRDefault="000E0429" w:rsidP="000E0429">
      <w:pPr>
        <w:pStyle w:val="RegSingleTxtG"/>
        <w:numPr>
          <w:ilvl w:val="0"/>
          <w:numId w:val="0"/>
        </w:numPr>
        <w:tabs>
          <w:tab w:val="left" w:pos="568"/>
        </w:tabs>
        <w:ind w:left="1135"/>
        <w:rPr>
          <w:lang w:eastAsia="en-US"/>
        </w:rPr>
      </w:pPr>
      <w:r w:rsidRPr="009203E1">
        <w:rPr>
          <w:lang w:eastAsia="en-US"/>
        </w:rPr>
        <w:t>40.</w:t>
      </w:r>
      <w:r w:rsidRPr="009203E1">
        <w:rPr>
          <w:lang w:eastAsia="en-US"/>
        </w:rPr>
        <w:tab/>
      </w:r>
      <w:r w:rsidR="00895001" w:rsidRPr="009203E1">
        <w:rPr>
          <w:lang w:eastAsia="en-US"/>
        </w:rPr>
        <w:t>In the interest of transparency, for each model or approach used, Parties should briefly:</w:t>
      </w:r>
    </w:p>
    <w:p w14:paraId="77F46CA6" w14:textId="0484F6B0" w:rsidR="00895001" w:rsidRPr="009203E1" w:rsidRDefault="000E0429" w:rsidP="000E0429">
      <w:pPr>
        <w:pStyle w:val="RegSingleTxtG"/>
        <w:numPr>
          <w:ilvl w:val="0"/>
          <w:numId w:val="0"/>
        </w:numPr>
        <w:tabs>
          <w:tab w:val="left" w:pos="2269"/>
        </w:tabs>
        <w:ind w:left="1135" w:firstLine="567"/>
        <w:rPr>
          <w:rFonts w:eastAsia="Calibri"/>
          <w:szCs w:val="24"/>
          <w:lang w:eastAsia="en-US"/>
        </w:rPr>
      </w:pPr>
      <w:r w:rsidRPr="009203E1">
        <w:rPr>
          <w:rFonts w:eastAsia="Calibri"/>
          <w:szCs w:val="24"/>
          <w:lang w:eastAsia="en-US"/>
        </w:rPr>
        <w:t>(a)</w:t>
      </w:r>
      <w:r w:rsidRPr="009203E1">
        <w:rPr>
          <w:rFonts w:eastAsia="Calibri"/>
          <w:szCs w:val="24"/>
          <w:lang w:eastAsia="en-US"/>
        </w:rPr>
        <w:tab/>
      </w:r>
      <w:r w:rsidR="00895001" w:rsidRPr="009203E1">
        <w:rPr>
          <w:rFonts w:eastAsia="Calibri"/>
          <w:szCs w:val="24"/>
          <w:lang w:eastAsia="en-US"/>
        </w:rPr>
        <w:t>Explain for which gases and/or sectors it was used;</w:t>
      </w:r>
    </w:p>
    <w:p w14:paraId="76F90534" w14:textId="546A13C3" w:rsidR="00895001" w:rsidRPr="009203E1" w:rsidRDefault="000E0429" w:rsidP="000E0429">
      <w:pPr>
        <w:pStyle w:val="RegSingleTxtG"/>
        <w:numPr>
          <w:ilvl w:val="0"/>
          <w:numId w:val="0"/>
        </w:numPr>
        <w:tabs>
          <w:tab w:val="left" w:pos="2269"/>
        </w:tabs>
        <w:ind w:left="1135" w:firstLine="567"/>
        <w:rPr>
          <w:rFonts w:eastAsia="Calibri"/>
          <w:szCs w:val="24"/>
          <w:lang w:eastAsia="en-US"/>
        </w:rPr>
      </w:pPr>
      <w:r w:rsidRPr="009203E1">
        <w:rPr>
          <w:rFonts w:eastAsia="Calibri"/>
          <w:szCs w:val="24"/>
          <w:lang w:eastAsia="en-US"/>
        </w:rPr>
        <w:t>(b)</w:t>
      </w:r>
      <w:r w:rsidRPr="009203E1">
        <w:rPr>
          <w:rFonts w:eastAsia="Calibri"/>
          <w:szCs w:val="24"/>
          <w:lang w:eastAsia="en-US"/>
        </w:rPr>
        <w:tab/>
      </w:r>
      <w:r w:rsidR="00895001" w:rsidRPr="009203E1">
        <w:rPr>
          <w:rFonts w:eastAsia="Calibri"/>
          <w:szCs w:val="24"/>
          <w:lang w:eastAsia="en-US"/>
        </w:rPr>
        <w:t>Describe its type and characteristics (for example, top-down model, bottom-up model, accounting model or expert judgment);</w:t>
      </w:r>
    </w:p>
    <w:p w14:paraId="4A49811E" w14:textId="47F31B45" w:rsidR="00895001" w:rsidRPr="009203E1" w:rsidRDefault="000E0429" w:rsidP="000E0429">
      <w:pPr>
        <w:pStyle w:val="RegSingleTxtG"/>
        <w:numPr>
          <w:ilvl w:val="0"/>
          <w:numId w:val="0"/>
        </w:numPr>
        <w:tabs>
          <w:tab w:val="left" w:pos="2269"/>
        </w:tabs>
        <w:ind w:left="1135" w:firstLine="567"/>
        <w:rPr>
          <w:rFonts w:eastAsia="Calibri"/>
          <w:szCs w:val="24"/>
          <w:lang w:eastAsia="en-US"/>
        </w:rPr>
      </w:pPr>
      <w:r w:rsidRPr="009203E1">
        <w:rPr>
          <w:rFonts w:eastAsia="Calibri"/>
          <w:szCs w:val="24"/>
          <w:lang w:eastAsia="en-US"/>
        </w:rPr>
        <w:t>(c)</w:t>
      </w:r>
      <w:r w:rsidRPr="009203E1">
        <w:rPr>
          <w:rFonts w:eastAsia="Calibri"/>
          <w:szCs w:val="24"/>
          <w:lang w:eastAsia="en-US"/>
        </w:rPr>
        <w:tab/>
      </w:r>
      <w:r w:rsidR="00895001" w:rsidRPr="009203E1">
        <w:rPr>
          <w:rFonts w:eastAsia="Calibri"/>
          <w:szCs w:val="24"/>
          <w:lang w:eastAsia="en-US"/>
        </w:rPr>
        <w:t>Describe the original purpose that it was designed for and, if applicable, how it has been modified for climate change purposes;</w:t>
      </w:r>
    </w:p>
    <w:p w14:paraId="00EB4507" w14:textId="49CC9168" w:rsidR="00895001" w:rsidRPr="009203E1" w:rsidRDefault="000E0429" w:rsidP="000E0429">
      <w:pPr>
        <w:pStyle w:val="RegSingleTxtG"/>
        <w:numPr>
          <w:ilvl w:val="0"/>
          <w:numId w:val="0"/>
        </w:numPr>
        <w:tabs>
          <w:tab w:val="left" w:pos="2269"/>
        </w:tabs>
        <w:ind w:left="1135" w:firstLine="567"/>
        <w:rPr>
          <w:rFonts w:eastAsia="Calibri"/>
          <w:szCs w:val="24"/>
          <w:lang w:eastAsia="en-US"/>
        </w:rPr>
      </w:pPr>
      <w:r w:rsidRPr="009203E1">
        <w:rPr>
          <w:rFonts w:eastAsia="Calibri"/>
          <w:szCs w:val="24"/>
          <w:lang w:eastAsia="en-US"/>
        </w:rPr>
        <w:t>(d)</w:t>
      </w:r>
      <w:r w:rsidRPr="009203E1">
        <w:rPr>
          <w:rFonts w:eastAsia="Calibri"/>
          <w:szCs w:val="24"/>
          <w:lang w:eastAsia="en-US"/>
        </w:rPr>
        <w:tab/>
      </w:r>
      <w:r w:rsidR="00895001" w:rsidRPr="009203E1">
        <w:rPr>
          <w:rFonts w:eastAsia="Calibri"/>
          <w:szCs w:val="24"/>
          <w:lang w:eastAsia="en-US"/>
        </w:rPr>
        <w:t>Summarize its strengths and weaknesses;</w:t>
      </w:r>
    </w:p>
    <w:p w14:paraId="5CC3CAF3" w14:textId="184C7FB9" w:rsidR="00895001" w:rsidRPr="009203E1" w:rsidRDefault="000E0429" w:rsidP="000E0429">
      <w:pPr>
        <w:pStyle w:val="RegSingleTxtG"/>
        <w:numPr>
          <w:ilvl w:val="0"/>
          <w:numId w:val="0"/>
        </w:numPr>
        <w:tabs>
          <w:tab w:val="left" w:pos="2269"/>
        </w:tabs>
        <w:ind w:left="1135" w:firstLine="567"/>
        <w:rPr>
          <w:rFonts w:eastAsia="Calibri"/>
          <w:szCs w:val="24"/>
          <w:lang w:eastAsia="en-US"/>
        </w:rPr>
      </w:pPr>
      <w:r w:rsidRPr="009203E1">
        <w:rPr>
          <w:rFonts w:eastAsia="Calibri"/>
          <w:szCs w:val="24"/>
          <w:lang w:eastAsia="en-US"/>
        </w:rPr>
        <w:t>(e)</w:t>
      </w:r>
      <w:r w:rsidRPr="009203E1">
        <w:rPr>
          <w:rFonts w:eastAsia="Calibri"/>
          <w:szCs w:val="24"/>
          <w:lang w:eastAsia="en-US"/>
        </w:rPr>
        <w:tab/>
      </w:r>
      <w:r w:rsidR="00895001" w:rsidRPr="009203E1">
        <w:rPr>
          <w:rFonts w:eastAsia="Calibri"/>
          <w:szCs w:val="24"/>
          <w:lang w:eastAsia="en-US"/>
        </w:rPr>
        <w:t>Explain how it accounts for any overlap or synergies that may exist between different policies and measures.</w:t>
      </w:r>
    </w:p>
    <w:p w14:paraId="5E4DA8F7" w14:textId="2F7E388F" w:rsidR="00895001" w:rsidRPr="004A6056" w:rsidRDefault="000E0429" w:rsidP="000E0429">
      <w:pPr>
        <w:pStyle w:val="RegSingleTxtG"/>
        <w:numPr>
          <w:ilvl w:val="0"/>
          <w:numId w:val="0"/>
        </w:numPr>
        <w:tabs>
          <w:tab w:val="left" w:pos="568"/>
        </w:tabs>
        <w:ind w:left="1135"/>
        <w:rPr>
          <w:lang w:eastAsia="en-US"/>
        </w:rPr>
      </w:pPr>
      <w:r w:rsidRPr="004A6056">
        <w:rPr>
          <w:lang w:eastAsia="en-US"/>
        </w:rPr>
        <w:t>41.</w:t>
      </w:r>
      <w:r w:rsidRPr="004A6056">
        <w:rPr>
          <w:lang w:eastAsia="en-US"/>
        </w:rPr>
        <w:tab/>
      </w:r>
      <w:r w:rsidR="00895001" w:rsidRPr="004A6056">
        <w:rPr>
          <w:lang w:eastAsia="en-US"/>
        </w:rPr>
        <w:t>Parties should provide references to more detailed information related to the information referred to in paragraph 40(a–e) above.</w:t>
      </w:r>
    </w:p>
    <w:p w14:paraId="1AFDA47D" w14:textId="05B9444F" w:rsidR="00895001" w:rsidRPr="004A6056" w:rsidRDefault="000E0429" w:rsidP="000E0429">
      <w:pPr>
        <w:pStyle w:val="RegSingleTxtG"/>
        <w:numPr>
          <w:ilvl w:val="0"/>
          <w:numId w:val="0"/>
        </w:numPr>
        <w:tabs>
          <w:tab w:val="left" w:pos="568"/>
        </w:tabs>
        <w:ind w:left="1135"/>
        <w:rPr>
          <w:lang w:eastAsia="en-US"/>
        </w:rPr>
      </w:pPr>
      <w:r w:rsidRPr="004A6056">
        <w:rPr>
          <w:lang w:eastAsia="en-US"/>
        </w:rPr>
        <w:t>42.</w:t>
      </w:r>
      <w:r w:rsidRPr="004A6056">
        <w:rPr>
          <w:lang w:eastAsia="en-US"/>
        </w:rPr>
        <w:tab/>
      </w:r>
      <w:r w:rsidR="00895001" w:rsidRPr="004A6056">
        <w:rPr>
          <w:lang w:eastAsia="en-US"/>
        </w:rPr>
        <w:t>Parties should report the main differences in assumptions, methods employed and results between the projections reported in the current national communication and those reported in previous national communications.</w:t>
      </w:r>
    </w:p>
    <w:p w14:paraId="72CAE63B" w14:textId="42139EA0" w:rsidR="00895001" w:rsidRPr="004A6056" w:rsidRDefault="000E0429" w:rsidP="000E0429">
      <w:pPr>
        <w:pStyle w:val="RegSingleTxtG"/>
        <w:numPr>
          <w:ilvl w:val="0"/>
          <w:numId w:val="0"/>
        </w:numPr>
        <w:tabs>
          <w:tab w:val="left" w:pos="568"/>
        </w:tabs>
        <w:ind w:left="1135"/>
        <w:rPr>
          <w:lang w:eastAsia="en-US"/>
        </w:rPr>
      </w:pPr>
      <w:r w:rsidRPr="004A6056">
        <w:rPr>
          <w:lang w:eastAsia="en-US"/>
        </w:rPr>
        <w:t>43.</w:t>
      </w:r>
      <w:r w:rsidRPr="004A6056">
        <w:rPr>
          <w:lang w:eastAsia="en-US"/>
        </w:rPr>
        <w:tab/>
      </w:r>
      <w:r w:rsidR="00895001" w:rsidRPr="004A6056">
        <w:rPr>
          <w:lang w:eastAsia="en-US"/>
        </w:rPr>
        <w:t>The sensitivity of the projections to underlying assumptions should be discussed qualitatively and, where possible, quantitatively.</w:t>
      </w:r>
    </w:p>
    <w:p w14:paraId="382923CE" w14:textId="74176F3E" w:rsidR="00895001" w:rsidRPr="004A6056" w:rsidRDefault="000E0429" w:rsidP="000E0429">
      <w:pPr>
        <w:pStyle w:val="RegSingleTxtG"/>
        <w:numPr>
          <w:ilvl w:val="0"/>
          <w:numId w:val="0"/>
        </w:numPr>
        <w:tabs>
          <w:tab w:val="left" w:pos="568"/>
        </w:tabs>
        <w:ind w:left="1135"/>
        <w:rPr>
          <w:lang w:eastAsia="en-US"/>
        </w:rPr>
      </w:pPr>
      <w:r w:rsidRPr="004A6056">
        <w:rPr>
          <w:lang w:eastAsia="en-US"/>
        </w:rPr>
        <w:t>44.</w:t>
      </w:r>
      <w:r w:rsidRPr="004A6056">
        <w:rPr>
          <w:lang w:eastAsia="en-US"/>
        </w:rPr>
        <w:tab/>
      </w:r>
      <w:r w:rsidR="00895001" w:rsidRPr="004A6056">
        <w:rPr>
          <w:lang w:eastAsia="en-US"/>
        </w:rPr>
        <w:t>To ensure transparency, Parties should report information on key underlying assumptions and values of variables such as GDP growth, population growth, tax levels and international fuel prices, using table 5 below. The information should be limited to that not covered by paragraph 45 below (i.e. it should not include sector-specific data).</w:t>
      </w:r>
    </w:p>
    <w:p w14:paraId="0BE94C9C" w14:textId="0156A57D" w:rsidR="00895001" w:rsidRPr="00170C38" w:rsidRDefault="000E0429" w:rsidP="000E0429">
      <w:pPr>
        <w:pStyle w:val="RegSingleTxtG"/>
        <w:numPr>
          <w:ilvl w:val="0"/>
          <w:numId w:val="0"/>
        </w:numPr>
        <w:tabs>
          <w:tab w:val="left" w:pos="568"/>
        </w:tabs>
        <w:ind w:left="1135"/>
        <w:rPr>
          <w:rFonts w:eastAsia="Calibri"/>
          <w:lang w:eastAsia="en-US"/>
        </w:rPr>
      </w:pPr>
      <w:r w:rsidRPr="00170C38">
        <w:rPr>
          <w:rFonts w:eastAsia="Calibri"/>
          <w:lang w:eastAsia="en-US"/>
        </w:rPr>
        <w:t>45.</w:t>
      </w:r>
      <w:r w:rsidRPr="00170C38">
        <w:rPr>
          <w:rFonts w:eastAsia="Calibri"/>
          <w:lang w:eastAsia="en-US"/>
        </w:rPr>
        <w:tab/>
      </w:r>
      <w:r w:rsidR="00895001" w:rsidRPr="004A6056">
        <w:rPr>
          <w:lang w:eastAsia="en-US"/>
        </w:rPr>
        <w:t>To provide the reader with an understanding of emission trends from 1990 to at least 15 years from the most recent inventory year, Parties shall present relevant information on factors and activities for each sector. Such information may be presented in tabular format</w:t>
      </w:r>
      <w:r w:rsidR="00895001" w:rsidRPr="00170C38">
        <w:rPr>
          <w:rFonts w:eastAsia="Calibri"/>
          <w:lang w:eastAsia="en-US"/>
        </w:rPr>
        <w:t>.</w:t>
      </w:r>
    </w:p>
    <w:p w14:paraId="102CAC8E" w14:textId="77777777" w:rsidR="00895001" w:rsidRPr="00170C38" w:rsidRDefault="00895001" w:rsidP="00895001">
      <w:pPr>
        <w:suppressAutoHyphens w:val="0"/>
        <w:autoSpaceDE w:val="0"/>
        <w:autoSpaceDN w:val="0"/>
        <w:adjustRightInd w:val="0"/>
        <w:spacing w:line="240" w:lineRule="auto"/>
        <w:jc w:val="both"/>
        <w:rPr>
          <w:rFonts w:eastAsia="Calibri"/>
          <w:b/>
          <w:lang w:eastAsia="en-US"/>
        </w:rPr>
        <w:sectPr w:rsidR="00895001" w:rsidRPr="00170C38" w:rsidSect="008F63F4">
          <w:headerReference w:type="even" r:id="rId34"/>
          <w:headerReference w:type="default" r:id="rId35"/>
          <w:footerReference w:type="even" r:id="rId36"/>
          <w:footerReference w:type="default" r:id="rId37"/>
          <w:pgSz w:w="11907" w:h="16840" w:code="9"/>
          <w:pgMar w:top="1440" w:right="1440" w:bottom="1440" w:left="1440" w:header="1134" w:footer="1701" w:gutter="0"/>
          <w:cols w:space="720"/>
          <w:docGrid w:linePitch="360"/>
        </w:sectPr>
      </w:pPr>
    </w:p>
    <w:p w14:paraId="1CE479B0" w14:textId="77777777" w:rsidR="00895001" w:rsidRPr="00170C38" w:rsidRDefault="00895001" w:rsidP="00895001">
      <w:pPr>
        <w:ind w:left="567"/>
        <w:rPr>
          <w:rFonts w:eastAsia="Times New Roman"/>
          <w:bCs/>
          <w:lang w:eastAsia="en-GB"/>
        </w:rPr>
      </w:pPr>
      <w:r w:rsidRPr="00170C38">
        <w:rPr>
          <w:rFonts w:eastAsia="Times New Roman"/>
          <w:bCs/>
          <w:lang w:eastAsia="en-GB"/>
        </w:rPr>
        <w:t>Table 5</w:t>
      </w:r>
    </w:p>
    <w:p w14:paraId="041D0DF6" w14:textId="77777777" w:rsidR="00895001" w:rsidRDefault="00895001" w:rsidP="00895001">
      <w:pPr>
        <w:spacing w:after="120"/>
        <w:ind w:left="567"/>
        <w:rPr>
          <w:rFonts w:eastAsia="Times New Roman"/>
          <w:bCs/>
          <w:i/>
          <w:lang w:eastAsia="en-GB"/>
        </w:rPr>
      </w:pPr>
      <w:r w:rsidRPr="00170C38">
        <w:rPr>
          <w:rFonts w:eastAsia="Times New Roman"/>
          <w:b/>
          <w:bCs/>
          <w:lang w:eastAsia="en-GB"/>
        </w:rPr>
        <w:t>Summary of key variables and assumptions used in the projections analysis</w:t>
      </w:r>
      <w:r w:rsidRPr="00170C38">
        <w:rPr>
          <w:rFonts w:eastAsia="Times New Roman"/>
          <w:bCs/>
          <w:i/>
          <w:sz w:val="18"/>
          <w:vertAlign w:val="superscript"/>
          <w:lang w:eastAsia="en-GB"/>
        </w:rPr>
        <w:t xml:space="preserve">a </w:t>
      </w:r>
      <w:r w:rsidRPr="00170C38">
        <w:rPr>
          <w:rFonts w:eastAsia="Times New Roman"/>
          <w:bCs/>
          <w:i/>
          <w:lang w:eastAsia="en-GB"/>
        </w:rPr>
        <w:t xml:space="preserve"> </w:t>
      </w:r>
    </w:p>
    <w:tbl>
      <w:tblPr>
        <w:tblW w:w="11437" w:type="dxa"/>
        <w:tblInd w:w="567" w:type="dxa"/>
        <w:tblBorders>
          <w:top w:val="single" w:sz="4" w:space="0" w:color="auto"/>
        </w:tblBorders>
        <w:tblLayout w:type="fixed"/>
        <w:tblCellMar>
          <w:left w:w="0" w:type="dxa"/>
          <w:right w:w="0" w:type="dxa"/>
        </w:tblCellMar>
        <w:tblLook w:val="0000" w:firstRow="0" w:lastRow="0" w:firstColumn="0" w:lastColumn="0" w:noHBand="0" w:noVBand="0"/>
      </w:tblPr>
      <w:tblGrid>
        <w:gridCol w:w="841"/>
        <w:gridCol w:w="753"/>
        <w:gridCol w:w="754"/>
        <w:gridCol w:w="754"/>
        <w:gridCol w:w="754"/>
        <w:gridCol w:w="753"/>
        <w:gridCol w:w="659"/>
        <w:gridCol w:w="822"/>
        <w:gridCol w:w="28"/>
        <w:gridCol w:w="754"/>
        <w:gridCol w:w="754"/>
        <w:gridCol w:w="753"/>
        <w:gridCol w:w="754"/>
        <w:gridCol w:w="1103"/>
        <w:gridCol w:w="1104"/>
        <w:gridCol w:w="20"/>
        <w:gridCol w:w="20"/>
        <w:gridCol w:w="37"/>
        <w:gridCol w:w="20"/>
      </w:tblGrid>
      <w:tr w:rsidR="00170C38" w:rsidRPr="00F071DA" w14:paraId="4D2D3609" w14:textId="77777777" w:rsidTr="006D4A81">
        <w:trPr>
          <w:trHeight w:val="240"/>
          <w:tblHeader/>
        </w:trPr>
        <w:tc>
          <w:tcPr>
            <w:tcW w:w="841" w:type="dxa"/>
            <w:tcBorders>
              <w:top w:val="single" w:sz="4" w:space="0" w:color="auto"/>
              <w:bottom w:val="nil"/>
            </w:tcBorders>
            <w:shd w:val="clear" w:color="auto" w:fill="auto"/>
            <w:noWrap/>
            <w:vAlign w:val="bottom"/>
          </w:tcPr>
          <w:p w14:paraId="425153AA" w14:textId="77777777" w:rsidR="00170C38" w:rsidRPr="00F071DA" w:rsidRDefault="00170C38" w:rsidP="006D4A81">
            <w:pPr>
              <w:suppressAutoHyphens w:val="0"/>
              <w:spacing w:before="80" w:after="80" w:line="200" w:lineRule="exact"/>
              <w:rPr>
                <w:i/>
                <w:sz w:val="16"/>
              </w:rPr>
            </w:pPr>
          </w:p>
        </w:tc>
        <w:tc>
          <w:tcPr>
            <w:tcW w:w="5249" w:type="dxa"/>
            <w:gridSpan w:val="7"/>
            <w:tcBorders>
              <w:top w:val="single" w:sz="4" w:space="0" w:color="auto"/>
              <w:bottom w:val="nil"/>
            </w:tcBorders>
            <w:shd w:val="clear" w:color="auto" w:fill="auto"/>
            <w:noWrap/>
            <w:vAlign w:val="bottom"/>
          </w:tcPr>
          <w:p w14:paraId="45037BF2" w14:textId="77777777" w:rsidR="00170C38" w:rsidRPr="00141BF0" w:rsidRDefault="00170C38" w:rsidP="006D4A81">
            <w:pPr>
              <w:suppressAutoHyphens w:val="0"/>
              <w:spacing w:before="80" w:after="80" w:line="200" w:lineRule="exact"/>
              <w:ind w:left="113"/>
              <w:jc w:val="center"/>
              <w:rPr>
                <w:i/>
                <w:sz w:val="16"/>
                <w:szCs w:val="16"/>
              </w:rPr>
            </w:pPr>
            <w:r w:rsidRPr="00F071DA">
              <w:rPr>
                <w:i/>
                <w:sz w:val="16"/>
                <w:szCs w:val="16"/>
              </w:rPr>
              <w:t>Historical</w:t>
            </w:r>
            <w:r w:rsidRPr="007E60EA">
              <w:rPr>
                <w:i/>
                <w:sz w:val="18"/>
                <w:szCs w:val="18"/>
                <w:vertAlign w:val="superscript"/>
              </w:rPr>
              <w:t>b</w:t>
            </w:r>
          </w:p>
        </w:tc>
        <w:tc>
          <w:tcPr>
            <w:tcW w:w="5346" w:type="dxa"/>
            <w:gridSpan w:val="11"/>
            <w:tcBorders>
              <w:top w:val="single" w:sz="4" w:space="0" w:color="auto"/>
              <w:bottom w:val="nil"/>
            </w:tcBorders>
            <w:shd w:val="clear" w:color="auto" w:fill="auto"/>
            <w:vAlign w:val="bottom"/>
          </w:tcPr>
          <w:p w14:paraId="31B6CEED" w14:textId="77777777" w:rsidR="00170C38" w:rsidRPr="00540FBE" w:rsidRDefault="00170C38" w:rsidP="006D4A81">
            <w:pPr>
              <w:suppressAutoHyphens w:val="0"/>
              <w:spacing w:before="80" w:after="80" w:line="200" w:lineRule="exact"/>
              <w:ind w:left="113"/>
              <w:jc w:val="center"/>
              <w:rPr>
                <w:i/>
                <w:sz w:val="16"/>
                <w:szCs w:val="16"/>
              </w:rPr>
            </w:pPr>
            <w:r w:rsidRPr="007E60EA">
              <w:rPr>
                <w:i/>
                <w:sz w:val="16"/>
                <w:szCs w:val="16"/>
              </w:rPr>
              <w:t>Projected</w:t>
            </w:r>
          </w:p>
        </w:tc>
      </w:tr>
      <w:tr w:rsidR="00170C38" w:rsidRPr="00F071DA" w14:paraId="509709C3" w14:textId="77777777" w:rsidTr="006D4A81">
        <w:trPr>
          <w:trHeight w:val="240"/>
        </w:trPr>
        <w:tc>
          <w:tcPr>
            <w:tcW w:w="841" w:type="dxa"/>
            <w:tcBorders>
              <w:top w:val="nil"/>
              <w:bottom w:val="single" w:sz="12" w:space="0" w:color="auto"/>
            </w:tcBorders>
            <w:shd w:val="clear" w:color="auto" w:fill="auto"/>
            <w:noWrap/>
          </w:tcPr>
          <w:p w14:paraId="5A7ECC3D" w14:textId="77777777" w:rsidR="00170C38" w:rsidRPr="00F071DA" w:rsidRDefault="00170C38" w:rsidP="006D4A81">
            <w:pPr>
              <w:suppressAutoHyphens w:val="0"/>
              <w:spacing w:before="40" w:after="40" w:line="220" w:lineRule="exact"/>
              <w:rPr>
                <w:i/>
                <w:sz w:val="16"/>
                <w:szCs w:val="16"/>
              </w:rPr>
            </w:pPr>
            <w:r w:rsidRPr="00F071DA">
              <w:rPr>
                <w:i/>
                <w:sz w:val="16"/>
                <w:szCs w:val="16"/>
              </w:rPr>
              <w:t>Key underlying assumptions</w:t>
            </w:r>
          </w:p>
        </w:tc>
        <w:tc>
          <w:tcPr>
            <w:tcW w:w="753" w:type="dxa"/>
            <w:tcBorders>
              <w:top w:val="nil"/>
              <w:bottom w:val="single" w:sz="12" w:space="0" w:color="auto"/>
            </w:tcBorders>
            <w:shd w:val="clear" w:color="auto" w:fill="auto"/>
            <w:noWrap/>
            <w:tcMar>
              <w:right w:w="57" w:type="dxa"/>
            </w:tcMar>
            <w:vAlign w:val="bottom"/>
          </w:tcPr>
          <w:p w14:paraId="4D6E1940" w14:textId="77777777" w:rsidR="00170C38" w:rsidRPr="00F071DA" w:rsidRDefault="00170C38" w:rsidP="0019317D">
            <w:pPr>
              <w:suppressAutoHyphens w:val="0"/>
              <w:spacing w:before="40" w:after="40" w:line="220" w:lineRule="exact"/>
              <w:ind w:left="113"/>
              <w:jc w:val="center"/>
              <w:rPr>
                <w:i/>
                <w:sz w:val="16"/>
                <w:szCs w:val="16"/>
              </w:rPr>
            </w:pPr>
            <w:r w:rsidRPr="00F071DA">
              <w:rPr>
                <w:i/>
                <w:sz w:val="16"/>
                <w:szCs w:val="16"/>
              </w:rPr>
              <w:t>1990</w:t>
            </w:r>
          </w:p>
        </w:tc>
        <w:tc>
          <w:tcPr>
            <w:tcW w:w="754" w:type="dxa"/>
            <w:tcBorders>
              <w:top w:val="nil"/>
              <w:bottom w:val="single" w:sz="12" w:space="0" w:color="auto"/>
            </w:tcBorders>
            <w:shd w:val="clear" w:color="auto" w:fill="auto"/>
            <w:noWrap/>
            <w:tcMar>
              <w:right w:w="57" w:type="dxa"/>
            </w:tcMar>
            <w:vAlign w:val="bottom"/>
          </w:tcPr>
          <w:p w14:paraId="13CB84F8" w14:textId="77777777" w:rsidR="00170C38" w:rsidRPr="00F071DA" w:rsidRDefault="00170C38" w:rsidP="0019317D">
            <w:pPr>
              <w:suppressAutoHyphens w:val="0"/>
              <w:spacing w:before="40" w:after="40" w:line="220" w:lineRule="exact"/>
              <w:ind w:left="113"/>
              <w:jc w:val="center"/>
              <w:rPr>
                <w:i/>
                <w:sz w:val="16"/>
                <w:szCs w:val="16"/>
              </w:rPr>
            </w:pPr>
            <w:r w:rsidRPr="00F071DA">
              <w:rPr>
                <w:i/>
                <w:sz w:val="16"/>
                <w:szCs w:val="16"/>
              </w:rPr>
              <w:t>1995</w:t>
            </w:r>
          </w:p>
        </w:tc>
        <w:tc>
          <w:tcPr>
            <w:tcW w:w="754" w:type="dxa"/>
            <w:tcBorders>
              <w:top w:val="nil"/>
              <w:bottom w:val="single" w:sz="12" w:space="0" w:color="auto"/>
            </w:tcBorders>
            <w:shd w:val="clear" w:color="auto" w:fill="auto"/>
            <w:noWrap/>
            <w:tcMar>
              <w:right w:w="57" w:type="dxa"/>
            </w:tcMar>
            <w:vAlign w:val="bottom"/>
          </w:tcPr>
          <w:p w14:paraId="01B8D3F9" w14:textId="77777777" w:rsidR="00170C38" w:rsidRPr="00F071DA" w:rsidRDefault="00170C38" w:rsidP="0019317D">
            <w:pPr>
              <w:suppressAutoHyphens w:val="0"/>
              <w:spacing w:before="40" w:after="40" w:line="220" w:lineRule="exact"/>
              <w:ind w:left="113"/>
              <w:jc w:val="center"/>
              <w:rPr>
                <w:i/>
                <w:sz w:val="16"/>
                <w:szCs w:val="16"/>
              </w:rPr>
            </w:pPr>
            <w:r w:rsidRPr="00F071DA">
              <w:rPr>
                <w:i/>
                <w:sz w:val="16"/>
                <w:szCs w:val="16"/>
              </w:rPr>
              <w:t>2000</w:t>
            </w:r>
          </w:p>
        </w:tc>
        <w:tc>
          <w:tcPr>
            <w:tcW w:w="754" w:type="dxa"/>
            <w:tcBorders>
              <w:top w:val="nil"/>
              <w:bottom w:val="single" w:sz="12" w:space="0" w:color="auto"/>
            </w:tcBorders>
            <w:shd w:val="clear" w:color="auto" w:fill="auto"/>
            <w:noWrap/>
            <w:tcMar>
              <w:right w:w="57" w:type="dxa"/>
            </w:tcMar>
            <w:vAlign w:val="bottom"/>
          </w:tcPr>
          <w:p w14:paraId="2AA89B93" w14:textId="77777777" w:rsidR="00170C38" w:rsidRPr="00F071DA" w:rsidRDefault="00170C38" w:rsidP="0019317D">
            <w:pPr>
              <w:suppressAutoHyphens w:val="0"/>
              <w:spacing w:before="40" w:after="40" w:line="220" w:lineRule="exact"/>
              <w:ind w:left="113"/>
              <w:jc w:val="center"/>
              <w:rPr>
                <w:i/>
                <w:sz w:val="16"/>
                <w:szCs w:val="16"/>
              </w:rPr>
            </w:pPr>
            <w:r w:rsidRPr="00F071DA">
              <w:rPr>
                <w:i/>
                <w:sz w:val="16"/>
                <w:szCs w:val="16"/>
              </w:rPr>
              <w:t>2005</w:t>
            </w:r>
          </w:p>
        </w:tc>
        <w:tc>
          <w:tcPr>
            <w:tcW w:w="753" w:type="dxa"/>
            <w:tcBorders>
              <w:top w:val="nil"/>
              <w:bottom w:val="single" w:sz="12" w:space="0" w:color="auto"/>
            </w:tcBorders>
            <w:shd w:val="clear" w:color="auto" w:fill="auto"/>
            <w:noWrap/>
            <w:tcMar>
              <w:right w:w="57" w:type="dxa"/>
            </w:tcMar>
            <w:vAlign w:val="bottom"/>
          </w:tcPr>
          <w:p w14:paraId="21651F03" w14:textId="77777777" w:rsidR="00170C38" w:rsidRPr="00F071DA" w:rsidRDefault="00170C38" w:rsidP="0019317D">
            <w:pPr>
              <w:suppressAutoHyphens w:val="0"/>
              <w:spacing w:before="40" w:after="40" w:line="220" w:lineRule="exact"/>
              <w:ind w:left="113"/>
              <w:jc w:val="center"/>
              <w:rPr>
                <w:i/>
                <w:sz w:val="16"/>
                <w:szCs w:val="16"/>
              </w:rPr>
            </w:pPr>
            <w:r w:rsidRPr="00F071DA">
              <w:rPr>
                <w:i/>
                <w:sz w:val="16"/>
                <w:szCs w:val="16"/>
              </w:rPr>
              <w:t>2010</w:t>
            </w:r>
          </w:p>
        </w:tc>
        <w:tc>
          <w:tcPr>
            <w:tcW w:w="659" w:type="dxa"/>
            <w:tcBorders>
              <w:top w:val="nil"/>
              <w:bottom w:val="single" w:sz="12" w:space="0" w:color="auto"/>
            </w:tcBorders>
            <w:shd w:val="clear" w:color="auto" w:fill="auto"/>
            <w:noWrap/>
            <w:tcMar>
              <w:right w:w="57" w:type="dxa"/>
            </w:tcMar>
            <w:vAlign w:val="bottom"/>
          </w:tcPr>
          <w:p w14:paraId="3F6380F2" w14:textId="77777777" w:rsidR="00170C38" w:rsidRPr="00F071DA" w:rsidRDefault="00170C38" w:rsidP="0019317D">
            <w:pPr>
              <w:suppressAutoHyphens w:val="0"/>
              <w:spacing w:before="40" w:after="40" w:line="220" w:lineRule="exact"/>
              <w:ind w:left="113"/>
              <w:jc w:val="center"/>
              <w:rPr>
                <w:i/>
                <w:sz w:val="16"/>
                <w:szCs w:val="16"/>
              </w:rPr>
            </w:pPr>
          </w:p>
        </w:tc>
        <w:tc>
          <w:tcPr>
            <w:tcW w:w="850" w:type="dxa"/>
            <w:gridSpan w:val="2"/>
            <w:tcBorders>
              <w:top w:val="nil"/>
              <w:bottom w:val="single" w:sz="12" w:space="0" w:color="auto"/>
            </w:tcBorders>
            <w:vAlign w:val="bottom"/>
          </w:tcPr>
          <w:p w14:paraId="675688FF" w14:textId="77777777" w:rsidR="00170C38" w:rsidRPr="00141BF0" w:rsidRDefault="00170C38" w:rsidP="0019317D">
            <w:pPr>
              <w:suppressAutoHyphens w:val="0"/>
              <w:spacing w:before="40" w:after="40" w:line="220" w:lineRule="exact"/>
              <w:ind w:left="113"/>
              <w:jc w:val="center"/>
              <w:rPr>
                <w:i/>
                <w:sz w:val="16"/>
                <w:szCs w:val="16"/>
              </w:rPr>
            </w:pPr>
            <w:r w:rsidRPr="00141BF0">
              <w:rPr>
                <w:i/>
                <w:sz w:val="16"/>
                <w:szCs w:val="16"/>
              </w:rPr>
              <w:t>…</w:t>
            </w:r>
          </w:p>
        </w:tc>
        <w:tc>
          <w:tcPr>
            <w:tcW w:w="754" w:type="dxa"/>
            <w:tcBorders>
              <w:top w:val="nil"/>
              <w:bottom w:val="single" w:sz="12" w:space="0" w:color="auto"/>
            </w:tcBorders>
            <w:vAlign w:val="bottom"/>
          </w:tcPr>
          <w:p w14:paraId="7DD28A9B" w14:textId="77777777" w:rsidR="00170C38" w:rsidRPr="00141BF0" w:rsidRDefault="00170C38" w:rsidP="0019317D">
            <w:pPr>
              <w:suppressAutoHyphens w:val="0"/>
              <w:spacing w:before="40" w:after="40" w:line="220" w:lineRule="exact"/>
              <w:ind w:left="113"/>
              <w:jc w:val="center"/>
              <w:rPr>
                <w:i/>
                <w:sz w:val="16"/>
                <w:szCs w:val="16"/>
              </w:rPr>
            </w:pPr>
          </w:p>
          <w:p w14:paraId="111C52B3" w14:textId="77777777" w:rsidR="00170C38" w:rsidRPr="00141BF0" w:rsidRDefault="00170C38" w:rsidP="0019317D">
            <w:pPr>
              <w:suppressAutoHyphens w:val="0"/>
              <w:spacing w:before="40" w:after="40" w:line="220" w:lineRule="exact"/>
              <w:ind w:left="113"/>
              <w:jc w:val="center"/>
              <w:rPr>
                <w:i/>
                <w:sz w:val="16"/>
                <w:szCs w:val="16"/>
              </w:rPr>
            </w:pPr>
          </w:p>
        </w:tc>
        <w:tc>
          <w:tcPr>
            <w:tcW w:w="754" w:type="dxa"/>
            <w:tcBorders>
              <w:top w:val="nil"/>
              <w:bottom w:val="single" w:sz="12" w:space="0" w:color="auto"/>
            </w:tcBorders>
          </w:tcPr>
          <w:p w14:paraId="069D5035" w14:textId="77777777" w:rsidR="00170C38" w:rsidRPr="00141BF0" w:rsidRDefault="00170C38" w:rsidP="0019317D">
            <w:pPr>
              <w:suppressAutoHyphens w:val="0"/>
              <w:spacing w:before="40" w:after="40" w:line="220" w:lineRule="exact"/>
              <w:ind w:left="113"/>
              <w:jc w:val="center"/>
              <w:rPr>
                <w:i/>
                <w:sz w:val="16"/>
                <w:szCs w:val="16"/>
              </w:rPr>
            </w:pPr>
          </w:p>
          <w:p w14:paraId="5C1AB70D" w14:textId="77777777" w:rsidR="00170C38" w:rsidRPr="00141BF0" w:rsidRDefault="00170C38" w:rsidP="0019317D">
            <w:pPr>
              <w:suppressAutoHyphens w:val="0"/>
              <w:spacing w:before="40" w:after="40" w:line="220" w:lineRule="exact"/>
              <w:ind w:left="113"/>
              <w:jc w:val="center"/>
              <w:rPr>
                <w:i/>
                <w:sz w:val="16"/>
                <w:szCs w:val="16"/>
              </w:rPr>
            </w:pPr>
          </w:p>
          <w:p w14:paraId="07ED579A" w14:textId="77777777" w:rsidR="00170C38" w:rsidRPr="00141BF0" w:rsidRDefault="00170C38" w:rsidP="0019317D">
            <w:pPr>
              <w:suppressAutoHyphens w:val="0"/>
              <w:spacing w:before="40" w:after="40" w:line="220" w:lineRule="exact"/>
              <w:ind w:left="113"/>
              <w:jc w:val="center"/>
              <w:rPr>
                <w:i/>
                <w:sz w:val="16"/>
                <w:szCs w:val="16"/>
              </w:rPr>
            </w:pPr>
            <w:r w:rsidRPr="00141BF0">
              <w:rPr>
                <w:i/>
                <w:sz w:val="16"/>
                <w:szCs w:val="16"/>
              </w:rPr>
              <w:t>20XX</w:t>
            </w:r>
            <w:r w:rsidRPr="0019317D">
              <w:rPr>
                <w:i/>
                <w:sz w:val="18"/>
                <w:szCs w:val="16"/>
                <w:vertAlign w:val="superscript"/>
              </w:rPr>
              <w:t>c</w:t>
            </w:r>
          </w:p>
        </w:tc>
        <w:tc>
          <w:tcPr>
            <w:tcW w:w="753" w:type="dxa"/>
            <w:tcBorders>
              <w:top w:val="nil"/>
              <w:bottom w:val="single" w:sz="12" w:space="0" w:color="auto"/>
            </w:tcBorders>
            <w:shd w:val="clear" w:color="auto" w:fill="auto"/>
            <w:noWrap/>
            <w:tcMar>
              <w:right w:w="57" w:type="dxa"/>
            </w:tcMar>
            <w:vAlign w:val="bottom"/>
          </w:tcPr>
          <w:p w14:paraId="3746554F" w14:textId="77777777" w:rsidR="00170C38" w:rsidRPr="00141BF0" w:rsidRDefault="00170C38" w:rsidP="0019317D">
            <w:pPr>
              <w:suppressAutoHyphens w:val="0"/>
              <w:spacing w:before="40" w:after="40" w:line="220" w:lineRule="exact"/>
              <w:ind w:left="113"/>
              <w:jc w:val="center"/>
              <w:rPr>
                <w:i/>
                <w:sz w:val="16"/>
                <w:szCs w:val="16"/>
              </w:rPr>
            </w:pPr>
          </w:p>
        </w:tc>
        <w:tc>
          <w:tcPr>
            <w:tcW w:w="754" w:type="dxa"/>
            <w:tcBorders>
              <w:top w:val="nil"/>
              <w:bottom w:val="single" w:sz="12" w:space="0" w:color="auto"/>
            </w:tcBorders>
            <w:shd w:val="clear" w:color="auto" w:fill="auto"/>
            <w:noWrap/>
            <w:tcMar>
              <w:right w:w="57" w:type="dxa"/>
            </w:tcMar>
            <w:vAlign w:val="bottom"/>
          </w:tcPr>
          <w:p w14:paraId="2043918A" w14:textId="77777777" w:rsidR="00170C38" w:rsidRPr="00141BF0" w:rsidRDefault="00170C38" w:rsidP="0019317D">
            <w:pPr>
              <w:suppressAutoHyphens w:val="0"/>
              <w:spacing w:before="40" w:after="40" w:line="220" w:lineRule="exact"/>
              <w:ind w:left="113"/>
              <w:jc w:val="center"/>
              <w:rPr>
                <w:i/>
                <w:sz w:val="16"/>
                <w:szCs w:val="16"/>
              </w:rPr>
            </w:pPr>
            <w:r w:rsidRPr="00141BF0">
              <w:rPr>
                <w:i/>
                <w:sz w:val="16"/>
                <w:szCs w:val="16"/>
              </w:rPr>
              <w:t>20YY</w:t>
            </w:r>
            <w:r w:rsidRPr="0019317D">
              <w:rPr>
                <w:i/>
                <w:sz w:val="18"/>
                <w:szCs w:val="16"/>
                <w:vertAlign w:val="superscript"/>
              </w:rPr>
              <w:t>d</w:t>
            </w:r>
          </w:p>
        </w:tc>
        <w:tc>
          <w:tcPr>
            <w:tcW w:w="1103" w:type="dxa"/>
            <w:tcBorders>
              <w:top w:val="nil"/>
              <w:bottom w:val="single" w:sz="12" w:space="0" w:color="auto"/>
            </w:tcBorders>
            <w:shd w:val="clear" w:color="auto" w:fill="auto"/>
            <w:noWrap/>
            <w:tcMar>
              <w:right w:w="57" w:type="dxa"/>
            </w:tcMar>
            <w:vAlign w:val="bottom"/>
          </w:tcPr>
          <w:p w14:paraId="5B332CCE" w14:textId="77777777" w:rsidR="00170C38" w:rsidRPr="000C0FE9" w:rsidRDefault="00170C38" w:rsidP="0019317D">
            <w:pPr>
              <w:suppressAutoHyphens w:val="0"/>
              <w:spacing w:before="40" w:after="40" w:line="220" w:lineRule="exact"/>
              <w:ind w:left="113"/>
              <w:rPr>
                <w:i/>
                <w:sz w:val="16"/>
                <w:szCs w:val="16"/>
              </w:rPr>
            </w:pPr>
            <w:r>
              <w:rPr>
                <w:i/>
                <w:sz w:val="16"/>
                <w:szCs w:val="16"/>
              </w:rPr>
              <w:t>…</w:t>
            </w:r>
          </w:p>
        </w:tc>
        <w:tc>
          <w:tcPr>
            <w:tcW w:w="1104" w:type="dxa"/>
            <w:tcBorders>
              <w:top w:val="nil"/>
              <w:bottom w:val="single" w:sz="12" w:space="0" w:color="auto"/>
            </w:tcBorders>
            <w:shd w:val="clear" w:color="auto" w:fill="auto"/>
            <w:vAlign w:val="bottom"/>
          </w:tcPr>
          <w:p w14:paraId="554AB439" w14:textId="77777777" w:rsidR="00170C38" w:rsidRPr="000C0FE9" w:rsidRDefault="00170C38" w:rsidP="0019317D">
            <w:pPr>
              <w:suppressAutoHyphens w:val="0"/>
              <w:spacing w:before="40" w:after="40" w:line="220" w:lineRule="exact"/>
              <w:ind w:left="113"/>
              <w:jc w:val="right"/>
              <w:rPr>
                <w:i/>
                <w:sz w:val="16"/>
                <w:szCs w:val="16"/>
              </w:rPr>
            </w:pPr>
            <w:r w:rsidRPr="000C0FE9">
              <w:rPr>
                <w:i/>
                <w:sz w:val="16"/>
                <w:szCs w:val="16"/>
              </w:rPr>
              <w:t>…</w:t>
            </w:r>
          </w:p>
        </w:tc>
        <w:tc>
          <w:tcPr>
            <w:tcW w:w="77" w:type="dxa"/>
            <w:gridSpan w:val="3"/>
            <w:tcBorders>
              <w:top w:val="nil"/>
              <w:bottom w:val="single" w:sz="12" w:space="0" w:color="auto"/>
            </w:tcBorders>
            <w:shd w:val="clear" w:color="auto" w:fill="auto"/>
            <w:noWrap/>
            <w:tcMar>
              <w:right w:w="57" w:type="dxa"/>
            </w:tcMar>
            <w:vAlign w:val="bottom"/>
          </w:tcPr>
          <w:p w14:paraId="2DF0E34C" w14:textId="77777777" w:rsidR="00170C38" w:rsidRPr="00F071DA" w:rsidRDefault="00170C38" w:rsidP="006D4A81">
            <w:pPr>
              <w:suppressAutoHyphens w:val="0"/>
              <w:spacing w:before="40" w:after="40" w:line="220" w:lineRule="exact"/>
              <w:ind w:left="113"/>
              <w:jc w:val="right"/>
              <w:rPr>
                <w:i/>
                <w:color w:val="E36C0A" w:themeColor="accent6" w:themeShade="BF"/>
                <w:sz w:val="16"/>
                <w:szCs w:val="16"/>
              </w:rPr>
            </w:pPr>
          </w:p>
        </w:tc>
        <w:tc>
          <w:tcPr>
            <w:tcW w:w="20" w:type="dxa"/>
            <w:tcBorders>
              <w:top w:val="nil"/>
              <w:bottom w:val="single" w:sz="12" w:space="0" w:color="auto"/>
            </w:tcBorders>
            <w:vAlign w:val="bottom"/>
          </w:tcPr>
          <w:p w14:paraId="0D4CA65E" w14:textId="77777777" w:rsidR="00170C38" w:rsidRPr="00F071DA" w:rsidRDefault="00170C38" w:rsidP="006D4A81">
            <w:pPr>
              <w:suppressAutoHyphens w:val="0"/>
              <w:spacing w:before="40" w:after="40" w:line="220" w:lineRule="exact"/>
              <w:ind w:left="113"/>
              <w:jc w:val="right"/>
              <w:rPr>
                <w:i/>
                <w:color w:val="E36C0A" w:themeColor="accent6" w:themeShade="BF"/>
                <w:sz w:val="16"/>
                <w:szCs w:val="16"/>
              </w:rPr>
            </w:pPr>
          </w:p>
        </w:tc>
      </w:tr>
      <w:tr w:rsidR="00170C38" w:rsidRPr="00F071DA" w14:paraId="73C800AD" w14:textId="77777777" w:rsidTr="006D4A81">
        <w:trPr>
          <w:gridAfter w:val="2"/>
          <w:wAfter w:w="57" w:type="dxa"/>
          <w:trHeight w:val="240"/>
        </w:trPr>
        <w:tc>
          <w:tcPr>
            <w:tcW w:w="841" w:type="dxa"/>
            <w:vMerge w:val="restart"/>
            <w:tcBorders>
              <w:top w:val="single" w:sz="12" w:space="0" w:color="auto"/>
            </w:tcBorders>
            <w:shd w:val="clear" w:color="auto" w:fill="auto"/>
          </w:tcPr>
          <w:p w14:paraId="4D5E5EB9" w14:textId="77777777" w:rsidR="00170C38" w:rsidRPr="00F071DA" w:rsidRDefault="00170C38" w:rsidP="006D4A81">
            <w:pPr>
              <w:suppressAutoHyphens w:val="0"/>
              <w:spacing w:before="40" w:after="40" w:line="220" w:lineRule="exact"/>
              <w:rPr>
                <w:sz w:val="18"/>
                <w:szCs w:val="16"/>
              </w:rPr>
            </w:pPr>
          </w:p>
        </w:tc>
        <w:tc>
          <w:tcPr>
            <w:tcW w:w="753" w:type="dxa"/>
            <w:tcBorders>
              <w:top w:val="single" w:sz="12" w:space="0" w:color="auto"/>
            </w:tcBorders>
            <w:shd w:val="clear" w:color="auto" w:fill="auto"/>
            <w:noWrap/>
            <w:vAlign w:val="bottom"/>
          </w:tcPr>
          <w:p w14:paraId="3864B3BA" w14:textId="77777777" w:rsidR="00170C38" w:rsidRPr="00F071DA" w:rsidRDefault="00170C38" w:rsidP="006D4A81">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0A4FBC38" w14:textId="77777777" w:rsidR="00170C38" w:rsidRPr="00F071DA" w:rsidRDefault="00170C38" w:rsidP="006D4A81">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2FF4550F" w14:textId="77777777" w:rsidR="00170C38" w:rsidRPr="00F071DA" w:rsidRDefault="00170C38" w:rsidP="006D4A81">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4B6FFA70" w14:textId="77777777" w:rsidR="00170C38" w:rsidRPr="00F071DA" w:rsidRDefault="00170C38" w:rsidP="006D4A81">
            <w:pPr>
              <w:suppressAutoHyphens w:val="0"/>
              <w:spacing w:before="40" w:after="40" w:line="220" w:lineRule="exact"/>
              <w:ind w:left="113"/>
              <w:jc w:val="right"/>
              <w:rPr>
                <w:sz w:val="18"/>
                <w:szCs w:val="16"/>
              </w:rPr>
            </w:pPr>
          </w:p>
        </w:tc>
        <w:tc>
          <w:tcPr>
            <w:tcW w:w="753" w:type="dxa"/>
            <w:tcBorders>
              <w:top w:val="single" w:sz="12" w:space="0" w:color="auto"/>
            </w:tcBorders>
            <w:shd w:val="clear" w:color="auto" w:fill="auto"/>
            <w:noWrap/>
            <w:vAlign w:val="bottom"/>
          </w:tcPr>
          <w:p w14:paraId="21E77A4C" w14:textId="77777777" w:rsidR="00170C38" w:rsidRPr="00F071DA" w:rsidRDefault="00170C38" w:rsidP="006D4A81">
            <w:pPr>
              <w:suppressAutoHyphens w:val="0"/>
              <w:spacing w:before="40" w:after="40" w:line="220" w:lineRule="exact"/>
              <w:ind w:left="113"/>
              <w:jc w:val="right"/>
              <w:rPr>
                <w:sz w:val="18"/>
                <w:szCs w:val="16"/>
              </w:rPr>
            </w:pPr>
          </w:p>
        </w:tc>
        <w:tc>
          <w:tcPr>
            <w:tcW w:w="659" w:type="dxa"/>
            <w:tcBorders>
              <w:top w:val="single" w:sz="12" w:space="0" w:color="auto"/>
            </w:tcBorders>
            <w:shd w:val="clear" w:color="auto" w:fill="auto"/>
            <w:noWrap/>
            <w:vAlign w:val="bottom"/>
          </w:tcPr>
          <w:p w14:paraId="484B86C2" w14:textId="77777777" w:rsidR="00170C38" w:rsidRPr="00F071DA" w:rsidRDefault="00170C38" w:rsidP="006D4A81">
            <w:pPr>
              <w:suppressAutoHyphens w:val="0"/>
              <w:spacing w:before="40" w:after="40" w:line="220" w:lineRule="exact"/>
              <w:ind w:left="113"/>
              <w:jc w:val="right"/>
              <w:rPr>
                <w:sz w:val="18"/>
                <w:szCs w:val="16"/>
              </w:rPr>
            </w:pPr>
          </w:p>
        </w:tc>
        <w:tc>
          <w:tcPr>
            <w:tcW w:w="850" w:type="dxa"/>
            <w:gridSpan w:val="2"/>
            <w:tcBorders>
              <w:top w:val="single" w:sz="12" w:space="0" w:color="auto"/>
            </w:tcBorders>
          </w:tcPr>
          <w:p w14:paraId="147D8F74" w14:textId="77777777" w:rsidR="00170C38" w:rsidRPr="00141BF0" w:rsidRDefault="00170C38" w:rsidP="006D4A81">
            <w:pPr>
              <w:suppressAutoHyphens w:val="0"/>
              <w:spacing w:before="40" w:after="40" w:line="220" w:lineRule="exact"/>
              <w:ind w:left="113"/>
              <w:jc w:val="right"/>
              <w:rPr>
                <w:sz w:val="18"/>
                <w:szCs w:val="16"/>
              </w:rPr>
            </w:pPr>
          </w:p>
        </w:tc>
        <w:tc>
          <w:tcPr>
            <w:tcW w:w="754" w:type="dxa"/>
            <w:tcBorders>
              <w:top w:val="single" w:sz="12" w:space="0" w:color="auto"/>
            </w:tcBorders>
            <w:vAlign w:val="bottom"/>
          </w:tcPr>
          <w:p w14:paraId="2FF519DA" w14:textId="77777777" w:rsidR="00170C38" w:rsidRPr="00141BF0" w:rsidRDefault="00170C38" w:rsidP="006D4A81">
            <w:pPr>
              <w:suppressAutoHyphens w:val="0"/>
              <w:spacing w:before="40" w:after="40" w:line="220" w:lineRule="exact"/>
              <w:ind w:left="113"/>
              <w:jc w:val="right"/>
              <w:rPr>
                <w:sz w:val="18"/>
                <w:szCs w:val="16"/>
              </w:rPr>
            </w:pPr>
          </w:p>
        </w:tc>
        <w:tc>
          <w:tcPr>
            <w:tcW w:w="754" w:type="dxa"/>
            <w:tcBorders>
              <w:top w:val="single" w:sz="12" w:space="0" w:color="auto"/>
            </w:tcBorders>
          </w:tcPr>
          <w:p w14:paraId="68ED8953" w14:textId="77777777" w:rsidR="00170C38" w:rsidRPr="00141BF0" w:rsidRDefault="00170C38" w:rsidP="006D4A81">
            <w:pPr>
              <w:suppressAutoHyphens w:val="0"/>
              <w:spacing w:before="40" w:after="40" w:line="220" w:lineRule="exact"/>
              <w:ind w:left="113"/>
              <w:jc w:val="right"/>
              <w:rPr>
                <w:sz w:val="18"/>
                <w:szCs w:val="16"/>
              </w:rPr>
            </w:pPr>
          </w:p>
        </w:tc>
        <w:tc>
          <w:tcPr>
            <w:tcW w:w="753" w:type="dxa"/>
            <w:tcBorders>
              <w:top w:val="single" w:sz="12" w:space="0" w:color="auto"/>
            </w:tcBorders>
            <w:shd w:val="clear" w:color="auto" w:fill="auto"/>
            <w:noWrap/>
            <w:vAlign w:val="bottom"/>
          </w:tcPr>
          <w:p w14:paraId="7BBA19C7" w14:textId="77777777" w:rsidR="00170C38" w:rsidRPr="00141BF0" w:rsidRDefault="00170C38" w:rsidP="006D4A81">
            <w:pPr>
              <w:suppressAutoHyphens w:val="0"/>
              <w:spacing w:before="40" w:after="40" w:line="220" w:lineRule="exact"/>
              <w:ind w:left="113"/>
              <w:jc w:val="right"/>
              <w:rPr>
                <w:sz w:val="18"/>
                <w:szCs w:val="16"/>
              </w:rPr>
            </w:pPr>
          </w:p>
        </w:tc>
        <w:tc>
          <w:tcPr>
            <w:tcW w:w="754" w:type="dxa"/>
            <w:tcBorders>
              <w:top w:val="single" w:sz="12" w:space="0" w:color="auto"/>
            </w:tcBorders>
            <w:shd w:val="clear" w:color="auto" w:fill="auto"/>
            <w:noWrap/>
            <w:vAlign w:val="bottom"/>
          </w:tcPr>
          <w:p w14:paraId="2D7BE553" w14:textId="77777777" w:rsidR="00170C38" w:rsidRPr="00141BF0" w:rsidRDefault="00170C38" w:rsidP="006D4A81">
            <w:pPr>
              <w:suppressAutoHyphens w:val="0"/>
              <w:spacing w:before="40" w:after="40" w:line="220" w:lineRule="exact"/>
              <w:ind w:left="113"/>
              <w:jc w:val="right"/>
              <w:rPr>
                <w:sz w:val="18"/>
                <w:szCs w:val="16"/>
              </w:rPr>
            </w:pPr>
          </w:p>
        </w:tc>
        <w:tc>
          <w:tcPr>
            <w:tcW w:w="2207" w:type="dxa"/>
            <w:gridSpan w:val="2"/>
            <w:tcBorders>
              <w:top w:val="single" w:sz="12" w:space="0" w:color="auto"/>
            </w:tcBorders>
            <w:shd w:val="clear" w:color="auto" w:fill="auto"/>
            <w:noWrap/>
            <w:vAlign w:val="bottom"/>
          </w:tcPr>
          <w:p w14:paraId="05196890" w14:textId="77777777" w:rsidR="00170C38" w:rsidRPr="00F071DA" w:rsidRDefault="00170C38" w:rsidP="006D4A81">
            <w:pPr>
              <w:suppressAutoHyphens w:val="0"/>
              <w:spacing w:before="40" w:after="40" w:line="220" w:lineRule="exact"/>
              <w:ind w:left="113"/>
              <w:jc w:val="right"/>
              <w:rPr>
                <w:sz w:val="18"/>
                <w:szCs w:val="16"/>
              </w:rPr>
            </w:pPr>
          </w:p>
        </w:tc>
        <w:tc>
          <w:tcPr>
            <w:tcW w:w="20" w:type="dxa"/>
            <w:tcBorders>
              <w:top w:val="single" w:sz="12" w:space="0" w:color="auto"/>
            </w:tcBorders>
            <w:shd w:val="clear" w:color="auto" w:fill="auto"/>
            <w:noWrap/>
            <w:vAlign w:val="bottom"/>
          </w:tcPr>
          <w:p w14:paraId="3ACD13C3" w14:textId="77777777" w:rsidR="00170C38" w:rsidRPr="00F071DA" w:rsidRDefault="00170C38" w:rsidP="006D4A81">
            <w:pPr>
              <w:suppressAutoHyphens w:val="0"/>
              <w:spacing w:before="40" w:after="40" w:line="220" w:lineRule="exact"/>
              <w:ind w:left="113"/>
              <w:jc w:val="right"/>
              <w:rPr>
                <w:sz w:val="18"/>
                <w:szCs w:val="16"/>
              </w:rPr>
            </w:pPr>
          </w:p>
        </w:tc>
        <w:tc>
          <w:tcPr>
            <w:tcW w:w="20" w:type="dxa"/>
            <w:tcBorders>
              <w:top w:val="single" w:sz="12" w:space="0" w:color="auto"/>
            </w:tcBorders>
            <w:vAlign w:val="bottom"/>
          </w:tcPr>
          <w:p w14:paraId="687BE333" w14:textId="77777777" w:rsidR="00170C38" w:rsidRPr="00F071DA" w:rsidRDefault="00170C38" w:rsidP="006D4A81">
            <w:pPr>
              <w:suppressAutoHyphens w:val="0"/>
              <w:spacing w:before="40" w:after="40" w:line="220" w:lineRule="exact"/>
              <w:ind w:left="113"/>
              <w:jc w:val="right"/>
              <w:rPr>
                <w:sz w:val="18"/>
                <w:szCs w:val="16"/>
              </w:rPr>
            </w:pPr>
          </w:p>
        </w:tc>
      </w:tr>
      <w:tr w:rsidR="00170C38" w:rsidRPr="00F071DA" w14:paraId="1A6AE63E" w14:textId="77777777" w:rsidTr="006D4A81">
        <w:trPr>
          <w:gridAfter w:val="2"/>
          <w:wAfter w:w="57" w:type="dxa"/>
          <w:trHeight w:val="240"/>
        </w:trPr>
        <w:tc>
          <w:tcPr>
            <w:tcW w:w="841" w:type="dxa"/>
            <w:vMerge/>
            <w:shd w:val="clear" w:color="auto" w:fill="auto"/>
          </w:tcPr>
          <w:p w14:paraId="5ACEF54A"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50A50F3E"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6746A4EC"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1C31E50D"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412CEC1B" w14:textId="77777777" w:rsidR="00170C38" w:rsidRPr="00F071DA" w:rsidRDefault="00170C38" w:rsidP="006D4A81">
            <w:pPr>
              <w:suppressAutoHyphens w:val="0"/>
              <w:spacing w:before="40" w:after="40" w:line="220" w:lineRule="exact"/>
              <w:ind w:left="113"/>
              <w:jc w:val="right"/>
              <w:rPr>
                <w:sz w:val="18"/>
                <w:szCs w:val="16"/>
              </w:rPr>
            </w:pPr>
          </w:p>
        </w:tc>
        <w:tc>
          <w:tcPr>
            <w:tcW w:w="753" w:type="dxa"/>
            <w:shd w:val="clear" w:color="auto" w:fill="auto"/>
            <w:noWrap/>
            <w:vAlign w:val="bottom"/>
          </w:tcPr>
          <w:p w14:paraId="736A8D1D" w14:textId="77777777" w:rsidR="00170C38" w:rsidRPr="00F071DA" w:rsidRDefault="00170C38" w:rsidP="006D4A81">
            <w:pPr>
              <w:suppressAutoHyphens w:val="0"/>
              <w:spacing w:before="40" w:after="40" w:line="220" w:lineRule="exact"/>
              <w:ind w:left="113"/>
              <w:jc w:val="right"/>
              <w:rPr>
                <w:sz w:val="18"/>
                <w:szCs w:val="16"/>
              </w:rPr>
            </w:pPr>
          </w:p>
        </w:tc>
        <w:tc>
          <w:tcPr>
            <w:tcW w:w="659" w:type="dxa"/>
            <w:shd w:val="clear" w:color="auto" w:fill="auto"/>
            <w:noWrap/>
            <w:vAlign w:val="bottom"/>
          </w:tcPr>
          <w:p w14:paraId="59B49269" w14:textId="77777777" w:rsidR="00170C38" w:rsidRPr="00F071DA" w:rsidRDefault="00170C38" w:rsidP="006D4A81">
            <w:pPr>
              <w:suppressAutoHyphens w:val="0"/>
              <w:spacing w:before="40" w:after="40" w:line="220" w:lineRule="exact"/>
              <w:ind w:left="113"/>
              <w:jc w:val="right"/>
              <w:rPr>
                <w:sz w:val="18"/>
                <w:szCs w:val="16"/>
              </w:rPr>
            </w:pPr>
          </w:p>
        </w:tc>
        <w:tc>
          <w:tcPr>
            <w:tcW w:w="850" w:type="dxa"/>
            <w:gridSpan w:val="2"/>
          </w:tcPr>
          <w:p w14:paraId="7F61B02A" w14:textId="77777777" w:rsidR="00170C38" w:rsidRPr="00F071DA" w:rsidRDefault="00170C38" w:rsidP="006D4A81">
            <w:pPr>
              <w:suppressAutoHyphens w:val="0"/>
              <w:spacing w:before="40" w:after="40" w:line="220" w:lineRule="exact"/>
              <w:ind w:left="113"/>
              <w:jc w:val="right"/>
              <w:rPr>
                <w:sz w:val="18"/>
                <w:szCs w:val="16"/>
              </w:rPr>
            </w:pPr>
          </w:p>
        </w:tc>
        <w:tc>
          <w:tcPr>
            <w:tcW w:w="754" w:type="dxa"/>
            <w:vAlign w:val="bottom"/>
          </w:tcPr>
          <w:p w14:paraId="61B03C48" w14:textId="77777777" w:rsidR="00170C38" w:rsidRPr="00F071DA" w:rsidRDefault="00170C38" w:rsidP="006D4A81">
            <w:pPr>
              <w:suppressAutoHyphens w:val="0"/>
              <w:spacing w:before="40" w:after="40" w:line="220" w:lineRule="exact"/>
              <w:ind w:left="113"/>
              <w:jc w:val="right"/>
              <w:rPr>
                <w:sz w:val="18"/>
                <w:szCs w:val="16"/>
              </w:rPr>
            </w:pPr>
          </w:p>
        </w:tc>
        <w:tc>
          <w:tcPr>
            <w:tcW w:w="754" w:type="dxa"/>
          </w:tcPr>
          <w:p w14:paraId="41058E1E" w14:textId="77777777" w:rsidR="00170C38" w:rsidRPr="00F071DA" w:rsidRDefault="00170C38" w:rsidP="006D4A81">
            <w:pPr>
              <w:suppressAutoHyphens w:val="0"/>
              <w:spacing w:before="40" w:after="40" w:line="220" w:lineRule="exact"/>
              <w:ind w:left="113"/>
              <w:jc w:val="right"/>
              <w:rPr>
                <w:sz w:val="18"/>
                <w:szCs w:val="16"/>
              </w:rPr>
            </w:pPr>
          </w:p>
        </w:tc>
        <w:tc>
          <w:tcPr>
            <w:tcW w:w="753" w:type="dxa"/>
            <w:shd w:val="clear" w:color="auto" w:fill="auto"/>
            <w:noWrap/>
            <w:vAlign w:val="bottom"/>
          </w:tcPr>
          <w:p w14:paraId="0D29E753"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1B9C0723" w14:textId="77777777" w:rsidR="00170C38" w:rsidRPr="00F071DA" w:rsidRDefault="00170C38" w:rsidP="006D4A81">
            <w:pPr>
              <w:suppressAutoHyphens w:val="0"/>
              <w:spacing w:before="40" w:after="40" w:line="220" w:lineRule="exact"/>
              <w:ind w:left="113"/>
              <w:jc w:val="right"/>
              <w:rPr>
                <w:sz w:val="18"/>
                <w:szCs w:val="16"/>
              </w:rPr>
            </w:pPr>
          </w:p>
        </w:tc>
        <w:tc>
          <w:tcPr>
            <w:tcW w:w="2207" w:type="dxa"/>
            <w:gridSpan w:val="2"/>
            <w:shd w:val="clear" w:color="auto" w:fill="auto"/>
            <w:noWrap/>
            <w:vAlign w:val="bottom"/>
          </w:tcPr>
          <w:p w14:paraId="4BCA9518" w14:textId="77777777" w:rsidR="00170C38" w:rsidRPr="00F071DA" w:rsidRDefault="00170C38" w:rsidP="006D4A81">
            <w:pPr>
              <w:suppressAutoHyphens w:val="0"/>
              <w:spacing w:before="40" w:after="40" w:line="220" w:lineRule="exact"/>
              <w:ind w:left="113"/>
              <w:jc w:val="right"/>
              <w:rPr>
                <w:sz w:val="18"/>
                <w:szCs w:val="16"/>
              </w:rPr>
            </w:pPr>
          </w:p>
        </w:tc>
        <w:tc>
          <w:tcPr>
            <w:tcW w:w="20" w:type="dxa"/>
            <w:shd w:val="clear" w:color="auto" w:fill="auto"/>
            <w:noWrap/>
            <w:vAlign w:val="bottom"/>
          </w:tcPr>
          <w:p w14:paraId="35C68938" w14:textId="77777777" w:rsidR="00170C38" w:rsidRPr="00F071DA" w:rsidRDefault="00170C38" w:rsidP="006D4A81">
            <w:pPr>
              <w:suppressAutoHyphens w:val="0"/>
              <w:spacing w:before="40" w:after="40" w:line="220" w:lineRule="exact"/>
              <w:ind w:left="113"/>
              <w:jc w:val="right"/>
              <w:rPr>
                <w:sz w:val="18"/>
                <w:szCs w:val="16"/>
              </w:rPr>
            </w:pPr>
          </w:p>
        </w:tc>
        <w:tc>
          <w:tcPr>
            <w:tcW w:w="20" w:type="dxa"/>
          </w:tcPr>
          <w:p w14:paraId="1C8AF878" w14:textId="77777777" w:rsidR="00170C38" w:rsidRPr="00F071DA" w:rsidRDefault="00170C38" w:rsidP="006D4A81">
            <w:pPr>
              <w:suppressAutoHyphens w:val="0"/>
              <w:spacing w:before="40" w:after="40" w:line="220" w:lineRule="exact"/>
              <w:ind w:left="113"/>
              <w:jc w:val="right"/>
              <w:rPr>
                <w:sz w:val="18"/>
                <w:szCs w:val="16"/>
              </w:rPr>
            </w:pPr>
          </w:p>
        </w:tc>
      </w:tr>
      <w:tr w:rsidR="00170C38" w:rsidRPr="00F071DA" w14:paraId="5EC75621" w14:textId="77777777" w:rsidTr="006D4A81">
        <w:trPr>
          <w:gridAfter w:val="2"/>
          <w:wAfter w:w="57" w:type="dxa"/>
          <w:trHeight w:val="240"/>
        </w:trPr>
        <w:tc>
          <w:tcPr>
            <w:tcW w:w="841" w:type="dxa"/>
            <w:vMerge/>
            <w:shd w:val="clear" w:color="auto" w:fill="auto"/>
          </w:tcPr>
          <w:p w14:paraId="120F996A"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7B7D3685"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0DA1834E"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08370BE6"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42D031C0" w14:textId="77777777" w:rsidR="00170C38" w:rsidRPr="00F071DA" w:rsidRDefault="00170C38" w:rsidP="006D4A81">
            <w:pPr>
              <w:suppressAutoHyphens w:val="0"/>
              <w:spacing w:before="40" w:after="40" w:line="220" w:lineRule="exact"/>
              <w:ind w:left="113"/>
              <w:jc w:val="right"/>
              <w:rPr>
                <w:sz w:val="18"/>
                <w:szCs w:val="16"/>
              </w:rPr>
            </w:pPr>
          </w:p>
        </w:tc>
        <w:tc>
          <w:tcPr>
            <w:tcW w:w="753" w:type="dxa"/>
            <w:shd w:val="clear" w:color="auto" w:fill="auto"/>
            <w:noWrap/>
            <w:vAlign w:val="bottom"/>
          </w:tcPr>
          <w:p w14:paraId="48115942" w14:textId="77777777" w:rsidR="00170C38" w:rsidRPr="00F071DA" w:rsidRDefault="00170C38" w:rsidP="006D4A81">
            <w:pPr>
              <w:suppressAutoHyphens w:val="0"/>
              <w:spacing w:before="40" w:after="40" w:line="220" w:lineRule="exact"/>
              <w:ind w:left="113"/>
              <w:jc w:val="right"/>
              <w:rPr>
                <w:sz w:val="18"/>
                <w:szCs w:val="16"/>
              </w:rPr>
            </w:pPr>
          </w:p>
        </w:tc>
        <w:tc>
          <w:tcPr>
            <w:tcW w:w="659" w:type="dxa"/>
            <w:shd w:val="clear" w:color="auto" w:fill="auto"/>
            <w:noWrap/>
            <w:vAlign w:val="bottom"/>
          </w:tcPr>
          <w:p w14:paraId="5C9A0FE4" w14:textId="77777777" w:rsidR="00170C38" w:rsidRPr="00F071DA" w:rsidRDefault="00170C38" w:rsidP="006D4A81">
            <w:pPr>
              <w:suppressAutoHyphens w:val="0"/>
              <w:spacing w:before="40" w:after="40" w:line="220" w:lineRule="exact"/>
              <w:ind w:left="113"/>
              <w:jc w:val="right"/>
              <w:rPr>
                <w:sz w:val="18"/>
                <w:szCs w:val="16"/>
              </w:rPr>
            </w:pPr>
          </w:p>
        </w:tc>
        <w:tc>
          <w:tcPr>
            <w:tcW w:w="850" w:type="dxa"/>
            <w:gridSpan w:val="2"/>
          </w:tcPr>
          <w:p w14:paraId="1D6092A5" w14:textId="77777777" w:rsidR="00170C38" w:rsidRPr="00F071DA" w:rsidRDefault="00170C38" w:rsidP="006D4A81">
            <w:pPr>
              <w:suppressAutoHyphens w:val="0"/>
              <w:spacing w:before="40" w:after="40" w:line="220" w:lineRule="exact"/>
              <w:ind w:left="113"/>
              <w:jc w:val="right"/>
              <w:rPr>
                <w:sz w:val="18"/>
                <w:szCs w:val="16"/>
              </w:rPr>
            </w:pPr>
          </w:p>
        </w:tc>
        <w:tc>
          <w:tcPr>
            <w:tcW w:w="754" w:type="dxa"/>
            <w:vAlign w:val="bottom"/>
          </w:tcPr>
          <w:p w14:paraId="1CE67E3D" w14:textId="77777777" w:rsidR="00170C38" w:rsidRPr="00F071DA" w:rsidRDefault="00170C38" w:rsidP="006D4A81">
            <w:pPr>
              <w:suppressAutoHyphens w:val="0"/>
              <w:spacing w:before="40" w:after="40" w:line="220" w:lineRule="exact"/>
              <w:ind w:left="113"/>
              <w:jc w:val="right"/>
              <w:rPr>
                <w:sz w:val="18"/>
                <w:szCs w:val="16"/>
              </w:rPr>
            </w:pPr>
          </w:p>
        </w:tc>
        <w:tc>
          <w:tcPr>
            <w:tcW w:w="754" w:type="dxa"/>
          </w:tcPr>
          <w:p w14:paraId="5185A9C6" w14:textId="77777777" w:rsidR="00170C38" w:rsidRPr="00F071DA" w:rsidRDefault="00170C38" w:rsidP="006D4A81">
            <w:pPr>
              <w:suppressAutoHyphens w:val="0"/>
              <w:spacing w:before="40" w:after="40" w:line="220" w:lineRule="exact"/>
              <w:ind w:left="113"/>
              <w:jc w:val="right"/>
              <w:rPr>
                <w:sz w:val="18"/>
                <w:szCs w:val="16"/>
              </w:rPr>
            </w:pPr>
          </w:p>
        </w:tc>
        <w:tc>
          <w:tcPr>
            <w:tcW w:w="753" w:type="dxa"/>
            <w:shd w:val="clear" w:color="auto" w:fill="auto"/>
            <w:noWrap/>
            <w:vAlign w:val="bottom"/>
          </w:tcPr>
          <w:p w14:paraId="0FCEF2F0" w14:textId="77777777" w:rsidR="00170C38" w:rsidRPr="00F071DA" w:rsidRDefault="00170C38" w:rsidP="006D4A81">
            <w:pPr>
              <w:suppressAutoHyphens w:val="0"/>
              <w:spacing w:before="40" w:after="40" w:line="220" w:lineRule="exact"/>
              <w:ind w:left="113"/>
              <w:jc w:val="right"/>
              <w:rPr>
                <w:sz w:val="18"/>
                <w:szCs w:val="16"/>
              </w:rPr>
            </w:pPr>
          </w:p>
        </w:tc>
        <w:tc>
          <w:tcPr>
            <w:tcW w:w="754" w:type="dxa"/>
            <w:shd w:val="clear" w:color="auto" w:fill="auto"/>
            <w:noWrap/>
            <w:vAlign w:val="bottom"/>
          </w:tcPr>
          <w:p w14:paraId="114AAB25" w14:textId="77777777" w:rsidR="00170C38" w:rsidRPr="00F071DA" w:rsidRDefault="00170C38" w:rsidP="006D4A81">
            <w:pPr>
              <w:suppressAutoHyphens w:val="0"/>
              <w:spacing w:before="40" w:after="40" w:line="220" w:lineRule="exact"/>
              <w:ind w:left="113"/>
              <w:jc w:val="right"/>
              <w:rPr>
                <w:sz w:val="18"/>
                <w:szCs w:val="16"/>
              </w:rPr>
            </w:pPr>
          </w:p>
        </w:tc>
        <w:tc>
          <w:tcPr>
            <w:tcW w:w="2207" w:type="dxa"/>
            <w:gridSpan w:val="2"/>
            <w:shd w:val="clear" w:color="auto" w:fill="auto"/>
            <w:noWrap/>
            <w:vAlign w:val="bottom"/>
          </w:tcPr>
          <w:p w14:paraId="789468A1" w14:textId="77777777" w:rsidR="00170C38" w:rsidRPr="00F071DA" w:rsidRDefault="00170C38" w:rsidP="006D4A81">
            <w:pPr>
              <w:suppressAutoHyphens w:val="0"/>
              <w:spacing w:before="40" w:after="40" w:line="220" w:lineRule="exact"/>
              <w:ind w:left="113"/>
              <w:jc w:val="right"/>
              <w:rPr>
                <w:sz w:val="18"/>
                <w:szCs w:val="16"/>
              </w:rPr>
            </w:pPr>
          </w:p>
        </w:tc>
        <w:tc>
          <w:tcPr>
            <w:tcW w:w="20" w:type="dxa"/>
            <w:shd w:val="clear" w:color="auto" w:fill="auto"/>
            <w:noWrap/>
            <w:vAlign w:val="bottom"/>
          </w:tcPr>
          <w:p w14:paraId="707EDF8C" w14:textId="77777777" w:rsidR="00170C38" w:rsidRPr="00F071DA" w:rsidRDefault="00170C38" w:rsidP="006D4A81">
            <w:pPr>
              <w:suppressAutoHyphens w:val="0"/>
              <w:spacing w:before="40" w:after="40" w:line="220" w:lineRule="exact"/>
              <w:ind w:left="113"/>
              <w:jc w:val="right"/>
              <w:rPr>
                <w:sz w:val="18"/>
                <w:szCs w:val="16"/>
              </w:rPr>
            </w:pPr>
          </w:p>
        </w:tc>
        <w:tc>
          <w:tcPr>
            <w:tcW w:w="20" w:type="dxa"/>
          </w:tcPr>
          <w:p w14:paraId="4E52EFD3" w14:textId="77777777" w:rsidR="00170C38" w:rsidRPr="00F071DA" w:rsidRDefault="00170C38" w:rsidP="006D4A81">
            <w:pPr>
              <w:suppressAutoHyphens w:val="0"/>
              <w:spacing w:before="40" w:after="40" w:line="220" w:lineRule="exact"/>
              <w:ind w:left="113"/>
              <w:jc w:val="right"/>
              <w:rPr>
                <w:sz w:val="18"/>
                <w:szCs w:val="16"/>
              </w:rPr>
            </w:pPr>
          </w:p>
        </w:tc>
      </w:tr>
      <w:tr w:rsidR="00170C38" w:rsidRPr="00F071DA" w14:paraId="7CB49A72" w14:textId="77777777" w:rsidTr="006D4A81">
        <w:trPr>
          <w:gridAfter w:val="2"/>
          <w:wAfter w:w="57" w:type="dxa"/>
          <w:trHeight w:val="240"/>
        </w:trPr>
        <w:tc>
          <w:tcPr>
            <w:tcW w:w="841" w:type="dxa"/>
            <w:vMerge w:val="restart"/>
            <w:shd w:val="clear" w:color="auto" w:fill="auto"/>
          </w:tcPr>
          <w:p w14:paraId="20402015"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571B9547"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583AA1DA"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5C6018F6"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6DAA7D5D"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40985D7C" w14:textId="77777777" w:rsidR="00170C38" w:rsidRPr="00F071DA" w:rsidRDefault="00170C38" w:rsidP="006D4A81">
            <w:pPr>
              <w:suppressAutoHyphens w:val="0"/>
              <w:spacing w:before="40" w:after="40" w:line="220" w:lineRule="exact"/>
              <w:ind w:left="113"/>
              <w:jc w:val="right"/>
              <w:rPr>
                <w:sz w:val="18"/>
              </w:rPr>
            </w:pPr>
          </w:p>
        </w:tc>
        <w:tc>
          <w:tcPr>
            <w:tcW w:w="659" w:type="dxa"/>
            <w:shd w:val="clear" w:color="auto" w:fill="auto"/>
            <w:noWrap/>
            <w:vAlign w:val="bottom"/>
          </w:tcPr>
          <w:p w14:paraId="30472BE6" w14:textId="77777777" w:rsidR="00170C38" w:rsidRPr="00F071DA" w:rsidRDefault="00170C38" w:rsidP="006D4A81">
            <w:pPr>
              <w:suppressAutoHyphens w:val="0"/>
              <w:spacing w:before="40" w:after="40" w:line="220" w:lineRule="exact"/>
              <w:ind w:left="113"/>
              <w:jc w:val="right"/>
              <w:rPr>
                <w:sz w:val="18"/>
              </w:rPr>
            </w:pPr>
          </w:p>
        </w:tc>
        <w:tc>
          <w:tcPr>
            <w:tcW w:w="850" w:type="dxa"/>
            <w:gridSpan w:val="2"/>
          </w:tcPr>
          <w:p w14:paraId="356BE5D4" w14:textId="77777777" w:rsidR="00170C38" w:rsidRPr="00F071DA" w:rsidRDefault="00170C38" w:rsidP="006D4A81">
            <w:pPr>
              <w:suppressAutoHyphens w:val="0"/>
              <w:spacing w:before="40" w:after="40" w:line="220" w:lineRule="exact"/>
              <w:ind w:left="113"/>
              <w:jc w:val="right"/>
              <w:rPr>
                <w:sz w:val="18"/>
              </w:rPr>
            </w:pPr>
          </w:p>
        </w:tc>
        <w:tc>
          <w:tcPr>
            <w:tcW w:w="754" w:type="dxa"/>
            <w:vAlign w:val="bottom"/>
          </w:tcPr>
          <w:p w14:paraId="075CD69A" w14:textId="77777777" w:rsidR="00170C38" w:rsidRPr="00F071DA" w:rsidRDefault="00170C38" w:rsidP="006D4A81">
            <w:pPr>
              <w:suppressAutoHyphens w:val="0"/>
              <w:spacing w:before="40" w:after="40" w:line="220" w:lineRule="exact"/>
              <w:ind w:left="113"/>
              <w:jc w:val="right"/>
              <w:rPr>
                <w:sz w:val="18"/>
              </w:rPr>
            </w:pPr>
          </w:p>
        </w:tc>
        <w:tc>
          <w:tcPr>
            <w:tcW w:w="754" w:type="dxa"/>
          </w:tcPr>
          <w:p w14:paraId="0FA18A98"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434EA8FC"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3BB59521" w14:textId="77777777" w:rsidR="00170C38" w:rsidRPr="00F071DA" w:rsidRDefault="00170C38" w:rsidP="006D4A81">
            <w:pPr>
              <w:suppressAutoHyphens w:val="0"/>
              <w:spacing w:before="40" w:after="40" w:line="220" w:lineRule="exact"/>
              <w:ind w:left="113"/>
              <w:jc w:val="right"/>
              <w:rPr>
                <w:sz w:val="18"/>
              </w:rPr>
            </w:pPr>
          </w:p>
        </w:tc>
        <w:tc>
          <w:tcPr>
            <w:tcW w:w="2207" w:type="dxa"/>
            <w:gridSpan w:val="2"/>
            <w:shd w:val="clear" w:color="auto" w:fill="auto"/>
            <w:noWrap/>
            <w:vAlign w:val="bottom"/>
          </w:tcPr>
          <w:p w14:paraId="4026D4B3" w14:textId="77777777" w:rsidR="00170C38" w:rsidRPr="00F071DA" w:rsidRDefault="00170C38" w:rsidP="006D4A81">
            <w:pPr>
              <w:suppressAutoHyphens w:val="0"/>
              <w:spacing w:before="40" w:after="40" w:line="220" w:lineRule="exact"/>
              <w:ind w:left="113"/>
              <w:jc w:val="right"/>
              <w:rPr>
                <w:sz w:val="18"/>
              </w:rPr>
            </w:pPr>
          </w:p>
        </w:tc>
        <w:tc>
          <w:tcPr>
            <w:tcW w:w="20" w:type="dxa"/>
            <w:shd w:val="clear" w:color="auto" w:fill="auto"/>
            <w:noWrap/>
            <w:vAlign w:val="bottom"/>
          </w:tcPr>
          <w:p w14:paraId="2CBABC55" w14:textId="77777777" w:rsidR="00170C38" w:rsidRPr="00F071DA" w:rsidRDefault="00170C38" w:rsidP="006D4A81">
            <w:pPr>
              <w:suppressAutoHyphens w:val="0"/>
              <w:spacing w:before="40" w:after="40" w:line="220" w:lineRule="exact"/>
              <w:ind w:left="113"/>
              <w:jc w:val="right"/>
              <w:rPr>
                <w:sz w:val="18"/>
              </w:rPr>
            </w:pPr>
          </w:p>
        </w:tc>
        <w:tc>
          <w:tcPr>
            <w:tcW w:w="20" w:type="dxa"/>
          </w:tcPr>
          <w:p w14:paraId="12D7D289" w14:textId="77777777" w:rsidR="00170C38" w:rsidRPr="00F071DA" w:rsidRDefault="00170C38" w:rsidP="006D4A81">
            <w:pPr>
              <w:suppressAutoHyphens w:val="0"/>
              <w:spacing w:before="40" w:after="40" w:line="220" w:lineRule="exact"/>
              <w:ind w:left="113"/>
              <w:jc w:val="right"/>
              <w:rPr>
                <w:sz w:val="18"/>
              </w:rPr>
            </w:pPr>
          </w:p>
        </w:tc>
      </w:tr>
      <w:tr w:rsidR="00170C38" w:rsidRPr="00F071DA" w14:paraId="517BC3B6" w14:textId="77777777" w:rsidTr="006D4A81">
        <w:trPr>
          <w:gridAfter w:val="2"/>
          <w:wAfter w:w="57" w:type="dxa"/>
          <w:trHeight w:val="240"/>
        </w:trPr>
        <w:tc>
          <w:tcPr>
            <w:tcW w:w="841" w:type="dxa"/>
            <w:vMerge/>
            <w:shd w:val="clear" w:color="auto" w:fill="auto"/>
          </w:tcPr>
          <w:p w14:paraId="37960EF6"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12C8BD79"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3A199716"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02C5EF74"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7E7FDB0D"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0A037E7C" w14:textId="77777777" w:rsidR="00170C38" w:rsidRPr="00F071DA" w:rsidRDefault="00170C38" w:rsidP="006D4A81">
            <w:pPr>
              <w:suppressAutoHyphens w:val="0"/>
              <w:spacing w:before="40" w:after="40" w:line="220" w:lineRule="exact"/>
              <w:ind w:left="113"/>
              <w:jc w:val="right"/>
              <w:rPr>
                <w:sz w:val="18"/>
              </w:rPr>
            </w:pPr>
          </w:p>
        </w:tc>
        <w:tc>
          <w:tcPr>
            <w:tcW w:w="659" w:type="dxa"/>
            <w:shd w:val="clear" w:color="auto" w:fill="auto"/>
            <w:noWrap/>
            <w:vAlign w:val="bottom"/>
          </w:tcPr>
          <w:p w14:paraId="43180FB9" w14:textId="77777777" w:rsidR="00170C38" w:rsidRPr="00F071DA" w:rsidRDefault="00170C38" w:rsidP="006D4A81">
            <w:pPr>
              <w:suppressAutoHyphens w:val="0"/>
              <w:spacing w:before="40" w:after="40" w:line="220" w:lineRule="exact"/>
              <w:ind w:left="113"/>
              <w:jc w:val="right"/>
              <w:rPr>
                <w:sz w:val="18"/>
              </w:rPr>
            </w:pPr>
          </w:p>
        </w:tc>
        <w:tc>
          <w:tcPr>
            <w:tcW w:w="850" w:type="dxa"/>
            <w:gridSpan w:val="2"/>
          </w:tcPr>
          <w:p w14:paraId="0D1FFA49" w14:textId="77777777" w:rsidR="00170C38" w:rsidRPr="00F071DA" w:rsidRDefault="00170C38" w:rsidP="006D4A81">
            <w:pPr>
              <w:suppressAutoHyphens w:val="0"/>
              <w:spacing w:before="40" w:after="40" w:line="220" w:lineRule="exact"/>
              <w:ind w:left="113"/>
              <w:jc w:val="right"/>
              <w:rPr>
                <w:sz w:val="18"/>
              </w:rPr>
            </w:pPr>
          </w:p>
        </w:tc>
        <w:tc>
          <w:tcPr>
            <w:tcW w:w="754" w:type="dxa"/>
            <w:vAlign w:val="bottom"/>
          </w:tcPr>
          <w:p w14:paraId="1ED18056" w14:textId="77777777" w:rsidR="00170C38" w:rsidRPr="00F071DA" w:rsidRDefault="00170C38" w:rsidP="006D4A81">
            <w:pPr>
              <w:suppressAutoHyphens w:val="0"/>
              <w:spacing w:before="40" w:after="40" w:line="220" w:lineRule="exact"/>
              <w:ind w:left="113"/>
              <w:jc w:val="right"/>
              <w:rPr>
                <w:sz w:val="18"/>
              </w:rPr>
            </w:pPr>
          </w:p>
        </w:tc>
        <w:tc>
          <w:tcPr>
            <w:tcW w:w="754" w:type="dxa"/>
          </w:tcPr>
          <w:p w14:paraId="66353776"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229D8A01"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10C3FD91" w14:textId="77777777" w:rsidR="00170C38" w:rsidRPr="00F071DA" w:rsidRDefault="00170C38" w:rsidP="006D4A81">
            <w:pPr>
              <w:suppressAutoHyphens w:val="0"/>
              <w:spacing w:before="40" w:after="40" w:line="220" w:lineRule="exact"/>
              <w:ind w:left="113"/>
              <w:jc w:val="right"/>
              <w:rPr>
                <w:sz w:val="18"/>
              </w:rPr>
            </w:pPr>
          </w:p>
        </w:tc>
        <w:tc>
          <w:tcPr>
            <w:tcW w:w="2207" w:type="dxa"/>
            <w:gridSpan w:val="2"/>
            <w:shd w:val="clear" w:color="auto" w:fill="auto"/>
            <w:noWrap/>
            <w:vAlign w:val="bottom"/>
          </w:tcPr>
          <w:p w14:paraId="49E355CD" w14:textId="77777777" w:rsidR="00170C38" w:rsidRPr="00F071DA" w:rsidRDefault="00170C38" w:rsidP="006D4A81">
            <w:pPr>
              <w:suppressAutoHyphens w:val="0"/>
              <w:spacing w:before="40" w:after="40" w:line="220" w:lineRule="exact"/>
              <w:ind w:left="113"/>
              <w:jc w:val="right"/>
              <w:rPr>
                <w:sz w:val="18"/>
              </w:rPr>
            </w:pPr>
          </w:p>
        </w:tc>
        <w:tc>
          <w:tcPr>
            <w:tcW w:w="20" w:type="dxa"/>
            <w:shd w:val="clear" w:color="auto" w:fill="auto"/>
            <w:noWrap/>
            <w:vAlign w:val="bottom"/>
          </w:tcPr>
          <w:p w14:paraId="315F872B" w14:textId="77777777" w:rsidR="00170C38" w:rsidRPr="00F071DA" w:rsidRDefault="00170C38" w:rsidP="006D4A81">
            <w:pPr>
              <w:suppressAutoHyphens w:val="0"/>
              <w:spacing w:before="40" w:after="40" w:line="220" w:lineRule="exact"/>
              <w:ind w:left="113"/>
              <w:jc w:val="right"/>
              <w:rPr>
                <w:sz w:val="18"/>
              </w:rPr>
            </w:pPr>
          </w:p>
        </w:tc>
        <w:tc>
          <w:tcPr>
            <w:tcW w:w="20" w:type="dxa"/>
          </w:tcPr>
          <w:p w14:paraId="38D15377" w14:textId="77777777" w:rsidR="00170C38" w:rsidRPr="00F071DA" w:rsidRDefault="00170C38" w:rsidP="006D4A81">
            <w:pPr>
              <w:suppressAutoHyphens w:val="0"/>
              <w:spacing w:before="40" w:after="40" w:line="220" w:lineRule="exact"/>
              <w:ind w:left="113"/>
              <w:jc w:val="right"/>
              <w:rPr>
                <w:sz w:val="18"/>
              </w:rPr>
            </w:pPr>
          </w:p>
        </w:tc>
      </w:tr>
      <w:tr w:rsidR="00170C38" w:rsidRPr="00F071DA" w14:paraId="3AE5DF9A" w14:textId="77777777" w:rsidTr="006D4A81">
        <w:trPr>
          <w:gridAfter w:val="2"/>
          <w:wAfter w:w="57" w:type="dxa"/>
          <w:trHeight w:val="240"/>
        </w:trPr>
        <w:tc>
          <w:tcPr>
            <w:tcW w:w="841" w:type="dxa"/>
            <w:vMerge/>
            <w:shd w:val="clear" w:color="auto" w:fill="auto"/>
          </w:tcPr>
          <w:p w14:paraId="141001E6"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452593CB"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4DA3B846"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1CE133FE"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06945398"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0357AA2A" w14:textId="77777777" w:rsidR="00170C38" w:rsidRPr="00F071DA" w:rsidRDefault="00170C38" w:rsidP="006D4A81">
            <w:pPr>
              <w:suppressAutoHyphens w:val="0"/>
              <w:spacing w:before="40" w:after="40" w:line="220" w:lineRule="exact"/>
              <w:ind w:left="113"/>
              <w:jc w:val="right"/>
              <w:rPr>
                <w:sz w:val="18"/>
              </w:rPr>
            </w:pPr>
          </w:p>
        </w:tc>
        <w:tc>
          <w:tcPr>
            <w:tcW w:w="659" w:type="dxa"/>
            <w:shd w:val="clear" w:color="auto" w:fill="auto"/>
            <w:noWrap/>
            <w:vAlign w:val="bottom"/>
          </w:tcPr>
          <w:p w14:paraId="5527CCB9" w14:textId="77777777" w:rsidR="00170C38" w:rsidRPr="00F071DA" w:rsidRDefault="00170C38" w:rsidP="006D4A81">
            <w:pPr>
              <w:suppressAutoHyphens w:val="0"/>
              <w:spacing w:before="40" w:after="40" w:line="220" w:lineRule="exact"/>
              <w:ind w:left="113"/>
              <w:jc w:val="right"/>
              <w:rPr>
                <w:sz w:val="18"/>
              </w:rPr>
            </w:pPr>
          </w:p>
        </w:tc>
        <w:tc>
          <w:tcPr>
            <w:tcW w:w="850" w:type="dxa"/>
            <w:gridSpan w:val="2"/>
          </w:tcPr>
          <w:p w14:paraId="72E5A946" w14:textId="77777777" w:rsidR="00170C38" w:rsidRPr="00F071DA" w:rsidRDefault="00170C38" w:rsidP="006D4A81">
            <w:pPr>
              <w:suppressAutoHyphens w:val="0"/>
              <w:spacing w:before="40" w:after="40" w:line="220" w:lineRule="exact"/>
              <w:ind w:left="113"/>
              <w:jc w:val="right"/>
              <w:rPr>
                <w:sz w:val="18"/>
              </w:rPr>
            </w:pPr>
          </w:p>
        </w:tc>
        <w:tc>
          <w:tcPr>
            <w:tcW w:w="754" w:type="dxa"/>
            <w:vAlign w:val="bottom"/>
          </w:tcPr>
          <w:p w14:paraId="6F9BDAFD" w14:textId="77777777" w:rsidR="00170C38" w:rsidRPr="00F071DA" w:rsidRDefault="00170C38" w:rsidP="006D4A81">
            <w:pPr>
              <w:suppressAutoHyphens w:val="0"/>
              <w:spacing w:before="40" w:after="40" w:line="220" w:lineRule="exact"/>
              <w:ind w:left="113"/>
              <w:jc w:val="right"/>
              <w:rPr>
                <w:sz w:val="18"/>
              </w:rPr>
            </w:pPr>
          </w:p>
        </w:tc>
        <w:tc>
          <w:tcPr>
            <w:tcW w:w="754" w:type="dxa"/>
          </w:tcPr>
          <w:p w14:paraId="492CFFCA"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5E5DC72A"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4EAE8DD8" w14:textId="77777777" w:rsidR="00170C38" w:rsidRPr="00F071DA" w:rsidRDefault="00170C38" w:rsidP="006D4A81">
            <w:pPr>
              <w:suppressAutoHyphens w:val="0"/>
              <w:spacing w:before="40" w:after="40" w:line="220" w:lineRule="exact"/>
              <w:ind w:left="113"/>
              <w:jc w:val="right"/>
              <w:rPr>
                <w:sz w:val="18"/>
              </w:rPr>
            </w:pPr>
          </w:p>
        </w:tc>
        <w:tc>
          <w:tcPr>
            <w:tcW w:w="2207" w:type="dxa"/>
            <w:gridSpan w:val="2"/>
            <w:shd w:val="clear" w:color="auto" w:fill="auto"/>
            <w:noWrap/>
            <w:vAlign w:val="bottom"/>
          </w:tcPr>
          <w:p w14:paraId="19846D6A" w14:textId="77777777" w:rsidR="00170C38" w:rsidRPr="00F071DA" w:rsidRDefault="00170C38" w:rsidP="006D4A81">
            <w:pPr>
              <w:suppressAutoHyphens w:val="0"/>
              <w:spacing w:before="40" w:after="40" w:line="220" w:lineRule="exact"/>
              <w:ind w:left="113"/>
              <w:jc w:val="right"/>
              <w:rPr>
                <w:sz w:val="18"/>
              </w:rPr>
            </w:pPr>
          </w:p>
        </w:tc>
        <w:tc>
          <w:tcPr>
            <w:tcW w:w="20" w:type="dxa"/>
            <w:shd w:val="clear" w:color="auto" w:fill="auto"/>
            <w:noWrap/>
            <w:vAlign w:val="bottom"/>
          </w:tcPr>
          <w:p w14:paraId="08663C1A" w14:textId="77777777" w:rsidR="00170C38" w:rsidRPr="00F071DA" w:rsidRDefault="00170C38" w:rsidP="006D4A81">
            <w:pPr>
              <w:suppressAutoHyphens w:val="0"/>
              <w:spacing w:before="40" w:after="40" w:line="220" w:lineRule="exact"/>
              <w:ind w:left="113"/>
              <w:jc w:val="right"/>
              <w:rPr>
                <w:sz w:val="18"/>
              </w:rPr>
            </w:pPr>
          </w:p>
        </w:tc>
        <w:tc>
          <w:tcPr>
            <w:tcW w:w="20" w:type="dxa"/>
          </w:tcPr>
          <w:p w14:paraId="551C5496" w14:textId="77777777" w:rsidR="00170C38" w:rsidRPr="00F071DA" w:rsidRDefault="00170C38" w:rsidP="006D4A81">
            <w:pPr>
              <w:suppressAutoHyphens w:val="0"/>
              <w:spacing w:before="40" w:after="40" w:line="220" w:lineRule="exact"/>
              <w:ind w:left="113"/>
              <w:jc w:val="right"/>
              <w:rPr>
                <w:sz w:val="18"/>
              </w:rPr>
            </w:pPr>
          </w:p>
        </w:tc>
      </w:tr>
      <w:tr w:rsidR="00170C38" w:rsidRPr="00F071DA" w14:paraId="1F41B975" w14:textId="77777777" w:rsidTr="006D4A81">
        <w:trPr>
          <w:gridAfter w:val="2"/>
          <w:wAfter w:w="57" w:type="dxa"/>
          <w:trHeight w:val="240"/>
        </w:trPr>
        <w:tc>
          <w:tcPr>
            <w:tcW w:w="841" w:type="dxa"/>
            <w:vMerge/>
            <w:shd w:val="clear" w:color="auto" w:fill="auto"/>
          </w:tcPr>
          <w:p w14:paraId="1FBFDA02"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1E1B4802"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17A640EE"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6015B9E2"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3C89019F"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6F100787" w14:textId="77777777" w:rsidR="00170C38" w:rsidRPr="00F071DA" w:rsidRDefault="00170C38" w:rsidP="006D4A81">
            <w:pPr>
              <w:suppressAutoHyphens w:val="0"/>
              <w:spacing w:before="40" w:after="40" w:line="220" w:lineRule="exact"/>
              <w:ind w:left="113"/>
              <w:jc w:val="right"/>
              <w:rPr>
                <w:sz w:val="18"/>
              </w:rPr>
            </w:pPr>
          </w:p>
        </w:tc>
        <w:tc>
          <w:tcPr>
            <w:tcW w:w="659" w:type="dxa"/>
            <w:shd w:val="clear" w:color="auto" w:fill="auto"/>
            <w:noWrap/>
            <w:vAlign w:val="bottom"/>
          </w:tcPr>
          <w:p w14:paraId="54FDACEB" w14:textId="77777777" w:rsidR="00170C38" w:rsidRPr="00F071DA" w:rsidRDefault="00170C38" w:rsidP="006D4A81">
            <w:pPr>
              <w:suppressAutoHyphens w:val="0"/>
              <w:spacing w:before="40" w:after="40" w:line="220" w:lineRule="exact"/>
              <w:ind w:left="113"/>
              <w:jc w:val="right"/>
              <w:rPr>
                <w:sz w:val="18"/>
              </w:rPr>
            </w:pPr>
          </w:p>
        </w:tc>
        <w:tc>
          <w:tcPr>
            <w:tcW w:w="850" w:type="dxa"/>
            <w:gridSpan w:val="2"/>
          </w:tcPr>
          <w:p w14:paraId="22DF9C59" w14:textId="77777777" w:rsidR="00170C38" w:rsidRPr="00F071DA" w:rsidRDefault="00170C38" w:rsidP="006D4A81">
            <w:pPr>
              <w:suppressAutoHyphens w:val="0"/>
              <w:spacing w:before="40" w:after="40" w:line="220" w:lineRule="exact"/>
              <w:ind w:left="113"/>
              <w:jc w:val="right"/>
              <w:rPr>
                <w:sz w:val="18"/>
              </w:rPr>
            </w:pPr>
          </w:p>
        </w:tc>
        <w:tc>
          <w:tcPr>
            <w:tcW w:w="754" w:type="dxa"/>
            <w:vAlign w:val="bottom"/>
          </w:tcPr>
          <w:p w14:paraId="777DC82A" w14:textId="77777777" w:rsidR="00170C38" w:rsidRPr="00F071DA" w:rsidRDefault="00170C38" w:rsidP="006D4A81">
            <w:pPr>
              <w:suppressAutoHyphens w:val="0"/>
              <w:spacing w:before="40" w:after="40" w:line="220" w:lineRule="exact"/>
              <w:ind w:left="113"/>
              <w:jc w:val="right"/>
              <w:rPr>
                <w:sz w:val="18"/>
              </w:rPr>
            </w:pPr>
          </w:p>
        </w:tc>
        <w:tc>
          <w:tcPr>
            <w:tcW w:w="754" w:type="dxa"/>
          </w:tcPr>
          <w:p w14:paraId="2F74D830"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309676B1"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17542232" w14:textId="77777777" w:rsidR="00170C38" w:rsidRPr="00F071DA" w:rsidRDefault="00170C38" w:rsidP="006D4A81">
            <w:pPr>
              <w:suppressAutoHyphens w:val="0"/>
              <w:spacing w:before="40" w:after="40" w:line="220" w:lineRule="exact"/>
              <w:ind w:left="113"/>
              <w:jc w:val="right"/>
              <w:rPr>
                <w:sz w:val="18"/>
              </w:rPr>
            </w:pPr>
          </w:p>
        </w:tc>
        <w:tc>
          <w:tcPr>
            <w:tcW w:w="2207" w:type="dxa"/>
            <w:gridSpan w:val="2"/>
            <w:shd w:val="clear" w:color="auto" w:fill="auto"/>
            <w:noWrap/>
            <w:vAlign w:val="bottom"/>
          </w:tcPr>
          <w:p w14:paraId="11B08CFE" w14:textId="77777777" w:rsidR="00170C38" w:rsidRPr="00F071DA" w:rsidRDefault="00170C38" w:rsidP="006D4A81">
            <w:pPr>
              <w:suppressAutoHyphens w:val="0"/>
              <w:spacing w:before="40" w:after="40" w:line="220" w:lineRule="exact"/>
              <w:ind w:left="113"/>
              <w:jc w:val="right"/>
              <w:rPr>
                <w:sz w:val="18"/>
              </w:rPr>
            </w:pPr>
          </w:p>
        </w:tc>
        <w:tc>
          <w:tcPr>
            <w:tcW w:w="20" w:type="dxa"/>
            <w:shd w:val="clear" w:color="auto" w:fill="auto"/>
            <w:noWrap/>
            <w:vAlign w:val="bottom"/>
          </w:tcPr>
          <w:p w14:paraId="3D1DA1EC" w14:textId="77777777" w:rsidR="00170C38" w:rsidRPr="00F071DA" w:rsidRDefault="00170C38" w:rsidP="006D4A81">
            <w:pPr>
              <w:suppressAutoHyphens w:val="0"/>
              <w:spacing w:before="40" w:after="40" w:line="220" w:lineRule="exact"/>
              <w:ind w:left="113"/>
              <w:jc w:val="right"/>
              <w:rPr>
                <w:sz w:val="18"/>
              </w:rPr>
            </w:pPr>
          </w:p>
        </w:tc>
        <w:tc>
          <w:tcPr>
            <w:tcW w:w="20" w:type="dxa"/>
          </w:tcPr>
          <w:p w14:paraId="34D9B6AC" w14:textId="77777777" w:rsidR="00170C38" w:rsidRPr="00F071DA" w:rsidRDefault="00170C38" w:rsidP="006D4A81">
            <w:pPr>
              <w:suppressAutoHyphens w:val="0"/>
              <w:spacing w:before="40" w:after="40" w:line="220" w:lineRule="exact"/>
              <w:ind w:left="113"/>
              <w:jc w:val="right"/>
              <w:rPr>
                <w:sz w:val="18"/>
              </w:rPr>
            </w:pPr>
          </w:p>
        </w:tc>
      </w:tr>
      <w:tr w:rsidR="00170C38" w:rsidRPr="00F071DA" w14:paraId="37798CAD" w14:textId="77777777" w:rsidTr="006D4A81">
        <w:trPr>
          <w:gridAfter w:val="2"/>
          <w:wAfter w:w="57" w:type="dxa"/>
          <w:trHeight w:val="240"/>
        </w:trPr>
        <w:tc>
          <w:tcPr>
            <w:tcW w:w="841" w:type="dxa"/>
            <w:vMerge/>
            <w:shd w:val="clear" w:color="auto" w:fill="auto"/>
          </w:tcPr>
          <w:p w14:paraId="3774703B"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09026027"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3B2F6E0B"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259D667A"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22711EEE"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68BC444F" w14:textId="77777777" w:rsidR="00170C38" w:rsidRPr="00F071DA" w:rsidRDefault="00170C38" w:rsidP="006D4A81">
            <w:pPr>
              <w:suppressAutoHyphens w:val="0"/>
              <w:spacing w:before="40" w:after="40" w:line="220" w:lineRule="exact"/>
              <w:ind w:left="113"/>
              <w:jc w:val="right"/>
              <w:rPr>
                <w:sz w:val="18"/>
              </w:rPr>
            </w:pPr>
          </w:p>
        </w:tc>
        <w:tc>
          <w:tcPr>
            <w:tcW w:w="659" w:type="dxa"/>
            <w:shd w:val="clear" w:color="auto" w:fill="auto"/>
            <w:noWrap/>
            <w:vAlign w:val="bottom"/>
          </w:tcPr>
          <w:p w14:paraId="19957F37" w14:textId="77777777" w:rsidR="00170C38" w:rsidRPr="00F071DA" w:rsidRDefault="00170C38" w:rsidP="006D4A81">
            <w:pPr>
              <w:suppressAutoHyphens w:val="0"/>
              <w:spacing w:before="40" w:after="40" w:line="220" w:lineRule="exact"/>
              <w:ind w:left="113"/>
              <w:jc w:val="right"/>
              <w:rPr>
                <w:sz w:val="18"/>
              </w:rPr>
            </w:pPr>
          </w:p>
        </w:tc>
        <w:tc>
          <w:tcPr>
            <w:tcW w:w="850" w:type="dxa"/>
            <w:gridSpan w:val="2"/>
          </w:tcPr>
          <w:p w14:paraId="173E25C4" w14:textId="77777777" w:rsidR="00170C38" w:rsidRPr="00F071DA" w:rsidRDefault="00170C38" w:rsidP="006D4A81">
            <w:pPr>
              <w:suppressAutoHyphens w:val="0"/>
              <w:spacing w:before="40" w:after="40" w:line="220" w:lineRule="exact"/>
              <w:ind w:left="113"/>
              <w:jc w:val="right"/>
              <w:rPr>
                <w:sz w:val="18"/>
              </w:rPr>
            </w:pPr>
          </w:p>
        </w:tc>
        <w:tc>
          <w:tcPr>
            <w:tcW w:w="754" w:type="dxa"/>
            <w:vAlign w:val="bottom"/>
          </w:tcPr>
          <w:p w14:paraId="463BA04D" w14:textId="77777777" w:rsidR="00170C38" w:rsidRPr="00F071DA" w:rsidRDefault="00170C38" w:rsidP="006D4A81">
            <w:pPr>
              <w:suppressAutoHyphens w:val="0"/>
              <w:spacing w:before="40" w:after="40" w:line="220" w:lineRule="exact"/>
              <w:ind w:left="113"/>
              <w:jc w:val="right"/>
              <w:rPr>
                <w:sz w:val="18"/>
              </w:rPr>
            </w:pPr>
          </w:p>
        </w:tc>
        <w:tc>
          <w:tcPr>
            <w:tcW w:w="754" w:type="dxa"/>
          </w:tcPr>
          <w:p w14:paraId="78818A7A"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1CAA68BA"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50806B88" w14:textId="77777777" w:rsidR="00170C38" w:rsidRPr="00F071DA" w:rsidRDefault="00170C38" w:rsidP="006D4A81">
            <w:pPr>
              <w:suppressAutoHyphens w:val="0"/>
              <w:spacing w:before="40" w:after="40" w:line="220" w:lineRule="exact"/>
              <w:ind w:left="113"/>
              <w:jc w:val="right"/>
              <w:rPr>
                <w:sz w:val="18"/>
              </w:rPr>
            </w:pPr>
          </w:p>
        </w:tc>
        <w:tc>
          <w:tcPr>
            <w:tcW w:w="2207" w:type="dxa"/>
            <w:gridSpan w:val="2"/>
            <w:shd w:val="clear" w:color="auto" w:fill="auto"/>
            <w:noWrap/>
            <w:vAlign w:val="bottom"/>
          </w:tcPr>
          <w:p w14:paraId="69AA1094" w14:textId="77777777" w:rsidR="00170C38" w:rsidRPr="00F071DA" w:rsidRDefault="00170C38" w:rsidP="006D4A81">
            <w:pPr>
              <w:suppressAutoHyphens w:val="0"/>
              <w:spacing w:before="40" w:after="40" w:line="220" w:lineRule="exact"/>
              <w:ind w:left="113"/>
              <w:jc w:val="right"/>
              <w:rPr>
                <w:sz w:val="18"/>
              </w:rPr>
            </w:pPr>
          </w:p>
        </w:tc>
        <w:tc>
          <w:tcPr>
            <w:tcW w:w="20" w:type="dxa"/>
            <w:shd w:val="clear" w:color="auto" w:fill="auto"/>
            <w:noWrap/>
            <w:vAlign w:val="bottom"/>
          </w:tcPr>
          <w:p w14:paraId="3C4AE53E" w14:textId="77777777" w:rsidR="00170C38" w:rsidRPr="00F071DA" w:rsidRDefault="00170C38" w:rsidP="006D4A81">
            <w:pPr>
              <w:suppressAutoHyphens w:val="0"/>
              <w:spacing w:before="40" w:after="40" w:line="220" w:lineRule="exact"/>
              <w:ind w:left="113"/>
              <w:jc w:val="right"/>
              <w:rPr>
                <w:sz w:val="18"/>
              </w:rPr>
            </w:pPr>
          </w:p>
        </w:tc>
        <w:tc>
          <w:tcPr>
            <w:tcW w:w="20" w:type="dxa"/>
          </w:tcPr>
          <w:p w14:paraId="20494F72" w14:textId="77777777" w:rsidR="00170C38" w:rsidRPr="00F071DA" w:rsidRDefault="00170C38" w:rsidP="006D4A81">
            <w:pPr>
              <w:suppressAutoHyphens w:val="0"/>
              <w:spacing w:before="40" w:after="40" w:line="220" w:lineRule="exact"/>
              <w:ind w:left="113"/>
              <w:jc w:val="right"/>
              <w:rPr>
                <w:sz w:val="18"/>
              </w:rPr>
            </w:pPr>
          </w:p>
        </w:tc>
      </w:tr>
      <w:tr w:rsidR="00170C38" w:rsidRPr="00F071DA" w14:paraId="216CF5E6" w14:textId="77777777" w:rsidTr="006D4A81">
        <w:trPr>
          <w:gridAfter w:val="2"/>
          <w:wAfter w:w="57" w:type="dxa"/>
          <w:trHeight w:val="240"/>
        </w:trPr>
        <w:tc>
          <w:tcPr>
            <w:tcW w:w="841" w:type="dxa"/>
            <w:vMerge/>
            <w:shd w:val="clear" w:color="auto" w:fill="auto"/>
          </w:tcPr>
          <w:p w14:paraId="4D168E88" w14:textId="77777777" w:rsidR="00170C38" w:rsidRPr="00F071DA" w:rsidRDefault="00170C38" w:rsidP="006D4A81">
            <w:pPr>
              <w:suppressAutoHyphens w:val="0"/>
              <w:spacing w:before="40" w:after="40" w:line="220" w:lineRule="exact"/>
              <w:rPr>
                <w:sz w:val="18"/>
                <w:szCs w:val="16"/>
              </w:rPr>
            </w:pPr>
          </w:p>
        </w:tc>
        <w:tc>
          <w:tcPr>
            <w:tcW w:w="753" w:type="dxa"/>
            <w:shd w:val="clear" w:color="auto" w:fill="auto"/>
            <w:noWrap/>
            <w:vAlign w:val="bottom"/>
          </w:tcPr>
          <w:p w14:paraId="7566CE65"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0408F47A"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6697A27E"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6241A220"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0AF5841D" w14:textId="77777777" w:rsidR="00170C38" w:rsidRPr="00F071DA" w:rsidRDefault="00170C38" w:rsidP="006D4A81">
            <w:pPr>
              <w:suppressAutoHyphens w:val="0"/>
              <w:spacing w:before="40" w:after="40" w:line="220" w:lineRule="exact"/>
              <w:ind w:left="113"/>
              <w:jc w:val="right"/>
              <w:rPr>
                <w:sz w:val="18"/>
              </w:rPr>
            </w:pPr>
          </w:p>
        </w:tc>
        <w:tc>
          <w:tcPr>
            <w:tcW w:w="659" w:type="dxa"/>
            <w:shd w:val="clear" w:color="auto" w:fill="auto"/>
            <w:noWrap/>
            <w:vAlign w:val="bottom"/>
          </w:tcPr>
          <w:p w14:paraId="07DA01E3" w14:textId="77777777" w:rsidR="00170C38" w:rsidRPr="00F071DA" w:rsidRDefault="00170C38" w:rsidP="006D4A81">
            <w:pPr>
              <w:suppressAutoHyphens w:val="0"/>
              <w:spacing w:before="40" w:after="40" w:line="220" w:lineRule="exact"/>
              <w:ind w:left="113"/>
              <w:jc w:val="right"/>
              <w:rPr>
                <w:sz w:val="18"/>
              </w:rPr>
            </w:pPr>
          </w:p>
        </w:tc>
        <w:tc>
          <w:tcPr>
            <w:tcW w:w="850" w:type="dxa"/>
            <w:gridSpan w:val="2"/>
          </w:tcPr>
          <w:p w14:paraId="51872187" w14:textId="77777777" w:rsidR="00170C38" w:rsidRPr="00F071DA" w:rsidRDefault="00170C38" w:rsidP="006D4A81">
            <w:pPr>
              <w:suppressAutoHyphens w:val="0"/>
              <w:spacing w:before="40" w:after="40" w:line="220" w:lineRule="exact"/>
              <w:ind w:left="113"/>
              <w:jc w:val="right"/>
              <w:rPr>
                <w:sz w:val="18"/>
              </w:rPr>
            </w:pPr>
          </w:p>
        </w:tc>
        <w:tc>
          <w:tcPr>
            <w:tcW w:w="754" w:type="dxa"/>
            <w:vAlign w:val="bottom"/>
          </w:tcPr>
          <w:p w14:paraId="481E1D7F" w14:textId="77777777" w:rsidR="00170C38" w:rsidRPr="00F071DA" w:rsidRDefault="00170C38" w:rsidP="006D4A81">
            <w:pPr>
              <w:suppressAutoHyphens w:val="0"/>
              <w:spacing w:before="40" w:after="40" w:line="220" w:lineRule="exact"/>
              <w:ind w:left="113"/>
              <w:jc w:val="right"/>
              <w:rPr>
                <w:sz w:val="18"/>
              </w:rPr>
            </w:pPr>
          </w:p>
        </w:tc>
        <w:tc>
          <w:tcPr>
            <w:tcW w:w="754" w:type="dxa"/>
          </w:tcPr>
          <w:p w14:paraId="465E68BA" w14:textId="77777777" w:rsidR="00170C38" w:rsidRPr="00F071DA" w:rsidRDefault="00170C38" w:rsidP="006D4A81">
            <w:pPr>
              <w:suppressAutoHyphens w:val="0"/>
              <w:spacing w:before="40" w:after="40" w:line="220" w:lineRule="exact"/>
              <w:ind w:left="113"/>
              <w:jc w:val="right"/>
              <w:rPr>
                <w:sz w:val="18"/>
              </w:rPr>
            </w:pPr>
          </w:p>
        </w:tc>
        <w:tc>
          <w:tcPr>
            <w:tcW w:w="753" w:type="dxa"/>
            <w:shd w:val="clear" w:color="auto" w:fill="auto"/>
            <w:noWrap/>
            <w:vAlign w:val="bottom"/>
          </w:tcPr>
          <w:p w14:paraId="2EE48E60" w14:textId="77777777" w:rsidR="00170C38" w:rsidRPr="00F071DA" w:rsidRDefault="00170C38" w:rsidP="006D4A81">
            <w:pPr>
              <w:suppressAutoHyphens w:val="0"/>
              <w:spacing w:before="40" w:after="40" w:line="220" w:lineRule="exact"/>
              <w:ind w:left="113"/>
              <w:jc w:val="right"/>
              <w:rPr>
                <w:sz w:val="18"/>
              </w:rPr>
            </w:pPr>
          </w:p>
        </w:tc>
        <w:tc>
          <w:tcPr>
            <w:tcW w:w="754" w:type="dxa"/>
            <w:shd w:val="clear" w:color="auto" w:fill="auto"/>
            <w:noWrap/>
            <w:vAlign w:val="bottom"/>
          </w:tcPr>
          <w:p w14:paraId="1136B472" w14:textId="77777777" w:rsidR="00170C38" w:rsidRPr="00F071DA" w:rsidRDefault="00170C38" w:rsidP="006D4A81">
            <w:pPr>
              <w:suppressAutoHyphens w:val="0"/>
              <w:spacing w:before="40" w:after="40" w:line="220" w:lineRule="exact"/>
              <w:ind w:left="113"/>
              <w:jc w:val="right"/>
              <w:rPr>
                <w:sz w:val="18"/>
              </w:rPr>
            </w:pPr>
          </w:p>
        </w:tc>
        <w:tc>
          <w:tcPr>
            <w:tcW w:w="2207" w:type="dxa"/>
            <w:gridSpan w:val="2"/>
            <w:shd w:val="clear" w:color="auto" w:fill="auto"/>
            <w:noWrap/>
            <w:vAlign w:val="bottom"/>
          </w:tcPr>
          <w:p w14:paraId="7AB53C66" w14:textId="77777777" w:rsidR="00170C38" w:rsidRPr="00F071DA" w:rsidRDefault="00170C38" w:rsidP="006D4A81">
            <w:pPr>
              <w:suppressAutoHyphens w:val="0"/>
              <w:spacing w:before="40" w:after="40" w:line="220" w:lineRule="exact"/>
              <w:ind w:left="113"/>
              <w:jc w:val="right"/>
              <w:rPr>
                <w:sz w:val="18"/>
              </w:rPr>
            </w:pPr>
          </w:p>
        </w:tc>
        <w:tc>
          <w:tcPr>
            <w:tcW w:w="20" w:type="dxa"/>
            <w:shd w:val="clear" w:color="auto" w:fill="auto"/>
            <w:noWrap/>
            <w:vAlign w:val="bottom"/>
          </w:tcPr>
          <w:p w14:paraId="15DAFDBB" w14:textId="77777777" w:rsidR="00170C38" w:rsidRPr="00F071DA" w:rsidRDefault="00170C38" w:rsidP="006D4A81">
            <w:pPr>
              <w:suppressAutoHyphens w:val="0"/>
              <w:spacing w:before="40" w:after="40" w:line="220" w:lineRule="exact"/>
              <w:ind w:left="113"/>
              <w:jc w:val="right"/>
              <w:rPr>
                <w:sz w:val="18"/>
              </w:rPr>
            </w:pPr>
          </w:p>
        </w:tc>
        <w:tc>
          <w:tcPr>
            <w:tcW w:w="20" w:type="dxa"/>
          </w:tcPr>
          <w:p w14:paraId="0D44BF56" w14:textId="77777777" w:rsidR="00170C38" w:rsidRPr="00F071DA" w:rsidRDefault="00170C38" w:rsidP="006D4A81">
            <w:pPr>
              <w:suppressAutoHyphens w:val="0"/>
              <w:spacing w:before="40" w:after="40" w:line="220" w:lineRule="exact"/>
              <w:ind w:left="113"/>
              <w:jc w:val="right"/>
              <w:rPr>
                <w:sz w:val="18"/>
              </w:rPr>
            </w:pPr>
          </w:p>
        </w:tc>
      </w:tr>
      <w:tr w:rsidR="00170C38" w:rsidRPr="00F071DA" w14:paraId="566BE882" w14:textId="77777777" w:rsidTr="006D4A81">
        <w:trPr>
          <w:gridAfter w:val="2"/>
          <w:wAfter w:w="57" w:type="dxa"/>
          <w:trHeight w:val="240"/>
        </w:trPr>
        <w:tc>
          <w:tcPr>
            <w:tcW w:w="841" w:type="dxa"/>
            <w:vMerge/>
            <w:tcBorders>
              <w:bottom w:val="single" w:sz="12" w:space="0" w:color="auto"/>
            </w:tcBorders>
            <w:shd w:val="clear" w:color="auto" w:fill="auto"/>
          </w:tcPr>
          <w:p w14:paraId="6C22401C" w14:textId="77777777" w:rsidR="00170C38" w:rsidRPr="00F071DA" w:rsidRDefault="00170C38" w:rsidP="006D4A81">
            <w:pPr>
              <w:suppressAutoHyphens w:val="0"/>
              <w:spacing w:before="40" w:after="40" w:line="220" w:lineRule="exact"/>
              <w:rPr>
                <w:sz w:val="18"/>
                <w:szCs w:val="16"/>
              </w:rPr>
            </w:pPr>
          </w:p>
        </w:tc>
        <w:tc>
          <w:tcPr>
            <w:tcW w:w="753" w:type="dxa"/>
            <w:tcBorders>
              <w:bottom w:val="single" w:sz="12" w:space="0" w:color="auto"/>
            </w:tcBorders>
            <w:shd w:val="clear" w:color="auto" w:fill="auto"/>
            <w:noWrap/>
            <w:vAlign w:val="bottom"/>
          </w:tcPr>
          <w:p w14:paraId="79025DEA"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6AD9E1DA"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43BA4E2C"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5D55D010"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753" w:type="dxa"/>
            <w:tcBorders>
              <w:bottom w:val="single" w:sz="12" w:space="0" w:color="auto"/>
            </w:tcBorders>
            <w:shd w:val="clear" w:color="auto" w:fill="auto"/>
            <w:noWrap/>
            <w:vAlign w:val="bottom"/>
          </w:tcPr>
          <w:p w14:paraId="401BED19"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659" w:type="dxa"/>
            <w:tcBorders>
              <w:bottom w:val="single" w:sz="12" w:space="0" w:color="auto"/>
            </w:tcBorders>
            <w:shd w:val="clear" w:color="auto" w:fill="auto"/>
            <w:noWrap/>
            <w:vAlign w:val="bottom"/>
          </w:tcPr>
          <w:p w14:paraId="0A63B885"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850" w:type="dxa"/>
            <w:gridSpan w:val="2"/>
            <w:tcBorders>
              <w:bottom w:val="single" w:sz="12" w:space="0" w:color="auto"/>
            </w:tcBorders>
          </w:tcPr>
          <w:p w14:paraId="2EAA7107" w14:textId="77777777" w:rsidR="00170C38" w:rsidRPr="00F071DA" w:rsidRDefault="00170C38" w:rsidP="006D4A81">
            <w:pPr>
              <w:suppressAutoHyphens w:val="0"/>
              <w:spacing w:before="40" w:after="40" w:line="220" w:lineRule="exact"/>
              <w:ind w:left="113"/>
              <w:jc w:val="right"/>
              <w:rPr>
                <w:sz w:val="18"/>
              </w:rPr>
            </w:pPr>
          </w:p>
        </w:tc>
        <w:tc>
          <w:tcPr>
            <w:tcW w:w="754" w:type="dxa"/>
            <w:tcBorders>
              <w:bottom w:val="single" w:sz="12" w:space="0" w:color="auto"/>
            </w:tcBorders>
            <w:vAlign w:val="bottom"/>
          </w:tcPr>
          <w:p w14:paraId="5BBEE18C" w14:textId="77777777" w:rsidR="00170C38" w:rsidRPr="00F071DA" w:rsidRDefault="00170C38" w:rsidP="006D4A81">
            <w:pPr>
              <w:suppressAutoHyphens w:val="0"/>
              <w:spacing w:before="40" w:after="40" w:line="220" w:lineRule="exact"/>
              <w:ind w:left="113"/>
              <w:jc w:val="right"/>
              <w:rPr>
                <w:sz w:val="18"/>
              </w:rPr>
            </w:pPr>
          </w:p>
        </w:tc>
        <w:tc>
          <w:tcPr>
            <w:tcW w:w="754" w:type="dxa"/>
            <w:tcBorders>
              <w:bottom w:val="single" w:sz="12" w:space="0" w:color="auto"/>
            </w:tcBorders>
          </w:tcPr>
          <w:p w14:paraId="44DFA70E" w14:textId="77777777" w:rsidR="00170C38" w:rsidRPr="00F071DA" w:rsidRDefault="00170C38" w:rsidP="006D4A81">
            <w:pPr>
              <w:suppressAutoHyphens w:val="0"/>
              <w:spacing w:before="40" w:after="40" w:line="220" w:lineRule="exact"/>
              <w:ind w:left="113"/>
              <w:jc w:val="right"/>
              <w:rPr>
                <w:sz w:val="18"/>
              </w:rPr>
            </w:pPr>
          </w:p>
        </w:tc>
        <w:tc>
          <w:tcPr>
            <w:tcW w:w="753" w:type="dxa"/>
            <w:tcBorders>
              <w:bottom w:val="single" w:sz="12" w:space="0" w:color="auto"/>
            </w:tcBorders>
            <w:shd w:val="clear" w:color="auto" w:fill="auto"/>
            <w:noWrap/>
            <w:vAlign w:val="bottom"/>
          </w:tcPr>
          <w:p w14:paraId="53188CD7"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754" w:type="dxa"/>
            <w:tcBorders>
              <w:bottom w:val="single" w:sz="12" w:space="0" w:color="auto"/>
            </w:tcBorders>
            <w:shd w:val="clear" w:color="auto" w:fill="auto"/>
            <w:noWrap/>
            <w:vAlign w:val="bottom"/>
          </w:tcPr>
          <w:p w14:paraId="6FDFFC41"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2207" w:type="dxa"/>
            <w:gridSpan w:val="2"/>
            <w:tcBorders>
              <w:bottom w:val="single" w:sz="12" w:space="0" w:color="auto"/>
            </w:tcBorders>
            <w:shd w:val="clear" w:color="auto" w:fill="auto"/>
            <w:noWrap/>
            <w:vAlign w:val="bottom"/>
          </w:tcPr>
          <w:p w14:paraId="7EDD35E2" w14:textId="77777777" w:rsidR="00170C38" w:rsidRPr="00F071DA" w:rsidRDefault="00170C38" w:rsidP="006D4A81">
            <w:pPr>
              <w:suppressAutoHyphens w:val="0"/>
              <w:spacing w:before="40" w:after="40" w:line="220" w:lineRule="exact"/>
              <w:ind w:left="113"/>
              <w:jc w:val="right"/>
              <w:rPr>
                <w:sz w:val="18"/>
              </w:rPr>
            </w:pPr>
            <w:r w:rsidRPr="00F071DA">
              <w:rPr>
                <w:sz w:val="18"/>
              </w:rPr>
              <w:t xml:space="preserve">　</w:t>
            </w:r>
          </w:p>
        </w:tc>
        <w:tc>
          <w:tcPr>
            <w:tcW w:w="20" w:type="dxa"/>
            <w:tcBorders>
              <w:bottom w:val="single" w:sz="12" w:space="0" w:color="auto"/>
            </w:tcBorders>
            <w:shd w:val="clear" w:color="auto" w:fill="auto"/>
            <w:noWrap/>
            <w:vAlign w:val="bottom"/>
          </w:tcPr>
          <w:p w14:paraId="07690B14" w14:textId="77777777" w:rsidR="00170C38" w:rsidRPr="00F071DA" w:rsidRDefault="00170C38" w:rsidP="006D4A81">
            <w:pPr>
              <w:suppressAutoHyphens w:val="0"/>
              <w:spacing w:before="40" w:after="40" w:line="220" w:lineRule="exact"/>
              <w:ind w:left="113"/>
              <w:jc w:val="right"/>
              <w:rPr>
                <w:sz w:val="18"/>
              </w:rPr>
            </w:pPr>
          </w:p>
        </w:tc>
        <w:tc>
          <w:tcPr>
            <w:tcW w:w="20" w:type="dxa"/>
            <w:tcBorders>
              <w:bottom w:val="single" w:sz="12" w:space="0" w:color="auto"/>
            </w:tcBorders>
          </w:tcPr>
          <w:p w14:paraId="63DAA800" w14:textId="77777777" w:rsidR="00170C38" w:rsidRPr="00F071DA" w:rsidRDefault="00170C38" w:rsidP="006D4A81">
            <w:pPr>
              <w:suppressAutoHyphens w:val="0"/>
              <w:spacing w:before="40" w:after="40" w:line="220" w:lineRule="exact"/>
              <w:ind w:left="113"/>
              <w:jc w:val="right"/>
              <w:rPr>
                <w:sz w:val="18"/>
              </w:rPr>
            </w:pPr>
          </w:p>
        </w:tc>
      </w:tr>
    </w:tbl>
    <w:p w14:paraId="425D0191" w14:textId="35E3DB08" w:rsidR="00895001" w:rsidRPr="00F071DA" w:rsidRDefault="000E0429" w:rsidP="000E0429">
      <w:pPr>
        <w:spacing w:before="120" w:line="220" w:lineRule="exact"/>
        <w:ind w:left="567" w:firstLine="170"/>
        <w:jc w:val="both"/>
        <w:rPr>
          <w:sz w:val="18"/>
        </w:rPr>
      </w:pPr>
      <w:r w:rsidRPr="00F071DA">
        <w:rPr>
          <w:i/>
          <w:sz w:val="18"/>
          <w:vertAlign w:val="superscript"/>
        </w:rPr>
        <w:t xml:space="preserve">a   </w:t>
      </w:r>
      <w:r w:rsidR="00895001" w:rsidRPr="00F071DA">
        <w:rPr>
          <w:sz w:val="18"/>
        </w:rPr>
        <w:t>Parties should include key underlying assumptions</w:t>
      </w:r>
      <w:r w:rsidR="00895001">
        <w:rPr>
          <w:sz w:val="18"/>
        </w:rPr>
        <w:t>,</w:t>
      </w:r>
      <w:r w:rsidR="00895001" w:rsidRPr="00F071DA">
        <w:rPr>
          <w:sz w:val="18"/>
        </w:rPr>
        <w:t xml:space="preserve"> as appropriate.</w:t>
      </w:r>
    </w:p>
    <w:p w14:paraId="0511F4BE" w14:textId="6BDA6F11" w:rsidR="00895001" w:rsidRPr="00F071DA" w:rsidRDefault="000E0429" w:rsidP="000E0429">
      <w:pPr>
        <w:spacing w:line="220" w:lineRule="exact"/>
        <w:ind w:left="567" w:firstLine="170"/>
        <w:jc w:val="both"/>
        <w:rPr>
          <w:sz w:val="18"/>
        </w:rPr>
      </w:pPr>
      <w:r w:rsidRPr="00F071DA">
        <w:rPr>
          <w:i/>
          <w:sz w:val="18"/>
          <w:vertAlign w:val="superscript"/>
        </w:rPr>
        <w:t xml:space="preserve">b   </w:t>
      </w:r>
      <w:r w:rsidR="00895001" w:rsidRPr="00F071DA">
        <w:rPr>
          <w:sz w:val="18"/>
        </w:rPr>
        <w:t>Parties should include</w:t>
      </w:r>
      <w:r w:rsidR="00895001">
        <w:rPr>
          <w:sz w:val="18"/>
        </w:rPr>
        <w:t xml:space="preserve"> the</w:t>
      </w:r>
      <w:r w:rsidR="00895001" w:rsidRPr="00F071DA">
        <w:rPr>
          <w:sz w:val="18"/>
        </w:rPr>
        <w:t xml:space="preserve"> historical data used to develop the greenhouse gas </w:t>
      </w:r>
      <w:r w:rsidR="00895001">
        <w:rPr>
          <w:sz w:val="18"/>
        </w:rPr>
        <w:t xml:space="preserve">emission </w:t>
      </w:r>
      <w:r w:rsidR="00895001" w:rsidRPr="00F071DA">
        <w:rPr>
          <w:sz w:val="18"/>
        </w:rPr>
        <w:t xml:space="preserve">projections reported. </w:t>
      </w:r>
    </w:p>
    <w:p w14:paraId="1CE6C111" w14:textId="769FCF23" w:rsidR="00895001" w:rsidRPr="0078123A" w:rsidRDefault="000E0429" w:rsidP="000E0429">
      <w:pPr>
        <w:spacing w:line="220" w:lineRule="exact"/>
        <w:ind w:left="567" w:firstLine="170"/>
        <w:jc w:val="both"/>
        <w:rPr>
          <w:sz w:val="18"/>
        </w:rPr>
      </w:pPr>
      <w:r w:rsidRPr="0078123A">
        <w:rPr>
          <w:i/>
          <w:sz w:val="18"/>
          <w:vertAlign w:val="superscript"/>
        </w:rPr>
        <w:t xml:space="preserve">c   </w:t>
      </w:r>
      <w:r w:rsidR="00895001" w:rsidRPr="0078123A">
        <w:rPr>
          <w:sz w:val="18"/>
        </w:rPr>
        <w:t>The most recent inventory year.</w:t>
      </w:r>
    </w:p>
    <w:p w14:paraId="5B896AD0" w14:textId="51B70DF8" w:rsidR="00895001" w:rsidRPr="0078123A" w:rsidRDefault="000E0429" w:rsidP="000E0429">
      <w:pPr>
        <w:spacing w:line="220" w:lineRule="exact"/>
        <w:ind w:left="567" w:right="962" w:firstLine="170"/>
        <w:jc w:val="both"/>
        <w:rPr>
          <w:sz w:val="18"/>
        </w:rPr>
      </w:pPr>
      <w:r w:rsidRPr="0078123A">
        <w:rPr>
          <w:i/>
          <w:sz w:val="18"/>
          <w:vertAlign w:val="superscript"/>
        </w:rPr>
        <w:t xml:space="preserve">d   </w:t>
      </w:r>
      <w:r w:rsidR="00895001" w:rsidRPr="0078123A">
        <w:rPr>
          <w:sz w:val="18"/>
        </w:rPr>
        <w:t xml:space="preserve">A year that ends in either a </w:t>
      </w:r>
      <w:r w:rsidR="00895001">
        <w:rPr>
          <w:sz w:val="18"/>
        </w:rPr>
        <w:t>zero</w:t>
      </w:r>
      <w:r w:rsidR="00895001" w:rsidRPr="0078123A">
        <w:rPr>
          <w:sz w:val="18"/>
        </w:rPr>
        <w:t xml:space="preserve"> or a </w:t>
      </w:r>
      <w:r w:rsidR="00895001">
        <w:rPr>
          <w:sz w:val="18"/>
        </w:rPr>
        <w:t>five</w:t>
      </w:r>
      <w:r w:rsidR="00895001" w:rsidRPr="0078123A">
        <w:rPr>
          <w:sz w:val="18"/>
        </w:rPr>
        <w:t xml:space="preserve"> following the most recent inventory year</w:t>
      </w:r>
      <w:r w:rsidR="00895001">
        <w:rPr>
          <w:sz w:val="18"/>
        </w:rPr>
        <w:t xml:space="preserve">, </w:t>
      </w:r>
      <w:r w:rsidR="00895001" w:rsidRPr="005A2280">
        <w:rPr>
          <w:sz w:val="18"/>
          <w:lang w:val="en-US"/>
        </w:rPr>
        <w:t xml:space="preserve">extending at least 15 years from </w:t>
      </w:r>
      <w:r w:rsidR="00895001" w:rsidRPr="00CB4F08">
        <w:rPr>
          <w:sz w:val="18"/>
          <w:lang w:val="en-US"/>
        </w:rPr>
        <w:t>the most recent inventory year</w:t>
      </w:r>
      <w:r w:rsidR="00895001" w:rsidRPr="0078123A">
        <w:rPr>
          <w:sz w:val="18"/>
        </w:rPr>
        <w:t>.</w:t>
      </w:r>
    </w:p>
    <w:p w14:paraId="41D38BE6" w14:textId="77777777" w:rsidR="00895001" w:rsidRPr="00695316" w:rsidRDefault="00895001" w:rsidP="00895001">
      <w:pPr>
        <w:spacing w:line="220" w:lineRule="exact"/>
        <w:ind w:left="851" w:right="919" w:firstLine="284"/>
        <w:rPr>
          <w:rFonts w:eastAsia="MS Mincho"/>
          <w:sz w:val="18"/>
          <w:lang w:eastAsia="ja-JP"/>
        </w:rPr>
      </w:pPr>
    </w:p>
    <w:p w14:paraId="6BAAC454" w14:textId="77777777" w:rsidR="00895001" w:rsidRDefault="00895001" w:rsidP="00895001">
      <w:pPr>
        <w:suppressAutoHyphens w:val="0"/>
        <w:spacing w:line="240" w:lineRule="auto"/>
        <w:sectPr w:rsidR="00895001" w:rsidSect="008F63F4">
          <w:headerReference w:type="even" r:id="rId38"/>
          <w:headerReference w:type="default" r:id="rId39"/>
          <w:footerReference w:type="even" r:id="rId40"/>
          <w:footerReference w:type="default" r:id="rId41"/>
          <w:pgSz w:w="16838" w:h="11906" w:orient="landscape" w:code="9"/>
          <w:pgMar w:top="1134" w:right="1701" w:bottom="1134" w:left="2268" w:header="567" w:footer="567" w:gutter="0"/>
          <w:cols w:space="708"/>
          <w:docGrid w:linePitch="360"/>
        </w:sectPr>
      </w:pPr>
    </w:p>
    <w:p w14:paraId="113AB930" w14:textId="1D90A92E" w:rsidR="00895001" w:rsidRPr="00F071DA" w:rsidRDefault="000E0429" w:rsidP="000E0429">
      <w:pPr>
        <w:pStyle w:val="RegHChG"/>
        <w:numPr>
          <w:ilvl w:val="0"/>
          <w:numId w:val="0"/>
        </w:numPr>
        <w:tabs>
          <w:tab w:val="left" w:pos="1135"/>
        </w:tabs>
        <w:ind w:left="1135" w:hanging="454"/>
        <w:rPr>
          <w:lang w:eastAsia="en-US"/>
        </w:rPr>
      </w:pPr>
      <w:r w:rsidRPr="00F071DA">
        <w:rPr>
          <w:lang w:eastAsia="en-US"/>
        </w:rPr>
        <w:t>VII.</w:t>
      </w:r>
      <w:r w:rsidRPr="00F071DA">
        <w:rPr>
          <w:lang w:eastAsia="en-US"/>
        </w:rPr>
        <w:tab/>
      </w:r>
      <w:r w:rsidR="003B4E8A" w:rsidRPr="00F071DA">
        <w:rPr>
          <w:lang w:eastAsia="en-US"/>
        </w:rPr>
        <w:t>Vulnerability assessment, climate change impacts and adaptation measures</w:t>
      </w:r>
    </w:p>
    <w:p w14:paraId="4F95A4CC" w14:textId="0C47122B" w:rsidR="00895001" w:rsidRPr="00C71146" w:rsidRDefault="000E0429" w:rsidP="000E0429">
      <w:pPr>
        <w:pStyle w:val="RegSingleTxtG"/>
        <w:numPr>
          <w:ilvl w:val="0"/>
          <w:numId w:val="0"/>
        </w:numPr>
        <w:tabs>
          <w:tab w:val="left" w:pos="568"/>
        </w:tabs>
        <w:ind w:left="1135"/>
        <w:rPr>
          <w:lang w:eastAsia="en-US"/>
        </w:rPr>
      </w:pPr>
      <w:r w:rsidRPr="00C71146">
        <w:rPr>
          <w:lang w:eastAsia="en-US"/>
        </w:rPr>
        <w:t>46.</w:t>
      </w:r>
      <w:r w:rsidRPr="00C71146">
        <w:rPr>
          <w:lang w:eastAsia="en-US"/>
        </w:rPr>
        <w:tab/>
      </w:r>
      <w:r w:rsidR="00895001" w:rsidRPr="00C71146">
        <w:rPr>
          <w:lang w:eastAsia="en-US"/>
        </w:rPr>
        <w:t xml:space="preserve">The national communication shall include information on the expected impacts of climate change and an outline of the action taken to implement Article 4, paragraph 1(b) and (e), of the Convention with regard to adaptation. </w:t>
      </w:r>
      <w:r w:rsidR="00895001" w:rsidRPr="00C71146">
        <w:rPr>
          <w:rFonts w:ascii="TimesNewRomanPS-ItalicMT" w:eastAsiaTheme="minorEastAsia" w:hAnsi="TimesNewRomanPS-ItalicMT" w:cs="TimesNewRomanPS-ItalicMT"/>
          <w:iCs/>
          <w:lang w:val="en-US" w:eastAsia="ja-JP"/>
        </w:rPr>
        <w:t xml:space="preserve">Parties are encouraged to use and reference relevant methodologies and guidance for assessing climate change impacts, vulnerability and adaptation measures. </w:t>
      </w:r>
      <w:r w:rsidR="00895001" w:rsidRPr="00C71146">
        <w:rPr>
          <w:lang w:eastAsia="en-US"/>
        </w:rPr>
        <w:t xml:space="preserve">Parties may refer, </w:t>
      </w:r>
      <w:r w:rsidR="00895001" w:rsidRPr="00C71146">
        <w:rPr>
          <w:iCs/>
          <w:lang w:eastAsia="en-US"/>
        </w:rPr>
        <w:t>inter alia</w:t>
      </w:r>
      <w:r w:rsidR="00895001" w:rsidRPr="00C71146">
        <w:rPr>
          <w:lang w:eastAsia="en-US"/>
        </w:rPr>
        <w:t xml:space="preserve">, to integrated plans for coastal zone management, water resources and agriculture. Parties may also report on specific results of scientific research in the field of vulnerability assessment and adaptation. </w:t>
      </w:r>
    </w:p>
    <w:p w14:paraId="402B4AC6" w14:textId="2834CA71" w:rsidR="00895001" w:rsidRPr="00C71146" w:rsidRDefault="000E0429" w:rsidP="000E0429">
      <w:pPr>
        <w:pStyle w:val="RegSingleTxtG"/>
        <w:numPr>
          <w:ilvl w:val="0"/>
          <w:numId w:val="0"/>
        </w:numPr>
        <w:tabs>
          <w:tab w:val="left" w:pos="568"/>
        </w:tabs>
        <w:ind w:left="1135"/>
        <w:rPr>
          <w:lang w:eastAsia="en-US"/>
        </w:rPr>
      </w:pPr>
      <w:r w:rsidRPr="00C71146">
        <w:rPr>
          <w:lang w:eastAsia="en-US"/>
        </w:rPr>
        <w:t>47.</w:t>
      </w:r>
      <w:r w:rsidRPr="00C71146">
        <w:rPr>
          <w:lang w:eastAsia="en-US"/>
        </w:rPr>
        <w:tab/>
      </w:r>
      <w:r w:rsidR="00895001" w:rsidRPr="00C71146">
        <w:rPr>
          <w:lang w:eastAsia="en-US"/>
        </w:rPr>
        <w:t xml:space="preserve">Parties are encouraged to use the following structure when reporting information in this section: </w:t>
      </w:r>
    </w:p>
    <w:p w14:paraId="57E0709C" w14:textId="78E94624" w:rsidR="00895001" w:rsidRPr="004E1E83" w:rsidRDefault="000E0429" w:rsidP="000E0429">
      <w:pPr>
        <w:pStyle w:val="RegSingleTxtG"/>
        <w:numPr>
          <w:ilvl w:val="0"/>
          <w:numId w:val="0"/>
        </w:numPr>
        <w:tabs>
          <w:tab w:val="left" w:pos="2269"/>
        </w:tabs>
        <w:ind w:left="1135" w:firstLine="567"/>
        <w:rPr>
          <w:rFonts w:eastAsia="Calibri"/>
          <w:szCs w:val="24"/>
          <w:lang w:eastAsia="en-US"/>
        </w:rPr>
      </w:pPr>
      <w:r w:rsidRPr="004E1E83">
        <w:rPr>
          <w:rFonts w:eastAsia="Calibri"/>
          <w:szCs w:val="24"/>
          <w:lang w:eastAsia="en-US"/>
        </w:rPr>
        <w:t>(a)</w:t>
      </w:r>
      <w:r w:rsidRPr="004E1E83">
        <w:rPr>
          <w:rFonts w:eastAsia="Calibri"/>
          <w:szCs w:val="24"/>
          <w:lang w:eastAsia="en-US"/>
        </w:rPr>
        <w:tab/>
      </w:r>
      <w:r w:rsidR="00895001" w:rsidRPr="004E1E83">
        <w:rPr>
          <w:rFonts w:eastAsia="Calibri"/>
          <w:szCs w:val="24"/>
          <w:lang w:eastAsia="en-US"/>
        </w:rPr>
        <w:t>Climate modelling, projections and scenarios: for example, updated information on climate modelling, climate projections and scenarios relevant to the assessment of climate change impacts and vulnerability;</w:t>
      </w:r>
    </w:p>
    <w:p w14:paraId="584CF2FA" w14:textId="5B87843F" w:rsidR="00895001" w:rsidRPr="004E1E83" w:rsidRDefault="000E0429" w:rsidP="000E0429">
      <w:pPr>
        <w:pStyle w:val="RegSingleTxtG"/>
        <w:numPr>
          <w:ilvl w:val="0"/>
          <w:numId w:val="0"/>
        </w:numPr>
        <w:tabs>
          <w:tab w:val="left" w:pos="2269"/>
        </w:tabs>
        <w:ind w:left="1135" w:firstLine="567"/>
        <w:rPr>
          <w:rFonts w:eastAsia="Calibri"/>
          <w:szCs w:val="24"/>
          <w:lang w:eastAsia="en-US"/>
        </w:rPr>
      </w:pPr>
      <w:r w:rsidRPr="004E1E83">
        <w:rPr>
          <w:rFonts w:eastAsia="Calibri"/>
          <w:szCs w:val="24"/>
          <w:lang w:eastAsia="en-US"/>
        </w:rPr>
        <w:t>(b)</w:t>
      </w:r>
      <w:r w:rsidRPr="004E1E83">
        <w:rPr>
          <w:rFonts w:eastAsia="Calibri"/>
          <w:szCs w:val="24"/>
          <w:lang w:eastAsia="en-US"/>
        </w:rPr>
        <w:tab/>
      </w:r>
      <w:r w:rsidR="00895001" w:rsidRPr="004E1E83">
        <w:rPr>
          <w:rFonts w:eastAsia="Calibri"/>
          <w:szCs w:val="24"/>
          <w:lang w:eastAsia="en-US"/>
        </w:rPr>
        <w:t xml:space="preserve">Assessment of risks and vulnerability to climate change: for example, updated information on key economic, social and/or environmental vulnerabilities or risks related to current and expected climate change impacts; </w:t>
      </w:r>
    </w:p>
    <w:p w14:paraId="1B1246A7" w14:textId="29FC9FB4" w:rsidR="00895001" w:rsidRPr="004E1E83" w:rsidRDefault="000E0429" w:rsidP="000E0429">
      <w:pPr>
        <w:pStyle w:val="RegSingleTxtG"/>
        <w:numPr>
          <w:ilvl w:val="0"/>
          <w:numId w:val="0"/>
        </w:numPr>
        <w:tabs>
          <w:tab w:val="left" w:pos="2269"/>
        </w:tabs>
        <w:ind w:left="1135" w:firstLine="567"/>
        <w:rPr>
          <w:rFonts w:eastAsia="Calibri"/>
          <w:szCs w:val="24"/>
          <w:lang w:eastAsia="en-US"/>
        </w:rPr>
      </w:pPr>
      <w:r w:rsidRPr="004E1E83">
        <w:rPr>
          <w:rFonts w:eastAsia="Calibri"/>
          <w:szCs w:val="24"/>
          <w:lang w:eastAsia="en-US"/>
        </w:rPr>
        <w:t>(c)</w:t>
      </w:r>
      <w:r w:rsidRPr="004E1E83">
        <w:rPr>
          <w:rFonts w:eastAsia="Calibri"/>
          <w:szCs w:val="24"/>
          <w:lang w:eastAsia="en-US"/>
        </w:rPr>
        <w:tab/>
      </w:r>
      <w:r w:rsidR="00895001" w:rsidRPr="004E1E83">
        <w:rPr>
          <w:rFonts w:eastAsia="Calibri"/>
          <w:szCs w:val="24"/>
          <w:lang w:eastAsia="en-US"/>
        </w:rPr>
        <w:t xml:space="preserve">Climate change impacts: for example, updated information on both observed and potential future impacts of climate change; </w:t>
      </w:r>
    </w:p>
    <w:p w14:paraId="272D2260" w14:textId="590EDB37" w:rsidR="00895001" w:rsidRPr="004E1E83" w:rsidRDefault="000E0429" w:rsidP="000E0429">
      <w:pPr>
        <w:pStyle w:val="RegSingleTxtG"/>
        <w:numPr>
          <w:ilvl w:val="0"/>
          <w:numId w:val="0"/>
        </w:numPr>
        <w:tabs>
          <w:tab w:val="left" w:pos="2269"/>
        </w:tabs>
        <w:ind w:left="1135" w:firstLine="567"/>
        <w:rPr>
          <w:rFonts w:eastAsia="Calibri"/>
          <w:szCs w:val="24"/>
          <w:lang w:eastAsia="en-US"/>
        </w:rPr>
      </w:pPr>
      <w:r w:rsidRPr="004E1E83">
        <w:rPr>
          <w:rFonts w:eastAsia="Calibri"/>
          <w:szCs w:val="24"/>
          <w:lang w:eastAsia="en-US"/>
        </w:rPr>
        <w:t>(d)</w:t>
      </w:r>
      <w:r w:rsidRPr="004E1E83">
        <w:rPr>
          <w:rFonts w:eastAsia="Calibri"/>
          <w:szCs w:val="24"/>
          <w:lang w:eastAsia="en-US"/>
        </w:rPr>
        <w:tab/>
      </w:r>
      <w:r w:rsidR="00895001" w:rsidRPr="004E1E83">
        <w:rPr>
          <w:rFonts w:eastAsia="Calibri"/>
          <w:szCs w:val="24"/>
          <w:lang w:eastAsia="en-US"/>
        </w:rPr>
        <w:t>Domestic adaptation policies and strategies: for example, updated information on progress on adaptation policies, strategies or plans that illustrate the Party’s medium- and long-term approaches to addressing risks and vulnerability through its broader domestic development and sectoral planning;</w:t>
      </w:r>
    </w:p>
    <w:p w14:paraId="098C8F13" w14:textId="54C65DF1" w:rsidR="00895001" w:rsidRPr="004E1E83" w:rsidRDefault="000E0429" w:rsidP="000E0429">
      <w:pPr>
        <w:pStyle w:val="RegSingleTxtG"/>
        <w:numPr>
          <w:ilvl w:val="0"/>
          <w:numId w:val="0"/>
        </w:numPr>
        <w:tabs>
          <w:tab w:val="left" w:pos="2269"/>
        </w:tabs>
        <w:ind w:left="1135" w:firstLine="567"/>
        <w:rPr>
          <w:rFonts w:eastAsia="Calibri"/>
          <w:szCs w:val="24"/>
          <w:lang w:eastAsia="en-US"/>
        </w:rPr>
      </w:pPr>
      <w:r w:rsidRPr="004E1E83">
        <w:rPr>
          <w:rFonts w:eastAsia="Calibri"/>
          <w:szCs w:val="24"/>
          <w:lang w:eastAsia="en-US"/>
        </w:rPr>
        <w:t>(e)</w:t>
      </w:r>
      <w:r w:rsidRPr="004E1E83">
        <w:rPr>
          <w:rFonts w:eastAsia="Calibri"/>
          <w:szCs w:val="24"/>
          <w:lang w:eastAsia="en-US"/>
        </w:rPr>
        <w:tab/>
      </w:r>
      <w:r w:rsidR="00895001" w:rsidRPr="004E1E83">
        <w:rPr>
          <w:rFonts w:eastAsia="Calibri"/>
          <w:szCs w:val="24"/>
          <w:lang w:eastAsia="en-US"/>
        </w:rPr>
        <w:t>Monitoring and evaluation framework: for example, updated information on approaches to the monitoring and evaluation of implemented adaptation strategies or plans;</w:t>
      </w:r>
    </w:p>
    <w:p w14:paraId="70598957" w14:textId="70C871E5" w:rsidR="00895001" w:rsidRPr="004E1E83" w:rsidRDefault="000E0429" w:rsidP="000E0429">
      <w:pPr>
        <w:pStyle w:val="RegSingleTxtG"/>
        <w:numPr>
          <w:ilvl w:val="0"/>
          <w:numId w:val="0"/>
        </w:numPr>
        <w:tabs>
          <w:tab w:val="left" w:pos="2269"/>
        </w:tabs>
        <w:ind w:left="1135" w:firstLine="567"/>
        <w:rPr>
          <w:rFonts w:eastAsia="Calibri"/>
          <w:szCs w:val="24"/>
          <w:lang w:eastAsia="en-US"/>
        </w:rPr>
      </w:pPr>
      <w:r w:rsidRPr="004E1E83">
        <w:rPr>
          <w:rFonts w:eastAsia="Calibri"/>
          <w:szCs w:val="24"/>
          <w:lang w:eastAsia="en-US"/>
        </w:rPr>
        <w:t>(f)</w:t>
      </w:r>
      <w:r w:rsidRPr="004E1E83">
        <w:rPr>
          <w:rFonts w:eastAsia="Calibri"/>
          <w:szCs w:val="24"/>
          <w:lang w:eastAsia="en-US"/>
        </w:rPr>
        <w:tab/>
      </w:r>
      <w:r w:rsidR="00895001" w:rsidRPr="004E1E83">
        <w:rPr>
          <w:rFonts w:eastAsia="Calibri"/>
          <w:szCs w:val="24"/>
          <w:lang w:eastAsia="en-US"/>
        </w:rPr>
        <w:t>Progress and outcomes of adaptation action: for example, updated information on adaptation measures taken to address current risks and vulnerabilities and on their status of implementation; and updated information on progress and, where possible, outcomes and the effectiveness of already implemented adaptation measures.</w:t>
      </w:r>
    </w:p>
    <w:p w14:paraId="58183091" w14:textId="26DC6982" w:rsidR="00895001" w:rsidRPr="006E62F3" w:rsidRDefault="000E0429" w:rsidP="000E0429">
      <w:pPr>
        <w:pStyle w:val="RegHChG"/>
        <w:numPr>
          <w:ilvl w:val="0"/>
          <w:numId w:val="0"/>
        </w:numPr>
        <w:tabs>
          <w:tab w:val="left" w:pos="1135"/>
        </w:tabs>
        <w:ind w:left="1135" w:hanging="454"/>
        <w:rPr>
          <w:lang w:eastAsia="en-US"/>
        </w:rPr>
      </w:pPr>
      <w:r w:rsidRPr="006E62F3">
        <w:rPr>
          <w:lang w:eastAsia="en-US"/>
        </w:rPr>
        <w:t>VIII.</w:t>
      </w:r>
      <w:r w:rsidRPr="006E62F3">
        <w:rPr>
          <w:lang w:eastAsia="en-US"/>
        </w:rPr>
        <w:tab/>
      </w:r>
      <w:r w:rsidR="004E1E83" w:rsidRPr="00F071DA">
        <w:rPr>
          <w:lang w:eastAsia="en-US"/>
        </w:rPr>
        <w:t>Financial</w:t>
      </w:r>
      <w:r w:rsidR="00895001">
        <w:rPr>
          <w:lang w:eastAsia="en-US"/>
        </w:rPr>
        <w:t xml:space="preserve">, </w:t>
      </w:r>
      <w:r w:rsidR="004E1E83" w:rsidRPr="000D3ED2">
        <w:rPr>
          <w:lang w:eastAsia="en-US"/>
        </w:rPr>
        <w:t xml:space="preserve">technological </w:t>
      </w:r>
      <w:r w:rsidR="00895001">
        <w:rPr>
          <w:lang w:eastAsia="en-US"/>
        </w:rPr>
        <w:t xml:space="preserve">and </w:t>
      </w:r>
      <w:r w:rsidR="0013712F">
        <w:rPr>
          <w:lang w:eastAsia="en-US"/>
        </w:rPr>
        <w:t>c</w:t>
      </w:r>
      <w:r w:rsidR="00895001" w:rsidRPr="000D3ED2">
        <w:rPr>
          <w:lang w:eastAsia="en-US"/>
        </w:rPr>
        <w:t>apacity-building</w:t>
      </w:r>
      <w:r w:rsidR="00895001">
        <w:rPr>
          <w:lang w:eastAsia="en-US"/>
        </w:rPr>
        <w:t xml:space="preserve"> </w:t>
      </w:r>
      <w:r w:rsidR="00895001" w:rsidRPr="000D3ED2">
        <w:rPr>
          <w:lang w:eastAsia="en-US"/>
        </w:rPr>
        <w:t>support</w:t>
      </w:r>
      <w:r w:rsidR="00895001" w:rsidRPr="00F071DA">
        <w:rPr>
          <w:lang w:eastAsia="en-US"/>
        </w:rPr>
        <w:t xml:space="preserve">  </w:t>
      </w:r>
    </w:p>
    <w:p w14:paraId="701BA1DB" w14:textId="32F61DA7" w:rsidR="00895001" w:rsidRPr="00C71146" w:rsidRDefault="000E0429" w:rsidP="000E0429">
      <w:pPr>
        <w:pStyle w:val="RegSingleTxtG"/>
        <w:numPr>
          <w:ilvl w:val="0"/>
          <w:numId w:val="0"/>
        </w:numPr>
        <w:tabs>
          <w:tab w:val="left" w:pos="568"/>
        </w:tabs>
        <w:ind w:left="1135"/>
        <w:rPr>
          <w:lang w:eastAsia="en-US"/>
        </w:rPr>
      </w:pPr>
      <w:r w:rsidRPr="00C71146">
        <w:rPr>
          <w:lang w:eastAsia="en-US"/>
        </w:rPr>
        <w:t>48.</w:t>
      </w:r>
      <w:r w:rsidRPr="00C71146">
        <w:rPr>
          <w:lang w:eastAsia="en-US"/>
        </w:rPr>
        <w:tab/>
      </w:r>
      <w:r w:rsidR="00895001" w:rsidRPr="00C71146">
        <w:rPr>
          <w:lang w:eastAsia="en-US"/>
        </w:rPr>
        <w:t xml:space="preserve">Parties included in Annex II to the Convention (Annex II Parties) shall provide information on the provision of financial, technological and capacity-building support to Parties not included in Annex I to the Convention (non-Annex I Parties), including information to show how this support is new and additional. In reporting such information, Parties should distinguish, to the extent possible, between support provided to non-Annex I Parties for mitigation and adaptation activities, noting the capacity-building elements of such activities, where relevant. For activities with multiple objectives, the funding could be reported as a contribution allocated partially to the other relevant objectives. </w:t>
      </w:r>
    </w:p>
    <w:p w14:paraId="4DDCF4A1" w14:textId="44740BD1" w:rsidR="00895001" w:rsidRPr="00C71146" w:rsidRDefault="000E0429" w:rsidP="000E0429">
      <w:pPr>
        <w:pStyle w:val="RegSingleTxtG"/>
        <w:numPr>
          <w:ilvl w:val="0"/>
          <w:numId w:val="0"/>
        </w:numPr>
        <w:tabs>
          <w:tab w:val="left" w:pos="568"/>
        </w:tabs>
        <w:ind w:left="1135"/>
        <w:rPr>
          <w:lang w:eastAsia="en-US"/>
        </w:rPr>
      </w:pPr>
      <w:r w:rsidRPr="00C71146">
        <w:rPr>
          <w:lang w:eastAsia="en-US"/>
        </w:rPr>
        <w:t>49.</w:t>
      </w:r>
      <w:r w:rsidRPr="00C71146">
        <w:rPr>
          <w:lang w:eastAsia="en-US"/>
        </w:rPr>
        <w:tab/>
      </w:r>
      <w:r w:rsidR="00895001" w:rsidRPr="00C71146">
        <w:rPr>
          <w:lang w:eastAsia="en-US"/>
        </w:rPr>
        <w:t xml:space="preserve">Each Annex II Party shall provide a description of its national approach to the tracking of the provision of financial, technological and capacity-building support to non-Annex I Parties, if appropriate. This description shall also include information on indicators and delivery mechanisms used and allocation channels tracked. </w:t>
      </w:r>
    </w:p>
    <w:p w14:paraId="44E1BB91" w14:textId="1FD188A6" w:rsidR="00895001" w:rsidRPr="00C71146" w:rsidRDefault="000E0429" w:rsidP="000E0429">
      <w:pPr>
        <w:pStyle w:val="RegSingleTxtG"/>
        <w:numPr>
          <w:ilvl w:val="0"/>
          <w:numId w:val="0"/>
        </w:numPr>
        <w:tabs>
          <w:tab w:val="left" w:pos="568"/>
        </w:tabs>
        <w:ind w:left="1135"/>
        <w:rPr>
          <w:lang w:eastAsia="en-US"/>
        </w:rPr>
      </w:pPr>
      <w:r w:rsidRPr="00C71146">
        <w:rPr>
          <w:lang w:eastAsia="en-US"/>
        </w:rPr>
        <w:t>50.</w:t>
      </w:r>
      <w:r w:rsidRPr="00C71146">
        <w:rPr>
          <w:lang w:eastAsia="en-US"/>
        </w:rPr>
        <w:tab/>
      </w:r>
      <w:r w:rsidR="00895001" w:rsidRPr="00C71146">
        <w:rPr>
          <w:lang w:eastAsia="en-US"/>
        </w:rPr>
        <w:t xml:space="preserve">In reporting information in accordance with paragraphs 52 and 53 below, Annex II Parties shall use any methodology to be developed under the Convention, taking into account international experience. Annex II Parties shall describe the methodology used and shall report in a rigorous, robust and transparent manner the underlying assumptions and methodologies used to produce information on finance. </w:t>
      </w:r>
    </w:p>
    <w:p w14:paraId="57301070" w14:textId="261C1EAD" w:rsidR="00895001" w:rsidRPr="00A20B3F" w:rsidRDefault="000E0429" w:rsidP="000E0429">
      <w:pPr>
        <w:pStyle w:val="RegH1G"/>
        <w:numPr>
          <w:ilvl w:val="0"/>
          <w:numId w:val="0"/>
        </w:numPr>
        <w:tabs>
          <w:tab w:val="left" w:pos="1135"/>
        </w:tabs>
        <w:ind w:left="1135" w:hanging="454"/>
        <w:rPr>
          <w:lang w:eastAsia="en-US"/>
        </w:rPr>
      </w:pPr>
      <w:r w:rsidRPr="00A20B3F">
        <w:rPr>
          <w:lang w:eastAsia="en-US"/>
        </w:rPr>
        <w:t>A.</w:t>
      </w:r>
      <w:r w:rsidRPr="00A20B3F">
        <w:rPr>
          <w:lang w:eastAsia="en-US"/>
        </w:rPr>
        <w:tab/>
      </w:r>
      <w:r w:rsidR="00895001" w:rsidRPr="00A20B3F">
        <w:rPr>
          <w:lang w:eastAsia="en-US"/>
        </w:rPr>
        <w:t>Finance</w:t>
      </w:r>
    </w:p>
    <w:p w14:paraId="3DDEDB4C" w14:textId="0D2D838B" w:rsidR="00895001" w:rsidRPr="00C71146" w:rsidRDefault="000E0429" w:rsidP="000E0429">
      <w:pPr>
        <w:pStyle w:val="RegSingleTxtG"/>
        <w:numPr>
          <w:ilvl w:val="0"/>
          <w:numId w:val="0"/>
        </w:numPr>
        <w:tabs>
          <w:tab w:val="left" w:pos="568"/>
        </w:tabs>
        <w:ind w:left="1135"/>
        <w:rPr>
          <w:lang w:eastAsia="en-US"/>
        </w:rPr>
      </w:pPr>
      <w:r w:rsidRPr="00C71146">
        <w:rPr>
          <w:lang w:eastAsia="en-US"/>
        </w:rPr>
        <w:t>51.</w:t>
      </w:r>
      <w:r w:rsidRPr="00C71146">
        <w:rPr>
          <w:lang w:eastAsia="en-US"/>
        </w:rPr>
        <w:tab/>
      </w:r>
      <w:r w:rsidR="00895001" w:rsidRPr="00C71146">
        <w:rPr>
          <w:lang w:eastAsia="en-US"/>
        </w:rPr>
        <w:t>Each Annex II Party shall describe, to the extent possible, how it seeks to ensure that the resources it provides effectively address the needs of non-Annex I Parties with regard to climate change adaptation and mitigation.</w:t>
      </w:r>
    </w:p>
    <w:p w14:paraId="0DDF5B3A" w14:textId="5BFCD2BD" w:rsidR="00895001" w:rsidRPr="00C71146" w:rsidRDefault="000E0429" w:rsidP="000E0429">
      <w:pPr>
        <w:pStyle w:val="RegSingleTxtG"/>
        <w:numPr>
          <w:ilvl w:val="0"/>
          <w:numId w:val="0"/>
        </w:numPr>
        <w:tabs>
          <w:tab w:val="left" w:pos="568"/>
        </w:tabs>
        <w:ind w:left="1135"/>
        <w:rPr>
          <w:lang w:eastAsia="en-US"/>
        </w:rPr>
      </w:pPr>
      <w:r w:rsidRPr="00C71146">
        <w:rPr>
          <w:lang w:eastAsia="en-US"/>
        </w:rPr>
        <w:t>52.</w:t>
      </w:r>
      <w:r w:rsidRPr="00C71146">
        <w:rPr>
          <w:lang w:eastAsia="en-US"/>
        </w:rPr>
        <w:tab/>
      </w:r>
      <w:r w:rsidR="00895001" w:rsidRPr="00C71146">
        <w:rPr>
          <w:lang w:eastAsia="en-US"/>
        </w:rPr>
        <w:t>Each Annex II Party shall provide information on the financial support that it has disbursed and committed for the purpose of assisting non-Annex I Parties to mitigate GHG emissions and adapt to the adverse effects of climate change and any economic and social consequences of response measures, and for capacity-building and technology transfer in the areas of mitigation and adaptation, where appropriate. To that end, each Annex II Party shall provide summary information in textual and tabular format (see tables 6, 7 and 8 below) on allocation channels and annual contributions for the previous two calendar or financial years, without overlapping with the previous reporting periods, including, as appropriate, the following:</w:t>
      </w:r>
    </w:p>
    <w:p w14:paraId="4F498826" w14:textId="030B1A4E" w:rsidR="00895001" w:rsidRPr="0076397D" w:rsidRDefault="000E0429" w:rsidP="000E0429">
      <w:pPr>
        <w:pStyle w:val="RegSingleTxtG"/>
        <w:numPr>
          <w:ilvl w:val="0"/>
          <w:numId w:val="0"/>
        </w:numPr>
        <w:tabs>
          <w:tab w:val="left" w:pos="2269"/>
        </w:tabs>
        <w:ind w:left="1135" w:firstLine="567"/>
        <w:rPr>
          <w:rFonts w:eastAsia="Calibri"/>
          <w:szCs w:val="24"/>
          <w:lang w:eastAsia="en-US"/>
        </w:rPr>
      </w:pPr>
      <w:r w:rsidRPr="0076397D">
        <w:rPr>
          <w:rFonts w:eastAsia="Calibri"/>
          <w:szCs w:val="24"/>
          <w:lang w:eastAsia="en-US"/>
        </w:rPr>
        <w:t>(a)</w:t>
      </w:r>
      <w:r w:rsidRPr="0076397D">
        <w:rPr>
          <w:rFonts w:eastAsia="Calibri"/>
          <w:szCs w:val="24"/>
          <w:lang w:eastAsia="en-US"/>
        </w:rPr>
        <w:tab/>
      </w:r>
      <w:r w:rsidR="00895001" w:rsidRPr="0076397D">
        <w:rPr>
          <w:rFonts w:eastAsia="Calibri"/>
          <w:szCs w:val="24"/>
          <w:lang w:eastAsia="en-US"/>
        </w:rPr>
        <w:t>The Global Environment Facility, the Least Developed Countries Fund, the Special Climate Change Fund, the Adaptation Fund, the Green Climate Fund and the UNFCCC Trust Fund for Supplementary Activities;</w:t>
      </w:r>
    </w:p>
    <w:p w14:paraId="52F9082C" w14:textId="44D38E69" w:rsidR="00895001" w:rsidRPr="0076397D" w:rsidRDefault="000E0429" w:rsidP="000E0429">
      <w:pPr>
        <w:pStyle w:val="RegSingleTxtG"/>
        <w:numPr>
          <w:ilvl w:val="0"/>
          <w:numId w:val="0"/>
        </w:numPr>
        <w:tabs>
          <w:tab w:val="left" w:pos="2269"/>
        </w:tabs>
        <w:ind w:left="1135" w:firstLine="567"/>
        <w:rPr>
          <w:rFonts w:eastAsia="Calibri"/>
          <w:szCs w:val="24"/>
          <w:lang w:eastAsia="en-US"/>
        </w:rPr>
      </w:pPr>
      <w:r w:rsidRPr="0076397D">
        <w:rPr>
          <w:rFonts w:eastAsia="Calibri"/>
          <w:szCs w:val="24"/>
          <w:lang w:eastAsia="en-US"/>
        </w:rPr>
        <w:t>(b)</w:t>
      </w:r>
      <w:r w:rsidRPr="0076397D">
        <w:rPr>
          <w:rFonts w:eastAsia="Calibri"/>
          <w:szCs w:val="24"/>
          <w:lang w:eastAsia="en-US"/>
        </w:rPr>
        <w:tab/>
      </w:r>
      <w:r w:rsidR="00895001" w:rsidRPr="0076397D">
        <w:rPr>
          <w:rFonts w:eastAsia="Calibri"/>
          <w:szCs w:val="24"/>
          <w:lang w:eastAsia="en-US"/>
        </w:rPr>
        <w:t>Other multilateral climate change funds;</w:t>
      </w:r>
    </w:p>
    <w:p w14:paraId="36BB6F2E" w14:textId="7A66623C" w:rsidR="00895001" w:rsidRPr="0076397D" w:rsidRDefault="000E0429" w:rsidP="000E0429">
      <w:pPr>
        <w:pStyle w:val="RegSingleTxtG"/>
        <w:numPr>
          <w:ilvl w:val="0"/>
          <w:numId w:val="0"/>
        </w:numPr>
        <w:tabs>
          <w:tab w:val="left" w:pos="2269"/>
        </w:tabs>
        <w:ind w:left="1135" w:firstLine="567"/>
        <w:rPr>
          <w:rFonts w:eastAsia="Calibri"/>
          <w:szCs w:val="24"/>
          <w:lang w:eastAsia="en-US"/>
        </w:rPr>
      </w:pPr>
      <w:r w:rsidRPr="0076397D">
        <w:rPr>
          <w:rFonts w:eastAsia="Calibri"/>
          <w:szCs w:val="24"/>
          <w:lang w:eastAsia="en-US"/>
        </w:rPr>
        <w:t>(c)</w:t>
      </w:r>
      <w:r w:rsidRPr="0076397D">
        <w:rPr>
          <w:rFonts w:eastAsia="Calibri"/>
          <w:szCs w:val="24"/>
          <w:lang w:eastAsia="en-US"/>
        </w:rPr>
        <w:tab/>
      </w:r>
      <w:r w:rsidR="00895001" w:rsidRPr="0076397D">
        <w:rPr>
          <w:rFonts w:eastAsia="Calibri"/>
          <w:szCs w:val="24"/>
          <w:lang w:eastAsia="en-US"/>
        </w:rPr>
        <w:t>Multilateral financial institutions, including regional development banks;</w:t>
      </w:r>
    </w:p>
    <w:p w14:paraId="4FA50077" w14:textId="37ACC74B" w:rsidR="00895001" w:rsidRPr="0076397D" w:rsidRDefault="000E0429" w:rsidP="000E0429">
      <w:pPr>
        <w:pStyle w:val="RegSingleTxtG"/>
        <w:numPr>
          <w:ilvl w:val="0"/>
          <w:numId w:val="0"/>
        </w:numPr>
        <w:tabs>
          <w:tab w:val="left" w:pos="2269"/>
        </w:tabs>
        <w:ind w:left="1135" w:firstLine="567"/>
        <w:rPr>
          <w:rFonts w:eastAsia="Calibri"/>
          <w:szCs w:val="24"/>
          <w:lang w:eastAsia="en-US"/>
        </w:rPr>
      </w:pPr>
      <w:r w:rsidRPr="0076397D">
        <w:rPr>
          <w:rFonts w:eastAsia="Calibri"/>
          <w:szCs w:val="24"/>
          <w:lang w:eastAsia="en-US"/>
        </w:rPr>
        <w:t>(d)</w:t>
      </w:r>
      <w:r w:rsidRPr="0076397D">
        <w:rPr>
          <w:rFonts w:eastAsia="Calibri"/>
          <w:szCs w:val="24"/>
          <w:lang w:eastAsia="en-US"/>
        </w:rPr>
        <w:tab/>
      </w:r>
      <w:r w:rsidR="00895001" w:rsidRPr="0076397D">
        <w:rPr>
          <w:rFonts w:eastAsia="Calibri"/>
          <w:szCs w:val="24"/>
          <w:lang w:eastAsia="en-US"/>
        </w:rPr>
        <w:t>Specialized United Nations bodies;</w:t>
      </w:r>
    </w:p>
    <w:p w14:paraId="080FBD62" w14:textId="032EDBA4" w:rsidR="00895001" w:rsidRPr="0076397D" w:rsidRDefault="000E0429" w:rsidP="000E0429">
      <w:pPr>
        <w:pStyle w:val="RegSingleTxtG"/>
        <w:numPr>
          <w:ilvl w:val="0"/>
          <w:numId w:val="0"/>
        </w:numPr>
        <w:tabs>
          <w:tab w:val="left" w:pos="2269"/>
        </w:tabs>
        <w:ind w:left="1135" w:firstLine="567"/>
        <w:rPr>
          <w:rFonts w:eastAsia="Calibri"/>
          <w:szCs w:val="24"/>
          <w:lang w:eastAsia="en-US"/>
        </w:rPr>
      </w:pPr>
      <w:r w:rsidRPr="0076397D">
        <w:rPr>
          <w:rFonts w:eastAsia="Calibri"/>
          <w:szCs w:val="24"/>
          <w:lang w:eastAsia="en-US"/>
        </w:rPr>
        <w:t>(e)</w:t>
      </w:r>
      <w:r w:rsidRPr="0076397D">
        <w:rPr>
          <w:rFonts w:eastAsia="Calibri"/>
          <w:szCs w:val="24"/>
          <w:lang w:eastAsia="en-US"/>
        </w:rPr>
        <w:tab/>
      </w:r>
      <w:r w:rsidR="00895001" w:rsidRPr="0076397D">
        <w:rPr>
          <w:rFonts w:eastAsia="Calibri"/>
          <w:szCs w:val="24"/>
          <w:lang w:eastAsia="en-US"/>
        </w:rPr>
        <w:t>Contributions through bilateral, regional and other channels.</w:t>
      </w:r>
    </w:p>
    <w:p w14:paraId="5EE11E82" w14:textId="25FA0216" w:rsidR="00895001" w:rsidRPr="00C71146" w:rsidRDefault="000E0429" w:rsidP="000E0429">
      <w:pPr>
        <w:pStyle w:val="RegSingleTxtG"/>
        <w:numPr>
          <w:ilvl w:val="0"/>
          <w:numId w:val="0"/>
        </w:numPr>
        <w:tabs>
          <w:tab w:val="left" w:pos="568"/>
        </w:tabs>
        <w:ind w:left="1135"/>
        <w:rPr>
          <w:lang w:eastAsia="en-US"/>
        </w:rPr>
      </w:pPr>
      <w:r w:rsidRPr="00C71146">
        <w:rPr>
          <w:lang w:eastAsia="en-US"/>
        </w:rPr>
        <w:t>53.</w:t>
      </w:r>
      <w:r w:rsidRPr="00C71146">
        <w:rPr>
          <w:lang w:eastAsia="en-US"/>
        </w:rPr>
        <w:tab/>
      </w:r>
      <w:r w:rsidR="00895001" w:rsidRPr="00C71146">
        <w:rPr>
          <w:lang w:eastAsia="en-US"/>
        </w:rPr>
        <w:t>Each Annex II Party shall provide the summary information referred to in paragraph 52 above for the previous two calendar or financial years in textual and tabular format on the annual financial support that it has provided for the purpose of assisting non-Annex I Parties, including the following:</w:t>
      </w:r>
    </w:p>
    <w:p w14:paraId="59078DAE" w14:textId="7E6FE6E6" w:rsidR="00895001" w:rsidRPr="00850FF2" w:rsidRDefault="000E0429" w:rsidP="000E0429">
      <w:pPr>
        <w:pStyle w:val="RegSingleTxtG"/>
        <w:numPr>
          <w:ilvl w:val="0"/>
          <w:numId w:val="0"/>
        </w:numPr>
        <w:tabs>
          <w:tab w:val="left" w:pos="2269"/>
        </w:tabs>
        <w:ind w:left="1135" w:firstLine="567"/>
        <w:rPr>
          <w:rFonts w:eastAsia="Calibri"/>
          <w:szCs w:val="24"/>
          <w:lang w:eastAsia="en-US"/>
        </w:rPr>
      </w:pPr>
      <w:r w:rsidRPr="00850FF2">
        <w:rPr>
          <w:rFonts w:eastAsia="Calibri"/>
          <w:szCs w:val="24"/>
          <w:lang w:eastAsia="en-US"/>
        </w:rPr>
        <w:t>(a)</w:t>
      </w:r>
      <w:r w:rsidRPr="00850FF2">
        <w:rPr>
          <w:rFonts w:eastAsia="Calibri"/>
          <w:szCs w:val="24"/>
          <w:lang w:eastAsia="en-US"/>
        </w:rPr>
        <w:tab/>
      </w:r>
      <w:r w:rsidR="00895001" w:rsidRPr="00850FF2">
        <w:rPr>
          <w:rFonts w:eastAsia="Calibri"/>
          <w:szCs w:val="24"/>
          <w:lang w:eastAsia="en-US"/>
        </w:rPr>
        <w:t>The amount of financial resources (including the amount in original currency and its equivalent in United States dollars/international currency);</w:t>
      </w:r>
    </w:p>
    <w:p w14:paraId="11D329F3" w14:textId="08F6C854" w:rsidR="00895001" w:rsidRPr="00850FF2" w:rsidRDefault="000E0429" w:rsidP="000E0429">
      <w:pPr>
        <w:pStyle w:val="RegSingleTxtG"/>
        <w:numPr>
          <w:ilvl w:val="0"/>
          <w:numId w:val="0"/>
        </w:numPr>
        <w:tabs>
          <w:tab w:val="left" w:pos="2269"/>
        </w:tabs>
        <w:ind w:left="1135" w:firstLine="567"/>
        <w:rPr>
          <w:rFonts w:eastAsia="Calibri"/>
          <w:szCs w:val="24"/>
          <w:lang w:eastAsia="en-US"/>
        </w:rPr>
      </w:pPr>
      <w:r w:rsidRPr="00850FF2">
        <w:rPr>
          <w:rFonts w:eastAsia="Calibri"/>
          <w:szCs w:val="24"/>
          <w:lang w:eastAsia="en-US"/>
        </w:rPr>
        <w:t>(b)</w:t>
      </w:r>
      <w:r w:rsidRPr="00850FF2">
        <w:rPr>
          <w:rFonts w:eastAsia="Calibri"/>
          <w:szCs w:val="24"/>
          <w:lang w:eastAsia="en-US"/>
        </w:rPr>
        <w:tab/>
      </w:r>
      <w:r w:rsidR="00895001" w:rsidRPr="00850FF2">
        <w:rPr>
          <w:rFonts w:eastAsia="Calibri"/>
          <w:szCs w:val="24"/>
          <w:lang w:eastAsia="en-US"/>
        </w:rPr>
        <w:t>The type of support (for mitigation and adaptation activities);</w:t>
      </w:r>
    </w:p>
    <w:p w14:paraId="6CFD0BAB" w14:textId="7430A354" w:rsidR="00895001" w:rsidRPr="00850FF2" w:rsidRDefault="000E0429" w:rsidP="000E0429">
      <w:pPr>
        <w:pStyle w:val="RegSingleTxtG"/>
        <w:numPr>
          <w:ilvl w:val="0"/>
          <w:numId w:val="0"/>
        </w:numPr>
        <w:tabs>
          <w:tab w:val="left" w:pos="2269"/>
        </w:tabs>
        <w:ind w:left="1135" w:firstLine="567"/>
        <w:rPr>
          <w:rFonts w:eastAsia="Calibri"/>
          <w:szCs w:val="24"/>
          <w:lang w:eastAsia="en-US"/>
        </w:rPr>
      </w:pPr>
      <w:r w:rsidRPr="00850FF2">
        <w:rPr>
          <w:rFonts w:eastAsia="Calibri"/>
          <w:szCs w:val="24"/>
          <w:lang w:eastAsia="en-US"/>
        </w:rPr>
        <w:t>(c)</w:t>
      </w:r>
      <w:r w:rsidRPr="00850FF2">
        <w:rPr>
          <w:rFonts w:eastAsia="Calibri"/>
          <w:szCs w:val="24"/>
          <w:lang w:eastAsia="en-US"/>
        </w:rPr>
        <w:tab/>
      </w:r>
      <w:r w:rsidR="00895001" w:rsidRPr="00850FF2">
        <w:rPr>
          <w:rFonts w:eastAsia="Calibri"/>
          <w:szCs w:val="24"/>
          <w:lang w:eastAsia="en-US"/>
        </w:rPr>
        <w:t>The source of funding;</w:t>
      </w:r>
    </w:p>
    <w:p w14:paraId="42B58865" w14:textId="74AB8C42" w:rsidR="00895001" w:rsidRPr="00850FF2" w:rsidRDefault="000E0429" w:rsidP="000E0429">
      <w:pPr>
        <w:pStyle w:val="RegSingleTxtG"/>
        <w:numPr>
          <w:ilvl w:val="0"/>
          <w:numId w:val="0"/>
        </w:numPr>
        <w:tabs>
          <w:tab w:val="left" w:pos="2269"/>
        </w:tabs>
        <w:ind w:left="1135" w:firstLine="567"/>
        <w:rPr>
          <w:rFonts w:eastAsia="Calibri"/>
          <w:szCs w:val="24"/>
          <w:lang w:eastAsia="en-US"/>
        </w:rPr>
      </w:pPr>
      <w:r w:rsidRPr="00850FF2">
        <w:rPr>
          <w:rFonts w:eastAsia="Calibri"/>
          <w:szCs w:val="24"/>
          <w:lang w:eastAsia="en-US"/>
        </w:rPr>
        <w:t>(d)</w:t>
      </w:r>
      <w:r w:rsidRPr="00850FF2">
        <w:rPr>
          <w:rFonts w:eastAsia="Calibri"/>
          <w:szCs w:val="24"/>
          <w:lang w:eastAsia="en-US"/>
        </w:rPr>
        <w:tab/>
      </w:r>
      <w:r w:rsidR="00895001" w:rsidRPr="00850FF2">
        <w:rPr>
          <w:rFonts w:eastAsia="Calibri"/>
          <w:szCs w:val="24"/>
          <w:lang w:eastAsia="en-US"/>
        </w:rPr>
        <w:t>The financial instrument;</w:t>
      </w:r>
    </w:p>
    <w:p w14:paraId="493E6C79" w14:textId="309C3BB6" w:rsidR="00895001" w:rsidRPr="00850FF2" w:rsidRDefault="000E0429" w:rsidP="000E0429">
      <w:pPr>
        <w:pStyle w:val="RegSingleTxtG"/>
        <w:numPr>
          <w:ilvl w:val="0"/>
          <w:numId w:val="0"/>
        </w:numPr>
        <w:tabs>
          <w:tab w:val="left" w:pos="2269"/>
        </w:tabs>
        <w:ind w:left="1135" w:firstLine="567"/>
        <w:rPr>
          <w:rFonts w:eastAsia="Calibri"/>
          <w:szCs w:val="24"/>
          <w:lang w:eastAsia="en-US"/>
        </w:rPr>
      </w:pPr>
      <w:r w:rsidRPr="00850FF2">
        <w:rPr>
          <w:rFonts w:eastAsia="Calibri"/>
          <w:szCs w:val="24"/>
          <w:lang w:eastAsia="en-US"/>
        </w:rPr>
        <w:t>(e)</w:t>
      </w:r>
      <w:r w:rsidRPr="00850FF2">
        <w:rPr>
          <w:rFonts w:eastAsia="Calibri"/>
          <w:szCs w:val="24"/>
          <w:lang w:eastAsia="en-US"/>
        </w:rPr>
        <w:tab/>
      </w:r>
      <w:r w:rsidR="00895001" w:rsidRPr="00850FF2">
        <w:rPr>
          <w:rFonts w:eastAsia="Calibri"/>
          <w:szCs w:val="24"/>
          <w:lang w:eastAsia="en-US"/>
        </w:rPr>
        <w:t>The sector;</w:t>
      </w:r>
    </w:p>
    <w:p w14:paraId="7AD4395E" w14:textId="7C56FFB2" w:rsidR="00895001" w:rsidRPr="00850FF2" w:rsidRDefault="000E0429" w:rsidP="000E0429">
      <w:pPr>
        <w:pStyle w:val="RegSingleTxtG"/>
        <w:numPr>
          <w:ilvl w:val="0"/>
          <w:numId w:val="0"/>
        </w:numPr>
        <w:tabs>
          <w:tab w:val="left" w:pos="2269"/>
        </w:tabs>
        <w:ind w:left="1135" w:firstLine="567"/>
        <w:rPr>
          <w:rFonts w:eastAsia="Calibri"/>
          <w:szCs w:val="24"/>
          <w:lang w:eastAsia="en-US"/>
        </w:rPr>
      </w:pPr>
      <w:r w:rsidRPr="00850FF2">
        <w:rPr>
          <w:rFonts w:eastAsia="Calibri"/>
          <w:szCs w:val="24"/>
          <w:lang w:eastAsia="en-US"/>
        </w:rPr>
        <w:t>(f)</w:t>
      </w:r>
      <w:r w:rsidRPr="00850FF2">
        <w:rPr>
          <w:rFonts w:eastAsia="Calibri"/>
          <w:szCs w:val="24"/>
          <w:lang w:eastAsia="en-US"/>
        </w:rPr>
        <w:tab/>
      </w:r>
      <w:r w:rsidR="00895001" w:rsidRPr="00850FF2">
        <w:rPr>
          <w:rFonts w:eastAsia="Calibri"/>
          <w:szCs w:val="24"/>
          <w:lang w:eastAsia="en-US"/>
        </w:rPr>
        <w:t>An indication of what new and additional financial resources it has provided pursuant to Article 4, paragraph 3, of the Convention, including clarification of how it has determined that such resources are new and additional.</w:t>
      </w:r>
    </w:p>
    <w:p w14:paraId="3AA9BC11" w14:textId="3ECA9230" w:rsidR="00895001" w:rsidRPr="00C71146" w:rsidRDefault="000E0429" w:rsidP="000E0429">
      <w:pPr>
        <w:pStyle w:val="RegSingleTxtG"/>
        <w:numPr>
          <w:ilvl w:val="0"/>
          <w:numId w:val="0"/>
        </w:numPr>
        <w:tabs>
          <w:tab w:val="left" w:pos="568"/>
        </w:tabs>
        <w:ind w:left="1135"/>
        <w:rPr>
          <w:lang w:eastAsia="en-US"/>
        </w:rPr>
      </w:pPr>
      <w:r w:rsidRPr="00C71146">
        <w:rPr>
          <w:lang w:eastAsia="en-US"/>
        </w:rPr>
        <w:t>54.</w:t>
      </w:r>
      <w:r w:rsidRPr="00C71146">
        <w:rPr>
          <w:lang w:eastAsia="en-US"/>
        </w:rPr>
        <w:tab/>
      </w:r>
      <w:r w:rsidR="00895001" w:rsidRPr="00C71146">
        <w:rPr>
          <w:lang w:eastAsia="en-US"/>
        </w:rPr>
        <w:t xml:space="preserve">Each Annex II Party shall provide detailed information on the assistance provided by it for the purpose of assisting developing country Parties that are particularly vulnerable to the adverse effects of climate change in meeting the costs of adaptation to those adverse effects, in textual format and with reference to table 6 below. </w:t>
      </w:r>
    </w:p>
    <w:p w14:paraId="1CA0A7D4" w14:textId="479BCB14" w:rsidR="00895001" w:rsidRPr="00C71146" w:rsidRDefault="000E0429" w:rsidP="000E0429">
      <w:pPr>
        <w:pStyle w:val="RegSingleTxtG"/>
        <w:numPr>
          <w:ilvl w:val="0"/>
          <w:numId w:val="0"/>
        </w:numPr>
        <w:tabs>
          <w:tab w:val="left" w:pos="568"/>
        </w:tabs>
        <w:ind w:left="1135"/>
        <w:rPr>
          <w:lang w:eastAsia="en-US"/>
        </w:rPr>
      </w:pPr>
      <w:r w:rsidRPr="00C71146">
        <w:rPr>
          <w:lang w:eastAsia="en-US"/>
        </w:rPr>
        <w:t>55.</w:t>
      </w:r>
      <w:r w:rsidRPr="00C71146">
        <w:rPr>
          <w:lang w:eastAsia="en-US"/>
        </w:rPr>
        <w:tab/>
      </w:r>
      <w:r w:rsidR="00895001" w:rsidRPr="00C71146">
        <w:rPr>
          <w:lang w:eastAsia="en-US"/>
        </w:rPr>
        <w:t>Recognizing that the goal of mobilizing financial resources referred to in decision 1/CP.16, paragraph 98, includes private financial sources, each Annex II Party should report, to the extent possible, on private financial flows leveraged by bilateral climate finance towards mitigation and adaptation activities in non-Annex I Parties, and should report on policies and measures that promote the scaling up of private investment in mitigation and adaptation activities in developing country Parties.</w:t>
      </w:r>
    </w:p>
    <w:p w14:paraId="5A5326B6" w14:textId="6600CBEA" w:rsidR="00895001" w:rsidRPr="00C71146" w:rsidRDefault="000E0429" w:rsidP="000E0429">
      <w:pPr>
        <w:pStyle w:val="RegSingleTxtG"/>
        <w:numPr>
          <w:ilvl w:val="0"/>
          <w:numId w:val="0"/>
        </w:numPr>
        <w:tabs>
          <w:tab w:val="left" w:pos="568"/>
        </w:tabs>
        <w:ind w:left="1135"/>
        <w:rPr>
          <w:lang w:eastAsia="en-US"/>
        </w:rPr>
      </w:pPr>
      <w:r w:rsidRPr="00C71146">
        <w:rPr>
          <w:lang w:eastAsia="en-US"/>
        </w:rPr>
        <w:t>56.</w:t>
      </w:r>
      <w:r w:rsidRPr="00C71146">
        <w:rPr>
          <w:lang w:eastAsia="en-US"/>
        </w:rPr>
        <w:tab/>
      </w:r>
      <w:r w:rsidR="00895001" w:rsidRPr="00C71146">
        <w:rPr>
          <w:lang w:eastAsia="en-US"/>
        </w:rPr>
        <w:t>Each Annex II Party should specify the types of instrument used in the provision of their assistance, such as grants and concessional loans.</w:t>
      </w:r>
    </w:p>
    <w:p w14:paraId="430104E2" w14:textId="77777777" w:rsidR="00895001" w:rsidRPr="00A20B3F" w:rsidRDefault="00895001" w:rsidP="00895001">
      <w:pPr>
        <w:suppressAutoHyphens w:val="0"/>
        <w:autoSpaceDE w:val="0"/>
        <w:autoSpaceDN w:val="0"/>
        <w:adjustRightInd w:val="0"/>
        <w:spacing w:line="240" w:lineRule="auto"/>
        <w:jc w:val="both"/>
        <w:rPr>
          <w:rFonts w:eastAsia="Calibri"/>
          <w:sz w:val="24"/>
          <w:szCs w:val="24"/>
          <w:lang w:eastAsia="en-US"/>
        </w:rPr>
      </w:pPr>
    </w:p>
    <w:p w14:paraId="19253A1B" w14:textId="77777777" w:rsidR="00895001" w:rsidRDefault="00895001" w:rsidP="00895001">
      <w:pPr>
        <w:suppressAutoHyphens w:val="0"/>
        <w:spacing w:line="240" w:lineRule="auto"/>
        <w:sectPr w:rsidR="00895001" w:rsidSect="008F63F4">
          <w:headerReference w:type="even" r:id="rId42"/>
          <w:headerReference w:type="default" r:id="rId43"/>
          <w:footerReference w:type="even" r:id="rId44"/>
          <w:footerReference w:type="default" r:id="rId45"/>
          <w:pgSz w:w="11906" w:h="16838" w:code="9"/>
          <w:pgMar w:top="1701" w:right="1134" w:bottom="2268" w:left="1134" w:header="1134" w:footer="1701" w:gutter="0"/>
          <w:cols w:space="708"/>
          <w:docGrid w:linePitch="360"/>
        </w:sectPr>
      </w:pPr>
    </w:p>
    <w:p w14:paraId="4432D5C8" w14:textId="77777777" w:rsidR="00895001" w:rsidRPr="00C71146" w:rsidRDefault="00895001" w:rsidP="007540E4">
      <w:pPr>
        <w:ind w:left="284"/>
      </w:pPr>
      <w:r w:rsidRPr="00C71146">
        <w:t>Table 6</w:t>
      </w:r>
    </w:p>
    <w:p w14:paraId="6D40276E" w14:textId="77777777" w:rsidR="00895001" w:rsidRPr="00183F15" w:rsidRDefault="00895001" w:rsidP="007540E4">
      <w:pPr>
        <w:suppressAutoHyphens w:val="0"/>
        <w:autoSpaceDE w:val="0"/>
        <w:autoSpaceDN w:val="0"/>
        <w:adjustRightInd w:val="0"/>
        <w:spacing w:after="120" w:line="240" w:lineRule="auto"/>
        <w:ind w:left="284"/>
        <w:jc w:val="both"/>
        <w:rPr>
          <w:rFonts w:eastAsia="Calibri"/>
          <w:sz w:val="24"/>
          <w:szCs w:val="24"/>
          <w:lang w:eastAsia="en-US"/>
        </w:rPr>
      </w:pPr>
      <w:r w:rsidRPr="00C71146">
        <w:rPr>
          <w:b/>
        </w:rPr>
        <w:t xml:space="preserve">Provision of public financial support: summary information </w:t>
      </w:r>
      <w:r w:rsidRPr="00C71146">
        <w:rPr>
          <w:rFonts w:eastAsia="MS Mincho"/>
          <w:b/>
          <w:lang w:eastAsia="ja-JP"/>
        </w:rPr>
        <w:t>in 20XX-3</w:t>
      </w:r>
      <w:r w:rsidRPr="00C71146">
        <w:rPr>
          <w:rFonts w:eastAsia="MS Mincho"/>
          <w:i/>
          <w:sz w:val="18"/>
          <w:vertAlign w:val="superscript"/>
          <w:lang w:eastAsia="ja-JP"/>
        </w:rPr>
        <w:t>a</w:t>
      </w:r>
    </w:p>
    <w:tbl>
      <w:tblPr>
        <w:tblW w:w="12383" w:type="dxa"/>
        <w:jc w:val="center"/>
        <w:tblBorders>
          <w:top w:val="single" w:sz="4" w:space="0" w:color="auto"/>
        </w:tblBorders>
        <w:tblCellMar>
          <w:left w:w="0" w:type="dxa"/>
          <w:right w:w="0" w:type="dxa"/>
        </w:tblCellMar>
        <w:tblLook w:val="00A0" w:firstRow="1" w:lastRow="0" w:firstColumn="1" w:lastColumn="0" w:noHBand="0" w:noVBand="0"/>
      </w:tblPr>
      <w:tblGrid>
        <w:gridCol w:w="1962"/>
        <w:gridCol w:w="1030"/>
        <w:gridCol w:w="987"/>
        <w:gridCol w:w="102"/>
        <w:gridCol w:w="925"/>
        <w:gridCol w:w="950"/>
        <w:gridCol w:w="804"/>
        <w:gridCol w:w="276"/>
        <w:gridCol w:w="1248"/>
        <w:gridCol w:w="1025"/>
        <w:gridCol w:w="658"/>
        <w:gridCol w:w="370"/>
        <w:gridCol w:w="631"/>
        <w:gridCol w:w="46"/>
        <w:gridCol w:w="339"/>
        <w:gridCol w:w="1030"/>
      </w:tblGrid>
      <w:tr w:rsidR="00895001" w:rsidRPr="00801025" w14:paraId="14811E06" w14:textId="77777777" w:rsidTr="006D4A81">
        <w:trPr>
          <w:trHeight w:val="240"/>
          <w:tblHeader/>
          <w:jc w:val="center"/>
        </w:trPr>
        <w:tc>
          <w:tcPr>
            <w:tcW w:w="1962" w:type="dxa"/>
            <w:tcBorders>
              <w:top w:val="single" w:sz="4" w:space="0" w:color="auto"/>
              <w:bottom w:val="single" w:sz="2" w:space="0" w:color="auto"/>
            </w:tcBorders>
            <w:shd w:val="clear" w:color="auto" w:fill="auto"/>
            <w:vAlign w:val="bottom"/>
          </w:tcPr>
          <w:p w14:paraId="513595A1" w14:textId="77777777" w:rsidR="00895001" w:rsidRPr="00801025" w:rsidRDefault="00895001" w:rsidP="006D4A81">
            <w:pPr>
              <w:suppressAutoHyphens w:val="0"/>
              <w:spacing w:before="80" w:after="80" w:line="200" w:lineRule="exact"/>
              <w:rPr>
                <w:i/>
                <w:sz w:val="16"/>
                <w:szCs w:val="16"/>
              </w:rPr>
            </w:pPr>
          </w:p>
        </w:tc>
        <w:tc>
          <w:tcPr>
            <w:tcW w:w="1030" w:type="dxa"/>
            <w:tcBorders>
              <w:top w:val="single" w:sz="4" w:space="0" w:color="auto"/>
              <w:bottom w:val="single" w:sz="2" w:space="0" w:color="auto"/>
            </w:tcBorders>
            <w:shd w:val="clear" w:color="auto" w:fill="auto"/>
            <w:vAlign w:val="bottom"/>
          </w:tcPr>
          <w:p w14:paraId="0FBA2645" w14:textId="77777777" w:rsidR="00895001" w:rsidRPr="00801025" w:rsidRDefault="00895001" w:rsidP="006D4A81">
            <w:pPr>
              <w:suppressAutoHyphens w:val="0"/>
              <w:spacing w:before="80" w:after="80" w:line="200" w:lineRule="exact"/>
              <w:ind w:left="113"/>
              <w:jc w:val="right"/>
              <w:rPr>
                <w:i/>
                <w:sz w:val="16"/>
                <w:szCs w:val="16"/>
              </w:rPr>
            </w:pPr>
          </w:p>
        </w:tc>
        <w:tc>
          <w:tcPr>
            <w:tcW w:w="1089" w:type="dxa"/>
            <w:gridSpan w:val="2"/>
            <w:tcBorders>
              <w:top w:val="single" w:sz="4" w:space="0" w:color="auto"/>
              <w:bottom w:val="single" w:sz="2" w:space="0" w:color="auto"/>
            </w:tcBorders>
            <w:shd w:val="clear" w:color="auto" w:fill="auto"/>
            <w:vAlign w:val="bottom"/>
          </w:tcPr>
          <w:p w14:paraId="735AE44E" w14:textId="77777777" w:rsidR="00895001" w:rsidRPr="00801025" w:rsidRDefault="00895001" w:rsidP="006D4A81">
            <w:pPr>
              <w:suppressAutoHyphens w:val="0"/>
              <w:spacing w:before="80" w:after="80" w:line="200" w:lineRule="exact"/>
              <w:ind w:left="113"/>
              <w:jc w:val="right"/>
              <w:rPr>
                <w:i/>
                <w:sz w:val="16"/>
                <w:szCs w:val="16"/>
              </w:rPr>
            </w:pPr>
          </w:p>
        </w:tc>
        <w:tc>
          <w:tcPr>
            <w:tcW w:w="6887" w:type="dxa"/>
            <w:gridSpan w:val="9"/>
            <w:tcBorders>
              <w:top w:val="single" w:sz="4" w:space="0" w:color="auto"/>
              <w:bottom w:val="single" w:sz="2" w:space="0" w:color="auto"/>
            </w:tcBorders>
            <w:shd w:val="clear" w:color="auto" w:fill="auto"/>
            <w:vAlign w:val="bottom"/>
          </w:tcPr>
          <w:p w14:paraId="00F569DE" w14:textId="77777777" w:rsidR="00895001" w:rsidRPr="00801025" w:rsidRDefault="00895001" w:rsidP="006D4A81">
            <w:pPr>
              <w:suppressAutoHyphens w:val="0"/>
              <w:spacing w:before="80" w:after="80" w:line="200" w:lineRule="exact"/>
              <w:ind w:left="113"/>
              <w:jc w:val="right"/>
              <w:rPr>
                <w:i/>
                <w:sz w:val="16"/>
                <w:szCs w:val="16"/>
              </w:rPr>
            </w:pPr>
            <w:r w:rsidRPr="00801025">
              <w:rPr>
                <w:i/>
                <w:sz w:val="16"/>
                <w:szCs w:val="16"/>
              </w:rPr>
              <w:t>Year</w:t>
            </w:r>
          </w:p>
        </w:tc>
        <w:tc>
          <w:tcPr>
            <w:tcW w:w="1415" w:type="dxa"/>
            <w:gridSpan w:val="3"/>
            <w:tcBorders>
              <w:top w:val="single" w:sz="4" w:space="0" w:color="auto"/>
              <w:bottom w:val="single" w:sz="2" w:space="0" w:color="auto"/>
            </w:tcBorders>
            <w:shd w:val="clear" w:color="auto" w:fill="auto"/>
            <w:vAlign w:val="bottom"/>
          </w:tcPr>
          <w:p w14:paraId="61EB21EB" w14:textId="77777777" w:rsidR="00895001" w:rsidRPr="00801025" w:rsidRDefault="00895001" w:rsidP="006D4A81">
            <w:pPr>
              <w:suppressAutoHyphens w:val="0"/>
              <w:spacing w:before="80" w:after="80" w:line="200" w:lineRule="exact"/>
              <w:ind w:left="113"/>
              <w:jc w:val="right"/>
              <w:rPr>
                <w:i/>
                <w:sz w:val="16"/>
                <w:szCs w:val="16"/>
              </w:rPr>
            </w:pPr>
          </w:p>
        </w:tc>
      </w:tr>
      <w:tr w:rsidR="00895001" w:rsidRPr="00801025" w14:paraId="2063A1CA" w14:textId="77777777" w:rsidTr="006D4A81">
        <w:trPr>
          <w:trHeight w:val="240"/>
          <w:jc w:val="center"/>
        </w:trPr>
        <w:tc>
          <w:tcPr>
            <w:tcW w:w="1962" w:type="dxa"/>
            <w:vMerge w:val="restart"/>
            <w:tcBorders>
              <w:top w:val="single" w:sz="2" w:space="0" w:color="auto"/>
            </w:tcBorders>
            <w:shd w:val="clear" w:color="auto" w:fill="auto"/>
          </w:tcPr>
          <w:p w14:paraId="38698F77" w14:textId="77777777" w:rsidR="00895001" w:rsidRPr="007E60EA" w:rsidRDefault="00895001" w:rsidP="006D4A81">
            <w:pPr>
              <w:suppressAutoHyphens w:val="0"/>
              <w:spacing w:before="40" w:after="40" w:line="220" w:lineRule="exact"/>
              <w:rPr>
                <w:i/>
                <w:sz w:val="16"/>
                <w:szCs w:val="16"/>
              </w:rPr>
            </w:pPr>
            <w:r w:rsidRPr="007E60EA">
              <w:rPr>
                <w:i/>
                <w:sz w:val="16"/>
                <w:szCs w:val="16"/>
              </w:rPr>
              <w:t>Allocation channel</w:t>
            </w:r>
          </w:p>
        </w:tc>
        <w:tc>
          <w:tcPr>
            <w:tcW w:w="4798" w:type="dxa"/>
            <w:gridSpan w:val="6"/>
            <w:tcBorders>
              <w:top w:val="single" w:sz="2" w:space="0" w:color="auto"/>
              <w:bottom w:val="single" w:sz="2" w:space="0" w:color="auto"/>
            </w:tcBorders>
            <w:shd w:val="clear" w:color="auto" w:fill="auto"/>
            <w:vAlign w:val="bottom"/>
          </w:tcPr>
          <w:p w14:paraId="44B1A66A"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Domestic currency</w:t>
            </w:r>
          </w:p>
        </w:tc>
        <w:tc>
          <w:tcPr>
            <w:tcW w:w="276" w:type="dxa"/>
            <w:tcBorders>
              <w:top w:val="single" w:sz="2" w:space="0" w:color="auto"/>
              <w:bottom w:val="single" w:sz="2" w:space="0" w:color="auto"/>
              <w:right w:val="single" w:sz="2" w:space="0" w:color="auto"/>
            </w:tcBorders>
            <w:shd w:val="clear" w:color="auto" w:fill="auto"/>
            <w:vAlign w:val="bottom"/>
          </w:tcPr>
          <w:p w14:paraId="6E4A16B5" w14:textId="77777777" w:rsidR="00895001" w:rsidRPr="007E60EA" w:rsidRDefault="00895001" w:rsidP="006D4A81">
            <w:pPr>
              <w:suppressAutoHyphens w:val="0"/>
              <w:spacing w:before="40" w:after="40" w:line="220" w:lineRule="exact"/>
              <w:ind w:left="113"/>
              <w:jc w:val="right"/>
              <w:rPr>
                <w:i/>
                <w:sz w:val="16"/>
                <w:szCs w:val="16"/>
              </w:rPr>
            </w:pPr>
          </w:p>
        </w:tc>
        <w:tc>
          <w:tcPr>
            <w:tcW w:w="5347" w:type="dxa"/>
            <w:gridSpan w:val="8"/>
            <w:tcBorders>
              <w:top w:val="single" w:sz="2" w:space="0" w:color="auto"/>
              <w:left w:val="single" w:sz="2" w:space="0" w:color="auto"/>
              <w:bottom w:val="single" w:sz="2" w:space="0" w:color="auto"/>
            </w:tcBorders>
            <w:shd w:val="clear" w:color="auto" w:fill="auto"/>
            <w:vAlign w:val="bottom"/>
          </w:tcPr>
          <w:p w14:paraId="2B5614AB"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USD</w:t>
            </w:r>
            <w:r w:rsidRPr="00C71146">
              <w:rPr>
                <w:i/>
                <w:sz w:val="18"/>
                <w:szCs w:val="16"/>
                <w:vertAlign w:val="superscript"/>
              </w:rPr>
              <w:t>b</w:t>
            </w:r>
          </w:p>
        </w:tc>
      </w:tr>
      <w:tr w:rsidR="00895001" w:rsidRPr="0078123A" w14:paraId="74D9D31C" w14:textId="77777777" w:rsidTr="006D4A81">
        <w:trPr>
          <w:trHeight w:val="240"/>
          <w:jc w:val="center"/>
        </w:trPr>
        <w:tc>
          <w:tcPr>
            <w:tcW w:w="1962" w:type="dxa"/>
            <w:vMerge/>
            <w:shd w:val="clear" w:color="auto" w:fill="auto"/>
          </w:tcPr>
          <w:p w14:paraId="294288AB" w14:textId="77777777" w:rsidR="00895001" w:rsidRPr="007E60EA" w:rsidRDefault="00895001" w:rsidP="006D4A81">
            <w:pPr>
              <w:suppressAutoHyphens w:val="0"/>
              <w:spacing w:before="40" w:after="40" w:line="220" w:lineRule="exact"/>
              <w:rPr>
                <w:i/>
                <w:sz w:val="16"/>
                <w:szCs w:val="16"/>
              </w:rPr>
            </w:pPr>
          </w:p>
        </w:tc>
        <w:tc>
          <w:tcPr>
            <w:tcW w:w="1030" w:type="dxa"/>
            <w:vMerge w:val="restart"/>
            <w:tcBorders>
              <w:top w:val="nil"/>
            </w:tcBorders>
            <w:shd w:val="clear" w:color="auto" w:fill="auto"/>
            <w:vAlign w:val="center"/>
          </w:tcPr>
          <w:p w14:paraId="7881CA21"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Core/</w:t>
            </w:r>
          </w:p>
          <w:p w14:paraId="2634552B"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general</w:t>
            </w:r>
            <w:r w:rsidRPr="00C71146">
              <w:rPr>
                <w:i/>
                <w:sz w:val="18"/>
                <w:szCs w:val="16"/>
                <w:vertAlign w:val="superscript"/>
              </w:rPr>
              <w:t>c, 1</w:t>
            </w:r>
          </w:p>
        </w:tc>
        <w:tc>
          <w:tcPr>
            <w:tcW w:w="3768" w:type="dxa"/>
            <w:gridSpan w:val="5"/>
            <w:tcBorders>
              <w:top w:val="single" w:sz="2" w:space="0" w:color="auto"/>
              <w:bottom w:val="single" w:sz="2" w:space="0" w:color="auto"/>
            </w:tcBorders>
            <w:shd w:val="clear" w:color="auto" w:fill="auto"/>
            <w:vAlign w:val="bottom"/>
          </w:tcPr>
          <w:p w14:paraId="40B40BCB"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Climate-specific</w:t>
            </w:r>
            <w:r w:rsidRPr="00C71146">
              <w:rPr>
                <w:i/>
                <w:sz w:val="18"/>
                <w:szCs w:val="16"/>
                <w:vertAlign w:val="superscript"/>
              </w:rPr>
              <w:t>d, 2</w:t>
            </w:r>
          </w:p>
        </w:tc>
        <w:tc>
          <w:tcPr>
            <w:tcW w:w="276" w:type="dxa"/>
            <w:tcBorders>
              <w:top w:val="single" w:sz="2" w:space="0" w:color="auto"/>
              <w:bottom w:val="single" w:sz="2" w:space="0" w:color="auto"/>
              <w:right w:val="single" w:sz="2" w:space="0" w:color="auto"/>
            </w:tcBorders>
            <w:shd w:val="clear" w:color="auto" w:fill="auto"/>
            <w:vAlign w:val="bottom"/>
          </w:tcPr>
          <w:p w14:paraId="563534ED" w14:textId="77777777" w:rsidR="00895001" w:rsidRPr="007E60EA" w:rsidRDefault="00895001" w:rsidP="006D4A81">
            <w:pPr>
              <w:suppressAutoHyphens w:val="0"/>
              <w:spacing w:before="40" w:after="40" w:line="220" w:lineRule="exact"/>
              <w:ind w:left="113"/>
              <w:jc w:val="right"/>
              <w:rPr>
                <w:i/>
                <w:sz w:val="16"/>
                <w:szCs w:val="16"/>
              </w:rPr>
            </w:pPr>
          </w:p>
        </w:tc>
        <w:tc>
          <w:tcPr>
            <w:tcW w:w="1248" w:type="dxa"/>
            <w:vMerge w:val="restart"/>
            <w:tcBorders>
              <w:top w:val="nil"/>
              <w:left w:val="single" w:sz="2" w:space="0" w:color="auto"/>
            </w:tcBorders>
            <w:shd w:val="clear" w:color="auto" w:fill="auto"/>
            <w:vAlign w:val="center"/>
          </w:tcPr>
          <w:p w14:paraId="523C3B31"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Core/</w:t>
            </w:r>
          </w:p>
          <w:p w14:paraId="6BB7B17F"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general</w:t>
            </w:r>
            <w:r w:rsidRPr="00C71146">
              <w:rPr>
                <w:i/>
                <w:sz w:val="18"/>
                <w:szCs w:val="16"/>
                <w:vertAlign w:val="superscript"/>
              </w:rPr>
              <w:t>c</w:t>
            </w:r>
          </w:p>
        </w:tc>
        <w:tc>
          <w:tcPr>
            <w:tcW w:w="4099" w:type="dxa"/>
            <w:gridSpan w:val="7"/>
            <w:tcBorders>
              <w:top w:val="single" w:sz="2" w:space="0" w:color="auto"/>
              <w:bottom w:val="single" w:sz="2" w:space="0" w:color="auto"/>
            </w:tcBorders>
            <w:shd w:val="clear" w:color="auto" w:fill="auto"/>
            <w:vAlign w:val="bottom"/>
          </w:tcPr>
          <w:p w14:paraId="01214828"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Climate-specific</w:t>
            </w:r>
            <w:r w:rsidRPr="00C71146">
              <w:rPr>
                <w:i/>
                <w:sz w:val="18"/>
                <w:szCs w:val="16"/>
                <w:vertAlign w:val="superscript"/>
              </w:rPr>
              <w:t>d,2</w:t>
            </w:r>
          </w:p>
        </w:tc>
      </w:tr>
      <w:tr w:rsidR="00895001" w:rsidRPr="0078123A" w14:paraId="63B11DE4" w14:textId="77777777" w:rsidTr="006D4A81">
        <w:trPr>
          <w:trHeight w:val="240"/>
          <w:jc w:val="center"/>
        </w:trPr>
        <w:tc>
          <w:tcPr>
            <w:tcW w:w="1962" w:type="dxa"/>
            <w:vMerge/>
            <w:tcBorders>
              <w:bottom w:val="single" w:sz="12" w:space="0" w:color="auto"/>
            </w:tcBorders>
            <w:shd w:val="clear" w:color="auto" w:fill="auto"/>
          </w:tcPr>
          <w:p w14:paraId="6384DC4C" w14:textId="77777777" w:rsidR="00895001" w:rsidRPr="007E60EA" w:rsidRDefault="00895001" w:rsidP="006D4A81">
            <w:pPr>
              <w:suppressAutoHyphens w:val="0"/>
              <w:spacing w:before="40" w:after="40" w:line="220" w:lineRule="exact"/>
              <w:rPr>
                <w:i/>
                <w:sz w:val="16"/>
                <w:szCs w:val="16"/>
              </w:rPr>
            </w:pPr>
          </w:p>
        </w:tc>
        <w:tc>
          <w:tcPr>
            <w:tcW w:w="1030" w:type="dxa"/>
            <w:vMerge/>
            <w:tcBorders>
              <w:top w:val="nil"/>
              <w:bottom w:val="single" w:sz="12" w:space="0" w:color="auto"/>
            </w:tcBorders>
            <w:shd w:val="clear" w:color="auto" w:fill="auto"/>
            <w:vAlign w:val="bottom"/>
          </w:tcPr>
          <w:p w14:paraId="7B04300A" w14:textId="77777777" w:rsidR="00895001" w:rsidRPr="007E60EA" w:rsidRDefault="00895001" w:rsidP="006D4A81">
            <w:pPr>
              <w:suppressAutoHyphens w:val="0"/>
              <w:spacing w:before="40" w:after="40" w:line="220" w:lineRule="exact"/>
              <w:ind w:left="113"/>
              <w:jc w:val="right"/>
              <w:rPr>
                <w:i/>
                <w:sz w:val="16"/>
                <w:szCs w:val="16"/>
              </w:rPr>
            </w:pPr>
          </w:p>
        </w:tc>
        <w:tc>
          <w:tcPr>
            <w:tcW w:w="987" w:type="dxa"/>
            <w:tcBorders>
              <w:top w:val="single" w:sz="2" w:space="0" w:color="auto"/>
              <w:bottom w:val="single" w:sz="12" w:space="0" w:color="auto"/>
            </w:tcBorders>
            <w:shd w:val="clear" w:color="auto" w:fill="auto"/>
            <w:tcMar>
              <w:left w:w="57" w:type="dxa"/>
              <w:right w:w="57" w:type="dxa"/>
            </w:tcMar>
            <w:vAlign w:val="bottom"/>
          </w:tcPr>
          <w:p w14:paraId="6AB3E711"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Mitigation</w:t>
            </w:r>
          </w:p>
        </w:tc>
        <w:tc>
          <w:tcPr>
            <w:tcW w:w="1027" w:type="dxa"/>
            <w:gridSpan w:val="2"/>
            <w:tcBorders>
              <w:top w:val="single" w:sz="2" w:space="0" w:color="auto"/>
              <w:bottom w:val="single" w:sz="12" w:space="0" w:color="auto"/>
            </w:tcBorders>
            <w:shd w:val="clear" w:color="auto" w:fill="auto"/>
            <w:tcMar>
              <w:left w:w="57" w:type="dxa"/>
              <w:right w:w="57" w:type="dxa"/>
            </w:tcMar>
            <w:vAlign w:val="bottom"/>
          </w:tcPr>
          <w:p w14:paraId="12B4658C"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Adaptation</w:t>
            </w:r>
          </w:p>
        </w:tc>
        <w:tc>
          <w:tcPr>
            <w:tcW w:w="950" w:type="dxa"/>
            <w:tcBorders>
              <w:top w:val="single" w:sz="2" w:space="0" w:color="auto"/>
              <w:bottom w:val="single" w:sz="12" w:space="0" w:color="auto"/>
            </w:tcBorders>
            <w:shd w:val="clear" w:color="auto" w:fill="auto"/>
            <w:tcMar>
              <w:left w:w="57" w:type="dxa"/>
              <w:right w:w="57" w:type="dxa"/>
            </w:tcMar>
            <w:vAlign w:val="bottom"/>
          </w:tcPr>
          <w:p w14:paraId="2DA874B1"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Cross-cutting</w:t>
            </w:r>
            <w:r w:rsidRPr="00C71146">
              <w:rPr>
                <w:i/>
                <w:sz w:val="18"/>
                <w:szCs w:val="16"/>
                <w:vertAlign w:val="superscript"/>
              </w:rPr>
              <w:t>e</w:t>
            </w:r>
          </w:p>
        </w:tc>
        <w:tc>
          <w:tcPr>
            <w:tcW w:w="804" w:type="dxa"/>
            <w:tcBorders>
              <w:top w:val="single" w:sz="2" w:space="0" w:color="auto"/>
              <w:bottom w:val="single" w:sz="12" w:space="0" w:color="auto"/>
            </w:tcBorders>
            <w:shd w:val="clear" w:color="auto" w:fill="auto"/>
            <w:vAlign w:val="bottom"/>
          </w:tcPr>
          <w:p w14:paraId="3291730F"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Other</w:t>
            </w:r>
            <w:r w:rsidRPr="00C71146">
              <w:rPr>
                <w:i/>
                <w:sz w:val="18"/>
                <w:szCs w:val="16"/>
                <w:vertAlign w:val="superscript"/>
              </w:rPr>
              <w:t>f</w:t>
            </w:r>
          </w:p>
        </w:tc>
        <w:tc>
          <w:tcPr>
            <w:tcW w:w="276" w:type="dxa"/>
            <w:tcBorders>
              <w:top w:val="single" w:sz="2" w:space="0" w:color="auto"/>
              <w:bottom w:val="single" w:sz="12" w:space="0" w:color="auto"/>
              <w:right w:val="single" w:sz="2" w:space="0" w:color="auto"/>
            </w:tcBorders>
            <w:shd w:val="clear" w:color="auto" w:fill="auto"/>
            <w:tcMar>
              <w:left w:w="57" w:type="dxa"/>
              <w:right w:w="57" w:type="dxa"/>
            </w:tcMar>
            <w:vAlign w:val="bottom"/>
          </w:tcPr>
          <w:p w14:paraId="10F7C83D" w14:textId="77777777" w:rsidR="00895001" w:rsidRPr="007E60EA" w:rsidRDefault="00895001" w:rsidP="006D4A81">
            <w:pPr>
              <w:suppressAutoHyphens w:val="0"/>
              <w:spacing w:before="40" w:after="40" w:line="220" w:lineRule="exact"/>
              <w:ind w:left="113"/>
              <w:jc w:val="right"/>
              <w:rPr>
                <w:i/>
                <w:sz w:val="16"/>
                <w:szCs w:val="16"/>
              </w:rPr>
            </w:pPr>
          </w:p>
        </w:tc>
        <w:tc>
          <w:tcPr>
            <w:tcW w:w="1248" w:type="dxa"/>
            <w:vMerge/>
            <w:tcBorders>
              <w:top w:val="nil"/>
              <w:left w:val="single" w:sz="2" w:space="0" w:color="auto"/>
              <w:bottom w:val="single" w:sz="12" w:space="0" w:color="auto"/>
            </w:tcBorders>
            <w:shd w:val="clear" w:color="auto" w:fill="auto"/>
            <w:vAlign w:val="bottom"/>
          </w:tcPr>
          <w:p w14:paraId="0CC99212" w14:textId="77777777" w:rsidR="00895001" w:rsidRPr="007E60EA" w:rsidRDefault="00895001" w:rsidP="006D4A81">
            <w:pPr>
              <w:suppressAutoHyphens w:val="0"/>
              <w:spacing w:before="40" w:after="40" w:line="220" w:lineRule="exact"/>
              <w:ind w:left="113"/>
              <w:jc w:val="right"/>
              <w:rPr>
                <w:i/>
                <w:sz w:val="16"/>
                <w:szCs w:val="16"/>
              </w:rPr>
            </w:pPr>
          </w:p>
        </w:tc>
        <w:tc>
          <w:tcPr>
            <w:tcW w:w="1025" w:type="dxa"/>
            <w:tcBorders>
              <w:top w:val="single" w:sz="2" w:space="0" w:color="auto"/>
              <w:bottom w:val="single" w:sz="12" w:space="0" w:color="auto"/>
            </w:tcBorders>
            <w:shd w:val="clear" w:color="auto" w:fill="auto"/>
            <w:tcMar>
              <w:left w:w="57" w:type="dxa"/>
              <w:right w:w="57" w:type="dxa"/>
            </w:tcMar>
            <w:vAlign w:val="bottom"/>
          </w:tcPr>
          <w:p w14:paraId="2BF58213"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Mitigation</w:t>
            </w:r>
          </w:p>
        </w:tc>
        <w:tc>
          <w:tcPr>
            <w:tcW w:w="1028" w:type="dxa"/>
            <w:gridSpan w:val="2"/>
            <w:tcBorders>
              <w:top w:val="single" w:sz="2" w:space="0" w:color="auto"/>
              <w:bottom w:val="single" w:sz="12" w:space="0" w:color="auto"/>
            </w:tcBorders>
            <w:shd w:val="clear" w:color="auto" w:fill="auto"/>
            <w:tcMar>
              <w:left w:w="57" w:type="dxa"/>
              <w:right w:w="57" w:type="dxa"/>
            </w:tcMar>
            <w:vAlign w:val="bottom"/>
          </w:tcPr>
          <w:p w14:paraId="048BDBF6"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Adaptation</w:t>
            </w:r>
          </w:p>
        </w:tc>
        <w:tc>
          <w:tcPr>
            <w:tcW w:w="1016" w:type="dxa"/>
            <w:gridSpan w:val="3"/>
            <w:tcBorders>
              <w:top w:val="single" w:sz="2" w:space="0" w:color="auto"/>
              <w:bottom w:val="single" w:sz="12" w:space="0" w:color="auto"/>
            </w:tcBorders>
            <w:shd w:val="clear" w:color="auto" w:fill="auto"/>
            <w:tcMar>
              <w:left w:w="57" w:type="dxa"/>
              <w:right w:w="57" w:type="dxa"/>
            </w:tcMar>
            <w:vAlign w:val="bottom"/>
          </w:tcPr>
          <w:p w14:paraId="048223AB"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Cross-cutting</w:t>
            </w:r>
            <w:r w:rsidRPr="00091622">
              <w:rPr>
                <w:i/>
                <w:sz w:val="18"/>
                <w:szCs w:val="16"/>
                <w:vertAlign w:val="superscript"/>
              </w:rPr>
              <w:t>e</w:t>
            </w:r>
          </w:p>
        </w:tc>
        <w:tc>
          <w:tcPr>
            <w:tcW w:w="1030" w:type="dxa"/>
            <w:tcBorders>
              <w:top w:val="single" w:sz="2" w:space="0" w:color="auto"/>
              <w:bottom w:val="single" w:sz="12" w:space="0" w:color="auto"/>
            </w:tcBorders>
            <w:shd w:val="clear" w:color="auto" w:fill="auto"/>
            <w:vAlign w:val="bottom"/>
          </w:tcPr>
          <w:p w14:paraId="0F9F0C8C" w14:textId="77777777" w:rsidR="00895001" w:rsidRPr="007E60EA" w:rsidRDefault="00895001" w:rsidP="006D4A81">
            <w:pPr>
              <w:suppressAutoHyphens w:val="0"/>
              <w:spacing w:before="40" w:after="40" w:line="220" w:lineRule="exact"/>
              <w:ind w:left="113"/>
              <w:jc w:val="center"/>
              <w:rPr>
                <w:i/>
                <w:sz w:val="16"/>
                <w:szCs w:val="16"/>
              </w:rPr>
            </w:pPr>
            <w:r w:rsidRPr="007E60EA">
              <w:rPr>
                <w:i/>
                <w:sz w:val="16"/>
                <w:szCs w:val="16"/>
              </w:rPr>
              <w:t>Other</w:t>
            </w:r>
            <w:r w:rsidRPr="00C71146">
              <w:rPr>
                <w:i/>
                <w:sz w:val="18"/>
                <w:szCs w:val="16"/>
                <w:vertAlign w:val="superscript"/>
              </w:rPr>
              <w:t>f</w:t>
            </w:r>
          </w:p>
        </w:tc>
      </w:tr>
      <w:tr w:rsidR="00895001" w:rsidRPr="0078123A" w14:paraId="367D4F2C" w14:textId="77777777" w:rsidTr="006D4A81">
        <w:trPr>
          <w:trHeight w:val="240"/>
          <w:jc w:val="center"/>
        </w:trPr>
        <w:tc>
          <w:tcPr>
            <w:tcW w:w="1962" w:type="dxa"/>
            <w:tcBorders>
              <w:top w:val="single" w:sz="12" w:space="0" w:color="auto"/>
              <w:bottom w:val="single" w:sz="4" w:space="0" w:color="auto"/>
            </w:tcBorders>
            <w:shd w:val="clear" w:color="auto" w:fill="auto"/>
          </w:tcPr>
          <w:p w14:paraId="1CD4952A" w14:textId="77777777" w:rsidR="00895001" w:rsidRPr="0078123A" w:rsidRDefault="00895001" w:rsidP="006D4A81">
            <w:pPr>
              <w:suppressAutoHyphens w:val="0"/>
              <w:spacing w:after="120" w:line="240" w:lineRule="auto"/>
              <w:rPr>
                <w:rFonts w:eastAsia="Times New Roman"/>
                <w:bCs/>
                <w:sz w:val="18"/>
                <w:szCs w:val="22"/>
                <w:lang w:eastAsia="en-GB"/>
              </w:rPr>
            </w:pPr>
            <w:r w:rsidRPr="0078123A">
              <w:rPr>
                <w:rFonts w:eastAsia="Times New Roman"/>
                <w:bCs/>
                <w:sz w:val="18"/>
                <w:szCs w:val="22"/>
                <w:lang w:eastAsia="en-GB"/>
              </w:rPr>
              <w:t>Total contributions through multilateral channels:</w:t>
            </w:r>
          </w:p>
          <w:p w14:paraId="226B1DDD" w14:textId="77777777" w:rsidR="00895001" w:rsidRPr="0078123A" w:rsidRDefault="00895001" w:rsidP="006D4A81">
            <w:pPr>
              <w:suppressAutoHyphens w:val="0"/>
              <w:spacing w:after="120" w:line="240" w:lineRule="auto"/>
              <w:ind w:left="205"/>
              <w:rPr>
                <w:sz w:val="18"/>
                <w:szCs w:val="18"/>
              </w:rPr>
            </w:pPr>
            <w:r w:rsidRPr="0078123A">
              <w:rPr>
                <w:rFonts w:eastAsia="Times New Roman"/>
                <w:bCs/>
                <w:sz w:val="18"/>
                <w:szCs w:val="22"/>
                <w:lang w:eastAsia="en-GB"/>
              </w:rPr>
              <w:t>Multilateral climate change funds</w:t>
            </w:r>
            <w:r w:rsidRPr="0078123A">
              <w:rPr>
                <w:rFonts w:eastAsia="Times New Roman"/>
                <w:bCs/>
                <w:i/>
                <w:sz w:val="18"/>
                <w:szCs w:val="22"/>
                <w:vertAlign w:val="superscript"/>
                <w:lang w:eastAsia="en-GB"/>
              </w:rPr>
              <w:t>g</w:t>
            </w:r>
          </w:p>
        </w:tc>
        <w:tc>
          <w:tcPr>
            <w:tcW w:w="1030" w:type="dxa"/>
            <w:tcBorders>
              <w:top w:val="single" w:sz="12" w:space="0" w:color="auto"/>
              <w:bottom w:val="single" w:sz="4" w:space="0" w:color="auto"/>
            </w:tcBorders>
            <w:shd w:val="clear" w:color="auto" w:fill="auto"/>
            <w:vAlign w:val="bottom"/>
          </w:tcPr>
          <w:p w14:paraId="02656435" w14:textId="77777777" w:rsidR="00895001" w:rsidRPr="0078123A" w:rsidRDefault="00895001" w:rsidP="006D4A81">
            <w:pPr>
              <w:suppressAutoHyphens w:val="0"/>
              <w:spacing w:after="120" w:line="240" w:lineRule="auto"/>
              <w:ind w:left="113"/>
              <w:jc w:val="right"/>
              <w:rPr>
                <w:sz w:val="18"/>
                <w:szCs w:val="18"/>
              </w:rPr>
            </w:pPr>
          </w:p>
        </w:tc>
        <w:tc>
          <w:tcPr>
            <w:tcW w:w="987" w:type="dxa"/>
            <w:tcBorders>
              <w:top w:val="single" w:sz="12" w:space="0" w:color="auto"/>
              <w:bottom w:val="single" w:sz="4" w:space="0" w:color="auto"/>
            </w:tcBorders>
            <w:shd w:val="clear" w:color="auto" w:fill="auto"/>
            <w:vAlign w:val="bottom"/>
          </w:tcPr>
          <w:p w14:paraId="06C1EC38" w14:textId="77777777" w:rsidR="00895001" w:rsidRPr="0078123A" w:rsidRDefault="00895001" w:rsidP="006D4A81">
            <w:pPr>
              <w:suppressAutoHyphens w:val="0"/>
              <w:spacing w:after="120" w:line="240" w:lineRule="auto"/>
              <w:ind w:left="113"/>
              <w:jc w:val="right"/>
              <w:rPr>
                <w:sz w:val="18"/>
                <w:szCs w:val="18"/>
              </w:rPr>
            </w:pPr>
          </w:p>
        </w:tc>
        <w:tc>
          <w:tcPr>
            <w:tcW w:w="1027" w:type="dxa"/>
            <w:gridSpan w:val="2"/>
            <w:tcBorders>
              <w:top w:val="single" w:sz="12" w:space="0" w:color="auto"/>
              <w:bottom w:val="single" w:sz="4" w:space="0" w:color="auto"/>
            </w:tcBorders>
            <w:shd w:val="clear" w:color="auto" w:fill="auto"/>
            <w:vAlign w:val="bottom"/>
          </w:tcPr>
          <w:p w14:paraId="588FE534" w14:textId="77777777" w:rsidR="00895001" w:rsidRPr="0078123A" w:rsidRDefault="00895001" w:rsidP="006D4A81">
            <w:pPr>
              <w:suppressAutoHyphens w:val="0"/>
              <w:spacing w:after="120" w:line="240" w:lineRule="auto"/>
              <w:ind w:left="113"/>
              <w:jc w:val="right"/>
              <w:rPr>
                <w:sz w:val="18"/>
                <w:szCs w:val="18"/>
              </w:rPr>
            </w:pPr>
          </w:p>
        </w:tc>
        <w:tc>
          <w:tcPr>
            <w:tcW w:w="950" w:type="dxa"/>
            <w:tcBorders>
              <w:top w:val="single" w:sz="12" w:space="0" w:color="auto"/>
              <w:bottom w:val="single" w:sz="4" w:space="0" w:color="auto"/>
            </w:tcBorders>
            <w:shd w:val="clear" w:color="auto" w:fill="auto"/>
            <w:vAlign w:val="bottom"/>
          </w:tcPr>
          <w:p w14:paraId="2358E9F4" w14:textId="77777777" w:rsidR="00895001" w:rsidRPr="0078123A" w:rsidRDefault="00895001" w:rsidP="006D4A81">
            <w:pPr>
              <w:suppressAutoHyphens w:val="0"/>
              <w:spacing w:after="120" w:line="240" w:lineRule="auto"/>
              <w:ind w:left="113"/>
              <w:jc w:val="right"/>
              <w:rPr>
                <w:sz w:val="18"/>
                <w:szCs w:val="18"/>
              </w:rPr>
            </w:pPr>
          </w:p>
        </w:tc>
        <w:tc>
          <w:tcPr>
            <w:tcW w:w="804" w:type="dxa"/>
            <w:tcBorders>
              <w:top w:val="single" w:sz="12" w:space="0" w:color="auto"/>
              <w:bottom w:val="single" w:sz="4" w:space="0" w:color="auto"/>
            </w:tcBorders>
            <w:shd w:val="clear" w:color="auto" w:fill="auto"/>
            <w:vAlign w:val="bottom"/>
          </w:tcPr>
          <w:p w14:paraId="2513F9AD" w14:textId="77777777" w:rsidR="00895001" w:rsidRPr="0078123A" w:rsidRDefault="00895001" w:rsidP="006D4A81">
            <w:pPr>
              <w:suppressAutoHyphens w:val="0"/>
              <w:spacing w:after="120" w:line="240" w:lineRule="auto"/>
              <w:ind w:left="113"/>
              <w:jc w:val="right"/>
              <w:rPr>
                <w:sz w:val="18"/>
                <w:szCs w:val="16"/>
              </w:rPr>
            </w:pPr>
          </w:p>
        </w:tc>
        <w:tc>
          <w:tcPr>
            <w:tcW w:w="276" w:type="dxa"/>
            <w:tcBorders>
              <w:top w:val="single" w:sz="12" w:space="0" w:color="auto"/>
              <w:bottom w:val="single" w:sz="4" w:space="0" w:color="auto"/>
            </w:tcBorders>
            <w:shd w:val="clear" w:color="auto" w:fill="auto"/>
            <w:vAlign w:val="bottom"/>
          </w:tcPr>
          <w:p w14:paraId="0A5E38FE" w14:textId="77777777" w:rsidR="00895001" w:rsidRPr="0078123A" w:rsidRDefault="00895001" w:rsidP="006D4A81">
            <w:pPr>
              <w:suppressAutoHyphens w:val="0"/>
              <w:spacing w:after="120" w:line="240" w:lineRule="auto"/>
              <w:ind w:left="113"/>
              <w:jc w:val="right"/>
              <w:rPr>
                <w:sz w:val="18"/>
                <w:szCs w:val="16"/>
              </w:rPr>
            </w:pPr>
          </w:p>
        </w:tc>
        <w:tc>
          <w:tcPr>
            <w:tcW w:w="1248" w:type="dxa"/>
            <w:tcBorders>
              <w:top w:val="single" w:sz="12" w:space="0" w:color="auto"/>
              <w:bottom w:val="single" w:sz="4" w:space="0" w:color="auto"/>
            </w:tcBorders>
            <w:shd w:val="clear" w:color="auto" w:fill="auto"/>
            <w:vAlign w:val="bottom"/>
          </w:tcPr>
          <w:p w14:paraId="5BBD2544" w14:textId="77777777" w:rsidR="00895001" w:rsidRPr="0078123A" w:rsidRDefault="00895001" w:rsidP="006D4A81">
            <w:pPr>
              <w:suppressAutoHyphens w:val="0"/>
              <w:spacing w:after="120" w:line="240" w:lineRule="auto"/>
              <w:ind w:left="113"/>
              <w:jc w:val="right"/>
              <w:rPr>
                <w:sz w:val="18"/>
                <w:szCs w:val="18"/>
              </w:rPr>
            </w:pPr>
          </w:p>
        </w:tc>
        <w:tc>
          <w:tcPr>
            <w:tcW w:w="1025" w:type="dxa"/>
            <w:tcBorders>
              <w:top w:val="single" w:sz="12" w:space="0" w:color="auto"/>
              <w:bottom w:val="single" w:sz="4" w:space="0" w:color="auto"/>
            </w:tcBorders>
            <w:shd w:val="clear" w:color="auto" w:fill="auto"/>
            <w:vAlign w:val="bottom"/>
          </w:tcPr>
          <w:p w14:paraId="024B7600" w14:textId="77777777" w:rsidR="00895001" w:rsidRPr="0078123A" w:rsidRDefault="00895001" w:rsidP="006D4A81">
            <w:pPr>
              <w:suppressAutoHyphens w:val="0"/>
              <w:spacing w:after="120" w:line="240" w:lineRule="auto"/>
              <w:ind w:left="113"/>
              <w:jc w:val="right"/>
              <w:rPr>
                <w:sz w:val="18"/>
                <w:szCs w:val="18"/>
              </w:rPr>
            </w:pPr>
          </w:p>
        </w:tc>
        <w:tc>
          <w:tcPr>
            <w:tcW w:w="1028" w:type="dxa"/>
            <w:gridSpan w:val="2"/>
            <w:tcBorders>
              <w:top w:val="single" w:sz="12" w:space="0" w:color="auto"/>
              <w:bottom w:val="single" w:sz="4" w:space="0" w:color="auto"/>
            </w:tcBorders>
            <w:shd w:val="clear" w:color="auto" w:fill="auto"/>
            <w:vAlign w:val="bottom"/>
          </w:tcPr>
          <w:p w14:paraId="23FA9EBD" w14:textId="77777777" w:rsidR="00895001" w:rsidRPr="0078123A" w:rsidRDefault="00895001" w:rsidP="006D4A81">
            <w:pPr>
              <w:suppressAutoHyphens w:val="0"/>
              <w:spacing w:after="120" w:line="240" w:lineRule="auto"/>
              <w:ind w:left="113"/>
              <w:jc w:val="right"/>
              <w:rPr>
                <w:sz w:val="18"/>
                <w:szCs w:val="18"/>
              </w:rPr>
            </w:pPr>
          </w:p>
        </w:tc>
        <w:tc>
          <w:tcPr>
            <w:tcW w:w="1016" w:type="dxa"/>
            <w:gridSpan w:val="3"/>
            <w:tcBorders>
              <w:top w:val="single" w:sz="12" w:space="0" w:color="auto"/>
              <w:bottom w:val="single" w:sz="4" w:space="0" w:color="auto"/>
            </w:tcBorders>
            <w:shd w:val="clear" w:color="auto" w:fill="auto"/>
            <w:vAlign w:val="bottom"/>
          </w:tcPr>
          <w:p w14:paraId="60A8901A" w14:textId="77777777" w:rsidR="00895001" w:rsidRPr="0078123A" w:rsidRDefault="00895001" w:rsidP="006D4A81">
            <w:pPr>
              <w:suppressAutoHyphens w:val="0"/>
              <w:spacing w:after="120" w:line="240" w:lineRule="auto"/>
              <w:ind w:left="113"/>
              <w:jc w:val="right"/>
              <w:rPr>
                <w:sz w:val="18"/>
                <w:szCs w:val="18"/>
              </w:rPr>
            </w:pPr>
          </w:p>
        </w:tc>
        <w:tc>
          <w:tcPr>
            <w:tcW w:w="1030" w:type="dxa"/>
            <w:tcBorders>
              <w:top w:val="single" w:sz="12" w:space="0" w:color="auto"/>
              <w:bottom w:val="single" w:sz="4" w:space="0" w:color="auto"/>
            </w:tcBorders>
            <w:shd w:val="clear" w:color="auto" w:fill="auto"/>
            <w:vAlign w:val="bottom"/>
          </w:tcPr>
          <w:p w14:paraId="3DAD2550" w14:textId="77777777" w:rsidR="00895001" w:rsidRPr="0078123A" w:rsidRDefault="00895001" w:rsidP="006D4A81">
            <w:pPr>
              <w:suppressAutoHyphens w:val="0"/>
              <w:spacing w:after="120" w:line="240" w:lineRule="auto"/>
              <w:ind w:left="113"/>
              <w:jc w:val="right"/>
              <w:rPr>
                <w:sz w:val="18"/>
                <w:szCs w:val="18"/>
              </w:rPr>
            </w:pPr>
          </w:p>
        </w:tc>
      </w:tr>
      <w:tr w:rsidR="00895001" w:rsidRPr="0078123A" w14:paraId="1A395FA6" w14:textId="77777777" w:rsidTr="006D4A81">
        <w:trPr>
          <w:trHeight w:val="240"/>
          <w:jc w:val="center"/>
        </w:trPr>
        <w:tc>
          <w:tcPr>
            <w:tcW w:w="1962" w:type="dxa"/>
            <w:tcBorders>
              <w:top w:val="single" w:sz="4" w:space="0" w:color="auto"/>
            </w:tcBorders>
            <w:shd w:val="clear" w:color="auto" w:fill="auto"/>
          </w:tcPr>
          <w:p w14:paraId="00530E0D" w14:textId="77777777" w:rsidR="00895001" w:rsidRPr="0078123A" w:rsidRDefault="00895001" w:rsidP="006D4A81">
            <w:pPr>
              <w:suppressAutoHyphens w:val="0"/>
              <w:spacing w:after="120" w:line="240" w:lineRule="auto"/>
              <w:ind w:left="205"/>
              <w:rPr>
                <w:sz w:val="18"/>
                <w:szCs w:val="18"/>
              </w:rPr>
            </w:pPr>
            <w:r w:rsidRPr="0078123A">
              <w:rPr>
                <w:rFonts w:eastAsia="Times New Roman"/>
                <w:bCs/>
                <w:sz w:val="18"/>
                <w:szCs w:val="22"/>
                <w:lang w:eastAsia="en-GB"/>
              </w:rPr>
              <w:t>Other multilateral climate change funds</w:t>
            </w:r>
            <w:r w:rsidRPr="0078123A">
              <w:rPr>
                <w:rFonts w:eastAsia="Times New Roman"/>
                <w:bCs/>
                <w:i/>
                <w:sz w:val="18"/>
                <w:szCs w:val="22"/>
                <w:vertAlign w:val="superscript"/>
                <w:lang w:eastAsia="en-GB"/>
              </w:rPr>
              <w:t>h</w:t>
            </w:r>
          </w:p>
        </w:tc>
        <w:tc>
          <w:tcPr>
            <w:tcW w:w="1030" w:type="dxa"/>
            <w:tcBorders>
              <w:top w:val="single" w:sz="4" w:space="0" w:color="auto"/>
            </w:tcBorders>
            <w:shd w:val="clear" w:color="auto" w:fill="auto"/>
            <w:vAlign w:val="bottom"/>
          </w:tcPr>
          <w:p w14:paraId="0D4EABA5" w14:textId="77777777" w:rsidR="00895001" w:rsidRPr="0078123A" w:rsidRDefault="00895001" w:rsidP="006D4A81">
            <w:pPr>
              <w:suppressAutoHyphens w:val="0"/>
              <w:spacing w:after="120" w:line="240" w:lineRule="auto"/>
              <w:ind w:left="113"/>
              <w:jc w:val="right"/>
              <w:rPr>
                <w:sz w:val="18"/>
                <w:szCs w:val="18"/>
              </w:rPr>
            </w:pPr>
          </w:p>
        </w:tc>
        <w:tc>
          <w:tcPr>
            <w:tcW w:w="987" w:type="dxa"/>
            <w:tcBorders>
              <w:top w:val="single" w:sz="4" w:space="0" w:color="auto"/>
            </w:tcBorders>
            <w:shd w:val="clear" w:color="auto" w:fill="auto"/>
            <w:vAlign w:val="bottom"/>
          </w:tcPr>
          <w:p w14:paraId="1E1B7EC9" w14:textId="77777777" w:rsidR="00895001" w:rsidRPr="0078123A" w:rsidRDefault="00895001" w:rsidP="006D4A81">
            <w:pPr>
              <w:suppressAutoHyphens w:val="0"/>
              <w:spacing w:after="120" w:line="240" w:lineRule="auto"/>
              <w:ind w:left="113"/>
              <w:jc w:val="right"/>
              <w:rPr>
                <w:sz w:val="18"/>
                <w:szCs w:val="18"/>
              </w:rPr>
            </w:pPr>
          </w:p>
        </w:tc>
        <w:tc>
          <w:tcPr>
            <w:tcW w:w="1027" w:type="dxa"/>
            <w:gridSpan w:val="2"/>
            <w:tcBorders>
              <w:top w:val="single" w:sz="4" w:space="0" w:color="auto"/>
            </w:tcBorders>
            <w:shd w:val="clear" w:color="auto" w:fill="auto"/>
            <w:vAlign w:val="bottom"/>
          </w:tcPr>
          <w:p w14:paraId="1FDB9C76" w14:textId="77777777" w:rsidR="00895001" w:rsidRPr="0078123A" w:rsidRDefault="00895001" w:rsidP="006D4A81">
            <w:pPr>
              <w:suppressAutoHyphens w:val="0"/>
              <w:spacing w:after="120" w:line="240" w:lineRule="auto"/>
              <w:ind w:left="113"/>
              <w:jc w:val="right"/>
              <w:rPr>
                <w:sz w:val="18"/>
                <w:szCs w:val="18"/>
              </w:rPr>
            </w:pPr>
          </w:p>
        </w:tc>
        <w:tc>
          <w:tcPr>
            <w:tcW w:w="950" w:type="dxa"/>
            <w:tcBorders>
              <w:top w:val="single" w:sz="4" w:space="0" w:color="auto"/>
            </w:tcBorders>
            <w:shd w:val="clear" w:color="auto" w:fill="auto"/>
            <w:vAlign w:val="bottom"/>
          </w:tcPr>
          <w:p w14:paraId="470E0EFB" w14:textId="77777777" w:rsidR="00895001" w:rsidRPr="0078123A" w:rsidRDefault="00895001" w:rsidP="006D4A81">
            <w:pPr>
              <w:suppressAutoHyphens w:val="0"/>
              <w:spacing w:after="120" w:line="240" w:lineRule="auto"/>
              <w:ind w:left="113"/>
              <w:jc w:val="right"/>
              <w:rPr>
                <w:sz w:val="18"/>
                <w:szCs w:val="18"/>
              </w:rPr>
            </w:pPr>
          </w:p>
        </w:tc>
        <w:tc>
          <w:tcPr>
            <w:tcW w:w="804" w:type="dxa"/>
            <w:tcBorders>
              <w:top w:val="single" w:sz="4" w:space="0" w:color="auto"/>
            </w:tcBorders>
            <w:shd w:val="clear" w:color="auto" w:fill="auto"/>
            <w:vAlign w:val="bottom"/>
          </w:tcPr>
          <w:p w14:paraId="0161868C" w14:textId="77777777" w:rsidR="00895001" w:rsidRPr="0078123A" w:rsidRDefault="00895001" w:rsidP="006D4A81">
            <w:pPr>
              <w:suppressAutoHyphens w:val="0"/>
              <w:spacing w:after="120" w:line="240" w:lineRule="auto"/>
              <w:ind w:left="113"/>
              <w:jc w:val="right"/>
              <w:rPr>
                <w:sz w:val="18"/>
                <w:szCs w:val="18"/>
              </w:rPr>
            </w:pPr>
          </w:p>
        </w:tc>
        <w:tc>
          <w:tcPr>
            <w:tcW w:w="276" w:type="dxa"/>
            <w:tcBorders>
              <w:top w:val="single" w:sz="4" w:space="0" w:color="auto"/>
            </w:tcBorders>
            <w:shd w:val="clear" w:color="auto" w:fill="auto"/>
            <w:vAlign w:val="bottom"/>
          </w:tcPr>
          <w:p w14:paraId="15734C14" w14:textId="77777777" w:rsidR="00895001" w:rsidRPr="0078123A" w:rsidRDefault="00895001" w:rsidP="006D4A81">
            <w:pPr>
              <w:suppressAutoHyphens w:val="0"/>
              <w:spacing w:after="120" w:line="240" w:lineRule="auto"/>
              <w:ind w:left="113"/>
              <w:jc w:val="right"/>
              <w:rPr>
                <w:sz w:val="18"/>
                <w:szCs w:val="18"/>
              </w:rPr>
            </w:pPr>
          </w:p>
        </w:tc>
        <w:tc>
          <w:tcPr>
            <w:tcW w:w="1248" w:type="dxa"/>
            <w:tcBorders>
              <w:top w:val="single" w:sz="4" w:space="0" w:color="auto"/>
            </w:tcBorders>
            <w:shd w:val="clear" w:color="auto" w:fill="auto"/>
            <w:vAlign w:val="bottom"/>
          </w:tcPr>
          <w:p w14:paraId="033A5CFC" w14:textId="77777777" w:rsidR="00895001" w:rsidRPr="0078123A" w:rsidRDefault="00895001" w:rsidP="006D4A81">
            <w:pPr>
              <w:suppressAutoHyphens w:val="0"/>
              <w:spacing w:after="120" w:line="240" w:lineRule="auto"/>
              <w:ind w:left="113"/>
              <w:jc w:val="right"/>
              <w:rPr>
                <w:sz w:val="18"/>
                <w:szCs w:val="18"/>
              </w:rPr>
            </w:pPr>
          </w:p>
        </w:tc>
        <w:tc>
          <w:tcPr>
            <w:tcW w:w="1025" w:type="dxa"/>
            <w:tcBorders>
              <w:top w:val="single" w:sz="4" w:space="0" w:color="auto"/>
            </w:tcBorders>
            <w:shd w:val="clear" w:color="auto" w:fill="auto"/>
            <w:vAlign w:val="bottom"/>
          </w:tcPr>
          <w:p w14:paraId="710DD39F" w14:textId="77777777" w:rsidR="00895001" w:rsidRPr="0078123A" w:rsidRDefault="00895001" w:rsidP="006D4A81">
            <w:pPr>
              <w:suppressAutoHyphens w:val="0"/>
              <w:spacing w:after="120" w:line="240" w:lineRule="auto"/>
              <w:ind w:left="113"/>
              <w:jc w:val="right"/>
              <w:rPr>
                <w:sz w:val="18"/>
                <w:szCs w:val="18"/>
              </w:rPr>
            </w:pPr>
          </w:p>
        </w:tc>
        <w:tc>
          <w:tcPr>
            <w:tcW w:w="1028" w:type="dxa"/>
            <w:gridSpan w:val="2"/>
            <w:tcBorders>
              <w:top w:val="single" w:sz="4" w:space="0" w:color="auto"/>
            </w:tcBorders>
            <w:shd w:val="clear" w:color="auto" w:fill="auto"/>
            <w:vAlign w:val="bottom"/>
          </w:tcPr>
          <w:p w14:paraId="3A7C796E" w14:textId="77777777" w:rsidR="00895001" w:rsidRPr="0078123A" w:rsidRDefault="00895001" w:rsidP="006D4A81">
            <w:pPr>
              <w:suppressAutoHyphens w:val="0"/>
              <w:spacing w:after="120" w:line="240" w:lineRule="auto"/>
              <w:ind w:left="113"/>
              <w:jc w:val="right"/>
              <w:rPr>
                <w:sz w:val="18"/>
                <w:szCs w:val="18"/>
              </w:rPr>
            </w:pPr>
          </w:p>
        </w:tc>
        <w:tc>
          <w:tcPr>
            <w:tcW w:w="1016" w:type="dxa"/>
            <w:gridSpan w:val="3"/>
            <w:tcBorders>
              <w:top w:val="single" w:sz="4" w:space="0" w:color="auto"/>
            </w:tcBorders>
            <w:shd w:val="clear" w:color="auto" w:fill="auto"/>
            <w:vAlign w:val="bottom"/>
          </w:tcPr>
          <w:p w14:paraId="544B5118" w14:textId="77777777" w:rsidR="00895001" w:rsidRPr="0078123A" w:rsidRDefault="00895001" w:rsidP="006D4A81">
            <w:pPr>
              <w:suppressAutoHyphens w:val="0"/>
              <w:spacing w:after="120" w:line="240" w:lineRule="auto"/>
              <w:ind w:left="113"/>
              <w:jc w:val="right"/>
              <w:rPr>
                <w:sz w:val="18"/>
                <w:szCs w:val="18"/>
              </w:rPr>
            </w:pPr>
          </w:p>
        </w:tc>
        <w:tc>
          <w:tcPr>
            <w:tcW w:w="1030" w:type="dxa"/>
            <w:tcBorders>
              <w:top w:val="single" w:sz="4" w:space="0" w:color="auto"/>
            </w:tcBorders>
            <w:shd w:val="clear" w:color="auto" w:fill="auto"/>
            <w:vAlign w:val="bottom"/>
          </w:tcPr>
          <w:p w14:paraId="6872E147" w14:textId="77777777" w:rsidR="00895001" w:rsidRPr="0078123A" w:rsidRDefault="00895001" w:rsidP="006D4A81">
            <w:pPr>
              <w:suppressAutoHyphens w:val="0"/>
              <w:spacing w:after="120" w:line="240" w:lineRule="auto"/>
              <w:ind w:left="113"/>
              <w:jc w:val="right"/>
              <w:rPr>
                <w:sz w:val="18"/>
                <w:szCs w:val="18"/>
              </w:rPr>
            </w:pPr>
          </w:p>
        </w:tc>
      </w:tr>
      <w:tr w:rsidR="00895001" w:rsidRPr="0078123A" w14:paraId="619E17C2" w14:textId="77777777" w:rsidTr="006D4A81">
        <w:trPr>
          <w:trHeight w:val="240"/>
          <w:jc w:val="center"/>
        </w:trPr>
        <w:tc>
          <w:tcPr>
            <w:tcW w:w="1962" w:type="dxa"/>
            <w:tcBorders>
              <w:bottom w:val="nil"/>
            </w:tcBorders>
            <w:shd w:val="clear" w:color="auto" w:fill="auto"/>
          </w:tcPr>
          <w:p w14:paraId="26172AA3" w14:textId="77777777" w:rsidR="00895001" w:rsidRPr="0078123A" w:rsidRDefault="00895001" w:rsidP="006D4A81">
            <w:pPr>
              <w:suppressAutoHyphens w:val="0"/>
              <w:spacing w:after="120" w:line="240" w:lineRule="auto"/>
              <w:ind w:left="205"/>
              <w:rPr>
                <w:sz w:val="18"/>
                <w:szCs w:val="18"/>
              </w:rPr>
            </w:pPr>
            <w:r w:rsidRPr="0078123A">
              <w:rPr>
                <w:rFonts w:eastAsia="Times New Roman"/>
                <w:bCs/>
                <w:sz w:val="18"/>
                <w:szCs w:val="22"/>
                <w:lang w:eastAsia="en-GB"/>
              </w:rPr>
              <w:t>Multilateral financial institutions, including regional development banks</w:t>
            </w:r>
          </w:p>
        </w:tc>
        <w:tc>
          <w:tcPr>
            <w:tcW w:w="1030" w:type="dxa"/>
            <w:tcBorders>
              <w:bottom w:val="nil"/>
            </w:tcBorders>
            <w:shd w:val="clear" w:color="auto" w:fill="auto"/>
            <w:vAlign w:val="bottom"/>
          </w:tcPr>
          <w:p w14:paraId="61CB860E" w14:textId="77777777" w:rsidR="00895001" w:rsidRPr="0078123A" w:rsidRDefault="00895001" w:rsidP="006D4A81">
            <w:pPr>
              <w:suppressAutoHyphens w:val="0"/>
              <w:spacing w:after="120" w:line="240" w:lineRule="auto"/>
              <w:ind w:left="113"/>
              <w:jc w:val="right"/>
              <w:rPr>
                <w:sz w:val="18"/>
                <w:szCs w:val="18"/>
              </w:rPr>
            </w:pPr>
          </w:p>
        </w:tc>
        <w:tc>
          <w:tcPr>
            <w:tcW w:w="987" w:type="dxa"/>
            <w:tcBorders>
              <w:bottom w:val="nil"/>
            </w:tcBorders>
            <w:shd w:val="clear" w:color="auto" w:fill="auto"/>
            <w:vAlign w:val="bottom"/>
          </w:tcPr>
          <w:p w14:paraId="57E2B4EE" w14:textId="77777777" w:rsidR="00895001" w:rsidRPr="0078123A" w:rsidRDefault="00895001" w:rsidP="006D4A81">
            <w:pPr>
              <w:suppressAutoHyphens w:val="0"/>
              <w:spacing w:after="120" w:line="240" w:lineRule="auto"/>
              <w:ind w:left="113"/>
              <w:jc w:val="right"/>
              <w:rPr>
                <w:sz w:val="18"/>
                <w:szCs w:val="18"/>
              </w:rPr>
            </w:pPr>
          </w:p>
        </w:tc>
        <w:tc>
          <w:tcPr>
            <w:tcW w:w="1027" w:type="dxa"/>
            <w:gridSpan w:val="2"/>
            <w:tcBorders>
              <w:bottom w:val="nil"/>
            </w:tcBorders>
            <w:shd w:val="clear" w:color="auto" w:fill="auto"/>
            <w:vAlign w:val="bottom"/>
          </w:tcPr>
          <w:p w14:paraId="2F43F33E" w14:textId="77777777" w:rsidR="00895001" w:rsidRPr="0078123A" w:rsidRDefault="00895001" w:rsidP="006D4A81">
            <w:pPr>
              <w:suppressAutoHyphens w:val="0"/>
              <w:spacing w:after="120" w:line="240" w:lineRule="auto"/>
              <w:ind w:left="113"/>
              <w:jc w:val="right"/>
              <w:rPr>
                <w:sz w:val="18"/>
                <w:szCs w:val="18"/>
              </w:rPr>
            </w:pPr>
          </w:p>
        </w:tc>
        <w:tc>
          <w:tcPr>
            <w:tcW w:w="950" w:type="dxa"/>
            <w:tcBorders>
              <w:bottom w:val="nil"/>
            </w:tcBorders>
            <w:shd w:val="clear" w:color="auto" w:fill="auto"/>
            <w:vAlign w:val="bottom"/>
          </w:tcPr>
          <w:p w14:paraId="5CD750C3" w14:textId="77777777" w:rsidR="00895001" w:rsidRPr="0078123A" w:rsidRDefault="00895001" w:rsidP="006D4A81">
            <w:pPr>
              <w:suppressAutoHyphens w:val="0"/>
              <w:spacing w:after="120" w:line="240" w:lineRule="auto"/>
              <w:ind w:left="113"/>
              <w:jc w:val="right"/>
              <w:rPr>
                <w:sz w:val="18"/>
                <w:szCs w:val="18"/>
              </w:rPr>
            </w:pPr>
          </w:p>
        </w:tc>
        <w:tc>
          <w:tcPr>
            <w:tcW w:w="804" w:type="dxa"/>
            <w:tcBorders>
              <w:bottom w:val="nil"/>
            </w:tcBorders>
            <w:shd w:val="clear" w:color="auto" w:fill="auto"/>
            <w:vAlign w:val="bottom"/>
          </w:tcPr>
          <w:p w14:paraId="4B422E5E" w14:textId="77777777" w:rsidR="00895001" w:rsidRPr="0078123A" w:rsidRDefault="00895001" w:rsidP="006D4A81">
            <w:pPr>
              <w:suppressAutoHyphens w:val="0"/>
              <w:spacing w:after="120" w:line="240" w:lineRule="auto"/>
              <w:ind w:left="113"/>
              <w:jc w:val="right"/>
              <w:rPr>
                <w:sz w:val="18"/>
                <w:szCs w:val="18"/>
              </w:rPr>
            </w:pPr>
          </w:p>
        </w:tc>
        <w:tc>
          <w:tcPr>
            <w:tcW w:w="276" w:type="dxa"/>
            <w:tcBorders>
              <w:bottom w:val="nil"/>
            </w:tcBorders>
            <w:shd w:val="clear" w:color="auto" w:fill="auto"/>
            <w:vAlign w:val="bottom"/>
          </w:tcPr>
          <w:p w14:paraId="44F9AAB5" w14:textId="77777777" w:rsidR="00895001" w:rsidRPr="0078123A" w:rsidRDefault="00895001" w:rsidP="006D4A81">
            <w:pPr>
              <w:suppressAutoHyphens w:val="0"/>
              <w:spacing w:after="120" w:line="240" w:lineRule="auto"/>
              <w:ind w:left="113"/>
              <w:jc w:val="right"/>
              <w:rPr>
                <w:sz w:val="18"/>
                <w:szCs w:val="18"/>
              </w:rPr>
            </w:pPr>
          </w:p>
        </w:tc>
        <w:tc>
          <w:tcPr>
            <w:tcW w:w="1248" w:type="dxa"/>
            <w:tcBorders>
              <w:bottom w:val="nil"/>
            </w:tcBorders>
            <w:shd w:val="clear" w:color="auto" w:fill="auto"/>
            <w:vAlign w:val="bottom"/>
          </w:tcPr>
          <w:p w14:paraId="3916C46F" w14:textId="77777777" w:rsidR="00895001" w:rsidRPr="0078123A" w:rsidRDefault="00895001" w:rsidP="006D4A81">
            <w:pPr>
              <w:suppressAutoHyphens w:val="0"/>
              <w:spacing w:after="120" w:line="240" w:lineRule="auto"/>
              <w:ind w:left="113"/>
              <w:jc w:val="right"/>
              <w:rPr>
                <w:sz w:val="18"/>
                <w:szCs w:val="18"/>
              </w:rPr>
            </w:pPr>
          </w:p>
        </w:tc>
        <w:tc>
          <w:tcPr>
            <w:tcW w:w="1025" w:type="dxa"/>
            <w:tcBorders>
              <w:bottom w:val="nil"/>
            </w:tcBorders>
            <w:shd w:val="clear" w:color="auto" w:fill="auto"/>
            <w:vAlign w:val="bottom"/>
          </w:tcPr>
          <w:p w14:paraId="397AB8A2" w14:textId="77777777" w:rsidR="00895001" w:rsidRPr="0078123A" w:rsidRDefault="00895001" w:rsidP="006D4A81">
            <w:pPr>
              <w:suppressAutoHyphens w:val="0"/>
              <w:spacing w:after="120" w:line="240" w:lineRule="auto"/>
              <w:ind w:left="113"/>
              <w:jc w:val="right"/>
              <w:rPr>
                <w:sz w:val="18"/>
                <w:szCs w:val="18"/>
              </w:rPr>
            </w:pPr>
          </w:p>
        </w:tc>
        <w:tc>
          <w:tcPr>
            <w:tcW w:w="1028" w:type="dxa"/>
            <w:gridSpan w:val="2"/>
            <w:tcBorders>
              <w:bottom w:val="nil"/>
            </w:tcBorders>
            <w:shd w:val="clear" w:color="auto" w:fill="auto"/>
            <w:vAlign w:val="bottom"/>
          </w:tcPr>
          <w:p w14:paraId="3409DE51" w14:textId="77777777" w:rsidR="00895001" w:rsidRPr="0078123A" w:rsidRDefault="00895001" w:rsidP="006D4A81">
            <w:pPr>
              <w:suppressAutoHyphens w:val="0"/>
              <w:spacing w:after="120" w:line="240" w:lineRule="auto"/>
              <w:ind w:left="113"/>
              <w:jc w:val="right"/>
              <w:rPr>
                <w:sz w:val="18"/>
                <w:szCs w:val="18"/>
              </w:rPr>
            </w:pPr>
          </w:p>
        </w:tc>
        <w:tc>
          <w:tcPr>
            <w:tcW w:w="1016" w:type="dxa"/>
            <w:gridSpan w:val="3"/>
            <w:tcBorders>
              <w:bottom w:val="nil"/>
            </w:tcBorders>
            <w:shd w:val="clear" w:color="auto" w:fill="auto"/>
            <w:vAlign w:val="bottom"/>
          </w:tcPr>
          <w:p w14:paraId="79A29D7E" w14:textId="77777777" w:rsidR="00895001" w:rsidRPr="0078123A" w:rsidRDefault="00895001" w:rsidP="006D4A81">
            <w:pPr>
              <w:suppressAutoHyphens w:val="0"/>
              <w:spacing w:after="120" w:line="240" w:lineRule="auto"/>
              <w:ind w:left="113"/>
              <w:jc w:val="right"/>
              <w:rPr>
                <w:sz w:val="18"/>
                <w:szCs w:val="18"/>
              </w:rPr>
            </w:pPr>
          </w:p>
        </w:tc>
        <w:tc>
          <w:tcPr>
            <w:tcW w:w="1030" w:type="dxa"/>
            <w:tcBorders>
              <w:bottom w:val="nil"/>
            </w:tcBorders>
            <w:shd w:val="clear" w:color="auto" w:fill="auto"/>
            <w:vAlign w:val="bottom"/>
          </w:tcPr>
          <w:p w14:paraId="6E80E355" w14:textId="77777777" w:rsidR="00895001" w:rsidRPr="0078123A" w:rsidRDefault="00895001" w:rsidP="006D4A81">
            <w:pPr>
              <w:suppressAutoHyphens w:val="0"/>
              <w:spacing w:after="120" w:line="240" w:lineRule="auto"/>
              <w:ind w:left="113"/>
              <w:jc w:val="right"/>
              <w:rPr>
                <w:sz w:val="18"/>
                <w:szCs w:val="18"/>
              </w:rPr>
            </w:pPr>
          </w:p>
        </w:tc>
      </w:tr>
      <w:tr w:rsidR="00895001" w:rsidRPr="0078123A" w14:paraId="79059C83" w14:textId="77777777" w:rsidTr="006D4A81">
        <w:trPr>
          <w:trHeight w:val="240"/>
          <w:jc w:val="center"/>
        </w:trPr>
        <w:tc>
          <w:tcPr>
            <w:tcW w:w="1962" w:type="dxa"/>
            <w:tcBorders>
              <w:top w:val="nil"/>
              <w:bottom w:val="single" w:sz="4" w:space="0" w:color="auto"/>
            </w:tcBorders>
            <w:shd w:val="clear" w:color="auto" w:fill="auto"/>
          </w:tcPr>
          <w:p w14:paraId="09024C44" w14:textId="77777777" w:rsidR="00895001" w:rsidRPr="0078123A" w:rsidRDefault="00895001" w:rsidP="006D4A81">
            <w:pPr>
              <w:suppressAutoHyphens w:val="0"/>
              <w:spacing w:after="120" w:line="240" w:lineRule="auto"/>
              <w:ind w:left="205"/>
              <w:rPr>
                <w:rFonts w:eastAsia="Times New Roman"/>
                <w:bCs/>
                <w:sz w:val="18"/>
                <w:szCs w:val="22"/>
                <w:lang w:eastAsia="en-GB"/>
              </w:rPr>
            </w:pPr>
            <w:r w:rsidRPr="0078123A">
              <w:rPr>
                <w:rFonts w:eastAsia="Times New Roman"/>
                <w:bCs/>
                <w:sz w:val="18"/>
                <w:szCs w:val="22"/>
                <w:lang w:eastAsia="en-GB"/>
              </w:rPr>
              <w:t>Specialized United Nations bodies</w:t>
            </w:r>
          </w:p>
        </w:tc>
        <w:tc>
          <w:tcPr>
            <w:tcW w:w="1030" w:type="dxa"/>
            <w:tcBorders>
              <w:top w:val="nil"/>
              <w:bottom w:val="single" w:sz="4" w:space="0" w:color="auto"/>
            </w:tcBorders>
            <w:shd w:val="clear" w:color="auto" w:fill="auto"/>
            <w:vAlign w:val="bottom"/>
          </w:tcPr>
          <w:p w14:paraId="38347790" w14:textId="77777777" w:rsidR="00895001" w:rsidRPr="0078123A" w:rsidRDefault="00895001" w:rsidP="006D4A81">
            <w:pPr>
              <w:suppressAutoHyphens w:val="0"/>
              <w:spacing w:after="120" w:line="240" w:lineRule="auto"/>
              <w:ind w:left="113"/>
              <w:jc w:val="right"/>
              <w:rPr>
                <w:sz w:val="18"/>
                <w:szCs w:val="18"/>
              </w:rPr>
            </w:pPr>
          </w:p>
        </w:tc>
        <w:tc>
          <w:tcPr>
            <w:tcW w:w="987" w:type="dxa"/>
            <w:tcBorders>
              <w:top w:val="nil"/>
              <w:bottom w:val="single" w:sz="4" w:space="0" w:color="auto"/>
            </w:tcBorders>
            <w:shd w:val="clear" w:color="auto" w:fill="auto"/>
            <w:vAlign w:val="bottom"/>
          </w:tcPr>
          <w:p w14:paraId="4FDBA541" w14:textId="77777777" w:rsidR="00895001" w:rsidRPr="0078123A" w:rsidRDefault="00895001" w:rsidP="006D4A81">
            <w:pPr>
              <w:suppressAutoHyphens w:val="0"/>
              <w:spacing w:after="120" w:line="240" w:lineRule="auto"/>
              <w:ind w:left="113"/>
              <w:jc w:val="right"/>
              <w:rPr>
                <w:sz w:val="18"/>
                <w:szCs w:val="18"/>
              </w:rPr>
            </w:pPr>
          </w:p>
        </w:tc>
        <w:tc>
          <w:tcPr>
            <w:tcW w:w="1027" w:type="dxa"/>
            <w:gridSpan w:val="2"/>
            <w:tcBorders>
              <w:top w:val="nil"/>
              <w:bottom w:val="single" w:sz="4" w:space="0" w:color="auto"/>
            </w:tcBorders>
            <w:shd w:val="clear" w:color="auto" w:fill="auto"/>
            <w:vAlign w:val="bottom"/>
          </w:tcPr>
          <w:p w14:paraId="385F9591" w14:textId="77777777" w:rsidR="00895001" w:rsidRPr="0078123A" w:rsidRDefault="00895001" w:rsidP="006D4A81">
            <w:pPr>
              <w:suppressAutoHyphens w:val="0"/>
              <w:spacing w:after="120" w:line="240" w:lineRule="auto"/>
              <w:ind w:left="113"/>
              <w:jc w:val="right"/>
              <w:rPr>
                <w:sz w:val="18"/>
                <w:szCs w:val="18"/>
              </w:rPr>
            </w:pPr>
          </w:p>
        </w:tc>
        <w:tc>
          <w:tcPr>
            <w:tcW w:w="950" w:type="dxa"/>
            <w:tcBorders>
              <w:top w:val="nil"/>
              <w:bottom w:val="single" w:sz="4" w:space="0" w:color="auto"/>
            </w:tcBorders>
            <w:shd w:val="clear" w:color="auto" w:fill="auto"/>
            <w:vAlign w:val="bottom"/>
          </w:tcPr>
          <w:p w14:paraId="45F9A52E" w14:textId="77777777" w:rsidR="00895001" w:rsidRPr="0078123A" w:rsidRDefault="00895001" w:rsidP="006D4A81">
            <w:pPr>
              <w:suppressAutoHyphens w:val="0"/>
              <w:spacing w:after="120" w:line="240" w:lineRule="auto"/>
              <w:ind w:left="113"/>
              <w:jc w:val="right"/>
              <w:rPr>
                <w:sz w:val="18"/>
                <w:szCs w:val="18"/>
              </w:rPr>
            </w:pPr>
          </w:p>
        </w:tc>
        <w:tc>
          <w:tcPr>
            <w:tcW w:w="804" w:type="dxa"/>
            <w:tcBorders>
              <w:top w:val="nil"/>
              <w:bottom w:val="single" w:sz="4" w:space="0" w:color="auto"/>
            </w:tcBorders>
            <w:shd w:val="clear" w:color="auto" w:fill="auto"/>
            <w:vAlign w:val="bottom"/>
          </w:tcPr>
          <w:p w14:paraId="1542B6D2" w14:textId="77777777" w:rsidR="00895001" w:rsidRPr="0078123A" w:rsidRDefault="00895001" w:rsidP="006D4A81">
            <w:pPr>
              <w:suppressAutoHyphens w:val="0"/>
              <w:spacing w:after="120" w:line="240" w:lineRule="auto"/>
              <w:ind w:left="113"/>
              <w:jc w:val="right"/>
              <w:rPr>
                <w:sz w:val="18"/>
                <w:szCs w:val="18"/>
              </w:rPr>
            </w:pPr>
          </w:p>
        </w:tc>
        <w:tc>
          <w:tcPr>
            <w:tcW w:w="276" w:type="dxa"/>
            <w:tcBorders>
              <w:top w:val="nil"/>
              <w:bottom w:val="single" w:sz="4" w:space="0" w:color="auto"/>
            </w:tcBorders>
            <w:shd w:val="clear" w:color="auto" w:fill="auto"/>
            <w:vAlign w:val="bottom"/>
          </w:tcPr>
          <w:p w14:paraId="3B6C595A" w14:textId="77777777" w:rsidR="00895001" w:rsidRPr="0078123A" w:rsidRDefault="00895001" w:rsidP="006D4A81">
            <w:pPr>
              <w:suppressAutoHyphens w:val="0"/>
              <w:spacing w:after="120" w:line="240" w:lineRule="auto"/>
              <w:ind w:left="113"/>
              <w:jc w:val="right"/>
              <w:rPr>
                <w:sz w:val="18"/>
                <w:szCs w:val="18"/>
              </w:rPr>
            </w:pPr>
          </w:p>
        </w:tc>
        <w:tc>
          <w:tcPr>
            <w:tcW w:w="1248" w:type="dxa"/>
            <w:tcBorders>
              <w:top w:val="nil"/>
              <w:bottom w:val="single" w:sz="4" w:space="0" w:color="auto"/>
            </w:tcBorders>
            <w:shd w:val="clear" w:color="auto" w:fill="auto"/>
            <w:vAlign w:val="bottom"/>
          </w:tcPr>
          <w:p w14:paraId="46AC9AFA" w14:textId="77777777" w:rsidR="00895001" w:rsidRPr="0078123A" w:rsidRDefault="00895001" w:rsidP="006D4A81">
            <w:pPr>
              <w:suppressAutoHyphens w:val="0"/>
              <w:spacing w:after="120" w:line="240" w:lineRule="auto"/>
              <w:ind w:left="113"/>
              <w:jc w:val="right"/>
              <w:rPr>
                <w:sz w:val="18"/>
                <w:szCs w:val="18"/>
              </w:rPr>
            </w:pPr>
          </w:p>
        </w:tc>
        <w:tc>
          <w:tcPr>
            <w:tcW w:w="1025" w:type="dxa"/>
            <w:tcBorders>
              <w:top w:val="nil"/>
              <w:bottom w:val="single" w:sz="4" w:space="0" w:color="auto"/>
            </w:tcBorders>
            <w:shd w:val="clear" w:color="auto" w:fill="auto"/>
            <w:vAlign w:val="bottom"/>
          </w:tcPr>
          <w:p w14:paraId="66C23505" w14:textId="77777777" w:rsidR="00895001" w:rsidRPr="0078123A" w:rsidRDefault="00895001" w:rsidP="006D4A81">
            <w:pPr>
              <w:suppressAutoHyphens w:val="0"/>
              <w:spacing w:after="120" w:line="240" w:lineRule="auto"/>
              <w:ind w:left="113"/>
              <w:jc w:val="right"/>
              <w:rPr>
                <w:sz w:val="18"/>
                <w:szCs w:val="18"/>
              </w:rPr>
            </w:pPr>
          </w:p>
        </w:tc>
        <w:tc>
          <w:tcPr>
            <w:tcW w:w="1028" w:type="dxa"/>
            <w:gridSpan w:val="2"/>
            <w:tcBorders>
              <w:top w:val="nil"/>
              <w:bottom w:val="single" w:sz="4" w:space="0" w:color="auto"/>
            </w:tcBorders>
            <w:shd w:val="clear" w:color="auto" w:fill="auto"/>
            <w:vAlign w:val="bottom"/>
          </w:tcPr>
          <w:p w14:paraId="4378F69B" w14:textId="77777777" w:rsidR="00895001" w:rsidRPr="0078123A" w:rsidRDefault="00895001" w:rsidP="006D4A81">
            <w:pPr>
              <w:suppressAutoHyphens w:val="0"/>
              <w:spacing w:after="120" w:line="240" w:lineRule="auto"/>
              <w:ind w:left="113"/>
              <w:jc w:val="right"/>
              <w:rPr>
                <w:sz w:val="18"/>
                <w:szCs w:val="18"/>
              </w:rPr>
            </w:pPr>
          </w:p>
        </w:tc>
        <w:tc>
          <w:tcPr>
            <w:tcW w:w="1016" w:type="dxa"/>
            <w:gridSpan w:val="3"/>
            <w:tcBorders>
              <w:top w:val="nil"/>
              <w:bottom w:val="single" w:sz="4" w:space="0" w:color="auto"/>
            </w:tcBorders>
            <w:shd w:val="clear" w:color="auto" w:fill="auto"/>
            <w:vAlign w:val="bottom"/>
          </w:tcPr>
          <w:p w14:paraId="12996078" w14:textId="77777777" w:rsidR="00895001" w:rsidRPr="0078123A" w:rsidRDefault="00895001" w:rsidP="006D4A81">
            <w:pPr>
              <w:suppressAutoHyphens w:val="0"/>
              <w:spacing w:after="120" w:line="240" w:lineRule="auto"/>
              <w:ind w:left="113"/>
              <w:jc w:val="right"/>
              <w:rPr>
                <w:sz w:val="18"/>
                <w:szCs w:val="18"/>
              </w:rPr>
            </w:pPr>
          </w:p>
        </w:tc>
        <w:tc>
          <w:tcPr>
            <w:tcW w:w="1030" w:type="dxa"/>
            <w:tcBorders>
              <w:top w:val="nil"/>
              <w:bottom w:val="single" w:sz="4" w:space="0" w:color="auto"/>
            </w:tcBorders>
            <w:shd w:val="clear" w:color="auto" w:fill="auto"/>
            <w:vAlign w:val="bottom"/>
          </w:tcPr>
          <w:p w14:paraId="21168C00" w14:textId="77777777" w:rsidR="00895001" w:rsidRPr="0078123A" w:rsidRDefault="00895001" w:rsidP="006D4A81">
            <w:pPr>
              <w:suppressAutoHyphens w:val="0"/>
              <w:spacing w:after="120" w:line="240" w:lineRule="auto"/>
              <w:ind w:left="113"/>
              <w:jc w:val="right"/>
              <w:rPr>
                <w:sz w:val="18"/>
                <w:szCs w:val="18"/>
              </w:rPr>
            </w:pPr>
          </w:p>
        </w:tc>
      </w:tr>
      <w:tr w:rsidR="00895001" w:rsidRPr="0078123A" w14:paraId="014F43D4" w14:textId="77777777" w:rsidTr="006D4A81">
        <w:trPr>
          <w:trHeight w:val="240"/>
          <w:jc w:val="center"/>
        </w:trPr>
        <w:tc>
          <w:tcPr>
            <w:tcW w:w="1962" w:type="dxa"/>
            <w:tcBorders>
              <w:top w:val="single" w:sz="4" w:space="0" w:color="auto"/>
              <w:bottom w:val="single" w:sz="4" w:space="0" w:color="auto"/>
            </w:tcBorders>
            <w:shd w:val="clear" w:color="auto" w:fill="auto"/>
          </w:tcPr>
          <w:p w14:paraId="6752367D" w14:textId="77777777" w:rsidR="00895001" w:rsidRPr="0078123A" w:rsidRDefault="00895001" w:rsidP="006D4A81">
            <w:pPr>
              <w:suppressAutoHyphens w:val="0"/>
              <w:spacing w:after="120" w:line="240" w:lineRule="auto"/>
              <w:rPr>
                <w:rFonts w:eastAsia="Times New Roman"/>
                <w:bCs/>
                <w:sz w:val="18"/>
                <w:szCs w:val="22"/>
                <w:lang w:eastAsia="en-GB"/>
              </w:rPr>
            </w:pPr>
            <w:r w:rsidRPr="0078123A">
              <w:rPr>
                <w:sz w:val="18"/>
                <w:szCs w:val="18"/>
              </w:rPr>
              <w:t>Total contributions through bilateral, regional and other channels</w:t>
            </w:r>
          </w:p>
        </w:tc>
        <w:tc>
          <w:tcPr>
            <w:tcW w:w="1030" w:type="dxa"/>
            <w:tcBorders>
              <w:top w:val="single" w:sz="4" w:space="0" w:color="auto"/>
              <w:bottom w:val="single" w:sz="4" w:space="0" w:color="auto"/>
            </w:tcBorders>
            <w:shd w:val="clear" w:color="auto" w:fill="auto"/>
            <w:vAlign w:val="bottom"/>
          </w:tcPr>
          <w:p w14:paraId="58013EA3" w14:textId="77777777" w:rsidR="00895001" w:rsidRPr="0078123A" w:rsidRDefault="00895001" w:rsidP="006D4A81">
            <w:pPr>
              <w:suppressAutoHyphens w:val="0"/>
              <w:spacing w:after="120" w:line="240" w:lineRule="auto"/>
              <w:ind w:left="113"/>
              <w:jc w:val="right"/>
              <w:rPr>
                <w:sz w:val="18"/>
                <w:szCs w:val="18"/>
              </w:rPr>
            </w:pPr>
          </w:p>
        </w:tc>
        <w:tc>
          <w:tcPr>
            <w:tcW w:w="987" w:type="dxa"/>
            <w:tcBorders>
              <w:top w:val="single" w:sz="4" w:space="0" w:color="auto"/>
              <w:bottom w:val="single" w:sz="4" w:space="0" w:color="auto"/>
            </w:tcBorders>
            <w:shd w:val="clear" w:color="auto" w:fill="auto"/>
            <w:vAlign w:val="bottom"/>
          </w:tcPr>
          <w:p w14:paraId="42CCDC44" w14:textId="77777777" w:rsidR="00895001" w:rsidRPr="0078123A" w:rsidRDefault="00895001" w:rsidP="006D4A81">
            <w:pPr>
              <w:suppressAutoHyphens w:val="0"/>
              <w:spacing w:after="120" w:line="240" w:lineRule="auto"/>
              <w:ind w:left="113"/>
              <w:jc w:val="right"/>
              <w:rPr>
                <w:sz w:val="18"/>
                <w:szCs w:val="18"/>
              </w:rPr>
            </w:pPr>
          </w:p>
        </w:tc>
        <w:tc>
          <w:tcPr>
            <w:tcW w:w="1027" w:type="dxa"/>
            <w:gridSpan w:val="2"/>
            <w:tcBorders>
              <w:top w:val="single" w:sz="4" w:space="0" w:color="auto"/>
              <w:bottom w:val="single" w:sz="4" w:space="0" w:color="auto"/>
            </w:tcBorders>
            <w:shd w:val="clear" w:color="auto" w:fill="auto"/>
            <w:vAlign w:val="bottom"/>
          </w:tcPr>
          <w:p w14:paraId="482AE981" w14:textId="77777777" w:rsidR="00895001" w:rsidRPr="0078123A" w:rsidRDefault="00895001" w:rsidP="006D4A81">
            <w:pPr>
              <w:suppressAutoHyphens w:val="0"/>
              <w:spacing w:after="120" w:line="240" w:lineRule="auto"/>
              <w:ind w:left="113"/>
              <w:jc w:val="right"/>
              <w:rPr>
                <w:sz w:val="18"/>
                <w:szCs w:val="18"/>
              </w:rPr>
            </w:pPr>
          </w:p>
        </w:tc>
        <w:tc>
          <w:tcPr>
            <w:tcW w:w="950" w:type="dxa"/>
            <w:tcBorders>
              <w:top w:val="single" w:sz="4" w:space="0" w:color="auto"/>
              <w:bottom w:val="single" w:sz="4" w:space="0" w:color="auto"/>
            </w:tcBorders>
            <w:shd w:val="clear" w:color="auto" w:fill="auto"/>
            <w:vAlign w:val="bottom"/>
          </w:tcPr>
          <w:p w14:paraId="314CDAAC" w14:textId="77777777" w:rsidR="00895001" w:rsidRPr="0078123A" w:rsidRDefault="00895001" w:rsidP="006D4A81">
            <w:pPr>
              <w:suppressAutoHyphens w:val="0"/>
              <w:spacing w:after="120" w:line="240" w:lineRule="auto"/>
              <w:ind w:left="113"/>
              <w:jc w:val="right"/>
              <w:rPr>
                <w:sz w:val="18"/>
                <w:szCs w:val="18"/>
              </w:rPr>
            </w:pPr>
          </w:p>
        </w:tc>
        <w:tc>
          <w:tcPr>
            <w:tcW w:w="804" w:type="dxa"/>
            <w:tcBorders>
              <w:top w:val="single" w:sz="4" w:space="0" w:color="auto"/>
              <w:bottom w:val="single" w:sz="4" w:space="0" w:color="auto"/>
            </w:tcBorders>
            <w:shd w:val="clear" w:color="auto" w:fill="auto"/>
            <w:vAlign w:val="bottom"/>
          </w:tcPr>
          <w:p w14:paraId="6C6DC608" w14:textId="77777777" w:rsidR="00895001" w:rsidRPr="0078123A" w:rsidRDefault="00895001" w:rsidP="006D4A81">
            <w:pPr>
              <w:suppressAutoHyphens w:val="0"/>
              <w:spacing w:after="120" w:line="240" w:lineRule="auto"/>
              <w:ind w:left="113"/>
              <w:jc w:val="right"/>
              <w:rPr>
                <w:sz w:val="18"/>
                <w:szCs w:val="18"/>
              </w:rPr>
            </w:pPr>
          </w:p>
        </w:tc>
        <w:tc>
          <w:tcPr>
            <w:tcW w:w="276" w:type="dxa"/>
            <w:tcBorders>
              <w:top w:val="single" w:sz="4" w:space="0" w:color="auto"/>
              <w:bottom w:val="single" w:sz="4" w:space="0" w:color="auto"/>
            </w:tcBorders>
            <w:shd w:val="clear" w:color="auto" w:fill="auto"/>
            <w:vAlign w:val="bottom"/>
          </w:tcPr>
          <w:p w14:paraId="4A532109" w14:textId="77777777" w:rsidR="00895001" w:rsidRPr="0078123A" w:rsidRDefault="00895001" w:rsidP="006D4A81">
            <w:pPr>
              <w:suppressAutoHyphens w:val="0"/>
              <w:spacing w:after="120" w:line="240" w:lineRule="auto"/>
              <w:ind w:left="113"/>
              <w:jc w:val="right"/>
              <w:rPr>
                <w:sz w:val="18"/>
                <w:szCs w:val="18"/>
              </w:rPr>
            </w:pPr>
          </w:p>
        </w:tc>
        <w:tc>
          <w:tcPr>
            <w:tcW w:w="1248" w:type="dxa"/>
            <w:tcBorders>
              <w:top w:val="single" w:sz="4" w:space="0" w:color="auto"/>
              <w:bottom w:val="single" w:sz="4" w:space="0" w:color="auto"/>
            </w:tcBorders>
            <w:shd w:val="clear" w:color="auto" w:fill="auto"/>
            <w:vAlign w:val="bottom"/>
          </w:tcPr>
          <w:p w14:paraId="722720F8" w14:textId="77777777" w:rsidR="00895001" w:rsidRPr="0078123A" w:rsidRDefault="00895001" w:rsidP="006D4A81">
            <w:pPr>
              <w:suppressAutoHyphens w:val="0"/>
              <w:spacing w:after="120" w:line="240" w:lineRule="auto"/>
              <w:ind w:left="113"/>
              <w:jc w:val="right"/>
              <w:rPr>
                <w:sz w:val="18"/>
                <w:szCs w:val="18"/>
              </w:rPr>
            </w:pPr>
          </w:p>
        </w:tc>
        <w:tc>
          <w:tcPr>
            <w:tcW w:w="1025" w:type="dxa"/>
            <w:tcBorders>
              <w:top w:val="single" w:sz="4" w:space="0" w:color="auto"/>
              <w:bottom w:val="single" w:sz="4" w:space="0" w:color="auto"/>
            </w:tcBorders>
            <w:shd w:val="clear" w:color="auto" w:fill="auto"/>
            <w:vAlign w:val="bottom"/>
          </w:tcPr>
          <w:p w14:paraId="6228CDF7" w14:textId="77777777" w:rsidR="00895001" w:rsidRPr="0078123A" w:rsidRDefault="00895001" w:rsidP="006D4A81">
            <w:pPr>
              <w:suppressAutoHyphens w:val="0"/>
              <w:spacing w:after="120" w:line="240" w:lineRule="auto"/>
              <w:ind w:left="113"/>
              <w:jc w:val="right"/>
              <w:rPr>
                <w:sz w:val="18"/>
                <w:szCs w:val="18"/>
              </w:rPr>
            </w:pPr>
          </w:p>
        </w:tc>
        <w:tc>
          <w:tcPr>
            <w:tcW w:w="1028" w:type="dxa"/>
            <w:gridSpan w:val="2"/>
            <w:tcBorders>
              <w:top w:val="single" w:sz="4" w:space="0" w:color="auto"/>
              <w:bottom w:val="single" w:sz="4" w:space="0" w:color="auto"/>
            </w:tcBorders>
            <w:shd w:val="clear" w:color="auto" w:fill="auto"/>
            <w:vAlign w:val="bottom"/>
          </w:tcPr>
          <w:p w14:paraId="527270F2" w14:textId="77777777" w:rsidR="00895001" w:rsidRPr="0078123A" w:rsidRDefault="00895001" w:rsidP="006D4A81">
            <w:pPr>
              <w:suppressAutoHyphens w:val="0"/>
              <w:spacing w:after="120" w:line="240" w:lineRule="auto"/>
              <w:ind w:left="113"/>
              <w:jc w:val="right"/>
              <w:rPr>
                <w:sz w:val="18"/>
                <w:szCs w:val="18"/>
              </w:rPr>
            </w:pPr>
          </w:p>
        </w:tc>
        <w:tc>
          <w:tcPr>
            <w:tcW w:w="1016" w:type="dxa"/>
            <w:gridSpan w:val="3"/>
            <w:tcBorders>
              <w:top w:val="single" w:sz="4" w:space="0" w:color="auto"/>
              <w:bottom w:val="single" w:sz="4" w:space="0" w:color="auto"/>
            </w:tcBorders>
            <w:shd w:val="clear" w:color="auto" w:fill="auto"/>
            <w:vAlign w:val="bottom"/>
          </w:tcPr>
          <w:p w14:paraId="0B63C331" w14:textId="77777777" w:rsidR="00895001" w:rsidRPr="0078123A" w:rsidRDefault="00895001" w:rsidP="006D4A81">
            <w:pPr>
              <w:suppressAutoHyphens w:val="0"/>
              <w:spacing w:after="120" w:line="240" w:lineRule="auto"/>
              <w:ind w:left="113"/>
              <w:jc w:val="right"/>
              <w:rPr>
                <w:sz w:val="18"/>
                <w:szCs w:val="18"/>
              </w:rPr>
            </w:pPr>
          </w:p>
        </w:tc>
        <w:tc>
          <w:tcPr>
            <w:tcW w:w="1030" w:type="dxa"/>
            <w:tcBorders>
              <w:top w:val="single" w:sz="4" w:space="0" w:color="auto"/>
              <w:bottom w:val="single" w:sz="4" w:space="0" w:color="auto"/>
            </w:tcBorders>
            <w:shd w:val="clear" w:color="auto" w:fill="auto"/>
            <w:vAlign w:val="bottom"/>
          </w:tcPr>
          <w:p w14:paraId="0D43E906" w14:textId="77777777" w:rsidR="00895001" w:rsidRPr="0078123A" w:rsidRDefault="00895001" w:rsidP="006D4A81">
            <w:pPr>
              <w:suppressAutoHyphens w:val="0"/>
              <w:spacing w:after="120" w:line="240" w:lineRule="auto"/>
              <w:ind w:left="113"/>
              <w:jc w:val="right"/>
              <w:rPr>
                <w:sz w:val="18"/>
                <w:szCs w:val="18"/>
              </w:rPr>
            </w:pPr>
          </w:p>
        </w:tc>
      </w:tr>
      <w:tr w:rsidR="00895001" w:rsidRPr="0078123A" w14:paraId="4504DA3D" w14:textId="77777777" w:rsidTr="006D4A81">
        <w:trPr>
          <w:trHeight w:val="240"/>
          <w:jc w:val="center"/>
        </w:trPr>
        <w:tc>
          <w:tcPr>
            <w:tcW w:w="1962" w:type="dxa"/>
            <w:tcBorders>
              <w:top w:val="single" w:sz="4" w:space="0" w:color="auto"/>
              <w:bottom w:val="single" w:sz="12" w:space="0" w:color="auto"/>
            </w:tcBorders>
            <w:shd w:val="clear" w:color="auto" w:fill="auto"/>
          </w:tcPr>
          <w:p w14:paraId="58E9DBC7" w14:textId="77777777" w:rsidR="00895001" w:rsidRPr="0078123A" w:rsidRDefault="00895001" w:rsidP="006D4A81">
            <w:pPr>
              <w:suppressAutoHyphens w:val="0"/>
              <w:spacing w:before="40" w:after="40" w:line="220" w:lineRule="exact"/>
              <w:rPr>
                <w:b/>
                <w:sz w:val="18"/>
                <w:szCs w:val="18"/>
              </w:rPr>
            </w:pPr>
            <w:r w:rsidRPr="0078123A">
              <w:rPr>
                <w:b/>
                <w:sz w:val="18"/>
                <w:szCs w:val="18"/>
              </w:rPr>
              <w:t>Total</w:t>
            </w:r>
          </w:p>
        </w:tc>
        <w:tc>
          <w:tcPr>
            <w:tcW w:w="1030" w:type="dxa"/>
            <w:tcBorders>
              <w:top w:val="single" w:sz="4" w:space="0" w:color="auto"/>
              <w:bottom w:val="single" w:sz="12" w:space="0" w:color="auto"/>
            </w:tcBorders>
            <w:shd w:val="clear" w:color="auto" w:fill="auto"/>
            <w:vAlign w:val="bottom"/>
          </w:tcPr>
          <w:p w14:paraId="1EA1513D" w14:textId="77777777" w:rsidR="00895001" w:rsidRPr="0078123A" w:rsidRDefault="00895001" w:rsidP="006D4A81">
            <w:pPr>
              <w:suppressAutoHyphens w:val="0"/>
              <w:spacing w:before="40" w:after="40" w:line="220" w:lineRule="exact"/>
              <w:ind w:left="113"/>
              <w:jc w:val="right"/>
              <w:rPr>
                <w:b/>
                <w:sz w:val="18"/>
                <w:szCs w:val="18"/>
              </w:rPr>
            </w:pPr>
          </w:p>
        </w:tc>
        <w:tc>
          <w:tcPr>
            <w:tcW w:w="987" w:type="dxa"/>
            <w:tcBorders>
              <w:top w:val="single" w:sz="4" w:space="0" w:color="auto"/>
              <w:bottom w:val="single" w:sz="12" w:space="0" w:color="auto"/>
            </w:tcBorders>
            <w:shd w:val="clear" w:color="auto" w:fill="auto"/>
            <w:vAlign w:val="bottom"/>
          </w:tcPr>
          <w:p w14:paraId="2DB65E56" w14:textId="77777777" w:rsidR="00895001" w:rsidRPr="0078123A" w:rsidRDefault="00895001" w:rsidP="006D4A81">
            <w:pPr>
              <w:suppressAutoHyphens w:val="0"/>
              <w:spacing w:before="40" w:after="40" w:line="220" w:lineRule="exact"/>
              <w:ind w:left="113"/>
              <w:jc w:val="right"/>
              <w:rPr>
                <w:b/>
                <w:sz w:val="18"/>
                <w:szCs w:val="18"/>
              </w:rPr>
            </w:pPr>
          </w:p>
        </w:tc>
        <w:tc>
          <w:tcPr>
            <w:tcW w:w="1027" w:type="dxa"/>
            <w:gridSpan w:val="2"/>
            <w:tcBorders>
              <w:top w:val="single" w:sz="4" w:space="0" w:color="auto"/>
              <w:bottom w:val="single" w:sz="12" w:space="0" w:color="auto"/>
            </w:tcBorders>
            <w:shd w:val="clear" w:color="auto" w:fill="auto"/>
            <w:vAlign w:val="bottom"/>
          </w:tcPr>
          <w:p w14:paraId="484DE687" w14:textId="77777777" w:rsidR="00895001" w:rsidRPr="0078123A" w:rsidRDefault="00895001" w:rsidP="006D4A81">
            <w:pPr>
              <w:suppressAutoHyphens w:val="0"/>
              <w:spacing w:before="40" w:after="40" w:line="220" w:lineRule="exact"/>
              <w:ind w:left="113"/>
              <w:jc w:val="right"/>
              <w:rPr>
                <w:b/>
                <w:sz w:val="18"/>
                <w:szCs w:val="18"/>
              </w:rPr>
            </w:pPr>
          </w:p>
        </w:tc>
        <w:tc>
          <w:tcPr>
            <w:tcW w:w="950" w:type="dxa"/>
            <w:tcBorders>
              <w:top w:val="single" w:sz="4" w:space="0" w:color="auto"/>
              <w:bottom w:val="single" w:sz="12" w:space="0" w:color="auto"/>
            </w:tcBorders>
            <w:shd w:val="clear" w:color="auto" w:fill="auto"/>
            <w:vAlign w:val="bottom"/>
          </w:tcPr>
          <w:p w14:paraId="6F91A859" w14:textId="77777777" w:rsidR="00895001" w:rsidRPr="0078123A" w:rsidRDefault="00895001" w:rsidP="006D4A81">
            <w:pPr>
              <w:suppressAutoHyphens w:val="0"/>
              <w:spacing w:before="40" w:after="40" w:line="220" w:lineRule="exact"/>
              <w:ind w:left="113"/>
              <w:jc w:val="right"/>
              <w:rPr>
                <w:b/>
                <w:sz w:val="18"/>
                <w:szCs w:val="18"/>
              </w:rPr>
            </w:pPr>
          </w:p>
        </w:tc>
        <w:tc>
          <w:tcPr>
            <w:tcW w:w="804" w:type="dxa"/>
            <w:tcBorders>
              <w:top w:val="single" w:sz="4" w:space="0" w:color="auto"/>
              <w:bottom w:val="single" w:sz="12" w:space="0" w:color="auto"/>
            </w:tcBorders>
            <w:shd w:val="clear" w:color="auto" w:fill="auto"/>
            <w:vAlign w:val="bottom"/>
          </w:tcPr>
          <w:p w14:paraId="41F46055" w14:textId="77777777" w:rsidR="00895001" w:rsidRPr="0078123A" w:rsidRDefault="00895001" w:rsidP="006D4A81">
            <w:pPr>
              <w:suppressAutoHyphens w:val="0"/>
              <w:spacing w:before="40" w:after="40" w:line="220" w:lineRule="exact"/>
              <w:ind w:left="113"/>
              <w:jc w:val="right"/>
              <w:rPr>
                <w:b/>
                <w:sz w:val="18"/>
                <w:szCs w:val="18"/>
              </w:rPr>
            </w:pPr>
          </w:p>
        </w:tc>
        <w:tc>
          <w:tcPr>
            <w:tcW w:w="276" w:type="dxa"/>
            <w:tcBorders>
              <w:top w:val="single" w:sz="4" w:space="0" w:color="auto"/>
              <w:bottom w:val="single" w:sz="12" w:space="0" w:color="auto"/>
            </w:tcBorders>
            <w:shd w:val="clear" w:color="auto" w:fill="auto"/>
            <w:vAlign w:val="bottom"/>
          </w:tcPr>
          <w:p w14:paraId="57207C69" w14:textId="77777777" w:rsidR="00895001" w:rsidRPr="0078123A" w:rsidRDefault="00895001" w:rsidP="006D4A81">
            <w:pPr>
              <w:suppressAutoHyphens w:val="0"/>
              <w:spacing w:before="40" w:after="40" w:line="220" w:lineRule="exact"/>
              <w:ind w:left="113"/>
              <w:jc w:val="right"/>
              <w:rPr>
                <w:b/>
                <w:sz w:val="18"/>
                <w:szCs w:val="18"/>
              </w:rPr>
            </w:pPr>
          </w:p>
        </w:tc>
        <w:tc>
          <w:tcPr>
            <w:tcW w:w="1248" w:type="dxa"/>
            <w:tcBorders>
              <w:top w:val="single" w:sz="4" w:space="0" w:color="auto"/>
              <w:bottom w:val="single" w:sz="12" w:space="0" w:color="auto"/>
            </w:tcBorders>
            <w:shd w:val="clear" w:color="auto" w:fill="auto"/>
            <w:vAlign w:val="bottom"/>
          </w:tcPr>
          <w:p w14:paraId="1451B8B1" w14:textId="77777777" w:rsidR="00895001" w:rsidRPr="0078123A" w:rsidRDefault="00895001" w:rsidP="006D4A81">
            <w:pPr>
              <w:suppressAutoHyphens w:val="0"/>
              <w:spacing w:before="40" w:after="40" w:line="220" w:lineRule="exact"/>
              <w:ind w:left="113"/>
              <w:jc w:val="right"/>
              <w:rPr>
                <w:b/>
                <w:sz w:val="18"/>
                <w:szCs w:val="18"/>
              </w:rPr>
            </w:pPr>
          </w:p>
        </w:tc>
        <w:tc>
          <w:tcPr>
            <w:tcW w:w="1683" w:type="dxa"/>
            <w:gridSpan w:val="2"/>
            <w:tcBorders>
              <w:top w:val="single" w:sz="4" w:space="0" w:color="auto"/>
              <w:bottom w:val="single" w:sz="12" w:space="0" w:color="auto"/>
            </w:tcBorders>
            <w:shd w:val="clear" w:color="auto" w:fill="auto"/>
            <w:vAlign w:val="bottom"/>
          </w:tcPr>
          <w:p w14:paraId="1E270B09" w14:textId="77777777" w:rsidR="00895001" w:rsidRPr="0078123A" w:rsidRDefault="00895001" w:rsidP="006D4A81">
            <w:pPr>
              <w:suppressAutoHyphens w:val="0"/>
              <w:spacing w:before="40" w:after="40" w:line="220" w:lineRule="exact"/>
              <w:ind w:left="113"/>
              <w:jc w:val="right"/>
              <w:rPr>
                <w:b/>
                <w:sz w:val="18"/>
                <w:szCs w:val="18"/>
              </w:rPr>
            </w:pPr>
          </w:p>
        </w:tc>
        <w:tc>
          <w:tcPr>
            <w:tcW w:w="1047" w:type="dxa"/>
            <w:gridSpan w:val="3"/>
            <w:tcBorders>
              <w:top w:val="single" w:sz="4" w:space="0" w:color="auto"/>
              <w:bottom w:val="single" w:sz="12" w:space="0" w:color="auto"/>
            </w:tcBorders>
            <w:shd w:val="clear" w:color="auto" w:fill="auto"/>
            <w:vAlign w:val="bottom"/>
          </w:tcPr>
          <w:p w14:paraId="5ADF1C9A" w14:textId="77777777" w:rsidR="00895001" w:rsidRPr="0078123A" w:rsidRDefault="00895001" w:rsidP="006D4A81">
            <w:pPr>
              <w:suppressAutoHyphens w:val="0"/>
              <w:spacing w:before="40" w:after="40" w:line="220" w:lineRule="exact"/>
              <w:ind w:left="113"/>
              <w:jc w:val="right"/>
              <w:rPr>
                <w:b/>
                <w:sz w:val="18"/>
                <w:szCs w:val="18"/>
              </w:rPr>
            </w:pPr>
          </w:p>
        </w:tc>
        <w:tc>
          <w:tcPr>
            <w:tcW w:w="1369" w:type="dxa"/>
            <w:gridSpan w:val="2"/>
            <w:tcBorders>
              <w:top w:val="single" w:sz="4" w:space="0" w:color="auto"/>
              <w:bottom w:val="single" w:sz="12" w:space="0" w:color="auto"/>
            </w:tcBorders>
            <w:shd w:val="clear" w:color="auto" w:fill="auto"/>
            <w:vAlign w:val="bottom"/>
          </w:tcPr>
          <w:p w14:paraId="3C5932F6" w14:textId="77777777" w:rsidR="00895001" w:rsidRPr="0078123A" w:rsidRDefault="00895001" w:rsidP="006D4A81">
            <w:pPr>
              <w:suppressAutoHyphens w:val="0"/>
              <w:spacing w:before="40" w:after="40" w:line="220" w:lineRule="exact"/>
              <w:ind w:left="113"/>
              <w:jc w:val="right"/>
              <w:rPr>
                <w:b/>
                <w:sz w:val="18"/>
                <w:szCs w:val="18"/>
              </w:rPr>
            </w:pPr>
          </w:p>
        </w:tc>
      </w:tr>
    </w:tbl>
    <w:p w14:paraId="66352BF3" w14:textId="77777777" w:rsidR="00895001" w:rsidRPr="00FA36F2" w:rsidRDefault="00895001" w:rsidP="007540E4">
      <w:pPr>
        <w:spacing w:before="120" w:line="220" w:lineRule="exact"/>
        <w:ind w:left="284" w:right="635" w:firstLine="170"/>
        <w:rPr>
          <w:sz w:val="18"/>
        </w:rPr>
      </w:pPr>
      <w:r w:rsidRPr="00FA36F2">
        <w:rPr>
          <w:i/>
          <w:sz w:val="18"/>
        </w:rPr>
        <w:t>Note</w:t>
      </w:r>
      <w:r w:rsidRPr="00FA36F2">
        <w:rPr>
          <w:sz w:val="18"/>
        </w:rPr>
        <w:t>:</w:t>
      </w:r>
      <w:r w:rsidRPr="00FA36F2">
        <w:rPr>
          <w:i/>
          <w:sz w:val="18"/>
        </w:rPr>
        <w:t xml:space="preserve"> </w:t>
      </w:r>
      <w:r w:rsidRPr="00FA36F2">
        <w:rPr>
          <w:sz w:val="18"/>
        </w:rPr>
        <w:t>Explanation of numerical footnotes is provided in the documentation box after tables 6, 7 and 8.</w:t>
      </w:r>
    </w:p>
    <w:p w14:paraId="20E408A8" w14:textId="77777777" w:rsidR="00895001" w:rsidRPr="00FA36F2" w:rsidRDefault="00895001" w:rsidP="007540E4">
      <w:pPr>
        <w:spacing w:line="220" w:lineRule="exact"/>
        <w:ind w:left="284" w:right="635" w:firstLine="170"/>
        <w:rPr>
          <w:sz w:val="18"/>
        </w:rPr>
      </w:pPr>
      <w:r w:rsidRPr="00FA36F2">
        <w:rPr>
          <w:i/>
          <w:sz w:val="18"/>
        </w:rPr>
        <w:t>Abbreviation</w:t>
      </w:r>
      <w:r>
        <w:rPr>
          <w:sz w:val="18"/>
        </w:rPr>
        <w:t>:</w:t>
      </w:r>
      <w:r w:rsidRPr="00FA36F2">
        <w:rPr>
          <w:sz w:val="18"/>
        </w:rPr>
        <w:t xml:space="preserve"> USD = United States dollars.</w:t>
      </w:r>
    </w:p>
    <w:p w14:paraId="672CE6C7" w14:textId="0D8297A8" w:rsidR="00895001" w:rsidRPr="00FA36F2" w:rsidRDefault="000E0429" w:rsidP="000E0429">
      <w:pPr>
        <w:spacing w:line="220" w:lineRule="exact"/>
        <w:ind w:left="284" w:right="635" w:firstLine="170"/>
        <w:rPr>
          <w:sz w:val="18"/>
        </w:rPr>
      </w:pPr>
      <w:r w:rsidRPr="00FA36F2">
        <w:rPr>
          <w:i/>
          <w:sz w:val="18"/>
          <w:vertAlign w:val="superscript"/>
        </w:rPr>
        <w:t xml:space="preserve">a   </w:t>
      </w:r>
      <w:r w:rsidR="00895001" w:rsidRPr="00FA36F2">
        <w:rPr>
          <w:rFonts w:eastAsia="MS Mincho"/>
          <w:sz w:val="18"/>
          <w:szCs w:val="18"/>
          <w:lang w:eastAsia="ja-JP"/>
        </w:rPr>
        <w:t>Parties should fill in a separate table for each year, namely 20XX-3 and 20XX-2, where 20XX is the reporting year.</w:t>
      </w:r>
      <w:r w:rsidR="00895001" w:rsidRPr="00FA36F2">
        <w:rPr>
          <w:sz w:val="18"/>
        </w:rPr>
        <w:t xml:space="preserve"> </w:t>
      </w:r>
    </w:p>
    <w:p w14:paraId="409E40A7" w14:textId="0117EA42" w:rsidR="00895001" w:rsidRPr="00FA36F2" w:rsidRDefault="000E0429" w:rsidP="000E0429">
      <w:pPr>
        <w:spacing w:line="220" w:lineRule="exact"/>
        <w:ind w:left="284" w:right="635" w:firstLine="170"/>
        <w:rPr>
          <w:sz w:val="18"/>
        </w:rPr>
      </w:pPr>
      <w:r w:rsidRPr="00FA36F2">
        <w:rPr>
          <w:i/>
          <w:sz w:val="18"/>
          <w:vertAlign w:val="superscript"/>
        </w:rPr>
        <w:t xml:space="preserve">b   </w:t>
      </w:r>
      <w:r w:rsidR="00895001" w:rsidRPr="00FA36F2">
        <w:rPr>
          <w:sz w:val="18"/>
        </w:rPr>
        <w:t xml:space="preserve">Parties </w:t>
      </w:r>
      <w:r w:rsidR="00895001" w:rsidRPr="00FA36F2">
        <w:rPr>
          <w:rFonts w:eastAsia="MS Mincho"/>
          <w:sz w:val="18"/>
          <w:szCs w:val="18"/>
          <w:lang w:eastAsia="ja-JP"/>
        </w:rPr>
        <w:t>should</w:t>
      </w:r>
      <w:r w:rsidR="00895001" w:rsidRPr="00FA36F2">
        <w:rPr>
          <w:sz w:val="18"/>
        </w:rPr>
        <w:t xml:space="preserve"> provide an explanation of the methodology used for currency exchange for the information provided in tables 6, 7 and 8 in the documentation box.</w:t>
      </w:r>
    </w:p>
    <w:p w14:paraId="122310C6" w14:textId="2DD936CC" w:rsidR="00895001" w:rsidRPr="00FA36F2" w:rsidRDefault="000E0429" w:rsidP="000E0429">
      <w:pPr>
        <w:spacing w:line="220" w:lineRule="exact"/>
        <w:ind w:left="284" w:right="635" w:firstLine="170"/>
        <w:rPr>
          <w:sz w:val="18"/>
        </w:rPr>
      </w:pPr>
      <w:r w:rsidRPr="00FA36F2">
        <w:rPr>
          <w:i/>
          <w:sz w:val="18"/>
          <w:vertAlign w:val="superscript"/>
        </w:rPr>
        <w:t xml:space="preserve">c   </w:t>
      </w:r>
      <w:r w:rsidR="00895001" w:rsidRPr="00FA36F2">
        <w:rPr>
          <w:sz w:val="18"/>
        </w:rPr>
        <w:t xml:space="preserve">This </w:t>
      </w:r>
      <w:r w:rsidR="00895001" w:rsidRPr="00FA36F2">
        <w:rPr>
          <w:rFonts w:eastAsia="MS Mincho"/>
          <w:sz w:val="18"/>
          <w:szCs w:val="18"/>
          <w:lang w:eastAsia="ja-JP"/>
        </w:rPr>
        <w:t>refers</w:t>
      </w:r>
      <w:r w:rsidR="00895001" w:rsidRPr="00FA36F2">
        <w:rPr>
          <w:sz w:val="18"/>
        </w:rPr>
        <w:t xml:space="preserve"> to support </w:t>
      </w:r>
      <w:r w:rsidR="00895001">
        <w:rPr>
          <w:sz w:val="18"/>
        </w:rPr>
        <w:t xml:space="preserve">provided </w:t>
      </w:r>
      <w:r w:rsidR="00895001" w:rsidRPr="00FA36F2">
        <w:rPr>
          <w:sz w:val="18"/>
        </w:rPr>
        <w:t>to multilateral institutions that Parties cannot specify as being climate-specific.</w:t>
      </w:r>
    </w:p>
    <w:p w14:paraId="6647480E" w14:textId="6AB7F259" w:rsidR="00895001" w:rsidRPr="00FA36F2" w:rsidRDefault="000E0429" w:rsidP="000E0429">
      <w:pPr>
        <w:spacing w:line="220" w:lineRule="exact"/>
        <w:ind w:left="284" w:right="635" w:firstLine="170"/>
        <w:rPr>
          <w:sz w:val="18"/>
        </w:rPr>
      </w:pPr>
      <w:r w:rsidRPr="00FA36F2">
        <w:rPr>
          <w:i/>
          <w:sz w:val="18"/>
          <w:vertAlign w:val="superscript"/>
        </w:rPr>
        <w:t xml:space="preserve">d   </w:t>
      </w:r>
      <w:r w:rsidR="00895001" w:rsidRPr="005F6413">
        <w:rPr>
          <w:rFonts w:eastAsia="MS Mincho"/>
          <w:sz w:val="18"/>
          <w:szCs w:val="18"/>
          <w:lang w:eastAsia="ja-JP"/>
        </w:rPr>
        <w:t>Parties</w:t>
      </w:r>
      <w:r w:rsidR="00895001" w:rsidRPr="00FA36F2">
        <w:rPr>
          <w:sz w:val="18"/>
        </w:rPr>
        <w:t xml:space="preserve"> should explain in their national communication how they define funds as being climate-specific.</w:t>
      </w:r>
    </w:p>
    <w:p w14:paraId="57A42FE7" w14:textId="1499C8C5" w:rsidR="00895001" w:rsidRPr="00FA36F2" w:rsidRDefault="000E0429" w:rsidP="000E0429">
      <w:pPr>
        <w:spacing w:line="220" w:lineRule="exact"/>
        <w:ind w:left="284" w:right="635" w:firstLine="170"/>
        <w:rPr>
          <w:sz w:val="18"/>
        </w:rPr>
      </w:pPr>
      <w:r w:rsidRPr="00FA36F2">
        <w:rPr>
          <w:i/>
          <w:sz w:val="18"/>
          <w:vertAlign w:val="superscript"/>
        </w:rPr>
        <w:t xml:space="preserve">e   </w:t>
      </w:r>
      <w:r w:rsidR="00895001" w:rsidRPr="005F6413">
        <w:rPr>
          <w:rFonts w:eastAsia="MS Mincho"/>
          <w:sz w:val="18"/>
          <w:szCs w:val="18"/>
          <w:lang w:eastAsia="ja-JP"/>
        </w:rPr>
        <w:t>This</w:t>
      </w:r>
      <w:r w:rsidR="00895001" w:rsidRPr="00FA36F2">
        <w:rPr>
          <w:sz w:val="18"/>
          <w:szCs w:val="18"/>
        </w:rPr>
        <w:t xml:space="preserve"> refers to funding for activities that are cross-cutting across mitigation and adaptation.</w:t>
      </w:r>
    </w:p>
    <w:p w14:paraId="50CEA38F" w14:textId="07243F37" w:rsidR="00895001" w:rsidRPr="00FA36F2" w:rsidRDefault="000E0429" w:rsidP="000E0429">
      <w:pPr>
        <w:spacing w:line="220" w:lineRule="exact"/>
        <w:ind w:left="284" w:right="635" w:firstLine="170"/>
        <w:rPr>
          <w:sz w:val="18"/>
        </w:rPr>
      </w:pPr>
      <w:r w:rsidRPr="00FA36F2">
        <w:rPr>
          <w:i/>
          <w:sz w:val="18"/>
          <w:vertAlign w:val="superscript"/>
        </w:rPr>
        <w:t xml:space="preserve">f   </w:t>
      </w:r>
      <w:r w:rsidR="00895001" w:rsidRPr="005F6413">
        <w:rPr>
          <w:rFonts w:eastAsia="MS Mincho"/>
          <w:sz w:val="18"/>
          <w:szCs w:val="18"/>
          <w:lang w:eastAsia="ja-JP"/>
        </w:rPr>
        <w:t>Please</w:t>
      </w:r>
      <w:r w:rsidR="00895001" w:rsidRPr="00FA36F2">
        <w:rPr>
          <w:sz w:val="18"/>
        </w:rPr>
        <w:t xml:space="preserve"> specify.</w:t>
      </w:r>
    </w:p>
    <w:p w14:paraId="22657B58" w14:textId="7288DA1B" w:rsidR="00895001" w:rsidRPr="00FA36F2" w:rsidRDefault="000E0429" w:rsidP="000E0429">
      <w:pPr>
        <w:spacing w:line="220" w:lineRule="exact"/>
        <w:ind w:left="284" w:right="635" w:firstLine="170"/>
        <w:rPr>
          <w:sz w:val="18"/>
        </w:rPr>
      </w:pPr>
      <w:r w:rsidRPr="00FA36F2">
        <w:rPr>
          <w:i/>
          <w:sz w:val="18"/>
          <w:vertAlign w:val="superscript"/>
        </w:rPr>
        <w:t xml:space="preserve">g   </w:t>
      </w:r>
      <w:r w:rsidR="00895001" w:rsidRPr="00FA36F2">
        <w:rPr>
          <w:sz w:val="18"/>
        </w:rPr>
        <w:t>Multilateral climate change funds listed in paragraph 52(a) of these gu</w:t>
      </w:r>
      <w:r w:rsidR="00895001" w:rsidRPr="00FA36F2">
        <w:rPr>
          <w:rFonts w:eastAsia="MS Mincho"/>
          <w:sz w:val="18"/>
          <w:szCs w:val="18"/>
          <w:lang w:eastAsia="ja-JP"/>
        </w:rPr>
        <w:t>idelines</w:t>
      </w:r>
      <w:r w:rsidR="00895001" w:rsidRPr="00FA36F2">
        <w:rPr>
          <w:sz w:val="18"/>
        </w:rPr>
        <w:t xml:space="preserve">. </w:t>
      </w:r>
    </w:p>
    <w:p w14:paraId="2A39A301" w14:textId="0D0777BA" w:rsidR="00895001" w:rsidRPr="00FA36F2" w:rsidRDefault="000E0429" w:rsidP="000E0429">
      <w:pPr>
        <w:spacing w:line="220" w:lineRule="exact"/>
        <w:ind w:left="284" w:right="635" w:firstLine="170"/>
        <w:rPr>
          <w:rFonts w:eastAsia="Calibri"/>
          <w:sz w:val="24"/>
          <w:szCs w:val="24"/>
          <w:lang w:eastAsia="en-US"/>
        </w:rPr>
      </w:pPr>
      <w:r w:rsidRPr="00FA36F2">
        <w:rPr>
          <w:rFonts w:eastAsia="Calibri"/>
          <w:i/>
          <w:sz w:val="18"/>
          <w:szCs w:val="24"/>
          <w:vertAlign w:val="superscript"/>
          <w:lang w:eastAsia="en-US"/>
        </w:rPr>
        <w:t xml:space="preserve">h   </w:t>
      </w:r>
      <w:r w:rsidR="00895001" w:rsidRPr="005F6413">
        <w:rPr>
          <w:rFonts w:eastAsia="MS Mincho"/>
          <w:sz w:val="18"/>
          <w:szCs w:val="18"/>
          <w:lang w:eastAsia="ja-JP"/>
        </w:rPr>
        <w:t>Other</w:t>
      </w:r>
      <w:r w:rsidR="00895001" w:rsidRPr="00FA36F2">
        <w:rPr>
          <w:sz w:val="18"/>
          <w:szCs w:val="18"/>
        </w:rPr>
        <w:t xml:space="preserve"> multilateral climate change funds as referred to in </w:t>
      </w:r>
      <w:r w:rsidR="00895001" w:rsidRPr="00FA36F2">
        <w:rPr>
          <w:sz w:val="18"/>
        </w:rPr>
        <w:t>paragraph 52(b) of these g</w:t>
      </w:r>
      <w:r w:rsidR="00895001" w:rsidRPr="00FA36F2">
        <w:rPr>
          <w:rFonts w:eastAsia="MS Mincho"/>
          <w:sz w:val="18"/>
          <w:szCs w:val="18"/>
          <w:lang w:eastAsia="ja-JP"/>
        </w:rPr>
        <w:t>uidelines.</w:t>
      </w:r>
      <w:r w:rsidR="00895001" w:rsidRPr="00FA36F2">
        <w:rPr>
          <w:rFonts w:eastAsia="Calibri"/>
          <w:sz w:val="24"/>
          <w:szCs w:val="24"/>
          <w:lang w:eastAsia="en-US"/>
        </w:rPr>
        <w:br w:type="page"/>
      </w:r>
    </w:p>
    <w:p w14:paraId="002F3482" w14:textId="77777777" w:rsidR="00895001" w:rsidRPr="00C71146" w:rsidRDefault="00895001" w:rsidP="00895001">
      <w:pPr>
        <w:rPr>
          <w:rFonts w:eastAsia="MS Mincho"/>
          <w:lang w:eastAsia="ja-JP"/>
        </w:rPr>
      </w:pPr>
      <w:r w:rsidRPr="00C71146">
        <w:rPr>
          <w:rFonts w:eastAsia="MS Mincho"/>
          <w:lang w:eastAsia="ja-JP"/>
        </w:rPr>
        <w:t>Table 7</w:t>
      </w:r>
    </w:p>
    <w:p w14:paraId="2DFE1C38" w14:textId="77777777" w:rsidR="00895001" w:rsidRPr="00C71146" w:rsidRDefault="00895001" w:rsidP="00895001">
      <w:pPr>
        <w:spacing w:after="120" w:line="240" w:lineRule="auto"/>
        <w:jc w:val="both"/>
        <w:rPr>
          <w:rFonts w:eastAsia="MS Mincho"/>
          <w:i/>
          <w:lang w:eastAsia="ja-JP"/>
        </w:rPr>
      </w:pPr>
      <w:r w:rsidRPr="00C71146">
        <w:rPr>
          <w:rFonts w:eastAsia="MS Mincho"/>
          <w:b/>
          <w:lang w:eastAsia="ja-JP"/>
        </w:rPr>
        <w:t>Provision of public financial support: contributions through multilateral channels in 20XX-3</w:t>
      </w:r>
      <w:r w:rsidRPr="00C71146">
        <w:rPr>
          <w:rFonts w:eastAsia="MS Mincho"/>
          <w:i/>
          <w:sz w:val="18"/>
          <w:vertAlign w:val="superscript"/>
          <w:lang w:eastAsia="ja-JP"/>
        </w:rPr>
        <w:t>a</w:t>
      </w:r>
    </w:p>
    <w:tbl>
      <w:tblPr>
        <w:tblW w:w="12475" w:type="dxa"/>
        <w:tblBorders>
          <w:top w:val="single" w:sz="4" w:space="0" w:color="auto"/>
        </w:tblBorders>
        <w:tblLayout w:type="fixed"/>
        <w:tblCellMar>
          <w:left w:w="0" w:type="dxa"/>
          <w:right w:w="0" w:type="dxa"/>
        </w:tblCellMar>
        <w:tblLook w:val="00A0" w:firstRow="1" w:lastRow="0" w:firstColumn="1" w:lastColumn="0" w:noHBand="0" w:noVBand="0"/>
      </w:tblPr>
      <w:tblGrid>
        <w:gridCol w:w="4112"/>
        <w:gridCol w:w="744"/>
        <w:gridCol w:w="172"/>
        <w:gridCol w:w="572"/>
        <w:gridCol w:w="344"/>
        <w:gridCol w:w="400"/>
        <w:gridCol w:w="178"/>
        <w:gridCol w:w="567"/>
        <w:gridCol w:w="850"/>
        <w:gridCol w:w="720"/>
        <w:gridCol w:w="1265"/>
        <w:gridCol w:w="992"/>
        <w:gridCol w:w="1559"/>
      </w:tblGrid>
      <w:tr w:rsidR="00895001" w:rsidRPr="00E769BB" w14:paraId="5B1CEF7F" w14:textId="77777777" w:rsidTr="006D4A81">
        <w:trPr>
          <w:trHeight w:val="240"/>
          <w:tblHeader/>
        </w:trPr>
        <w:tc>
          <w:tcPr>
            <w:tcW w:w="4112" w:type="dxa"/>
            <w:vMerge w:val="restart"/>
            <w:tcBorders>
              <w:top w:val="single" w:sz="2" w:space="0" w:color="auto"/>
            </w:tcBorders>
            <w:shd w:val="clear" w:color="auto" w:fill="auto"/>
            <w:vAlign w:val="center"/>
          </w:tcPr>
          <w:p w14:paraId="088D64A5" w14:textId="77777777" w:rsidR="00895001" w:rsidRPr="00E769BB" w:rsidRDefault="00895001" w:rsidP="006D4A81">
            <w:pPr>
              <w:suppressAutoHyphens w:val="0"/>
              <w:spacing w:before="40" w:after="40" w:line="220" w:lineRule="exact"/>
              <w:rPr>
                <w:rFonts w:eastAsia="Times New Roman"/>
                <w:i/>
                <w:sz w:val="16"/>
                <w:szCs w:val="16"/>
                <w:lang w:eastAsia="en-GB"/>
              </w:rPr>
            </w:pPr>
            <w:r w:rsidRPr="00E769BB">
              <w:rPr>
                <w:rFonts w:eastAsia="Times New Roman"/>
                <w:i/>
                <w:sz w:val="16"/>
                <w:szCs w:val="16"/>
                <w:lang w:eastAsia="en-GB"/>
              </w:rPr>
              <w:t xml:space="preserve">Donor </w:t>
            </w:r>
            <w:r w:rsidRPr="00E769BB">
              <w:rPr>
                <w:rFonts w:eastAsia="MS Mincho"/>
                <w:i/>
                <w:sz w:val="16"/>
                <w:szCs w:val="16"/>
                <w:lang w:eastAsia="ja-JP"/>
              </w:rPr>
              <w:t>funding</w:t>
            </w:r>
          </w:p>
        </w:tc>
        <w:tc>
          <w:tcPr>
            <w:tcW w:w="2977" w:type="dxa"/>
            <w:gridSpan w:val="7"/>
            <w:tcBorders>
              <w:top w:val="single" w:sz="2" w:space="0" w:color="auto"/>
              <w:bottom w:val="single" w:sz="4" w:space="0" w:color="auto"/>
            </w:tcBorders>
            <w:shd w:val="clear" w:color="auto" w:fill="auto"/>
            <w:noWrap/>
            <w:vAlign w:val="center"/>
          </w:tcPr>
          <w:p w14:paraId="335AB6B4" w14:textId="77777777" w:rsidR="00895001" w:rsidRPr="00E769BB" w:rsidRDefault="00895001" w:rsidP="006D4A81">
            <w:pPr>
              <w:suppressAutoHyphens w:val="0"/>
              <w:spacing w:before="80" w:after="80" w:line="200" w:lineRule="exact"/>
              <w:ind w:left="113"/>
              <w:jc w:val="center"/>
              <w:rPr>
                <w:rFonts w:eastAsia="Times New Roman"/>
                <w:i/>
                <w:sz w:val="16"/>
                <w:szCs w:val="16"/>
                <w:lang w:eastAsia="en-GB"/>
              </w:rPr>
            </w:pPr>
            <w:r w:rsidRPr="00E769BB">
              <w:rPr>
                <w:rFonts w:eastAsia="Times New Roman"/>
                <w:i/>
                <w:sz w:val="16"/>
                <w:szCs w:val="16"/>
                <w:lang w:eastAsia="en-GB"/>
              </w:rPr>
              <w:t>Total amount</w:t>
            </w:r>
          </w:p>
        </w:tc>
        <w:tc>
          <w:tcPr>
            <w:tcW w:w="850" w:type="dxa"/>
            <w:tcBorders>
              <w:top w:val="single" w:sz="2" w:space="0" w:color="auto"/>
              <w:bottom w:val="single" w:sz="4" w:space="0" w:color="auto"/>
            </w:tcBorders>
            <w:shd w:val="clear" w:color="auto" w:fill="auto"/>
            <w:vAlign w:val="center"/>
          </w:tcPr>
          <w:p w14:paraId="3A1FEA0A" w14:textId="77777777" w:rsidR="00895001" w:rsidRPr="00E769BB" w:rsidRDefault="00895001" w:rsidP="006D4A81">
            <w:pPr>
              <w:spacing w:before="40" w:after="40" w:line="22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Status</w:t>
            </w:r>
            <w:r w:rsidRPr="00C71146">
              <w:rPr>
                <w:rFonts w:eastAsia="Times New Roman"/>
                <w:i/>
                <w:sz w:val="18"/>
                <w:szCs w:val="16"/>
                <w:vertAlign w:val="superscript"/>
                <w:lang w:eastAsia="en-GB"/>
              </w:rPr>
              <w:t>b, 3</w:t>
            </w:r>
          </w:p>
        </w:tc>
        <w:tc>
          <w:tcPr>
            <w:tcW w:w="720" w:type="dxa"/>
            <w:tcBorders>
              <w:top w:val="single" w:sz="2" w:space="0" w:color="auto"/>
              <w:bottom w:val="single" w:sz="4" w:space="0" w:color="auto"/>
            </w:tcBorders>
            <w:shd w:val="clear" w:color="auto" w:fill="auto"/>
            <w:vAlign w:val="center"/>
          </w:tcPr>
          <w:p w14:paraId="75624285"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Funding source</w:t>
            </w:r>
            <w:r w:rsidRPr="00C71146">
              <w:rPr>
                <w:rFonts w:eastAsia="Times New Roman"/>
                <w:i/>
                <w:sz w:val="18"/>
                <w:szCs w:val="16"/>
                <w:vertAlign w:val="superscript"/>
                <w:lang w:eastAsia="en-GB"/>
              </w:rPr>
              <w:t>4</w:t>
            </w:r>
          </w:p>
        </w:tc>
        <w:tc>
          <w:tcPr>
            <w:tcW w:w="1265" w:type="dxa"/>
            <w:tcBorders>
              <w:top w:val="single" w:sz="2" w:space="0" w:color="auto"/>
              <w:bottom w:val="single" w:sz="4" w:space="0" w:color="auto"/>
            </w:tcBorders>
            <w:shd w:val="clear" w:color="auto" w:fill="auto"/>
            <w:vAlign w:val="center"/>
          </w:tcPr>
          <w:p w14:paraId="559ECDB2"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Financial instrument</w:t>
            </w:r>
            <w:r w:rsidRPr="00C71146">
              <w:rPr>
                <w:rFonts w:eastAsia="Times New Roman"/>
                <w:i/>
                <w:sz w:val="18"/>
                <w:szCs w:val="16"/>
                <w:vertAlign w:val="superscript"/>
                <w:lang w:eastAsia="en-GB"/>
              </w:rPr>
              <w:t>5</w:t>
            </w:r>
          </w:p>
        </w:tc>
        <w:tc>
          <w:tcPr>
            <w:tcW w:w="992" w:type="dxa"/>
            <w:tcBorders>
              <w:top w:val="single" w:sz="2" w:space="0" w:color="auto"/>
              <w:bottom w:val="single" w:sz="4" w:space="0" w:color="auto"/>
            </w:tcBorders>
            <w:shd w:val="clear" w:color="auto" w:fill="auto"/>
            <w:vAlign w:val="center"/>
          </w:tcPr>
          <w:p w14:paraId="4845F65D"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 xml:space="preserve">Type of </w:t>
            </w:r>
            <w:r w:rsidRPr="00E769BB">
              <w:rPr>
                <w:rFonts w:eastAsia="Times New Roman"/>
                <w:i/>
                <w:sz w:val="16"/>
                <w:szCs w:val="16"/>
                <w:lang w:eastAsia="en-GB"/>
              </w:rPr>
              <w:br/>
              <w:t>support</w:t>
            </w:r>
            <w:r w:rsidRPr="00E769BB">
              <w:rPr>
                <w:rFonts w:eastAsia="Times New Roman"/>
                <w:i/>
                <w:sz w:val="16"/>
                <w:szCs w:val="16"/>
                <w:vertAlign w:val="superscript"/>
                <w:lang w:eastAsia="en-GB"/>
              </w:rPr>
              <w:t>6</w:t>
            </w:r>
          </w:p>
        </w:tc>
        <w:tc>
          <w:tcPr>
            <w:tcW w:w="1559" w:type="dxa"/>
            <w:tcBorders>
              <w:top w:val="single" w:sz="2" w:space="0" w:color="auto"/>
              <w:bottom w:val="single" w:sz="4" w:space="0" w:color="auto"/>
            </w:tcBorders>
            <w:shd w:val="clear" w:color="auto" w:fill="auto"/>
            <w:noWrap/>
            <w:vAlign w:val="center"/>
          </w:tcPr>
          <w:p w14:paraId="3F091950"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Sector</w:t>
            </w:r>
            <w:r w:rsidRPr="00C71146">
              <w:rPr>
                <w:rFonts w:eastAsia="Times New Roman"/>
                <w:i/>
                <w:sz w:val="18"/>
                <w:szCs w:val="16"/>
                <w:vertAlign w:val="superscript"/>
                <w:lang w:eastAsia="en-GB"/>
              </w:rPr>
              <w:t>c, 7</w:t>
            </w:r>
          </w:p>
        </w:tc>
      </w:tr>
      <w:tr w:rsidR="00895001" w:rsidRPr="00E769BB" w14:paraId="59DC2E21" w14:textId="77777777" w:rsidTr="006D4A81">
        <w:trPr>
          <w:trHeight w:val="671"/>
          <w:tblHeader/>
        </w:trPr>
        <w:tc>
          <w:tcPr>
            <w:tcW w:w="4112" w:type="dxa"/>
            <w:vMerge/>
            <w:shd w:val="clear" w:color="auto" w:fill="auto"/>
            <w:vAlign w:val="bottom"/>
          </w:tcPr>
          <w:p w14:paraId="001CC863" w14:textId="77777777" w:rsidR="00895001" w:rsidRPr="00E769BB" w:rsidRDefault="00895001" w:rsidP="006D4A81">
            <w:pPr>
              <w:suppressAutoHyphens w:val="0"/>
              <w:spacing w:before="40" w:after="40" w:line="220" w:lineRule="exact"/>
              <w:jc w:val="center"/>
              <w:rPr>
                <w:rFonts w:eastAsia="Times New Roman"/>
                <w:i/>
                <w:sz w:val="16"/>
                <w:szCs w:val="16"/>
                <w:lang w:eastAsia="en-GB"/>
              </w:rPr>
            </w:pPr>
          </w:p>
        </w:tc>
        <w:tc>
          <w:tcPr>
            <w:tcW w:w="1488" w:type="dxa"/>
            <w:gridSpan w:val="3"/>
            <w:tcBorders>
              <w:top w:val="single" w:sz="4" w:space="0" w:color="auto"/>
              <w:bottom w:val="single" w:sz="4" w:space="0" w:color="auto"/>
            </w:tcBorders>
            <w:shd w:val="clear" w:color="auto" w:fill="auto"/>
            <w:vAlign w:val="center"/>
          </w:tcPr>
          <w:p w14:paraId="6B402AFF"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Core/general</w:t>
            </w:r>
            <w:r w:rsidRPr="00C71146">
              <w:rPr>
                <w:rFonts w:eastAsia="Times New Roman"/>
                <w:i/>
                <w:sz w:val="18"/>
                <w:szCs w:val="16"/>
                <w:vertAlign w:val="superscript"/>
                <w:lang w:eastAsia="en-GB"/>
              </w:rPr>
              <w:t>d, 1</w:t>
            </w:r>
          </w:p>
        </w:tc>
        <w:tc>
          <w:tcPr>
            <w:tcW w:w="1489" w:type="dxa"/>
            <w:gridSpan w:val="4"/>
            <w:tcBorders>
              <w:top w:val="single" w:sz="4" w:space="0" w:color="auto"/>
              <w:bottom w:val="single" w:sz="4" w:space="0" w:color="auto"/>
            </w:tcBorders>
            <w:shd w:val="clear" w:color="auto" w:fill="auto"/>
            <w:vAlign w:val="center"/>
          </w:tcPr>
          <w:p w14:paraId="17BE58D9"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Climate-specific</w:t>
            </w:r>
            <w:r w:rsidRPr="00C71146">
              <w:rPr>
                <w:rFonts w:eastAsia="Times New Roman"/>
                <w:i/>
                <w:sz w:val="18"/>
                <w:szCs w:val="16"/>
                <w:vertAlign w:val="superscript"/>
                <w:lang w:eastAsia="en-GB"/>
              </w:rPr>
              <w:t>e, 2</w:t>
            </w:r>
          </w:p>
        </w:tc>
        <w:tc>
          <w:tcPr>
            <w:tcW w:w="850" w:type="dxa"/>
            <w:vMerge w:val="restart"/>
            <w:tcBorders>
              <w:top w:val="single" w:sz="4" w:space="0" w:color="auto"/>
            </w:tcBorders>
            <w:shd w:val="clear" w:color="auto" w:fill="auto"/>
            <w:vAlign w:val="center"/>
          </w:tcPr>
          <w:p w14:paraId="7C634762"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Committed</w:t>
            </w:r>
            <w:r w:rsidRPr="00E769BB">
              <w:rPr>
                <w:rFonts w:eastAsia="Times New Roman"/>
                <w:i/>
                <w:sz w:val="16"/>
                <w:szCs w:val="16"/>
                <w:lang w:eastAsia="en-GB"/>
              </w:rPr>
              <w:br/>
              <w:t>Disbursed</w:t>
            </w:r>
            <w:r w:rsidRPr="00E769BB">
              <w:rPr>
                <w:rFonts w:eastAsia="Times New Roman"/>
                <w:i/>
                <w:sz w:val="16"/>
                <w:szCs w:val="16"/>
                <w:lang w:eastAsia="en-GB"/>
              </w:rPr>
              <w:br/>
            </w:r>
          </w:p>
        </w:tc>
        <w:tc>
          <w:tcPr>
            <w:tcW w:w="720" w:type="dxa"/>
            <w:vMerge w:val="restart"/>
            <w:tcBorders>
              <w:top w:val="single" w:sz="4" w:space="0" w:color="auto"/>
            </w:tcBorders>
            <w:shd w:val="clear" w:color="auto" w:fill="auto"/>
            <w:vAlign w:val="center"/>
          </w:tcPr>
          <w:p w14:paraId="07B6708B"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ODA</w:t>
            </w:r>
            <w:r w:rsidRPr="00E769BB">
              <w:rPr>
                <w:rFonts w:eastAsia="Times New Roman"/>
                <w:i/>
                <w:sz w:val="16"/>
                <w:szCs w:val="16"/>
                <w:lang w:eastAsia="en-GB"/>
              </w:rPr>
              <w:br/>
              <w:t>OOF</w:t>
            </w:r>
            <w:r w:rsidRPr="00E769BB">
              <w:rPr>
                <w:rFonts w:eastAsia="Times New Roman"/>
                <w:i/>
                <w:sz w:val="16"/>
                <w:szCs w:val="16"/>
                <w:lang w:eastAsia="en-GB"/>
              </w:rPr>
              <w:br/>
              <w:t>Other</w:t>
            </w:r>
            <w:r w:rsidRPr="00E769BB">
              <w:rPr>
                <w:rFonts w:eastAsia="Times New Roman"/>
                <w:i/>
                <w:sz w:val="16"/>
                <w:szCs w:val="16"/>
                <w:vertAlign w:val="superscript"/>
                <w:lang w:eastAsia="en-GB"/>
              </w:rPr>
              <w:t>f</w:t>
            </w:r>
          </w:p>
        </w:tc>
        <w:tc>
          <w:tcPr>
            <w:tcW w:w="1265" w:type="dxa"/>
            <w:vMerge w:val="restart"/>
            <w:tcBorders>
              <w:top w:val="single" w:sz="4" w:space="0" w:color="auto"/>
            </w:tcBorders>
            <w:shd w:val="clear" w:color="auto" w:fill="auto"/>
            <w:vAlign w:val="center"/>
          </w:tcPr>
          <w:p w14:paraId="7D083439"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Grant</w:t>
            </w:r>
          </w:p>
          <w:p w14:paraId="3EC86398"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Concessional loan</w:t>
            </w:r>
          </w:p>
          <w:p w14:paraId="28A1A5D9"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Non-concessional loan</w:t>
            </w:r>
          </w:p>
          <w:p w14:paraId="5C643153"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Equity</w:t>
            </w:r>
            <w:r w:rsidRPr="00E769BB">
              <w:rPr>
                <w:rFonts w:eastAsia="Times New Roman"/>
                <w:i/>
                <w:sz w:val="16"/>
                <w:szCs w:val="16"/>
                <w:lang w:eastAsia="en-GB"/>
              </w:rPr>
              <w:br/>
              <w:t>Other</w:t>
            </w:r>
            <w:r w:rsidRPr="00E769BB">
              <w:rPr>
                <w:rFonts w:eastAsia="Times New Roman"/>
                <w:i/>
                <w:sz w:val="16"/>
                <w:szCs w:val="16"/>
                <w:vertAlign w:val="superscript"/>
                <w:lang w:eastAsia="en-GB"/>
              </w:rPr>
              <w:t>f</w:t>
            </w:r>
          </w:p>
        </w:tc>
        <w:tc>
          <w:tcPr>
            <w:tcW w:w="992" w:type="dxa"/>
            <w:vMerge w:val="restart"/>
            <w:tcBorders>
              <w:top w:val="single" w:sz="4" w:space="0" w:color="auto"/>
            </w:tcBorders>
            <w:shd w:val="clear" w:color="auto" w:fill="auto"/>
            <w:noWrap/>
            <w:vAlign w:val="center"/>
          </w:tcPr>
          <w:p w14:paraId="0AC51F89"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Mitigation</w:t>
            </w:r>
            <w:r w:rsidRPr="00E769BB">
              <w:rPr>
                <w:rFonts w:eastAsia="Times New Roman"/>
                <w:i/>
                <w:sz w:val="16"/>
                <w:szCs w:val="16"/>
                <w:lang w:eastAsia="en-GB"/>
              </w:rPr>
              <w:br/>
              <w:t xml:space="preserve">Adaptation </w:t>
            </w:r>
            <w:r w:rsidRPr="00E769BB">
              <w:rPr>
                <w:rFonts w:eastAsia="Times New Roman"/>
                <w:i/>
                <w:sz w:val="16"/>
                <w:szCs w:val="16"/>
                <w:lang w:eastAsia="en-GB"/>
              </w:rPr>
              <w:br/>
              <w:t>Cross-cutting</w:t>
            </w:r>
            <w:r w:rsidRPr="00C71146">
              <w:rPr>
                <w:rFonts w:eastAsia="Times New Roman"/>
                <w:i/>
                <w:sz w:val="18"/>
                <w:szCs w:val="16"/>
                <w:vertAlign w:val="superscript"/>
                <w:lang w:eastAsia="en-GB"/>
              </w:rPr>
              <w:t>g</w:t>
            </w:r>
            <w:r w:rsidRPr="00E769BB">
              <w:rPr>
                <w:rFonts w:eastAsia="Times New Roman"/>
                <w:i/>
                <w:sz w:val="16"/>
                <w:szCs w:val="16"/>
                <w:lang w:eastAsia="en-GB"/>
              </w:rPr>
              <w:br/>
              <w:t>Other</w:t>
            </w:r>
            <w:r w:rsidRPr="00E769BB">
              <w:rPr>
                <w:rFonts w:eastAsia="Times New Roman"/>
                <w:i/>
                <w:sz w:val="16"/>
                <w:szCs w:val="16"/>
                <w:vertAlign w:val="superscript"/>
                <w:lang w:eastAsia="en-GB"/>
              </w:rPr>
              <w:t>f</w:t>
            </w:r>
          </w:p>
        </w:tc>
        <w:tc>
          <w:tcPr>
            <w:tcW w:w="1559" w:type="dxa"/>
            <w:vMerge w:val="restart"/>
            <w:tcBorders>
              <w:top w:val="single" w:sz="4" w:space="0" w:color="auto"/>
            </w:tcBorders>
            <w:shd w:val="clear" w:color="auto" w:fill="auto"/>
            <w:vAlign w:val="center"/>
          </w:tcPr>
          <w:p w14:paraId="47579134"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Energy</w:t>
            </w:r>
            <w:r w:rsidRPr="00E769BB">
              <w:rPr>
                <w:rFonts w:eastAsia="Times New Roman"/>
                <w:i/>
                <w:sz w:val="16"/>
                <w:szCs w:val="16"/>
                <w:lang w:eastAsia="en-GB"/>
              </w:rPr>
              <w:br/>
              <w:t>Transport</w:t>
            </w:r>
            <w:r w:rsidRPr="00E769BB">
              <w:rPr>
                <w:rFonts w:eastAsia="Times New Roman"/>
                <w:i/>
                <w:sz w:val="16"/>
                <w:szCs w:val="16"/>
                <w:lang w:eastAsia="en-GB"/>
              </w:rPr>
              <w:br/>
              <w:t>Industry</w:t>
            </w:r>
            <w:r w:rsidRPr="00E769BB">
              <w:rPr>
                <w:rFonts w:eastAsia="Times New Roman"/>
                <w:i/>
                <w:sz w:val="16"/>
                <w:szCs w:val="16"/>
                <w:lang w:eastAsia="en-GB"/>
              </w:rPr>
              <w:br/>
              <w:t>Agriculture</w:t>
            </w:r>
          </w:p>
          <w:p w14:paraId="056A47D8"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Forestry</w:t>
            </w:r>
            <w:r w:rsidRPr="00E769BB">
              <w:rPr>
                <w:rFonts w:eastAsia="Times New Roman"/>
                <w:i/>
                <w:sz w:val="16"/>
                <w:szCs w:val="16"/>
                <w:lang w:eastAsia="en-GB"/>
              </w:rPr>
              <w:br/>
              <w:t>Water and sanitation</w:t>
            </w:r>
          </w:p>
          <w:p w14:paraId="5952D5AD"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Cross-cutting</w:t>
            </w:r>
            <w:r w:rsidRPr="00E769BB">
              <w:rPr>
                <w:rFonts w:eastAsia="Times New Roman"/>
                <w:i/>
                <w:sz w:val="16"/>
                <w:szCs w:val="16"/>
                <w:lang w:eastAsia="en-GB"/>
              </w:rPr>
              <w:br/>
              <w:t>Other</w:t>
            </w:r>
            <w:r w:rsidRPr="00C71146">
              <w:rPr>
                <w:rFonts w:eastAsia="Times New Roman"/>
                <w:i/>
                <w:sz w:val="18"/>
                <w:szCs w:val="16"/>
                <w:vertAlign w:val="superscript"/>
                <w:lang w:eastAsia="en-GB"/>
              </w:rPr>
              <w:t>f</w:t>
            </w:r>
            <w:r w:rsidRPr="00E769BB">
              <w:rPr>
                <w:rFonts w:eastAsia="Times New Roman"/>
                <w:i/>
                <w:sz w:val="16"/>
                <w:szCs w:val="16"/>
                <w:lang w:eastAsia="en-GB"/>
              </w:rPr>
              <w:br/>
              <w:t>Not applicable</w:t>
            </w:r>
          </w:p>
        </w:tc>
      </w:tr>
      <w:tr w:rsidR="00895001" w:rsidRPr="00F071DA" w14:paraId="13EF56E0" w14:textId="77777777" w:rsidTr="006D4A81">
        <w:trPr>
          <w:trHeight w:val="1072"/>
          <w:tblHeader/>
        </w:trPr>
        <w:tc>
          <w:tcPr>
            <w:tcW w:w="4112" w:type="dxa"/>
            <w:vMerge/>
            <w:tcBorders>
              <w:bottom w:val="single" w:sz="12" w:space="0" w:color="auto"/>
            </w:tcBorders>
            <w:shd w:val="clear" w:color="auto" w:fill="auto"/>
            <w:vAlign w:val="bottom"/>
          </w:tcPr>
          <w:p w14:paraId="6EE2917C" w14:textId="77777777" w:rsidR="00895001" w:rsidRPr="00E769BB" w:rsidRDefault="00895001" w:rsidP="006D4A81">
            <w:pPr>
              <w:suppressAutoHyphens w:val="0"/>
              <w:spacing w:before="40" w:after="40" w:line="220" w:lineRule="exact"/>
              <w:jc w:val="center"/>
              <w:rPr>
                <w:rFonts w:eastAsia="Times New Roman"/>
                <w:i/>
                <w:sz w:val="16"/>
                <w:szCs w:val="16"/>
                <w:lang w:eastAsia="en-GB"/>
              </w:rPr>
            </w:pPr>
          </w:p>
        </w:tc>
        <w:tc>
          <w:tcPr>
            <w:tcW w:w="744" w:type="dxa"/>
            <w:tcBorders>
              <w:top w:val="single" w:sz="4" w:space="0" w:color="auto"/>
              <w:bottom w:val="single" w:sz="12" w:space="0" w:color="auto"/>
            </w:tcBorders>
            <w:shd w:val="clear" w:color="auto" w:fill="auto"/>
          </w:tcPr>
          <w:p w14:paraId="04F438AA"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Domestic currency</w:t>
            </w:r>
          </w:p>
        </w:tc>
        <w:tc>
          <w:tcPr>
            <w:tcW w:w="744" w:type="dxa"/>
            <w:gridSpan w:val="2"/>
            <w:tcBorders>
              <w:top w:val="single" w:sz="4" w:space="0" w:color="auto"/>
              <w:bottom w:val="single" w:sz="12" w:space="0" w:color="auto"/>
            </w:tcBorders>
            <w:shd w:val="clear" w:color="auto" w:fill="auto"/>
          </w:tcPr>
          <w:p w14:paraId="282E738D"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USD</w:t>
            </w:r>
          </w:p>
        </w:tc>
        <w:tc>
          <w:tcPr>
            <w:tcW w:w="744" w:type="dxa"/>
            <w:gridSpan w:val="2"/>
            <w:tcBorders>
              <w:top w:val="single" w:sz="4" w:space="0" w:color="auto"/>
              <w:bottom w:val="single" w:sz="12" w:space="0" w:color="auto"/>
            </w:tcBorders>
            <w:shd w:val="clear" w:color="auto" w:fill="auto"/>
          </w:tcPr>
          <w:p w14:paraId="1913BEFE"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Domestic currency</w:t>
            </w:r>
          </w:p>
        </w:tc>
        <w:tc>
          <w:tcPr>
            <w:tcW w:w="745" w:type="dxa"/>
            <w:gridSpan w:val="2"/>
            <w:tcBorders>
              <w:top w:val="single" w:sz="4" w:space="0" w:color="auto"/>
              <w:bottom w:val="single" w:sz="12" w:space="0" w:color="auto"/>
            </w:tcBorders>
            <w:shd w:val="clear" w:color="auto" w:fill="auto"/>
          </w:tcPr>
          <w:p w14:paraId="2592D6CA"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USD</w:t>
            </w:r>
          </w:p>
        </w:tc>
        <w:tc>
          <w:tcPr>
            <w:tcW w:w="850" w:type="dxa"/>
            <w:vMerge/>
            <w:tcBorders>
              <w:bottom w:val="single" w:sz="12" w:space="0" w:color="auto"/>
            </w:tcBorders>
            <w:shd w:val="clear" w:color="auto" w:fill="auto"/>
            <w:vAlign w:val="bottom"/>
          </w:tcPr>
          <w:p w14:paraId="0D46C5EC"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720" w:type="dxa"/>
            <w:vMerge/>
            <w:tcBorders>
              <w:bottom w:val="single" w:sz="12" w:space="0" w:color="auto"/>
            </w:tcBorders>
            <w:shd w:val="clear" w:color="auto" w:fill="auto"/>
            <w:vAlign w:val="bottom"/>
          </w:tcPr>
          <w:p w14:paraId="6F23AD99" w14:textId="77777777" w:rsidR="00895001" w:rsidRPr="00F071DA" w:rsidRDefault="00895001" w:rsidP="006D4A81">
            <w:pPr>
              <w:suppressAutoHyphens w:val="0"/>
              <w:spacing w:before="40" w:after="40" w:line="220" w:lineRule="exact"/>
              <w:ind w:left="113"/>
              <w:rPr>
                <w:rFonts w:eastAsia="Times New Roman"/>
                <w:i/>
                <w:sz w:val="16"/>
                <w:szCs w:val="16"/>
                <w:lang w:eastAsia="en-GB"/>
              </w:rPr>
            </w:pPr>
          </w:p>
        </w:tc>
        <w:tc>
          <w:tcPr>
            <w:tcW w:w="1265" w:type="dxa"/>
            <w:vMerge/>
            <w:tcBorders>
              <w:bottom w:val="single" w:sz="12" w:space="0" w:color="auto"/>
            </w:tcBorders>
            <w:shd w:val="clear" w:color="auto" w:fill="auto"/>
            <w:vAlign w:val="bottom"/>
          </w:tcPr>
          <w:p w14:paraId="46C7AFA2"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992" w:type="dxa"/>
            <w:vMerge/>
            <w:tcBorders>
              <w:bottom w:val="single" w:sz="12" w:space="0" w:color="auto"/>
            </w:tcBorders>
            <w:shd w:val="clear" w:color="auto" w:fill="auto"/>
            <w:noWrap/>
            <w:vAlign w:val="bottom"/>
          </w:tcPr>
          <w:p w14:paraId="75A9A6A6"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1559" w:type="dxa"/>
            <w:vMerge/>
            <w:tcBorders>
              <w:bottom w:val="single" w:sz="12" w:space="0" w:color="auto"/>
            </w:tcBorders>
            <w:shd w:val="clear" w:color="auto" w:fill="auto"/>
            <w:vAlign w:val="bottom"/>
          </w:tcPr>
          <w:p w14:paraId="086B357B"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r>
      <w:tr w:rsidR="00895001" w:rsidRPr="00F071DA" w14:paraId="6BCFF069" w14:textId="77777777" w:rsidTr="006D4A81">
        <w:trPr>
          <w:trHeight w:val="240"/>
        </w:trPr>
        <w:tc>
          <w:tcPr>
            <w:tcW w:w="4112" w:type="dxa"/>
            <w:tcBorders>
              <w:top w:val="single" w:sz="12" w:space="0" w:color="auto"/>
              <w:bottom w:val="single" w:sz="4" w:space="0" w:color="auto"/>
            </w:tcBorders>
            <w:shd w:val="clear" w:color="auto" w:fill="auto"/>
            <w:noWrap/>
          </w:tcPr>
          <w:p w14:paraId="5FE482C6"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Multilateral climate change funds</w:t>
            </w:r>
          </w:p>
          <w:p w14:paraId="5C79D6FF"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1.  Global Environment Facility</w:t>
            </w:r>
          </w:p>
          <w:p w14:paraId="4939D226"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2.  Least Developed Countries Fund</w:t>
            </w:r>
          </w:p>
          <w:p w14:paraId="4A3FC9A8"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3.  Special Climate Change Fund</w:t>
            </w:r>
          </w:p>
          <w:p w14:paraId="0C28014F"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4.  Adaptation Fund</w:t>
            </w:r>
          </w:p>
          <w:p w14:paraId="75C6EDEA"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5.  Green Climate Fund</w:t>
            </w:r>
          </w:p>
          <w:p w14:paraId="6BA22F61"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 xml:space="preserve">6.  </w:t>
            </w:r>
            <w:r w:rsidRPr="00F93D9B">
              <w:rPr>
                <w:rFonts w:eastAsia="MS Mincho"/>
                <w:sz w:val="18"/>
                <w:szCs w:val="18"/>
                <w:lang w:eastAsia="ja-JP"/>
              </w:rPr>
              <w:t>UNFCCC Trust</w:t>
            </w:r>
            <w:r w:rsidRPr="00F071DA">
              <w:rPr>
                <w:rFonts w:eastAsia="MS Mincho"/>
                <w:sz w:val="18"/>
                <w:szCs w:val="18"/>
                <w:lang w:eastAsia="ja-JP"/>
              </w:rPr>
              <w:t xml:space="preserve"> Fund for Supplementary Activities</w:t>
            </w:r>
          </w:p>
          <w:p w14:paraId="4800825E" w14:textId="77777777" w:rsidR="00895001" w:rsidRPr="00F071DA" w:rsidRDefault="00895001" w:rsidP="006D4A81">
            <w:pPr>
              <w:suppressAutoHyphens w:val="0"/>
              <w:spacing w:before="40" w:after="40" w:line="220" w:lineRule="exact"/>
              <w:rPr>
                <w:rFonts w:eastAsia="Times New Roman"/>
                <w:sz w:val="18"/>
                <w:szCs w:val="18"/>
                <w:lang w:eastAsia="en-GB"/>
              </w:rPr>
            </w:pPr>
            <w:r w:rsidRPr="00F071DA">
              <w:rPr>
                <w:rFonts w:eastAsia="MS Mincho"/>
                <w:sz w:val="18"/>
                <w:szCs w:val="18"/>
                <w:lang w:eastAsia="ja-JP"/>
              </w:rPr>
              <w:t>7.  Other multilateral climate change funds</w:t>
            </w:r>
          </w:p>
        </w:tc>
        <w:tc>
          <w:tcPr>
            <w:tcW w:w="916" w:type="dxa"/>
            <w:gridSpan w:val="2"/>
            <w:tcBorders>
              <w:top w:val="single" w:sz="12" w:space="0" w:color="auto"/>
              <w:bottom w:val="single" w:sz="4" w:space="0" w:color="auto"/>
            </w:tcBorders>
            <w:shd w:val="clear" w:color="auto" w:fill="auto"/>
            <w:noWrap/>
            <w:vAlign w:val="bottom"/>
          </w:tcPr>
          <w:p w14:paraId="569619CD"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16" w:type="dxa"/>
            <w:gridSpan w:val="2"/>
            <w:tcBorders>
              <w:top w:val="single" w:sz="12" w:space="0" w:color="auto"/>
              <w:bottom w:val="single" w:sz="4" w:space="0" w:color="auto"/>
            </w:tcBorders>
            <w:shd w:val="clear" w:color="auto" w:fill="auto"/>
            <w:noWrap/>
            <w:vAlign w:val="bottom"/>
          </w:tcPr>
          <w:p w14:paraId="5768BC84" w14:textId="77777777" w:rsidR="00895001" w:rsidRPr="00F071DA" w:rsidRDefault="00895001" w:rsidP="006D4A81">
            <w:pPr>
              <w:suppressAutoHyphens w:val="0"/>
              <w:spacing w:before="40" w:after="40" w:line="220" w:lineRule="exact"/>
              <w:rPr>
                <w:rFonts w:eastAsia="MS Mincho"/>
                <w:sz w:val="18"/>
                <w:szCs w:val="18"/>
                <w:lang w:eastAsia="ja-JP"/>
              </w:rPr>
            </w:pPr>
          </w:p>
        </w:tc>
        <w:tc>
          <w:tcPr>
            <w:tcW w:w="578" w:type="dxa"/>
            <w:gridSpan w:val="2"/>
            <w:tcBorders>
              <w:top w:val="single" w:sz="12" w:space="0" w:color="auto"/>
              <w:bottom w:val="single" w:sz="4" w:space="0" w:color="auto"/>
            </w:tcBorders>
          </w:tcPr>
          <w:p w14:paraId="6814F52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567" w:type="dxa"/>
            <w:tcBorders>
              <w:top w:val="single" w:sz="12" w:space="0" w:color="auto"/>
              <w:bottom w:val="single" w:sz="4" w:space="0" w:color="auto"/>
            </w:tcBorders>
          </w:tcPr>
          <w:p w14:paraId="070D09B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850" w:type="dxa"/>
            <w:tcBorders>
              <w:top w:val="single" w:sz="12" w:space="0" w:color="auto"/>
              <w:bottom w:val="single" w:sz="4" w:space="0" w:color="auto"/>
            </w:tcBorders>
            <w:shd w:val="clear" w:color="auto" w:fill="auto"/>
            <w:vAlign w:val="bottom"/>
          </w:tcPr>
          <w:p w14:paraId="1A3BA98C"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20" w:type="dxa"/>
            <w:tcBorders>
              <w:top w:val="single" w:sz="12" w:space="0" w:color="auto"/>
              <w:bottom w:val="single" w:sz="4" w:space="0" w:color="auto"/>
            </w:tcBorders>
            <w:shd w:val="clear" w:color="auto" w:fill="auto"/>
            <w:vAlign w:val="bottom"/>
          </w:tcPr>
          <w:p w14:paraId="7DE42C6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265" w:type="dxa"/>
            <w:tcBorders>
              <w:top w:val="single" w:sz="12" w:space="0" w:color="auto"/>
              <w:bottom w:val="single" w:sz="4" w:space="0" w:color="auto"/>
            </w:tcBorders>
            <w:shd w:val="clear" w:color="auto" w:fill="auto"/>
            <w:vAlign w:val="bottom"/>
          </w:tcPr>
          <w:p w14:paraId="35899097"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92" w:type="dxa"/>
            <w:tcBorders>
              <w:top w:val="single" w:sz="12" w:space="0" w:color="auto"/>
              <w:bottom w:val="single" w:sz="4" w:space="0" w:color="auto"/>
            </w:tcBorders>
            <w:shd w:val="clear" w:color="auto" w:fill="auto"/>
            <w:noWrap/>
            <w:vAlign w:val="bottom"/>
          </w:tcPr>
          <w:p w14:paraId="797CCAD7"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559" w:type="dxa"/>
            <w:tcBorders>
              <w:top w:val="single" w:sz="12" w:space="0" w:color="auto"/>
              <w:bottom w:val="single" w:sz="4" w:space="0" w:color="auto"/>
            </w:tcBorders>
            <w:shd w:val="clear" w:color="auto" w:fill="auto"/>
            <w:noWrap/>
            <w:vAlign w:val="bottom"/>
          </w:tcPr>
          <w:p w14:paraId="437EA014"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867FF9" w14:paraId="6DEE6F99" w14:textId="77777777" w:rsidTr="006D4A81">
        <w:trPr>
          <w:trHeight w:val="240"/>
        </w:trPr>
        <w:tc>
          <w:tcPr>
            <w:tcW w:w="4112" w:type="dxa"/>
            <w:tcBorders>
              <w:top w:val="single" w:sz="4" w:space="0" w:color="auto"/>
              <w:bottom w:val="single" w:sz="4" w:space="0" w:color="auto"/>
            </w:tcBorders>
            <w:shd w:val="clear" w:color="auto" w:fill="auto"/>
            <w:noWrap/>
          </w:tcPr>
          <w:p w14:paraId="2346E17C" w14:textId="77777777" w:rsidR="00895001" w:rsidRPr="00867FF9" w:rsidRDefault="00895001" w:rsidP="006D4A81">
            <w:pPr>
              <w:suppressAutoHyphens w:val="0"/>
              <w:spacing w:before="40" w:after="40" w:line="220" w:lineRule="exact"/>
              <w:rPr>
                <w:rFonts w:eastAsia="MS Mincho"/>
                <w:b/>
                <w:sz w:val="18"/>
                <w:szCs w:val="18"/>
                <w:lang w:eastAsia="ja-JP"/>
              </w:rPr>
            </w:pPr>
            <w:r w:rsidRPr="00867FF9">
              <w:rPr>
                <w:rFonts w:eastAsia="MS Mincho"/>
                <w:b/>
                <w:sz w:val="18"/>
                <w:szCs w:val="18"/>
                <w:lang w:eastAsia="ja-JP"/>
              </w:rPr>
              <w:t xml:space="preserve">Subtotal </w:t>
            </w:r>
          </w:p>
        </w:tc>
        <w:tc>
          <w:tcPr>
            <w:tcW w:w="916" w:type="dxa"/>
            <w:gridSpan w:val="2"/>
            <w:tcBorders>
              <w:top w:val="single" w:sz="4" w:space="0" w:color="auto"/>
              <w:bottom w:val="single" w:sz="4" w:space="0" w:color="auto"/>
            </w:tcBorders>
            <w:shd w:val="clear" w:color="auto" w:fill="auto"/>
            <w:noWrap/>
            <w:vAlign w:val="bottom"/>
          </w:tcPr>
          <w:p w14:paraId="714516C1"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4" w:space="0" w:color="auto"/>
              <w:bottom w:val="single" w:sz="4" w:space="0" w:color="auto"/>
            </w:tcBorders>
            <w:shd w:val="clear" w:color="auto" w:fill="auto"/>
            <w:noWrap/>
            <w:vAlign w:val="bottom"/>
          </w:tcPr>
          <w:p w14:paraId="0286D99C" w14:textId="77777777" w:rsidR="00895001" w:rsidRPr="00867FF9" w:rsidRDefault="00895001" w:rsidP="006D4A81">
            <w:pPr>
              <w:suppressAutoHyphens w:val="0"/>
              <w:spacing w:before="40" w:after="40" w:line="220" w:lineRule="exact"/>
              <w:rPr>
                <w:rFonts w:eastAsia="MS Mincho"/>
                <w:b/>
                <w:sz w:val="18"/>
                <w:szCs w:val="18"/>
                <w:lang w:eastAsia="ja-JP"/>
              </w:rPr>
            </w:pPr>
          </w:p>
        </w:tc>
        <w:tc>
          <w:tcPr>
            <w:tcW w:w="578" w:type="dxa"/>
            <w:gridSpan w:val="2"/>
            <w:tcBorders>
              <w:top w:val="single" w:sz="4" w:space="0" w:color="auto"/>
              <w:bottom w:val="single" w:sz="4" w:space="0" w:color="auto"/>
            </w:tcBorders>
          </w:tcPr>
          <w:p w14:paraId="0A56F3F1"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567" w:type="dxa"/>
            <w:tcBorders>
              <w:top w:val="single" w:sz="4" w:space="0" w:color="auto"/>
              <w:bottom w:val="single" w:sz="4" w:space="0" w:color="auto"/>
            </w:tcBorders>
          </w:tcPr>
          <w:p w14:paraId="44D915DB"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850" w:type="dxa"/>
            <w:tcBorders>
              <w:top w:val="single" w:sz="4" w:space="0" w:color="auto"/>
              <w:bottom w:val="single" w:sz="4" w:space="0" w:color="auto"/>
            </w:tcBorders>
            <w:shd w:val="clear" w:color="auto" w:fill="auto"/>
            <w:vAlign w:val="bottom"/>
          </w:tcPr>
          <w:p w14:paraId="572850F5"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720" w:type="dxa"/>
            <w:tcBorders>
              <w:top w:val="single" w:sz="4" w:space="0" w:color="auto"/>
              <w:bottom w:val="single" w:sz="4" w:space="0" w:color="auto"/>
            </w:tcBorders>
            <w:shd w:val="clear" w:color="auto" w:fill="auto"/>
            <w:vAlign w:val="bottom"/>
          </w:tcPr>
          <w:p w14:paraId="40B6B2D3"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1265" w:type="dxa"/>
            <w:tcBorders>
              <w:top w:val="single" w:sz="4" w:space="0" w:color="auto"/>
              <w:bottom w:val="single" w:sz="4" w:space="0" w:color="auto"/>
            </w:tcBorders>
            <w:shd w:val="clear" w:color="auto" w:fill="auto"/>
            <w:vAlign w:val="bottom"/>
          </w:tcPr>
          <w:p w14:paraId="3BF7311A"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992" w:type="dxa"/>
            <w:tcBorders>
              <w:top w:val="single" w:sz="4" w:space="0" w:color="auto"/>
              <w:bottom w:val="single" w:sz="4" w:space="0" w:color="auto"/>
            </w:tcBorders>
            <w:shd w:val="clear" w:color="auto" w:fill="auto"/>
            <w:noWrap/>
            <w:vAlign w:val="bottom"/>
          </w:tcPr>
          <w:p w14:paraId="1523943B"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c>
          <w:tcPr>
            <w:tcW w:w="1559" w:type="dxa"/>
            <w:tcBorders>
              <w:top w:val="single" w:sz="4" w:space="0" w:color="auto"/>
              <w:bottom w:val="single" w:sz="4" w:space="0" w:color="auto"/>
            </w:tcBorders>
            <w:shd w:val="clear" w:color="auto" w:fill="auto"/>
            <w:noWrap/>
            <w:vAlign w:val="bottom"/>
          </w:tcPr>
          <w:p w14:paraId="10FA507C" w14:textId="77777777" w:rsidR="00895001" w:rsidRPr="00867FF9" w:rsidRDefault="00895001" w:rsidP="006D4A81">
            <w:pPr>
              <w:suppressAutoHyphens w:val="0"/>
              <w:spacing w:before="40" w:after="40" w:line="220" w:lineRule="exact"/>
              <w:ind w:left="113"/>
              <w:jc w:val="right"/>
              <w:rPr>
                <w:rFonts w:eastAsia="Times New Roman"/>
                <w:b/>
                <w:sz w:val="18"/>
                <w:szCs w:val="18"/>
                <w:lang w:eastAsia="en-GB"/>
              </w:rPr>
            </w:pPr>
          </w:p>
        </w:tc>
      </w:tr>
      <w:tr w:rsidR="00895001" w:rsidRPr="00F071DA" w14:paraId="041DD7C5" w14:textId="77777777" w:rsidTr="006D4A81">
        <w:trPr>
          <w:trHeight w:val="240"/>
        </w:trPr>
        <w:tc>
          <w:tcPr>
            <w:tcW w:w="4112" w:type="dxa"/>
            <w:tcBorders>
              <w:top w:val="single" w:sz="4" w:space="0" w:color="auto"/>
              <w:bottom w:val="single" w:sz="4" w:space="0" w:color="auto"/>
            </w:tcBorders>
            <w:shd w:val="clear" w:color="auto" w:fill="auto"/>
            <w:noWrap/>
          </w:tcPr>
          <w:p w14:paraId="6F3C3684"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Multilateral financial institutions, including regional development banks</w:t>
            </w:r>
          </w:p>
          <w:p w14:paraId="74046268"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1.  World Bank</w:t>
            </w:r>
          </w:p>
          <w:p w14:paraId="674024BE"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2.  International Finance Corporation</w:t>
            </w:r>
          </w:p>
          <w:p w14:paraId="22CE7BB2"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3.  African Development Bank</w:t>
            </w:r>
          </w:p>
          <w:p w14:paraId="666C1A01"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4.  Asian Development Bank</w:t>
            </w:r>
          </w:p>
          <w:p w14:paraId="5C2E76FF" w14:textId="77777777" w:rsidR="00895001" w:rsidRPr="00F071DA" w:rsidRDefault="00895001"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5.  European Bank for Reconstruction and Development</w:t>
            </w:r>
          </w:p>
          <w:p w14:paraId="7D97FE48" w14:textId="77777777" w:rsidR="00895001" w:rsidRPr="001B70BB" w:rsidRDefault="00895001" w:rsidP="006D4A81">
            <w:pPr>
              <w:suppressAutoHyphens w:val="0"/>
              <w:spacing w:before="40" w:after="40" w:line="220" w:lineRule="exact"/>
              <w:rPr>
                <w:rFonts w:eastAsia="MS Mincho"/>
                <w:b/>
                <w:sz w:val="18"/>
                <w:szCs w:val="18"/>
                <w:lang w:eastAsia="ja-JP"/>
              </w:rPr>
            </w:pPr>
            <w:r w:rsidRPr="00F071DA">
              <w:rPr>
                <w:rFonts w:eastAsia="MS Mincho"/>
                <w:sz w:val="18"/>
                <w:szCs w:val="18"/>
                <w:lang w:eastAsia="ja-JP"/>
              </w:rPr>
              <w:t>6.  Inter-American Development Bank</w:t>
            </w:r>
            <w:r>
              <w:rPr>
                <w:rFonts w:eastAsia="MS Mincho"/>
                <w:sz w:val="18"/>
                <w:szCs w:val="18"/>
                <w:lang w:eastAsia="ja-JP"/>
              </w:rPr>
              <w:t xml:space="preserve">                           </w:t>
            </w:r>
            <w:r w:rsidRPr="00F071DA">
              <w:rPr>
                <w:rFonts w:eastAsia="MS Mincho"/>
                <w:sz w:val="18"/>
                <w:szCs w:val="18"/>
                <w:lang w:eastAsia="ja-JP"/>
              </w:rPr>
              <w:t>7.  Other</w:t>
            </w:r>
          </w:p>
        </w:tc>
        <w:tc>
          <w:tcPr>
            <w:tcW w:w="916" w:type="dxa"/>
            <w:gridSpan w:val="2"/>
            <w:tcBorders>
              <w:top w:val="single" w:sz="4" w:space="0" w:color="auto"/>
              <w:bottom w:val="single" w:sz="4" w:space="0" w:color="auto"/>
            </w:tcBorders>
            <w:shd w:val="clear" w:color="auto" w:fill="auto"/>
            <w:noWrap/>
            <w:vAlign w:val="bottom"/>
          </w:tcPr>
          <w:p w14:paraId="4B0314B4"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4" w:space="0" w:color="auto"/>
              <w:bottom w:val="single" w:sz="4" w:space="0" w:color="auto"/>
            </w:tcBorders>
            <w:shd w:val="clear" w:color="auto" w:fill="auto"/>
            <w:noWrap/>
            <w:vAlign w:val="bottom"/>
          </w:tcPr>
          <w:p w14:paraId="503E23AB" w14:textId="77777777" w:rsidR="00895001" w:rsidRPr="001B70BB" w:rsidRDefault="00895001" w:rsidP="006D4A81">
            <w:pPr>
              <w:suppressAutoHyphens w:val="0"/>
              <w:spacing w:before="40" w:after="40" w:line="220" w:lineRule="exact"/>
              <w:rPr>
                <w:rFonts w:eastAsia="MS Mincho"/>
                <w:b/>
                <w:sz w:val="18"/>
                <w:szCs w:val="18"/>
                <w:lang w:eastAsia="ja-JP"/>
              </w:rPr>
            </w:pPr>
          </w:p>
        </w:tc>
        <w:tc>
          <w:tcPr>
            <w:tcW w:w="578" w:type="dxa"/>
            <w:gridSpan w:val="2"/>
            <w:tcBorders>
              <w:top w:val="single" w:sz="4" w:space="0" w:color="auto"/>
              <w:bottom w:val="single" w:sz="4" w:space="0" w:color="auto"/>
            </w:tcBorders>
          </w:tcPr>
          <w:p w14:paraId="7AEB2EA2"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567" w:type="dxa"/>
            <w:tcBorders>
              <w:top w:val="single" w:sz="4" w:space="0" w:color="auto"/>
              <w:bottom w:val="single" w:sz="4" w:space="0" w:color="auto"/>
            </w:tcBorders>
          </w:tcPr>
          <w:p w14:paraId="2B69030D"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850" w:type="dxa"/>
            <w:tcBorders>
              <w:top w:val="single" w:sz="4" w:space="0" w:color="auto"/>
              <w:bottom w:val="single" w:sz="4" w:space="0" w:color="auto"/>
            </w:tcBorders>
            <w:shd w:val="clear" w:color="auto" w:fill="auto"/>
            <w:vAlign w:val="bottom"/>
          </w:tcPr>
          <w:p w14:paraId="76A6C97C"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720" w:type="dxa"/>
            <w:tcBorders>
              <w:top w:val="single" w:sz="4" w:space="0" w:color="auto"/>
              <w:bottom w:val="single" w:sz="4" w:space="0" w:color="auto"/>
            </w:tcBorders>
            <w:shd w:val="clear" w:color="auto" w:fill="auto"/>
            <w:vAlign w:val="bottom"/>
          </w:tcPr>
          <w:p w14:paraId="778C89FD"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1265" w:type="dxa"/>
            <w:tcBorders>
              <w:top w:val="single" w:sz="4" w:space="0" w:color="auto"/>
              <w:bottom w:val="single" w:sz="4" w:space="0" w:color="auto"/>
            </w:tcBorders>
            <w:shd w:val="clear" w:color="auto" w:fill="auto"/>
            <w:vAlign w:val="bottom"/>
          </w:tcPr>
          <w:p w14:paraId="659696FC"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992" w:type="dxa"/>
            <w:tcBorders>
              <w:top w:val="single" w:sz="4" w:space="0" w:color="auto"/>
              <w:bottom w:val="single" w:sz="4" w:space="0" w:color="auto"/>
            </w:tcBorders>
            <w:shd w:val="clear" w:color="auto" w:fill="auto"/>
            <w:noWrap/>
            <w:vAlign w:val="bottom"/>
          </w:tcPr>
          <w:p w14:paraId="5D2B26EC"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c>
          <w:tcPr>
            <w:tcW w:w="1559" w:type="dxa"/>
            <w:tcBorders>
              <w:top w:val="single" w:sz="4" w:space="0" w:color="auto"/>
              <w:bottom w:val="single" w:sz="4" w:space="0" w:color="auto"/>
            </w:tcBorders>
            <w:shd w:val="clear" w:color="auto" w:fill="auto"/>
            <w:noWrap/>
            <w:vAlign w:val="bottom"/>
          </w:tcPr>
          <w:p w14:paraId="5B8122B8" w14:textId="77777777" w:rsidR="00895001" w:rsidRPr="001B70BB" w:rsidRDefault="00895001" w:rsidP="006D4A81">
            <w:pPr>
              <w:suppressAutoHyphens w:val="0"/>
              <w:spacing w:before="40" w:after="40" w:line="220" w:lineRule="exact"/>
              <w:ind w:left="113"/>
              <w:jc w:val="right"/>
              <w:rPr>
                <w:rFonts w:eastAsia="Times New Roman"/>
                <w:b/>
                <w:sz w:val="18"/>
                <w:szCs w:val="18"/>
                <w:lang w:eastAsia="en-GB"/>
              </w:rPr>
            </w:pPr>
          </w:p>
        </w:tc>
      </w:tr>
      <w:tr w:rsidR="00895001" w:rsidRPr="001B70BB" w14:paraId="0CC0DB5A" w14:textId="77777777" w:rsidTr="008B46C0">
        <w:trPr>
          <w:trHeight w:val="254"/>
        </w:trPr>
        <w:tc>
          <w:tcPr>
            <w:tcW w:w="4112" w:type="dxa"/>
            <w:tcBorders>
              <w:top w:val="single" w:sz="4" w:space="0" w:color="auto"/>
              <w:left w:val="nil"/>
              <w:bottom w:val="single" w:sz="4" w:space="0" w:color="auto"/>
              <w:right w:val="nil"/>
            </w:tcBorders>
            <w:shd w:val="clear" w:color="auto" w:fill="auto"/>
            <w:noWrap/>
          </w:tcPr>
          <w:p w14:paraId="07EB5BC3" w14:textId="77777777" w:rsidR="00895001" w:rsidRPr="001B70BB" w:rsidRDefault="00895001" w:rsidP="006D4A81">
            <w:pPr>
              <w:suppressAutoHyphens w:val="0"/>
              <w:spacing w:before="40" w:after="40" w:line="220" w:lineRule="exact"/>
              <w:rPr>
                <w:rFonts w:eastAsia="Times New Roman"/>
                <w:b/>
                <w:sz w:val="18"/>
                <w:szCs w:val="18"/>
                <w:lang w:eastAsia="en-GB"/>
              </w:rPr>
            </w:pPr>
            <w:r w:rsidRPr="001B70BB">
              <w:rPr>
                <w:rFonts w:eastAsia="MS Mincho"/>
                <w:b/>
                <w:sz w:val="18"/>
                <w:szCs w:val="18"/>
                <w:lang w:eastAsia="ja-JP"/>
              </w:rPr>
              <w:t xml:space="preserve">Subtotal </w:t>
            </w:r>
          </w:p>
        </w:tc>
        <w:tc>
          <w:tcPr>
            <w:tcW w:w="916" w:type="dxa"/>
            <w:gridSpan w:val="2"/>
            <w:tcBorders>
              <w:top w:val="single" w:sz="4" w:space="0" w:color="auto"/>
              <w:left w:val="nil"/>
              <w:bottom w:val="single" w:sz="4" w:space="0" w:color="auto"/>
              <w:right w:val="nil"/>
            </w:tcBorders>
            <w:shd w:val="clear" w:color="auto" w:fill="auto"/>
            <w:noWrap/>
          </w:tcPr>
          <w:p w14:paraId="6B2C0E58"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916" w:type="dxa"/>
            <w:gridSpan w:val="2"/>
            <w:tcBorders>
              <w:top w:val="single" w:sz="4" w:space="0" w:color="auto"/>
              <w:left w:val="nil"/>
              <w:bottom w:val="single" w:sz="4" w:space="0" w:color="auto"/>
              <w:right w:val="nil"/>
            </w:tcBorders>
            <w:shd w:val="clear" w:color="auto" w:fill="auto"/>
            <w:noWrap/>
          </w:tcPr>
          <w:p w14:paraId="142F4340"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578" w:type="dxa"/>
            <w:gridSpan w:val="2"/>
            <w:tcBorders>
              <w:top w:val="single" w:sz="4" w:space="0" w:color="auto"/>
              <w:left w:val="nil"/>
              <w:bottom w:val="single" w:sz="4" w:space="0" w:color="auto"/>
              <w:right w:val="nil"/>
            </w:tcBorders>
          </w:tcPr>
          <w:p w14:paraId="7433BCB2"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567" w:type="dxa"/>
            <w:tcBorders>
              <w:top w:val="single" w:sz="4" w:space="0" w:color="auto"/>
              <w:left w:val="nil"/>
              <w:bottom w:val="single" w:sz="4" w:space="0" w:color="auto"/>
              <w:right w:val="nil"/>
            </w:tcBorders>
          </w:tcPr>
          <w:p w14:paraId="7FDAFFAE"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850" w:type="dxa"/>
            <w:tcBorders>
              <w:top w:val="single" w:sz="4" w:space="0" w:color="auto"/>
              <w:left w:val="nil"/>
              <w:bottom w:val="single" w:sz="4" w:space="0" w:color="auto"/>
              <w:right w:val="nil"/>
            </w:tcBorders>
            <w:shd w:val="clear" w:color="auto" w:fill="auto"/>
          </w:tcPr>
          <w:p w14:paraId="0F8FC28E"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720" w:type="dxa"/>
            <w:tcBorders>
              <w:top w:val="single" w:sz="4" w:space="0" w:color="auto"/>
              <w:left w:val="nil"/>
              <w:bottom w:val="single" w:sz="4" w:space="0" w:color="auto"/>
              <w:right w:val="nil"/>
            </w:tcBorders>
            <w:shd w:val="clear" w:color="auto" w:fill="auto"/>
          </w:tcPr>
          <w:p w14:paraId="19277D4E"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1265" w:type="dxa"/>
            <w:tcBorders>
              <w:top w:val="single" w:sz="4" w:space="0" w:color="auto"/>
              <w:left w:val="nil"/>
              <w:bottom w:val="single" w:sz="4" w:space="0" w:color="auto"/>
              <w:right w:val="nil"/>
            </w:tcBorders>
            <w:shd w:val="clear" w:color="auto" w:fill="auto"/>
          </w:tcPr>
          <w:p w14:paraId="1AFEEA43"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992" w:type="dxa"/>
            <w:tcBorders>
              <w:top w:val="single" w:sz="4" w:space="0" w:color="auto"/>
              <w:left w:val="nil"/>
              <w:bottom w:val="single" w:sz="4" w:space="0" w:color="auto"/>
              <w:right w:val="nil"/>
            </w:tcBorders>
            <w:shd w:val="clear" w:color="auto" w:fill="auto"/>
            <w:noWrap/>
          </w:tcPr>
          <w:p w14:paraId="406DC669"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c>
          <w:tcPr>
            <w:tcW w:w="1559" w:type="dxa"/>
            <w:tcBorders>
              <w:top w:val="single" w:sz="4" w:space="0" w:color="auto"/>
              <w:left w:val="nil"/>
              <w:bottom w:val="single" w:sz="4" w:space="0" w:color="auto"/>
              <w:right w:val="nil"/>
            </w:tcBorders>
            <w:shd w:val="clear" w:color="auto" w:fill="auto"/>
            <w:noWrap/>
          </w:tcPr>
          <w:p w14:paraId="4E617B37" w14:textId="77777777" w:rsidR="00895001" w:rsidRPr="001B70BB" w:rsidRDefault="00895001" w:rsidP="006D4A81">
            <w:pPr>
              <w:suppressAutoHyphens w:val="0"/>
              <w:spacing w:before="40" w:after="40" w:line="220" w:lineRule="exact"/>
              <w:ind w:left="113"/>
              <w:rPr>
                <w:rFonts w:eastAsia="Times New Roman"/>
                <w:b/>
                <w:sz w:val="18"/>
                <w:szCs w:val="18"/>
                <w:lang w:eastAsia="en-GB"/>
              </w:rPr>
            </w:pPr>
          </w:p>
        </w:tc>
      </w:tr>
      <w:tr w:rsidR="008B46C0" w:rsidRPr="001B70BB" w14:paraId="50EDDCE0" w14:textId="77777777" w:rsidTr="008B46C0">
        <w:trPr>
          <w:trHeight w:val="254"/>
        </w:trPr>
        <w:tc>
          <w:tcPr>
            <w:tcW w:w="4112" w:type="dxa"/>
            <w:tcBorders>
              <w:top w:val="single" w:sz="4" w:space="0" w:color="auto"/>
              <w:left w:val="nil"/>
              <w:bottom w:val="nil"/>
              <w:right w:val="nil"/>
            </w:tcBorders>
            <w:shd w:val="clear" w:color="auto" w:fill="auto"/>
            <w:noWrap/>
          </w:tcPr>
          <w:p w14:paraId="6CC5085A" w14:textId="77777777" w:rsidR="008B46C0" w:rsidRPr="001B70BB" w:rsidRDefault="008B46C0" w:rsidP="006D4A81">
            <w:pPr>
              <w:suppressAutoHyphens w:val="0"/>
              <w:spacing w:before="40" w:after="40" w:line="220" w:lineRule="exact"/>
              <w:rPr>
                <w:rFonts w:eastAsia="MS Mincho"/>
                <w:b/>
                <w:sz w:val="18"/>
                <w:szCs w:val="18"/>
                <w:lang w:eastAsia="ja-JP"/>
              </w:rPr>
            </w:pPr>
          </w:p>
        </w:tc>
        <w:tc>
          <w:tcPr>
            <w:tcW w:w="916" w:type="dxa"/>
            <w:gridSpan w:val="2"/>
            <w:tcBorders>
              <w:top w:val="single" w:sz="4" w:space="0" w:color="auto"/>
              <w:left w:val="nil"/>
              <w:bottom w:val="nil"/>
              <w:right w:val="nil"/>
            </w:tcBorders>
            <w:shd w:val="clear" w:color="auto" w:fill="auto"/>
            <w:noWrap/>
          </w:tcPr>
          <w:p w14:paraId="5DDE6499"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916" w:type="dxa"/>
            <w:gridSpan w:val="2"/>
            <w:tcBorders>
              <w:top w:val="single" w:sz="4" w:space="0" w:color="auto"/>
              <w:left w:val="nil"/>
              <w:bottom w:val="nil"/>
              <w:right w:val="nil"/>
            </w:tcBorders>
            <w:shd w:val="clear" w:color="auto" w:fill="auto"/>
            <w:noWrap/>
          </w:tcPr>
          <w:p w14:paraId="37C61DD2"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578" w:type="dxa"/>
            <w:gridSpan w:val="2"/>
            <w:tcBorders>
              <w:top w:val="single" w:sz="4" w:space="0" w:color="auto"/>
              <w:left w:val="nil"/>
              <w:bottom w:val="nil"/>
              <w:right w:val="nil"/>
            </w:tcBorders>
          </w:tcPr>
          <w:p w14:paraId="4672CBC5"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567" w:type="dxa"/>
            <w:tcBorders>
              <w:top w:val="single" w:sz="4" w:space="0" w:color="auto"/>
              <w:left w:val="nil"/>
              <w:bottom w:val="nil"/>
              <w:right w:val="nil"/>
            </w:tcBorders>
          </w:tcPr>
          <w:p w14:paraId="3D000D2C"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850" w:type="dxa"/>
            <w:tcBorders>
              <w:top w:val="single" w:sz="4" w:space="0" w:color="auto"/>
              <w:left w:val="nil"/>
              <w:bottom w:val="nil"/>
              <w:right w:val="nil"/>
            </w:tcBorders>
            <w:shd w:val="clear" w:color="auto" w:fill="auto"/>
          </w:tcPr>
          <w:p w14:paraId="46062B33"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720" w:type="dxa"/>
            <w:tcBorders>
              <w:top w:val="single" w:sz="4" w:space="0" w:color="auto"/>
              <w:left w:val="nil"/>
              <w:bottom w:val="nil"/>
              <w:right w:val="nil"/>
            </w:tcBorders>
            <w:shd w:val="clear" w:color="auto" w:fill="auto"/>
          </w:tcPr>
          <w:p w14:paraId="75B411AD"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1265" w:type="dxa"/>
            <w:tcBorders>
              <w:top w:val="single" w:sz="4" w:space="0" w:color="auto"/>
              <w:left w:val="nil"/>
              <w:bottom w:val="nil"/>
              <w:right w:val="nil"/>
            </w:tcBorders>
            <w:shd w:val="clear" w:color="auto" w:fill="auto"/>
          </w:tcPr>
          <w:p w14:paraId="181704FF"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992" w:type="dxa"/>
            <w:tcBorders>
              <w:top w:val="single" w:sz="4" w:space="0" w:color="auto"/>
              <w:left w:val="nil"/>
              <w:bottom w:val="nil"/>
              <w:right w:val="nil"/>
            </w:tcBorders>
            <w:shd w:val="clear" w:color="auto" w:fill="auto"/>
            <w:noWrap/>
          </w:tcPr>
          <w:p w14:paraId="46277ABC"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1559" w:type="dxa"/>
            <w:tcBorders>
              <w:top w:val="single" w:sz="4" w:space="0" w:color="auto"/>
              <w:left w:val="nil"/>
              <w:bottom w:val="nil"/>
              <w:right w:val="nil"/>
            </w:tcBorders>
            <w:shd w:val="clear" w:color="auto" w:fill="auto"/>
            <w:noWrap/>
          </w:tcPr>
          <w:p w14:paraId="739C5ECD"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r>
      <w:tr w:rsidR="008B46C0" w:rsidRPr="001B70BB" w14:paraId="658D5FC0" w14:textId="77777777" w:rsidTr="008B46C0">
        <w:trPr>
          <w:trHeight w:val="254"/>
        </w:trPr>
        <w:tc>
          <w:tcPr>
            <w:tcW w:w="4112" w:type="dxa"/>
            <w:tcBorders>
              <w:top w:val="nil"/>
              <w:left w:val="nil"/>
              <w:bottom w:val="nil"/>
              <w:right w:val="nil"/>
            </w:tcBorders>
            <w:shd w:val="clear" w:color="auto" w:fill="auto"/>
            <w:noWrap/>
          </w:tcPr>
          <w:p w14:paraId="7B9F36AB" w14:textId="77777777" w:rsidR="008B46C0" w:rsidRDefault="008B46C0" w:rsidP="006D4A81">
            <w:pPr>
              <w:suppressAutoHyphens w:val="0"/>
              <w:spacing w:before="40" w:after="40" w:line="220" w:lineRule="exact"/>
              <w:rPr>
                <w:rFonts w:eastAsia="MS Mincho"/>
                <w:b/>
                <w:sz w:val="18"/>
                <w:szCs w:val="18"/>
                <w:lang w:eastAsia="ja-JP"/>
              </w:rPr>
            </w:pPr>
          </w:p>
          <w:p w14:paraId="260129DF" w14:textId="77777777" w:rsidR="008B46C0" w:rsidRDefault="008B46C0" w:rsidP="006D4A81">
            <w:pPr>
              <w:suppressAutoHyphens w:val="0"/>
              <w:spacing w:before="40" w:after="40" w:line="220" w:lineRule="exact"/>
              <w:rPr>
                <w:rFonts w:eastAsia="MS Mincho"/>
                <w:b/>
                <w:sz w:val="18"/>
                <w:szCs w:val="18"/>
                <w:lang w:eastAsia="ja-JP"/>
              </w:rPr>
            </w:pPr>
          </w:p>
          <w:p w14:paraId="302FC2BF" w14:textId="77777777" w:rsidR="008B46C0" w:rsidRPr="001B70BB" w:rsidRDefault="008B46C0" w:rsidP="006D4A81">
            <w:pPr>
              <w:suppressAutoHyphens w:val="0"/>
              <w:spacing w:before="40" w:after="40" w:line="220" w:lineRule="exact"/>
              <w:rPr>
                <w:rFonts w:eastAsia="MS Mincho"/>
                <w:b/>
                <w:sz w:val="18"/>
                <w:szCs w:val="18"/>
                <w:lang w:eastAsia="ja-JP"/>
              </w:rPr>
            </w:pPr>
          </w:p>
        </w:tc>
        <w:tc>
          <w:tcPr>
            <w:tcW w:w="916" w:type="dxa"/>
            <w:gridSpan w:val="2"/>
            <w:tcBorders>
              <w:top w:val="nil"/>
              <w:left w:val="nil"/>
              <w:bottom w:val="nil"/>
              <w:right w:val="nil"/>
            </w:tcBorders>
            <w:shd w:val="clear" w:color="auto" w:fill="auto"/>
            <w:noWrap/>
          </w:tcPr>
          <w:p w14:paraId="334EF51A"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916" w:type="dxa"/>
            <w:gridSpan w:val="2"/>
            <w:tcBorders>
              <w:top w:val="nil"/>
              <w:left w:val="nil"/>
              <w:bottom w:val="nil"/>
              <w:right w:val="nil"/>
            </w:tcBorders>
            <w:shd w:val="clear" w:color="auto" w:fill="auto"/>
            <w:noWrap/>
          </w:tcPr>
          <w:p w14:paraId="771DA682"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578" w:type="dxa"/>
            <w:gridSpan w:val="2"/>
            <w:tcBorders>
              <w:top w:val="nil"/>
              <w:left w:val="nil"/>
              <w:bottom w:val="nil"/>
              <w:right w:val="nil"/>
            </w:tcBorders>
          </w:tcPr>
          <w:p w14:paraId="4789AEAE"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567" w:type="dxa"/>
            <w:tcBorders>
              <w:top w:val="nil"/>
              <w:left w:val="nil"/>
              <w:bottom w:val="nil"/>
              <w:right w:val="nil"/>
            </w:tcBorders>
          </w:tcPr>
          <w:p w14:paraId="07FF20CE"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850" w:type="dxa"/>
            <w:tcBorders>
              <w:top w:val="nil"/>
              <w:left w:val="nil"/>
              <w:bottom w:val="nil"/>
              <w:right w:val="nil"/>
            </w:tcBorders>
            <w:shd w:val="clear" w:color="auto" w:fill="auto"/>
          </w:tcPr>
          <w:p w14:paraId="619A3F46"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720" w:type="dxa"/>
            <w:tcBorders>
              <w:top w:val="nil"/>
              <w:left w:val="nil"/>
              <w:bottom w:val="nil"/>
              <w:right w:val="nil"/>
            </w:tcBorders>
            <w:shd w:val="clear" w:color="auto" w:fill="auto"/>
          </w:tcPr>
          <w:p w14:paraId="757A425C"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1265" w:type="dxa"/>
            <w:tcBorders>
              <w:top w:val="nil"/>
              <w:left w:val="nil"/>
              <w:bottom w:val="nil"/>
              <w:right w:val="nil"/>
            </w:tcBorders>
            <w:shd w:val="clear" w:color="auto" w:fill="auto"/>
          </w:tcPr>
          <w:p w14:paraId="6E50ACC5"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992" w:type="dxa"/>
            <w:tcBorders>
              <w:top w:val="nil"/>
              <w:left w:val="nil"/>
              <w:bottom w:val="nil"/>
              <w:right w:val="nil"/>
            </w:tcBorders>
            <w:shd w:val="clear" w:color="auto" w:fill="auto"/>
            <w:noWrap/>
          </w:tcPr>
          <w:p w14:paraId="2800EA3E"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c>
          <w:tcPr>
            <w:tcW w:w="1559" w:type="dxa"/>
            <w:tcBorders>
              <w:top w:val="nil"/>
              <w:left w:val="nil"/>
              <w:bottom w:val="nil"/>
              <w:right w:val="nil"/>
            </w:tcBorders>
            <w:shd w:val="clear" w:color="auto" w:fill="auto"/>
            <w:noWrap/>
          </w:tcPr>
          <w:p w14:paraId="46271CEC" w14:textId="77777777" w:rsidR="008B46C0" w:rsidRPr="001B70BB" w:rsidRDefault="008B46C0" w:rsidP="006D4A81">
            <w:pPr>
              <w:suppressAutoHyphens w:val="0"/>
              <w:spacing w:before="40" w:after="40" w:line="220" w:lineRule="exact"/>
              <w:ind w:left="113"/>
              <w:rPr>
                <w:rFonts w:eastAsia="Times New Roman"/>
                <w:b/>
                <w:sz w:val="18"/>
                <w:szCs w:val="18"/>
                <w:lang w:eastAsia="en-GB"/>
              </w:rPr>
            </w:pPr>
          </w:p>
        </w:tc>
      </w:tr>
      <w:tr w:rsidR="008B46C0" w:rsidRPr="00F071DA" w14:paraId="23BB9E72" w14:textId="77777777" w:rsidTr="008B46C0">
        <w:trPr>
          <w:trHeight w:val="240"/>
        </w:trPr>
        <w:tc>
          <w:tcPr>
            <w:tcW w:w="4112" w:type="dxa"/>
            <w:tcBorders>
              <w:top w:val="nil"/>
              <w:bottom w:val="single" w:sz="4" w:space="0" w:color="auto"/>
            </w:tcBorders>
            <w:shd w:val="clear" w:color="auto" w:fill="auto"/>
            <w:noWrap/>
          </w:tcPr>
          <w:p w14:paraId="28A20D82" w14:textId="77777777" w:rsidR="008B46C0" w:rsidRPr="00F071DA" w:rsidRDefault="008B46C0"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Specialized United Nations bodies</w:t>
            </w:r>
          </w:p>
          <w:p w14:paraId="6BED0034" w14:textId="77777777" w:rsidR="008B46C0" w:rsidRPr="00F071DA" w:rsidRDefault="008B46C0"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1.  United Nations Development Programme</w:t>
            </w:r>
            <w:r w:rsidRPr="00F071DA">
              <w:rPr>
                <w:rFonts w:eastAsia="MS Mincho"/>
                <w:sz w:val="18"/>
                <w:szCs w:val="18"/>
                <w:lang w:eastAsia="ja-JP"/>
              </w:rPr>
              <w:br/>
              <w:t xml:space="preserve">     (specific programmes)</w:t>
            </w:r>
          </w:p>
          <w:p w14:paraId="7E2DABC5" w14:textId="77777777" w:rsidR="008B46C0" w:rsidRPr="00F071DA" w:rsidRDefault="008B46C0" w:rsidP="006D4A81">
            <w:pPr>
              <w:suppressAutoHyphens w:val="0"/>
              <w:spacing w:before="40" w:after="40" w:line="220" w:lineRule="exact"/>
              <w:rPr>
                <w:rFonts w:eastAsia="MS Mincho"/>
                <w:sz w:val="18"/>
                <w:szCs w:val="18"/>
                <w:lang w:eastAsia="ja-JP"/>
              </w:rPr>
            </w:pPr>
            <w:r w:rsidRPr="00F071DA">
              <w:rPr>
                <w:rFonts w:eastAsia="MS Mincho"/>
                <w:sz w:val="18"/>
                <w:szCs w:val="18"/>
                <w:lang w:eastAsia="ja-JP"/>
              </w:rPr>
              <w:t xml:space="preserve">2. United Nations Environment Programme </w:t>
            </w:r>
            <w:r w:rsidRPr="00F071DA">
              <w:rPr>
                <w:rFonts w:eastAsia="MS Mincho"/>
                <w:sz w:val="18"/>
                <w:szCs w:val="18"/>
                <w:lang w:eastAsia="ja-JP"/>
              </w:rPr>
              <w:br/>
              <w:t xml:space="preserve">    (specific programmes) </w:t>
            </w:r>
          </w:p>
          <w:p w14:paraId="39239F86" w14:textId="77777777" w:rsidR="008B46C0" w:rsidRPr="00F071DA" w:rsidRDefault="008B46C0" w:rsidP="006D4A81">
            <w:pPr>
              <w:suppressAutoHyphens w:val="0"/>
              <w:spacing w:before="40" w:after="40" w:line="220" w:lineRule="exact"/>
              <w:rPr>
                <w:rFonts w:eastAsia="Times New Roman"/>
                <w:sz w:val="18"/>
                <w:szCs w:val="18"/>
                <w:lang w:eastAsia="en-GB"/>
              </w:rPr>
            </w:pPr>
            <w:r w:rsidRPr="00F071DA">
              <w:rPr>
                <w:rFonts w:eastAsia="MS Mincho"/>
                <w:sz w:val="18"/>
                <w:szCs w:val="18"/>
                <w:lang w:eastAsia="ja-JP"/>
              </w:rPr>
              <w:t>3. Other</w:t>
            </w:r>
          </w:p>
        </w:tc>
        <w:tc>
          <w:tcPr>
            <w:tcW w:w="916" w:type="dxa"/>
            <w:gridSpan w:val="2"/>
            <w:tcBorders>
              <w:top w:val="nil"/>
              <w:bottom w:val="single" w:sz="4" w:space="0" w:color="auto"/>
            </w:tcBorders>
            <w:shd w:val="clear" w:color="auto" w:fill="auto"/>
            <w:noWrap/>
            <w:vAlign w:val="bottom"/>
          </w:tcPr>
          <w:p w14:paraId="26ABB45E"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916" w:type="dxa"/>
            <w:gridSpan w:val="2"/>
            <w:tcBorders>
              <w:top w:val="nil"/>
              <w:bottom w:val="single" w:sz="4" w:space="0" w:color="auto"/>
            </w:tcBorders>
            <w:shd w:val="clear" w:color="auto" w:fill="auto"/>
            <w:noWrap/>
            <w:vAlign w:val="bottom"/>
          </w:tcPr>
          <w:p w14:paraId="24334813"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578" w:type="dxa"/>
            <w:gridSpan w:val="2"/>
            <w:tcBorders>
              <w:top w:val="nil"/>
              <w:bottom w:val="single" w:sz="4" w:space="0" w:color="auto"/>
            </w:tcBorders>
          </w:tcPr>
          <w:p w14:paraId="5E60D725"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567" w:type="dxa"/>
            <w:tcBorders>
              <w:top w:val="nil"/>
              <w:bottom w:val="single" w:sz="4" w:space="0" w:color="auto"/>
            </w:tcBorders>
          </w:tcPr>
          <w:p w14:paraId="442A82E7"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850" w:type="dxa"/>
            <w:tcBorders>
              <w:top w:val="nil"/>
              <w:bottom w:val="single" w:sz="4" w:space="0" w:color="auto"/>
            </w:tcBorders>
            <w:shd w:val="clear" w:color="auto" w:fill="auto"/>
            <w:vAlign w:val="bottom"/>
          </w:tcPr>
          <w:p w14:paraId="2DECB74E"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720" w:type="dxa"/>
            <w:tcBorders>
              <w:top w:val="nil"/>
              <w:bottom w:val="single" w:sz="4" w:space="0" w:color="auto"/>
            </w:tcBorders>
            <w:shd w:val="clear" w:color="auto" w:fill="auto"/>
            <w:vAlign w:val="bottom"/>
          </w:tcPr>
          <w:p w14:paraId="6D40E793"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1265" w:type="dxa"/>
            <w:tcBorders>
              <w:top w:val="nil"/>
              <w:bottom w:val="single" w:sz="4" w:space="0" w:color="auto"/>
            </w:tcBorders>
            <w:shd w:val="clear" w:color="auto" w:fill="auto"/>
            <w:vAlign w:val="bottom"/>
          </w:tcPr>
          <w:p w14:paraId="6E00F41A"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992" w:type="dxa"/>
            <w:tcBorders>
              <w:top w:val="nil"/>
              <w:bottom w:val="single" w:sz="4" w:space="0" w:color="auto"/>
            </w:tcBorders>
            <w:shd w:val="clear" w:color="auto" w:fill="auto"/>
            <w:noWrap/>
            <w:vAlign w:val="bottom"/>
          </w:tcPr>
          <w:p w14:paraId="35A17378"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c>
          <w:tcPr>
            <w:tcW w:w="1559" w:type="dxa"/>
            <w:tcBorders>
              <w:top w:val="nil"/>
              <w:bottom w:val="single" w:sz="4" w:space="0" w:color="auto"/>
            </w:tcBorders>
            <w:shd w:val="clear" w:color="auto" w:fill="auto"/>
            <w:noWrap/>
            <w:vAlign w:val="bottom"/>
          </w:tcPr>
          <w:p w14:paraId="0DD79D56" w14:textId="77777777" w:rsidR="008B46C0" w:rsidRPr="00F071DA" w:rsidRDefault="008B46C0" w:rsidP="006D4A81">
            <w:pPr>
              <w:suppressAutoHyphens w:val="0"/>
              <w:spacing w:before="40" w:after="40" w:line="220" w:lineRule="exact"/>
              <w:ind w:left="113"/>
              <w:jc w:val="right"/>
              <w:rPr>
                <w:rFonts w:eastAsia="Times New Roman"/>
                <w:sz w:val="18"/>
                <w:szCs w:val="18"/>
                <w:lang w:eastAsia="en-GB"/>
              </w:rPr>
            </w:pPr>
          </w:p>
        </w:tc>
      </w:tr>
      <w:tr w:rsidR="008B46C0" w:rsidRPr="001B70BB" w14:paraId="5817AD75" w14:textId="77777777" w:rsidTr="006D4A81">
        <w:trPr>
          <w:trHeight w:val="240"/>
        </w:trPr>
        <w:tc>
          <w:tcPr>
            <w:tcW w:w="4112" w:type="dxa"/>
            <w:tcBorders>
              <w:top w:val="single" w:sz="4" w:space="0" w:color="auto"/>
              <w:bottom w:val="single" w:sz="12" w:space="0" w:color="auto"/>
            </w:tcBorders>
            <w:shd w:val="clear" w:color="auto" w:fill="auto"/>
            <w:noWrap/>
          </w:tcPr>
          <w:p w14:paraId="6FBA49B6" w14:textId="77777777" w:rsidR="008B46C0" w:rsidRPr="001B70BB" w:rsidRDefault="008B46C0" w:rsidP="006D4A81">
            <w:pPr>
              <w:suppressAutoHyphens w:val="0"/>
              <w:spacing w:before="40" w:after="40" w:line="220" w:lineRule="exact"/>
              <w:rPr>
                <w:rFonts w:eastAsia="MS Mincho"/>
                <w:b/>
                <w:sz w:val="18"/>
                <w:szCs w:val="18"/>
                <w:lang w:eastAsia="ja-JP"/>
              </w:rPr>
            </w:pPr>
            <w:r w:rsidRPr="001B70BB">
              <w:rPr>
                <w:rFonts w:eastAsia="MS Mincho"/>
                <w:b/>
                <w:sz w:val="18"/>
                <w:szCs w:val="18"/>
                <w:lang w:eastAsia="ja-JP"/>
              </w:rPr>
              <w:t>Subtotal</w:t>
            </w:r>
          </w:p>
        </w:tc>
        <w:tc>
          <w:tcPr>
            <w:tcW w:w="916" w:type="dxa"/>
            <w:gridSpan w:val="2"/>
            <w:tcBorders>
              <w:top w:val="single" w:sz="4" w:space="0" w:color="auto"/>
              <w:bottom w:val="single" w:sz="12" w:space="0" w:color="auto"/>
            </w:tcBorders>
            <w:shd w:val="clear" w:color="auto" w:fill="auto"/>
            <w:noWrap/>
            <w:vAlign w:val="bottom"/>
          </w:tcPr>
          <w:p w14:paraId="58AAC433"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4" w:space="0" w:color="auto"/>
              <w:bottom w:val="single" w:sz="12" w:space="0" w:color="auto"/>
            </w:tcBorders>
            <w:shd w:val="clear" w:color="auto" w:fill="auto"/>
            <w:noWrap/>
            <w:vAlign w:val="bottom"/>
          </w:tcPr>
          <w:p w14:paraId="2A35C6C0"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578" w:type="dxa"/>
            <w:gridSpan w:val="2"/>
            <w:tcBorders>
              <w:top w:val="single" w:sz="4" w:space="0" w:color="auto"/>
              <w:bottom w:val="single" w:sz="12" w:space="0" w:color="auto"/>
            </w:tcBorders>
          </w:tcPr>
          <w:p w14:paraId="6C166EA4"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567" w:type="dxa"/>
            <w:tcBorders>
              <w:top w:val="single" w:sz="4" w:space="0" w:color="auto"/>
              <w:bottom w:val="single" w:sz="12" w:space="0" w:color="auto"/>
            </w:tcBorders>
            <w:shd w:val="clear" w:color="auto" w:fill="FFFFFF"/>
          </w:tcPr>
          <w:p w14:paraId="339F80F1"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850" w:type="dxa"/>
            <w:tcBorders>
              <w:top w:val="single" w:sz="4" w:space="0" w:color="auto"/>
              <w:bottom w:val="single" w:sz="12" w:space="0" w:color="auto"/>
            </w:tcBorders>
            <w:shd w:val="clear" w:color="auto" w:fill="FFFFFF"/>
            <w:vAlign w:val="bottom"/>
          </w:tcPr>
          <w:p w14:paraId="09225EAB"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720" w:type="dxa"/>
            <w:tcBorders>
              <w:top w:val="single" w:sz="4" w:space="0" w:color="auto"/>
              <w:bottom w:val="single" w:sz="12" w:space="0" w:color="auto"/>
            </w:tcBorders>
            <w:shd w:val="clear" w:color="auto" w:fill="FFFFFF"/>
            <w:vAlign w:val="bottom"/>
          </w:tcPr>
          <w:p w14:paraId="069673AE"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1265" w:type="dxa"/>
            <w:tcBorders>
              <w:top w:val="single" w:sz="4" w:space="0" w:color="auto"/>
              <w:bottom w:val="single" w:sz="12" w:space="0" w:color="auto"/>
            </w:tcBorders>
            <w:shd w:val="clear" w:color="auto" w:fill="FFFFFF"/>
            <w:vAlign w:val="bottom"/>
          </w:tcPr>
          <w:p w14:paraId="54E09E78"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992" w:type="dxa"/>
            <w:tcBorders>
              <w:top w:val="single" w:sz="4" w:space="0" w:color="auto"/>
              <w:bottom w:val="single" w:sz="12" w:space="0" w:color="auto"/>
            </w:tcBorders>
            <w:shd w:val="clear" w:color="auto" w:fill="FFFFFF"/>
            <w:noWrap/>
            <w:vAlign w:val="bottom"/>
          </w:tcPr>
          <w:p w14:paraId="482C4DA4"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1559" w:type="dxa"/>
            <w:tcBorders>
              <w:top w:val="single" w:sz="4" w:space="0" w:color="auto"/>
              <w:bottom w:val="single" w:sz="12" w:space="0" w:color="auto"/>
            </w:tcBorders>
            <w:shd w:val="clear" w:color="auto" w:fill="FFFFFF"/>
            <w:noWrap/>
            <w:vAlign w:val="bottom"/>
          </w:tcPr>
          <w:p w14:paraId="66AB6391"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r>
      <w:tr w:rsidR="008B46C0" w:rsidRPr="001B70BB" w14:paraId="6F5EAE26" w14:textId="77777777" w:rsidTr="006D4A81">
        <w:trPr>
          <w:trHeight w:val="240"/>
        </w:trPr>
        <w:tc>
          <w:tcPr>
            <w:tcW w:w="4112" w:type="dxa"/>
            <w:tcBorders>
              <w:top w:val="single" w:sz="12" w:space="0" w:color="auto"/>
              <w:bottom w:val="single" w:sz="12" w:space="0" w:color="auto"/>
            </w:tcBorders>
            <w:shd w:val="clear" w:color="auto" w:fill="auto"/>
            <w:noWrap/>
          </w:tcPr>
          <w:p w14:paraId="1F663E0B" w14:textId="77777777" w:rsidR="008B46C0" w:rsidRPr="001B70BB" w:rsidRDefault="008B46C0" w:rsidP="006D4A81">
            <w:pPr>
              <w:tabs>
                <w:tab w:val="left" w:pos="1682"/>
              </w:tabs>
              <w:suppressAutoHyphens w:val="0"/>
              <w:spacing w:before="40" w:after="40" w:line="220" w:lineRule="exact"/>
              <w:rPr>
                <w:rFonts w:eastAsia="MS Mincho"/>
                <w:b/>
                <w:sz w:val="18"/>
                <w:szCs w:val="18"/>
                <w:lang w:eastAsia="ja-JP"/>
              </w:rPr>
            </w:pPr>
            <w:r w:rsidRPr="001B70BB">
              <w:rPr>
                <w:rFonts w:eastAsia="Times New Roman"/>
                <w:b/>
                <w:sz w:val="18"/>
                <w:szCs w:val="18"/>
                <w:lang w:eastAsia="en-GB"/>
              </w:rPr>
              <w:t>Total</w:t>
            </w:r>
          </w:p>
        </w:tc>
        <w:tc>
          <w:tcPr>
            <w:tcW w:w="916" w:type="dxa"/>
            <w:gridSpan w:val="2"/>
            <w:tcBorders>
              <w:top w:val="single" w:sz="12" w:space="0" w:color="auto"/>
              <w:bottom w:val="single" w:sz="12" w:space="0" w:color="auto"/>
            </w:tcBorders>
            <w:shd w:val="clear" w:color="auto" w:fill="auto"/>
            <w:noWrap/>
            <w:vAlign w:val="bottom"/>
          </w:tcPr>
          <w:p w14:paraId="3066EBFC"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916" w:type="dxa"/>
            <w:gridSpan w:val="2"/>
            <w:tcBorders>
              <w:top w:val="single" w:sz="12" w:space="0" w:color="auto"/>
              <w:bottom w:val="single" w:sz="12" w:space="0" w:color="auto"/>
            </w:tcBorders>
            <w:shd w:val="clear" w:color="auto" w:fill="auto"/>
            <w:noWrap/>
            <w:vAlign w:val="bottom"/>
          </w:tcPr>
          <w:p w14:paraId="77780107"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578" w:type="dxa"/>
            <w:gridSpan w:val="2"/>
            <w:tcBorders>
              <w:top w:val="single" w:sz="12" w:space="0" w:color="auto"/>
              <w:bottom w:val="single" w:sz="12" w:space="0" w:color="auto"/>
            </w:tcBorders>
          </w:tcPr>
          <w:p w14:paraId="51CC6B9E"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567" w:type="dxa"/>
            <w:tcBorders>
              <w:top w:val="single" w:sz="12" w:space="0" w:color="auto"/>
              <w:bottom w:val="single" w:sz="12" w:space="0" w:color="auto"/>
            </w:tcBorders>
            <w:shd w:val="clear" w:color="auto" w:fill="FFFFFF"/>
          </w:tcPr>
          <w:p w14:paraId="2A4972D4"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850" w:type="dxa"/>
            <w:tcBorders>
              <w:top w:val="single" w:sz="12" w:space="0" w:color="auto"/>
              <w:bottom w:val="single" w:sz="12" w:space="0" w:color="auto"/>
            </w:tcBorders>
            <w:shd w:val="clear" w:color="auto" w:fill="FFFFFF"/>
            <w:vAlign w:val="bottom"/>
          </w:tcPr>
          <w:p w14:paraId="5EC6EE1B"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720" w:type="dxa"/>
            <w:tcBorders>
              <w:top w:val="single" w:sz="12" w:space="0" w:color="auto"/>
              <w:bottom w:val="single" w:sz="12" w:space="0" w:color="auto"/>
            </w:tcBorders>
            <w:shd w:val="clear" w:color="auto" w:fill="FFFFFF"/>
            <w:vAlign w:val="bottom"/>
          </w:tcPr>
          <w:p w14:paraId="10A95967"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1265" w:type="dxa"/>
            <w:tcBorders>
              <w:top w:val="single" w:sz="12" w:space="0" w:color="auto"/>
              <w:bottom w:val="single" w:sz="12" w:space="0" w:color="auto"/>
            </w:tcBorders>
            <w:shd w:val="clear" w:color="auto" w:fill="FFFFFF"/>
            <w:vAlign w:val="bottom"/>
          </w:tcPr>
          <w:p w14:paraId="4BD784DB"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992" w:type="dxa"/>
            <w:tcBorders>
              <w:top w:val="single" w:sz="12" w:space="0" w:color="auto"/>
              <w:bottom w:val="single" w:sz="12" w:space="0" w:color="auto"/>
            </w:tcBorders>
            <w:shd w:val="clear" w:color="auto" w:fill="FFFFFF"/>
            <w:noWrap/>
            <w:vAlign w:val="bottom"/>
          </w:tcPr>
          <w:p w14:paraId="2610A77E"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c>
          <w:tcPr>
            <w:tcW w:w="1559" w:type="dxa"/>
            <w:tcBorders>
              <w:top w:val="single" w:sz="12" w:space="0" w:color="auto"/>
              <w:bottom w:val="single" w:sz="12" w:space="0" w:color="auto"/>
            </w:tcBorders>
            <w:shd w:val="clear" w:color="auto" w:fill="FFFFFF"/>
            <w:noWrap/>
            <w:vAlign w:val="bottom"/>
          </w:tcPr>
          <w:p w14:paraId="67F64FC2" w14:textId="77777777" w:rsidR="008B46C0" w:rsidRPr="001B70BB" w:rsidRDefault="008B46C0" w:rsidP="006D4A81">
            <w:pPr>
              <w:suppressAutoHyphens w:val="0"/>
              <w:spacing w:before="40" w:after="40" w:line="220" w:lineRule="exact"/>
              <w:ind w:left="113"/>
              <w:jc w:val="right"/>
              <w:rPr>
                <w:rFonts w:eastAsia="Times New Roman"/>
                <w:b/>
                <w:sz w:val="18"/>
                <w:szCs w:val="18"/>
                <w:lang w:eastAsia="en-GB"/>
              </w:rPr>
            </w:pPr>
          </w:p>
        </w:tc>
      </w:tr>
    </w:tbl>
    <w:p w14:paraId="2F31C554" w14:textId="77777777" w:rsidR="00895001" w:rsidRPr="00E769BB" w:rsidRDefault="00895001" w:rsidP="00E01902">
      <w:pPr>
        <w:spacing w:before="120" w:line="240" w:lineRule="auto"/>
        <w:ind w:firstLine="170"/>
        <w:jc w:val="both"/>
        <w:rPr>
          <w:rFonts w:eastAsia="MS Mincho"/>
          <w:i/>
          <w:sz w:val="18"/>
          <w:szCs w:val="18"/>
          <w:lang w:eastAsia="ja-JP"/>
        </w:rPr>
      </w:pPr>
      <w:r w:rsidRPr="00E769BB">
        <w:rPr>
          <w:rFonts w:eastAsia="MS Mincho"/>
          <w:i/>
          <w:sz w:val="18"/>
          <w:szCs w:val="18"/>
          <w:lang w:eastAsia="ja-JP"/>
        </w:rPr>
        <w:t>Note</w:t>
      </w:r>
      <w:r>
        <w:rPr>
          <w:rFonts w:eastAsia="MS Mincho"/>
          <w:sz w:val="18"/>
          <w:szCs w:val="18"/>
          <w:lang w:eastAsia="ja-JP"/>
        </w:rPr>
        <w:t>:</w:t>
      </w:r>
      <w:r w:rsidRPr="00E769BB">
        <w:rPr>
          <w:rFonts w:eastAsia="MS Mincho"/>
          <w:i/>
          <w:sz w:val="18"/>
          <w:szCs w:val="18"/>
          <w:lang w:eastAsia="ja-JP"/>
        </w:rPr>
        <w:t xml:space="preserve"> </w:t>
      </w:r>
      <w:r w:rsidRPr="004C4849">
        <w:rPr>
          <w:rFonts w:eastAsia="MS Mincho"/>
          <w:sz w:val="18"/>
          <w:szCs w:val="18"/>
          <w:lang w:eastAsia="ja-JP"/>
        </w:rPr>
        <w:t>Explanation of numerical footnotes is provided in the documentation box after tables 6, 7 and 8.</w:t>
      </w:r>
    </w:p>
    <w:p w14:paraId="236C04BA" w14:textId="77777777" w:rsidR="00895001" w:rsidRPr="00FA36F2" w:rsidRDefault="00895001" w:rsidP="00E01902">
      <w:pPr>
        <w:spacing w:line="240" w:lineRule="auto"/>
        <w:ind w:firstLine="170"/>
        <w:jc w:val="both"/>
        <w:rPr>
          <w:rFonts w:eastAsia="MS Mincho"/>
          <w:sz w:val="18"/>
          <w:szCs w:val="18"/>
          <w:lang w:eastAsia="ja-JP"/>
        </w:rPr>
      </w:pPr>
      <w:r w:rsidRPr="00FA36F2">
        <w:rPr>
          <w:rFonts w:eastAsia="MS Mincho"/>
          <w:i/>
          <w:sz w:val="18"/>
          <w:szCs w:val="18"/>
          <w:lang w:eastAsia="ja-JP"/>
        </w:rPr>
        <w:t>Abbreviations</w:t>
      </w:r>
      <w:r w:rsidRPr="00FA36F2">
        <w:rPr>
          <w:rFonts w:eastAsia="MS Mincho"/>
          <w:sz w:val="18"/>
          <w:szCs w:val="18"/>
          <w:lang w:eastAsia="ja-JP"/>
        </w:rPr>
        <w:t>:</w:t>
      </w:r>
      <w:r w:rsidRPr="00FA36F2">
        <w:rPr>
          <w:rFonts w:eastAsia="MS Mincho"/>
          <w:i/>
          <w:sz w:val="18"/>
          <w:szCs w:val="18"/>
          <w:lang w:eastAsia="ja-JP"/>
        </w:rPr>
        <w:t xml:space="preserve"> </w:t>
      </w:r>
      <w:r w:rsidRPr="00FA36F2">
        <w:rPr>
          <w:rFonts w:eastAsia="MS Mincho"/>
          <w:sz w:val="18"/>
          <w:szCs w:val="18"/>
          <w:lang w:eastAsia="ja-JP"/>
        </w:rPr>
        <w:t>ODA = official development assistance, OOF = other official flows, USD = United States dollars.</w:t>
      </w:r>
    </w:p>
    <w:p w14:paraId="01FE2BEA" w14:textId="0F034F57" w:rsidR="00895001" w:rsidRPr="00FA36F2" w:rsidRDefault="000E0429" w:rsidP="000E0429">
      <w:pPr>
        <w:spacing w:line="220" w:lineRule="exact"/>
        <w:ind w:firstLine="170"/>
        <w:jc w:val="both"/>
        <w:rPr>
          <w:sz w:val="18"/>
          <w:lang w:eastAsia="ja-JP"/>
        </w:rPr>
      </w:pPr>
      <w:r w:rsidRPr="00FA36F2">
        <w:rPr>
          <w:i/>
          <w:sz w:val="18"/>
          <w:vertAlign w:val="superscript"/>
          <w:lang w:eastAsia="ja-JP"/>
        </w:rPr>
        <w:t xml:space="preserve">a   </w:t>
      </w:r>
      <w:r w:rsidR="00895001" w:rsidRPr="00FA36F2">
        <w:rPr>
          <w:rFonts w:eastAsia="MS Mincho"/>
          <w:sz w:val="18"/>
          <w:szCs w:val="18"/>
          <w:lang w:eastAsia="ja-JP"/>
        </w:rPr>
        <w:t>Parties should fill in a separate table for each year, namely 20XX-3 and 20XX-2, where 20XX is the reporting year.</w:t>
      </w:r>
    </w:p>
    <w:p w14:paraId="0EE76968" w14:textId="2B7DAA84" w:rsidR="00895001" w:rsidRPr="00FA36F2" w:rsidRDefault="000E0429" w:rsidP="000E0429">
      <w:pPr>
        <w:spacing w:line="220" w:lineRule="exact"/>
        <w:ind w:right="918" w:firstLine="170"/>
        <w:jc w:val="both"/>
        <w:rPr>
          <w:sz w:val="18"/>
          <w:lang w:eastAsia="ja-JP"/>
        </w:rPr>
      </w:pPr>
      <w:r w:rsidRPr="00FA36F2">
        <w:rPr>
          <w:i/>
          <w:sz w:val="18"/>
          <w:vertAlign w:val="superscript"/>
          <w:lang w:eastAsia="ja-JP"/>
        </w:rPr>
        <w:t xml:space="preserve">b   </w:t>
      </w:r>
      <w:r w:rsidR="00895001" w:rsidRPr="00FA36F2">
        <w:rPr>
          <w:sz w:val="18"/>
          <w:lang w:eastAsia="ja-JP"/>
        </w:rPr>
        <w:t>Parties should explain, in their national communication, the methodologies used to specify the funds as disbursed and committed. Parties will provide the information for as many status categories as appropriate in the following order of priority: disbursed and committed.</w:t>
      </w:r>
    </w:p>
    <w:p w14:paraId="5EC37381" w14:textId="184BB579" w:rsidR="00895001" w:rsidRPr="00FA36F2" w:rsidRDefault="000E0429" w:rsidP="000E0429">
      <w:pPr>
        <w:spacing w:line="220" w:lineRule="exact"/>
        <w:ind w:right="918" w:firstLine="170"/>
        <w:jc w:val="both"/>
        <w:rPr>
          <w:sz w:val="18"/>
          <w:lang w:eastAsia="ja-JP"/>
        </w:rPr>
      </w:pPr>
      <w:r w:rsidRPr="00FA36F2">
        <w:rPr>
          <w:i/>
          <w:sz w:val="18"/>
          <w:vertAlign w:val="superscript"/>
          <w:lang w:eastAsia="ja-JP"/>
        </w:rPr>
        <w:t xml:space="preserve">c   </w:t>
      </w:r>
      <w:r w:rsidR="00895001" w:rsidRPr="00FA36F2">
        <w:rPr>
          <w:rFonts w:eastAsia="MS Mincho"/>
          <w:sz w:val="18"/>
          <w:szCs w:val="18"/>
          <w:lang w:eastAsia="ja-JP"/>
        </w:rPr>
        <w:t xml:space="preserve">Parties may select several applicable sectors. Parties may report sectoral distribution, as applicable, under “Other”. </w:t>
      </w:r>
    </w:p>
    <w:p w14:paraId="0B32F99A" w14:textId="2506FE04" w:rsidR="00895001" w:rsidRPr="00FA36F2" w:rsidRDefault="000E0429" w:rsidP="000E0429">
      <w:pPr>
        <w:spacing w:line="220" w:lineRule="exact"/>
        <w:ind w:firstLine="170"/>
        <w:jc w:val="both"/>
        <w:rPr>
          <w:sz w:val="18"/>
        </w:rPr>
      </w:pPr>
      <w:r w:rsidRPr="00FA36F2">
        <w:rPr>
          <w:i/>
          <w:sz w:val="18"/>
          <w:vertAlign w:val="superscript"/>
        </w:rPr>
        <w:t xml:space="preserve">d   </w:t>
      </w:r>
      <w:r w:rsidR="00895001" w:rsidRPr="00FA36F2">
        <w:rPr>
          <w:sz w:val="18"/>
        </w:rPr>
        <w:t>This refers to support</w:t>
      </w:r>
      <w:r w:rsidR="00895001">
        <w:rPr>
          <w:sz w:val="18"/>
        </w:rPr>
        <w:t xml:space="preserve"> provided</w:t>
      </w:r>
      <w:r w:rsidR="00895001" w:rsidRPr="00FA36F2">
        <w:rPr>
          <w:sz w:val="18"/>
        </w:rPr>
        <w:t xml:space="preserve"> to multilateral institutions that Parties cannot specify as being climate-specific.</w:t>
      </w:r>
    </w:p>
    <w:p w14:paraId="3D9E4557" w14:textId="57AD0E35" w:rsidR="00895001" w:rsidRPr="00FA36F2" w:rsidRDefault="000E0429" w:rsidP="000E0429">
      <w:pPr>
        <w:spacing w:line="220" w:lineRule="exact"/>
        <w:ind w:firstLine="170"/>
        <w:jc w:val="both"/>
        <w:rPr>
          <w:sz w:val="18"/>
          <w:lang w:eastAsia="ja-JP"/>
        </w:rPr>
      </w:pPr>
      <w:r w:rsidRPr="00FA36F2">
        <w:rPr>
          <w:i/>
          <w:sz w:val="18"/>
          <w:vertAlign w:val="superscript"/>
          <w:lang w:eastAsia="ja-JP"/>
        </w:rPr>
        <w:t xml:space="preserve">e   </w:t>
      </w:r>
      <w:r w:rsidR="00895001" w:rsidRPr="00FA36F2">
        <w:rPr>
          <w:sz w:val="18"/>
          <w:szCs w:val="18"/>
          <w:lang w:eastAsia="ja-JP"/>
        </w:rPr>
        <w:t>Parties should explain in their national communication how they define funds as being climate-specific.</w:t>
      </w:r>
    </w:p>
    <w:p w14:paraId="7BD6DD83" w14:textId="513E220C" w:rsidR="00895001" w:rsidRPr="00FA36F2" w:rsidRDefault="000E0429" w:rsidP="000E0429">
      <w:pPr>
        <w:spacing w:line="220" w:lineRule="exact"/>
        <w:ind w:firstLine="170"/>
        <w:jc w:val="both"/>
        <w:rPr>
          <w:sz w:val="18"/>
          <w:lang w:eastAsia="ja-JP"/>
        </w:rPr>
      </w:pPr>
      <w:r w:rsidRPr="00FA36F2">
        <w:rPr>
          <w:i/>
          <w:sz w:val="18"/>
          <w:vertAlign w:val="superscript"/>
          <w:lang w:eastAsia="ja-JP"/>
        </w:rPr>
        <w:t xml:space="preserve">f   </w:t>
      </w:r>
      <w:r w:rsidR="00895001" w:rsidRPr="00FA36F2">
        <w:rPr>
          <w:sz w:val="18"/>
          <w:lang w:eastAsia="ja-JP"/>
        </w:rPr>
        <w:t>Please specify.</w:t>
      </w:r>
    </w:p>
    <w:p w14:paraId="7CFCF2A8" w14:textId="3693700B" w:rsidR="00895001" w:rsidRPr="008614A3" w:rsidRDefault="000E0429" w:rsidP="000E0429">
      <w:pPr>
        <w:spacing w:line="220" w:lineRule="exact"/>
        <w:ind w:firstLine="170"/>
        <w:jc w:val="both"/>
        <w:rPr>
          <w:rFonts w:eastAsia="MS Mincho"/>
          <w:sz w:val="18"/>
          <w:szCs w:val="18"/>
          <w:lang w:eastAsia="ja-JP"/>
        </w:rPr>
      </w:pPr>
      <w:r w:rsidRPr="008614A3">
        <w:rPr>
          <w:rFonts w:eastAsia="MS Mincho"/>
          <w:i/>
          <w:sz w:val="18"/>
          <w:szCs w:val="18"/>
          <w:vertAlign w:val="superscript"/>
          <w:lang w:eastAsia="ja-JP"/>
        </w:rPr>
        <w:t xml:space="preserve">g   </w:t>
      </w:r>
      <w:r w:rsidR="00895001" w:rsidRPr="008614A3">
        <w:rPr>
          <w:rFonts w:eastAsia="MS Mincho"/>
          <w:sz w:val="18"/>
          <w:szCs w:val="18"/>
          <w:lang w:eastAsia="ja-JP"/>
        </w:rPr>
        <w:t>This refers to funding for activities that are cross-cutting across mitigation and adaptation.</w:t>
      </w:r>
    </w:p>
    <w:p w14:paraId="0EF611D8" w14:textId="77777777" w:rsidR="00895001" w:rsidRPr="00F071DA" w:rsidRDefault="00895001" w:rsidP="00895001">
      <w:pPr>
        <w:spacing w:line="220" w:lineRule="exact"/>
        <w:jc w:val="both"/>
        <w:rPr>
          <w:sz w:val="18"/>
          <w:lang w:eastAsia="ja-JP"/>
        </w:rPr>
      </w:pPr>
    </w:p>
    <w:p w14:paraId="111733DC" w14:textId="77777777" w:rsidR="00895001" w:rsidRDefault="00895001" w:rsidP="00895001">
      <w:pPr>
        <w:pStyle w:val="SingleTxtG"/>
        <w:ind w:left="0"/>
        <w:rPr>
          <w:rFonts w:eastAsia="MS Mincho"/>
          <w:b/>
        </w:rPr>
      </w:pPr>
    </w:p>
    <w:p w14:paraId="422D2EBA" w14:textId="41197AC5" w:rsidR="00487D2B" w:rsidRDefault="00487D2B">
      <w:pPr>
        <w:suppressAutoHyphens w:val="0"/>
        <w:spacing w:line="240" w:lineRule="auto"/>
        <w:rPr>
          <w:rFonts w:eastAsia="MS Mincho"/>
          <w:b/>
          <w:lang w:eastAsia="en-US"/>
        </w:rPr>
      </w:pPr>
      <w:r>
        <w:rPr>
          <w:rFonts w:eastAsia="MS Mincho"/>
          <w:b/>
        </w:rPr>
        <w:br w:type="page"/>
      </w:r>
    </w:p>
    <w:p w14:paraId="0987B382" w14:textId="77777777" w:rsidR="00895001" w:rsidRDefault="00895001" w:rsidP="00895001">
      <w:pPr>
        <w:pStyle w:val="SingleTxtG"/>
        <w:ind w:left="0"/>
        <w:rPr>
          <w:rFonts w:eastAsia="MS Mincho"/>
          <w:b/>
        </w:rPr>
      </w:pPr>
    </w:p>
    <w:p w14:paraId="5A666B10" w14:textId="77777777" w:rsidR="00895001" w:rsidRPr="00C71146" w:rsidRDefault="00895001" w:rsidP="00895001">
      <w:pPr>
        <w:spacing w:line="240" w:lineRule="auto"/>
        <w:ind w:left="567"/>
        <w:jc w:val="both"/>
        <w:rPr>
          <w:rFonts w:eastAsia="MS Mincho"/>
          <w:lang w:eastAsia="ja-JP"/>
        </w:rPr>
      </w:pPr>
      <w:r w:rsidRPr="00C71146">
        <w:rPr>
          <w:rFonts w:eastAsia="MS Mincho"/>
          <w:lang w:eastAsia="ja-JP"/>
        </w:rPr>
        <w:t xml:space="preserve">Table 8 </w:t>
      </w:r>
    </w:p>
    <w:p w14:paraId="26262852" w14:textId="77777777" w:rsidR="00895001" w:rsidRPr="00C71146" w:rsidRDefault="00895001" w:rsidP="00895001">
      <w:pPr>
        <w:spacing w:after="120" w:line="240" w:lineRule="auto"/>
        <w:ind w:left="567"/>
        <w:jc w:val="both"/>
        <w:rPr>
          <w:rFonts w:eastAsia="MS Mincho"/>
          <w:i/>
          <w:vertAlign w:val="superscript"/>
          <w:lang w:eastAsia="ja-JP"/>
        </w:rPr>
      </w:pPr>
      <w:r w:rsidRPr="00C71146">
        <w:rPr>
          <w:rFonts w:eastAsia="MS Mincho"/>
          <w:b/>
          <w:lang w:eastAsia="ja-JP"/>
        </w:rPr>
        <w:t>Provision of public financial support: contributions through bilateral, regional and other channels in 20XX-3</w:t>
      </w:r>
      <w:r w:rsidRPr="00C71146">
        <w:rPr>
          <w:rFonts w:eastAsia="MS Mincho"/>
          <w:i/>
          <w:sz w:val="18"/>
          <w:vertAlign w:val="superscript"/>
          <w:lang w:eastAsia="ja-JP"/>
        </w:rPr>
        <w:t>a</w:t>
      </w:r>
    </w:p>
    <w:tbl>
      <w:tblPr>
        <w:tblW w:w="11936" w:type="dxa"/>
        <w:tblInd w:w="567" w:type="dxa"/>
        <w:tblBorders>
          <w:top w:val="single" w:sz="4" w:space="0" w:color="auto"/>
        </w:tblBorders>
        <w:tblLayout w:type="fixed"/>
        <w:tblCellMar>
          <w:left w:w="0" w:type="dxa"/>
          <w:right w:w="0" w:type="dxa"/>
        </w:tblCellMar>
        <w:tblLook w:val="00A0" w:firstRow="1" w:lastRow="0" w:firstColumn="1" w:lastColumn="0" w:noHBand="0" w:noVBand="0"/>
      </w:tblPr>
      <w:tblGrid>
        <w:gridCol w:w="1308"/>
        <w:gridCol w:w="1308"/>
        <w:gridCol w:w="966"/>
        <w:gridCol w:w="966"/>
        <w:gridCol w:w="1082"/>
        <w:gridCol w:w="708"/>
        <w:gridCol w:w="1418"/>
        <w:gridCol w:w="1135"/>
        <w:gridCol w:w="1983"/>
        <w:gridCol w:w="1062"/>
      </w:tblGrid>
      <w:tr w:rsidR="00895001" w:rsidRPr="00E769BB" w14:paraId="06663C21" w14:textId="77777777" w:rsidTr="006D4A81">
        <w:trPr>
          <w:trHeight w:val="240"/>
          <w:tblHeader/>
        </w:trPr>
        <w:tc>
          <w:tcPr>
            <w:tcW w:w="2616" w:type="dxa"/>
            <w:gridSpan w:val="2"/>
            <w:vMerge w:val="restart"/>
            <w:tcBorders>
              <w:top w:val="single" w:sz="4" w:space="0" w:color="auto"/>
            </w:tcBorders>
            <w:shd w:val="clear" w:color="auto" w:fill="auto"/>
            <w:vAlign w:val="center"/>
          </w:tcPr>
          <w:p w14:paraId="20E58DA9" w14:textId="77777777" w:rsidR="00895001" w:rsidRPr="00E769BB" w:rsidRDefault="00895001" w:rsidP="006D4A81">
            <w:pPr>
              <w:suppressAutoHyphens w:val="0"/>
              <w:spacing w:before="80" w:after="80" w:line="200" w:lineRule="exact"/>
              <w:rPr>
                <w:rFonts w:eastAsia="Times New Roman"/>
                <w:i/>
                <w:sz w:val="16"/>
                <w:szCs w:val="16"/>
                <w:lang w:eastAsia="en-GB"/>
              </w:rPr>
            </w:pPr>
            <w:r w:rsidRPr="00E769BB">
              <w:rPr>
                <w:rFonts w:eastAsia="Times New Roman"/>
                <w:i/>
                <w:sz w:val="16"/>
                <w:szCs w:val="16"/>
                <w:lang w:eastAsia="en-GB"/>
              </w:rPr>
              <w:t>Recipient country/</w:t>
            </w:r>
            <w:r w:rsidRPr="00E769BB">
              <w:rPr>
                <w:rFonts w:eastAsia="Times New Roman"/>
                <w:i/>
                <w:sz w:val="16"/>
                <w:szCs w:val="16"/>
                <w:lang w:eastAsia="en-GB"/>
              </w:rPr>
              <w:br/>
              <w:t>region/project/programme/activity</w:t>
            </w:r>
            <w:r w:rsidRPr="00C71146">
              <w:rPr>
                <w:rFonts w:eastAsia="Times New Roman"/>
                <w:i/>
                <w:sz w:val="18"/>
                <w:szCs w:val="16"/>
                <w:vertAlign w:val="superscript"/>
                <w:lang w:eastAsia="en-GB"/>
              </w:rPr>
              <w:t>b</w:t>
            </w:r>
          </w:p>
        </w:tc>
        <w:tc>
          <w:tcPr>
            <w:tcW w:w="1932" w:type="dxa"/>
            <w:gridSpan w:val="2"/>
            <w:tcBorders>
              <w:top w:val="single" w:sz="4" w:space="0" w:color="auto"/>
              <w:bottom w:val="single" w:sz="4" w:space="0" w:color="auto"/>
            </w:tcBorders>
            <w:shd w:val="clear" w:color="auto" w:fill="auto"/>
            <w:noWrap/>
          </w:tcPr>
          <w:p w14:paraId="217844E5" w14:textId="77777777" w:rsidR="00895001" w:rsidRPr="00E769BB" w:rsidRDefault="00895001" w:rsidP="006D4A81">
            <w:pPr>
              <w:suppressAutoHyphens w:val="0"/>
              <w:spacing w:before="80" w:after="80" w:line="200" w:lineRule="exact"/>
              <w:ind w:left="113"/>
              <w:jc w:val="center"/>
              <w:rPr>
                <w:rFonts w:eastAsia="Times New Roman"/>
                <w:i/>
                <w:sz w:val="16"/>
                <w:szCs w:val="16"/>
                <w:lang w:eastAsia="en-GB"/>
              </w:rPr>
            </w:pPr>
            <w:r w:rsidRPr="00E769BB">
              <w:rPr>
                <w:rFonts w:eastAsia="Times New Roman"/>
                <w:i/>
                <w:sz w:val="16"/>
                <w:szCs w:val="16"/>
                <w:lang w:eastAsia="en-GB"/>
              </w:rPr>
              <w:t>Total amount</w:t>
            </w:r>
          </w:p>
        </w:tc>
        <w:tc>
          <w:tcPr>
            <w:tcW w:w="1082" w:type="dxa"/>
            <w:tcBorders>
              <w:top w:val="single" w:sz="4" w:space="0" w:color="auto"/>
              <w:bottom w:val="single" w:sz="4" w:space="0" w:color="auto"/>
            </w:tcBorders>
            <w:shd w:val="clear" w:color="auto" w:fill="auto"/>
          </w:tcPr>
          <w:p w14:paraId="1DF7B705"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Status</w:t>
            </w:r>
            <w:r w:rsidRPr="00C71146">
              <w:rPr>
                <w:rFonts w:eastAsia="Times New Roman"/>
                <w:i/>
                <w:sz w:val="18"/>
                <w:szCs w:val="16"/>
                <w:vertAlign w:val="superscript"/>
                <w:lang w:eastAsia="en-GB"/>
              </w:rPr>
              <w:t>c, 3</w:t>
            </w:r>
          </w:p>
        </w:tc>
        <w:tc>
          <w:tcPr>
            <w:tcW w:w="708" w:type="dxa"/>
            <w:tcBorders>
              <w:top w:val="single" w:sz="4" w:space="0" w:color="auto"/>
              <w:bottom w:val="single" w:sz="4" w:space="0" w:color="auto"/>
            </w:tcBorders>
            <w:shd w:val="clear" w:color="auto" w:fill="auto"/>
          </w:tcPr>
          <w:p w14:paraId="43350CA3"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Funding source</w:t>
            </w:r>
            <w:r w:rsidRPr="00E769BB">
              <w:rPr>
                <w:rFonts w:eastAsia="Times New Roman"/>
                <w:i/>
                <w:sz w:val="16"/>
                <w:szCs w:val="16"/>
                <w:vertAlign w:val="superscript"/>
                <w:lang w:eastAsia="en-GB"/>
              </w:rPr>
              <w:t>4</w:t>
            </w:r>
          </w:p>
        </w:tc>
        <w:tc>
          <w:tcPr>
            <w:tcW w:w="1418" w:type="dxa"/>
            <w:tcBorders>
              <w:top w:val="single" w:sz="4" w:space="0" w:color="auto"/>
              <w:bottom w:val="single" w:sz="4" w:space="0" w:color="auto"/>
            </w:tcBorders>
            <w:shd w:val="clear" w:color="auto" w:fill="auto"/>
          </w:tcPr>
          <w:p w14:paraId="6532B08A" w14:textId="77777777" w:rsidR="00895001" w:rsidRPr="00E769BB" w:rsidRDefault="00895001" w:rsidP="006D4A81">
            <w:pPr>
              <w:suppressAutoHyphens w:val="0"/>
              <w:spacing w:before="80" w:after="80" w:line="200" w:lineRule="exact"/>
              <w:ind w:left="113"/>
              <w:jc w:val="center"/>
              <w:rPr>
                <w:rFonts w:eastAsia="Times New Roman"/>
                <w:i/>
                <w:sz w:val="16"/>
                <w:szCs w:val="16"/>
                <w:lang w:eastAsia="en-GB"/>
              </w:rPr>
            </w:pPr>
            <w:r w:rsidRPr="00E769BB">
              <w:rPr>
                <w:rFonts w:eastAsia="Times New Roman"/>
                <w:i/>
                <w:sz w:val="16"/>
                <w:szCs w:val="16"/>
                <w:lang w:eastAsia="en-GB"/>
              </w:rPr>
              <w:t>Financial instrument</w:t>
            </w:r>
            <w:r w:rsidRPr="00C71146">
              <w:rPr>
                <w:rFonts w:eastAsia="Times New Roman"/>
                <w:i/>
                <w:sz w:val="18"/>
                <w:szCs w:val="16"/>
                <w:vertAlign w:val="superscript"/>
                <w:lang w:eastAsia="en-GB"/>
              </w:rPr>
              <w:t>5</w:t>
            </w:r>
          </w:p>
        </w:tc>
        <w:tc>
          <w:tcPr>
            <w:tcW w:w="1135" w:type="dxa"/>
            <w:tcBorders>
              <w:top w:val="single" w:sz="4" w:space="0" w:color="auto"/>
              <w:bottom w:val="single" w:sz="4" w:space="0" w:color="auto"/>
            </w:tcBorders>
            <w:shd w:val="clear" w:color="auto" w:fill="auto"/>
          </w:tcPr>
          <w:p w14:paraId="64AB8A7A"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Type of</w:t>
            </w:r>
            <w:r w:rsidRPr="00E769BB">
              <w:rPr>
                <w:rFonts w:eastAsia="Times New Roman"/>
                <w:i/>
                <w:sz w:val="16"/>
                <w:szCs w:val="16"/>
                <w:lang w:eastAsia="en-GB"/>
              </w:rPr>
              <w:br/>
              <w:t xml:space="preserve"> support</w:t>
            </w:r>
            <w:r w:rsidRPr="00C71146">
              <w:rPr>
                <w:rFonts w:eastAsia="Times New Roman"/>
                <w:i/>
                <w:sz w:val="18"/>
                <w:szCs w:val="16"/>
                <w:vertAlign w:val="superscript"/>
                <w:lang w:eastAsia="en-GB"/>
              </w:rPr>
              <w:t>6</w:t>
            </w:r>
          </w:p>
        </w:tc>
        <w:tc>
          <w:tcPr>
            <w:tcW w:w="1983" w:type="dxa"/>
            <w:tcBorders>
              <w:top w:val="single" w:sz="4" w:space="0" w:color="auto"/>
              <w:bottom w:val="single" w:sz="4" w:space="0" w:color="auto"/>
            </w:tcBorders>
            <w:shd w:val="clear" w:color="auto" w:fill="auto"/>
            <w:noWrap/>
          </w:tcPr>
          <w:p w14:paraId="23EC5D30" w14:textId="77777777" w:rsidR="00895001" w:rsidRPr="00E769BB" w:rsidRDefault="00895001" w:rsidP="006D4A81">
            <w:pPr>
              <w:suppressAutoHyphens w:val="0"/>
              <w:spacing w:before="80" w:after="80" w:line="20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Sector</w:t>
            </w:r>
            <w:r w:rsidRPr="00E769BB">
              <w:rPr>
                <w:rFonts w:eastAsia="Times New Roman"/>
                <w:i/>
                <w:sz w:val="16"/>
                <w:szCs w:val="16"/>
                <w:vertAlign w:val="superscript"/>
                <w:lang w:eastAsia="en-GB"/>
              </w:rPr>
              <w:t>,</w:t>
            </w:r>
            <w:r w:rsidRPr="00091622">
              <w:rPr>
                <w:rFonts w:eastAsia="Times New Roman"/>
                <w:i/>
                <w:sz w:val="18"/>
                <w:szCs w:val="16"/>
                <w:vertAlign w:val="superscript"/>
                <w:lang w:eastAsia="en-GB"/>
              </w:rPr>
              <w:t>d, 7</w:t>
            </w:r>
          </w:p>
        </w:tc>
        <w:tc>
          <w:tcPr>
            <w:tcW w:w="1062" w:type="dxa"/>
            <w:tcBorders>
              <w:top w:val="single" w:sz="4" w:space="0" w:color="auto"/>
              <w:bottom w:val="single" w:sz="4" w:space="0" w:color="auto"/>
            </w:tcBorders>
          </w:tcPr>
          <w:p w14:paraId="3DBFBF5F" w14:textId="77777777" w:rsidR="00895001" w:rsidRPr="00E769BB" w:rsidRDefault="00895001" w:rsidP="006D4A81">
            <w:pPr>
              <w:suppressAutoHyphens w:val="0"/>
              <w:spacing w:before="80" w:after="80" w:line="200" w:lineRule="exact"/>
              <w:ind w:left="113"/>
              <w:jc w:val="center"/>
              <w:rPr>
                <w:rFonts w:eastAsia="Times New Roman"/>
                <w:i/>
                <w:sz w:val="16"/>
                <w:szCs w:val="16"/>
                <w:lang w:eastAsia="en-GB"/>
              </w:rPr>
            </w:pPr>
            <w:r w:rsidRPr="00E769BB">
              <w:rPr>
                <w:rFonts w:eastAsia="Times New Roman"/>
                <w:i/>
                <w:sz w:val="16"/>
                <w:szCs w:val="16"/>
                <w:lang w:eastAsia="en-GB"/>
              </w:rPr>
              <w:t>Additional</w:t>
            </w:r>
          </w:p>
          <w:p w14:paraId="001D7D8D" w14:textId="77777777" w:rsidR="00895001" w:rsidRPr="00E769BB" w:rsidRDefault="00895001" w:rsidP="006D4A81">
            <w:pPr>
              <w:suppressAutoHyphens w:val="0"/>
              <w:spacing w:before="80" w:after="80" w:line="200" w:lineRule="exact"/>
              <w:ind w:left="113"/>
              <w:jc w:val="center"/>
              <w:rPr>
                <w:rFonts w:eastAsia="Times New Roman"/>
                <w:i/>
                <w:sz w:val="16"/>
                <w:szCs w:val="16"/>
                <w:lang w:eastAsia="en-GB"/>
              </w:rPr>
            </w:pPr>
            <w:r w:rsidRPr="00E769BB">
              <w:rPr>
                <w:rFonts w:eastAsia="Times New Roman"/>
                <w:i/>
                <w:sz w:val="16"/>
                <w:szCs w:val="16"/>
                <w:lang w:eastAsia="en-GB"/>
              </w:rPr>
              <w:t>Information</w:t>
            </w:r>
            <w:r w:rsidRPr="00C71146">
              <w:rPr>
                <w:rFonts w:eastAsia="Times New Roman"/>
                <w:i/>
                <w:sz w:val="18"/>
                <w:szCs w:val="16"/>
                <w:vertAlign w:val="superscript"/>
                <w:lang w:eastAsia="en-GB"/>
              </w:rPr>
              <w:t>e</w:t>
            </w:r>
          </w:p>
        </w:tc>
      </w:tr>
      <w:tr w:rsidR="00895001" w:rsidRPr="00F071DA" w14:paraId="7170B8FF" w14:textId="77777777" w:rsidTr="006D4A81">
        <w:trPr>
          <w:trHeight w:val="459"/>
          <w:tblHeader/>
        </w:trPr>
        <w:tc>
          <w:tcPr>
            <w:tcW w:w="2616" w:type="dxa"/>
            <w:gridSpan w:val="2"/>
            <w:vMerge/>
            <w:shd w:val="clear" w:color="auto" w:fill="auto"/>
            <w:vAlign w:val="bottom"/>
          </w:tcPr>
          <w:p w14:paraId="1B1D706B" w14:textId="77777777" w:rsidR="00895001" w:rsidRPr="00E769BB" w:rsidRDefault="00895001" w:rsidP="006D4A81">
            <w:pPr>
              <w:suppressAutoHyphens w:val="0"/>
              <w:spacing w:before="40" w:after="40" w:line="220" w:lineRule="exact"/>
              <w:jc w:val="center"/>
              <w:rPr>
                <w:rFonts w:eastAsia="Times New Roman"/>
                <w:i/>
                <w:sz w:val="16"/>
                <w:szCs w:val="16"/>
                <w:lang w:eastAsia="en-GB"/>
              </w:rPr>
            </w:pPr>
          </w:p>
        </w:tc>
        <w:tc>
          <w:tcPr>
            <w:tcW w:w="1932" w:type="dxa"/>
            <w:gridSpan w:val="2"/>
            <w:tcBorders>
              <w:top w:val="single" w:sz="4" w:space="0" w:color="auto"/>
              <w:bottom w:val="nil"/>
            </w:tcBorders>
          </w:tcPr>
          <w:p w14:paraId="536E8416" w14:textId="77777777" w:rsidR="00895001" w:rsidRPr="00E769BB" w:rsidRDefault="00895001" w:rsidP="006D4A81">
            <w:pPr>
              <w:suppressAutoHyphens w:val="0"/>
              <w:spacing w:before="40" w:after="40" w:line="220" w:lineRule="exact"/>
              <w:ind w:left="113"/>
              <w:jc w:val="center"/>
              <w:rPr>
                <w:rFonts w:eastAsia="Times New Roman"/>
                <w:i/>
                <w:sz w:val="16"/>
                <w:szCs w:val="16"/>
                <w:vertAlign w:val="superscript"/>
                <w:lang w:eastAsia="en-GB"/>
              </w:rPr>
            </w:pPr>
            <w:r w:rsidRPr="00E769BB">
              <w:rPr>
                <w:rFonts w:eastAsia="Times New Roman"/>
                <w:i/>
                <w:sz w:val="16"/>
                <w:szCs w:val="16"/>
                <w:lang w:eastAsia="en-GB"/>
              </w:rPr>
              <w:t>Climate-specific</w:t>
            </w:r>
            <w:r w:rsidRPr="00C71146">
              <w:rPr>
                <w:rFonts w:eastAsia="Times New Roman"/>
                <w:i/>
                <w:sz w:val="18"/>
                <w:szCs w:val="16"/>
                <w:vertAlign w:val="superscript"/>
                <w:lang w:eastAsia="en-GB"/>
              </w:rPr>
              <w:t>f, 2</w:t>
            </w:r>
          </w:p>
          <w:p w14:paraId="51CE1107"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p>
          <w:p w14:paraId="69701148"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p>
          <w:p w14:paraId="0B53EBE6"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p>
        </w:tc>
        <w:tc>
          <w:tcPr>
            <w:tcW w:w="1082" w:type="dxa"/>
            <w:vMerge w:val="restart"/>
            <w:tcBorders>
              <w:top w:val="single" w:sz="4" w:space="0" w:color="auto"/>
              <w:bottom w:val="nil"/>
            </w:tcBorders>
            <w:shd w:val="clear" w:color="auto" w:fill="auto"/>
          </w:tcPr>
          <w:p w14:paraId="2D8D89E2" w14:textId="77777777" w:rsidR="00895001" w:rsidRPr="00E769BB" w:rsidRDefault="00895001" w:rsidP="006D4A81">
            <w:pPr>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Committed</w:t>
            </w:r>
            <w:r w:rsidRPr="00E769BB">
              <w:rPr>
                <w:rFonts w:eastAsia="Times New Roman"/>
                <w:i/>
                <w:sz w:val="16"/>
                <w:szCs w:val="16"/>
                <w:lang w:eastAsia="en-GB"/>
              </w:rPr>
              <w:br/>
              <w:t>Disbursed</w:t>
            </w:r>
          </w:p>
        </w:tc>
        <w:tc>
          <w:tcPr>
            <w:tcW w:w="708" w:type="dxa"/>
            <w:vMerge w:val="restart"/>
            <w:tcBorders>
              <w:top w:val="single" w:sz="4" w:space="0" w:color="auto"/>
              <w:bottom w:val="nil"/>
            </w:tcBorders>
            <w:shd w:val="clear" w:color="auto" w:fill="auto"/>
          </w:tcPr>
          <w:p w14:paraId="29EF66D7"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ODA</w:t>
            </w:r>
            <w:r w:rsidRPr="00E769BB">
              <w:rPr>
                <w:rFonts w:eastAsia="MS Mincho"/>
                <w:i/>
                <w:sz w:val="16"/>
                <w:szCs w:val="16"/>
                <w:lang w:eastAsia="fi-FI"/>
              </w:rPr>
              <w:br/>
            </w:r>
            <w:r w:rsidRPr="00E769BB">
              <w:rPr>
                <w:rFonts w:eastAsia="Times New Roman"/>
                <w:i/>
                <w:sz w:val="16"/>
                <w:szCs w:val="16"/>
                <w:lang w:eastAsia="en-GB"/>
              </w:rPr>
              <w:t>OOF</w:t>
            </w:r>
            <w:r w:rsidRPr="00E769BB">
              <w:rPr>
                <w:rFonts w:eastAsia="MS Mincho"/>
                <w:i/>
                <w:sz w:val="16"/>
                <w:szCs w:val="16"/>
                <w:lang w:eastAsia="fi-FI"/>
              </w:rPr>
              <w:br/>
            </w:r>
            <w:r w:rsidRPr="00E769BB">
              <w:rPr>
                <w:rFonts w:eastAsia="Times New Roman"/>
                <w:i/>
                <w:sz w:val="16"/>
                <w:szCs w:val="16"/>
                <w:lang w:eastAsia="en-GB"/>
              </w:rPr>
              <w:t>Other</w:t>
            </w:r>
            <w:r w:rsidRPr="00091622">
              <w:rPr>
                <w:rFonts w:eastAsia="Times New Roman"/>
                <w:i/>
                <w:sz w:val="18"/>
                <w:szCs w:val="16"/>
                <w:vertAlign w:val="superscript"/>
                <w:lang w:eastAsia="en-GB"/>
              </w:rPr>
              <w:t>g</w:t>
            </w:r>
          </w:p>
        </w:tc>
        <w:tc>
          <w:tcPr>
            <w:tcW w:w="1418" w:type="dxa"/>
            <w:vMerge w:val="restart"/>
            <w:tcBorders>
              <w:top w:val="single" w:sz="4" w:space="0" w:color="auto"/>
              <w:bottom w:val="nil"/>
            </w:tcBorders>
            <w:shd w:val="clear" w:color="auto" w:fill="auto"/>
          </w:tcPr>
          <w:p w14:paraId="6049015F"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Grant</w:t>
            </w:r>
            <w:r w:rsidRPr="00E769BB">
              <w:rPr>
                <w:rFonts w:eastAsia="MS Mincho"/>
                <w:i/>
                <w:sz w:val="16"/>
                <w:szCs w:val="16"/>
                <w:lang w:eastAsia="fi-FI"/>
              </w:rPr>
              <w:br/>
            </w:r>
            <w:r w:rsidRPr="00E769BB">
              <w:rPr>
                <w:rFonts w:eastAsia="Times New Roman"/>
                <w:i/>
                <w:sz w:val="16"/>
                <w:szCs w:val="16"/>
                <w:lang w:eastAsia="en-GB"/>
              </w:rPr>
              <w:t>Concessional loan</w:t>
            </w:r>
          </w:p>
          <w:p w14:paraId="6BC68D59"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Non-concessional loan</w:t>
            </w:r>
          </w:p>
          <w:p w14:paraId="3B29887E"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Equity</w:t>
            </w:r>
            <w:r w:rsidRPr="00E769BB">
              <w:rPr>
                <w:rFonts w:eastAsia="MS Mincho"/>
                <w:i/>
                <w:sz w:val="16"/>
                <w:szCs w:val="16"/>
                <w:lang w:eastAsia="fi-FI"/>
              </w:rPr>
              <w:br/>
            </w:r>
            <w:r w:rsidRPr="00E769BB">
              <w:rPr>
                <w:rFonts w:eastAsia="Times New Roman"/>
                <w:i/>
                <w:sz w:val="16"/>
                <w:szCs w:val="16"/>
                <w:lang w:eastAsia="en-GB"/>
              </w:rPr>
              <w:t>Other</w:t>
            </w:r>
            <w:r w:rsidRPr="00C71146">
              <w:rPr>
                <w:rFonts w:eastAsia="Times New Roman"/>
                <w:i/>
                <w:sz w:val="18"/>
                <w:szCs w:val="16"/>
                <w:vertAlign w:val="superscript"/>
                <w:lang w:eastAsia="en-GB"/>
              </w:rPr>
              <w:t>g</w:t>
            </w:r>
          </w:p>
        </w:tc>
        <w:tc>
          <w:tcPr>
            <w:tcW w:w="1135" w:type="dxa"/>
            <w:vMerge w:val="restart"/>
            <w:tcBorders>
              <w:top w:val="single" w:sz="4" w:space="0" w:color="auto"/>
              <w:bottom w:val="nil"/>
            </w:tcBorders>
            <w:shd w:val="clear" w:color="auto" w:fill="auto"/>
            <w:noWrap/>
          </w:tcPr>
          <w:p w14:paraId="436618AC" w14:textId="77777777" w:rsidR="00895001" w:rsidRPr="00E769BB" w:rsidRDefault="00895001" w:rsidP="006D4A81">
            <w:pPr>
              <w:suppressAutoHyphens w:val="0"/>
              <w:spacing w:before="40" w:after="40" w:line="220" w:lineRule="exact"/>
              <w:ind w:left="113"/>
              <w:jc w:val="center"/>
              <w:rPr>
                <w:rFonts w:eastAsia="MS Mincho"/>
                <w:i/>
                <w:sz w:val="16"/>
                <w:szCs w:val="16"/>
                <w:lang w:eastAsia="fi-FI"/>
              </w:rPr>
            </w:pPr>
            <w:r w:rsidRPr="00E769BB">
              <w:rPr>
                <w:rFonts w:eastAsia="Times New Roman"/>
                <w:i/>
                <w:sz w:val="16"/>
                <w:szCs w:val="16"/>
                <w:lang w:eastAsia="en-GB"/>
              </w:rPr>
              <w:t>Mitigation</w:t>
            </w:r>
            <w:r w:rsidRPr="00E769BB">
              <w:rPr>
                <w:rFonts w:eastAsia="MS Mincho"/>
                <w:i/>
                <w:sz w:val="16"/>
                <w:szCs w:val="16"/>
                <w:lang w:eastAsia="fi-FI"/>
              </w:rPr>
              <w:br/>
            </w:r>
            <w:r w:rsidRPr="00E769BB">
              <w:rPr>
                <w:rFonts w:eastAsia="Times New Roman"/>
                <w:i/>
                <w:sz w:val="16"/>
                <w:szCs w:val="16"/>
                <w:lang w:eastAsia="en-GB"/>
              </w:rPr>
              <w:t>Adaptation</w:t>
            </w:r>
            <w:r w:rsidRPr="00E769BB">
              <w:rPr>
                <w:rFonts w:eastAsia="Times New Roman"/>
                <w:i/>
                <w:sz w:val="16"/>
                <w:szCs w:val="16"/>
                <w:lang w:eastAsia="en-GB"/>
              </w:rPr>
              <w:br/>
            </w:r>
            <w:r w:rsidRPr="00E769BB">
              <w:rPr>
                <w:rFonts w:eastAsia="MS Mincho"/>
                <w:i/>
                <w:sz w:val="16"/>
                <w:szCs w:val="16"/>
                <w:lang w:eastAsia="fi-FI"/>
              </w:rPr>
              <w:t>Cross-cutting</w:t>
            </w:r>
            <w:r w:rsidRPr="00C71146">
              <w:rPr>
                <w:rFonts w:eastAsia="MS Mincho"/>
                <w:i/>
                <w:sz w:val="18"/>
                <w:szCs w:val="16"/>
                <w:vertAlign w:val="superscript"/>
                <w:lang w:eastAsia="fi-FI"/>
              </w:rPr>
              <w:t>h</w:t>
            </w:r>
          </w:p>
          <w:p w14:paraId="3ECD6297" w14:textId="77777777" w:rsidR="00895001" w:rsidRPr="00E769BB"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Other</w:t>
            </w:r>
            <w:r w:rsidRPr="00C71146">
              <w:rPr>
                <w:rFonts w:eastAsia="Times New Roman"/>
                <w:i/>
                <w:sz w:val="18"/>
                <w:szCs w:val="16"/>
                <w:vertAlign w:val="superscript"/>
                <w:lang w:eastAsia="en-GB"/>
              </w:rPr>
              <w:t>g</w:t>
            </w:r>
          </w:p>
        </w:tc>
        <w:tc>
          <w:tcPr>
            <w:tcW w:w="1983" w:type="dxa"/>
            <w:vMerge w:val="restart"/>
            <w:tcBorders>
              <w:top w:val="single" w:sz="4" w:space="0" w:color="auto"/>
              <w:bottom w:val="nil"/>
            </w:tcBorders>
            <w:shd w:val="clear" w:color="auto" w:fill="auto"/>
          </w:tcPr>
          <w:p w14:paraId="684C081B"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r w:rsidRPr="00E769BB">
              <w:rPr>
                <w:rFonts w:eastAsia="Times New Roman"/>
                <w:i/>
                <w:sz w:val="16"/>
                <w:szCs w:val="16"/>
                <w:lang w:eastAsia="en-GB"/>
              </w:rPr>
              <w:t>Energy</w:t>
            </w:r>
            <w:r w:rsidRPr="00E769BB">
              <w:rPr>
                <w:rFonts w:eastAsia="MS Mincho"/>
                <w:i/>
                <w:sz w:val="16"/>
                <w:szCs w:val="16"/>
                <w:lang w:eastAsia="fi-FI"/>
              </w:rPr>
              <w:br/>
            </w:r>
            <w:r w:rsidRPr="00E769BB">
              <w:rPr>
                <w:rFonts w:eastAsia="Times New Roman"/>
                <w:i/>
                <w:sz w:val="16"/>
                <w:szCs w:val="16"/>
                <w:lang w:eastAsia="en-GB"/>
              </w:rPr>
              <w:t>Transport</w:t>
            </w:r>
            <w:r w:rsidRPr="00E769BB">
              <w:rPr>
                <w:rFonts w:eastAsia="MS Mincho"/>
                <w:i/>
                <w:sz w:val="16"/>
                <w:szCs w:val="16"/>
                <w:lang w:eastAsia="fi-FI"/>
              </w:rPr>
              <w:br/>
            </w:r>
            <w:r w:rsidRPr="00E769BB">
              <w:rPr>
                <w:rFonts w:eastAsia="Times New Roman"/>
                <w:i/>
                <w:sz w:val="16"/>
                <w:szCs w:val="16"/>
                <w:lang w:eastAsia="en-GB"/>
              </w:rPr>
              <w:t>Industry</w:t>
            </w:r>
            <w:r w:rsidRPr="00E769BB">
              <w:rPr>
                <w:rFonts w:eastAsia="MS Mincho"/>
                <w:i/>
                <w:sz w:val="16"/>
                <w:szCs w:val="16"/>
                <w:lang w:eastAsia="fi-FI"/>
              </w:rPr>
              <w:br/>
            </w:r>
            <w:r w:rsidRPr="00E769BB">
              <w:rPr>
                <w:rFonts w:eastAsia="Times New Roman"/>
                <w:i/>
                <w:sz w:val="16"/>
                <w:szCs w:val="16"/>
                <w:lang w:eastAsia="en-GB"/>
              </w:rPr>
              <w:t>Agriculture</w:t>
            </w:r>
            <w:r w:rsidRPr="00E769BB">
              <w:rPr>
                <w:rFonts w:eastAsia="Times New Roman"/>
                <w:i/>
                <w:sz w:val="16"/>
                <w:szCs w:val="16"/>
                <w:lang w:eastAsia="en-GB"/>
              </w:rPr>
              <w:br/>
              <w:t>Forestry</w:t>
            </w:r>
            <w:r w:rsidRPr="00E769BB">
              <w:rPr>
                <w:rFonts w:eastAsia="MS Mincho"/>
                <w:i/>
                <w:sz w:val="16"/>
                <w:szCs w:val="16"/>
                <w:lang w:eastAsia="fi-FI"/>
              </w:rPr>
              <w:br/>
            </w:r>
            <w:r w:rsidRPr="00E769BB">
              <w:rPr>
                <w:rFonts w:eastAsia="Times New Roman"/>
                <w:i/>
                <w:sz w:val="16"/>
                <w:szCs w:val="16"/>
                <w:lang w:eastAsia="en-GB"/>
              </w:rPr>
              <w:t>Water and sanitation</w:t>
            </w:r>
            <w:r w:rsidRPr="00E769BB">
              <w:rPr>
                <w:rFonts w:eastAsia="Times New Roman"/>
                <w:i/>
                <w:sz w:val="16"/>
                <w:szCs w:val="16"/>
                <w:lang w:eastAsia="en-GB"/>
              </w:rPr>
              <w:br/>
              <w:t>Cross-cutting</w:t>
            </w:r>
            <w:r w:rsidRPr="00E769BB">
              <w:rPr>
                <w:rFonts w:eastAsia="MS Mincho"/>
                <w:i/>
                <w:sz w:val="16"/>
                <w:szCs w:val="16"/>
                <w:lang w:eastAsia="fi-FI"/>
              </w:rPr>
              <w:br/>
            </w:r>
            <w:r w:rsidRPr="00E769BB">
              <w:rPr>
                <w:rFonts w:eastAsia="Times New Roman"/>
                <w:i/>
                <w:sz w:val="16"/>
                <w:szCs w:val="16"/>
                <w:lang w:eastAsia="en-GB"/>
              </w:rPr>
              <w:t>Other</w:t>
            </w:r>
            <w:r w:rsidRPr="00C71146">
              <w:rPr>
                <w:rFonts w:eastAsia="Times New Roman"/>
                <w:i/>
                <w:sz w:val="18"/>
                <w:szCs w:val="16"/>
                <w:vertAlign w:val="superscript"/>
                <w:lang w:eastAsia="en-GB"/>
              </w:rPr>
              <w:t>g</w:t>
            </w:r>
          </w:p>
        </w:tc>
        <w:tc>
          <w:tcPr>
            <w:tcW w:w="1062" w:type="dxa"/>
            <w:tcBorders>
              <w:top w:val="single" w:sz="4" w:space="0" w:color="auto"/>
              <w:bottom w:val="nil"/>
            </w:tcBorders>
          </w:tcPr>
          <w:p w14:paraId="47DFD810"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r>
      <w:tr w:rsidR="00895001" w:rsidRPr="00F071DA" w14:paraId="01891F8A" w14:textId="77777777" w:rsidTr="006D4A81">
        <w:trPr>
          <w:trHeight w:val="697"/>
          <w:tblHeader/>
        </w:trPr>
        <w:tc>
          <w:tcPr>
            <w:tcW w:w="2616" w:type="dxa"/>
            <w:gridSpan w:val="2"/>
            <w:vMerge/>
            <w:tcBorders>
              <w:bottom w:val="single" w:sz="12" w:space="0" w:color="auto"/>
            </w:tcBorders>
            <w:shd w:val="clear" w:color="auto" w:fill="auto"/>
            <w:vAlign w:val="bottom"/>
          </w:tcPr>
          <w:p w14:paraId="0C761104" w14:textId="77777777" w:rsidR="00895001" w:rsidRPr="00F071DA" w:rsidRDefault="00895001" w:rsidP="006D4A81">
            <w:pPr>
              <w:suppressAutoHyphens w:val="0"/>
              <w:spacing w:before="40" w:after="40" w:line="220" w:lineRule="exact"/>
              <w:jc w:val="center"/>
              <w:rPr>
                <w:rFonts w:eastAsia="Times New Roman"/>
                <w:i/>
                <w:sz w:val="16"/>
                <w:szCs w:val="16"/>
                <w:lang w:eastAsia="en-GB"/>
              </w:rPr>
            </w:pPr>
          </w:p>
        </w:tc>
        <w:tc>
          <w:tcPr>
            <w:tcW w:w="966" w:type="dxa"/>
            <w:tcBorders>
              <w:top w:val="nil"/>
              <w:bottom w:val="single" w:sz="12" w:space="0" w:color="auto"/>
            </w:tcBorders>
          </w:tcPr>
          <w:p w14:paraId="28777C07"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r w:rsidRPr="00F071DA">
              <w:rPr>
                <w:rFonts w:eastAsia="Times New Roman"/>
                <w:i/>
                <w:sz w:val="16"/>
                <w:szCs w:val="16"/>
                <w:lang w:eastAsia="en-GB"/>
              </w:rPr>
              <w:t>Domestic currency</w:t>
            </w:r>
          </w:p>
        </w:tc>
        <w:tc>
          <w:tcPr>
            <w:tcW w:w="966" w:type="dxa"/>
            <w:tcBorders>
              <w:top w:val="nil"/>
              <w:bottom w:val="single" w:sz="12" w:space="0" w:color="auto"/>
            </w:tcBorders>
          </w:tcPr>
          <w:p w14:paraId="0ADDED84"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r w:rsidRPr="00F071DA">
              <w:rPr>
                <w:rFonts w:eastAsia="Times New Roman"/>
                <w:i/>
                <w:sz w:val="16"/>
                <w:szCs w:val="16"/>
                <w:lang w:eastAsia="en-GB"/>
              </w:rPr>
              <w:t>USD</w:t>
            </w:r>
          </w:p>
        </w:tc>
        <w:tc>
          <w:tcPr>
            <w:tcW w:w="1082" w:type="dxa"/>
            <w:vMerge/>
            <w:tcBorders>
              <w:top w:val="nil"/>
              <w:bottom w:val="single" w:sz="12" w:space="0" w:color="auto"/>
            </w:tcBorders>
            <w:shd w:val="clear" w:color="auto" w:fill="auto"/>
          </w:tcPr>
          <w:p w14:paraId="7EED93AD" w14:textId="77777777" w:rsidR="00895001" w:rsidRPr="00F071DA" w:rsidRDefault="00895001" w:rsidP="006D4A81">
            <w:pPr>
              <w:spacing w:before="40" w:after="40" w:line="220" w:lineRule="exact"/>
              <w:ind w:left="113"/>
              <w:jc w:val="center"/>
              <w:rPr>
                <w:rFonts w:eastAsia="Times New Roman"/>
                <w:i/>
                <w:sz w:val="16"/>
                <w:szCs w:val="16"/>
                <w:vertAlign w:val="superscript"/>
                <w:lang w:eastAsia="en-GB"/>
              </w:rPr>
            </w:pPr>
          </w:p>
        </w:tc>
        <w:tc>
          <w:tcPr>
            <w:tcW w:w="708" w:type="dxa"/>
            <w:vMerge/>
            <w:tcBorders>
              <w:top w:val="nil"/>
              <w:bottom w:val="single" w:sz="12" w:space="0" w:color="auto"/>
            </w:tcBorders>
            <w:shd w:val="clear" w:color="auto" w:fill="auto"/>
          </w:tcPr>
          <w:p w14:paraId="7B4752EC"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1418" w:type="dxa"/>
            <w:vMerge/>
            <w:tcBorders>
              <w:top w:val="nil"/>
              <w:bottom w:val="single" w:sz="12" w:space="0" w:color="auto"/>
            </w:tcBorders>
            <w:shd w:val="clear" w:color="auto" w:fill="auto"/>
          </w:tcPr>
          <w:p w14:paraId="7A452A55"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1135" w:type="dxa"/>
            <w:vMerge/>
            <w:tcBorders>
              <w:top w:val="nil"/>
              <w:bottom w:val="single" w:sz="12" w:space="0" w:color="auto"/>
            </w:tcBorders>
            <w:shd w:val="clear" w:color="auto" w:fill="auto"/>
            <w:noWrap/>
          </w:tcPr>
          <w:p w14:paraId="4A75EFCC"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1983" w:type="dxa"/>
            <w:vMerge/>
            <w:tcBorders>
              <w:top w:val="nil"/>
              <w:bottom w:val="single" w:sz="12" w:space="0" w:color="auto"/>
            </w:tcBorders>
            <w:shd w:val="clear" w:color="auto" w:fill="auto"/>
          </w:tcPr>
          <w:p w14:paraId="297D34C3"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c>
          <w:tcPr>
            <w:tcW w:w="1062" w:type="dxa"/>
            <w:tcBorders>
              <w:top w:val="nil"/>
              <w:bottom w:val="single" w:sz="12" w:space="0" w:color="auto"/>
            </w:tcBorders>
          </w:tcPr>
          <w:p w14:paraId="435DD38A" w14:textId="77777777" w:rsidR="00895001" w:rsidRPr="00F071DA" w:rsidRDefault="00895001" w:rsidP="006D4A81">
            <w:pPr>
              <w:suppressAutoHyphens w:val="0"/>
              <w:spacing w:before="40" w:after="40" w:line="220" w:lineRule="exact"/>
              <w:ind w:left="113"/>
              <w:jc w:val="center"/>
              <w:rPr>
                <w:rFonts w:eastAsia="Times New Roman"/>
                <w:i/>
                <w:sz w:val="16"/>
                <w:szCs w:val="16"/>
                <w:lang w:eastAsia="en-GB"/>
              </w:rPr>
            </w:pPr>
          </w:p>
        </w:tc>
      </w:tr>
      <w:tr w:rsidR="00895001" w:rsidRPr="00F071DA" w14:paraId="2FC2790A" w14:textId="77777777" w:rsidTr="006D4A81">
        <w:trPr>
          <w:trHeight w:val="240"/>
        </w:trPr>
        <w:tc>
          <w:tcPr>
            <w:tcW w:w="1308" w:type="dxa"/>
            <w:tcBorders>
              <w:top w:val="single" w:sz="12" w:space="0" w:color="auto"/>
            </w:tcBorders>
            <w:shd w:val="clear" w:color="auto" w:fill="auto"/>
            <w:noWrap/>
          </w:tcPr>
          <w:p w14:paraId="048BB2C6"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tcBorders>
              <w:top w:val="single" w:sz="12" w:space="0" w:color="auto"/>
            </w:tcBorders>
            <w:shd w:val="clear" w:color="auto" w:fill="auto"/>
          </w:tcPr>
          <w:p w14:paraId="7E560DE6"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tcBorders>
              <w:top w:val="single" w:sz="12" w:space="0" w:color="auto"/>
            </w:tcBorders>
            <w:shd w:val="clear" w:color="auto" w:fill="auto"/>
            <w:noWrap/>
            <w:vAlign w:val="bottom"/>
          </w:tcPr>
          <w:p w14:paraId="4660303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tcBorders>
              <w:top w:val="single" w:sz="12" w:space="0" w:color="auto"/>
            </w:tcBorders>
            <w:shd w:val="clear" w:color="auto" w:fill="auto"/>
            <w:noWrap/>
            <w:vAlign w:val="bottom"/>
          </w:tcPr>
          <w:p w14:paraId="7325C527"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Borders>
              <w:top w:val="single" w:sz="12" w:space="0" w:color="auto"/>
            </w:tcBorders>
          </w:tcPr>
          <w:p w14:paraId="0B0964F4"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Borders>
              <w:top w:val="single" w:sz="12" w:space="0" w:color="auto"/>
            </w:tcBorders>
          </w:tcPr>
          <w:p w14:paraId="02729AD1"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tcBorders>
              <w:top w:val="single" w:sz="12" w:space="0" w:color="auto"/>
            </w:tcBorders>
            <w:shd w:val="clear" w:color="auto" w:fill="auto"/>
            <w:vAlign w:val="bottom"/>
          </w:tcPr>
          <w:p w14:paraId="01AA03EB"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tcBorders>
              <w:top w:val="single" w:sz="12" w:space="0" w:color="auto"/>
            </w:tcBorders>
            <w:shd w:val="clear" w:color="auto" w:fill="auto"/>
            <w:vAlign w:val="bottom"/>
          </w:tcPr>
          <w:p w14:paraId="7265067E"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tcBorders>
              <w:top w:val="single" w:sz="12" w:space="0" w:color="auto"/>
            </w:tcBorders>
            <w:shd w:val="clear" w:color="auto" w:fill="auto"/>
            <w:noWrap/>
            <w:vAlign w:val="bottom"/>
          </w:tcPr>
          <w:p w14:paraId="28B7027C"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tcBorders>
              <w:top w:val="single" w:sz="12" w:space="0" w:color="auto"/>
            </w:tcBorders>
            <w:shd w:val="clear" w:color="auto" w:fill="auto"/>
            <w:noWrap/>
            <w:vAlign w:val="bottom"/>
          </w:tcPr>
          <w:p w14:paraId="0FE7194E"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F071DA" w14:paraId="6D9FB045" w14:textId="77777777" w:rsidTr="006D4A81">
        <w:trPr>
          <w:trHeight w:val="240"/>
        </w:trPr>
        <w:tc>
          <w:tcPr>
            <w:tcW w:w="1308" w:type="dxa"/>
            <w:shd w:val="clear" w:color="auto" w:fill="auto"/>
            <w:noWrap/>
          </w:tcPr>
          <w:p w14:paraId="52AA34D8"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shd w:val="clear" w:color="auto" w:fill="auto"/>
          </w:tcPr>
          <w:p w14:paraId="66BA35DB"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10B10846"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7297269D"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Pr>
          <w:p w14:paraId="2BB1564A"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Pr>
          <w:p w14:paraId="4D481519"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615E2D1B"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74F55A85"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039E87D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73CF2A89"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F071DA" w14:paraId="13110812" w14:textId="77777777" w:rsidTr="006D4A81">
        <w:trPr>
          <w:trHeight w:val="240"/>
        </w:trPr>
        <w:tc>
          <w:tcPr>
            <w:tcW w:w="1308" w:type="dxa"/>
            <w:shd w:val="clear" w:color="auto" w:fill="auto"/>
            <w:noWrap/>
          </w:tcPr>
          <w:p w14:paraId="223A337D"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shd w:val="clear" w:color="auto" w:fill="auto"/>
          </w:tcPr>
          <w:p w14:paraId="2DD615F5"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09151FCA"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0A713C50"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Pr>
          <w:p w14:paraId="352377D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Pr>
          <w:p w14:paraId="2CB873F4"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3B45281D"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6720BD85"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6E13811D"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7D4D21A7"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F071DA" w14:paraId="76B5225A" w14:textId="77777777" w:rsidTr="006D4A81">
        <w:trPr>
          <w:trHeight w:val="240"/>
        </w:trPr>
        <w:tc>
          <w:tcPr>
            <w:tcW w:w="1308" w:type="dxa"/>
            <w:shd w:val="clear" w:color="auto" w:fill="auto"/>
            <w:noWrap/>
          </w:tcPr>
          <w:p w14:paraId="0F6F4C85"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shd w:val="clear" w:color="auto" w:fill="auto"/>
          </w:tcPr>
          <w:p w14:paraId="3BD743B6"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4C4D7C33"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53A29D9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Pr>
          <w:p w14:paraId="2085C896"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Pr>
          <w:p w14:paraId="476CE494"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3789E38C"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3FEB4D46"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410040FC"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41C9D31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F071DA" w14:paraId="7DE9413E" w14:textId="77777777" w:rsidTr="006D4A81">
        <w:trPr>
          <w:trHeight w:val="240"/>
        </w:trPr>
        <w:tc>
          <w:tcPr>
            <w:tcW w:w="1308" w:type="dxa"/>
            <w:shd w:val="clear" w:color="auto" w:fill="auto"/>
            <w:noWrap/>
          </w:tcPr>
          <w:p w14:paraId="1DF3CB96"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shd w:val="clear" w:color="auto" w:fill="auto"/>
          </w:tcPr>
          <w:p w14:paraId="2CD5FAC2"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28019FF9"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6162CF79"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Pr>
          <w:p w14:paraId="26BE41C1"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Pr>
          <w:p w14:paraId="6BED590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0B7E8D63"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1102C8E3"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32E16F9A"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0D83373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F071DA" w14:paraId="4DF7FF93" w14:textId="77777777" w:rsidTr="006D4A81">
        <w:trPr>
          <w:trHeight w:val="240"/>
        </w:trPr>
        <w:tc>
          <w:tcPr>
            <w:tcW w:w="1308" w:type="dxa"/>
            <w:shd w:val="clear" w:color="auto" w:fill="auto"/>
            <w:noWrap/>
          </w:tcPr>
          <w:p w14:paraId="7878DDAF"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shd w:val="clear" w:color="auto" w:fill="auto"/>
          </w:tcPr>
          <w:p w14:paraId="4FDD6DA5"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shd w:val="clear" w:color="auto" w:fill="auto"/>
            <w:noWrap/>
            <w:vAlign w:val="bottom"/>
          </w:tcPr>
          <w:p w14:paraId="7CC4428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shd w:val="clear" w:color="auto" w:fill="auto"/>
            <w:noWrap/>
            <w:vAlign w:val="bottom"/>
          </w:tcPr>
          <w:p w14:paraId="103860D4"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Pr>
          <w:p w14:paraId="5DE7523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Pr>
          <w:p w14:paraId="0E493650"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shd w:val="clear" w:color="auto" w:fill="auto"/>
            <w:vAlign w:val="bottom"/>
          </w:tcPr>
          <w:p w14:paraId="29B54EFD"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shd w:val="clear" w:color="auto" w:fill="auto"/>
            <w:vAlign w:val="bottom"/>
          </w:tcPr>
          <w:p w14:paraId="2BA41508"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shd w:val="clear" w:color="auto" w:fill="auto"/>
            <w:noWrap/>
            <w:vAlign w:val="bottom"/>
          </w:tcPr>
          <w:p w14:paraId="50C7949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shd w:val="clear" w:color="auto" w:fill="auto"/>
            <w:noWrap/>
            <w:vAlign w:val="bottom"/>
          </w:tcPr>
          <w:p w14:paraId="139B7584"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r w:rsidR="00895001" w:rsidRPr="00F071DA" w14:paraId="2F63DA77" w14:textId="77777777" w:rsidTr="006D4A81">
        <w:trPr>
          <w:trHeight w:val="240"/>
        </w:trPr>
        <w:tc>
          <w:tcPr>
            <w:tcW w:w="1308" w:type="dxa"/>
            <w:tcBorders>
              <w:bottom w:val="single" w:sz="12" w:space="0" w:color="auto"/>
            </w:tcBorders>
            <w:shd w:val="clear" w:color="auto" w:fill="auto"/>
            <w:noWrap/>
          </w:tcPr>
          <w:p w14:paraId="3E149434"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1308" w:type="dxa"/>
            <w:tcBorders>
              <w:bottom w:val="single" w:sz="12" w:space="0" w:color="auto"/>
            </w:tcBorders>
            <w:shd w:val="clear" w:color="auto" w:fill="auto"/>
          </w:tcPr>
          <w:p w14:paraId="368654A6" w14:textId="77777777" w:rsidR="00895001" w:rsidRPr="00F071DA" w:rsidRDefault="00895001" w:rsidP="006D4A81">
            <w:pPr>
              <w:suppressAutoHyphens w:val="0"/>
              <w:spacing w:before="40" w:after="40" w:line="220" w:lineRule="exact"/>
              <w:rPr>
                <w:rFonts w:eastAsia="Times New Roman"/>
                <w:sz w:val="18"/>
                <w:szCs w:val="18"/>
                <w:lang w:eastAsia="en-GB"/>
              </w:rPr>
            </w:pPr>
          </w:p>
        </w:tc>
        <w:tc>
          <w:tcPr>
            <w:tcW w:w="966" w:type="dxa"/>
            <w:tcBorders>
              <w:bottom w:val="single" w:sz="12" w:space="0" w:color="auto"/>
            </w:tcBorders>
            <w:shd w:val="clear" w:color="auto" w:fill="auto"/>
            <w:noWrap/>
            <w:vAlign w:val="bottom"/>
          </w:tcPr>
          <w:p w14:paraId="5A6A4243"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966" w:type="dxa"/>
            <w:tcBorders>
              <w:bottom w:val="single" w:sz="12" w:space="0" w:color="auto"/>
            </w:tcBorders>
            <w:shd w:val="clear" w:color="auto" w:fill="auto"/>
            <w:noWrap/>
            <w:vAlign w:val="bottom"/>
          </w:tcPr>
          <w:p w14:paraId="397CFC00"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82" w:type="dxa"/>
            <w:tcBorders>
              <w:bottom w:val="single" w:sz="12" w:space="0" w:color="auto"/>
            </w:tcBorders>
          </w:tcPr>
          <w:p w14:paraId="0ADC68EA"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708" w:type="dxa"/>
            <w:tcBorders>
              <w:bottom w:val="single" w:sz="12" w:space="0" w:color="auto"/>
            </w:tcBorders>
          </w:tcPr>
          <w:p w14:paraId="44B1957A"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418" w:type="dxa"/>
            <w:tcBorders>
              <w:bottom w:val="single" w:sz="12" w:space="0" w:color="auto"/>
            </w:tcBorders>
            <w:shd w:val="clear" w:color="auto" w:fill="auto"/>
            <w:vAlign w:val="bottom"/>
          </w:tcPr>
          <w:p w14:paraId="6BC03332"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135" w:type="dxa"/>
            <w:tcBorders>
              <w:bottom w:val="single" w:sz="12" w:space="0" w:color="auto"/>
            </w:tcBorders>
            <w:shd w:val="clear" w:color="auto" w:fill="auto"/>
            <w:vAlign w:val="bottom"/>
          </w:tcPr>
          <w:p w14:paraId="4779091D"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983" w:type="dxa"/>
            <w:tcBorders>
              <w:bottom w:val="single" w:sz="12" w:space="0" w:color="auto"/>
            </w:tcBorders>
            <w:shd w:val="clear" w:color="auto" w:fill="auto"/>
            <w:noWrap/>
            <w:vAlign w:val="bottom"/>
          </w:tcPr>
          <w:p w14:paraId="095F726F"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c>
          <w:tcPr>
            <w:tcW w:w="1062" w:type="dxa"/>
            <w:tcBorders>
              <w:bottom w:val="single" w:sz="12" w:space="0" w:color="auto"/>
            </w:tcBorders>
            <w:shd w:val="clear" w:color="auto" w:fill="auto"/>
            <w:noWrap/>
            <w:vAlign w:val="bottom"/>
          </w:tcPr>
          <w:p w14:paraId="2DB5B815" w14:textId="77777777" w:rsidR="00895001" w:rsidRPr="00F071DA" w:rsidRDefault="00895001" w:rsidP="006D4A81">
            <w:pPr>
              <w:suppressAutoHyphens w:val="0"/>
              <w:spacing w:before="40" w:after="40" w:line="220" w:lineRule="exact"/>
              <w:ind w:left="113"/>
              <w:jc w:val="right"/>
              <w:rPr>
                <w:rFonts w:eastAsia="Times New Roman"/>
                <w:sz w:val="18"/>
                <w:szCs w:val="18"/>
                <w:lang w:eastAsia="en-GB"/>
              </w:rPr>
            </w:pPr>
          </w:p>
        </w:tc>
      </w:tr>
    </w:tbl>
    <w:p w14:paraId="24C0E318" w14:textId="77777777" w:rsidR="00895001" w:rsidRPr="00E769BB" w:rsidRDefault="00895001" w:rsidP="00895001">
      <w:pPr>
        <w:spacing w:before="120" w:line="240" w:lineRule="auto"/>
        <w:ind w:left="284" w:right="1343" w:firstLine="567"/>
        <w:jc w:val="both"/>
        <w:rPr>
          <w:rFonts w:eastAsia="MS Mincho"/>
          <w:i/>
          <w:sz w:val="18"/>
          <w:szCs w:val="18"/>
          <w:lang w:eastAsia="ja-JP"/>
        </w:rPr>
      </w:pPr>
      <w:r w:rsidRPr="00E769BB">
        <w:rPr>
          <w:rFonts w:eastAsia="MS Mincho"/>
          <w:i/>
          <w:sz w:val="18"/>
          <w:szCs w:val="18"/>
          <w:lang w:eastAsia="ja-JP"/>
        </w:rPr>
        <w:t>Note</w:t>
      </w:r>
      <w:r>
        <w:rPr>
          <w:rFonts w:eastAsia="MS Mincho"/>
          <w:sz w:val="18"/>
          <w:szCs w:val="18"/>
          <w:lang w:eastAsia="ja-JP"/>
        </w:rPr>
        <w:t>:</w:t>
      </w:r>
      <w:r w:rsidRPr="00E769BB">
        <w:rPr>
          <w:rFonts w:eastAsia="MS Mincho"/>
          <w:i/>
          <w:sz w:val="18"/>
          <w:szCs w:val="18"/>
          <w:lang w:eastAsia="ja-JP"/>
        </w:rPr>
        <w:t xml:space="preserve"> </w:t>
      </w:r>
      <w:r w:rsidRPr="004C4849">
        <w:rPr>
          <w:rFonts w:eastAsia="MS Mincho"/>
          <w:sz w:val="18"/>
          <w:szCs w:val="18"/>
          <w:lang w:eastAsia="ja-JP"/>
        </w:rPr>
        <w:t>Explanation of numerical footnotes is provided in the documentation box after tables 6, 7 and 8.</w:t>
      </w:r>
    </w:p>
    <w:p w14:paraId="16D4DDB9" w14:textId="77777777" w:rsidR="00895001" w:rsidRPr="00FA36F2" w:rsidRDefault="00895001" w:rsidP="00895001">
      <w:pPr>
        <w:spacing w:line="240" w:lineRule="auto"/>
        <w:ind w:left="284" w:right="1343" w:firstLine="567"/>
        <w:jc w:val="both"/>
        <w:rPr>
          <w:rFonts w:eastAsia="MS Mincho"/>
          <w:sz w:val="18"/>
          <w:szCs w:val="18"/>
          <w:lang w:eastAsia="ja-JP"/>
        </w:rPr>
      </w:pPr>
      <w:r w:rsidRPr="00FA36F2">
        <w:rPr>
          <w:rFonts w:eastAsia="MS Mincho"/>
          <w:i/>
          <w:sz w:val="18"/>
          <w:szCs w:val="18"/>
          <w:lang w:eastAsia="ja-JP"/>
        </w:rPr>
        <w:t>Abbreviations</w:t>
      </w:r>
      <w:r w:rsidRPr="00FA36F2">
        <w:rPr>
          <w:rFonts w:eastAsia="MS Mincho"/>
          <w:sz w:val="18"/>
          <w:szCs w:val="18"/>
          <w:lang w:eastAsia="ja-JP"/>
        </w:rPr>
        <w:t>:</w:t>
      </w:r>
      <w:r w:rsidRPr="00FA36F2">
        <w:rPr>
          <w:rFonts w:eastAsia="MS Mincho"/>
          <w:i/>
          <w:sz w:val="18"/>
          <w:szCs w:val="18"/>
          <w:lang w:eastAsia="ja-JP"/>
        </w:rPr>
        <w:t xml:space="preserve"> </w:t>
      </w:r>
      <w:r w:rsidRPr="00FA36F2">
        <w:rPr>
          <w:rFonts w:eastAsia="MS Mincho"/>
          <w:sz w:val="18"/>
          <w:szCs w:val="18"/>
          <w:lang w:eastAsia="ja-JP"/>
        </w:rPr>
        <w:t>ODA = official development assistance, OOF = other official flows</w:t>
      </w:r>
      <w:r>
        <w:rPr>
          <w:rFonts w:eastAsia="MS Mincho"/>
          <w:sz w:val="18"/>
          <w:szCs w:val="18"/>
          <w:lang w:eastAsia="ja-JP"/>
        </w:rPr>
        <w:t>,</w:t>
      </w:r>
      <w:r w:rsidRPr="00FA36F2">
        <w:rPr>
          <w:rFonts w:eastAsia="MS Mincho"/>
          <w:sz w:val="18"/>
          <w:szCs w:val="18"/>
          <w:lang w:eastAsia="ja-JP"/>
        </w:rPr>
        <w:t xml:space="preserve"> USD = United States dollars.</w:t>
      </w:r>
    </w:p>
    <w:p w14:paraId="7F4AB90D" w14:textId="51189185" w:rsidR="00895001" w:rsidRPr="00E769BB" w:rsidRDefault="000E0429" w:rsidP="000E0429">
      <w:pPr>
        <w:spacing w:line="220" w:lineRule="exact"/>
        <w:ind w:left="284" w:right="1343" w:firstLine="567"/>
        <w:jc w:val="both"/>
        <w:rPr>
          <w:sz w:val="18"/>
          <w:lang w:eastAsia="ja-JP"/>
        </w:rPr>
      </w:pPr>
      <w:r w:rsidRPr="00E769BB">
        <w:rPr>
          <w:i/>
          <w:sz w:val="18"/>
          <w:vertAlign w:val="superscript"/>
          <w:lang w:eastAsia="ja-JP"/>
        </w:rPr>
        <w:t xml:space="preserve">a   </w:t>
      </w:r>
      <w:r w:rsidR="00895001" w:rsidRPr="00FA36F2">
        <w:rPr>
          <w:rFonts w:eastAsia="MS Mincho"/>
          <w:sz w:val="18"/>
          <w:szCs w:val="18"/>
          <w:lang w:eastAsia="ja-JP"/>
        </w:rPr>
        <w:t>Parties should fill in a separate table for each year</w:t>
      </w:r>
      <w:r w:rsidR="00895001" w:rsidRPr="00E769BB">
        <w:rPr>
          <w:rFonts w:eastAsia="MS Mincho"/>
          <w:sz w:val="18"/>
          <w:szCs w:val="18"/>
          <w:lang w:eastAsia="ja-JP"/>
        </w:rPr>
        <w:t>, namely 20XX-3 and 20XX-2, where 20XX is the reporting year.</w:t>
      </w:r>
    </w:p>
    <w:p w14:paraId="70AA266C" w14:textId="09A31991" w:rsidR="00895001" w:rsidRPr="00E769BB" w:rsidRDefault="000E0429" w:rsidP="000E0429">
      <w:pPr>
        <w:spacing w:line="220" w:lineRule="exact"/>
        <w:ind w:left="284" w:right="1343" w:firstLine="567"/>
        <w:jc w:val="both"/>
        <w:rPr>
          <w:sz w:val="18"/>
          <w:lang w:eastAsia="ja-JP"/>
        </w:rPr>
      </w:pPr>
      <w:r w:rsidRPr="00E769BB">
        <w:rPr>
          <w:i/>
          <w:sz w:val="18"/>
          <w:vertAlign w:val="superscript"/>
          <w:lang w:eastAsia="ja-JP"/>
        </w:rPr>
        <w:t xml:space="preserve">b   </w:t>
      </w:r>
      <w:r w:rsidR="00895001" w:rsidRPr="00E769BB">
        <w:rPr>
          <w:sz w:val="18"/>
          <w:lang w:eastAsia="ja-JP"/>
        </w:rPr>
        <w:t xml:space="preserve">Parties should report, to the extent possible, on </w:t>
      </w:r>
      <w:r w:rsidR="00895001">
        <w:rPr>
          <w:sz w:val="18"/>
          <w:lang w:eastAsia="ja-JP"/>
        </w:rPr>
        <w:t xml:space="preserve">the </w:t>
      </w:r>
      <w:r w:rsidR="00895001" w:rsidRPr="00E769BB">
        <w:rPr>
          <w:sz w:val="18"/>
          <w:lang w:eastAsia="ja-JP"/>
        </w:rPr>
        <w:t>details contained in this table.</w:t>
      </w:r>
    </w:p>
    <w:p w14:paraId="4A91036E" w14:textId="16EC7DCF" w:rsidR="00895001" w:rsidRPr="00E769BB" w:rsidRDefault="000E0429" w:rsidP="000E0429">
      <w:pPr>
        <w:spacing w:line="220" w:lineRule="exact"/>
        <w:ind w:left="567" w:right="1343" w:firstLine="284"/>
        <w:jc w:val="both"/>
        <w:rPr>
          <w:sz w:val="18"/>
          <w:lang w:eastAsia="ja-JP"/>
        </w:rPr>
      </w:pPr>
      <w:r w:rsidRPr="00E769BB">
        <w:rPr>
          <w:i/>
          <w:sz w:val="18"/>
          <w:vertAlign w:val="superscript"/>
          <w:lang w:eastAsia="ja-JP"/>
        </w:rPr>
        <w:t xml:space="preserve">c   </w:t>
      </w:r>
      <w:r w:rsidR="00895001" w:rsidRPr="00E769BB">
        <w:rPr>
          <w:sz w:val="18"/>
          <w:lang w:eastAsia="ja-JP"/>
        </w:rPr>
        <w:t>Parties should explain, in their national communication, the methodologies used to specify the funds as disbursed and committed. Parties will provide the information for as many status categories as appropriate in the following order of priority: disbursed and committed.</w:t>
      </w:r>
    </w:p>
    <w:p w14:paraId="383D7917" w14:textId="12606417" w:rsidR="00895001" w:rsidRPr="00495223" w:rsidRDefault="000E0429" w:rsidP="000E0429">
      <w:pPr>
        <w:spacing w:line="220" w:lineRule="exact"/>
        <w:ind w:left="284" w:right="1343" w:firstLine="567"/>
        <w:jc w:val="both"/>
        <w:rPr>
          <w:sz w:val="18"/>
          <w:lang w:eastAsia="ja-JP"/>
        </w:rPr>
      </w:pPr>
      <w:r w:rsidRPr="00495223">
        <w:rPr>
          <w:i/>
          <w:sz w:val="18"/>
          <w:vertAlign w:val="superscript"/>
          <w:lang w:eastAsia="ja-JP"/>
        </w:rPr>
        <w:t xml:space="preserve">d   </w:t>
      </w:r>
      <w:r w:rsidR="00895001" w:rsidRPr="00495223">
        <w:rPr>
          <w:rFonts w:eastAsia="MS Mincho"/>
          <w:sz w:val="18"/>
          <w:szCs w:val="18"/>
          <w:lang w:eastAsia="ja-JP"/>
        </w:rPr>
        <w:t>Parties may select several applicable sectors. Parties may report sectoral distribution, as applicable, under “Other”.</w:t>
      </w:r>
    </w:p>
    <w:p w14:paraId="295B30F0" w14:textId="00352887" w:rsidR="00895001" w:rsidRPr="00E769BB" w:rsidRDefault="000E0429" w:rsidP="000E0429">
      <w:pPr>
        <w:spacing w:line="220" w:lineRule="exact"/>
        <w:ind w:left="284" w:right="1343" w:firstLine="567"/>
        <w:jc w:val="both"/>
        <w:rPr>
          <w:sz w:val="18"/>
          <w:lang w:eastAsia="ja-JP"/>
        </w:rPr>
      </w:pPr>
      <w:r w:rsidRPr="00E769BB">
        <w:rPr>
          <w:i/>
          <w:sz w:val="18"/>
          <w:vertAlign w:val="superscript"/>
          <w:lang w:eastAsia="ja-JP"/>
        </w:rPr>
        <w:t xml:space="preserve">e   </w:t>
      </w:r>
      <w:r w:rsidR="00895001" w:rsidRPr="00E769BB">
        <w:rPr>
          <w:sz w:val="18"/>
          <w:lang w:eastAsia="ja-JP"/>
        </w:rPr>
        <w:t>Parties should report, as appropriate, on project details and the implementing agency.</w:t>
      </w:r>
    </w:p>
    <w:p w14:paraId="2A7128E7" w14:textId="2EDD7097" w:rsidR="00895001" w:rsidRPr="00E769BB" w:rsidRDefault="000E0429" w:rsidP="000E0429">
      <w:pPr>
        <w:spacing w:line="220" w:lineRule="exact"/>
        <w:ind w:left="284" w:right="1343" w:firstLine="567"/>
        <w:jc w:val="both"/>
        <w:rPr>
          <w:sz w:val="18"/>
          <w:lang w:eastAsia="ja-JP"/>
        </w:rPr>
      </w:pPr>
      <w:r w:rsidRPr="00E769BB">
        <w:rPr>
          <w:i/>
          <w:sz w:val="18"/>
          <w:vertAlign w:val="superscript"/>
          <w:lang w:eastAsia="ja-JP"/>
        </w:rPr>
        <w:t xml:space="preserve">f   </w:t>
      </w:r>
      <w:r w:rsidR="00895001" w:rsidRPr="00960F69">
        <w:rPr>
          <w:rFonts w:eastAsia="MS Mincho"/>
          <w:sz w:val="18"/>
          <w:szCs w:val="18"/>
          <w:lang w:eastAsia="ja-JP"/>
        </w:rPr>
        <w:t>Parties</w:t>
      </w:r>
      <w:r w:rsidR="00895001" w:rsidRPr="00E769BB">
        <w:rPr>
          <w:sz w:val="18"/>
          <w:szCs w:val="18"/>
          <w:lang w:eastAsia="ja-JP"/>
        </w:rPr>
        <w:t xml:space="preserve"> should explain in their national communication</w:t>
      </w:r>
      <w:r w:rsidR="00895001" w:rsidRPr="00E769BB">
        <w:rPr>
          <w:sz w:val="18"/>
          <w:lang w:eastAsia="ja-JP"/>
        </w:rPr>
        <w:t xml:space="preserve"> </w:t>
      </w:r>
      <w:r w:rsidR="00895001" w:rsidRPr="00E769BB">
        <w:rPr>
          <w:sz w:val="18"/>
          <w:szCs w:val="18"/>
          <w:lang w:eastAsia="ja-JP"/>
        </w:rPr>
        <w:t>how they define funds as being climate-specific.</w:t>
      </w:r>
      <w:r w:rsidR="00895001" w:rsidRPr="00E769BB">
        <w:rPr>
          <w:sz w:val="18"/>
          <w:lang w:eastAsia="ja-JP"/>
        </w:rPr>
        <w:t xml:space="preserve"> </w:t>
      </w:r>
    </w:p>
    <w:p w14:paraId="523AE4DB" w14:textId="449F506E" w:rsidR="00895001" w:rsidRPr="00E769BB" w:rsidRDefault="000E0429" w:rsidP="000E0429">
      <w:pPr>
        <w:spacing w:line="220" w:lineRule="exact"/>
        <w:ind w:left="284" w:right="1343" w:firstLine="567"/>
        <w:jc w:val="both"/>
        <w:rPr>
          <w:sz w:val="18"/>
          <w:lang w:eastAsia="ja-JP"/>
        </w:rPr>
      </w:pPr>
      <w:r w:rsidRPr="00E769BB">
        <w:rPr>
          <w:i/>
          <w:sz w:val="18"/>
          <w:vertAlign w:val="superscript"/>
          <w:lang w:eastAsia="ja-JP"/>
        </w:rPr>
        <w:t xml:space="preserve">g   </w:t>
      </w:r>
      <w:r w:rsidR="00895001" w:rsidRPr="00E769BB">
        <w:rPr>
          <w:sz w:val="18"/>
          <w:lang w:eastAsia="ja-JP"/>
        </w:rPr>
        <w:t>Please specify.</w:t>
      </w:r>
    </w:p>
    <w:p w14:paraId="386A9594" w14:textId="29B5F5B1" w:rsidR="00895001" w:rsidRDefault="000E0429" w:rsidP="000E0429">
      <w:pPr>
        <w:spacing w:line="220" w:lineRule="exact"/>
        <w:ind w:left="284" w:right="1343" w:firstLine="567"/>
        <w:jc w:val="both"/>
        <w:rPr>
          <w:sz w:val="18"/>
          <w:lang w:eastAsia="ja-JP"/>
        </w:rPr>
      </w:pPr>
      <w:r>
        <w:rPr>
          <w:i/>
          <w:sz w:val="18"/>
          <w:vertAlign w:val="superscript"/>
          <w:lang w:eastAsia="ja-JP"/>
        </w:rPr>
        <w:t xml:space="preserve">h   </w:t>
      </w:r>
      <w:r w:rsidR="00895001" w:rsidRPr="00960F69">
        <w:rPr>
          <w:rFonts w:eastAsia="MS Mincho"/>
          <w:sz w:val="18"/>
          <w:szCs w:val="18"/>
          <w:lang w:eastAsia="ja-JP"/>
        </w:rPr>
        <w:t>This</w:t>
      </w:r>
      <w:r w:rsidR="00895001" w:rsidRPr="00F071DA">
        <w:rPr>
          <w:sz w:val="18"/>
          <w:lang w:eastAsia="ja-JP"/>
        </w:rPr>
        <w:t xml:space="preserve"> refers to funding for activities </w:t>
      </w:r>
      <w:r w:rsidR="00895001">
        <w:rPr>
          <w:sz w:val="18"/>
          <w:lang w:eastAsia="ja-JP"/>
        </w:rPr>
        <w:t>that</w:t>
      </w:r>
      <w:r w:rsidR="00895001" w:rsidRPr="00F071DA">
        <w:rPr>
          <w:sz w:val="18"/>
          <w:lang w:eastAsia="ja-JP"/>
        </w:rPr>
        <w:t xml:space="preserve"> are cross-cutting across mitigation and adaptation.</w:t>
      </w:r>
    </w:p>
    <w:p w14:paraId="6BF91772" w14:textId="77777777" w:rsidR="00895001" w:rsidRDefault="00895001" w:rsidP="00895001">
      <w:pPr>
        <w:ind w:right="1343"/>
        <w:rPr>
          <w:sz w:val="18"/>
          <w:lang w:eastAsia="ja-JP"/>
        </w:rPr>
      </w:pPr>
    </w:p>
    <w:p w14:paraId="4E055198" w14:textId="77777777" w:rsidR="00895001" w:rsidRDefault="00895001" w:rsidP="00895001">
      <w:pPr>
        <w:rPr>
          <w:sz w:val="18"/>
          <w:lang w:eastAsia="ja-JP"/>
        </w:rPr>
      </w:pPr>
    </w:p>
    <w:p w14:paraId="3D1824B0" w14:textId="7583A5C9" w:rsidR="008F63F4" w:rsidRDefault="008F63F4">
      <w:pPr>
        <w:suppressAutoHyphens w:val="0"/>
        <w:spacing w:line="240" w:lineRule="auto"/>
        <w:rPr>
          <w:sz w:val="18"/>
          <w:lang w:eastAsia="ja-JP"/>
        </w:rPr>
      </w:pPr>
      <w:r>
        <w:rPr>
          <w:sz w:val="18"/>
          <w:lang w:eastAsia="ja-JP"/>
        </w:rPr>
        <w:br w:type="page"/>
      </w:r>
    </w:p>
    <w:p w14:paraId="567BFDF0" w14:textId="77777777" w:rsidR="00895001" w:rsidRDefault="00895001" w:rsidP="00895001">
      <w:pPr>
        <w:rPr>
          <w:sz w:val="18"/>
          <w:lang w:eastAsia="ja-JP"/>
        </w:rPr>
      </w:pPr>
    </w:p>
    <w:p w14:paraId="62444010" w14:textId="77777777" w:rsidR="00895001" w:rsidRDefault="00895001" w:rsidP="00895001">
      <w:pPr>
        <w:pStyle w:val="SingleTxtG"/>
        <w:spacing w:after="0"/>
        <w:ind w:left="0" w:firstLine="142"/>
        <w:rPr>
          <w:rFonts w:eastAsia="MS Mincho"/>
          <w:b/>
        </w:rPr>
      </w:pPr>
      <w:r w:rsidRPr="00A470FF">
        <w:rPr>
          <w:rFonts w:eastAsia="MS Mincho"/>
          <w:b/>
        </w:rPr>
        <w:t>Documentation box</w:t>
      </w:r>
    </w:p>
    <w:tbl>
      <w:tblPr>
        <w:tblpPr w:leftFromText="180" w:rightFromText="180" w:vertAnchor="text" w:horzAnchor="margin" w:tblpX="108"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4"/>
      </w:tblGrid>
      <w:tr w:rsidR="00895001" w:rsidRPr="00A470FF" w14:paraId="31BDE362" w14:textId="77777777" w:rsidTr="006D4A81">
        <w:trPr>
          <w:trHeight w:val="200"/>
        </w:trPr>
        <w:tc>
          <w:tcPr>
            <w:tcW w:w="12724" w:type="dxa"/>
            <w:shd w:val="clear" w:color="auto" w:fill="auto"/>
          </w:tcPr>
          <w:p w14:paraId="6F5A94A1" w14:textId="77777777" w:rsidR="00895001" w:rsidRDefault="00895001" w:rsidP="006D4A81">
            <w:pPr>
              <w:suppressAutoHyphens w:val="0"/>
              <w:spacing w:line="240" w:lineRule="auto"/>
              <w:ind w:left="-56"/>
              <w:rPr>
                <w:color w:val="000000"/>
                <w:sz w:val="18"/>
                <w:szCs w:val="18"/>
              </w:rPr>
            </w:pPr>
            <w:r w:rsidRPr="00A470FF">
              <w:rPr>
                <w:color w:val="000000"/>
                <w:sz w:val="18"/>
                <w:szCs w:val="18"/>
              </w:rPr>
              <w:t>1: Core/general</w:t>
            </w:r>
          </w:p>
          <w:p w14:paraId="0104D722" w14:textId="77777777" w:rsidR="00895001" w:rsidRPr="00A470FF" w:rsidRDefault="00895001" w:rsidP="006D4A81">
            <w:pPr>
              <w:suppressAutoHyphens w:val="0"/>
              <w:spacing w:line="240" w:lineRule="auto"/>
              <w:ind w:left="-56"/>
              <w:rPr>
                <w:color w:val="000000"/>
                <w:sz w:val="18"/>
                <w:szCs w:val="18"/>
              </w:rPr>
            </w:pPr>
          </w:p>
        </w:tc>
      </w:tr>
      <w:tr w:rsidR="00895001" w:rsidRPr="00A470FF" w14:paraId="371048F5" w14:textId="77777777" w:rsidTr="006D4A81">
        <w:trPr>
          <w:trHeight w:val="200"/>
        </w:trPr>
        <w:tc>
          <w:tcPr>
            <w:tcW w:w="12724" w:type="dxa"/>
            <w:shd w:val="clear" w:color="auto" w:fill="auto"/>
          </w:tcPr>
          <w:p w14:paraId="5CC8EAA3" w14:textId="77777777" w:rsidR="00895001" w:rsidRDefault="00895001" w:rsidP="006D4A81">
            <w:pPr>
              <w:suppressAutoHyphens w:val="0"/>
              <w:spacing w:line="240" w:lineRule="auto"/>
              <w:ind w:left="-56"/>
              <w:rPr>
                <w:color w:val="000000"/>
                <w:sz w:val="18"/>
                <w:szCs w:val="18"/>
              </w:rPr>
            </w:pPr>
          </w:p>
          <w:p w14:paraId="22DE51DC" w14:textId="77777777" w:rsidR="00895001" w:rsidRDefault="00895001" w:rsidP="006D4A81">
            <w:pPr>
              <w:suppressAutoHyphens w:val="0"/>
              <w:spacing w:line="240" w:lineRule="auto"/>
              <w:ind w:left="-56"/>
              <w:rPr>
                <w:color w:val="000000"/>
                <w:sz w:val="18"/>
                <w:szCs w:val="18"/>
              </w:rPr>
            </w:pPr>
          </w:p>
          <w:p w14:paraId="45F73099" w14:textId="77777777" w:rsidR="00895001" w:rsidRPr="00A470FF" w:rsidRDefault="00895001" w:rsidP="006D4A81">
            <w:pPr>
              <w:suppressAutoHyphens w:val="0"/>
              <w:spacing w:line="240" w:lineRule="auto"/>
              <w:ind w:left="-56"/>
              <w:rPr>
                <w:color w:val="000000"/>
                <w:sz w:val="18"/>
                <w:szCs w:val="18"/>
              </w:rPr>
            </w:pPr>
          </w:p>
        </w:tc>
      </w:tr>
      <w:tr w:rsidR="00895001" w:rsidRPr="00A470FF" w14:paraId="56900028" w14:textId="77777777" w:rsidTr="006D4A81">
        <w:trPr>
          <w:trHeight w:val="200"/>
        </w:trPr>
        <w:tc>
          <w:tcPr>
            <w:tcW w:w="12724" w:type="dxa"/>
            <w:shd w:val="clear" w:color="auto" w:fill="auto"/>
          </w:tcPr>
          <w:p w14:paraId="06CB9DA6" w14:textId="77777777" w:rsidR="00895001" w:rsidRDefault="00895001" w:rsidP="006D4A81">
            <w:pPr>
              <w:suppressAutoHyphens w:val="0"/>
              <w:spacing w:line="240" w:lineRule="auto"/>
              <w:ind w:left="-56"/>
              <w:rPr>
                <w:color w:val="000000"/>
                <w:sz w:val="18"/>
                <w:szCs w:val="18"/>
              </w:rPr>
            </w:pPr>
            <w:r w:rsidRPr="00A470FF">
              <w:rPr>
                <w:color w:val="000000"/>
                <w:sz w:val="18"/>
                <w:szCs w:val="18"/>
              </w:rPr>
              <w:t>2: Climate-specific</w:t>
            </w:r>
          </w:p>
          <w:p w14:paraId="4C6B9716" w14:textId="77777777" w:rsidR="00895001" w:rsidRPr="00A470FF" w:rsidRDefault="00895001" w:rsidP="006D4A81">
            <w:pPr>
              <w:suppressAutoHyphens w:val="0"/>
              <w:spacing w:line="240" w:lineRule="auto"/>
              <w:ind w:left="-56"/>
              <w:rPr>
                <w:color w:val="000000"/>
                <w:sz w:val="18"/>
                <w:szCs w:val="18"/>
              </w:rPr>
            </w:pPr>
            <w:r w:rsidRPr="00A470FF">
              <w:rPr>
                <w:color w:val="000000"/>
                <w:sz w:val="18"/>
                <w:szCs w:val="18"/>
              </w:rPr>
              <w:t xml:space="preserve"> </w:t>
            </w:r>
          </w:p>
        </w:tc>
      </w:tr>
      <w:tr w:rsidR="00895001" w:rsidRPr="00A470FF" w14:paraId="7DB31D45" w14:textId="77777777" w:rsidTr="006D4A81">
        <w:trPr>
          <w:trHeight w:val="200"/>
        </w:trPr>
        <w:tc>
          <w:tcPr>
            <w:tcW w:w="12724" w:type="dxa"/>
            <w:shd w:val="clear" w:color="auto" w:fill="auto"/>
          </w:tcPr>
          <w:p w14:paraId="6D62DE36" w14:textId="77777777" w:rsidR="00895001" w:rsidRDefault="00895001" w:rsidP="006D4A81">
            <w:pPr>
              <w:suppressAutoHyphens w:val="0"/>
              <w:spacing w:line="240" w:lineRule="auto"/>
              <w:ind w:left="-56"/>
              <w:rPr>
                <w:color w:val="000000"/>
                <w:sz w:val="18"/>
                <w:szCs w:val="18"/>
              </w:rPr>
            </w:pPr>
          </w:p>
          <w:p w14:paraId="04F3BC1A" w14:textId="77777777" w:rsidR="00895001" w:rsidRDefault="00895001" w:rsidP="006D4A81">
            <w:pPr>
              <w:suppressAutoHyphens w:val="0"/>
              <w:spacing w:line="240" w:lineRule="auto"/>
              <w:ind w:left="-56"/>
              <w:rPr>
                <w:color w:val="000000"/>
                <w:sz w:val="18"/>
                <w:szCs w:val="18"/>
              </w:rPr>
            </w:pPr>
          </w:p>
          <w:p w14:paraId="1583D5F0" w14:textId="77777777" w:rsidR="00895001" w:rsidRPr="00A470FF" w:rsidRDefault="00895001" w:rsidP="006D4A81">
            <w:pPr>
              <w:suppressAutoHyphens w:val="0"/>
              <w:spacing w:line="240" w:lineRule="auto"/>
              <w:ind w:left="-56"/>
              <w:rPr>
                <w:color w:val="000000"/>
                <w:sz w:val="18"/>
                <w:szCs w:val="18"/>
              </w:rPr>
            </w:pPr>
          </w:p>
        </w:tc>
      </w:tr>
      <w:tr w:rsidR="00895001" w:rsidRPr="00A470FF" w14:paraId="47F7C571" w14:textId="77777777" w:rsidTr="006D4A81">
        <w:trPr>
          <w:trHeight w:val="200"/>
        </w:trPr>
        <w:tc>
          <w:tcPr>
            <w:tcW w:w="12724" w:type="dxa"/>
            <w:shd w:val="clear" w:color="auto" w:fill="auto"/>
          </w:tcPr>
          <w:p w14:paraId="5B76CC09" w14:textId="77777777" w:rsidR="00895001" w:rsidRDefault="00895001" w:rsidP="006D4A81">
            <w:pPr>
              <w:suppressAutoHyphens w:val="0"/>
              <w:spacing w:line="240" w:lineRule="auto"/>
              <w:ind w:left="-56"/>
              <w:rPr>
                <w:color w:val="000000"/>
                <w:sz w:val="18"/>
                <w:szCs w:val="18"/>
              </w:rPr>
            </w:pPr>
            <w:r w:rsidRPr="00A470FF">
              <w:rPr>
                <w:color w:val="000000"/>
                <w:sz w:val="18"/>
                <w:szCs w:val="18"/>
              </w:rPr>
              <w:t>3: Status</w:t>
            </w:r>
          </w:p>
          <w:p w14:paraId="777E6BBA" w14:textId="77777777" w:rsidR="00895001" w:rsidRPr="00A470FF" w:rsidRDefault="00895001" w:rsidP="006D4A81">
            <w:pPr>
              <w:suppressAutoHyphens w:val="0"/>
              <w:spacing w:line="240" w:lineRule="auto"/>
              <w:ind w:left="-56"/>
              <w:rPr>
                <w:color w:val="000000"/>
                <w:sz w:val="18"/>
                <w:szCs w:val="18"/>
              </w:rPr>
            </w:pPr>
          </w:p>
        </w:tc>
      </w:tr>
      <w:tr w:rsidR="00895001" w:rsidRPr="00A470FF" w14:paraId="29039830" w14:textId="77777777" w:rsidTr="006D4A81">
        <w:trPr>
          <w:trHeight w:val="200"/>
        </w:trPr>
        <w:tc>
          <w:tcPr>
            <w:tcW w:w="12724" w:type="dxa"/>
            <w:shd w:val="clear" w:color="auto" w:fill="auto"/>
          </w:tcPr>
          <w:p w14:paraId="075E5818" w14:textId="77777777" w:rsidR="00895001" w:rsidRDefault="00895001" w:rsidP="006D4A81">
            <w:pPr>
              <w:suppressAutoHyphens w:val="0"/>
              <w:spacing w:line="240" w:lineRule="auto"/>
              <w:ind w:left="-56"/>
              <w:rPr>
                <w:color w:val="000000"/>
                <w:sz w:val="18"/>
                <w:szCs w:val="18"/>
              </w:rPr>
            </w:pPr>
          </w:p>
          <w:p w14:paraId="4966549B" w14:textId="77777777" w:rsidR="00895001" w:rsidRDefault="00895001" w:rsidP="006D4A81">
            <w:pPr>
              <w:suppressAutoHyphens w:val="0"/>
              <w:spacing w:line="240" w:lineRule="auto"/>
              <w:ind w:left="-56"/>
              <w:rPr>
                <w:color w:val="000000"/>
                <w:sz w:val="18"/>
                <w:szCs w:val="18"/>
              </w:rPr>
            </w:pPr>
          </w:p>
          <w:p w14:paraId="75C88783" w14:textId="77777777" w:rsidR="00895001" w:rsidRPr="00A470FF" w:rsidRDefault="00895001" w:rsidP="006D4A81">
            <w:pPr>
              <w:suppressAutoHyphens w:val="0"/>
              <w:spacing w:line="240" w:lineRule="auto"/>
              <w:ind w:left="-56"/>
              <w:rPr>
                <w:color w:val="000000"/>
                <w:sz w:val="18"/>
                <w:szCs w:val="18"/>
              </w:rPr>
            </w:pPr>
          </w:p>
        </w:tc>
      </w:tr>
      <w:tr w:rsidR="00895001" w:rsidRPr="00A470FF" w14:paraId="66950BCD" w14:textId="77777777" w:rsidTr="006D4A81">
        <w:trPr>
          <w:trHeight w:val="200"/>
        </w:trPr>
        <w:tc>
          <w:tcPr>
            <w:tcW w:w="12724" w:type="dxa"/>
            <w:shd w:val="clear" w:color="auto" w:fill="auto"/>
          </w:tcPr>
          <w:p w14:paraId="09F23CFC" w14:textId="77777777" w:rsidR="00895001" w:rsidRDefault="00895001" w:rsidP="006D4A81">
            <w:pPr>
              <w:suppressAutoHyphens w:val="0"/>
              <w:spacing w:line="240" w:lineRule="auto"/>
              <w:ind w:left="-56"/>
              <w:rPr>
                <w:color w:val="000000"/>
                <w:sz w:val="18"/>
                <w:szCs w:val="18"/>
              </w:rPr>
            </w:pPr>
            <w:r w:rsidRPr="00A470FF">
              <w:rPr>
                <w:color w:val="000000"/>
                <w:sz w:val="18"/>
                <w:szCs w:val="18"/>
              </w:rPr>
              <w:t>4: Funding source</w:t>
            </w:r>
          </w:p>
          <w:p w14:paraId="2D1A5754" w14:textId="77777777" w:rsidR="00895001" w:rsidRPr="00A470FF" w:rsidRDefault="00895001" w:rsidP="006D4A81">
            <w:pPr>
              <w:suppressAutoHyphens w:val="0"/>
              <w:spacing w:line="240" w:lineRule="auto"/>
              <w:ind w:left="-56"/>
              <w:rPr>
                <w:color w:val="000000"/>
                <w:sz w:val="18"/>
                <w:szCs w:val="18"/>
              </w:rPr>
            </w:pPr>
          </w:p>
        </w:tc>
      </w:tr>
      <w:tr w:rsidR="00895001" w:rsidRPr="00A470FF" w14:paraId="203C1D14" w14:textId="77777777" w:rsidTr="006D4A81">
        <w:trPr>
          <w:trHeight w:val="200"/>
        </w:trPr>
        <w:tc>
          <w:tcPr>
            <w:tcW w:w="12724" w:type="dxa"/>
            <w:shd w:val="clear" w:color="auto" w:fill="auto"/>
          </w:tcPr>
          <w:p w14:paraId="7EF2B2F3" w14:textId="77777777" w:rsidR="00895001" w:rsidRDefault="00895001" w:rsidP="006D4A81">
            <w:pPr>
              <w:suppressAutoHyphens w:val="0"/>
              <w:spacing w:line="240" w:lineRule="auto"/>
              <w:ind w:left="-56"/>
              <w:rPr>
                <w:color w:val="000000"/>
                <w:sz w:val="18"/>
                <w:szCs w:val="18"/>
              </w:rPr>
            </w:pPr>
          </w:p>
          <w:p w14:paraId="3FC821AB" w14:textId="77777777" w:rsidR="00895001" w:rsidRDefault="00895001" w:rsidP="006D4A81">
            <w:pPr>
              <w:suppressAutoHyphens w:val="0"/>
              <w:spacing w:line="240" w:lineRule="auto"/>
              <w:ind w:left="-56"/>
              <w:rPr>
                <w:color w:val="000000"/>
                <w:sz w:val="18"/>
                <w:szCs w:val="18"/>
              </w:rPr>
            </w:pPr>
          </w:p>
          <w:p w14:paraId="7BC06DAA" w14:textId="77777777" w:rsidR="00895001" w:rsidRPr="00A470FF" w:rsidRDefault="00895001" w:rsidP="006D4A81">
            <w:pPr>
              <w:suppressAutoHyphens w:val="0"/>
              <w:spacing w:line="240" w:lineRule="auto"/>
              <w:ind w:left="-56"/>
              <w:rPr>
                <w:color w:val="000000"/>
                <w:sz w:val="18"/>
                <w:szCs w:val="18"/>
              </w:rPr>
            </w:pPr>
          </w:p>
        </w:tc>
      </w:tr>
      <w:tr w:rsidR="00895001" w:rsidRPr="00A470FF" w14:paraId="4C2A15C7" w14:textId="77777777" w:rsidTr="006D4A81">
        <w:trPr>
          <w:trHeight w:val="200"/>
        </w:trPr>
        <w:tc>
          <w:tcPr>
            <w:tcW w:w="12724" w:type="dxa"/>
            <w:shd w:val="clear" w:color="auto" w:fill="auto"/>
          </w:tcPr>
          <w:p w14:paraId="3D344795" w14:textId="77777777" w:rsidR="00895001" w:rsidRDefault="00895001" w:rsidP="006D4A81">
            <w:pPr>
              <w:suppressAutoHyphens w:val="0"/>
              <w:spacing w:line="240" w:lineRule="auto"/>
              <w:ind w:left="-56"/>
              <w:rPr>
                <w:color w:val="000000"/>
                <w:sz w:val="18"/>
                <w:szCs w:val="18"/>
              </w:rPr>
            </w:pPr>
            <w:r w:rsidRPr="00A470FF">
              <w:rPr>
                <w:color w:val="000000"/>
                <w:sz w:val="18"/>
                <w:szCs w:val="18"/>
              </w:rPr>
              <w:t>5: Financial instrument</w:t>
            </w:r>
          </w:p>
          <w:p w14:paraId="19AAE544" w14:textId="77777777" w:rsidR="00895001" w:rsidRPr="00A470FF" w:rsidRDefault="00895001" w:rsidP="006D4A81">
            <w:pPr>
              <w:suppressAutoHyphens w:val="0"/>
              <w:spacing w:line="240" w:lineRule="auto"/>
              <w:ind w:left="-56"/>
              <w:rPr>
                <w:color w:val="000000"/>
                <w:sz w:val="18"/>
                <w:szCs w:val="18"/>
              </w:rPr>
            </w:pPr>
            <w:r w:rsidRPr="00A470FF">
              <w:rPr>
                <w:color w:val="000000"/>
                <w:sz w:val="18"/>
                <w:szCs w:val="18"/>
              </w:rPr>
              <w:t xml:space="preserve"> </w:t>
            </w:r>
          </w:p>
        </w:tc>
      </w:tr>
      <w:tr w:rsidR="00895001" w:rsidRPr="00A470FF" w14:paraId="7EFBD633" w14:textId="77777777" w:rsidTr="006D4A81">
        <w:trPr>
          <w:trHeight w:val="200"/>
        </w:trPr>
        <w:tc>
          <w:tcPr>
            <w:tcW w:w="12724" w:type="dxa"/>
            <w:shd w:val="clear" w:color="auto" w:fill="auto"/>
          </w:tcPr>
          <w:p w14:paraId="0592565A" w14:textId="77777777" w:rsidR="00895001" w:rsidRDefault="00895001" w:rsidP="006D4A81">
            <w:pPr>
              <w:suppressAutoHyphens w:val="0"/>
              <w:spacing w:line="240" w:lineRule="auto"/>
              <w:ind w:left="-56"/>
              <w:rPr>
                <w:color w:val="000000"/>
                <w:sz w:val="18"/>
                <w:szCs w:val="18"/>
              </w:rPr>
            </w:pPr>
          </w:p>
          <w:p w14:paraId="5A07731D" w14:textId="77777777" w:rsidR="00895001" w:rsidRDefault="00895001" w:rsidP="006D4A81">
            <w:pPr>
              <w:suppressAutoHyphens w:val="0"/>
              <w:spacing w:line="240" w:lineRule="auto"/>
              <w:ind w:left="-56"/>
              <w:rPr>
                <w:color w:val="000000"/>
                <w:sz w:val="18"/>
                <w:szCs w:val="18"/>
              </w:rPr>
            </w:pPr>
          </w:p>
          <w:p w14:paraId="6AD8171E" w14:textId="77777777" w:rsidR="00895001" w:rsidRPr="00A470FF" w:rsidRDefault="00895001" w:rsidP="006D4A81">
            <w:pPr>
              <w:suppressAutoHyphens w:val="0"/>
              <w:spacing w:line="240" w:lineRule="auto"/>
              <w:ind w:left="-56"/>
              <w:rPr>
                <w:color w:val="000000"/>
                <w:sz w:val="18"/>
                <w:szCs w:val="18"/>
              </w:rPr>
            </w:pPr>
          </w:p>
        </w:tc>
      </w:tr>
      <w:tr w:rsidR="00895001" w:rsidRPr="00A470FF" w14:paraId="51B3CD53" w14:textId="77777777" w:rsidTr="006D4A81">
        <w:trPr>
          <w:trHeight w:val="200"/>
        </w:trPr>
        <w:tc>
          <w:tcPr>
            <w:tcW w:w="12724" w:type="dxa"/>
            <w:shd w:val="clear" w:color="auto" w:fill="auto"/>
          </w:tcPr>
          <w:p w14:paraId="1E556FEB" w14:textId="77777777" w:rsidR="00895001" w:rsidRDefault="00895001" w:rsidP="006D4A81">
            <w:pPr>
              <w:suppressAutoHyphens w:val="0"/>
              <w:spacing w:line="240" w:lineRule="auto"/>
              <w:ind w:left="-56"/>
              <w:rPr>
                <w:color w:val="000000"/>
                <w:sz w:val="18"/>
                <w:szCs w:val="18"/>
              </w:rPr>
            </w:pPr>
            <w:r w:rsidRPr="00A470FF">
              <w:rPr>
                <w:color w:val="000000"/>
                <w:sz w:val="18"/>
                <w:szCs w:val="18"/>
              </w:rPr>
              <w:t>6: Type of support</w:t>
            </w:r>
          </w:p>
          <w:p w14:paraId="4EB35AEB" w14:textId="77777777" w:rsidR="00895001" w:rsidRPr="00A470FF" w:rsidRDefault="00895001" w:rsidP="006D4A81">
            <w:pPr>
              <w:suppressAutoHyphens w:val="0"/>
              <w:spacing w:line="240" w:lineRule="auto"/>
              <w:ind w:left="-56"/>
              <w:rPr>
                <w:color w:val="000000"/>
                <w:sz w:val="18"/>
                <w:szCs w:val="18"/>
              </w:rPr>
            </w:pPr>
          </w:p>
        </w:tc>
      </w:tr>
      <w:tr w:rsidR="00895001" w:rsidRPr="00A470FF" w14:paraId="3832FA99" w14:textId="77777777" w:rsidTr="006D4A81">
        <w:trPr>
          <w:trHeight w:val="200"/>
        </w:trPr>
        <w:tc>
          <w:tcPr>
            <w:tcW w:w="12724" w:type="dxa"/>
            <w:shd w:val="clear" w:color="auto" w:fill="auto"/>
          </w:tcPr>
          <w:p w14:paraId="79D8CED4" w14:textId="77777777" w:rsidR="00895001" w:rsidRDefault="00895001" w:rsidP="006D4A81">
            <w:pPr>
              <w:suppressAutoHyphens w:val="0"/>
              <w:spacing w:line="240" w:lineRule="auto"/>
              <w:ind w:left="-56"/>
              <w:rPr>
                <w:color w:val="000000"/>
                <w:sz w:val="18"/>
                <w:szCs w:val="18"/>
              </w:rPr>
            </w:pPr>
          </w:p>
          <w:p w14:paraId="0D838784" w14:textId="77777777" w:rsidR="00895001" w:rsidRDefault="00895001" w:rsidP="006D4A81">
            <w:pPr>
              <w:suppressAutoHyphens w:val="0"/>
              <w:spacing w:line="240" w:lineRule="auto"/>
              <w:ind w:left="-56"/>
              <w:rPr>
                <w:color w:val="000000"/>
                <w:sz w:val="18"/>
                <w:szCs w:val="18"/>
              </w:rPr>
            </w:pPr>
          </w:p>
          <w:p w14:paraId="09F28708" w14:textId="77777777" w:rsidR="00895001" w:rsidRPr="00A470FF" w:rsidRDefault="00895001" w:rsidP="006D4A81">
            <w:pPr>
              <w:suppressAutoHyphens w:val="0"/>
              <w:spacing w:line="240" w:lineRule="auto"/>
              <w:ind w:left="-56"/>
              <w:rPr>
                <w:color w:val="000000"/>
                <w:sz w:val="18"/>
                <w:szCs w:val="18"/>
              </w:rPr>
            </w:pPr>
          </w:p>
        </w:tc>
      </w:tr>
      <w:tr w:rsidR="00895001" w:rsidRPr="00A470FF" w14:paraId="5D310B74" w14:textId="77777777" w:rsidTr="006D4A81">
        <w:trPr>
          <w:trHeight w:val="200"/>
        </w:trPr>
        <w:tc>
          <w:tcPr>
            <w:tcW w:w="12724" w:type="dxa"/>
            <w:shd w:val="clear" w:color="auto" w:fill="auto"/>
          </w:tcPr>
          <w:p w14:paraId="16C49E5F" w14:textId="77777777" w:rsidR="00895001" w:rsidRDefault="00895001" w:rsidP="006D4A81">
            <w:pPr>
              <w:suppressAutoHyphens w:val="0"/>
              <w:spacing w:line="240" w:lineRule="auto"/>
              <w:ind w:left="-56"/>
              <w:rPr>
                <w:color w:val="000000"/>
                <w:sz w:val="18"/>
                <w:szCs w:val="18"/>
              </w:rPr>
            </w:pPr>
            <w:r w:rsidRPr="00A470FF">
              <w:rPr>
                <w:color w:val="000000"/>
                <w:sz w:val="18"/>
                <w:szCs w:val="18"/>
              </w:rPr>
              <w:t>7: Sector</w:t>
            </w:r>
          </w:p>
          <w:p w14:paraId="0FFC4D60" w14:textId="77777777" w:rsidR="00895001" w:rsidRPr="00A470FF" w:rsidRDefault="00895001" w:rsidP="006D4A81">
            <w:pPr>
              <w:suppressAutoHyphens w:val="0"/>
              <w:spacing w:line="240" w:lineRule="auto"/>
              <w:ind w:left="-56"/>
              <w:rPr>
                <w:color w:val="000000"/>
                <w:sz w:val="18"/>
                <w:szCs w:val="18"/>
              </w:rPr>
            </w:pPr>
            <w:r w:rsidRPr="00A470FF">
              <w:rPr>
                <w:color w:val="000000"/>
                <w:sz w:val="18"/>
                <w:szCs w:val="18"/>
              </w:rPr>
              <w:t xml:space="preserve"> </w:t>
            </w:r>
          </w:p>
        </w:tc>
      </w:tr>
      <w:tr w:rsidR="00895001" w:rsidRPr="00A470FF" w14:paraId="22234DFD" w14:textId="77777777" w:rsidTr="006D4A81">
        <w:trPr>
          <w:trHeight w:val="200"/>
        </w:trPr>
        <w:tc>
          <w:tcPr>
            <w:tcW w:w="12724" w:type="dxa"/>
            <w:shd w:val="clear" w:color="auto" w:fill="auto"/>
          </w:tcPr>
          <w:p w14:paraId="3D914818" w14:textId="77777777" w:rsidR="00895001" w:rsidRDefault="00895001" w:rsidP="006D4A81">
            <w:pPr>
              <w:suppressAutoHyphens w:val="0"/>
              <w:spacing w:line="240" w:lineRule="auto"/>
              <w:ind w:left="-56"/>
              <w:rPr>
                <w:color w:val="000000"/>
                <w:sz w:val="18"/>
                <w:szCs w:val="18"/>
              </w:rPr>
            </w:pPr>
          </w:p>
          <w:p w14:paraId="09878A3A" w14:textId="77777777" w:rsidR="00895001" w:rsidRDefault="00895001" w:rsidP="006D4A81">
            <w:pPr>
              <w:suppressAutoHyphens w:val="0"/>
              <w:spacing w:line="240" w:lineRule="auto"/>
              <w:ind w:left="-56"/>
              <w:rPr>
                <w:color w:val="000000"/>
                <w:sz w:val="18"/>
                <w:szCs w:val="18"/>
              </w:rPr>
            </w:pPr>
          </w:p>
          <w:p w14:paraId="2FCE8DD1" w14:textId="77777777" w:rsidR="00895001" w:rsidRPr="00A470FF" w:rsidRDefault="00895001" w:rsidP="006D4A81">
            <w:pPr>
              <w:suppressAutoHyphens w:val="0"/>
              <w:spacing w:line="240" w:lineRule="auto"/>
              <w:ind w:left="-56"/>
              <w:rPr>
                <w:color w:val="000000"/>
                <w:sz w:val="18"/>
                <w:szCs w:val="18"/>
              </w:rPr>
            </w:pPr>
          </w:p>
        </w:tc>
      </w:tr>
      <w:tr w:rsidR="00895001" w:rsidRPr="00A470FF" w14:paraId="7A8415C9" w14:textId="77777777" w:rsidTr="006D4A81">
        <w:trPr>
          <w:trHeight w:val="200"/>
        </w:trPr>
        <w:tc>
          <w:tcPr>
            <w:tcW w:w="12724" w:type="dxa"/>
            <w:shd w:val="clear" w:color="auto" w:fill="auto"/>
          </w:tcPr>
          <w:p w14:paraId="3F73AC31" w14:textId="798BCE93" w:rsidR="00895001" w:rsidRDefault="00895001" w:rsidP="006D4A81">
            <w:pPr>
              <w:suppressAutoHyphens w:val="0"/>
              <w:spacing w:line="240" w:lineRule="auto"/>
              <w:ind w:left="-56"/>
              <w:rPr>
                <w:color w:val="000000"/>
                <w:sz w:val="18"/>
                <w:szCs w:val="18"/>
              </w:rPr>
            </w:pPr>
            <w:r w:rsidRPr="00A470FF">
              <w:rPr>
                <w:color w:val="000000"/>
                <w:sz w:val="18"/>
                <w:szCs w:val="18"/>
              </w:rPr>
              <w:t xml:space="preserve">Each Party shall provide an indication of what new and additional financial resources it has provided and clarify how it has determined that such resources are new and additional. Please provide this information in relation to </w:t>
            </w:r>
            <w:r w:rsidR="00F907BF">
              <w:rPr>
                <w:color w:val="000000"/>
                <w:sz w:val="18"/>
                <w:szCs w:val="18"/>
              </w:rPr>
              <w:t>tables 7 and 8</w:t>
            </w:r>
          </w:p>
          <w:p w14:paraId="53A1A001" w14:textId="77777777" w:rsidR="00895001" w:rsidRPr="00A470FF" w:rsidRDefault="00895001" w:rsidP="006D4A81">
            <w:pPr>
              <w:suppressAutoHyphens w:val="0"/>
              <w:spacing w:line="240" w:lineRule="auto"/>
              <w:ind w:left="-56"/>
              <w:rPr>
                <w:color w:val="000000"/>
                <w:sz w:val="18"/>
                <w:szCs w:val="18"/>
              </w:rPr>
            </w:pPr>
            <w:r w:rsidRPr="00A470FF">
              <w:rPr>
                <w:color w:val="000000"/>
                <w:sz w:val="18"/>
                <w:szCs w:val="18"/>
              </w:rPr>
              <w:t xml:space="preserve"> </w:t>
            </w:r>
          </w:p>
        </w:tc>
      </w:tr>
      <w:tr w:rsidR="00895001" w:rsidRPr="00A470FF" w14:paraId="2498FEC1" w14:textId="77777777" w:rsidTr="006D4A81">
        <w:trPr>
          <w:trHeight w:val="200"/>
        </w:trPr>
        <w:tc>
          <w:tcPr>
            <w:tcW w:w="12724" w:type="dxa"/>
            <w:shd w:val="clear" w:color="auto" w:fill="auto"/>
          </w:tcPr>
          <w:p w14:paraId="3844AE8A" w14:textId="77777777" w:rsidR="00895001" w:rsidRDefault="00895001" w:rsidP="006D4A81">
            <w:pPr>
              <w:suppressAutoHyphens w:val="0"/>
              <w:spacing w:line="240" w:lineRule="auto"/>
              <w:rPr>
                <w:color w:val="000000"/>
                <w:sz w:val="18"/>
                <w:szCs w:val="18"/>
              </w:rPr>
            </w:pPr>
          </w:p>
          <w:p w14:paraId="3DE8BAFA" w14:textId="77777777" w:rsidR="00895001" w:rsidRDefault="00895001" w:rsidP="006D4A81">
            <w:pPr>
              <w:suppressAutoHyphens w:val="0"/>
              <w:spacing w:line="240" w:lineRule="auto"/>
              <w:rPr>
                <w:color w:val="000000"/>
                <w:sz w:val="18"/>
                <w:szCs w:val="18"/>
              </w:rPr>
            </w:pPr>
          </w:p>
          <w:p w14:paraId="2459D04E" w14:textId="77777777" w:rsidR="00895001" w:rsidRPr="00A470FF" w:rsidRDefault="00895001" w:rsidP="006D4A81">
            <w:pPr>
              <w:suppressAutoHyphens w:val="0"/>
              <w:spacing w:line="240" w:lineRule="auto"/>
              <w:rPr>
                <w:color w:val="000000"/>
                <w:sz w:val="18"/>
                <w:szCs w:val="18"/>
              </w:rPr>
            </w:pPr>
          </w:p>
        </w:tc>
      </w:tr>
    </w:tbl>
    <w:p w14:paraId="1C71F15B" w14:textId="77777777" w:rsidR="00895001" w:rsidRDefault="00895001" w:rsidP="00895001">
      <w:pPr>
        <w:rPr>
          <w:sz w:val="18"/>
          <w:lang w:eastAsia="ja-JP"/>
        </w:rPr>
      </w:pPr>
    </w:p>
    <w:p w14:paraId="5A44EF39" w14:textId="77777777" w:rsidR="00895001" w:rsidRPr="00F071DA" w:rsidRDefault="00895001" w:rsidP="00895001">
      <w:pPr>
        <w:suppressAutoHyphens w:val="0"/>
        <w:autoSpaceDE w:val="0"/>
        <w:autoSpaceDN w:val="0"/>
        <w:adjustRightInd w:val="0"/>
        <w:spacing w:line="240" w:lineRule="auto"/>
        <w:jc w:val="both"/>
        <w:rPr>
          <w:rFonts w:eastAsia="Calibri"/>
          <w:color w:val="008000"/>
          <w:sz w:val="24"/>
          <w:szCs w:val="24"/>
          <w:lang w:eastAsia="en-US"/>
        </w:rPr>
        <w:sectPr w:rsidR="00895001" w:rsidRPr="00F071DA" w:rsidSect="00A94046">
          <w:headerReference w:type="even" r:id="rId46"/>
          <w:headerReference w:type="default" r:id="rId47"/>
          <w:footerReference w:type="even" r:id="rId48"/>
          <w:footerReference w:type="default" r:id="rId49"/>
          <w:pgSz w:w="16839" w:h="11907" w:orient="landscape" w:code="9"/>
          <w:pgMar w:top="1134" w:right="1701" w:bottom="1134" w:left="2268" w:header="567" w:footer="567" w:gutter="0"/>
          <w:cols w:space="720"/>
          <w:docGrid w:linePitch="360"/>
        </w:sectPr>
      </w:pPr>
    </w:p>
    <w:p w14:paraId="219A3C45" w14:textId="04CF8F37" w:rsidR="00895001" w:rsidRPr="00A20B3F" w:rsidRDefault="000E0429" w:rsidP="000E0429">
      <w:pPr>
        <w:pStyle w:val="RegH1G"/>
        <w:numPr>
          <w:ilvl w:val="0"/>
          <w:numId w:val="0"/>
        </w:numPr>
        <w:tabs>
          <w:tab w:val="left" w:pos="1135"/>
        </w:tabs>
        <w:ind w:left="1135" w:hanging="454"/>
        <w:rPr>
          <w:lang w:eastAsia="en-US"/>
        </w:rPr>
      </w:pPr>
      <w:r w:rsidRPr="00A20B3F">
        <w:rPr>
          <w:lang w:eastAsia="en-US"/>
        </w:rPr>
        <w:t>B.</w:t>
      </w:r>
      <w:r w:rsidRPr="00A20B3F">
        <w:rPr>
          <w:lang w:eastAsia="en-US"/>
        </w:rPr>
        <w:tab/>
      </w:r>
      <w:r w:rsidR="00895001" w:rsidRPr="00BF72CF">
        <w:rPr>
          <w:lang w:eastAsia="en-US"/>
        </w:rPr>
        <w:t>Technology</w:t>
      </w:r>
      <w:r w:rsidR="00895001" w:rsidRPr="00A20B3F">
        <w:rPr>
          <w:lang w:eastAsia="en-US"/>
        </w:rPr>
        <w:t xml:space="preserve"> development and transfer</w:t>
      </w:r>
    </w:p>
    <w:p w14:paraId="63B494E8" w14:textId="13F3A361" w:rsidR="00895001" w:rsidRPr="00FA36F2" w:rsidRDefault="000E0429" w:rsidP="000E0429">
      <w:pPr>
        <w:pStyle w:val="RegSingleTxtG"/>
        <w:numPr>
          <w:ilvl w:val="0"/>
          <w:numId w:val="0"/>
        </w:numPr>
        <w:tabs>
          <w:tab w:val="left" w:pos="568"/>
        </w:tabs>
        <w:ind w:left="1135"/>
        <w:rPr>
          <w:lang w:eastAsia="en-US"/>
        </w:rPr>
      </w:pPr>
      <w:r w:rsidRPr="00FA36F2">
        <w:rPr>
          <w:lang w:eastAsia="en-US"/>
        </w:rPr>
        <w:t>57.</w:t>
      </w:r>
      <w:r w:rsidRPr="00FA36F2">
        <w:rPr>
          <w:lang w:eastAsia="en-US"/>
        </w:rPr>
        <w:tab/>
      </w:r>
      <w:r w:rsidR="00895001" w:rsidRPr="00FA36F2">
        <w:rPr>
          <w:lang w:eastAsia="en-US"/>
        </w:rPr>
        <w:t xml:space="preserve">Each Annex II Party shall provide information on measures taken to promote, facilitate and finance the transfer of, access to and the deployment of climate-friendly technologies for the benefit of non-Annex I Parties and for the support of the development and enhancement of endogenous capacities and technologies of non-Annex I Parties. Parties shall, where feasible, report activities related to technology transfer, including success and failure stories, using table 9 below. </w:t>
      </w:r>
    </w:p>
    <w:p w14:paraId="14A9FC3F" w14:textId="5F3F2176" w:rsidR="00895001" w:rsidRPr="00F071DA" w:rsidRDefault="000E0429" w:rsidP="000E0429">
      <w:pPr>
        <w:pStyle w:val="RegSingleTxtG"/>
        <w:numPr>
          <w:ilvl w:val="0"/>
          <w:numId w:val="0"/>
        </w:numPr>
        <w:tabs>
          <w:tab w:val="left" w:pos="568"/>
        </w:tabs>
        <w:ind w:left="1135"/>
        <w:rPr>
          <w:lang w:eastAsia="en-US"/>
        </w:rPr>
      </w:pPr>
      <w:r w:rsidRPr="00F071DA">
        <w:rPr>
          <w:lang w:eastAsia="en-US"/>
        </w:rPr>
        <w:t>58.</w:t>
      </w:r>
      <w:r w:rsidRPr="00F071DA">
        <w:rPr>
          <w:lang w:eastAsia="en-US"/>
        </w:rPr>
        <w:tab/>
      </w:r>
      <w:r w:rsidR="00895001" w:rsidRPr="00FA36F2">
        <w:rPr>
          <w:lang w:eastAsia="en-US"/>
        </w:rPr>
        <w:t xml:space="preserve">Each Annex II Party shall provide, in textual and tabular formats (see table 10 below), information on measures and activities related to technology transfer implemented or planned since its </w:t>
      </w:r>
      <w:r w:rsidR="00895001">
        <w:rPr>
          <w:lang w:eastAsia="en-US"/>
        </w:rPr>
        <w:t>previous</w:t>
      </w:r>
      <w:r w:rsidR="00895001" w:rsidRPr="00FA36F2">
        <w:rPr>
          <w:lang w:eastAsia="en-US"/>
        </w:rPr>
        <w:t xml:space="preserve"> national communication or biennial report. In reporting such measures and activities, Annex II Parties shall, to the extent possible, provide information on the recipient country, the targeted area of mitigation or adaptation, the sector involved and the sources of technology transfer from the public or private sectors, and shall distinguish between activities undertaken by the public and private sectors.</w:t>
      </w:r>
      <w:r w:rsidR="00895001" w:rsidRPr="00FA36F2">
        <w:rPr>
          <w:b/>
          <w:lang w:eastAsia="en-US"/>
        </w:rPr>
        <w:t xml:space="preserve"> </w:t>
      </w:r>
      <w:r w:rsidR="00895001" w:rsidRPr="00FA36F2">
        <w:rPr>
          <w:lang w:eastAsia="en-US"/>
        </w:rPr>
        <w:t>As the ability of Parties to collect adequate information on private-sector activities is limited, Parties may indicate, where feasible, how they have encouraged private-sector activities and how those activities help Parties to meet their commitments under Article 4</w:t>
      </w:r>
      <w:r w:rsidR="00895001">
        <w:rPr>
          <w:lang w:eastAsia="en-US"/>
        </w:rPr>
        <w:t>, paragraphs 3, 4 and 5,</w:t>
      </w:r>
      <w:r w:rsidR="00895001" w:rsidRPr="00FA36F2">
        <w:rPr>
          <w:lang w:eastAsia="en-US"/>
        </w:rPr>
        <w:t xml:space="preserve"> of the Convention.</w:t>
      </w:r>
    </w:p>
    <w:p w14:paraId="583EA8B8" w14:textId="77777777" w:rsidR="00895001" w:rsidRPr="00F071DA" w:rsidRDefault="00895001" w:rsidP="00895001">
      <w:pPr>
        <w:suppressAutoHyphens w:val="0"/>
        <w:autoSpaceDE w:val="0"/>
        <w:autoSpaceDN w:val="0"/>
        <w:adjustRightInd w:val="0"/>
        <w:spacing w:line="240" w:lineRule="auto"/>
        <w:jc w:val="both"/>
        <w:rPr>
          <w:rFonts w:eastAsia="Calibri"/>
          <w:sz w:val="24"/>
          <w:szCs w:val="24"/>
          <w:lang w:eastAsia="en-US"/>
        </w:rPr>
      </w:pPr>
    </w:p>
    <w:p w14:paraId="76DB7EA5" w14:textId="77777777" w:rsidR="00895001" w:rsidRDefault="00895001" w:rsidP="00895001">
      <w:pPr>
        <w:suppressAutoHyphens w:val="0"/>
        <w:autoSpaceDE w:val="0"/>
        <w:autoSpaceDN w:val="0"/>
        <w:adjustRightInd w:val="0"/>
        <w:spacing w:line="240" w:lineRule="auto"/>
        <w:jc w:val="both"/>
        <w:rPr>
          <w:rFonts w:eastAsia="Calibri"/>
          <w:sz w:val="24"/>
          <w:szCs w:val="24"/>
          <w:lang w:eastAsia="en-US"/>
        </w:rPr>
      </w:pPr>
    </w:p>
    <w:p w14:paraId="5D967E0B" w14:textId="77777777" w:rsidR="00895001" w:rsidRDefault="00895001" w:rsidP="00895001">
      <w:pPr>
        <w:suppressAutoHyphens w:val="0"/>
        <w:spacing w:line="240" w:lineRule="auto"/>
        <w:rPr>
          <w:rFonts w:eastAsia="Calibri"/>
          <w:bCs/>
          <w:sz w:val="24"/>
          <w:szCs w:val="24"/>
          <w:lang w:eastAsia="en-US"/>
        </w:rPr>
      </w:pPr>
      <w:r>
        <w:rPr>
          <w:rFonts w:eastAsia="Calibri"/>
          <w:bCs/>
          <w:sz w:val="24"/>
          <w:szCs w:val="24"/>
          <w:lang w:eastAsia="en-US"/>
        </w:rPr>
        <w:br w:type="page"/>
      </w:r>
    </w:p>
    <w:p w14:paraId="716E60CE" w14:textId="77777777" w:rsidR="00895001" w:rsidRPr="00941068" w:rsidRDefault="00895001" w:rsidP="00895001">
      <w:pPr>
        <w:suppressAutoHyphens w:val="0"/>
        <w:autoSpaceDE w:val="0"/>
        <w:autoSpaceDN w:val="0"/>
        <w:adjustRightInd w:val="0"/>
        <w:spacing w:line="240" w:lineRule="auto"/>
        <w:ind w:firstLine="1134"/>
        <w:jc w:val="both"/>
        <w:rPr>
          <w:rFonts w:eastAsia="Calibri"/>
          <w:bCs/>
          <w:lang w:eastAsia="en-US"/>
        </w:rPr>
      </w:pPr>
      <w:r w:rsidRPr="00941068">
        <w:rPr>
          <w:rFonts w:eastAsia="Calibri"/>
          <w:bCs/>
          <w:lang w:eastAsia="en-US"/>
        </w:rPr>
        <w:t xml:space="preserve">Table 9 </w:t>
      </w:r>
    </w:p>
    <w:p w14:paraId="3284C5DC" w14:textId="77777777" w:rsidR="00895001" w:rsidRPr="00941068" w:rsidRDefault="00895001" w:rsidP="00487D2B">
      <w:pPr>
        <w:suppressAutoHyphens w:val="0"/>
        <w:autoSpaceDE w:val="0"/>
        <w:autoSpaceDN w:val="0"/>
        <w:adjustRightInd w:val="0"/>
        <w:spacing w:line="240" w:lineRule="auto"/>
        <w:ind w:right="849" w:firstLine="1134"/>
        <w:rPr>
          <w:rFonts w:eastAsia="Calibri"/>
          <w:b/>
          <w:bCs/>
          <w:lang w:eastAsia="en-US"/>
        </w:rPr>
      </w:pPr>
      <w:r w:rsidRPr="00941068">
        <w:rPr>
          <w:rFonts w:eastAsia="Calibri"/>
          <w:b/>
          <w:bCs/>
          <w:lang w:eastAsia="en-US"/>
        </w:rPr>
        <w:t>Description of selected projects or programmes that promoted practicable</w:t>
      </w:r>
    </w:p>
    <w:p w14:paraId="2AA7488A" w14:textId="77777777" w:rsidR="00895001" w:rsidRPr="00941068" w:rsidRDefault="00895001" w:rsidP="00487D2B">
      <w:pPr>
        <w:suppressAutoHyphens w:val="0"/>
        <w:autoSpaceDE w:val="0"/>
        <w:autoSpaceDN w:val="0"/>
        <w:adjustRightInd w:val="0"/>
        <w:spacing w:after="120" w:line="240" w:lineRule="auto"/>
        <w:ind w:left="1134" w:right="849"/>
        <w:rPr>
          <w:rFonts w:eastAsia="Calibri"/>
          <w:b/>
          <w:bCs/>
          <w:lang w:eastAsia="en-US"/>
        </w:rPr>
      </w:pPr>
      <w:r w:rsidRPr="00941068">
        <w:rPr>
          <w:rFonts w:eastAsia="Calibri"/>
          <w:b/>
          <w:bCs/>
          <w:lang w:eastAsia="en-US"/>
        </w:rPr>
        <w:t>steps to facilitate and/or finance the transfer of, or access to, environmentally sound technologies</w:t>
      </w:r>
    </w:p>
    <w:tbl>
      <w:tblPr>
        <w:tblStyle w:val="TableGrid3"/>
        <w:tblW w:w="7371"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862"/>
        <w:gridCol w:w="1799"/>
        <w:gridCol w:w="1834"/>
        <w:gridCol w:w="1876"/>
      </w:tblGrid>
      <w:tr w:rsidR="00895001" w:rsidRPr="00C31949" w14:paraId="78FDDA83" w14:textId="77777777" w:rsidTr="00941068">
        <w:trPr>
          <w:trHeight w:val="240"/>
          <w:tblHeader/>
        </w:trPr>
        <w:tc>
          <w:tcPr>
            <w:tcW w:w="7370" w:type="dxa"/>
            <w:gridSpan w:val="4"/>
            <w:tcBorders>
              <w:top w:val="single" w:sz="4" w:space="0" w:color="auto"/>
              <w:bottom w:val="single" w:sz="12" w:space="0" w:color="auto"/>
            </w:tcBorders>
            <w:shd w:val="clear" w:color="auto" w:fill="auto"/>
            <w:vAlign w:val="bottom"/>
          </w:tcPr>
          <w:p w14:paraId="6E9691C6" w14:textId="77777777" w:rsidR="00895001" w:rsidRPr="00C31949" w:rsidRDefault="00895001" w:rsidP="006D4A81">
            <w:pP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Project/programme title:</w:t>
            </w:r>
          </w:p>
          <w:p w14:paraId="21634940" w14:textId="77777777" w:rsidR="00895001" w:rsidRPr="00C31949" w:rsidRDefault="00895001" w:rsidP="006D4A81">
            <w:pPr>
              <w:suppressAutoHyphens w:val="0"/>
              <w:autoSpaceDE w:val="0"/>
              <w:autoSpaceDN w:val="0"/>
              <w:adjustRightInd w:val="0"/>
              <w:spacing w:before="80" w:after="80" w:line="200" w:lineRule="exact"/>
              <w:rPr>
                <w:rFonts w:eastAsia="Calibri"/>
                <w:i/>
                <w:sz w:val="16"/>
                <w:szCs w:val="24"/>
                <w:lang w:eastAsia="en-US"/>
              </w:rPr>
            </w:pPr>
          </w:p>
        </w:tc>
      </w:tr>
      <w:tr w:rsidR="00895001" w:rsidRPr="00C31949" w14:paraId="68D37EBA" w14:textId="77777777" w:rsidTr="00941068">
        <w:trPr>
          <w:trHeight w:val="240"/>
        </w:trPr>
        <w:tc>
          <w:tcPr>
            <w:tcW w:w="7370" w:type="dxa"/>
            <w:gridSpan w:val="4"/>
            <w:tcBorders>
              <w:top w:val="single" w:sz="12" w:space="0" w:color="auto"/>
              <w:bottom w:val="single" w:sz="4" w:space="0" w:color="auto"/>
            </w:tcBorders>
            <w:shd w:val="clear" w:color="auto" w:fill="auto"/>
          </w:tcPr>
          <w:p w14:paraId="3DB4D19F" w14:textId="77777777" w:rsidR="00895001" w:rsidRPr="00C31949" w:rsidRDefault="00895001" w:rsidP="006D4A81">
            <w:pP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Purpose:</w:t>
            </w:r>
          </w:p>
          <w:p w14:paraId="5CDA882B"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46A6B76E"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04D7E0B0"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r w:rsidR="00895001" w:rsidRPr="00C31949" w14:paraId="2BD52ED0" w14:textId="77777777" w:rsidTr="00941068">
        <w:trPr>
          <w:trHeight w:val="240"/>
        </w:trPr>
        <w:tc>
          <w:tcPr>
            <w:tcW w:w="1861" w:type="dxa"/>
            <w:tcBorders>
              <w:top w:val="single" w:sz="4" w:space="0" w:color="auto"/>
            </w:tcBorders>
            <w:shd w:val="clear" w:color="auto" w:fill="auto"/>
          </w:tcPr>
          <w:p w14:paraId="14B187A8"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r w:rsidRPr="00C31949">
              <w:rPr>
                <w:rFonts w:eastAsia="Calibri"/>
                <w:bCs/>
                <w:szCs w:val="24"/>
                <w:lang w:eastAsia="en-US"/>
              </w:rPr>
              <w:t>Recipient country:</w:t>
            </w:r>
          </w:p>
        </w:tc>
        <w:tc>
          <w:tcPr>
            <w:tcW w:w="1799" w:type="dxa"/>
            <w:tcBorders>
              <w:top w:val="single" w:sz="4" w:space="0" w:color="auto"/>
            </w:tcBorders>
            <w:shd w:val="clear" w:color="auto" w:fill="auto"/>
          </w:tcPr>
          <w:p w14:paraId="79ADE296"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r w:rsidRPr="00C31949">
              <w:rPr>
                <w:rFonts w:eastAsia="Calibri"/>
                <w:bCs/>
                <w:szCs w:val="24"/>
                <w:lang w:eastAsia="en-US"/>
              </w:rPr>
              <w:t>Sector:</w:t>
            </w:r>
          </w:p>
        </w:tc>
        <w:tc>
          <w:tcPr>
            <w:tcW w:w="1834" w:type="dxa"/>
            <w:tcBorders>
              <w:top w:val="single" w:sz="4" w:space="0" w:color="auto"/>
            </w:tcBorders>
            <w:shd w:val="clear" w:color="auto" w:fill="auto"/>
          </w:tcPr>
          <w:p w14:paraId="1EDA9B4A"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r w:rsidRPr="00C31949">
              <w:rPr>
                <w:rFonts w:eastAsia="Calibri"/>
                <w:bCs/>
                <w:szCs w:val="24"/>
                <w:lang w:eastAsia="en-US"/>
              </w:rPr>
              <w:t>Total funding:</w:t>
            </w:r>
          </w:p>
        </w:tc>
        <w:tc>
          <w:tcPr>
            <w:tcW w:w="1876" w:type="dxa"/>
            <w:tcBorders>
              <w:top w:val="single" w:sz="4" w:space="0" w:color="auto"/>
            </w:tcBorders>
            <w:shd w:val="clear" w:color="auto" w:fill="auto"/>
          </w:tcPr>
          <w:p w14:paraId="43843708" w14:textId="77777777" w:rsidR="00895001" w:rsidRPr="00C31949" w:rsidRDefault="00895001" w:rsidP="006D4A81">
            <w:pP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Years in operation:</w:t>
            </w:r>
          </w:p>
          <w:p w14:paraId="423FFCE2"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r w:rsidR="00895001" w:rsidRPr="00C31949" w14:paraId="2DD92394" w14:textId="77777777" w:rsidTr="00941068">
        <w:trPr>
          <w:trHeight w:val="240"/>
        </w:trPr>
        <w:tc>
          <w:tcPr>
            <w:tcW w:w="1861" w:type="dxa"/>
            <w:shd w:val="clear" w:color="auto" w:fill="auto"/>
          </w:tcPr>
          <w:p w14:paraId="2C71AAB2"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c>
          <w:tcPr>
            <w:tcW w:w="1799" w:type="dxa"/>
            <w:shd w:val="clear" w:color="auto" w:fill="auto"/>
          </w:tcPr>
          <w:p w14:paraId="1FAE2CEF"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c>
          <w:tcPr>
            <w:tcW w:w="1834" w:type="dxa"/>
            <w:shd w:val="clear" w:color="auto" w:fill="auto"/>
          </w:tcPr>
          <w:p w14:paraId="77FE7E20"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c>
          <w:tcPr>
            <w:tcW w:w="1876" w:type="dxa"/>
            <w:shd w:val="clear" w:color="auto" w:fill="auto"/>
          </w:tcPr>
          <w:p w14:paraId="79397F64"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r w:rsidR="00895001" w:rsidRPr="00C31949" w14:paraId="53227EF6" w14:textId="77777777" w:rsidTr="00941068">
        <w:trPr>
          <w:trHeight w:val="2505"/>
        </w:trPr>
        <w:tc>
          <w:tcPr>
            <w:tcW w:w="7370" w:type="dxa"/>
            <w:gridSpan w:val="4"/>
            <w:shd w:val="clear" w:color="auto" w:fill="auto"/>
          </w:tcPr>
          <w:p w14:paraId="7E36AF2A" w14:textId="77777777" w:rsidR="00895001" w:rsidRPr="00C31949" w:rsidRDefault="00895001" w:rsidP="006D4A81">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Description:</w:t>
            </w:r>
          </w:p>
          <w:p w14:paraId="12EAECA0"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59846E18"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488082DB"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0528FA3B"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101467C7"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79DDF590"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r w:rsidR="00895001" w:rsidRPr="00C31949" w14:paraId="3DA8A55F" w14:textId="77777777" w:rsidTr="00941068">
        <w:trPr>
          <w:trHeight w:val="240"/>
        </w:trPr>
        <w:tc>
          <w:tcPr>
            <w:tcW w:w="7370" w:type="dxa"/>
            <w:gridSpan w:val="4"/>
            <w:shd w:val="clear" w:color="auto" w:fill="auto"/>
          </w:tcPr>
          <w:p w14:paraId="6D6D818D" w14:textId="77777777" w:rsidR="00895001" w:rsidRPr="00C31949" w:rsidRDefault="00895001" w:rsidP="006D4A81">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Factors that led to project/programme’s success:</w:t>
            </w:r>
          </w:p>
          <w:p w14:paraId="1D0FE46D"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05BAFA26"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711B4165"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r w:rsidR="00895001" w:rsidRPr="00C31949" w14:paraId="29EC6B4E" w14:textId="77777777" w:rsidTr="00941068">
        <w:trPr>
          <w:trHeight w:val="240"/>
        </w:trPr>
        <w:tc>
          <w:tcPr>
            <w:tcW w:w="7370" w:type="dxa"/>
            <w:gridSpan w:val="4"/>
            <w:shd w:val="clear" w:color="auto" w:fill="auto"/>
          </w:tcPr>
          <w:p w14:paraId="09DCF3B9" w14:textId="77777777" w:rsidR="00895001" w:rsidRPr="00C31949" w:rsidRDefault="00895001" w:rsidP="006D4A81">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Technology transferred:</w:t>
            </w:r>
          </w:p>
          <w:p w14:paraId="7C7EBB3F"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24E26530"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1C509B50"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5B62FA5E"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7F2BCBB9"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p w14:paraId="4E3387C5"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r w:rsidR="00895001" w:rsidRPr="00C31949" w14:paraId="4AAB3E75" w14:textId="77777777" w:rsidTr="00941068">
        <w:trPr>
          <w:trHeight w:val="240"/>
        </w:trPr>
        <w:tc>
          <w:tcPr>
            <w:tcW w:w="7370" w:type="dxa"/>
            <w:gridSpan w:val="4"/>
            <w:tcBorders>
              <w:bottom w:val="single" w:sz="12" w:space="0" w:color="auto"/>
            </w:tcBorders>
            <w:shd w:val="clear" w:color="auto" w:fill="auto"/>
          </w:tcPr>
          <w:p w14:paraId="6DDD67E6" w14:textId="77777777" w:rsidR="00895001" w:rsidRPr="00C31949" w:rsidRDefault="00895001" w:rsidP="006D4A81">
            <w:pPr>
              <w:pBdr>
                <w:top w:val="single" w:sz="4" w:space="1" w:color="auto"/>
              </w:pBdr>
              <w:suppressAutoHyphens w:val="0"/>
              <w:autoSpaceDE w:val="0"/>
              <w:autoSpaceDN w:val="0"/>
              <w:adjustRightInd w:val="0"/>
              <w:spacing w:before="40" w:after="120" w:line="220" w:lineRule="exact"/>
              <w:rPr>
                <w:rFonts w:eastAsia="Calibri"/>
                <w:bCs/>
                <w:szCs w:val="24"/>
                <w:lang w:eastAsia="en-US"/>
              </w:rPr>
            </w:pPr>
            <w:r w:rsidRPr="00C31949">
              <w:rPr>
                <w:rFonts w:eastAsia="Calibri"/>
                <w:bCs/>
                <w:szCs w:val="24"/>
                <w:lang w:eastAsia="en-US"/>
              </w:rPr>
              <w:t>Impact on greenhouse gas emissions/</w:t>
            </w:r>
            <w:r>
              <w:rPr>
                <w:rFonts w:eastAsia="Calibri"/>
                <w:bCs/>
                <w:szCs w:val="24"/>
                <w:lang w:eastAsia="en-US"/>
              </w:rPr>
              <w:t>removals</w:t>
            </w:r>
            <w:r w:rsidRPr="00C31949">
              <w:rPr>
                <w:rFonts w:eastAsia="Calibri"/>
                <w:bCs/>
                <w:szCs w:val="24"/>
                <w:lang w:eastAsia="en-US"/>
              </w:rPr>
              <w:t xml:space="preserve"> (optional):</w:t>
            </w:r>
          </w:p>
          <w:p w14:paraId="61E7D737" w14:textId="77777777" w:rsidR="00895001" w:rsidRPr="00C31949" w:rsidRDefault="00895001" w:rsidP="006D4A81">
            <w:pPr>
              <w:suppressAutoHyphens w:val="0"/>
              <w:autoSpaceDE w:val="0"/>
              <w:autoSpaceDN w:val="0"/>
              <w:adjustRightInd w:val="0"/>
              <w:spacing w:before="40" w:after="120" w:line="220" w:lineRule="exact"/>
              <w:rPr>
                <w:rFonts w:eastAsia="Calibri"/>
                <w:bCs/>
                <w:szCs w:val="24"/>
                <w:lang w:eastAsia="en-US"/>
              </w:rPr>
            </w:pPr>
          </w:p>
          <w:p w14:paraId="16385224" w14:textId="77777777" w:rsidR="00895001" w:rsidRPr="00C31949" w:rsidRDefault="00895001" w:rsidP="006D4A81">
            <w:pPr>
              <w:suppressAutoHyphens w:val="0"/>
              <w:autoSpaceDE w:val="0"/>
              <w:autoSpaceDN w:val="0"/>
              <w:adjustRightInd w:val="0"/>
              <w:spacing w:before="40" w:after="120" w:line="220" w:lineRule="exact"/>
              <w:rPr>
                <w:rFonts w:eastAsia="Calibri"/>
                <w:bCs/>
                <w:szCs w:val="24"/>
                <w:lang w:eastAsia="en-US"/>
              </w:rPr>
            </w:pPr>
          </w:p>
          <w:p w14:paraId="09B3FDE8" w14:textId="77777777" w:rsidR="00895001" w:rsidRPr="00C31949" w:rsidRDefault="00895001" w:rsidP="006D4A81">
            <w:pPr>
              <w:suppressAutoHyphens w:val="0"/>
              <w:autoSpaceDE w:val="0"/>
              <w:autoSpaceDN w:val="0"/>
              <w:adjustRightInd w:val="0"/>
              <w:spacing w:before="40" w:after="120" w:line="220" w:lineRule="exact"/>
              <w:rPr>
                <w:rFonts w:eastAsia="Calibri"/>
                <w:bCs/>
                <w:szCs w:val="24"/>
                <w:lang w:eastAsia="en-US"/>
              </w:rPr>
            </w:pPr>
          </w:p>
          <w:p w14:paraId="5920640D" w14:textId="77777777" w:rsidR="00895001" w:rsidRPr="00C31949" w:rsidRDefault="00895001" w:rsidP="006D4A81">
            <w:pPr>
              <w:suppressAutoHyphens w:val="0"/>
              <w:autoSpaceDE w:val="0"/>
              <w:autoSpaceDN w:val="0"/>
              <w:adjustRightInd w:val="0"/>
              <w:spacing w:before="40" w:after="120" w:line="220" w:lineRule="exact"/>
              <w:rPr>
                <w:rFonts w:eastAsia="Calibri"/>
                <w:szCs w:val="24"/>
                <w:lang w:eastAsia="en-US"/>
              </w:rPr>
            </w:pPr>
          </w:p>
        </w:tc>
      </w:tr>
    </w:tbl>
    <w:p w14:paraId="2687F263" w14:textId="77777777" w:rsidR="00895001" w:rsidRDefault="00895001" w:rsidP="00895001">
      <w:pPr>
        <w:suppressAutoHyphens w:val="0"/>
        <w:spacing w:line="240" w:lineRule="auto"/>
        <w:sectPr w:rsidR="00895001" w:rsidSect="006D4A81">
          <w:headerReference w:type="even" r:id="rId50"/>
          <w:headerReference w:type="default" r:id="rId51"/>
          <w:footerReference w:type="even" r:id="rId52"/>
          <w:footerReference w:type="default" r:id="rId53"/>
          <w:pgSz w:w="11906" w:h="16838" w:code="9"/>
          <w:pgMar w:top="1701" w:right="1134" w:bottom="2268" w:left="1134" w:header="1134" w:footer="1701" w:gutter="0"/>
          <w:cols w:space="708"/>
          <w:docGrid w:linePitch="360"/>
        </w:sectPr>
      </w:pPr>
    </w:p>
    <w:tbl>
      <w:tblPr>
        <w:tblW w:w="12975" w:type="dxa"/>
        <w:tblInd w:w="93" w:type="dxa"/>
        <w:tblLook w:val="04A0" w:firstRow="1" w:lastRow="0" w:firstColumn="1" w:lastColumn="0" w:noHBand="0" w:noVBand="1"/>
      </w:tblPr>
      <w:tblGrid>
        <w:gridCol w:w="1725"/>
        <w:gridCol w:w="1530"/>
        <w:gridCol w:w="1697"/>
        <w:gridCol w:w="1304"/>
        <w:gridCol w:w="1697"/>
        <w:gridCol w:w="1697"/>
        <w:gridCol w:w="1435"/>
        <w:gridCol w:w="1890"/>
      </w:tblGrid>
      <w:tr w:rsidR="00895001" w:rsidRPr="00F071DA" w14:paraId="32F521FD" w14:textId="77777777" w:rsidTr="006D4A81">
        <w:trPr>
          <w:trHeight w:val="806"/>
        </w:trPr>
        <w:tc>
          <w:tcPr>
            <w:tcW w:w="12975" w:type="dxa"/>
            <w:gridSpan w:val="8"/>
            <w:tcBorders>
              <w:top w:val="nil"/>
              <w:left w:val="nil"/>
              <w:right w:val="nil"/>
            </w:tcBorders>
            <w:shd w:val="clear" w:color="auto" w:fill="auto"/>
            <w:noWrap/>
            <w:vAlign w:val="bottom"/>
            <w:hideMark/>
          </w:tcPr>
          <w:p w14:paraId="486A7850" w14:textId="77777777" w:rsidR="00895001" w:rsidRPr="00E22651" w:rsidRDefault="00895001" w:rsidP="006D4A81">
            <w:pPr>
              <w:suppressAutoHyphens w:val="0"/>
              <w:spacing w:line="240" w:lineRule="auto"/>
              <w:rPr>
                <w:rFonts w:eastAsia="Times New Roman"/>
                <w:color w:val="000000"/>
                <w:lang w:eastAsia="en-US"/>
              </w:rPr>
            </w:pPr>
            <w:r w:rsidRPr="00E22651">
              <w:rPr>
                <w:rFonts w:eastAsia="Times New Roman"/>
                <w:color w:val="000000"/>
                <w:lang w:eastAsia="en-US"/>
              </w:rPr>
              <w:t>Table 10</w:t>
            </w:r>
          </w:p>
          <w:p w14:paraId="1ED3807E" w14:textId="0EE0B936" w:rsidR="00895001" w:rsidRPr="00941068" w:rsidRDefault="00895001" w:rsidP="00941068">
            <w:pPr>
              <w:suppressAutoHyphens w:val="0"/>
              <w:spacing w:after="60" w:line="240" w:lineRule="auto"/>
              <w:rPr>
                <w:rFonts w:eastAsia="Times New Roman"/>
                <w:iCs/>
                <w:color w:val="000000"/>
                <w:sz w:val="24"/>
                <w:szCs w:val="24"/>
                <w:lang w:eastAsia="en-US"/>
              </w:rPr>
            </w:pPr>
            <w:r w:rsidRPr="00E22651">
              <w:rPr>
                <w:rFonts w:eastAsia="Times New Roman"/>
                <w:b/>
                <w:bCs/>
                <w:color w:val="000000"/>
                <w:lang w:eastAsia="en-US"/>
              </w:rPr>
              <w:t>Provision of support for technology development and transfer</w:t>
            </w:r>
            <w:r w:rsidRPr="00E22651">
              <w:rPr>
                <w:rFonts w:eastAsia="Times New Roman"/>
                <w:i/>
                <w:iCs/>
                <w:color w:val="000000"/>
                <w:sz w:val="18"/>
                <w:szCs w:val="24"/>
                <w:vertAlign w:val="superscript"/>
                <w:lang w:eastAsia="en-US"/>
              </w:rPr>
              <w:t>a, b</w:t>
            </w:r>
            <w:r w:rsidRPr="00851E9D">
              <w:rPr>
                <w:rFonts w:eastAsia="Times New Roman"/>
                <w:iCs/>
                <w:color w:val="000000"/>
                <w:sz w:val="24"/>
                <w:szCs w:val="24"/>
                <w:lang w:eastAsia="en-US"/>
              </w:rPr>
              <w:t xml:space="preserve"> </w:t>
            </w:r>
          </w:p>
        </w:tc>
      </w:tr>
      <w:tr w:rsidR="00895001" w:rsidRPr="00F071DA" w14:paraId="16340637" w14:textId="77777777" w:rsidTr="006D4A81">
        <w:trPr>
          <w:trHeight w:val="1170"/>
        </w:trPr>
        <w:tc>
          <w:tcPr>
            <w:tcW w:w="1725" w:type="dxa"/>
            <w:tcBorders>
              <w:top w:val="single" w:sz="4" w:space="0" w:color="auto"/>
              <w:bottom w:val="single" w:sz="4" w:space="0" w:color="auto"/>
            </w:tcBorders>
            <w:shd w:val="clear" w:color="auto" w:fill="auto"/>
            <w:vAlign w:val="center"/>
            <w:hideMark/>
          </w:tcPr>
          <w:p w14:paraId="0125B3F1"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Recipient country and/or region</w:t>
            </w:r>
          </w:p>
        </w:tc>
        <w:tc>
          <w:tcPr>
            <w:tcW w:w="1530" w:type="dxa"/>
            <w:tcBorders>
              <w:top w:val="single" w:sz="4" w:space="0" w:color="auto"/>
              <w:bottom w:val="single" w:sz="4" w:space="0" w:color="auto"/>
            </w:tcBorders>
            <w:shd w:val="clear" w:color="auto" w:fill="auto"/>
            <w:vAlign w:val="center"/>
            <w:hideMark/>
          </w:tcPr>
          <w:p w14:paraId="1E74CD8A"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Targeted area</w:t>
            </w:r>
          </w:p>
        </w:tc>
        <w:tc>
          <w:tcPr>
            <w:tcW w:w="1697" w:type="dxa"/>
            <w:tcBorders>
              <w:top w:val="single" w:sz="4" w:space="0" w:color="auto"/>
              <w:bottom w:val="single" w:sz="4" w:space="0" w:color="auto"/>
            </w:tcBorders>
            <w:shd w:val="clear" w:color="auto" w:fill="auto"/>
            <w:vAlign w:val="center"/>
            <w:hideMark/>
          </w:tcPr>
          <w:p w14:paraId="01FDE853"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Measures and activities related to technology transfer</w:t>
            </w:r>
          </w:p>
        </w:tc>
        <w:tc>
          <w:tcPr>
            <w:tcW w:w="1304" w:type="dxa"/>
            <w:tcBorders>
              <w:top w:val="single" w:sz="4" w:space="0" w:color="auto"/>
              <w:bottom w:val="single" w:sz="4" w:space="0" w:color="auto"/>
            </w:tcBorders>
            <w:shd w:val="clear" w:color="auto" w:fill="auto"/>
            <w:vAlign w:val="center"/>
            <w:hideMark/>
          </w:tcPr>
          <w:p w14:paraId="04C6782F"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Sector</w:t>
            </w:r>
            <w:r w:rsidRPr="0087654F">
              <w:rPr>
                <w:rFonts w:eastAsia="Times New Roman"/>
                <w:i/>
                <w:iCs/>
                <w:color w:val="000000"/>
                <w:sz w:val="18"/>
                <w:szCs w:val="16"/>
                <w:vertAlign w:val="superscript"/>
                <w:lang w:eastAsia="en-US"/>
              </w:rPr>
              <w:t>c</w:t>
            </w:r>
          </w:p>
        </w:tc>
        <w:tc>
          <w:tcPr>
            <w:tcW w:w="1697" w:type="dxa"/>
            <w:tcBorders>
              <w:top w:val="single" w:sz="4" w:space="0" w:color="auto"/>
              <w:bottom w:val="single" w:sz="4" w:space="0" w:color="auto"/>
            </w:tcBorders>
            <w:shd w:val="clear" w:color="auto" w:fill="auto"/>
            <w:vAlign w:val="center"/>
            <w:hideMark/>
          </w:tcPr>
          <w:p w14:paraId="4CFD4B80"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Source of funding for technology transfer</w:t>
            </w:r>
          </w:p>
        </w:tc>
        <w:tc>
          <w:tcPr>
            <w:tcW w:w="1697" w:type="dxa"/>
            <w:tcBorders>
              <w:top w:val="single" w:sz="4" w:space="0" w:color="auto"/>
              <w:bottom w:val="single" w:sz="4" w:space="0" w:color="auto"/>
            </w:tcBorders>
            <w:shd w:val="clear" w:color="auto" w:fill="auto"/>
            <w:vAlign w:val="center"/>
            <w:hideMark/>
          </w:tcPr>
          <w:p w14:paraId="2C464AF8"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Activities undertaken by</w:t>
            </w:r>
          </w:p>
        </w:tc>
        <w:tc>
          <w:tcPr>
            <w:tcW w:w="1435" w:type="dxa"/>
            <w:tcBorders>
              <w:top w:val="single" w:sz="4" w:space="0" w:color="auto"/>
              <w:bottom w:val="single" w:sz="4" w:space="0" w:color="auto"/>
            </w:tcBorders>
            <w:shd w:val="clear" w:color="auto" w:fill="auto"/>
            <w:vAlign w:val="center"/>
            <w:hideMark/>
          </w:tcPr>
          <w:p w14:paraId="1FB6E20A"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Status</w:t>
            </w:r>
          </w:p>
        </w:tc>
        <w:tc>
          <w:tcPr>
            <w:tcW w:w="1890" w:type="dxa"/>
            <w:tcBorders>
              <w:top w:val="single" w:sz="4" w:space="0" w:color="auto"/>
              <w:bottom w:val="single" w:sz="4" w:space="0" w:color="auto"/>
            </w:tcBorders>
            <w:shd w:val="clear" w:color="auto" w:fill="auto"/>
            <w:vAlign w:val="center"/>
            <w:hideMark/>
          </w:tcPr>
          <w:p w14:paraId="460A5A39" w14:textId="77777777" w:rsidR="00895001" w:rsidRPr="00851E9D" w:rsidRDefault="00895001" w:rsidP="006D4A81">
            <w:pPr>
              <w:suppressAutoHyphens w:val="0"/>
              <w:spacing w:line="240" w:lineRule="auto"/>
              <w:jc w:val="center"/>
              <w:rPr>
                <w:rFonts w:eastAsia="Times New Roman"/>
                <w:i/>
                <w:iCs/>
                <w:color w:val="000000"/>
                <w:sz w:val="16"/>
                <w:szCs w:val="16"/>
                <w:lang w:eastAsia="en-US"/>
              </w:rPr>
            </w:pPr>
            <w:r w:rsidRPr="00851E9D">
              <w:rPr>
                <w:rFonts w:eastAsia="Times New Roman"/>
                <w:i/>
                <w:iCs/>
                <w:color w:val="000000"/>
                <w:sz w:val="16"/>
                <w:szCs w:val="16"/>
                <w:lang w:eastAsia="en-US"/>
              </w:rPr>
              <w:t>Additional information</w:t>
            </w:r>
            <w:r w:rsidRPr="0087654F">
              <w:rPr>
                <w:rFonts w:eastAsia="Times New Roman"/>
                <w:i/>
                <w:iCs/>
                <w:color w:val="000000"/>
                <w:sz w:val="18"/>
                <w:szCs w:val="16"/>
                <w:vertAlign w:val="superscript"/>
                <w:lang w:eastAsia="en-US"/>
              </w:rPr>
              <w:t>d</w:t>
            </w:r>
          </w:p>
        </w:tc>
      </w:tr>
      <w:tr w:rsidR="00895001" w:rsidRPr="00A20B3F" w14:paraId="3E3899E2" w14:textId="77777777" w:rsidTr="006D4A81">
        <w:trPr>
          <w:trHeight w:val="300"/>
        </w:trPr>
        <w:tc>
          <w:tcPr>
            <w:tcW w:w="1725" w:type="dxa"/>
            <w:tcBorders>
              <w:top w:val="single" w:sz="4" w:space="0" w:color="auto"/>
              <w:bottom w:val="single" w:sz="12" w:space="0" w:color="auto"/>
            </w:tcBorders>
            <w:shd w:val="clear" w:color="auto" w:fill="auto"/>
            <w:hideMark/>
          </w:tcPr>
          <w:p w14:paraId="64DF26B9" w14:textId="77777777" w:rsidR="00895001" w:rsidRPr="00851E9D" w:rsidRDefault="00895001" w:rsidP="006D4A81">
            <w:pPr>
              <w:suppressAutoHyphens w:val="0"/>
              <w:spacing w:line="240" w:lineRule="auto"/>
              <w:rPr>
                <w:rFonts w:eastAsia="Times New Roman"/>
                <w:i/>
                <w:sz w:val="18"/>
                <w:szCs w:val="18"/>
                <w:lang w:eastAsia="en-US"/>
              </w:rPr>
            </w:pPr>
            <w:r w:rsidRPr="00851E9D">
              <w:rPr>
                <w:rFonts w:eastAsia="Times New Roman"/>
                <w:i/>
                <w:sz w:val="18"/>
                <w:szCs w:val="18"/>
                <w:lang w:eastAsia="en-US"/>
              </w:rPr>
              <w:t> </w:t>
            </w:r>
          </w:p>
        </w:tc>
        <w:tc>
          <w:tcPr>
            <w:tcW w:w="1530" w:type="dxa"/>
            <w:tcBorders>
              <w:top w:val="single" w:sz="4" w:space="0" w:color="auto"/>
              <w:bottom w:val="single" w:sz="12" w:space="0" w:color="auto"/>
            </w:tcBorders>
            <w:shd w:val="clear" w:color="auto" w:fill="auto"/>
            <w:hideMark/>
          </w:tcPr>
          <w:p w14:paraId="5FDD70A1" w14:textId="77777777" w:rsidR="00895001" w:rsidRPr="00851E9D" w:rsidRDefault="00895001" w:rsidP="006D4A81">
            <w:pPr>
              <w:suppressAutoHyphens w:val="0"/>
              <w:autoSpaceDE w:val="0"/>
              <w:autoSpaceDN w:val="0"/>
              <w:adjustRightInd w:val="0"/>
              <w:spacing w:line="240" w:lineRule="auto"/>
              <w:jc w:val="center"/>
              <w:rPr>
                <w:rFonts w:eastAsia="Calibri"/>
                <w:i/>
                <w:sz w:val="18"/>
                <w:szCs w:val="18"/>
                <w:lang w:eastAsia="en-US"/>
              </w:rPr>
            </w:pPr>
            <w:r w:rsidRPr="00851E9D">
              <w:rPr>
                <w:rFonts w:eastAsia="Calibri"/>
                <w:i/>
                <w:iCs/>
                <w:sz w:val="18"/>
                <w:szCs w:val="18"/>
                <w:lang w:eastAsia="en-US"/>
              </w:rPr>
              <w:t>Mitigation</w:t>
            </w:r>
          </w:p>
          <w:p w14:paraId="4D36C022" w14:textId="77777777" w:rsidR="00895001" w:rsidRPr="00851E9D" w:rsidRDefault="00895001" w:rsidP="006D4A81">
            <w:pPr>
              <w:suppressAutoHyphens w:val="0"/>
              <w:autoSpaceDE w:val="0"/>
              <w:autoSpaceDN w:val="0"/>
              <w:adjustRightInd w:val="0"/>
              <w:spacing w:line="240" w:lineRule="auto"/>
              <w:jc w:val="center"/>
              <w:rPr>
                <w:rFonts w:eastAsia="Calibri"/>
                <w:i/>
                <w:sz w:val="18"/>
                <w:szCs w:val="18"/>
                <w:lang w:eastAsia="en-US"/>
              </w:rPr>
            </w:pPr>
            <w:r w:rsidRPr="00851E9D">
              <w:rPr>
                <w:rFonts w:eastAsia="Calibri"/>
                <w:i/>
                <w:iCs/>
                <w:sz w:val="18"/>
                <w:szCs w:val="18"/>
                <w:lang w:eastAsia="en-US"/>
              </w:rPr>
              <w:t>Adaptation</w:t>
            </w:r>
          </w:p>
          <w:p w14:paraId="4875A48E" w14:textId="77777777" w:rsidR="00895001" w:rsidRPr="00851E9D" w:rsidRDefault="00895001" w:rsidP="006D4A81">
            <w:pPr>
              <w:suppressAutoHyphens w:val="0"/>
              <w:autoSpaceDE w:val="0"/>
              <w:autoSpaceDN w:val="0"/>
              <w:adjustRightInd w:val="0"/>
              <w:spacing w:line="240" w:lineRule="auto"/>
              <w:jc w:val="center"/>
              <w:rPr>
                <w:rFonts w:eastAsia="Calibri"/>
                <w:i/>
                <w:sz w:val="18"/>
                <w:szCs w:val="18"/>
                <w:lang w:eastAsia="en-US"/>
              </w:rPr>
            </w:pPr>
            <w:r w:rsidRPr="00851E9D">
              <w:rPr>
                <w:rFonts w:eastAsia="Calibri"/>
                <w:i/>
                <w:iCs/>
                <w:sz w:val="18"/>
                <w:szCs w:val="18"/>
                <w:lang w:eastAsia="en-US"/>
              </w:rPr>
              <w:t>Mitigation and adaptation</w:t>
            </w:r>
          </w:p>
          <w:p w14:paraId="6436AB02" w14:textId="77777777" w:rsidR="00895001" w:rsidRPr="00851E9D" w:rsidRDefault="00895001" w:rsidP="006D4A81">
            <w:pPr>
              <w:suppressAutoHyphens w:val="0"/>
              <w:spacing w:line="240" w:lineRule="auto"/>
              <w:jc w:val="center"/>
              <w:rPr>
                <w:rFonts w:eastAsia="Times New Roman"/>
                <w:i/>
                <w:sz w:val="18"/>
                <w:szCs w:val="18"/>
                <w:lang w:eastAsia="en-US"/>
              </w:rPr>
            </w:pPr>
          </w:p>
        </w:tc>
        <w:tc>
          <w:tcPr>
            <w:tcW w:w="1697" w:type="dxa"/>
            <w:tcBorders>
              <w:top w:val="single" w:sz="4" w:space="0" w:color="auto"/>
              <w:bottom w:val="single" w:sz="12" w:space="0" w:color="auto"/>
            </w:tcBorders>
            <w:shd w:val="clear" w:color="auto" w:fill="auto"/>
            <w:hideMark/>
          </w:tcPr>
          <w:p w14:paraId="204B5A40"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 </w:t>
            </w:r>
          </w:p>
        </w:tc>
        <w:tc>
          <w:tcPr>
            <w:tcW w:w="1304" w:type="dxa"/>
            <w:tcBorders>
              <w:top w:val="single" w:sz="4" w:space="0" w:color="auto"/>
              <w:bottom w:val="single" w:sz="12" w:space="0" w:color="auto"/>
            </w:tcBorders>
            <w:shd w:val="clear" w:color="auto" w:fill="auto"/>
            <w:hideMark/>
          </w:tcPr>
          <w:p w14:paraId="05D1F9A8"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Energy</w:t>
            </w:r>
          </w:p>
          <w:p w14:paraId="6363628B"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Transport</w:t>
            </w:r>
          </w:p>
          <w:p w14:paraId="76C85765"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Industry</w:t>
            </w:r>
          </w:p>
          <w:p w14:paraId="7ECDA2EB"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Agriculture</w:t>
            </w:r>
          </w:p>
          <w:p w14:paraId="31EFFA7F"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Water and sanitation</w:t>
            </w:r>
          </w:p>
          <w:p w14:paraId="5E69ADFB"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Other</w:t>
            </w:r>
          </w:p>
        </w:tc>
        <w:tc>
          <w:tcPr>
            <w:tcW w:w="1697" w:type="dxa"/>
            <w:tcBorders>
              <w:top w:val="single" w:sz="4" w:space="0" w:color="auto"/>
              <w:bottom w:val="single" w:sz="12" w:space="0" w:color="auto"/>
            </w:tcBorders>
            <w:shd w:val="clear" w:color="auto" w:fill="auto"/>
            <w:hideMark/>
          </w:tcPr>
          <w:p w14:paraId="174459D7"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 xml:space="preserve">Private </w:t>
            </w:r>
          </w:p>
          <w:p w14:paraId="343756E9"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Public</w:t>
            </w:r>
          </w:p>
          <w:p w14:paraId="4A0DFF43"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 xml:space="preserve">Private and public </w:t>
            </w:r>
          </w:p>
        </w:tc>
        <w:tc>
          <w:tcPr>
            <w:tcW w:w="1697" w:type="dxa"/>
            <w:tcBorders>
              <w:top w:val="single" w:sz="4" w:space="0" w:color="auto"/>
              <w:bottom w:val="single" w:sz="12" w:space="0" w:color="auto"/>
            </w:tcBorders>
            <w:shd w:val="clear" w:color="auto" w:fill="auto"/>
            <w:hideMark/>
          </w:tcPr>
          <w:p w14:paraId="16068648"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Private</w:t>
            </w:r>
          </w:p>
          <w:p w14:paraId="135A42F0"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Public</w:t>
            </w:r>
          </w:p>
          <w:p w14:paraId="08C6AF4F"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 xml:space="preserve">Private and public </w:t>
            </w:r>
            <w:r w:rsidRPr="00851E9D">
              <w:rPr>
                <w:rFonts w:eastAsia="Times New Roman"/>
                <w:b/>
                <w:i/>
                <w:sz w:val="18"/>
                <w:szCs w:val="18"/>
                <w:lang w:eastAsia="en-US"/>
              </w:rPr>
              <w:t xml:space="preserve"> </w:t>
            </w:r>
          </w:p>
        </w:tc>
        <w:tc>
          <w:tcPr>
            <w:tcW w:w="1435" w:type="dxa"/>
            <w:tcBorders>
              <w:top w:val="single" w:sz="4" w:space="0" w:color="auto"/>
              <w:bottom w:val="single" w:sz="12" w:space="0" w:color="auto"/>
            </w:tcBorders>
            <w:shd w:val="clear" w:color="auto" w:fill="auto"/>
            <w:hideMark/>
          </w:tcPr>
          <w:p w14:paraId="49400D11"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Implemented</w:t>
            </w:r>
          </w:p>
          <w:p w14:paraId="394214D3" w14:textId="77777777" w:rsidR="00895001" w:rsidRPr="00851E9D" w:rsidRDefault="00895001" w:rsidP="006D4A81">
            <w:pPr>
              <w:suppressAutoHyphens w:val="0"/>
              <w:spacing w:line="240" w:lineRule="auto"/>
              <w:jc w:val="center"/>
              <w:rPr>
                <w:rFonts w:eastAsia="Times New Roman"/>
                <w:i/>
                <w:sz w:val="18"/>
                <w:szCs w:val="18"/>
                <w:lang w:eastAsia="en-US"/>
              </w:rPr>
            </w:pPr>
            <w:r w:rsidRPr="00851E9D">
              <w:rPr>
                <w:rFonts w:eastAsia="Times New Roman"/>
                <w:i/>
                <w:sz w:val="18"/>
                <w:szCs w:val="18"/>
                <w:lang w:eastAsia="en-US"/>
              </w:rPr>
              <w:t>Planned</w:t>
            </w:r>
          </w:p>
        </w:tc>
        <w:tc>
          <w:tcPr>
            <w:tcW w:w="1890" w:type="dxa"/>
            <w:tcBorders>
              <w:top w:val="single" w:sz="4" w:space="0" w:color="auto"/>
              <w:bottom w:val="single" w:sz="12" w:space="0" w:color="auto"/>
            </w:tcBorders>
            <w:shd w:val="clear" w:color="auto" w:fill="auto"/>
            <w:hideMark/>
          </w:tcPr>
          <w:p w14:paraId="3725BFB7" w14:textId="77777777" w:rsidR="00895001" w:rsidRPr="00851E9D" w:rsidRDefault="00895001" w:rsidP="006D4A81">
            <w:pPr>
              <w:suppressAutoHyphens w:val="0"/>
              <w:spacing w:line="240" w:lineRule="auto"/>
              <w:rPr>
                <w:rFonts w:eastAsia="Times New Roman"/>
                <w:i/>
                <w:sz w:val="18"/>
                <w:szCs w:val="18"/>
                <w:lang w:eastAsia="en-US"/>
              </w:rPr>
            </w:pPr>
            <w:r w:rsidRPr="00851E9D">
              <w:rPr>
                <w:rFonts w:eastAsia="Times New Roman"/>
                <w:i/>
                <w:sz w:val="18"/>
                <w:szCs w:val="18"/>
                <w:lang w:eastAsia="en-US"/>
              </w:rPr>
              <w:t> </w:t>
            </w:r>
          </w:p>
        </w:tc>
      </w:tr>
      <w:tr w:rsidR="00895001" w:rsidRPr="00F071DA" w14:paraId="47EFE67F" w14:textId="77777777" w:rsidTr="006D4A81">
        <w:trPr>
          <w:trHeight w:val="300"/>
        </w:trPr>
        <w:tc>
          <w:tcPr>
            <w:tcW w:w="1725" w:type="dxa"/>
            <w:tcBorders>
              <w:top w:val="single" w:sz="12" w:space="0" w:color="auto"/>
              <w:bottom w:val="single" w:sz="12" w:space="0" w:color="auto"/>
            </w:tcBorders>
            <w:shd w:val="clear" w:color="auto" w:fill="auto"/>
            <w:hideMark/>
          </w:tcPr>
          <w:p w14:paraId="1C745B1B"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1530" w:type="dxa"/>
            <w:tcBorders>
              <w:top w:val="single" w:sz="12" w:space="0" w:color="auto"/>
              <w:bottom w:val="single" w:sz="12" w:space="0" w:color="auto"/>
            </w:tcBorders>
            <w:shd w:val="clear" w:color="auto" w:fill="auto"/>
            <w:hideMark/>
          </w:tcPr>
          <w:p w14:paraId="36D7D2C8"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697" w:type="dxa"/>
            <w:tcBorders>
              <w:top w:val="single" w:sz="12" w:space="0" w:color="auto"/>
              <w:bottom w:val="single" w:sz="12" w:space="0" w:color="auto"/>
            </w:tcBorders>
            <w:shd w:val="clear" w:color="auto" w:fill="auto"/>
            <w:hideMark/>
          </w:tcPr>
          <w:p w14:paraId="10BE106F"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304" w:type="dxa"/>
            <w:tcBorders>
              <w:top w:val="single" w:sz="12" w:space="0" w:color="auto"/>
              <w:bottom w:val="single" w:sz="12" w:space="0" w:color="auto"/>
            </w:tcBorders>
            <w:shd w:val="clear" w:color="auto" w:fill="auto"/>
            <w:hideMark/>
          </w:tcPr>
          <w:p w14:paraId="66893AA1" w14:textId="77777777" w:rsidR="00895001" w:rsidRDefault="00895001" w:rsidP="006D4A81">
            <w:pPr>
              <w:suppressAutoHyphens w:val="0"/>
              <w:spacing w:line="240" w:lineRule="auto"/>
              <w:jc w:val="center"/>
              <w:rPr>
                <w:rFonts w:eastAsia="Times New Roman"/>
                <w:color w:val="000000"/>
                <w:sz w:val="18"/>
                <w:szCs w:val="18"/>
                <w:lang w:eastAsia="en-US"/>
              </w:rPr>
            </w:pPr>
          </w:p>
          <w:p w14:paraId="399B1731" w14:textId="77777777" w:rsidR="00895001" w:rsidRDefault="00895001" w:rsidP="006D4A81">
            <w:pPr>
              <w:suppressAutoHyphens w:val="0"/>
              <w:spacing w:line="240" w:lineRule="auto"/>
              <w:jc w:val="center"/>
              <w:rPr>
                <w:rFonts w:eastAsia="Times New Roman"/>
                <w:color w:val="000000"/>
                <w:sz w:val="18"/>
                <w:szCs w:val="18"/>
                <w:lang w:eastAsia="en-US"/>
              </w:rPr>
            </w:pPr>
          </w:p>
          <w:p w14:paraId="0DD59170" w14:textId="77777777" w:rsidR="00895001" w:rsidRDefault="00895001" w:rsidP="006D4A81">
            <w:pPr>
              <w:suppressAutoHyphens w:val="0"/>
              <w:spacing w:line="240" w:lineRule="auto"/>
              <w:jc w:val="center"/>
              <w:rPr>
                <w:rFonts w:eastAsia="Times New Roman"/>
                <w:color w:val="000000"/>
                <w:sz w:val="18"/>
                <w:szCs w:val="18"/>
                <w:lang w:eastAsia="en-US"/>
              </w:rPr>
            </w:pPr>
          </w:p>
          <w:p w14:paraId="553938F9" w14:textId="77777777" w:rsidR="00895001" w:rsidRDefault="00895001" w:rsidP="006D4A81">
            <w:pPr>
              <w:suppressAutoHyphens w:val="0"/>
              <w:spacing w:line="240" w:lineRule="auto"/>
              <w:jc w:val="center"/>
              <w:rPr>
                <w:rFonts w:eastAsia="Times New Roman"/>
                <w:color w:val="000000"/>
                <w:sz w:val="18"/>
                <w:szCs w:val="18"/>
                <w:lang w:eastAsia="en-US"/>
              </w:rPr>
            </w:pPr>
          </w:p>
          <w:p w14:paraId="0F4B86A5" w14:textId="77777777" w:rsidR="00895001" w:rsidRDefault="00895001" w:rsidP="006D4A81">
            <w:pPr>
              <w:suppressAutoHyphens w:val="0"/>
              <w:spacing w:line="240" w:lineRule="auto"/>
              <w:jc w:val="center"/>
              <w:rPr>
                <w:rFonts w:eastAsia="Times New Roman"/>
                <w:color w:val="000000"/>
                <w:sz w:val="18"/>
                <w:szCs w:val="18"/>
                <w:lang w:eastAsia="en-US"/>
              </w:rPr>
            </w:pPr>
          </w:p>
          <w:p w14:paraId="5F7927C7" w14:textId="77777777" w:rsidR="00895001" w:rsidRDefault="00895001" w:rsidP="006D4A81">
            <w:pPr>
              <w:suppressAutoHyphens w:val="0"/>
              <w:spacing w:line="240" w:lineRule="auto"/>
              <w:jc w:val="center"/>
              <w:rPr>
                <w:rFonts w:eastAsia="Times New Roman"/>
                <w:color w:val="000000"/>
                <w:sz w:val="18"/>
                <w:szCs w:val="18"/>
                <w:lang w:eastAsia="en-US"/>
              </w:rPr>
            </w:pPr>
          </w:p>
          <w:p w14:paraId="45F7F434" w14:textId="77777777" w:rsidR="00895001" w:rsidRDefault="00895001" w:rsidP="006D4A81">
            <w:pPr>
              <w:suppressAutoHyphens w:val="0"/>
              <w:spacing w:line="240" w:lineRule="auto"/>
              <w:jc w:val="center"/>
              <w:rPr>
                <w:rFonts w:eastAsia="Times New Roman"/>
                <w:color w:val="000000"/>
                <w:sz w:val="18"/>
                <w:szCs w:val="18"/>
                <w:lang w:eastAsia="en-US"/>
              </w:rPr>
            </w:pPr>
          </w:p>
          <w:p w14:paraId="546052D8"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697" w:type="dxa"/>
            <w:tcBorders>
              <w:top w:val="single" w:sz="12" w:space="0" w:color="auto"/>
              <w:bottom w:val="single" w:sz="12" w:space="0" w:color="auto"/>
            </w:tcBorders>
            <w:shd w:val="clear" w:color="auto" w:fill="auto"/>
            <w:hideMark/>
          </w:tcPr>
          <w:p w14:paraId="0E570E26"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697" w:type="dxa"/>
            <w:tcBorders>
              <w:top w:val="single" w:sz="12" w:space="0" w:color="auto"/>
              <w:bottom w:val="single" w:sz="12" w:space="0" w:color="auto"/>
            </w:tcBorders>
            <w:shd w:val="clear" w:color="auto" w:fill="auto"/>
            <w:hideMark/>
          </w:tcPr>
          <w:p w14:paraId="3CC68DF0"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435" w:type="dxa"/>
            <w:tcBorders>
              <w:top w:val="single" w:sz="12" w:space="0" w:color="auto"/>
              <w:bottom w:val="single" w:sz="12" w:space="0" w:color="auto"/>
            </w:tcBorders>
            <w:shd w:val="clear" w:color="auto" w:fill="auto"/>
            <w:hideMark/>
          </w:tcPr>
          <w:p w14:paraId="28400AA1"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890" w:type="dxa"/>
            <w:tcBorders>
              <w:top w:val="single" w:sz="12" w:space="0" w:color="auto"/>
              <w:bottom w:val="single" w:sz="12" w:space="0" w:color="auto"/>
            </w:tcBorders>
            <w:shd w:val="clear" w:color="auto" w:fill="auto"/>
            <w:hideMark/>
          </w:tcPr>
          <w:p w14:paraId="3BE47F2E"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r>
    </w:tbl>
    <w:p w14:paraId="596A675C" w14:textId="096E1598" w:rsidR="00895001" w:rsidRPr="00F071DA" w:rsidRDefault="000E0429" w:rsidP="000E0429">
      <w:pPr>
        <w:pStyle w:val="FootnoteTable"/>
        <w:spacing w:before="120"/>
        <w:ind w:left="1134" w:hanging="907"/>
        <w:rPr>
          <w:lang w:eastAsia="en-US"/>
        </w:rPr>
      </w:pPr>
      <w:r w:rsidRPr="00F071DA">
        <w:rPr>
          <w:i/>
          <w:vertAlign w:val="superscript"/>
          <w:lang w:eastAsia="en-US"/>
        </w:rPr>
        <w:t xml:space="preserve">a   </w:t>
      </w:r>
      <w:r w:rsidR="00895001" w:rsidRPr="00F071DA">
        <w:rPr>
          <w:lang w:eastAsia="en-US"/>
        </w:rPr>
        <w:t xml:space="preserve">To be reported to the extent possible. </w:t>
      </w:r>
    </w:p>
    <w:p w14:paraId="620C0A5D" w14:textId="63DBFC62" w:rsidR="00895001" w:rsidRPr="00F071DA" w:rsidRDefault="000E0429" w:rsidP="000E0429">
      <w:pPr>
        <w:pStyle w:val="FootnoteTable"/>
        <w:ind w:left="1134" w:hanging="909"/>
        <w:rPr>
          <w:rFonts w:eastAsia="Times New Roman"/>
          <w:color w:val="000000"/>
          <w:szCs w:val="18"/>
          <w:lang w:eastAsia="en-US"/>
        </w:rPr>
      </w:pPr>
      <w:r w:rsidRPr="00F071DA">
        <w:rPr>
          <w:rFonts w:eastAsia="Times New Roman"/>
          <w:i/>
          <w:color w:val="000000"/>
          <w:szCs w:val="18"/>
          <w:vertAlign w:val="superscript"/>
          <w:lang w:eastAsia="en-US"/>
        </w:rPr>
        <w:t xml:space="preserve">b   </w:t>
      </w:r>
      <w:r w:rsidR="00895001" w:rsidRPr="006E62F3">
        <w:rPr>
          <w:lang w:eastAsia="en-US"/>
        </w:rPr>
        <w:t>The</w:t>
      </w:r>
      <w:r w:rsidR="00895001" w:rsidRPr="00F071DA">
        <w:rPr>
          <w:rFonts w:eastAsia="Times New Roman"/>
          <w:color w:val="000000"/>
          <w:szCs w:val="18"/>
          <w:lang w:eastAsia="en-US"/>
        </w:rPr>
        <w:t xml:space="preserve"> table should include measures and </w:t>
      </w:r>
      <w:r w:rsidR="00895001">
        <w:rPr>
          <w:rFonts w:eastAsia="Times New Roman"/>
          <w:color w:val="000000"/>
          <w:szCs w:val="18"/>
          <w:lang w:eastAsia="en-US"/>
        </w:rPr>
        <w:t>activities</w:t>
      </w:r>
      <w:r w:rsidR="00895001" w:rsidRPr="00EE3E7C">
        <w:rPr>
          <w:rFonts w:eastAsia="Times New Roman"/>
          <w:color w:val="000000"/>
          <w:szCs w:val="18"/>
          <w:lang w:eastAsia="en-US"/>
        </w:rPr>
        <w:t xml:space="preserve"> implemented or planned since the </w:t>
      </w:r>
      <w:r w:rsidR="00895001">
        <w:rPr>
          <w:rFonts w:eastAsia="Times New Roman"/>
          <w:color w:val="000000"/>
          <w:szCs w:val="18"/>
          <w:lang w:eastAsia="en-US"/>
        </w:rPr>
        <w:t>previous</w:t>
      </w:r>
      <w:r w:rsidR="00895001" w:rsidRPr="00EE3E7C">
        <w:rPr>
          <w:rFonts w:eastAsia="Times New Roman"/>
          <w:color w:val="000000"/>
          <w:szCs w:val="18"/>
          <w:lang w:eastAsia="en-US"/>
        </w:rPr>
        <w:t xml:space="preserve"> national</w:t>
      </w:r>
      <w:r w:rsidR="00895001" w:rsidRPr="00F071DA">
        <w:rPr>
          <w:rFonts w:eastAsia="Times New Roman"/>
          <w:color w:val="000000"/>
          <w:szCs w:val="18"/>
          <w:lang w:eastAsia="en-US"/>
        </w:rPr>
        <w:t xml:space="preserve"> communication or biennial report.</w:t>
      </w:r>
    </w:p>
    <w:p w14:paraId="02F678BE" w14:textId="2B6885A6" w:rsidR="00895001" w:rsidRPr="00F071DA" w:rsidRDefault="000E0429" w:rsidP="000E0429">
      <w:pPr>
        <w:pStyle w:val="FootnoteTable"/>
        <w:ind w:left="1134" w:hanging="909"/>
        <w:rPr>
          <w:rFonts w:eastAsia="Times New Roman"/>
          <w:color w:val="000000"/>
          <w:szCs w:val="18"/>
          <w:lang w:eastAsia="en-US"/>
        </w:rPr>
      </w:pPr>
      <w:r w:rsidRPr="00F071DA">
        <w:rPr>
          <w:rFonts w:eastAsia="Times New Roman"/>
          <w:i/>
          <w:color w:val="000000"/>
          <w:szCs w:val="18"/>
          <w:vertAlign w:val="superscript"/>
          <w:lang w:eastAsia="en-US"/>
        </w:rPr>
        <w:t xml:space="preserve">c   </w:t>
      </w:r>
      <w:r w:rsidR="00895001" w:rsidRPr="006E62F3">
        <w:rPr>
          <w:lang w:eastAsia="en-US"/>
        </w:rPr>
        <w:t>Parties</w:t>
      </w:r>
      <w:r w:rsidR="00895001" w:rsidRPr="00F071DA">
        <w:rPr>
          <w:rFonts w:eastAsia="Times New Roman"/>
          <w:color w:val="000000"/>
          <w:szCs w:val="18"/>
          <w:lang w:eastAsia="en-US"/>
        </w:rPr>
        <w:t xml:space="preserve"> may report sectoral disaggregation, as appropriate. </w:t>
      </w:r>
    </w:p>
    <w:p w14:paraId="4482B42A" w14:textId="52914DF5" w:rsidR="00895001" w:rsidRPr="002A2E76" w:rsidRDefault="000E0429" w:rsidP="000E0429">
      <w:pPr>
        <w:pStyle w:val="FootnoteTable"/>
        <w:ind w:left="-59" w:firstLine="284"/>
        <w:rPr>
          <w:rFonts w:eastAsia="Times New Roman"/>
          <w:color w:val="000000"/>
          <w:sz w:val="22"/>
          <w:szCs w:val="22"/>
          <w:lang w:eastAsia="en-US"/>
        </w:rPr>
      </w:pPr>
      <w:r w:rsidRPr="002A2E76">
        <w:rPr>
          <w:rFonts w:eastAsia="Times New Roman"/>
          <w:i/>
          <w:color w:val="000000"/>
          <w:szCs w:val="22"/>
          <w:vertAlign w:val="superscript"/>
          <w:lang w:eastAsia="en-US"/>
        </w:rPr>
        <w:t xml:space="preserve">d   </w:t>
      </w:r>
      <w:r w:rsidR="00895001" w:rsidRPr="00F071DA">
        <w:rPr>
          <w:rFonts w:eastAsia="Times New Roman"/>
          <w:color w:val="000000"/>
          <w:szCs w:val="18"/>
          <w:lang w:eastAsia="en-US"/>
        </w:rPr>
        <w:t xml:space="preserve">Additional information may include, for example, </w:t>
      </w:r>
      <w:r w:rsidR="00895001">
        <w:rPr>
          <w:rFonts w:eastAsia="Times New Roman"/>
          <w:color w:val="000000"/>
          <w:szCs w:val="18"/>
          <w:lang w:eastAsia="en-US"/>
        </w:rPr>
        <w:t xml:space="preserve">information on </w:t>
      </w:r>
      <w:r w:rsidR="00895001" w:rsidRPr="00F071DA">
        <w:rPr>
          <w:rFonts w:eastAsia="Times New Roman"/>
          <w:color w:val="000000"/>
          <w:szCs w:val="18"/>
          <w:lang w:eastAsia="en-US"/>
        </w:rPr>
        <w:t xml:space="preserve">funding for technology development and transfer provided, a short description of the measure or activity and </w:t>
      </w:r>
      <w:r w:rsidR="00895001">
        <w:rPr>
          <w:rFonts w:eastAsia="Times New Roman"/>
          <w:color w:val="000000"/>
          <w:szCs w:val="18"/>
          <w:lang w:eastAsia="en-US"/>
        </w:rPr>
        <w:t xml:space="preserve">information on </w:t>
      </w:r>
      <w:r w:rsidR="00895001" w:rsidRPr="00F071DA">
        <w:rPr>
          <w:rFonts w:eastAsia="Times New Roman"/>
          <w:color w:val="000000"/>
          <w:szCs w:val="18"/>
          <w:lang w:eastAsia="en-US"/>
        </w:rPr>
        <w:t>cofinancing arrangements.</w:t>
      </w:r>
    </w:p>
    <w:p w14:paraId="6546905E" w14:textId="77777777" w:rsidR="00895001" w:rsidRDefault="00895001" w:rsidP="00895001">
      <w:pPr>
        <w:suppressAutoHyphens w:val="0"/>
        <w:spacing w:line="240" w:lineRule="auto"/>
      </w:pPr>
    </w:p>
    <w:p w14:paraId="5F1D4036" w14:textId="77777777" w:rsidR="00895001" w:rsidRDefault="00895001" w:rsidP="00895001">
      <w:pPr>
        <w:suppressAutoHyphens w:val="0"/>
        <w:spacing w:line="240" w:lineRule="auto"/>
        <w:sectPr w:rsidR="00895001" w:rsidSect="00AD303F">
          <w:headerReference w:type="even" r:id="rId54"/>
          <w:headerReference w:type="default" r:id="rId55"/>
          <w:footerReference w:type="even" r:id="rId56"/>
          <w:footerReference w:type="default" r:id="rId57"/>
          <w:pgSz w:w="16838" w:h="11906" w:orient="landscape" w:code="9"/>
          <w:pgMar w:top="1134" w:right="1701" w:bottom="1134" w:left="2268" w:header="567" w:footer="567" w:gutter="0"/>
          <w:cols w:space="708"/>
          <w:docGrid w:linePitch="360"/>
        </w:sectPr>
      </w:pPr>
    </w:p>
    <w:p w14:paraId="00353E33" w14:textId="54D853A6" w:rsidR="00895001" w:rsidRPr="00A20B3F" w:rsidRDefault="000E0429" w:rsidP="000E0429">
      <w:pPr>
        <w:pStyle w:val="RegH1G"/>
        <w:numPr>
          <w:ilvl w:val="0"/>
          <w:numId w:val="0"/>
        </w:numPr>
        <w:tabs>
          <w:tab w:val="left" w:pos="1135"/>
        </w:tabs>
        <w:ind w:left="1135" w:hanging="454"/>
        <w:rPr>
          <w:sz w:val="22"/>
          <w:szCs w:val="22"/>
          <w:lang w:eastAsia="en-US"/>
        </w:rPr>
      </w:pPr>
      <w:r w:rsidRPr="00A20B3F">
        <w:rPr>
          <w:szCs w:val="22"/>
          <w:lang w:eastAsia="en-US"/>
        </w:rPr>
        <w:t>C.</w:t>
      </w:r>
      <w:r w:rsidRPr="00A20B3F">
        <w:rPr>
          <w:szCs w:val="22"/>
          <w:lang w:eastAsia="en-US"/>
        </w:rPr>
        <w:tab/>
      </w:r>
      <w:r w:rsidR="00895001" w:rsidRPr="00BF72CF">
        <w:rPr>
          <w:lang w:eastAsia="en-US"/>
        </w:rPr>
        <w:t>Capacity</w:t>
      </w:r>
      <w:r w:rsidR="00895001" w:rsidRPr="00A20B3F">
        <w:rPr>
          <w:lang w:eastAsia="en-US"/>
        </w:rPr>
        <w:t>-building</w:t>
      </w:r>
    </w:p>
    <w:p w14:paraId="2F291427" w14:textId="0614539D" w:rsidR="00895001" w:rsidRPr="008D4BDB" w:rsidRDefault="000E0429" w:rsidP="000E0429">
      <w:pPr>
        <w:pStyle w:val="RegSingleTxtG"/>
        <w:numPr>
          <w:ilvl w:val="0"/>
          <w:numId w:val="0"/>
        </w:numPr>
        <w:tabs>
          <w:tab w:val="left" w:pos="568"/>
        </w:tabs>
        <w:ind w:left="1135"/>
        <w:rPr>
          <w:lang w:eastAsia="en-US"/>
        </w:rPr>
      </w:pPr>
      <w:r w:rsidRPr="008D4BDB">
        <w:rPr>
          <w:lang w:eastAsia="en-US"/>
        </w:rPr>
        <w:t>59.</w:t>
      </w:r>
      <w:r w:rsidRPr="008D4BDB">
        <w:rPr>
          <w:lang w:eastAsia="en-US"/>
        </w:rPr>
        <w:tab/>
      </w:r>
      <w:r w:rsidR="00895001" w:rsidRPr="00AA57F2">
        <w:rPr>
          <w:lang w:eastAsia="en-US"/>
        </w:rPr>
        <w:t xml:space="preserve">Each Annex II Party shall provide information, to the extent possible, on how it has provided capacity-building support that responds </w:t>
      </w:r>
      <w:r w:rsidR="00895001" w:rsidRPr="00A74166">
        <w:rPr>
          <w:lang w:eastAsia="en-US"/>
        </w:rPr>
        <w:t>to existing and emerging capacity-building needs identified by non-Annex I Parties in the areas of mitigation, adaptation and</w:t>
      </w:r>
      <w:r w:rsidR="00895001" w:rsidRPr="00AA57F2">
        <w:rPr>
          <w:lang w:eastAsia="en-US"/>
        </w:rPr>
        <w:t xml:space="preserve"> technology development and transfer. Information should be reported in textual and tabular format (</w:t>
      </w:r>
      <w:r w:rsidR="00895001">
        <w:rPr>
          <w:lang w:eastAsia="en-US"/>
        </w:rPr>
        <w:t xml:space="preserve">see </w:t>
      </w:r>
      <w:r w:rsidR="00895001" w:rsidRPr="00AA57F2">
        <w:rPr>
          <w:lang w:eastAsia="en-US"/>
        </w:rPr>
        <w:t xml:space="preserve">table </w:t>
      </w:r>
      <w:r w:rsidR="00895001">
        <w:rPr>
          <w:lang w:eastAsia="en-US"/>
        </w:rPr>
        <w:t>11</w:t>
      </w:r>
      <w:r w:rsidR="00895001" w:rsidRPr="00AA57F2">
        <w:rPr>
          <w:lang w:eastAsia="en-US"/>
        </w:rPr>
        <w:t xml:space="preserve"> below) as a description of individual measures and activities</w:t>
      </w:r>
      <w:r w:rsidR="00895001" w:rsidRPr="008D4BDB">
        <w:rPr>
          <w:lang w:eastAsia="en-US"/>
        </w:rPr>
        <w:t>.</w:t>
      </w:r>
    </w:p>
    <w:p w14:paraId="06BF345C" w14:textId="71A4512D" w:rsidR="00895001" w:rsidRPr="00941068" w:rsidRDefault="00895001" w:rsidP="00A15511">
      <w:pPr>
        <w:ind w:left="1134"/>
        <w:rPr>
          <w:rFonts w:eastAsia="Times New Roman"/>
          <w:color w:val="000000"/>
          <w:lang w:eastAsia="en-US"/>
        </w:rPr>
      </w:pPr>
      <w:r w:rsidRPr="00941068">
        <w:rPr>
          <w:rFonts w:eastAsia="Times New Roman"/>
          <w:color w:val="000000"/>
          <w:lang w:eastAsia="en-US"/>
        </w:rPr>
        <w:t xml:space="preserve">Table 11 </w:t>
      </w:r>
    </w:p>
    <w:p w14:paraId="704870DB" w14:textId="77777777" w:rsidR="00895001" w:rsidRPr="00941068" w:rsidRDefault="00895001" w:rsidP="00A15511">
      <w:pPr>
        <w:spacing w:after="120"/>
        <w:ind w:left="1134"/>
      </w:pPr>
      <w:r w:rsidRPr="00941068">
        <w:rPr>
          <w:rFonts w:eastAsia="Times New Roman"/>
          <w:b/>
          <w:bCs/>
          <w:color w:val="000000"/>
          <w:lang w:eastAsia="en-US"/>
        </w:rPr>
        <w:t>Provision of capacity-building support</w:t>
      </w:r>
      <w:r w:rsidRPr="00941068">
        <w:rPr>
          <w:rFonts w:eastAsia="Times New Roman"/>
          <w:i/>
          <w:color w:val="000000"/>
          <w:sz w:val="18"/>
          <w:vertAlign w:val="superscript"/>
          <w:lang w:eastAsia="en-US"/>
        </w:rPr>
        <w:t>a</w:t>
      </w:r>
    </w:p>
    <w:tbl>
      <w:tblPr>
        <w:tblW w:w="8505" w:type="dxa"/>
        <w:tblInd w:w="1134" w:type="dxa"/>
        <w:tblLook w:val="04A0" w:firstRow="1" w:lastRow="0" w:firstColumn="1" w:lastColumn="0" w:noHBand="0" w:noVBand="1"/>
      </w:tblPr>
      <w:tblGrid>
        <w:gridCol w:w="1841"/>
        <w:gridCol w:w="2948"/>
        <w:gridCol w:w="1685"/>
        <w:gridCol w:w="2246"/>
      </w:tblGrid>
      <w:tr w:rsidR="00895001" w:rsidRPr="00F071DA" w14:paraId="7A3C8D48" w14:textId="77777777" w:rsidTr="00A15511">
        <w:trPr>
          <w:trHeight w:val="300"/>
        </w:trPr>
        <w:tc>
          <w:tcPr>
            <w:tcW w:w="1858" w:type="dxa"/>
            <w:tcBorders>
              <w:top w:val="single" w:sz="4" w:space="0" w:color="auto"/>
              <w:bottom w:val="single" w:sz="4" w:space="0" w:color="auto"/>
            </w:tcBorders>
            <w:shd w:val="clear" w:color="auto" w:fill="auto"/>
            <w:vAlign w:val="center"/>
            <w:hideMark/>
          </w:tcPr>
          <w:p w14:paraId="261E6DAF" w14:textId="77777777" w:rsidR="00895001" w:rsidRPr="00D15FEF" w:rsidRDefault="00895001" w:rsidP="006D4A81">
            <w:pPr>
              <w:suppressAutoHyphens w:val="0"/>
              <w:spacing w:line="240" w:lineRule="auto"/>
              <w:jc w:val="center"/>
              <w:rPr>
                <w:rFonts w:eastAsia="Times New Roman"/>
                <w:i/>
                <w:iCs/>
                <w:color w:val="000000"/>
                <w:sz w:val="16"/>
                <w:szCs w:val="16"/>
                <w:lang w:eastAsia="en-US"/>
              </w:rPr>
            </w:pPr>
            <w:r w:rsidRPr="00D15FEF">
              <w:rPr>
                <w:rFonts w:eastAsia="Times New Roman"/>
                <w:i/>
                <w:iCs/>
                <w:color w:val="000000"/>
                <w:sz w:val="16"/>
                <w:szCs w:val="16"/>
                <w:lang w:eastAsia="en-US"/>
              </w:rPr>
              <w:t>Recipient country/region</w:t>
            </w:r>
          </w:p>
        </w:tc>
        <w:tc>
          <w:tcPr>
            <w:tcW w:w="2977" w:type="dxa"/>
            <w:tcBorders>
              <w:top w:val="single" w:sz="4" w:space="0" w:color="auto"/>
              <w:bottom w:val="single" w:sz="4" w:space="0" w:color="auto"/>
            </w:tcBorders>
            <w:shd w:val="clear" w:color="auto" w:fill="auto"/>
            <w:vAlign w:val="center"/>
            <w:hideMark/>
          </w:tcPr>
          <w:p w14:paraId="78628A3E" w14:textId="77777777" w:rsidR="00895001" w:rsidRPr="00D15FEF" w:rsidRDefault="00895001" w:rsidP="006D4A81">
            <w:pPr>
              <w:suppressAutoHyphens w:val="0"/>
              <w:spacing w:line="240" w:lineRule="auto"/>
              <w:jc w:val="center"/>
              <w:rPr>
                <w:rFonts w:eastAsia="Times New Roman"/>
                <w:i/>
                <w:iCs/>
                <w:color w:val="000000"/>
                <w:sz w:val="16"/>
                <w:szCs w:val="16"/>
                <w:lang w:eastAsia="en-US"/>
              </w:rPr>
            </w:pPr>
            <w:r w:rsidRPr="00D15FEF">
              <w:rPr>
                <w:rFonts w:eastAsia="Times New Roman"/>
                <w:i/>
                <w:iCs/>
                <w:color w:val="000000"/>
                <w:sz w:val="16"/>
                <w:szCs w:val="16"/>
                <w:lang w:eastAsia="en-US"/>
              </w:rPr>
              <w:t xml:space="preserve">Targeted area </w:t>
            </w:r>
          </w:p>
        </w:tc>
        <w:tc>
          <w:tcPr>
            <w:tcW w:w="1701" w:type="dxa"/>
            <w:tcBorders>
              <w:top w:val="single" w:sz="4" w:space="0" w:color="auto"/>
              <w:bottom w:val="single" w:sz="4" w:space="0" w:color="auto"/>
            </w:tcBorders>
            <w:shd w:val="clear" w:color="auto" w:fill="auto"/>
            <w:vAlign w:val="center"/>
            <w:hideMark/>
          </w:tcPr>
          <w:p w14:paraId="775E6B26" w14:textId="77777777" w:rsidR="00895001" w:rsidRPr="00D15FEF" w:rsidRDefault="00895001" w:rsidP="006D4A81">
            <w:pPr>
              <w:suppressAutoHyphens w:val="0"/>
              <w:spacing w:line="240" w:lineRule="auto"/>
              <w:jc w:val="center"/>
              <w:rPr>
                <w:rFonts w:eastAsia="Times New Roman"/>
                <w:i/>
                <w:iCs/>
                <w:color w:val="000000"/>
                <w:sz w:val="16"/>
                <w:szCs w:val="16"/>
                <w:lang w:eastAsia="en-US"/>
              </w:rPr>
            </w:pPr>
            <w:r w:rsidRPr="00D15FEF">
              <w:rPr>
                <w:rFonts w:eastAsia="Times New Roman"/>
                <w:i/>
                <w:iCs/>
                <w:color w:val="000000"/>
                <w:sz w:val="16"/>
                <w:szCs w:val="16"/>
                <w:lang w:eastAsia="en-US"/>
              </w:rPr>
              <w:t>Programme or project title</w:t>
            </w:r>
          </w:p>
        </w:tc>
        <w:tc>
          <w:tcPr>
            <w:tcW w:w="2268" w:type="dxa"/>
            <w:tcBorders>
              <w:top w:val="single" w:sz="4" w:space="0" w:color="auto"/>
              <w:bottom w:val="single" w:sz="4" w:space="0" w:color="auto"/>
            </w:tcBorders>
            <w:shd w:val="clear" w:color="auto" w:fill="auto"/>
            <w:vAlign w:val="center"/>
            <w:hideMark/>
          </w:tcPr>
          <w:p w14:paraId="7C418FF4" w14:textId="77777777" w:rsidR="00895001" w:rsidRPr="00D15FEF" w:rsidRDefault="00895001" w:rsidP="006D4A81">
            <w:pPr>
              <w:suppressAutoHyphens w:val="0"/>
              <w:spacing w:line="240" w:lineRule="auto"/>
              <w:jc w:val="center"/>
              <w:rPr>
                <w:rFonts w:eastAsia="Times New Roman"/>
                <w:i/>
                <w:iCs/>
                <w:color w:val="000000"/>
                <w:sz w:val="16"/>
                <w:szCs w:val="16"/>
                <w:lang w:eastAsia="en-US"/>
              </w:rPr>
            </w:pPr>
            <w:r w:rsidRPr="00D15FEF">
              <w:rPr>
                <w:rFonts w:eastAsia="Times New Roman"/>
                <w:i/>
                <w:iCs/>
                <w:color w:val="000000"/>
                <w:sz w:val="16"/>
                <w:szCs w:val="16"/>
                <w:lang w:eastAsia="en-US"/>
              </w:rPr>
              <w:t>Description of programme or project</w:t>
            </w:r>
            <w:r w:rsidRPr="00B93DB9">
              <w:rPr>
                <w:rFonts w:eastAsia="Times New Roman"/>
                <w:i/>
                <w:iCs/>
                <w:color w:val="000000"/>
                <w:sz w:val="18"/>
                <w:szCs w:val="16"/>
                <w:vertAlign w:val="superscript"/>
                <w:lang w:eastAsia="en-US"/>
              </w:rPr>
              <w:t>b, c</w:t>
            </w:r>
          </w:p>
        </w:tc>
      </w:tr>
      <w:tr w:rsidR="00895001" w:rsidRPr="00FA5EA0" w14:paraId="69891A35" w14:textId="77777777" w:rsidTr="00A15511">
        <w:trPr>
          <w:trHeight w:val="300"/>
        </w:trPr>
        <w:tc>
          <w:tcPr>
            <w:tcW w:w="1858" w:type="dxa"/>
            <w:tcBorders>
              <w:top w:val="single" w:sz="4" w:space="0" w:color="auto"/>
              <w:bottom w:val="single" w:sz="12" w:space="0" w:color="auto"/>
            </w:tcBorders>
            <w:shd w:val="clear" w:color="auto" w:fill="auto"/>
            <w:hideMark/>
          </w:tcPr>
          <w:p w14:paraId="0004F6ED" w14:textId="77777777" w:rsidR="00895001" w:rsidRPr="00FA5EA0" w:rsidRDefault="00895001" w:rsidP="006D4A81">
            <w:pPr>
              <w:suppressAutoHyphens w:val="0"/>
              <w:spacing w:line="240" w:lineRule="auto"/>
              <w:rPr>
                <w:rFonts w:eastAsia="Times New Roman"/>
                <w:i/>
                <w:color w:val="000000"/>
                <w:sz w:val="18"/>
                <w:szCs w:val="18"/>
                <w:lang w:eastAsia="en-US"/>
              </w:rPr>
            </w:pPr>
            <w:r w:rsidRPr="00FA5EA0">
              <w:rPr>
                <w:rFonts w:eastAsia="Times New Roman"/>
                <w:i/>
                <w:color w:val="000000"/>
                <w:sz w:val="18"/>
                <w:szCs w:val="18"/>
                <w:lang w:eastAsia="en-US"/>
              </w:rPr>
              <w:t> </w:t>
            </w:r>
          </w:p>
        </w:tc>
        <w:tc>
          <w:tcPr>
            <w:tcW w:w="2977" w:type="dxa"/>
            <w:tcBorders>
              <w:top w:val="single" w:sz="4" w:space="0" w:color="auto"/>
              <w:bottom w:val="single" w:sz="12" w:space="0" w:color="auto"/>
            </w:tcBorders>
            <w:shd w:val="clear" w:color="auto" w:fill="auto"/>
            <w:hideMark/>
          </w:tcPr>
          <w:p w14:paraId="598187A3" w14:textId="77777777" w:rsidR="00895001" w:rsidRPr="00A15511" w:rsidRDefault="00895001" w:rsidP="006D4A81">
            <w:pPr>
              <w:suppressAutoHyphens w:val="0"/>
              <w:spacing w:line="240" w:lineRule="auto"/>
              <w:jc w:val="center"/>
              <w:rPr>
                <w:rFonts w:eastAsia="Times New Roman"/>
                <w:i/>
                <w:sz w:val="16"/>
                <w:szCs w:val="18"/>
                <w:lang w:eastAsia="en-US"/>
              </w:rPr>
            </w:pPr>
            <w:r w:rsidRPr="00A15511">
              <w:rPr>
                <w:rFonts w:eastAsia="Times New Roman"/>
                <w:i/>
                <w:sz w:val="16"/>
                <w:szCs w:val="18"/>
                <w:lang w:eastAsia="en-US"/>
              </w:rPr>
              <w:t>Mitigation</w:t>
            </w:r>
          </w:p>
          <w:p w14:paraId="593D5221" w14:textId="77777777" w:rsidR="00895001" w:rsidRPr="00A15511" w:rsidRDefault="00895001" w:rsidP="006D4A81">
            <w:pPr>
              <w:suppressAutoHyphens w:val="0"/>
              <w:spacing w:line="240" w:lineRule="auto"/>
              <w:jc w:val="center"/>
              <w:rPr>
                <w:rFonts w:eastAsia="Times New Roman"/>
                <w:i/>
                <w:sz w:val="16"/>
                <w:szCs w:val="18"/>
                <w:lang w:eastAsia="en-US"/>
              </w:rPr>
            </w:pPr>
            <w:r w:rsidRPr="00A15511">
              <w:rPr>
                <w:rFonts w:eastAsia="Times New Roman"/>
                <w:i/>
                <w:sz w:val="16"/>
                <w:szCs w:val="18"/>
                <w:lang w:eastAsia="en-US"/>
              </w:rPr>
              <w:t>Adaptation</w:t>
            </w:r>
          </w:p>
          <w:p w14:paraId="2084A27E" w14:textId="77777777" w:rsidR="00895001" w:rsidRPr="00A15511" w:rsidRDefault="00895001" w:rsidP="006D4A81">
            <w:pPr>
              <w:suppressAutoHyphens w:val="0"/>
              <w:spacing w:line="240" w:lineRule="auto"/>
              <w:jc w:val="center"/>
              <w:rPr>
                <w:rFonts w:eastAsia="Times New Roman"/>
                <w:i/>
                <w:sz w:val="16"/>
                <w:szCs w:val="18"/>
                <w:lang w:eastAsia="en-US"/>
              </w:rPr>
            </w:pPr>
            <w:r w:rsidRPr="00A15511">
              <w:rPr>
                <w:rFonts w:eastAsia="Times New Roman"/>
                <w:i/>
                <w:sz w:val="16"/>
                <w:szCs w:val="18"/>
                <w:lang w:eastAsia="en-US"/>
              </w:rPr>
              <w:t>Technology development and transfer</w:t>
            </w:r>
          </w:p>
          <w:p w14:paraId="1B5A81D5" w14:textId="77777777" w:rsidR="00895001" w:rsidRPr="00FA5EA0" w:rsidRDefault="00895001" w:rsidP="006D4A81">
            <w:pPr>
              <w:suppressAutoHyphens w:val="0"/>
              <w:spacing w:line="240" w:lineRule="auto"/>
              <w:jc w:val="center"/>
              <w:rPr>
                <w:rFonts w:eastAsia="Times New Roman"/>
                <w:i/>
                <w:color w:val="000000"/>
                <w:sz w:val="18"/>
                <w:szCs w:val="18"/>
                <w:lang w:eastAsia="en-US"/>
              </w:rPr>
            </w:pPr>
            <w:r w:rsidRPr="00A15511">
              <w:rPr>
                <w:rFonts w:eastAsia="Times New Roman"/>
                <w:i/>
                <w:sz w:val="16"/>
                <w:szCs w:val="18"/>
                <w:lang w:eastAsia="en-US"/>
              </w:rPr>
              <w:t>Multiple areas</w:t>
            </w:r>
          </w:p>
        </w:tc>
        <w:tc>
          <w:tcPr>
            <w:tcW w:w="1701" w:type="dxa"/>
            <w:tcBorders>
              <w:top w:val="single" w:sz="4" w:space="0" w:color="auto"/>
              <w:bottom w:val="single" w:sz="12" w:space="0" w:color="auto"/>
            </w:tcBorders>
            <w:shd w:val="clear" w:color="auto" w:fill="auto"/>
            <w:hideMark/>
          </w:tcPr>
          <w:p w14:paraId="7A339BD9" w14:textId="77777777" w:rsidR="00895001" w:rsidRPr="00FA5EA0" w:rsidRDefault="00895001" w:rsidP="006D4A81">
            <w:pPr>
              <w:suppressAutoHyphens w:val="0"/>
              <w:spacing w:line="240" w:lineRule="auto"/>
              <w:rPr>
                <w:rFonts w:eastAsia="Times New Roman"/>
                <w:i/>
                <w:color w:val="000000"/>
                <w:sz w:val="18"/>
                <w:szCs w:val="18"/>
                <w:lang w:eastAsia="en-US"/>
              </w:rPr>
            </w:pPr>
            <w:r w:rsidRPr="00FA5EA0">
              <w:rPr>
                <w:rFonts w:eastAsia="Times New Roman"/>
                <w:i/>
                <w:color w:val="000000"/>
                <w:sz w:val="18"/>
                <w:szCs w:val="18"/>
                <w:lang w:eastAsia="en-US"/>
              </w:rPr>
              <w:t> </w:t>
            </w:r>
          </w:p>
        </w:tc>
        <w:tc>
          <w:tcPr>
            <w:tcW w:w="2268" w:type="dxa"/>
            <w:tcBorders>
              <w:top w:val="single" w:sz="4" w:space="0" w:color="auto"/>
              <w:bottom w:val="single" w:sz="12" w:space="0" w:color="auto"/>
            </w:tcBorders>
            <w:shd w:val="clear" w:color="auto" w:fill="auto"/>
            <w:hideMark/>
          </w:tcPr>
          <w:p w14:paraId="28EEBB03" w14:textId="77777777" w:rsidR="00895001" w:rsidRPr="00FA5EA0" w:rsidRDefault="00895001" w:rsidP="006D4A81">
            <w:pPr>
              <w:suppressAutoHyphens w:val="0"/>
              <w:spacing w:line="240" w:lineRule="auto"/>
              <w:rPr>
                <w:rFonts w:eastAsia="Times New Roman"/>
                <w:i/>
                <w:color w:val="000000"/>
                <w:sz w:val="18"/>
                <w:szCs w:val="18"/>
                <w:lang w:eastAsia="en-US"/>
              </w:rPr>
            </w:pPr>
            <w:r w:rsidRPr="00FA5EA0">
              <w:rPr>
                <w:rFonts w:eastAsia="Times New Roman"/>
                <w:i/>
                <w:color w:val="000000"/>
                <w:sz w:val="18"/>
                <w:szCs w:val="18"/>
                <w:lang w:eastAsia="en-US"/>
              </w:rPr>
              <w:t> </w:t>
            </w:r>
          </w:p>
        </w:tc>
      </w:tr>
      <w:tr w:rsidR="00895001" w:rsidRPr="00F071DA" w14:paraId="2D127A07" w14:textId="77777777" w:rsidTr="00A15511">
        <w:trPr>
          <w:trHeight w:val="300"/>
        </w:trPr>
        <w:tc>
          <w:tcPr>
            <w:tcW w:w="1858" w:type="dxa"/>
            <w:tcBorders>
              <w:top w:val="single" w:sz="12" w:space="0" w:color="auto"/>
              <w:bottom w:val="single" w:sz="12" w:space="0" w:color="auto"/>
            </w:tcBorders>
            <w:shd w:val="clear" w:color="auto" w:fill="auto"/>
            <w:hideMark/>
          </w:tcPr>
          <w:p w14:paraId="4BBF6554"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c>
          <w:tcPr>
            <w:tcW w:w="2977" w:type="dxa"/>
            <w:tcBorders>
              <w:top w:val="single" w:sz="12" w:space="0" w:color="auto"/>
              <w:bottom w:val="single" w:sz="12" w:space="0" w:color="auto"/>
            </w:tcBorders>
            <w:shd w:val="clear" w:color="auto" w:fill="auto"/>
            <w:hideMark/>
          </w:tcPr>
          <w:p w14:paraId="089F2DF2" w14:textId="77777777" w:rsidR="00895001" w:rsidRPr="00F071DA" w:rsidRDefault="00895001" w:rsidP="006D4A81">
            <w:pPr>
              <w:suppressAutoHyphens w:val="0"/>
              <w:spacing w:line="240" w:lineRule="auto"/>
              <w:jc w:val="center"/>
              <w:rPr>
                <w:rFonts w:eastAsia="Times New Roman"/>
                <w:color w:val="000000"/>
                <w:sz w:val="18"/>
                <w:szCs w:val="18"/>
                <w:lang w:eastAsia="en-US"/>
              </w:rPr>
            </w:pPr>
            <w:r w:rsidRPr="00F071DA">
              <w:rPr>
                <w:rFonts w:eastAsia="Times New Roman"/>
                <w:color w:val="000000"/>
                <w:sz w:val="18"/>
                <w:szCs w:val="18"/>
                <w:lang w:eastAsia="en-US"/>
              </w:rPr>
              <w:t> </w:t>
            </w:r>
          </w:p>
        </w:tc>
        <w:tc>
          <w:tcPr>
            <w:tcW w:w="1701" w:type="dxa"/>
            <w:tcBorders>
              <w:top w:val="single" w:sz="12" w:space="0" w:color="auto"/>
              <w:bottom w:val="single" w:sz="12" w:space="0" w:color="auto"/>
            </w:tcBorders>
            <w:shd w:val="clear" w:color="auto" w:fill="auto"/>
            <w:hideMark/>
          </w:tcPr>
          <w:p w14:paraId="5DB25C01" w14:textId="77777777" w:rsidR="00895001"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p w14:paraId="1E8069F5" w14:textId="77777777" w:rsidR="00895001" w:rsidRDefault="00895001" w:rsidP="006D4A81">
            <w:pPr>
              <w:suppressAutoHyphens w:val="0"/>
              <w:spacing w:line="240" w:lineRule="auto"/>
              <w:rPr>
                <w:rFonts w:eastAsia="Times New Roman"/>
                <w:color w:val="000000"/>
                <w:sz w:val="18"/>
                <w:szCs w:val="18"/>
                <w:lang w:eastAsia="en-US"/>
              </w:rPr>
            </w:pPr>
          </w:p>
          <w:p w14:paraId="3F6D9C71" w14:textId="77777777" w:rsidR="00895001" w:rsidRDefault="00895001" w:rsidP="006D4A81">
            <w:pPr>
              <w:suppressAutoHyphens w:val="0"/>
              <w:spacing w:line="240" w:lineRule="auto"/>
              <w:rPr>
                <w:rFonts w:eastAsia="Times New Roman"/>
                <w:color w:val="000000"/>
                <w:sz w:val="18"/>
                <w:szCs w:val="18"/>
                <w:lang w:eastAsia="en-US"/>
              </w:rPr>
            </w:pPr>
          </w:p>
          <w:p w14:paraId="6B177CFB" w14:textId="77777777" w:rsidR="00895001" w:rsidRDefault="00895001" w:rsidP="006D4A81">
            <w:pPr>
              <w:suppressAutoHyphens w:val="0"/>
              <w:spacing w:line="240" w:lineRule="auto"/>
              <w:rPr>
                <w:rFonts w:eastAsia="Times New Roman"/>
                <w:color w:val="000000"/>
                <w:sz w:val="18"/>
                <w:szCs w:val="18"/>
                <w:lang w:eastAsia="en-US"/>
              </w:rPr>
            </w:pPr>
          </w:p>
          <w:p w14:paraId="7F229287" w14:textId="77777777" w:rsidR="00895001" w:rsidRPr="00F071DA" w:rsidRDefault="00895001" w:rsidP="006D4A81">
            <w:pPr>
              <w:suppressAutoHyphens w:val="0"/>
              <w:spacing w:line="240" w:lineRule="auto"/>
              <w:rPr>
                <w:rFonts w:eastAsia="Times New Roman"/>
                <w:color w:val="000000"/>
                <w:sz w:val="18"/>
                <w:szCs w:val="18"/>
                <w:lang w:eastAsia="en-US"/>
              </w:rPr>
            </w:pPr>
          </w:p>
        </w:tc>
        <w:tc>
          <w:tcPr>
            <w:tcW w:w="2268" w:type="dxa"/>
            <w:tcBorders>
              <w:top w:val="single" w:sz="12" w:space="0" w:color="auto"/>
              <w:bottom w:val="single" w:sz="12" w:space="0" w:color="auto"/>
            </w:tcBorders>
            <w:shd w:val="clear" w:color="auto" w:fill="auto"/>
            <w:hideMark/>
          </w:tcPr>
          <w:p w14:paraId="6C5C5414" w14:textId="77777777" w:rsidR="00895001" w:rsidRPr="00F071DA" w:rsidRDefault="00895001" w:rsidP="006D4A81">
            <w:pPr>
              <w:suppressAutoHyphens w:val="0"/>
              <w:spacing w:line="240" w:lineRule="auto"/>
              <w:rPr>
                <w:rFonts w:eastAsia="Times New Roman"/>
                <w:color w:val="000000"/>
                <w:sz w:val="18"/>
                <w:szCs w:val="18"/>
                <w:lang w:eastAsia="en-US"/>
              </w:rPr>
            </w:pPr>
            <w:r w:rsidRPr="00F071DA">
              <w:rPr>
                <w:rFonts w:eastAsia="Times New Roman"/>
                <w:color w:val="000000"/>
                <w:sz w:val="18"/>
                <w:szCs w:val="18"/>
                <w:lang w:eastAsia="en-US"/>
              </w:rPr>
              <w:t> </w:t>
            </w:r>
          </w:p>
        </w:tc>
      </w:tr>
      <w:tr w:rsidR="00895001" w:rsidRPr="00F071DA" w14:paraId="78DE7D48" w14:textId="77777777" w:rsidTr="00A15511">
        <w:trPr>
          <w:trHeight w:val="300"/>
        </w:trPr>
        <w:tc>
          <w:tcPr>
            <w:tcW w:w="8804" w:type="dxa"/>
            <w:gridSpan w:val="4"/>
            <w:tcBorders>
              <w:top w:val="nil"/>
              <w:left w:val="nil"/>
              <w:bottom w:val="nil"/>
              <w:right w:val="nil"/>
            </w:tcBorders>
            <w:shd w:val="clear" w:color="auto" w:fill="auto"/>
            <w:noWrap/>
            <w:hideMark/>
          </w:tcPr>
          <w:p w14:paraId="38E034A3" w14:textId="56F81396" w:rsidR="00895001" w:rsidRPr="007E597E" w:rsidRDefault="000E0429" w:rsidP="000E0429">
            <w:pPr>
              <w:pStyle w:val="FootnoteTable"/>
              <w:spacing w:before="120"/>
              <w:ind w:left="1134" w:hanging="907"/>
              <w:rPr>
                <w:sz w:val="22"/>
                <w:szCs w:val="22"/>
                <w:lang w:eastAsia="en-US"/>
              </w:rPr>
            </w:pPr>
            <w:r w:rsidRPr="007E597E">
              <w:rPr>
                <w:i/>
                <w:szCs w:val="22"/>
                <w:vertAlign w:val="superscript"/>
                <w:lang w:eastAsia="en-US"/>
              </w:rPr>
              <w:t xml:space="preserve">a   </w:t>
            </w:r>
            <w:r w:rsidR="00895001" w:rsidRPr="00D72FA5">
              <w:rPr>
                <w:lang w:eastAsia="en-US"/>
              </w:rPr>
              <w:t>To be reported to the extent possible.</w:t>
            </w:r>
            <w:r w:rsidR="00895001" w:rsidRPr="00F071DA">
              <w:rPr>
                <w:lang w:eastAsia="en-US"/>
              </w:rPr>
              <w:t xml:space="preserve"> </w:t>
            </w:r>
          </w:p>
          <w:p w14:paraId="68B6BA45" w14:textId="6D9DBA11" w:rsidR="00895001" w:rsidRPr="00B93DB9" w:rsidRDefault="000E0429" w:rsidP="000E0429">
            <w:pPr>
              <w:pStyle w:val="FootnoteTable"/>
              <w:ind w:right="140" w:firstLine="225"/>
              <w:jc w:val="left"/>
              <w:rPr>
                <w:sz w:val="22"/>
                <w:szCs w:val="22"/>
                <w:lang w:eastAsia="en-US"/>
              </w:rPr>
            </w:pPr>
            <w:r w:rsidRPr="00B93DB9">
              <w:rPr>
                <w:i/>
                <w:szCs w:val="22"/>
                <w:vertAlign w:val="superscript"/>
                <w:lang w:eastAsia="en-US"/>
              </w:rPr>
              <w:t xml:space="preserve">b   </w:t>
            </w:r>
            <w:r w:rsidR="00895001" w:rsidRPr="006B2D8A">
              <w:rPr>
                <w:lang w:eastAsia="en-US"/>
              </w:rPr>
              <w:t>Each</w:t>
            </w:r>
            <w:r w:rsidR="00895001" w:rsidRPr="00F071DA">
              <w:rPr>
                <w:rFonts w:eastAsia="Times New Roman"/>
                <w:color w:val="000000"/>
                <w:szCs w:val="18"/>
                <w:lang w:eastAsia="en-US"/>
              </w:rPr>
              <w:t xml:space="preserve"> Party included in Annex II to the Convention shall provide information, to the extent possible, on how it has provided capacity-building support that responds to existing and emerging capacity-building needs identified by Parties not included in Annex I to the Convention in the areas of mitigation, adaptation and technology development and transfer.</w:t>
            </w:r>
          </w:p>
          <w:p w14:paraId="0C501FBE" w14:textId="7C5896CA" w:rsidR="00B93DB9" w:rsidRPr="007B66E5" w:rsidRDefault="000E0429" w:rsidP="000E0429">
            <w:pPr>
              <w:pStyle w:val="FootnoteTable"/>
              <w:ind w:right="140" w:firstLine="225"/>
              <w:jc w:val="left"/>
              <w:rPr>
                <w:szCs w:val="18"/>
                <w:lang w:eastAsia="en-US"/>
              </w:rPr>
            </w:pPr>
            <w:r w:rsidRPr="007B66E5">
              <w:rPr>
                <w:i/>
                <w:szCs w:val="18"/>
                <w:vertAlign w:val="superscript"/>
                <w:lang w:eastAsia="en-US"/>
              </w:rPr>
              <w:t xml:space="preserve">c   </w:t>
            </w:r>
            <w:r w:rsidR="00B93DB9" w:rsidRPr="00B93DB9">
              <w:rPr>
                <w:szCs w:val="18"/>
                <w:lang w:eastAsia="en-US"/>
              </w:rPr>
              <w:t>Additional information may be provided on, for example, the measure or activity and cofinancing arrangements.</w:t>
            </w:r>
          </w:p>
        </w:tc>
      </w:tr>
    </w:tbl>
    <w:p w14:paraId="1BDC1CD6" w14:textId="351B88B7" w:rsidR="00895001" w:rsidRPr="00F071DA" w:rsidRDefault="000E0429" w:rsidP="000E0429">
      <w:pPr>
        <w:pStyle w:val="RegHChG"/>
        <w:numPr>
          <w:ilvl w:val="0"/>
          <w:numId w:val="0"/>
        </w:numPr>
        <w:tabs>
          <w:tab w:val="left" w:pos="1135"/>
        </w:tabs>
        <w:ind w:left="1135" w:hanging="454"/>
        <w:rPr>
          <w:lang w:eastAsia="en-US"/>
        </w:rPr>
      </w:pPr>
      <w:r w:rsidRPr="00F071DA">
        <w:rPr>
          <w:lang w:eastAsia="en-US"/>
        </w:rPr>
        <w:t>IX.</w:t>
      </w:r>
      <w:r w:rsidRPr="00F071DA">
        <w:rPr>
          <w:lang w:eastAsia="en-US"/>
        </w:rPr>
        <w:tab/>
      </w:r>
      <w:r w:rsidR="007B66E5" w:rsidRPr="00F071DA">
        <w:rPr>
          <w:lang w:eastAsia="en-US"/>
        </w:rPr>
        <w:t>Research and systematic observation</w:t>
      </w:r>
    </w:p>
    <w:p w14:paraId="63B0278A" w14:textId="474ECD01" w:rsidR="00895001" w:rsidRDefault="000E0429" w:rsidP="000E0429">
      <w:pPr>
        <w:pStyle w:val="RegSingleTxtG"/>
        <w:numPr>
          <w:ilvl w:val="0"/>
          <w:numId w:val="0"/>
        </w:numPr>
        <w:tabs>
          <w:tab w:val="left" w:pos="568"/>
        </w:tabs>
        <w:ind w:left="1135"/>
        <w:rPr>
          <w:lang w:eastAsia="en-US"/>
        </w:rPr>
      </w:pPr>
      <w:r>
        <w:rPr>
          <w:lang w:eastAsia="en-US"/>
        </w:rPr>
        <w:t>60.</w:t>
      </w:r>
      <w:r>
        <w:rPr>
          <w:lang w:eastAsia="en-US"/>
        </w:rPr>
        <w:tab/>
      </w:r>
      <w:r w:rsidR="00895001" w:rsidRPr="00F071DA">
        <w:rPr>
          <w:lang w:eastAsia="en-US"/>
        </w:rPr>
        <w:t>Pursuant to Articles 4</w:t>
      </w:r>
      <w:r w:rsidR="00895001">
        <w:rPr>
          <w:lang w:eastAsia="en-US"/>
        </w:rPr>
        <w:t xml:space="preserve">, paragraph </w:t>
      </w:r>
      <w:r w:rsidR="00895001" w:rsidRPr="00F071DA">
        <w:rPr>
          <w:lang w:eastAsia="en-US"/>
        </w:rPr>
        <w:t>1(g) and (h), 5 and 12</w:t>
      </w:r>
      <w:r w:rsidR="00895001">
        <w:rPr>
          <w:lang w:eastAsia="en-US"/>
        </w:rPr>
        <w:t xml:space="preserve">, paragraph </w:t>
      </w:r>
      <w:r w:rsidR="00895001" w:rsidRPr="00F071DA">
        <w:rPr>
          <w:lang w:eastAsia="en-US"/>
        </w:rPr>
        <w:t>1(b)</w:t>
      </w:r>
      <w:r w:rsidR="00895001">
        <w:rPr>
          <w:lang w:eastAsia="en-US"/>
        </w:rPr>
        <w:t>, of the Convention</w:t>
      </w:r>
      <w:r w:rsidR="00895001" w:rsidRPr="00F071DA">
        <w:rPr>
          <w:lang w:eastAsia="en-US"/>
        </w:rPr>
        <w:t>, Annex I Parties shall communicate information on their actions relating to research and systematic observation.</w:t>
      </w:r>
    </w:p>
    <w:p w14:paraId="18A2E407" w14:textId="07B86030" w:rsidR="007B66E5" w:rsidRPr="00F071DA" w:rsidRDefault="000E0429" w:rsidP="000E0429">
      <w:pPr>
        <w:pStyle w:val="RegSingleTxtG"/>
        <w:numPr>
          <w:ilvl w:val="0"/>
          <w:numId w:val="0"/>
        </w:numPr>
        <w:tabs>
          <w:tab w:val="left" w:pos="568"/>
        </w:tabs>
        <w:ind w:left="1135"/>
        <w:rPr>
          <w:lang w:eastAsia="en-US"/>
        </w:rPr>
      </w:pPr>
      <w:r w:rsidRPr="00F071DA">
        <w:rPr>
          <w:lang w:eastAsia="en-US"/>
        </w:rPr>
        <w:t>61.</w:t>
      </w:r>
      <w:r w:rsidRPr="00F071DA">
        <w:rPr>
          <w:lang w:eastAsia="en-US"/>
        </w:rPr>
        <w:tab/>
      </w:r>
      <w:r w:rsidR="007B66E5" w:rsidRPr="007B66E5">
        <w:rPr>
          <w:lang w:eastAsia="en-US"/>
        </w:rPr>
        <w:t>The national communication shall address both domestic and international activities (for example, the activities of the Intergovernmental Panel on Climate Change, the World Climate Research Programme, Future Earth and the Global Climate Observing System) and also reflect action taken to support related capacity-building in developing countries</w:t>
      </w:r>
      <w:r w:rsidR="007B66E5">
        <w:rPr>
          <w:lang w:eastAsia="en-US"/>
        </w:rPr>
        <w:t>.</w:t>
      </w:r>
    </w:p>
    <w:p w14:paraId="5FFA1FFE" w14:textId="7D06C4C9" w:rsidR="00895001" w:rsidRPr="00B82E71" w:rsidRDefault="000E0429" w:rsidP="000E0429">
      <w:pPr>
        <w:pStyle w:val="RegSingleTxtG"/>
        <w:numPr>
          <w:ilvl w:val="0"/>
          <w:numId w:val="0"/>
        </w:numPr>
        <w:tabs>
          <w:tab w:val="left" w:pos="568"/>
        </w:tabs>
        <w:ind w:left="1135"/>
        <w:rPr>
          <w:lang w:eastAsia="en-US"/>
        </w:rPr>
      </w:pPr>
      <w:r w:rsidRPr="00B82E71">
        <w:rPr>
          <w:lang w:eastAsia="en-US"/>
        </w:rPr>
        <w:t>62.</w:t>
      </w:r>
      <w:r w:rsidRPr="00B82E71">
        <w:rPr>
          <w:lang w:eastAsia="en-US"/>
        </w:rPr>
        <w:tab/>
      </w:r>
      <w:r w:rsidR="00895001" w:rsidRPr="00B82E71">
        <w:rPr>
          <w:lang w:eastAsia="en-US"/>
        </w:rPr>
        <w:t>Parties shall provide summary information on global climate observing system activities in accordance with paragraph 67 below. To guide the reporting under sections A and C below, Parties should refer to the detailed guidance provided in the revised “UNFCCC reporting guidelines on global climate observing systems”</w:t>
      </w:r>
      <w:r w:rsidR="00895001" w:rsidRPr="00B82E71">
        <w:rPr>
          <w:color w:val="E36C0A" w:themeColor="accent6" w:themeShade="BF"/>
          <w:lang w:eastAsia="en-US"/>
        </w:rPr>
        <w:t xml:space="preserve"> </w:t>
      </w:r>
      <w:r w:rsidR="00895001" w:rsidRPr="00B82E71">
        <w:rPr>
          <w:lang w:eastAsia="en-US"/>
        </w:rPr>
        <w:t>(</w:t>
      </w:r>
      <w:r w:rsidR="00895001">
        <w:rPr>
          <w:lang w:eastAsia="en-US"/>
        </w:rPr>
        <w:t xml:space="preserve">annex to </w:t>
      </w:r>
      <w:r w:rsidR="00895001" w:rsidRPr="00B82E71">
        <w:rPr>
          <w:bCs/>
        </w:rPr>
        <w:t>decision 11/CP.13) and any relevant decisions subsequently adopted by the COP</w:t>
      </w:r>
      <w:r w:rsidR="00895001" w:rsidRPr="00B82E71">
        <w:rPr>
          <w:lang w:eastAsia="en-US"/>
        </w:rPr>
        <w:t>.</w:t>
      </w:r>
    </w:p>
    <w:p w14:paraId="32ADEAE5" w14:textId="08C808D0" w:rsidR="00895001" w:rsidRPr="00625DB8" w:rsidRDefault="000E0429" w:rsidP="000E0429">
      <w:pPr>
        <w:pStyle w:val="RegSingleTxtG"/>
        <w:numPr>
          <w:ilvl w:val="0"/>
          <w:numId w:val="0"/>
        </w:numPr>
        <w:tabs>
          <w:tab w:val="left" w:pos="568"/>
        </w:tabs>
        <w:ind w:left="1135"/>
        <w:rPr>
          <w:lang w:eastAsia="en-US"/>
        </w:rPr>
      </w:pPr>
      <w:r w:rsidRPr="00625DB8">
        <w:rPr>
          <w:lang w:eastAsia="en-US"/>
        </w:rPr>
        <w:t>63.</w:t>
      </w:r>
      <w:r w:rsidRPr="00625DB8">
        <w:rPr>
          <w:lang w:eastAsia="en-US"/>
        </w:rPr>
        <w:tab/>
      </w:r>
      <w:r w:rsidR="00895001" w:rsidRPr="00625DB8">
        <w:rPr>
          <w:lang w:eastAsia="en-US"/>
        </w:rPr>
        <w:t>The national communication should report, in summary form, on action taken. For example, the results of research studies, model runs or data analysis should not be included in this section.</w:t>
      </w:r>
    </w:p>
    <w:p w14:paraId="40B0AB49" w14:textId="25996518" w:rsidR="00895001" w:rsidRPr="00625DB8" w:rsidRDefault="000E0429" w:rsidP="000E0429">
      <w:pPr>
        <w:pStyle w:val="RegH1G"/>
        <w:numPr>
          <w:ilvl w:val="0"/>
          <w:numId w:val="0"/>
        </w:numPr>
        <w:tabs>
          <w:tab w:val="left" w:pos="1135"/>
        </w:tabs>
        <w:ind w:left="1135" w:hanging="454"/>
        <w:rPr>
          <w:lang w:eastAsia="en-US"/>
        </w:rPr>
      </w:pPr>
      <w:r w:rsidRPr="00625DB8">
        <w:rPr>
          <w:lang w:eastAsia="en-US"/>
        </w:rPr>
        <w:t>A.</w:t>
      </w:r>
      <w:r w:rsidRPr="00625DB8">
        <w:rPr>
          <w:lang w:eastAsia="en-US"/>
        </w:rPr>
        <w:tab/>
      </w:r>
      <w:r w:rsidR="00895001" w:rsidRPr="00625DB8">
        <w:rPr>
          <w:lang w:eastAsia="en-US"/>
        </w:rPr>
        <w:t>General policy on and funding of research and systematic observation</w:t>
      </w:r>
    </w:p>
    <w:p w14:paraId="4AD82743" w14:textId="5337FAB2" w:rsidR="00895001" w:rsidRPr="00484F94" w:rsidRDefault="000E0429" w:rsidP="000E0429">
      <w:pPr>
        <w:pStyle w:val="RegSingleTxtG"/>
        <w:numPr>
          <w:ilvl w:val="0"/>
          <w:numId w:val="0"/>
        </w:numPr>
        <w:tabs>
          <w:tab w:val="left" w:pos="568"/>
        </w:tabs>
        <w:ind w:left="1135"/>
        <w:rPr>
          <w:lang w:eastAsia="en-US"/>
        </w:rPr>
      </w:pPr>
      <w:r w:rsidRPr="00484F94">
        <w:rPr>
          <w:lang w:eastAsia="en-US"/>
        </w:rPr>
        <w:t>64.</w:t>
      </w:r>
      <w:r w:rsidRPr="00484F94">
        <w:rPr>
          <w:lang w:eastAsia="en-US"/>
        </w:rPr>
        <w:tab/>
      </w:r>
      <w:r w:rsidR="00895001" w:rsidRPr="00484F94">
        <w:rPr>
          <w:lang w:eastAsia="en-US"/>
        </w:rPr>
        <w:t xml:space="preserve">Parties should provide information on their general policy on and funding of research and systematic observation. </w:t>
      </w:r>
    </w:p>
    <w:p w14:paraId="4BD4D154" w14:textId="6A80332B" w:rsidR="00895001" w:rsidRPr="00484F94" w:rsidRDefault="000E0429" w:rsidP="000E0429">
      <w:pPr>
        <w:pStyle w:val="RegSingleTxtG"/>
        <w:numPr>
          <w:ilvl w:val="0"/>
          <w:numId w:val="0"/>
        </w:numPr>
        <w:tabs>
          <w:tab w:val="left" w:pos="568"/>
        </w:tabs>
        <w:ind w:left="1135"/>
        <w:rPr>
          <w:lang w:eastAsia="en-US"/>
        </w:rPr>
      </w:pPr>
      <w:r w:rsidRPr="00484F94">
        <w:rPr>
          <w:lang w:eastAsia="en-US"/>
        </w:rPr>
        <w:t>65.</w:t>
      </w:r>
      <w:r w:rsidRPr="00484F94">
        <w:rPr>
          <w:lang w:eastAsia="en-US"/>
        </w:rPr>
        <w:tab/>
      </w:r>
      <w:r w:rsidR="00895001" w:rsidRPr="00484F94">
        <w:rPr>
          <w:lang w:eastAsia="en-US"/>
        </w:rPr>
        <w:t>Parties should identify opportunities for and barriers to free and open international exchange of data and information and report on action taken to overcome such barriers.</w:t>
      </w:r>
    </w:p>
    <w:p w14:paraId="5168BD36" w14:textId="182BFC71" w:rsidR="00895001" w:rsidRPr="00625DB8" w:rsidRDefault="000E0429" w:rsidP="000E0429">
      <w:pPr>
        <w:pStyle w:val="RegH1G"/>
        <w:numPr>
          <w:ilvl w:val="0"/>
          <w:numId w:val="0"/>
        </w:numPr>
        <w:tabs>
          <w:tab w:val="left" w:pos="1135"/>
        </w:tabs>
        <w:ind w:left="1135" w:hanging="454"/>
        <w:rPr>
          <w:lang w:eastAsia="en-US"/>
        </w:rPr>
      </w:pPr>
      <w:r w:rsidRPr="00625DB8">
        <w:rPr>
          <w:lang w:eastAsia="en-US"/>
        </w:rPr>
        <w:t>B.</w:t>
      </w:r>
      <w:r w:rsidRPr="00625DB8">
        <w:rPr>
          <w:lang w:eastAsia="en-US"/>
        </w:rPr>
        <w:tab/>
      </w:r>
      <w:r w:rsidR="00895001" w:rsidRPr="00625DB8">
        <w:rPr>
          <w:lang w:eastAsia="en-US"/>
        </w:rPr>
        <w:t>Research</w:t>
      </w:r>
    </w:p>
    <w:p w14:paraId="527B6730" w14:textId="7CFD301E" w:rsidR="00895001" w:rsidRPr="00625DB8" w:rsidRDefault="000E0429" w:rsidP="000E0429">
      <w:pPr>
        <w:pStyle w:val="RegSingleTxtG"/>
        <w:numPr>
          <w:ilvl w:val="0"/>
          <w:numId w:val="0"/>
        </w:numPr>
        <w:tabs>
          <w:tab w:val="left" w:pos="568"/>
        </w:tabs>
        <w:ind w:left="1135"/>
        <w:rPr>
          <w:lang w:eastAsia="en-US"/>
        </w:rPr>
      </w:pPr>
      <w:r w:rsidRPr="00625DB8">
        <w:rPr>
          <w:lang w:eastAsia="en-US"/>
        </w:rPr>
        <w:t>66.</w:t>
      </w:r>
      <w:r w:rsidRPr="00625DB8">
        <w:rPr>
          <w:lang w:eastAsia="en-US"/>
        </w:rPr>
        <w:tab/>
      </w:r>
      <w:r w:rsidR="00895001" w:rsidRPr="00625DB8">
        <w:rPr>
          <w:lang w:eastAsia="en-US"/>
        </w:rPr>
        <w:t xml:space="preserve">Parties should provide, </w:t>
      </w:r>
      <w:r w:rsidR="00895001" w:rsidRPr="00625DB8">
        <w:rPr>
          <w:iCs/>
          <w:lang w:eastAsia="en-US"/>
        </w:rPr>
        <w:t>inter alia</w:t>
      </w:r>
      <w:r w:rsidR="00895001" w:rsidRPr="00625DB8">
        <w:rPr>
          <w:lang w:eastAsia="en-US"/>
        </w:rPr>
        <w:t>, information on highlights, innovations and significant efforts made with regard to:</w:t>
      </w:r>
    </w:p>
    <w:p w14:paraId="63328077" w14:textId="4ECBD6D3" w:rsidR="00895001" w:rsidRPr="002756DD" w:rsidRDefault="000E0429" w:rsidP="000E0429">
      <w:pPr>
        <w:pStyle w:val="RegSingleTxtG"/>
        <w:numPr>
          <w:ilvl w:val="0"/>
          <w:numId w:val="0"/>
        </w:numPr>
        <w:tabs>
          <w:tab w:val="left" w:pos="2269"/>
        </w:tabs>
        <w:ind w:left="1135" w:firstLine="567"/>
        <w:rPr>
          <w:rFonts w:eastAsia="Calibri"/>
          <w:szCs w:val="24"/>
          <w:lang w:eastAsia="en-US"/>
        </w:rPr>
      </w:pPr>
      <w:r w:rsidRPr="002756DD">
        <w:rPr>
          <w:rFonts w:eastAsia="Calibri"/>
          <w:szCs w:val="24"/>
          <w:lang w:eastAsia="en-US"/>
        </w:rPr>
        <w:t>(a)</w:t>
      </w:r>
      <w:r w:rsidRPr="002756DD">
        <w:rPr>
          <w:rFonts w:eastAsia="Calibri"/>
          <w:szCs w:val="24"/>
          <w:lang w:eastAsia="en-US"/>
        </w:rPr>
        <w:tab/>
      </w:r>
      <w:r w:rsidR="00895001" w:rsidRPr="002756DD">
        <w:rPr>
          <w:rFonts w:eastAsia="Calibri"/>
          <w:szCs w:val="24"/>
          <w:lang w:eastAsia="en-US"/>
        </w:rPr>
        <w:t>Climate process and climate system studies, including paleoclimatic studies;</w:t>
      </w:r>
    </w:p>
    <w:p w14:paraId="237741E1" w14:textId="3F983F94" w:rsidR="00895001" w:rsidRPr="002756DD" w:rsidRDefault="000E0429" w:rsidP="000E0429">
      <w:pPr>
        <w:pStyle w:val="RegSingleTxtG"/>
        <w:numPr>
          <w:ilvl w:val="0"/>
          <w:numId w:val="0"/>
        </w:numPr>
        <w:tabs>
          <w:tab w:val="left" w:pos="2269"/>
        </w:tabs>
        <w:ind w:left="1135" w:firstLine="567"/>
        <w:rPr>
          <w:rFonts w:eastAsia="Calibri"/>
          <w:szCs w:val="24"/>
          <w:lang w:eastAsia="en-US"/>
        </w:rPr>
      </w:pPr>
      <w:r w:rsidRPr="002756DD">
        <w:rPr>
          <w:rFonts w:eastAsia="Calibri"/>
          <w:szCs w:val="24"/>
          <w:lang w:eastAsia="en-US"/>
        </w:rPr>
        <w:t>(b)</w:t>
      </w:r>
      <w:r w:rsidRPr="002756DD">
        <w:rPr>
          <w:rFonts w:eastAsia="Calibri"/>
          <w:szCs w:val="24"/>
          <w:lang w:eastAsia="en-US"/>
        </w:rPr>
        <w:tab/>
      </w:r>
      <w:r w:rsidR="00895001" w:rsidRPr="002756DD">
        <w:rPr>
          <w:rFonts w:eastAsia="Calibri"/>
          <w:szCs w:val="24"/>
          <w:lang w:eastAsia="en-US"/>
        </w:rPr>
        <w:t>Modelling and prediction, including global and regional climate models;</w:t>
      </w:r>
    </w:p>
    <w:p w14:paraId="312716C0" w14:textId="71A0C451" w:rsidR="00895001" w:rsidRPr="002756DD" w:rsidRDefault="000E0429" w:rsidP="000E0429">
      <w:pPr>
        <w:pStyle w:val="RegSingleTxtG"/>
        <w:numPr>
          <w:ilvl w:val="0"/>
          <w:numId w:val="0"/>
        </w:numPr>
        <w:tabs>
          <w:tab w:val="left" w:pos="2269"/>
        </w:tabs>
        <w:ind w:left="1135" w:firstLine="567"/>
        <w:rPr>
          <w:rFonts w:eastAsia="Calibri"/>
          <w:szCs w:val="24"/>
          <w:lang w:eastAsia="en-US"/>
        </w:rPr>
      </w:pPr>
      <w:r w:rsidRPr="002756DD">
        <w:rPr>
          <w:rFonts w:eastAsia="Calibri"/>
          <w:szCs w:val="24"/>
          <w:lang w:eastAsia="en-US"/>
        </w:rPr>
        <w:t>(c)</w:t>
      </w:r>
      <w:r w:rsidRPr="002756DD">
        <w:rPr>
          <w:rFonts w:eastAsia="Calibri"/>
          <w:szCs w:val="24"/>
          <w:lang w:eastAsia="en-US"/>
        </w:rPr>
        <w:tab/>
      </w:r>
      <w:r w:rsidR="00895001" w:rsidRPr="002756DD">
        <w:rPr>
          <w:rFonts w:eastAsia="Calibri"/>
          <w:szCs w:val="24"/>
          <w:lang w:eastAsia="en-US"/>
        </w:rPr>
        <w:t>Research on the impacts of climate change;</w:t>
      </w:r>
    </w:p>
    <w:p w14:paraId="43A09E90" w14:textId="655B10CF" w:rsidR="00895001" w:rsidRPr="002756DD" w:rsidRDefault="000E0429" w:rsidP="000E0429">
      <w:pPr>
        <w:pStyle w:val="RegSingleTxtG"/>
        <w:numPr>
          <w:ilvl w:val="0"/>
          <w:numId w:val="0"/>
        </w:numPr>
        <w:tabs>
          <w:tab w:val="left" w:pos="2269"/>
        </w:tabs>
        <w:ind w:left="1135" w:firstLine="567"/>
        <w:rPr>
          <w:rFonts w:eastAsia="Calibri"/>
          <w:szCs w:val="24"/>
          <w:lang w:eastAsia="en-US"/>
        </w:rPr>
      </w:pPr>
      <w:r w:rsidRPr="002756DD">
        <w:rPr>
          <w:rFonts w:eastAsia="Calibri"/>
          <w:szCs w:val="24"/>
          <w:lang w:eastAsia="en-US"/>
        </w:rPr>
        <w:t>(d)</w:t>
      </w:r>
      <w:r w:rsidRPr="002756DD">
        <w:rPr>
          <w:rFonts w:eastAsia="Calibri"/>
          <w:szCs w:val="24"/>
          <w:lang w:eastAsia="en-US"/>
        </w:rPr>
        <w:tab/>
      </w:r>
      <w:r w:rsidR="00895001" w:rsidRPr="002756DD">
        <w:rPr>
          <w:rFonts w:eastAsia="Calibri"/>
          <w:szCs w:val="24"/>
          <w:lang w:eastAsia="en-US"/>
        </w:rPr>
        <w:t>Socioeconomic analysis, including analysis of both the impacts of climate change and response options;</w:t>
      </w:r>
    </w:p>
    <w:p w14:paraId="03EFD9DA" w14:textId="55A99236" w:rsidR="00895001" w:rsidRPr="002756DD" w:rsidRDefault="000E0429" w:rsidP="000E0429">
      <w:pPr>
        <w:pStyle w:val="RegSingleTxtG"/>
        <w:numPr>
          <w:ilvl w:val="0"/>
          <w:numId w:val="0"/>
        </w:numPr>
        <w:tabs>
          <w:tab w:val="left" w:pos="2269"/>
        </w:tabs>
        <w:ind w:left="1135" w:firstLine="567"/>
        <w:rPr>
          <w:rFonts w:eastAsia="Calibri"/>
          <w:szCs w:val="24"/>
          <w:lang w:eastAsia="en-US"/>
        </w:rPr>
      </w:pPr>
      <w:r w:rsidRPr="002756DD">
        <w:rPr>
          <w:rFonts w:eastAsia="Calibri"/>
          <w:szCs w:val="24"/>
          <w:lang w:eastAsia="en-US"/>
        </w:rPr>
        <w:t>(e)</w:t>
      </w:r>
      <w:r w:rsidRPr="002756DD">
        <w:rPr>
          <w:rFonts w:eastAsia="Calibri"/>
          <w:szCs w:val="24"/>
          <w:lang w:eastAsia="en-US"/>
        </w:rPr>
        <w:tab/>
      </w:r>
      <w:r w:rsidR="00895001" w:rsidRPr="002756DD">
        <w:rPr>
          <w:rFonts w:eastAsia="Calibri"/>
          <w:szCs w:val="24"/>
          <w:lang w:eastAsia="en-US"/>
        </w:rPr>
        <w:t>Research and development of mitigation and adaptation approaches, including technologies.</w:t>
      </w:r>
    </w:p>
    <w:p w14:paraId="23852403" w14:textId="5A3245B8" w:rsidR="00895001" w:rsidRDefault="000E0429" w:rsidP="000E0429">
      <w:pPr>
        <w:pStyle w:val="RegH1G"/>
        <w:numPr>
          <w:ilvl w:val="0"/>
          <w:numId w:val="0"/>
        </w:numPr>
        <w:tabs>
          <w:tab w:val="left" w:pos="1135"/>
        </w:tabs>
        <w:ind w:left="1135" w:hanging="454"/>
        <w:rPr>
          <w:lang w:eastAsia="en-US"/>
        </w:rPr>
      </w:pPr>
      <w:r>
        <w:rPr>
          <w:lang w:eastAsia="en-US"/>
        </w:rPr>
        <w:t>C.</w:t>
      </w:r>
      <w:r>
        <w:rPr>
          <w:lang w:eastAsia="en-US"/>
        </w:rPr>
        <w:tab/>
      </w:r>
      <w:r w:rsidR="00895001" w:rsidRPr="00625DB8">
        <w:rPr>
          <w:lang w:eastAsia="en-US"/>
        </w:rPr>
        <w:t>Systematic observation</w:t>
      </w:r>
    </w:p>
    <w:p w14:paraId="7267A7C5" w14:textId="1C71F0DE" w:rsidR="00895001" w:rsidRPr="00625DB8" w:rsidRDefault="000E0429" w:rsidP="000E0429">
      <w:pPr>
        <w:pStyle w:val="RegSingleTxtG"/>
        <w:numPr>
          <w:ilvl w:val="0"/>
          <w:numId w:val="0"/>
        </w:numPr>
        <w:tabs>
          <w:tab w:val="left" w:pos="568"/>
        </w:tabs>
        <w:ind w:left="1135"/>
        <w:rPr>
          <w:lang w:eastAsia="en-US"/>
        </w:rPr>
      </w:pPr>
      <w:r w:rsidRPr="00625DB8">
        <w:rPr>
          <w:lang w:eastAsia="en-US"/>
        </w:rPr>
        <w:t>67.</w:t>
      </w:r>
      <w:r w:rsidRPr="00625DB8">
        <w:rPr>
          <w:lang w:eastAsia="en-US"/>
        </w:rPr>
        <w:tab/>
      </w:r>
      <w:r w:rsidR="00895001" w:rsidRPr="00625DB8">
        <w:rPr>
          <w:lang w:eastAsia="en-US"/>
        </w:rPr>
        <w:t>Parties should provide summary information on the current status of national plans, programmes and support for ground- and space-based climate observing systems, including long-term continuity of data, data quality control and availability, and exchange and archiving of data</w:t>
      </w:r>
      <w:r w:rsidR="00895001" w:rsidRPr="00625DB8">
        <w:rPr>
          <w:b/>
          <w:lang w:eastAsia="en-US"/>
        </w:rPr>
        <w:t xml:space="preserve"> </w:t>
      </w:r>
      <w:r w:rsidR="00895001" w:rsidRPr="00625DB8">
        <w:rPr>
          <w:lang w:eastAsia="en-US"/>
        </w:rPr>
        <w:t>in the following areas:</w:t>
      </w:r>
    </w:p>
    <w:p w14:paraId="3A0DDE13" w14:textId="03778D3C" w:rsidR="00895001" w:rsidRPr="007667AC" w:rsidRDefault="000E0429" w:rsidP="000E0429">
      <w:pPr>
        <w:pStyle w:val="RegSingleTxtG"/>
        <w:numPr>
          <w:ilvl w:val="0"/>
          <w:numId w:val="0"/>
        </w:numPr>
        <w:tabs>
          <w:tab w:val="left" w:pos="2269"/>
        </w:tabs>
        <w:ind w:left="1135" w:firstLine="567"/>
        <w:rPr>
          <w:rFonts w:eastAsia="Calibri"/>
          <w:szCs w:val="24"/>
          <w:lang w:eastAsia="en-US"/>
        </w:rPr>
      </w:pPr>
      <w:r w:rsidRPr="007667AC">
        <w:rPr>
          <w:rFonts w:eastAsia="Calibri"/>
          <w:szCs w:val="24"/>
          <w:lang w:eastAsia="en-US"/>
        </w:rPr>
        <w:t>(a)</w:t>
      </w:r>
      <w:r w:rsidRPr="007667AC">
        <w:rPr>
          <w:rFonts w:eastAsia="Calibri"/>
          <w:szCs w:val="24"/>
          <w:lang w:eastAsia="en-US"/>
        </w:rPr>
        <w:tab/>
      </w:r>
      <w:r w:rsidR="00895001" w:rsidRPr="007667AC">
        <w:rPr>
          <w:rFonts w:eastAsia="Calibri"/>
          <w:szCs w:val="24"/>
          <w:lang w:eastAsia="en-US"/>
        </w:rPr>
        <w:t>Atmospheric climate observing systems, including those measuring atmospheric constituents;</w:t>
      </w:r>
    </w:p>
    <w:p w14:paraId="410D5BAA" w14:textId="31256A9B" w:rsidR="00895001" w:rsidRPr="007667AC" w:rsidRDefault="000E0429" w:rsidP="000E0429">
      <w:pPr>
        <w:pStyle w:val="RegSingleTxtG"/>
        <w:numPr>
          <w:ilvl w:val="0"/>
          <w:numId w:val="0"/>
        </w:numPr>
        <w:tabs>
          <w:tab w:val="left" w:pos="2269"/>
        </w:tabs>
        <w:ind w:left="1135" w:firstLine="567"/>
        <w:rPr>
          <w:rFonts w:eastAsia="Calibri"/>
          <w:szCs w:val="24"/>
          <w:lang w:eastAsia="en-US"/>
        </w:rPr>
      </w:pPr>
      <w:r w:rsidRPr="007667AC">
        <w:rPr>
          <w:rFonts w:eastAsia="Calibri"/>
          <w:szCs w:val="24"/>
          <w:lang w:eastAsia="en-US"/>
        </w:rPr>
        <w:t>(b)</w:t>
      </w:r>
      <w:r w:rsidRPr="007667AC">
        <w:rPr>
          <w:rFonts w:eastAsia="Calibri"/>
          <w:szCs w:val="24"/>
          <w:lang w:eastAsia="en-US"/>
        </w:rPr>
        <w:tab/>
      </w:r>
      <w:r w:rsidR="00895001" w:rsidRPr="007667AC">
        <w:rPr>
          <w:rFonts w:eastAsia="Calibri"/>
          <w:szCs w:val="24"/>
          <w:lang w:eastAsia="en-US"/>
        </w:rPr>
        <w:t>Ocean climate observing systems;</w:t>
      </w:r>
    </w:p>
    <w:p w14:paraId="38825DA7" w14:textId="431C563E" w:rsidR="00895001" w:rsidRPr="007667AC" w:rsidRDefault="000E0429" w:rsidP="000E0429">
      <w:pPr>
        <w:pStyle w:val="RegSingleTxtG"/>
        <w:numPr>
          <w:ilvl w:val="0"/>
          <w:numId w:val="0"/>
        </w:numPr>
        <w:tabs>
          <w:tab w:val="left" w:pos="2269"/>
        </w:tabs>
        <w:ind w:left="1135" w:firstLine="567"/>
        <w:rPr>
          <w:rFonts w:eastAsia="Calibri"/>
          <w:szCs w:val="24"/>
          <w:lang w:eastAsia="en-US"/>
        </w:rPr>
      </w:pPr>
      <w:r w:rsidRPr="007667AC">
        <w:rPr>
          <w:rFonts w:eastAsia="Calibri"/>
          <w:szCs w:val="24"/>
          <w:lang w:eastAsia="en-US"/>
        </w:rPr>
        <w:t>(c)</w:t>
      </w:r>
      <w:r w:rsidRPr="007667AC">
        <w:rPr>
          <w:rFonts w:eastAsia="Calibri"/>
          <w:szCs w:val="24"/>
          <w:lang w:eastAsia="en-US"/>
        </w:rPr>
        <w:tab/>
      </w:r>
      <w:r w:rsidR="00895001" w:rsidRPr="007667AC">
        <w:rPr>
          <w:rFonts w:eastAsia="Calibri"/>
          <w:szCs w:val="24"/>
          <w:lang w:eastAsia="en-US"/>
        </w:rPr>
        <w:t>Terrestrial climate observing systems;</w:t>
      </w:r>
    </w:p>
    <w:p w14:paraId="7C4FA1C9" w14:textId="059F1604" w:rsidR="00895001" w:rsidRPr="007667AC" w:rsidRDefault="000E0429" w:rsidP="000E0429">
      <w:pPr>
        <w:pStyle w:val="RegSingleTxtG"/>
        <w:numPr>
          <w:ilvl w:val="0"/>
          <w:numId w:val="0"/>
        </w:numPr>
        <w:tabs>
          <w:tab w:val="left" w:pos="2269"/>
        </w:tabs>
        <w:ind w:left="1135" w:firstLine="567"/>
        <w:rPr>
          <w:rFonts w:eastAsia="Calibri"/>
          <w:szCs w:val="24"/>
          <w:lang w:eastAsia="en-US"/>
        </w:rPr>
      </w:pPr>
      <w:r w:rsidRPr="007667AC">
        <w:rPr>
          <w:rFonts w:eastAsia="Calibri"/>
          <w:szCs w:val="24"/>
          <w:lang w:eastAsia="en-US"/>
        </w:rPr>
        <w:t>(d)</w:t>
      </w:r>
      <w:r w:rsidRPr="007667AC">
        <w:rPr>
          <w:rFonts w:eastAsia="Calibri"/>
          <w:szCs w:val="24"/>
          <w:lang w:eastAsia="en-US"/>
        </w:rPr>
        <w:tab/>
      </w:r>
      <w:r w:rsidR="00895001" w:rsidRPr="007667AC">
        <w:rPr>
          <w:rFonts w:eastAsia="Calibri"/>
          <w:szCs w:val="24"/>
          <w:lang w:eastAsia="en-US"/>
        </w:rPr>
        <w:t>Cryosphere climate observing systems;</w:t>
      </w:r>
    </w:p>
    <w:p w14:paraId="15FE9F39" w14:textId="192A44D3" w:rsidR="00895001" w:rsidRPr="007667AC" w:rsidRDefault="000E0429" w:rsidP="000E0429">
      <w:pPr>
        <w:pStyle w:val="RegSingleTxtG"/>
        <w:numPr>
          <w:ilvl w:val="0"/>
          <w:numId w:val="0"/>
        </w:numPr>
        <w:tabs>
          <w:tab w:val="left" w:pos="2269"/>
        </w:tabs>
        <w:ind w:left="1135" w:firstLine="567"/>
        <w:rPr>
          <w:rFonts w:eastAsia="Calibri"/>
          <w:szCs w:val="24"/>
          <w:lang w:eastAsia="en-US"/>
        </w:rPr>
      </w:pPr>
      <w:r w:rsidRPr="007667AC">
        <w:rPr>
          <w:rFonts w:eastAsia="Calibri"/>
          <w:szCs w:val="24"/>
          <w:lang w:eastAsia="en-US"/>
        </w:rPr>
        <w:t>(e)</w:t>
      </w:r>
      <w:r w:rsidRPr="007667AC">
        <w:rPr>
          <w:rFonts w:eastAsia="Calibri"/>
          <w:szCs w:val="24"/>
          <w:lang w:eastAsia="en-US"/>
        </w:rPr>
        <w:tab/>
      </w:r>
      <w:r w:rsidR="00895001" w:rsidRPr="007667AC">
        <w:rPr>
          <w:rFonts w:eastAsia="Calibri"/>
          <w:szCs w:val="24"/>
          <w:lang w:eastAsia="en-US"/>
        </w:rPr>
        <w:t xml:space="preserve">Support for developing countries to establish and maintain observing systems and related data and monitoring systems. </w:t>
      </w:r>
    </w:p>
    <w:p w14:paraId="7A9DB61F" w14:textId="16B42CE0" w:rsidR="00895001" w:rsidRPr="00625DB8" w:rsidRDefault="000E0429" w:rsidP="000E0429">
      <w:pPr>
        <w:pStyle w:val="RegHChG"/>
        <w:numPr>
          <w:ilvl w:val="0"/>
          <w:numId w:val="0"/>
        </w:numPr>
        <w:tabs>
          <w:tab w:val="left" w:pos="1135"/>
        </w:tabs>
        <w:ind w:left="1135" w:hanging="454"/>
        <w:rPr>
          <w:lang w:eastAsia="en-US"/>
        </w:rPr>
      </w:pPr>
      <w:r w:rsidRPr="00625DB8">
        <w:rPr>
          <w:lang w:eastAsia="en-US"/>
        </w:rPr>
        <w:t>X.</w:t>
      </w:r>
      <w:r w:rsidRPr="00625DB8">
        <w:rPr>
          <w:lang w:eastAsia="en-US"/>
        </w:rPr>
        <w:tab/>
      </w:r>
      <w:r w:rsidR="00275220" w:rsidRPr="00625DB8">
        <w:rPr>
          <w:lang w:eastAsia="en-US"/>
        </w:rPr>
        <w:t>Education, training and public awareness</w:t>
      </w:r>
    </w:p>
    <w:p w14:paraId="0E1ABF46" w14:textId="1C62D5E3" w:rsidR="00895001" w:rsidRPr="00625DB8" w:rsidRDefault="000E0429" w:rsidP="000E0429">
      <w:pPr>
        <w:pStyle w:val="RegSingleTxtG"/>
        <w:numPr>
          <w:ilvl w:val="0"/>
          <w:numId w:val="0"/>
        </w:numPr>
        <w:tabs>
          <w:tab w:val="left" w:pos="568"/>
        </w:tabs>
        <w:ind w:left="1135"/>
        <w:rPr>
          <w:lang w:eastAsia="en-US"/>
        </w:rPr>
      </w:pPr>
      <w:r w:rsidRPr="00625DB8">
        <w:rPr>
          <w:lang w:eastAsia="en-US"/>
        </w:rPr>
        <w:t>68.</w:t>
      </w:r>
      <w:r w:rsidRPr="00625DB8">
        <w:rPr>
          <w:lang w:eastAsia="en-US"/>
        </w:rPr>
        <w:tab/>
      </w:r>
      <w:r w:rsidR="00895001" w:rsidRPr="00625DB8">
        <w:rPr>
          <w:lang w:eastAsia="en-US"/>
        </w:rPr>
        <w:t>In accordance with Articles 4</w:t>
      </w:r>
      <w:r w:rsidR="00895001">
        <w:rPr>
          <w:lang w:eastAsia="en-US"/>
        </w:rPr>
        <w:t xml:space="preserve">, paragraph </w:t>
      </w:r>
      <w:r w:rsidR="00895001" w:rsidRPr="00625DB8">
        <w:rPr>
          <w:lang w:eastAsia="en-US"/>
        </w:rPr>
        <w:t>1(i), 6 and 12</w:t>
      </w:r>
      <w:r w:rsidR="00895001">
        <w:rPr>
          <w:lang w:eastAsia="en-US"/>
        </w:rPr>
        <w:t xml:space="preserve">, paragraph </w:t>
      </w:r>
      <w:r w:rsidR="00895001" w:rsidRPr="00625DB8">
        <w:rPr>
          <w:lang w:eastAsia="en-US"/>
        </w:rPr>
        <w:t>1(b)</w:t>
      </w:r>
      <w:r w:rsidR="00895001">
        <w:rPr>
          <w:lang w:eastAsia="en-US"/>
        </w:rPr>
        <w:t>,</w:t>
      </w:r>
      <w:r w:rsidR="00895001" w:rsidRPr="00625DB8">
        <w:rPr>
          <w:lang w:eastAsia="en-US"/>
        </w:rPr>
        <w:t xml:space="preserve"> of the Convention, Annex I Parties shall communicate information on their actions relating to education, training and public awareness. In this section, Parties should report, </w:t>
      </w:r>
      <w:r w:rsidR="00895001" w:rsidRPr="00625DB8">
        <w:rPr>
          <w:iCs/>
          <w:lang w:eastAsia="en-US"/>
        </w:rPr>
        <w:t>inter alia</w:t>
      </w:r>
      <w:r w:rsidR="00895001" w:rsidRPr="00625DB8">
        <w:rPr>
          <w:lang w:eastAsia="en-US"/>
        </w:rPr>
        <w:t>, on public information and education materials, resource or information centres, training programmes and participation in international activities. Parties may report on the extent of public participation in the preparation or domestic review of the national communication.</w:t>
      </w:r>
    </w:p>
    <w:p w14:paraId="38264CCA" w14:textId="1AFAA399" w:rsidR="00895001" w:rsidRPr="00625DB8" w:rsidRDefault="000E0429" w:rsidP="000E0429">
      <w:pPr>
        <w:pStyle w:val="RegSingleTxtG"/>
        <w:numPr>
          <w:ilvl w:val="0"/>
          <w:numId w:val="0"/>
        </w:numPr>
        <w:tabs>
          <w:tab w:val="left" w:pos="568"/>
        </w:tabs>
        <w:ind w:left="1135"/>
        <w:rPr>
          <w:lang w:eastAsia="en-US"/>
        </w:rPr>
      </w:pPr>
      <w:r w:rsidRPr="00625DB8">
        <w:rPr>
          <w:lang w:eastAsia="en-US"/>
        </w:rPr>
        <w:t>69.</w:t>
      </w:r>
      <w:r w:rsidRPr="00625DB8">
        <w:rPr>
          <w:lang w:eastAsia="en-US"/>
        </w:rPr>
        <w:tab/>
      </w:r>
      <w:r w:rsidR="00895001" w:rsidRPr="00625DB8">
        <w:rPr>
          <w:lang w:eastAsia="en-US"/>
        </w:rPr>
        <w:t>The national communication may present information on such aspects as:</w:t>
      </w:r>
    </w:p>
    <w:p w14:paraId="305CAA5D" w14:textId="1879FD64"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(a)</w:t>
      </w:r>
      <w:r w:rsidRPr="00275220">
        <w:rPr>
          <w:rFonts w:eastAsia="Calibri"/>
          <w:szCs w:val="24"/>
          <w:lang w:eastAsia="en-US"/>
        </w:rPr>
        <w:tab/>
      </w:r>
      <w:r w:rsidR="00895001" w:rsidRPr="00275220">
        <w:rPr>
          <w:rFonts w:eastAsia="Calibri"/>
          <w:szCs w:val="24"/>
          <w:lang w:eastAsia="en-US"/>
        </w:rPr>
        <w:t>General policy on education, training and public awareness;</w:t>
      </w:r>
    </w:p>
    <w:p w14:paraId="6E00887A" w14:textId="23A1FD2A"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(b)</w:t>
      </w:r>
      <w:r w:rsidRPr="00275220">
        <w:rPr>
          <w:rFonts w:eastAsia="Calibri"/>
          <w:szCs w:val="24"/>
          <w:lang w:eastAsia="en-US"/>
        </w:rPr>
        <w:tab/>
      </w:r>
      <w:r w:rsidR="00895001" w:rsidRPr="00275220">
        <w:rPr>
          <w:rFonts w:eastAsia="Calibri"/>
          <w:szCs w:val="24"/>
          <w:lang w:eastAsia="en-US"/>
        </w:rPr>
        <w:t>Primary, secondary and higher education;</w:t>
      </w:r>
    </w:p>
    <w:p w14:paraId="2580903B" w14:textId="427F2B03"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(c)</w:t>
      </w:r>
      <w:r w:rsidRPr="00275220">
        <w:rPr>
          <w:rFonts w:eastAsia="Calibri"/>
          <w:szCs w:val="24"/>
          <w:lang w:eastAsia="en-US"/>
        </w:rPr>
        <w:tab/>
      </w:r>
      <w:r w:rsidR="00895001" w:rsidRPr="00275220">
        <w:rPr>
          <w:rFonts w:eastAsia="Calibri"/>
          <w:szCs w:val="24"/>
          <w:lang w:eastAsia="en-US"/>
        </w:rPr>
        <w:t>Public information campaigns;</w:t>
      </w:r>
    </w:p>
    <w:p w14:paraId="5029EE17" w14:textId="1CB0B792"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(d)</w:t>
      </w:r>
      <w:r w:rsidRPr="00275220">
        <w:rPr>
          <w:rFonts w:eastAsia="Calibri"/>
          <w:szCs w:val="24"/>
          <w:lang w:eastAsia="en-US"/>
        </w:rPr>
        <w:tab/>
      </w:r>
      <w:r w:rsidR="00895001" w:rsidRPr="00275220">
        <w:rPr>
          <w:rFonts w:eastAsia="Calibri"/>
          <w:szCs w:val="24"/>
          <w:lang w:eastAsia="en-US"/>
        </w:rPr>
        <w:t>Training programmes;</w:t>
      </w:r>
    </w:p>
    <w:p w14:paraId="739FCD35" w14:textId="18B2C15C"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(e)</w:t>
      </w:r>
      <w:r w:rsidRPr="00275220">
        <w:rPr>
          <w:rFonts w:eastAsia="Calibri"/>
          <w:szCs w:val="24"/>
          <w:lang w:eastAsia="en-US"/>
        </w:rPr>
        <w:tab/>
      </w:r>
      <w:r w:rsidR="00895001" w:rsidRPr="00275220">
        <w:rPr>
          <w:rFonts w:eastAsia="Calibri"/>
          <w:szCs w:val="24"/>
          <w:lang w:eastAsia="en-US"/>
        </w:rPr>
        <w:t>Resource or information centres;</w:t>
      </w:r>
    </w:p>
    <w:p w14:paraId="549056D3" w14:textId="1D63CCC1"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(f)</w:t>
      </w:r>
      <w:r w:rsidRPr="00275220">
        <w:rPr>
          <w:rFonts w:eastAsia="Calibri"/>
          <w:szCs w:val="24"/>
          <w:lang w:eastAsia="en-US"/>
        </w:rPr>
        <w:tab/>
      </w:r>
      <w:r w:rsidR="00895001" w:rsidRPr="00275220">
        <w:rPr>
          <w:rFonts w:eastAsia="Calibri"/>
          <w:szCs w:val="24"/>
          <w:lang w:eastAsia="en-US"/>
        </w:rPr>
        <w:t xml:space="preserve">Involvement of the public and non-governmental organizations; </w:t>
      </w:r>
    </w:p>
    <w:p w14:paraId="405FBE22" w14:textId="632BAB9F" w:rsidR="00895001" w:rsidRPr="00275220" w:rsidRDefault="000E0429" w:rsidP="000E0429">
      <w:pPr>
        <w:pStyle w:val="RegSingleTxtG"/>
        <w:numPr>
          <w:ilvl w:val="0"/>
          <w:numId w:val="0"/>
        </w:numPr>
        <w:tabs>
          <w:tab w:val="left" w:pos="2269"/>
        </w:tabs>
        <w:ind w:left="1135" w:firstLine="567"/>
        <w:rPr>
          <w:rFonts w:eastAsia="Calibri"/>
          <w:szCs w:val="24"/>
          <w:lang w:eastAsia="en-US"/>
        </w:rPr>
      </w:pPr>
      <w:r w:rsidRPr="00275220">
        <w:rPr>
          <w:rFonts w:eastAsia="Calibri"/>
          <w:szCs w:val="24"/>
          <w:lang w:eastAsia="en-US"/>
        </w:rPr>
        <w:t>(g)</w:t>
      </w:r>
      <w:r w:rsidRPr="00275220">
        <w:rPr>
          <w:rFonts w:eastAsia="Calibri"/>
          <w:szCs w:val="24"/>
          <w:lang w:eastAsia="en-US"/>
        </w:rPr>
        <w:tab/>
      </w:r>
      <w:r w:rsidR="00895001" w:rsidRPr="00275220">
        <w:rPr>
          <w:rFonts w:eastAsia="Calibri"/>
          <w:szCs w:val="24"/>
          <w:lang w:eastAsia="en-US"/>
        </w:rPr>
        <w:t>Participation in international activities;</w:t>
      </w:r>
    </w:p>
    <w:p w14:paraId="340E0441" w14:textId="7565F317" w:rsidR="00895001" w:rsidRPr="00F071DA" w:rsidRDefault="000E0429" w:rsidP="000E0429">
      <w:pPr>
        <w:pStyle w:val="RegSingleTxtG"/>
        <w:numPr>
          <w:ilvl w:val="0"/>
          <w:numId w:val="0"/>
        </w:numPr>
        <w:tabs>
          <w:tab w:val="left" w:pos="2269"/>
        </w:tabs>
        <w:ind w:left="1135" w:firstLine="567"/>
        <w:rPr>
          <w:rFonts w:eastAsia="Calibri"/>
          <w:sz w:val="24"/>
          <w:szCs w:val="24"/>
          <w:lang w:eastAsia="en-US"/>
        </w:rPr>
      </w:pPr>
      <w:r w:rsidRPr="00F071DA">
        <w:rPr>
          <w:rFonts w:eastAsia="Calibri"/>
          <w:sz w:val="24"/>
          <w:szCs w:val="24"/>
          <w:lang w:eastAsia="en-US"/>
        </w:rPr>
        <w:t>(h)</w:t>
      </w:r>
      <w:r w:rsidRPr="00F071DA">
        <w:rPr>
          <w:rFonts w:eastAsia="Calibri"/>
          <w:sz w:val="24"/>
          <w:szCs w:val="24"/>
          <w:lang w:eastAsia="en-US"/>
        </w:rPr>
        <w:tab/>
      </w:r>
      <w:r w:rsidR="00895001" w:rsidRPr="00275220">
        <w:rPr>
          <w:rFonts w:eastAsia="Calibri"/>
          <w:szCs w:val="24"/>
          <w:lang w:eastAsia="en-US"/>
        </w:rPr>
        <w:t>Monitoring, review and evaluation of the implementation of Article 6 of the Convention</w:t>
      </w:r>
      <w:r w:rsidR="00895001" w:rsidRPr="00625DB8">
        <w:rPr>
          <w:rFonts w:eastAsia="Calibri"/>
          <w:sz w:val="24"/>
          <w:szCs w:val="24"/>
          <w:lang w:eastAsia="en-US"/>
        </w:rPr>
        <w:t>.</w:t>
      </w:r>
      <w:r w:rsidR="00895001">
        <w:rPr>
          <w:rFonts w:eastAsia="Calibri"/>
          <w:sz w:val="24"/>
          <w:szCs w:val="24"/>
          <w:lang w:eastAsia="en-US"/>
        </w:rPr>
        <w:t xml:space="preserve"> </w:t>
      </w:r>
    </w:p>
    <w:p w14:paraId="33BACD34" w14:textId="706BDF64" w:rsidR="00895001" w:rsidRPr="00F071DA" w:rsidRDefault="000E0429" w:rsidP="000E0429">
      <w:pPr>
        <w:pStyle w:val="RegHChG"/>
        <w:numPr>
          <w:ilvl w:val="0"/>
          <w:numId w:val="0"/>
        </w:numPr>
        <w:tabs>
          <w:tab w:val="left" w:pos="1135"/>
        </w:tabs>
        <w:ind w:left="1135" w:hanging="454"/>
        <w:rPr>
          <w:lang w:eastAsia="en-US"/>
        </w:rPr>
      </w:pPr>
      <w:r w:rsidRPr="00F071DA">
        <w:rPr>
          <w:lang w:eastAsia="en-US"/>
        </w:rPr>
        <w:t>XI.</w:t>
      </w:r>
      <w:r w:rsidRPr="00F071DA">
        <w:rPr>
          <w:lang w:eastAsia="en-US"/>
        </w:rPr>
        <w:tab/>
      </w:r>
      <w:r w:rsidR="00275220" w:rsidRPr="00F071DA">
        <w:rPr>
          <w:lang w:eastAsia="en-US"/>
        </w:rPr>
        <w:t>Updating of the guidelines</w:t>
      </w:r>
    </w:p>
    <w:p w14:paraId="7B2CD5CE" w14:textId="533341B0" w:rsidR="00895001" w:rsidRPr="00F071DA" w:rsidRDefault="000E0429" w:rsidP="000E0429">
      <w:pPr>
        <w:pStyle w:val="RegSingleTxtG"/>
        <w:numPr>
          <w:ilvl w:val="0"/>
          <w:numId w:val="0"/>
        </w:numPr>
        <w:tabs>
          <w:tab w:val="left" w:pos="568"/>
        </w:tabs>
        <w:ind w:left="1135"/>
        <w:rPr>
          <w:lang w:eastAsia="en-US"/>
        </w:rPr>
      </w:pPr>
      <w:r w:rsidRPr="00F071DA">
        <w:rPr>
          <w:lang w:eastAsia="en-US"/>
        </w:rPr>
        <w:t>70.</w:t>
      </w:r>
      <w:r w:rsidRPr="00F071DA">
        <w:rPr>
          <w:lang w:eastAsia="en-US"/>
        </w:rPr>
        <w:tab/>
      </w:r>
      <w:r w:rsidR="00895001" w:rsidRPr="00F071DA">
        <w:rPr>
          <w:lang w:eastAsia="en-US"/>
        </w:rPr>
        <w:t xml:space="preserve">These guidelines shall be reviewed and revised, as appropriate, in accordance with </w:t>
      </w:r>
      <w:r w:rsidR="00895001">
        <w:rPr>
          <w:lang w:eastAsia="en-US"/>
        </w:rPr>
        <w:t xml:space="preserve">relevant COP </w:t>
      </w:r>
      <w:r w:rsidR="00895001" w:rsidRPr="00F071DA">
        <w:rPr>
          <w:lang w:eastAsia="en-US"/>
        </w:rPr>
        <w:t>decisions.</w:t>
      </w:r>
    </w:p>
    <w:p w14:paraId="38F63FC1" w14:textId="49D388C8" w:rsidR="00895001" w:rsidRPr="00EA0BDC" w:rsidRDefault="000E0429" w:rsidP="000E0429">
      <w:pPr>
        <w:pStyle w:val="RegHChG"/>
        <w:numPr>
          <w:ilvl w:val="0"/>
          <w:numId w:val="0"/>
        </w:numPr>
        <w:tabs>
          <w:tab w:val="left" w:pos="1135"/>
        </w:tabs>
        <w:ind w:left="1135" w:hanging="454"/>
        <w:rPr>
          <w:lang w:eastAsia="en-US"/>
        </w:rPr>
      </w:pPr>
      <w:r w:rsidRPr="00EA0BDC">
        <w:rPr>
          <w:lang w:eastAsia="en-US"/>
        </w:rPr>
        <w:t>XII.</w:t>
      </w:r>
      <w:r w:rsidRPr="00EA0BDC">
        <w:rPr>
          <w:lang w:eastAsia="en-US"/>
        </w:rPr>
        <w:tab/>
      </w:r>
      <w:r w:rsidR="00B21926" w:rsidRPr="00EA0BDC">
        <w:rPr>
          <w:lang w:eastAsia="en-US"/>
        </w:rPr>
        <w:t xml:space="preserve">Structure of the national communication </w:t>
      </w:r>
    </w:p>
    <w:p w14:paraId="32C15276" w14:textId="56926903" w:rsidR="00895001" w:rsidRPr="00FA36F2" w:rsidRDefault="000E0429" w:rsidP="000E0429">
      <w:pPr>
        <w:pStyle w:val="RegSingleTxtG"/>
        <w:numPr>
          <w:ilvl w:val="0"/>
          <w:numId w:val="0"/>
        </w:numPr>
        <w:tabs>
          <w:tab w:val="left" w:pos="568"/>
        </w:tabs>
        <w:ind w:left="1135"/>
        <w:rPr>
          <w:lang w:eastAsia="en-US"/>
        </w:rPr>
      </w:pPr>
      <w:r w:rsidRPr="00FA36F2">
        <w:rPr>
          <w:lang w:eastAsia="en-US"/>
        </w:rPr>
        <w:t>71.</w:t>
      </w:r>
      <w:r w:rsidRPr="00FA36F2">
        <w:rPr>
          <w:lang w:eastAsia="en-US"/>
        </w:rPr>
        <w:tab/>
      </w:r>
      <w:r w:rsidR="00895001" w:rsidRPr="0039231C">
        <w:rPr>
          <w:lang w:eastAsia="en-US"/>
        </w:rPr>
        <w:t>The information identified in these guidelines shall be communicated by each Party in a single document in one of the official languages of the United Nations. Parties shall provide an electronic version of their national communication to the secretariat through the appropriate UNFCCC submission system.</w:t>
      </w:r>
      <w:r w:rsidR="00895001" w:rsidRPr="0039231C" w:rsidDel="00024B2A">
        <w:rPr>
          <w:b/>
          <w:lang w:eastAsia="en-US"/>
        </w:rPr>
        <w:t xml:space="preserve"> </w:t>
      </w:r>
      <w:r w:rsidR="00895001" w:rsidRPr="0039231C">
        <w:rPr>
          <w:lang w:eastAsia="en-US"/>
        </w:rPr>
        <w:t>The length of the national communication may be decided by the submitting Party, but every effort shall be made to avoid overlengthy national communications, in order to facilitate the consideration process. [Parties are encouraged to submit, where appropriate, an English translation of the national communication to facilitate its use in the review process, recognizing that this may place an additional burden on the Party.]</w:t>
      </w:r>
    </w:p>
    <w:p w14:paraId="3D5B6B98" w14:textId="3AEAA395" w:rsidR="00895001" w:rsidRPr="00FA36F2" w:rsidRDefault="000E0429" w:rsidP="000E0429">
      <w:pPr>
        <w:pStyle w:val="RegSingleTxtG"/>
        <w:numPr>
          <w:ilvl w:val="0"/>
          <w:numId w:val="0"/>
        </w:numPr>
        <w:tabs>
          <w:tab w:val="left" w:pos="568"/>
        </w:tabs>
        <w:ind w:left="1135"/>
        <w:rPr>
          <w:lang w:eastAsia="en-US"/>
        </w:rPr>
      </w:pPr>
      <w:r w:rsidRPr="00FA36F2">
        <w:rPr>
          <w:lang w:eastAsia="en-US"/>
        </w:rPr>
        <w:t>72.</w:t>
      </w:r>
      <w:r w:rsidRPr="00FA36F2">
        <w:rPr>
          <w:lang w:eastAsia="en-US"/>
        </w:rPr>
        <w:tab/>
      </w:r>
      <w:r w:rsidR="00895001" w:rsidRPr="00FA36F2">
        <w:rPr>
          <w:szCs w:val="22"/>
          <w:lang w:eastAsia="en-US"/>
        </w:rPr>
        <w:t xml:space="preserve">Where supplementary documents are provided as annexes to the national communication, the annexes are considered as part of the national communication itself. A clear reference to the relevant information in the annexes should be provided in the </w:t>
      </w:r>
      <w:r w:rsidR="00895001">
        <w:rPr>
          <w:szCs w:val="22"/>
          <w:lang w:eastAsia="en-US"/>
        </w:rPr>
        <w:t>main text</w:t>
      </w:r>
      <w:r w:rsidR="00895001" w:rsidRPr="00FA36F2">
        <w:rPr>
          <w:szCs w:val="22"/>
          <w:lang w:eastAsia="en-US"/>
        </w:rPr>
        <w:t xml:space="preserve"> of the national communication</w:t>
      </w:r>
      <w:r w:rsidR="00895001" w:rsidRPr="00FA36F2">
        <w:rPr>
          <w:lang w:eastAsia="en-US"/>
        </w:rPr>
        <w:t xml:space="preserve">. </w:t>
      </w:r>
    </w:p>
    <w:p w14:paraId="3D5117CA" w14:textId="441D8100" w:rsidR="00895001" w:rsidRPr="00FA36F2" w:rsidRDefault="000E0429" w:rsidP="000E0429">
      <w:pPr>
        <w:pStyle w:val="RegSingleTxtG"/>
        <w:numPr>
          <w:ilvl w:val="0"/>
          <w:numId w:val="0"/>
        </w:numPr>
        <w:tabs>
          <w:tab w:val="left" w:pos="568"/>
        </w:tabs>
        <w:ind w:left="1135"/>
        <w:rPr>
          <w:lang w:eastAsia="en-US"/>
        </w:rPr>
      </w:pPr>
      <w:r w:rsidRPr="00FA36F2">
        <w:rPr>
          <w:lang w:eastAsia="en-US"/>
        </w:rPr>
        <w:t>73.</w:t>
      </w:r>
      <w:r w:rsidRPr="00FA36F2">
        <w:rPr>
          <w:lang w:eastAsia="en-US"/>
        </w:rPr>
        <w:tab/>
      </w:r>
      <w:r w:rsidR="00895001" w:rsidRPr="00FA36F2">
        <w:rPr>
          <w:lang w:eastAsia="en-US"/>
        </w:rPr>
        <w:t>Where statistical data are provided, they should be accompanied by a definition of terms, unless they are obvious</w:t>
      </w:r>
      <w:r w:rsidR="00895001" w:rsidRPr="00FA36F2">
        <w:rPr>
          <w:szCs w:val="22"/>
          <w:lang w:eastAsia="en-US"/>
        </w:rPr>
        <w:t>.</w:t>
      </w:r>
    </w:p>
    <w:p w14:paraId="0CA0A724" w14:textId="0F081515" w:rsidR="00895001" w:rsidRPr="00F071DA" w:rsidRDefault="000E0429" w:rsidP="000E0429">
      <w:pPr>
        <w:pStyle w:val="RegSingleTxtG"/>
        <w:numPr>
          <w:ilvl w:val="0"/>
          <w:numId w:val="0"/>
        </w:numPr>
        <w:tabs>
          <w:tab w:val="left" w:pos="568"/>
        </w:tabs>
        <w:ind w:left="1135"/>
        <w:rPr>
          <w:lang w:eastAsia="en-US"/>
        </w:rPr>
      </w:pPr>
      <w:r w:rsidRPr="00F071DA">
        <w:rPr>
          <w:lang w:eastAsia="en-US"/>
        </w:rPr>
        <w:t>74.</w:t>
      </w:r>
      <w:r w:rsidRPr="00F071DA">
        <w:rPr>
          <w:lang w:eastAsia="en-US"/>
        </w:rPr>
        <w:tab/>
      </w:r>
      <w:r w:rsidR="00895001" w:rsidRPr="00F96846">
        <w:rPr>
          <w:lang w:eastAsia="en-US"/>
        </w:rPr>
        <w:t xml:space="preserve">To facilitate the transparency, comparability and consistency of national communications, Parties shall organize the content of their national communication following the outline contained in the </w:t>
      </w:r>
      <w:r w:rsidR="00E653D7">
        <w:rPr>
          <w:lang w:eastAsia="en-US"/>
        </w:rPr>
        <w:t>appendix</w:t>
      </w:r>
      <w:r w:rsidR="00E653D7" w:rsidRPr="00F96846">
        <w:rPr>
          <w:lang w:eastAsia="en-US"/>
        </w:rPr>
        <w:t xml:space="preserve"> </w:t>
      </w:r>
      <w:r w:rsidR="00895001" w:rsidRPr="00F96846">
        <w:rPr>
          <w:lang w:eastAsia="en-US"/>
        </w:rPr>
        <w:t>and may rephrase the subsection headings as appropriate and explain the reasons for rephrasing. To ensure completeness, no mandatory element shall be excluded. If mandatory elements cannot be reported for any reason, the Party shall explain the reason for partial reporting in the section relating to those element</w:t>
      </w:r>
      <w:r w:rsidR="00895001">
        <w:rPr>
          <w:lang w:eastAsia="en-US"/>
        </w:rPr>
        <w:t>s</w:t>
      </w:r>
      <w:r w:rsidR="00895001" w:rsidRPr="00F96846">
        <w:rPr>
          <w:lang w:eastAsia="en-US"/>
        </w:rPr>
        <w:t>.</w:t>
      </w:r>
    </w:p>
    <w:p w14:paraId="0A38C282" w14:textId="77777777" w:rsidR="00895001" w:rsidRDefault="00895001" w:rsidP="00895001">
      <w:pPr>
        <w:suppressAutoHyphens w:val="0"/>
        <w:autoSpaceDE w:val="0"/>
        <w:autoSpaceDN w:val="0"/>
        <w:adjustRightInd w:val="0"/>
        <w:spacing w:line="240" w:lineRule="auto"/>
        <w:jc w:val="center"/>
        <w:rPr>
          <w:rFonts w:eastAsia="Calibri"/>
          <w:b/>
          <w:bCs/>
          <w:sz w:val="24"/>
          <w:szCs w:val="24"/>
          <w:lang w:eastAsia="en-US"/>
        </w:rPr>
        <w:sectPr w:rsidR="00895001" w:rsidSect="008F63F4">
          <w:headerReference w:type="even" r:id="rId58"/>
          <w:headerReference w:type="default" r:id="rId59"/>
          <w:footerReference w:type="even" r:id="rId60"/>
          <w:footerReference w:type="default" r:id="rId61"/>
          <w:pgSz w:w="11906" w:h="16838" w:code="9"/>
          <w:pgMar w:top="1701" w:right="1134" w:bottom="2268" w:left="1134" w:header="1134" w:footer="1701" w:gutter="0"/>
          <w:cols w:space="708"/>
          <w:docGrid w:linePitch="360"/>
        </w:sectPr>
      </w:pPr>
    </w:p>
    <w:p w14:paraId="3E8AB212" w14:textId="0CCF0474" w:rsidR="00895001" w:rsidRPr="00823844" w:rsidRDefault="00E653D7" w:rsidP="00895001">
      <w:pPr>
        <w:suppressAutoHyphens w:val="0"/>
        <w:autoSpaceDE w:val="0"/>
        <w:autoSpaceDN w:val="0"/>
        <w:adjustRightInd w:val="0"/>
        <w:spacing w:line="240" w:lineRule="auto"/>
        <w:rPr>
          <w:rFonts w:eastAsia="Calibri"/>
          <w:b/>
          <w:bCs/>
          <w:sz w:val="24"/>
          <w:szCs w:val="24"/>
          <w:lang w:eastAsia="en-US"/>
        </w:rPr>
      </w:pPr>
      <w:r>
        <w:rPr>
          <w:rFonts w:eastAsia="Calibri"/>
          <w:b/>
          <w:bCs/>
          <w:sz w:val="24"/>
          <w:szCs w:val="24"/>
          <w:lang w:eastAsia="en-US"/>
        </w:rPr>
        <w:t>Appendix</w:t>
      </w:r>
    </w:p>
    <w:p w14:paraId="09ED9A8A" w14:textId="6A414DBC" w:rsidR="00895001" w:rsidRPr="00823844" w:rsidRDefault="00A06F91" w:rsidP="000E0429">
      <w:pPr>
        <w:pStyle w:val="RegH1G"/>
        <w:numPr>
          <w:ilvl w:val="0"/>
          <w:numId w:val="0"/>
        </w:numPr>
        <w:ind w:left="1134" w:hanging="454"/>
        <w:rPr>
          <w:lang w:eastAsia="en-US"/>
        </w:rPr>
      </w:pPr>
      <w:r w:rsidRPr="00823844">
        <w:rPr>
          <w:lang w:eastAsia="en-US"/>
        </w:rPr>
        <w:t>Structure of the national communication</w:t>
      </w:r>
    </w:p>
    <w:p w14:paraId="098D001B" w14:textId="77777777" w:rsidR="005C4CCE" w:rsidRPr="00823844" w:rsidRDefault="005C4CCE" w:rsidP="00895001">
      <w:pPr>
        <w:tabs>
          <w:tab w:val="left" w:pos="567"/>
        </w:tabs>
        <w:suppressAutoHyphens w:val="0"/>
        <w:autoSpaceDE w:val="0"/>
        <w:autoSpaceDN w:val="0"/>
        <w:adjustRightInd w:val="0"/>
        <w:spacing w:line="240" w:lineRule="auto"/>
        <w:jc w:val="both"/>
        <w:rPr>
          <w:rFonts w:eastAsia="Calibri"/>
          <w:bCs/>
          <w:sz w:val="24"/>
          <w:szCs w:val="24"/>
          <w:lang w:eastAsia="en-US"/>
        </w:rPr>
      </w:pPr>
    </w:p>
    <w:p w14:paraId="07759772" w14:textId="551E8603" w:rsidR="0057309C" w:rsidRPr="000E0429" w:rsidRDefault="000E0429" w:rsidP="000E0429">
      <w:pPr>
        <w:tabs>
          <w:tab w:val="left" w:pos="851"/>
        </w:tabs>
        <w:suppressAutoHyphens w:val="0"/>
        <w:autoSpaceDE w:val="0"/>
        <w:autoSpaceDN w:val="0"/>
        <w:adjustRightInd w:val="0"/>
        <w:spacing w:line="240" w:lineRule="auto"/>
        <w:ind w:left="851" w:hanging="543"/>
        <w:jc w:val="both"/>
        <w:rPr>
          <w:rFonts w:eastAsia="Calibri"/>
          <w:bCs/>
          <w:sz w:val="24"/>
          <w:szCs w:val="24"/>
        </w:rPr>
      </w:pPr>
      <w:r w:rsidRPr="00823844">
        <w:rPr>
          <w:rFonts w:eastAsia="Calibri"/>
          <w:bCs/>
          <w:sz w:val="24"/>
          <w:szCs w:val="24"/>
        </w:rPr>
        <w:t>I.</w:t>
      </w:r>
      <w:r w:rsidRPr="00823844">
        <w:rPr>
          <w:rFonts w:eastAsia="Calibri"/>
          <w:bCs/>
          <w:sz w:val="24"/>
          <w:szCs w:val="24"/>
        </w:rPr>
        <w:tab/>
      </w:r>
      <w:r w:rsidR="0057309C" w:rsidRPr="000E0429">
        <w:rPr>
          <w:rFonts w:eastAsia="Calibri"/>
          <w:bCs/>
          <w:sz w:val="24"/>
          <w:szCs w:val="24"/>
        </w:rPr>
        <w:t>Executive summary</w:t>
      </w:r>
    </w:p>
    <w:p w14:paraId="453F9401"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331DCEEB"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1997DE12" w14:textId="00EFBE62" w:rsidR="0057309C" w:rsidRPr="000E0429" w:rsidRDefault="000E0429" w:rsidP="000E0429">
      <w:pPr>
        <w:tabs>
          <w:tab w:val="left" w:pos="851"/>
        </w:tabs>
        <w:suppressAutoHyphens w:val="0"/>
        <w:autoSpaceDE w:val="0"/>
        <w:autoSpaceDN w:val="0"/>
        <w:adjustRightInd w:val="0"/>
        <w:spacing w:line="240" w:lineRule="auto"/>
        <w:ind w:left="851" w:hanging="543"/>
        <w:rPr>
          <w:rFonts w:eastAsia="Calibri"/>
          <w:bCs/>
          <w:sz w:val="24"/>
          <w:szCs w:val="24"/>
        </w:rPr>
      </w:pPr>
      <w:r w:rsidRPr="00823844">
        <w:rPr>
          <w:rFonts w:eastAsia="Calibri"/>
          <w:bCs/>
          <w:sz w:val="24"/>
          <w:szCs w:val="24"/>
        </w:rPr>
        <w:t>II.</w:t>
      </w:r>
      <w:r w:rsidRPr="00823844">
        <w:rPr>
          <w:rFonts w:eastAsia="Calibri"/>
          <w:bCs/>
          <w:sz w:val="24"/>
          <w:szCs w:val="24"/>
        </w:rPr>
        <w:tab/>
      </w:r>
      <w:r w:rsidR="0057309C" w:rsidRPr="000E0429">
        <w:rPr>
          <w:rFonts w:eastAsia="Calibri"/>
          <w:bCs/>
          <w:sz w:val="24"/>
          <w:szCs w:val="24"/>
        </w:rPr>
        <w:t>National circumstances relevant to greenhouse gas</w:t>
      </w:r>
    </w:p>
    <w:p w14:paraId="722F2410"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caps/>
          <w:sz w:val="24"/>
          <w:szCs w:val="24"/>
          <w:lang w:eastAsia="en-US"/>
        </w:rPr>
      </w:pPr>
      <w:r w:rsidRPr="00823844">
        <w:rPr>
          <w:rFonts w:eastAsia="Calibri"/>
          <w:bCs/>
          <w:sz w:val="24"/>
          <w:szCs w:val="24"/>
          <w:lang w:eastAsia="en-US"/>
        </w:rPr>
        <w:tab/>
        <w:t>emissions and removals</w:t>
      </w:r>
    </w:p>
    <w:p w14:paraId="15877D9D"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r>
    </w:p>
    <w:p w14:paraId="09EAB6FF"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0C7B08A4" w14:textId="7F23D99C" w:rsidR="0057309C" w:rsidRPr="000E0429" w:rsidRDefault="000E0429" w:rsidP="000E0429">
      <w:pPr>
        <w:tabs>
          <w:tab w:val="left" w:pos="851"/>
        </w:tabs>
        <w:suppressAutoHyphens w:val="0"/>
        <w:autoSpaceDE w:val="0"/>
        <w:autoSpaceDN w:val="0"/>
        <w:adjustRightInd w:val="0"/>
        <w:spacing w:line="240" w:lineRule="auto"/>
        <w:ind w:left="851" w:hanging="543"/>
        <w:rPr>
          <w:rFonts w:eastAsia="Calibri"/>
          <w:bCs/>
          <w:sz w:val="24"/>
          <w:szCs w:val="24"/>
        </w:rPr>
      </w:pPr>
      <w:r w:rsidRPr="00823844">
        <w:rPr>
          <w:rFonts w:eastAsia="Calibri"/>
          <w:bCs/>
          <w:sz w:val="24"/>
          <w:szCs w:val="24"/>
        </w:rPr>
        <w:t>III.</w:t>
      </w:r>
      <w:r w:rsidRPr="00823844">
        <w:rPr>
          <w:rFonts w:eastAsia="Calibri"/>
          <w:bCs/>
          <w:sz w:val="24"/>
          <w:szCs w:val="24"/>
        </w:rPr>
        <w:tab/>
      </w:r>
      <w:r w:rsidR="0057309C" w:rsidRPr="000E0429">
        <w:rPr>
          <w:rFonts w:eastAsia="Calibri"/>
          <w:bCs/>
          <w:sz w:val="24"/>
          <w:szCs w:val="24"/>
        </w:rPr>
        <w:t>Greenhouse gas inventory information</w:t>
      </w:r>
      <w:r w:rsidR="0057309C" w:rsidRPr="000E0429">
        <w:rPr>
          <w:rFonts w:eastAsia="Calibri"/>
          <w:bCs/>
          <w:sz w:val="24"/>
          <w:szCs w:val="24"/>
        </w:rPr>
        <w:tab/>
      </w:r>
    </w:p>
    <w:p w14:paraId="6707314D" w14:textId="77777777" w:rsidR="0057309C" w:rsidRPr="00823844" w:rsidRDefault="0057309C" w:rsidP="0057309C">
      <w:pPr>
        <w:tabs>
          <w:tab w:val="left" w:pos="851"/>
          <w:tab w:val="left" w:pos="1106"/>
        </w:tabs>
        <w:suppressAutoHyphens w:val="0"/>
        <w:autoSpaceDE w:val="0"/>
        <w:autoSpaceDN w:val="0"/>
        <w:adjustRightInd w:val="0"/>
        <w:spacing w:line="240" w:lineRule="auto"/>
        <w:ind w:left="851" w:hanging="543"/>
        <w:rPr>
          <w:rFonts w:eastAsia="Calibri"/>
          <w:bCs/>
          <w:sz w:val="24"/>
          <w:szCs w:val="24"/>
          <w:lang w:eastAsia="en-US"/>
        </w:rPr>
      </w:pPr>
    </w:p>
    <w:p w14:paraId="19FB39E1" w14:textId="77777777" w:rsidR="0057309C" w:rsidRPr="00823844" w:rsidRDefault="0057309C" w:rsidP="0057309C">
      <w:pPr>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 xml:space="preserve">A. Summary tables </w:t>
      </w:r>
    </w:p>
    <w:p w14:paraId="55E83D96" w14:textId="77777777" w:rsidR="0057309C" w:rsidRPr="00823844" w:rsidRDefault="0057309C" w:rsidP="0057309C">
      <w:pPr>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 xml:space="preserve">B. </w:t>
      </w:r>
      <w:r w:rsidRPr="00823844">
        <w:rPr>
          <w:rFonts w:eastAsia="Calibri"/>
          <w:bCs/>
          <w:sz w:val="24"/>
          <w:szCs w:val="24"/>
          <w:lang w:eastAsia="en-US"/>
        </w:rPr>
        <w:tab/>
        <w:t>Descriptive summary</w:t>
      </w:r>
    </w:p>
    <w:p w14:paraId="498F7CF5" w14:textId="77777777" w:rsidR="0057309C" w:rsidRPr="00823844" w:rsidRDefault="0057309C" w:rsidP="0057309C">
      <w:pPr>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 xml:space="preserve">C. </w:t>
      </w:r>
      <w:r w:rsidRPr="00823844">
        <w:rPr>
          <w:rFonts w:eastAsia="Calibri"/>
          <w:bCs/>
          <w:sz w:val="24"/>
          <w:szCs w:val="24"/>
          <w:lang w:eastAsia="en-US"/>
        </w:rPr>
        <w:tab/>
        <w:t>National inventory arrangements</w:t>
      </w:r>
    </w:p>
    <w:p w14:paraId="20B99833"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0B10A42A"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18768540" w14:textId="1A413A28" w:rsidR="0057309C" w:rsidRPr="000E0429" w:rsidRDefault="000E0429" w:rsidP="000E0429">
      <w:pPr>
        <w:tabs>
          <w:tab w:val="left" w:pos="851"/>
        </w:tabs>
        <w:suppressAutoHyphens w:val="0"/>
        <w:autoSpaceDE w:val="0"/>
        <w:autoSpaceDN w:val="0"/>
        <w:adjustRightInd w:val="0"/>
        <w:spacing w:line="240" w:lineRule="auto"/>
        <w:ind w:left="851" w:hanging="543"/>
        <w:rPr>
          <w:rFonts w:eastAsia="Calibri"/>
          <w:bCs/>
          <w:sz w:val="24"/>
          <w:szCs w:val="24"/>
        </w:rPr>
      </w:pPr>
      <w:r w:rsidRPr="00823844">
        <w:rPr>
          <w:rFonts w:eastAsia="Calibri"/>
          <w:bCs/>
          <w:sz w:val="24"/>
          <w:szCs w:val="24"/>
        </w:rPr>
        <w:t>IV.</w:t>
      </w:r>
      <w:r w:rsidRPr="00823844">
        <w:rPr>
          <w:rFonts w:eastAsia="Calibri"/>
          <w:bCs/>
          <w:sz w:val="24"/>
          <w:szCs w:val="24"/>
        </w:rPr>
        <w:tab/>
      </w:r>
      <w:r w:rsidR="0057309C" w:rsidRPr="000E0429">
        <w:rPr>
          <w:rFonts w:eastAsia="Calibri"/>
          <w:bCs/>
          <w:sz w:val="24"/>
          <w:szCs w:val="24"/>
        </w:rPr>
        <w:t>Policies and measures</w:t>
      </w:r>
    </w:p>
    <w:p w14:paraId="15E29F40" w14:textId="77777777" w:rsidR="0057309C" w:rsidRPr="00823844" w:rsidRDefault="0057309C" w:rsidP="0057309C">
      <w:pPr>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p>
    <w:p w14:paraId="32041A2A" w14:textId="77777777" w:rsidR="0057309C" w:rsidRPr="00823844" w:rsidRDefault="0057309C" w:rsidP="0057309C">
      <w:pPr>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A. Policymaking process</w:t>
      </w:r>
    </w:p>
    <w:p w14:paraId="626C94C6" w14:textId="77777777" w:rsidR="0057309C" w:rsidRPr="00823844" w:rsidRDefault="0057309C" w:rsidP="0057309C">
      <w:pPr>
        <w:keepNext/>
        <w:keepLines/>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 xml:space="preserve">B. </w:t>
      </w:r>
      <w:r w:rsidRPr="00823844">
        <w:rPr>
          <w:rFonts w:eastAsia="Calibri"/>
          <w:bCs/>
          <w:sz w:val="24"/>
          <w:szCs w:val="24"/>
          <w:lang w:eastAsia="en-US"/>
        </w:rPr>
        <w:tab/>
        <w:t>Policies and measures and their effects</w:t>
      </w:r>
    </w:p>
    <w:p w14:paraId="7A944FC2" w14:textId="77777777" w:rsidR="0057309C" w:rsidRPr="00823844" w:rsidRDefault="0057309C" w:rsidP="0057309C">
      <w:pPr>
        <w:tabs>
          <w:tab w:val="left" w:pos="851"/>
          <w:tab w:val="left" w:pos="1134"/>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 xml:space="preserve">C. </w:t>
      </w:r>
      <w:r w:rsidRPr="00823844">
        <w:rPr>
          <w:rFonts w:eastAsia="Calibri"/>
          <w:bCs/>
          <w:sz w:val="24"/>
          <w:szCs w:val="24"/>
          <w:lang w:eastAsia="en-US"/>
        </w:rPr>
        <w:tab/>
        <w:t>Policies and measures no longer in place</w:t>
      </w:r>
    </w:p>
    <w:p w14:paraId="26C4D1E5"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67B500CD"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25ECA4AC"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r>
        <w:rPr>
          <w:rFonts w:eastAsia="Calibri"/>
          <w:bCs/>
          <w:sz w:val="24"/>
          <w:szCs w:val="24"/>
          <w:lang w:eastAsia="en-US"/>
        </w:rPr>
        <w:t xml:space="preserve">V. </w:t>
      </w:r>
      <w:r>
        <w:rPr>
          <w:rFonts w:eastAsia="Calibri"/>
          <w:bCs/>
          <w:sz w:val="24"/>
          <w:szCs w:val="24"/>
          <w:lang w:eastAsia="en-US"/>
        </w:rPr>
        <w:tab/>
        <w:t>Projections and</w:t>
      </w:r>
      <w:r w:rsidRPr="00823844">
        <w:rPr>
          <w:rFonts w:eastAsia="Calibri"/>
          <w:bCs/>
          <w:sz w:val="24"/>
          <w:szCs w:val="24"/>
          <w:lang w:eastAsia="en-US"/>
        </w:rPr>
        <w:t xml:space="preserve"> total effect of policies and measures</w:t>
      </w:r>
    </w:p>
    <w:p w14:paraId="0276190E"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07ABD4E7" w14:textId="5D449F4C" w:rsidR="0057309C" w:rsidRPr="00823844" w:rsidRDefault="000E0429" w:rsidP="000E0429">
      <w:pPr>
        <w:tabs>
          <w:tab w:val="left" w:pos="1134"/>
        </w:tabs>
        <w:suppressAutoHyphens w:val="0"/>
        <w:autoSpaceDE w:val="0"/>
        <w:autoSpaceDN w:val="0"/>
        <w:adjustRightInd w:val="0"/>
        <w:spacing w:line="240" w:lineRule="auto"/>
        <w:ind w:left="1134" w:hanging="283"/>
        <w:contextualSpacing/>
        <w:rPr>
          <w:rFonts w:eastAsia="Calibri"/>
          <w:bCs/>
          <w:sz w:val="24"/>
          <w:szCs w:val="24"/>
          <w:lang w:eastAsia="en-US"/>
        </w:rPr>
      </w:pPr>
      <w:r w:rsidRPr="00823844">
        <w:rPr>
          <w:rFonts w:eastAsia="Calibri"/>
          <w:bCs/>
          <w:sz w:val="24"/>
          <w:szCs w:val="24"/>
          <w:lang w:eastAsia="en-US"/>
        </w:rPr>
        <w:t>A.</w:t>
      </w:r>
      <w:r w:rsidRPr="00823844">
        <w:rPr>
          <w:rFonts w:eastAsia="Calibri"/>
          <w:bCs/>
          <w:sz w:val="24"/>
          <w:szCs w:val="24"/>
          <w:lang w:eastAsia="en-US"/>
        </w:rPr>
        <w:tab/>
      </w:r>
      <w:r w:rsidR="0057309C" w:rsidRPr="00823844">
        <w:rPr>
          <w:rFonts w:eastAsia="Calibri"/>
          <w:bCs/>
          <w:sz w:val="24"/>
          <w:szCs w:val="24"/>
          <w:lang w:eastAsia="en-US"/>
        </w:rPr>
        <w:t>Projections</w:t>
      </w:r>
    </w:p>
    <w:p w14:paraId="661358D7" w14:textId="1885BA31" w:rsidR="0057309C" w:rsidRPr="00823844" w:rsidRDefault="000E0429" w:rsidP="000E0429">
      <w:pPr>
        <w:keepNext/>
        <w:keepLines/>
        <w:tabs>
          <w:tab w:val="left" w:pos="1134"/>
        </w:tabs>
        <w:suppressAutoHyphens w:val="0"/>
        <w:autoSpaceDE w:val="0"/>
        <w:autoSpaceDN w:val="0"/>
        <w:adjustRightInd w:val="0"/>
        <w:spacing w:line="240" w:lineRule="auto"/>
        <w:ind w:left="1134" w:hanging="283"/>
        <w:contextualSpacing/>
        <w:rPr>
          <w:rFonts w:eastAsia="Calibri"/>
          <w:bCs/>
          <w:sz w:val="24"/>
          <w:szCs w:val="24"/>
          <w:lang w:eastAsia="en-US"/>
        </w:rPr>
      </w:pPr>
      <w:r w:rsidRPr="00823844">
        <w:rPr>
          <w:rFonts w:eastAsia="Calibri"/>
          <w:bCs/>
          <w:sz w:val="24"/>
          <w:szCs w:val="24"/>
          <w:lang w:eastAsia="en-US"/>
        </w:rPr>
        <w:t>B.</w:t>
      </w:r>
      <w:r w:rsidRPr="00823844">
        <w:rPr>
          <w:rFonts w:eastAsia="Calibri"/>
          <w:bCs/>
          <w:sz w:val="24"/>
          <w:szCs w:val="24"/>
          <w:lang w:eastAsia="en-US"/>
        </w:rPr>
        <w:tab/>
      </w:r>
      <w:r w:rsidR="0057309C" w:rsidRPr="00823844">
        <w:rPr>
          <w:rFonts w:eastAsia="Calibri"/>
          <w:bCs/>
          <w:sz w:val="24"/>
          <w:szCs w:val="24"/>
          <w:lang w:eastAsia="en-US"/>
        </w:rPr>
        <w:t>Assessment of aggregate effect of policies and measures</w:t>
      </w:r>
    </w:p>
    <w:p w14:paraId="0F442669" w14:textId="25DC8923" w:rsidR="0057309C" w:rsidRPr="00823844" w:rsidRDefault="000E0429" w:rsidP="000E0429">
      <w:pPr>
        <w:tabs>
          <w:tab w:val="left" w:pos="1134"/>
        </w:tabs>
        <w:suppressAutoHyphens w:val="0"/>
        <w:autoSpaceDE w:val="0"/>
        <w:autoSpaceDN w:val="0"/>
        <w:adjustRightInd w:val="0"/>
        <w:spacing w:line="240" w:lineRule="auto"/>
        <w:ind w:left="1134" w:hanging="283"/>
        <w:contextualSpacing/>
        <w:rPr>
          <w:rFonts w:eastAsia="Calibri"/>
          <w:bCs/>
          <w:sz w:val="24"/>
          <w:szCs w:val="24"/>
          <w:lang w:eastAsia="en-US"/>
        </w:rPr>
      </w:pPr>
      <w:r w:rsidRPr="00823844">
        <w:rPr>
          <w:rFonts w:eastAsia="Calibri"/>
          <w:bCs/>
          <w:sz w:val="24"/>
          <w:szCs w:val="24"/>
          <w:lang w:eastAsia="en-US"/>
        </w:rPr>
        <w:t>C.</w:t>
      </w:r>
      <w:r w:rsidRPr="00823844">
        <w:rPr>
          <w:rFonts w:eastAsia="Calibri"/>
          <w:bCs/>
          <w:sz w:val="24"/>
          <w:szCs w:val="24"/>
          <w:lang w:eastAsia="en-US"/>
        </w:rPr>
        <w:tab/>
      </w:r>
      <w:r w:rsidR="0057309C" w:rsidRPr="00823844">
        <w:rPr>
          <w:rFonts w:eastAsia="Calibri"/>
          <w:bCs/>
          <w:sz w:val="24"/>
          <w:szCs w:val="24"/>
          <w:lang w:eastAsia="en-US"/>
        </w:rPr>
        <w:t>Methodology</w:t>
      </w:r>
    </w:p>
    <w:p w14:paraId="44824D6E" w14:textId="77777777" w:rsidR="0057309C" w:rsidRPr="00823844" w:rsidRDefault="0057309C" w:rsidP="0057309C">
      <w:pPr>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 xml:space="preserve">   </w:t>
      </w:r>
    </w:p>
    <w:p w14:paraId="55E15325"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Times New Roman"/>
          <w:bCs/>
          <w:sz w:val="24"/>
          <w:szCs w:val="24"/>
          <w:lang w:eastAsia="en-GB"/>
        </w:rPr>
      </w:pPr>
    </w:p>
    <w:p w14:paraId="403F98A5"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 xml:space="preserve">VI. </w:t>
      </w:r>
      <w:r w:rsidRPr="00823844">
        <w:rPr>
          <w:rFonts w:eastAsia="Calibri"/>
          <w:bCs/>
          <w:sz w:val="24"/>
          <w:szCs w:val="24"/>
          <w:lang w:eastAsia="en-US"/>
        </w:rPr>
        <w:tab/>
        <w:t>Vulnerability assessment, climate change impacts and</w:t>
      </w:r>
    </w:p>
    <w:p w14:paraId="62CFC27D"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ab/>
        <w:t>adaptation measures</w:t>
      </w:r>
    </w:p>
    <w:p w14:paraId="5765195D" w14:textId="77777777" w:rsidR="0057309C" w:rsidRPr="00823844" w:rsidRDefault="0057309C" w:rsidP="0057309C">
      <w:pPr>
        <w:tabs>
          <w:tab w:val="left" w:pos="851"/>
        </w:tabs>
        <w:suppressAutoHyphens w:val="0"/>
        <w:autoSpaceDE w:val="0"/>
        <w:autoSpaceDN w:val="0"/>
        <w:adjustRightInd w:val="0"/>
        <w:spacing w:line="240" w:lineRule="auto"/>
        <w:ind w:left="851" w:hanging="543"/>
        <w:jc w:val="center"/>
        <w:rPr>
          <w:rFonts w:eastAsia="Calibri"/>
          <w:bCs/>
          <w:sz w:val="24"/>
          <w:szCs w:val="24"/>
          <w:lang w:eastAsia="en-US"/>
        </w:rPr>
      </w:pPr>
    </w:p>
    <w:p w14:paraId="5C8AEA76" w14:textId="77777777" w:rsidR="0057309C" w:rsidRPr="00823844" w:rsidRDefault="0057309C" w:rsidP="0057309C">
      <w:pPr>
        <w:tabs>
          <w:tab w:val="left" w:pos="851"/>
        </w:tabs>
        <w:suppressAutoHyphens w:val="0"/>
        <w:autoSpaceDE w:val="0"/>
        <w:autoSpaceDN w:val="0"/>
        <w:adjustRightInd w:val="0"/>
        <w:spacing w:line="240" w:lineRule="auto"/>
        <w:ind w:left="851" w:hanging="543"/>
        <w:jc w:val="center"/>
        <w:rPr>
          <w:rFonts w:eastAsia="Calibri"/>
          <w:bCs/>
          <w:sz w:val="24"/>
          <w:szCs w:val="24"/>
          <w:lang w:eastAsia="en-US"/>
        </w:rPr>
      </w:pPr>
    </w:p>
    <w:p w14:paraId="58519D5D"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caps/>
          <w:sz w:val="24"/>
          <w:szCs w:val="24"/>
          <w:lang w:eastAsia="en-US"/>
        </w:rPr>
      </w:pPr>
      <w:r w:rsidRPr="00823844">
        <w:rPr>
          <w:rFonts w:eastAsia="Calibri"/>
          <w:bCs/>
          <w:caps/>
          <w:sz w:val="24"/>
          <w:szCs w:val="24"/>
          <w:lang w:eastAsia="en-US"/>
        </w:rPr>
        <w:t xml:space="preserve">VII. </w:t>
      </w:r>
      <w:r w:rsidRPr="00823844">
        <w:rPr>
          <w:rFonts w:eastAsia="Calibri"/>
          <w:bCs/>
          <w:caps/>
          <w:sz w:val="24"/>
          <w:szCs w:val="24"/>
          <w:lang w:eastAsia="en-US"/>
        </w:rPr>
        <w:tab/>
      </w:r>
      <w:r w:rsidRPr="00823844">
        <w:rPr>
          <w:rFonts w:eastAsia="Calibri"/>
          <w:bCs/>
          <w:sz w:val="24"/>
          <w:szCs w:val="24"/>
          <w:lang w:eastAsia="en-US"/>
        </w:rPr>
        <w:t xml:space="preserve">Financial, technological and capacity-building support </w:t>
      </w:r>
    </w:p>
    <w:p w14:paraId="4E0ED339"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trike/>
          <w:sz w:val="24"/>
          <w:szCs w:val="24"/>
          <w:lang w:eastAsia="en-US"/>
        </w:rPr>
      </w:pPr>
    </w:p>
    <w:p w14:paraId="29CA14C4" w14:textId="77777777" w:rsidR="0057309C" w:rsidRPr="00823844" w:rsidRDefault="0057309C" w:rsidP="0057309C">
      <w:pPr>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 xml:space="preserve">A. Finance </w:t>
      </w:r>
    </w:p>
    <w:p w14:paraId="488B5BA0" w14:textId="77777777" w:rsidR="0057309C" w:rsidRPr="00823844" w:rsidRDefault="0057309C" w:rsidP="0057309C">
      <w:pPr>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B.</w:t>
      </w:r>
      <w:r w:rsidRPr="00823844">
        <w:rPr>
          <w:rFonts w:eastAsia="Calibri"/>
          <w:bCs/>
          <w:sz w:val="24"/>
          <w:szCs w:val="24"/>
          <w:lang w:eastAsia="en-US"/>
        </w:rPr>
        <w:tab/>
        <w:t>Technology development and transfer</w:t>
      </w:r>
    </w:p>
    <w:p w14:paraId="2546DA59" w14:textId="77777777" w:rsidR="0057309C" w:rsidRPr="00823844" w:rsidRDefault="0057309C" w:rsidP="0057309C">
      <w:pPr>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 xml:space="preserve">C. </w:t>
      </w:r>
      <w:r w:rsidRPr="00823844">
        <w:rPr>
          <w:rFonts w:eastAsia="Calibri"/>
          <w:bCs/>
          <w:sz w:val="24"/>
          <w:szCs w:val="24"/>
          <w:lang w:eastAsia="en-US"/>
        </w:rPr>
        <w:tab/>
        <w:t>Capacity-building</w:t>
      </w:r>
    </w:p>
    <w:p w14:paraId="2A335E47"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0FB48A62" w14:textId="77777777" w:rsidR="0057309C" w:rsidRPr="00823844" w:rsidRDefault="0057309C" w:rsidP="0057309C">
      <w:pPr>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1C2D9B1C" w14:textId="77777777" w:rsidR="0057309C" w:rsidRPr="00823844" w:rsidRDefault="0057309C" w:rsidP="0057309C">
      <w:pPr>
        <w:keepNext/>
        <w:tabs>
          <w:tab w:val="left" w:pos="851"/>
        </w:tabs>
        <w:suppressAutoHyphens w:val="0"/>
        <w:autoSpaceDE w:val="0"/>
        <w:autoSpaceDN w:val="0"/>
        <w:adjustRightInd w:val="0"/>
        <w:spacing w:line="240" w:lineRule="auto"/>
        <w:ind w:left="851" w:hanging="543"/>
        <w:rPr>
          <w:rFonts w:eastAsia="Calibri"/>
          <w:bCs/>
          <w:sz w:val="24"/>
          <w:szCs w:val="24"/>
          <w:lang w:eastAsia="en-US"/>
        </w:rPr>
      </w:pPr>
      <w:r w:rsidRPr="00823844">
        <w:rPr>
          <w:rFonts w:eastAsia="Calibri"/>
          <w:bCs/>
          <w:sz w:val="24"/>
          <w:szCs w:val="24"/>
          <w:lang w:eastAsia="en-US"/>
        </w:rPr>
        <w:t xml:space="preserve">VIII. </w:t>
      </w:r>
      <w:r>
        <w:rPr>
          <w:rFonts w:eastAsia="Calibri"/>
          <w:bCs/>
          <w:sz w:val="24"/>
          <w:szCs w:val="24"/>
          <w:lang w:eastAsia="en-US"/>
        </w:rPr>
        <w:tab/>
        <w:t>R</w:t>
      </w:r>
      <w:r w:rsidRPr="00823844">
        <w:rPr>
          <w:rFonts w:eastAsia="Calibri"/>
          <w:bCs/>
          <w:sz w:val="24"/>
          <w:szCs w:val="24"/>
          <w:lang w:eastAsia="en-US"/>
        </w:rPr>
        <w:t>esearch and systematic observation</w:t>
      </w:r>
    </w:p>
    <w:p w14:paraId="1CA43BEB" w14:textId="77777777" w:rsidR="0057309C" w:rsidRPr="00823844" w:rsidRDefault="0057309C" w:rsidP="0057309C">
      <w:pPr>
        <w:keepNext/>
        <w:tabs>
          <w:tab w:val="left" w:pos="851"/>
        </w:tabs>
        <w:suppressAutoHyphens w:val="0"/>
        <w:autoSpaceDE w:val="0"/>
        <w:autoSpaceDN w:val="0"/>
        <w:adjustRightInd w:val="0"/>
        <w:spacing w:line="240" w:lineRule="auto"/>
        <w:ind w:left="851" w:hanging="543"/>
        <w:rPr>
          <w:rFonts w:eastAsia="Calibri"/>
          <w:bCs/>
          <w:sz w:val="24"/>
          <w:szCs w:val="24"/>
          <w:lang w:eastAsia="en-US"/>
        </w:rPr>
      </w:pPr>
    </w:p>
    <w:p w14:paraId="639B696E" w14:textId="77777777" w:rsidR="0057309C" w:rsidRPr="00823844" w:rsidRDefault="0057309C" w:rsidP="0057309C">
      <w:pPr>
        <w:keepNext/>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A. General policy on and funding of research and systematic observation</w:t>
      </w:r>
    </w:p>
    <w:p w14:paraId="5C28909A" w14:textId="77777777" w:rsidR="0057309C" w:rsidRPr="00823844" w:rsidRDefault="0057309C" w:rsidP="0057309C">
      <w:pPr>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 xml:space="preserve">B. </w:t>
      </w:r>
      <w:r w:rsidRPr="00823844">
        <w:rPr>
          <w:rFonts w:eastAsia="Calibri"/>
          <w:bCs/>
          <w:sz w:val="24"/>
          <w:szCs w:val="24"/>
          <w:lang w:eastAsia="en-US"/>
        </w:rPr>
        <w:tab/>
        <w:t>Research</w:t>
      </w:r>
    </w:p>
    <w:p w14:paraId="1B405683" w14:textId="77777777" w:rsidR="0057309C" w:rsidRPr="00823844" w:rsidRDefault="0057309C" w:rsidP="0057309C">
      <w:pPr>
        <w:tabs>
          <w:tab w:val="left" w:pos="1134"/>
        </w:tabs>
        <w:suppressAutoHyphens w:val="0"/>
        <w:autoSpaceDE w:val="0"/>
        <w:autoSpaceDN w:val="0"/>
        <w:adjustRightInd w:val="0"/>
        <w:spacing w:line="240" w:lineRule="auto"/>
        <w:ind w:left="1134" w:hanging="283"/>
        <w:rPr>
          <w:rFonts w:eastAsia="Calibri"/>
          <w:bCs/>
          <w:sz w:val="24"/>
          <w:szCs w:val="24"/>
          <w:lang w:eastAsia="en-US"/>
        </w:rPr>
      </w:pPr>
      <w:r w:rsidRPr="00823844">
        <w:rPr>
          <w:rFonts w:eastAsia="Calibri"/>
          <w:bCs/>
          <w:sz w:val="24"/>
          <w:szCs w:val="24"/>
          <w:lang w:eastAsia="en-US"/>
        </w:rPr>
        <w:t xml:space="preserve">C. </w:t>
      </w:r>
      <w:r w:rsidRPr="00823844">
        <w:rPr>
          <w:rFonts w:eastAsia="Calibri"/>
          <w:bCs/>
          <w:sz w:val="24"/>
          <w:szCs w:val="24"/>
          <w:lang w:eastAsia="en-US"/>
        </w:rPr>
        <w:tab/>
        <w:t>Systematic observation</w:t>
      </w:r>
    </w:p>
    <w:p w14:paraId="0E43AF04" w14:textId="77777777" w:rsidR="0057309C" w:rsidRPr="00823844" w:rsidRDefault="0057309C" w:rsidP="0057309C">
      <w:pPr>
        <w:tabs>
          <w:tab w:val="left" w:pos="851"/>
        </w:tabs>
        <w:suppressAutoHyphens w:val="0"/>
        <w:spacing w:after="200" w:line="276" w:lineRule="auto"/>
        <w:ind w:left="851" w:hanging="543"/>
        <w:rPr>
          <w:rFonts w:eastAsia="Calibri"/>
          <w:bCs/>
          <w:sz w:val="24"/>
          <w:szCs w:val="24"/>
          <w:lang w:eastAsia="en-US"/>
        </w:rPr>
      </w:pPr>
    </w:p>
    <w:p w14:paraId="559DF49C" w14:textId="77777777" w:rsidR="0057309C" w:rsidRPr="00823844" w:rsidRDefault="0057309C" w:rsidP="0057309C">
      <w:pPr>
        <w:tabs>
          <w:tab w:val="left" w:pos="851"/>
        </w:tabs>
        <w:suppressAutoHyphens w:val="0"/>
        <w:spacing w:after="200" w:line="276" w:lineRule="auto"/>
        <w:ind w:left="851" w:hanging="543"/>
        <w:rPr>
          <w:rFonts w:eastAsia="Calibri"/>
          <w:bCs/>
          <w:sz w:val="24"/>
          <w:szCs w:val="24"/>
          <w:lang w:eastAsia="en-US"/>
        </w:rPr>
      </w:pPr>
      <w:r w:rsidRPr="00823844">
        <w:rPr>
          <w:rFonts w:eastAsia="Calibri"/>
          <w:bCs/>
          <w:sz w:val="24"/>
          <w:szCs w:val="24"/>
          <w:lang w:eastAsia="en-US"/>
        </w:rPr>
        <w:t xml:space="preserve">IX. </w:t>
      </w:r>
      <w:r w:rsidRPr="00823844">
        <w:rPr>
          <w:rFonts w:eastAsia="Calibri"/>
          <w:bCs/>
          <w:sz w:val="24"/>
          <w:szCs w:val="24"/>
          <w:lang w:eastAsia="en-US"/>
        </w:rPr>
        <w:tab/>
        <w:t>Education, training and public awareness</w:t>
      </w:r>
    </w:p>
    <w:p w14:paraId="27BDDB71" w14:textId="77777777" w:rsidR="0057309C" w:rsidRPr="00823844" w:rsidRDefault="0057309C" w:rsidP="0057309C">
      <w:pPr>
        <w:tabs>
          <w:tab w:val="left" w:pos="851"/>
        </w:tabs>
        <w:suppressAutoHyphens w:val="0"/>
        <w:spacing w:after="200" w:line="276" w:lineRule="auto"/>
        <w:ind w:left="851" w:hanging="543"/>
        <w:rPr>
          <w:sz w:val="24"/>
          <w:szCs w:val="24"/>
        </w:rPr>
      </w:pPr>
    </w:p>
    <w:p w14:paraId="39983E91" w14:textId="77777777" w:rsidR="0057309C" w:rsidRPr="002C670E" w:rsidRDefault="0057309C" w:rsidP="0057309C">
      <w:pPr>
        <w:pStyle w:val="RegSingleTxtG"/>
        <w:numPr>
          <w:ilvl w:val="0"/>
          <w:numId w:val="0"/>
        </w:numPr>
        <w:tabs>
          <w:tab w:val="left" w:pos="284"/>
        </w:tabs>
        <w:spacing w:before="120" w:after="0"/>
        <w:rPr>
          <w:caps/>
          <w:sz w:val="24"/>
          <w:szCs w:val="24"/>
          <w:u w:val="single"/>
        </w:rPr>
      </w:pPr>
      <w:r>
        <w:rPr>
          <w:caps/>
          <w:sz w:val="24"/>
          <w:szCs w:val="24"/>
        </w:rPr>
        <w:tab/>
      </w:r>
      <w:r w:rsidRPr="00823844">
        <w:rPr>
          <w:caps/>
          <w:sz w:val="24"/>
          <w:szCs w:val="24"/>
        </w:rPr>
        <w:t>A</w:t>
      </w:r>
      <w:r w:rsidRPr="00823844">
        <w:rPr>
          <w:sz w:val="24"/>
          <w:szCs w:val="24"/>
        </w:rPr>
        <w:t>nnex</w:t>
      </w:r>
      <w:r w:rsidRPr="00823844">
        <w:rPr>
          <w:caps/>
          <w:sz w:val="24"/>
          <w:szCs w:val="24"/>
        </w:rPr>
        <w:t xml:space="preserve">. </w:t>
      </w:r>
      <w:r w:rsidRPr="00823844">
        <w:rPr>
          <w:sz w:val="24"/>
          <w:szCs w:val="24"/>
        </w:rPr>
        <w:t>Supplementary documents</w:t>
      </w:r>
    </w:p>
    <w:p w14:paraId="20A50337" w14:textId="77777777" w:rsidR="0057309C" w:rsidRPr="006822AA" w:rsidRDefault="0057309C" w:rsidP="0057309C">
      <w:pPr>
        <w:suppressAutoHyphens w:val="0"/>
        <w:spacing w:line="240" w:lineRule="auto"/>
      </w:pPr>
    </w:p>
    <w:p w14:paraId="757913D8" w14:textId="77777777" w:rsidR="0057309C" w:rsidRDefault="0057309C" w:rsidP="0057309C">
      <w:pPr>
        <w:suppressAutoHyphens w:val="0"/>
        <w:spacing w:line="240" w:lineRule="auto"/>
        <w:rPr>
          <w:b/>
        </w:rPr>
      </w:pPr>
      <w:r>
        <w:rPr>
          <w:b/>
        </w:rPr>
        <w:br w:type="page"/>
      </w:r>
    </w:p>
    <w:p w14:paraId="25A6F7B8" w14:textId="327ABCB2" w:rsidR="00BE07CA" w:rsidRDefault="00BE07CA" w:rsidP="00BE07CA">
      <w:pPr>
        <w:pStyle w:val="HChG"/>
        <w:rPr>
          <w:b w:val="0"/>
          <w:sz w:val="20"/>
        </w:rPr>
      </w:pPr>
      <w:r>
        <w:t>Annex I</w:t>
      </w:r>
      <w:r w:rsidR="00D46DE0">
        <w:t>I</w:t>
      </w:r>
      <w:r>
        <w:rPr>
          <w:b w:val="0"/>
          <w:sz w:val="20"/>
        </w:rPr>
        <w:t xml:space="preserve"> </w:t>
      </w:r>
    </w:p>
    <w:p w14:paraId="117A0A2A" w14:textId="77777777" w:rsidR="00BE07CA" w:rsidRDefault="00BE07CA" w:rsidP="00BE07CA">
      <w:pPr>
        <w:pStyle w:val="H1G"/>
        <w:ind w:firstLine="0"/>
      </w:pPr>
      <w:r>
        <w:t>Work programme</w:t>
      </w:r>
      <w:r>
        <w:rPr>
          <w:rStyle w:val="FootnoteReference"/>
          <w:b w:val="0"/>
          <w:szCs w:val="24"/>
        </w:rPr>
        <w:footnoteReference w:id="106"/>
      </w:r>
      <w:r>
        <w:rPr>
          <w:rStyle w:val="FootnoteReference"/>
          <w:szCs w:val="24"/>
        </w:rPr>
        <w:t xml:space="preserve"> </w:t>
      </w:r>
      <w:r>
        <w:t>on the improved forum on the impact of the implementation of response measures (June 2016 to November 2018)</w:t>
      </w:r>
    </w:p>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31"/>
        <w:gridCol w:w="3539"/>
      </w:tblGrid>
      <w:tr w:rsidR="00BE07CA" w14:paraId="0C3BEF5C" w14:textId="77777777" w:rsidTr="00DD4824">
        <w:trPr>
          <w:trHeight w:val="20"/>
          <w:tblHeader/>
        </w:trPr>
        <w:tc>
          <w:tcPr>
            <w:tcW w:w="7370" w:type="dxa"/>
            <w:gridSpan w:val="2"/>
            <w:tcBorders>
              <w:top w:val="single" w:sz="4" w:space="0" w:color="auto"/>
              <w:left w:val="nil"/>
              <w:bottom w:val="single" w:sz="4" w:space="0" w:color="auto"/>
              <w:right w:val="nil"/>
            </w:tcBorders>
            <w:vAlign w:val="bottom"/>
            <w:hideMark/>
          </w:tcPr>
          <w:p w14:paraId="11E4A934" w14:textId="77777777" w:rsidR="00BE07CA" w:rsidRDefault="00BE07CA" w:rsidP="00DD4824">
            <w:pPr>
              <w:suppressAutoHyphens w:val="0"/>
              <w:spacing w:before="80" w:after="80" w:line="200" w:lineRule="exact"/>
              <w:rPr>
                <w:b/>
                <w:i/>
                <w:sz w:val="16"/>
              </w:rPr>
            </w:pPr>
            <w:r>
              <w:rPr>
                <w:b/>
                <w:i/>
                <w:sz w:val="16"/>
              </w:rPr>
              <w:t>Before/during SBI 45 and SBSTA 45 (November 2016)</w:t>
            </w:r>
          </w:p>
        </w:tc>
      </w:tr>
      <w:tr w:rsidR="00BE07CA" w14:paraId="3B263CF4" w14:textId="77777777" w:rsidTr="00DD4824">
        <w:trPr>
          <w:trHeight w:val="20"/>
          <w:tblHeader/>
        </w:trPr>
        <w:tc>
          <w:tcPr>
            <w:tcW w:w="3831" w:type="dxa"/>
            <w:tcBorders>
              <w:top w:val="single" w:sz="4" w:space="0" w:color="auto"/>
              <w:left w:val="nil"/>
              <w:bottom w:val="single" w:sz="12" w:space="0" w:color="auto"/>
              <w:right w:val="nil"/>
            </w:tcBorders>
            <w:hideMark/>
          </w:tcPr>
          <w:p w14:paraId="725A4A20" w14:textId="77777777" w:rsidR="00BE07CA" w:rsidRDefault="00BE07CA" w:rsidP="00DD4824">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0CDAA630" w14:textId="77777777" w:rsidR="00BE07CA" w:rsidRDefault="00BE07CA" w:rsidP="00DD4824">
            <w:pPr>
              <w:suppressAutoHyphens w:val="0"/>
              <w:spacing w:before="80" w:after="80" w:line="200" w:lineRule="exact"/>
              <w:rPr>
                <w:i/>
                <w:sz w:val="16"/>
              </w:rPr>
            </w:pPr>
            <w:r>
              <w:rPr>
                <w:i/>
                <w:sz w:val="16"/>
              </w:rPr>
              <w:t>Estimated timeline/deliverable</w:t>
            </w:r>
          </w:p>
        </w:tc>
      </w:tr>
      <w:tr w:rsidR="00BE07CA" w14:paraId="0370C130" w14:textId="77777777" w:rsidTr="00DD4824">
        <w:trPr>
          <w:trHeight w:val="20"/>
        </w:trPr>
        <w:tc>
          <w:tcPr>
            <w:tcW w:w="3831" w:type="dxa"/>
            <w:tcBorders>
              <w:top w:val="single" w:sz="12" w:space="0" w:color="auto"/>
              <w:left w:val="nil"/>
              <w:bottom w:val="nil"/>
              <w:right w:val="nil"/>
            </w:tcBorders>
            <w:hideMark/>
          </w:tcPr>
          <w:p w14:paraId="44FD3B5A" w14:textId="77777777" w:rsidR="00BE07CA" w:rsidRDefault="00BE07CA" w:rsidP="00DD4824">
            <w:pPr>
              <w:suppressAutoHyphens w:val="0"/>
              <w:spacing w:before="40" w:after="120" w:line="220" w:lineRule="exact"/>
            </w:pPr>
            <w:r>
              <w:t>Technical paper on just transition of the workforce, and the creation of decent work and quality jobs</w:t>
            </w:r>
          </w:p>
        </w:tc>
        <w:tc>
          <w:tcPr>
            <w:tcW w:w="3539" w:type="dxa"/>
            <w:tcBorders>
              <w:top w:val="single" w:sz="12" w:space="0" w:color="auto"/>
              <w:left w:val="nil"/>
              <w:bottom w:val="nil"/>
              <w:right w:val="nil"/>
            </w:tcBorders>
            <w:hideMark/>
          </w:tcPr>
          <w:p w14:paraId="41DAB5F3" w14:textId="77777777" w:rsidR="00BE07CA" w:rsidRDefault="00BE07CA" w:rsidP="00DD4824">
            <w:pPr>
              <w:suppressAutoHyphens w:val="0"/>
              <w:spacing w:before="40" w:after="120" w:line="220" w:lineRule="exact"/>
            </w:pPr>
            <w:r>
              <w:t>By SBI 45 and SBSTA 45</w:t>
            </w:r>
          </w:p>
          <w:p w14:paraId="7E830556" w14:textId="77777777" w:rsidR="00BE07CA" w:rsidRDefault="00BE07CA" w:rsidP="00DD4824">
            <w:pPr>
              <w:suppressAutoHyphens w:val="0"/>
              <w:spacing w:before="40" w:after="120" w:line="220" w:lineRule="exact"/>
            </w:pPr>
            <w:r>
              <w:t>Technical paper</w:t>
            </w:r>
          </w:p>
        </w:tc>
      </w:tr>
      <w:tr w:rsidR="00BE07CA" w14:paraId="033C0003" w14:textId="77777777" w:rsidTr="00DD4824">
        <w:trPr>
          <w:trHeight w:val="20"/>
        </w:trPr>
        <w:tc>
          <w:tcPr>
            <w:tcW w:w="3831" w:type="dxa"/>
            <w:tcBorders>
              <w:top w:val="nil"/>
              <w:left w:val="nil"/>
              <w:bottom w:val="nil"/>
              <w:right w:val="nil"/>
            </w:tcBorders>
            <w:hideMark/>
          </w:tcPr>
          <w:p w14:paraId="17AFF52E" w14:textId="77777777" w:rsidR="00BE07CA" w:rsidRDefault="00BE07CA" w:rsidP="00DD4824">
            <w:pPr>
              <w:suppressAutoHyphens w:val="0"/>
              <w:spacing w:before="40" w:line="220" w:lineRule="exact"/>
            </w:pPr>
            <w:r w:rsidRPr="009274D5">
              <w:t>Views and experiences, including on case studies, taking into account decision 11/CP.21, paragraphs 1 and 6, in the context of sustainable development, in order to implement the work of the improved forum, on:</w:t>
            </w:r>
          </w:p>
          <w:p w14:paraId="545D95AA" w14:textId="77777777" w:rsidR="00BE07CA" w:rsidRDefault="00BE07CA" w:rsidP="00DD4824">
            <w:pPr>
              <w:suppressAutoHyphens w:val="0"/>
              <w:spacing w:before="40" w:after="120" w:line="220" w:lineRule="exact"/>
            </w:pPr>
            <w:r>
              <w:t>(1) Economic diversification and transformation;</w:t>
            </w:r>
            <w:r>
              <w:br/>
              <w:t>(2) Just transition of the workforce, and the creation of decent work and quality jobs</w:t>
            </w:r>
          </w:p>
        </w:tc>
        <w:tc>
          <w:tcPr>
            <w:tcW w:w="3539" w:type="dxa"/>
            <w:tcBorders>
              <w:top w:val="nil"/>
              <w:left w:val="nil"/>
              <w:bottom w:val="nil"/>
              <w:right w:val="nil"/>
            </w:tcBorders>
            <w:hideMark/>
          </w:tcPr>
          <w:p w14:paraId="25437E31" w14:textId="77777777" w:rsidR="00BE07CA" w:rsidRDefault="00BE07CA" w:rsidP="00DD4824">
            <w:pPr>
              <w:suppressAutoHyphens w:val="0"/>
              <w:spacing w:before="40" w:after="120" w:line="220" w:lineRule="exact"/>
            </w:pPr>
            <w:r>
              <w:t>By SBI 45 and SBSTA 45</w:t>
            </w:r>
          </w:p>
          <w:p w14:paraId="294CD2B4" w14:textId="77777777" w:rsidR="00BE07CA" w:rsidRDefault="00BE07CA" w:rsidP="00DD4824">
            <w:pPr>
              <w:suppressAutoHyphens w:val="0"/>
              <w:spacing w:before="40" w:after="120" w:line="220" w:lineRule="exact"/>
            </w:pPr>
            <w:r>
              <w:t>Submissions from Parties and organizations</w:t>
            </w:r>
          </w:p>
        </w:tc>
      </w:tr>
      <w:tr w:rsidR="00BE07CA" w14:paraId="4D3B678C" w14:textId="77777777" w:rsidTr="00DD4824">
        <w:trPr>
          <w:trHeight w:val="20"/>
        </w:trPr>
        <w:tc>
          <w:tcPr>
            <w:tcW w:w="3831" w:type="dxa"/>
            <w:tcBorders>
              <w:top w:val="nil"/>
              <w:left w:val="nil"/>
              <w:bottom w:val="nil"/>
              <w:right w:val="nil"/>
            </w:tcBorders>
            <w:hideMark/>
          </w:tcPr>
          <w:p w14:paraId="2FD9248B" w14:textId="77777777" w:rsidR="00BE07CA" w:rsidRPr="00DD6EC5" w:rsidRDefault="00BE07CA" w:rsidP="00DD4824">
            <w:pPr>
              <w:suppressAutoHyphens w:val="0"/>
              <w:spacing w:before="40" w:after="120" w:line="220" w:lineRule="exact"/>
            </w:pPr>
            <w:r w:rsidRPr="00DD6EC5">
              <w:t>Workshop on views and experiences, including on case studies, taking into account decision 11/CP.21, paragraphs 1 and 6, in the context of sustainable development, in order to implement the work of the improved forum on:</w:t>
            </w:r>
          </w:p>
          <w:p w14:paraId="385BBDD8" w14:textId="77777777" w:rsidR="00BE07CA" w:rsidRPr="00DD6EC5" w:rsidRDefault="00BE07CA" w:rsidP="00DD4824">
            <w:pPr>
              <w:suppressAutoHyphens w:val="0"/>
              <w:spacing w:before="40" w:after="120" w:line="220" w:lineRule="exact"/>
            </w:pPr>
            <w:r w:rsidRPr="00DD6EC5">
              <w:t>(1) Economic diversification and transformation;</w:t>
            </w:r>
            <w:r w:rsidRPr="00DD6EC5">
              <w:br/>
              <w:t>(2) Just transition of the workforce and the creation of decent work and quality jobs</w:t>
            </w:r>
          </w:p>
        </w:tc>
        <w:tc>
          <w:tcPr>
            <w:tcW w:w="3539" w:type="dxa"/>
            <w:tcBorders>
              <w:top w:val="nil"/>
              <w:left w:val="nil"/>
              <w:bottom w:val="nil"/>
              <w:right w:val="nil"/>
            </w:tcBorders>
            <w:hideMark/>
          </w:tcPr>
          <w:p w14:paraId="328ECDAD" w14:textId="77777777" w:rsidR="00BE07CA" w:rsidRPr="00DD6EC5" w:rsidRDefault="00BE07CA" w:rsidP="00DD4824">
            <w:pPr>
              <w:suppressAutoHyphens w:val="0"/>
              <w:spacing w:before="40" w:after="120" w:line="220" w:lineRule="exact"/>
            </w:pPr>
            <w:r w:rsidRPr="00DD6EC5">
              <w:t>Before SBI 45 and SBSTA 45</w:t>
            </w:r>
          </w:p>
          <w:p w14:paraId="2B754742" w14:textId="77777777" w:rsidR="00BE07CA" w:rsidRPr="00DD6EC5" w:rsidRDefault="00BE07CA" w:rsidP="00DD4824">
            <w:pPr>
              <w:suppressAutoHyphens w:val="0"/>
              <w:spacing w:before="40" w:after="120" w:line="220" w:lineRule="exact"/>
            </w:pPr>
            <w:r w:rsidRPr="00DD6EC5">
              <w:t>Report on the workshop</w:t>
            </w:r>
          </w:p>
        </w:tc>
      </w:tr>
      <w:tr w:rsidR="00BE07CA" w14:paraId="3DA8705D" w14:textId="77777777" w:rsidTr="00DD4824">
        <w:trPr>
          <w:trHeight w:val="20"/>
        </w:trPr>
        <w:tc>
          <w:tcPr>
            <w:tcW w:w="3831" w:type="dxa"/>
            <w:tcBorders>
              <w:top w:val="nil"/>
              <w:left w:val="nil"/>
              <w:bottom w:val="single" w:sz="12" w:space="0" w:color="auto"/>
              <w:right w:val="nil"/>
            </w:tcBorders>
            <w:hideMark/>
          </w:tcPr>
          <w:p w14:paraId="7B004504" w14:textId="77777777" w:rsidR="00BE07CA" w:rsidRDefault="00BE07CA" w:rsidP="00DD4824">
            <w:pPr>
              <w:suppressAutoHyphens w:val="0"/>
              <w:spacing w:before="40" w:after="120" w:line="220" w:lineRule="exact"/>
            </w:pPr>
            <w:r>
              <w:t>In-forum discussion on the workshop, including, as appropriate, to provide a venue for Parties to raise priority areas, and, as appropriate, constituting an ad hoc technical expert group</w:t>
            </w:r>
          </w:p>
        </w:tc>
        <w:tc>
          <w:tcPr>
            <w:tcW w:w="3539" w:type="dxa"/>
            <w:tcBorders>
              <w:top w:val="nil"/>
              <w:left w:val="nil"/>
              <w:bottom w:val="single" w:sz="12" w:space="0" w:color="auto"/>
              <w:right w:val="nil"/>
            </w:tcBorders>
            <w:hideMark/>
          </w:tcPr>
          <w:p w14:paraId="54649E84" w14:textId="77777777" w:rsidR="00BE07CA" w:rsidRDefault="00BE07CA" w:rsidP="00DD4824">
            <w:pPr>
              <w:suppressAutoHyphens w:val="0"/>
              <w:spacing w:before="40" w:after="120" w:line="220" w:lineRule="exact"/>
            </w:pPr>
            <w:r>
              <w:t>During SBI 45 and SBSTA 45</w:t>
            </w:r>
          </w:p>
          <w:p w14:paraId="332215BB" w14:textId="77777777" w:rsidR="00BE07CA" w:rsidRDefault="00BE07CA" w:rsidP="00DD4824">
            <w:pPr>
              <w:suppressAutoHyphens w:val="0"/>
              <w:spacing w:before="40" w:after="120" w:line="220" w:lineRule="exact"/>
            </w:pPr>
            <w:r>
              <w:t>Conclusions of the forum</w:t>
            </w:r>
          </w:p>
        </w:tc>
      </w:tr>
    </w:tbl>
    <w:p w14:paraId="01EB79EE" w14:textId="77777777" w:rsidR="00BE07CA" w:rsidRDefault="00BE07CA" w:rsidP="00BE07CA"/>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788"/>
        <w:gridCol w:w="43"/>
        <w:gridCol w:w="3539"/>
      </w:tblGrid>
      <w:tr w:rsidR="00BE07CA" w14:paraId="47FBD310" w14:textId="77777777" w:rsidTr="00DD4824">
        <w:trPr>
          <w:trHeight w:val="20"/>
          <w:tblHeader/>
        </w:trPr>
        <w:tc>
          <w:tcPr>
            <w:tcW w:w="7370" w:type="dxa"/>
            <w:gridSpan w:val="3"/>
            <w:tcBorders>
              <w:top w:val="single" w:sz="4" w:space="0" w:color="auto"/>
              <w:left w:val="nil"/>
              <w:bottom w:val="single" w:sz="4" w:space="0" w:color="auto"/>
              <w:right w:val="nil"/>
            </w:tcBorders>
            <w:vAlign w:val="bottom"/>
            <w:hideMark/>
          </w:tcPr>
          <w:p w14:paraId="41B14048" w14:textId="77777777" w:rsidR="00BE07CA" w:rsidRDefault="00BE07CA" w:rsidP="004B6C33">
            <w:pPr>
              <w:keepNext/>
              <w:suppressAutoHyphens w:val="0"/>
              <w:spacing w:before="80" w:after="80" w:line="200" w:lineRule="exact"/>
              <w:rPr>
                <w:i/>
                <w:sz w:val="16"/>
              </w:rPr>
            </w:pPr>
            <w:r>
              <w:rPr>
                <w:i/>
                <w:sz w:val="16"/>
              </w:rPr>
              <w:t>Before/during SBI 46 and SBSTA 46 (May 2017)</w:t>
            </w:r>
          </w:p>
        </w:tc>
      </w:tr>
      <w:tr w:rsidR="00BE07CA" w14:paraId="3C771631" w14:textId="77777777" w:rsidTr="00DD4824">
        <w:trPr>
          <w:trHeight w:val="20"/>
          <w:tblHeader/>
        </w:trPr>
        <w:tc>
          <w:tcPr>
            <w:tcW w:w="3831" w:type="dxa"/>
            <w:gridSpan w:val="2"/>
            <w:tcBorders>
              <w:top w:val="single" w:sz="4" w:space="0" w:color="auto"/>
              <w:left w:val="nil"/>
              <w:bottom w:val="single" w:sz="12" w:space="0" w:color="auto"/>
              <w:right w:val="nil"/>
            </w:tcBorders>
            <w:hideMark/>
          </w:tcPr>
          <w:p w14:paraId="22DCF38B" w14:textId="77777777" w:rsidR="00BE07CA" w:rsidRDefault="00BE07CA" w:rsidP="004B6C33">
            <w:pPr>
              <w:keepNext/>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1177D019" w14:textId="77777777" w:rsidR="00BE07CA" w:rsidRDefault="00BE07CA" w:rsidP="00DD4824">
            <w:pPr>
              <w:suppressAutoHyphens w:val="0"/>
              <w:spacing w:before="80" w:after="80" w:line="200" w:lineRule="exact"/>
              <w:rPr>
                <w:i/>
                <w:sz w:val="16"/>
              </w:rPr>
            </w:pPr>
            <w:r>
              <w:rPr>
                <w:i/>
                <w:sz w:val="16"/>
              </w:rPr>
              <w:t>Estimated timeline/deliverable</w:t>
            </w:r>
          </w:p>
        </w:tc>
      </w:tr>
      <w:tr w:rsidR="00BE07CA" w14:paraId="2981591F" w14:textId="77777777" w:rsidTr="00DD4824">
        <w:trPr>
          <w:trHeight w:val="20"/>
          <w:tblHeader/>
        </w:trPr>
        <w:tc>
          <w:tcPr>
            <w:tcW w:w="3788" w:type="dxa"/>
            <w:tcBorders>
              <w:top w:val="nil"/>
              <w:left w:val="nil"/>
              <w:bottom w:val="nil"/>
              <w:right w:val="nil"/>
            </w:tcBorders>
            <w:hideMark/>
          </w:tcPr>
          <w:p w14:paraId="3F9B17BD" w14:textId="77777777" w:rsidR="00BE07CA" w:rsidRDefault="00BE07CA" w:rsidP="00DD4824">
            <w:pPr>
              <w:suppressAutoHyphens w:val="0"/>
              <w:spacing w:before="40" w:after="120" w:line="220" w:lineRule="exact"/>
            </w:pPr>
            <w:r>
              <w:t>Work of ad hoc technical expert group, as appropriate</w:t>
            </w:r>
          </w:p>
        </w:tc>
        <w:tc>
          <w:tcPr>
            <w:tcW w:w="3582" w:type="dxa"/>
            <w:gridSpan w:val="2"/>
            <w:tcBorders>
              <w:top w:val="nil"/>
              <w:left w:val="nil"/>
              <w:bottom w:val="nil"/>
              <w:right w:val="nil"/>
            </w:tcBorders>
            <w:hideMark/>
          </w:tcPr>
          <w:p w14:paraId="3BEA8181" w14:textId="77777777" w:rsidR="00BE07CA" w:rsidRDefault="00BE07CA" w:rsidP="00DD4824">
            <w:pPr>
              <w:suppressAutoHyphens w:val="0"/>
              <w:spacing w:before="40" w:after="120" w:line="220" w:lineRule="exact"/>
            </w:pPr>
            <w:r>
              <w:t>During SBI 46 and SBSTA 46</w:t>
            </w:r>
          </w:p>
          <w:p w14:paraId="2E771585" w14:textId="77777777" w:rsidR="00BE07CA" w:rsidRDefault="00BE07CA" w:rsidP="00DD4824">
            <w:pPr>
              <w:suppressAutoHyphens w:val="0"/>
              <w:spacing w:before="40" w:after="120" w:line="220" w:lineRule="exact"/>
            </w:pPr>
            <w:r>
              <w:t>Report of the ad hoc technical expert group, as appropriate</w:t>
            </w:r>
          </w:p>
        </w:tc>
      </w:tr>
      <w:tr w:rsidR="00BE07CA" w14:paraId="0A087DFE" w14:textId="77777777" w:rsidTr="00DD4824">
        <w:trPr>
          <w:trHeight w:val="20"/>
        </w:trPr>
        <w:tc>
          <w:tcPr>
            <w:tcW w:w="3788" w:type="dxa"/>
            <w:tcBorders>
              <w:top w:val="nil"/>
              <w:left w:val="nil"/>
              <w:bottom w:val="nil"/>
              <w:right w:val="nil"/>
            </w:tcBorders>
            <w:hideMark/>
          </w:tcPr>
          <w:p w14:paraId="6244D0E1" w14:textId="77777777" w:rsidR="00BE07CA" w:rsidRDefault="00BE07CA" w:rsidP="00DD4824">
            <w:pPr>
              <w:suppressAutoHyphens w:val="0"/>
              <w:spacing w:before="40" w:after="120" w:line="220" w:lineRule="exact"/>
            </w:pPr>
            <w:r>
              <w:t>In-forum discussion on the meeting of the ad hoc technical expert group, as appropriate</w:t>
            </w:r>
          </w:p>
        </w:tc>
        <w:tc>
          <w:tcPr>
            <w:tcW w:w="3582" w:type="dxa"/>
            <w:gridSpan w:val="2"/>
            <w:tcBorders>
              <w:top w:val="nil"/>
              <w:left w:val="nil"/>
              <w:bottom w:val="nil"/>
              <w:right w:val="nil"/>
            </w:tcBorders>
            <w:hideMark/>
          </w:tcPr>
          <w:p w14:paraId="050E20AF" w14:textId="77777777" w:rsidR="00BE07CA" w:rsidRDefault="00BE07CA" w:rsidP="00DD4824">
            <w:pPr>
              <w:suppressAutoHyphens w:val="0"/>
              <w:spacing w:before="40" w:after="120" w:line="220" w:lineRule="exact"/>
            </w:pPr>
            <w:r>
              <w:t>Not applicable</w:t>
            </w:r>
          </w:p>
        </w:tc>
      </w:tr>
      <w:tr w:rsidR="00BE07CA" w14:paraId="7D562C19" w14:textId="77777777" w:rsidTr="00DD4824">
        <w:trPr>
          <w:trHeight w:val="20"/>
        </w:trPr>
        <w:tc>
          <w:tcPr>
            <w:tcW w:w="3788" w:type="dxa"/>
            <w:tcBorders>
              <w:top w:val="nil"/>
              <w:left w:val="nil"/>
              <w:bottom w:val="single" w:sz="12" w:space="0" w:color="auto"/>
              <w:right w:val="nil"/>
            </w:tcBorders>
            <w:hideMark/>
          </w:tcPr>
          <w:p w14:paraId="02D63765" w14:textId="77777777" w:rsidR="00BE07CA" w:rsidRDefault="00BE07CA" w:rsidP="00DD4824">
            <w:pPr>
              <w:suppressAutoHyphens w:val="0"/>
              <w:spacing w:before="40" w:after="120" w:line="220" w:lineRule="exact"/>
            </w:pPr>
            <w:r>
              <w:t>Parties’ discussion of recommendation to COP 23 (November 2017)</w:t>
            </w:r>
          </w:p>
        </w:tc>
        <w:tc>
          <w:tcPr>
            <w:tcW w:w="3582" w:type="dxa"/>
            <w:gridSpan w:val="2"/>
            <w:tcBorders>
              <w:top w:val="nil"/>
              <w:left w:val="nil"/>
              <w:bottom w:val="single" w:sz="12" w:space="0" w:color="auto"/>
              <w:right w:val="nil"/>
            </w:tcBorders>
            <w:hideMark/>
          </w:tcPr>
          <w:p w14:paraId="6F17C10E" w14:textId="77777777" w:rsidR="00BE07CA" w:rsidRPr="00DD6EC5" w:rsidRDefault="00BE07CA" w:rsidP="00DD4824">
            <w:pPr>
              <w:suppressAutoHyphens w:val="0"/>
              <w:spacing w:before="40" w:after="120" w:line="220" w:lineRule="exact"/>
            </w:pPr>
            <w:r w:rsidRPr="00DD6EC5">
              <w:t>Possible draft recommendation to be forwarded for consideration at COP 23</w:t>
            </w:r>
          </w:p>
        </w:tc>
      </w:tr>
    </w:tbl>
    <w:p w14:paraId="6DE6AF25" w14:textId="77777777" w:rsidR="00BE07CA" w:rsidRDefault="00BE07CA" w:rsidP="00BE07CA"/>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25"/>
        <w:gridCol w:w="6"/>
        <w:gridCol w:w="3539"/>
      </w:tblGrid>
      <w:tr w:rsidR="00BE07CA" w14:paraId="582D5BD9" w14:textId="77777777" w:rsidTr="00DD4824">
        <w:trPr>
          <w:trHeight w:val="20"/>
          <w:tblHeader/>
        </w:trPr>
        <w:tc>
          <w:tcPr>
            <w:tcW w:w="7370" w:type="dxa"/>
            <w:gridSpan w:val="3"/>
            <w:tcBorders>
              <w:top w:val="single" w:sz="4" w:space="0" w:color="auto"/>
              <w:left w:val="nil"/>
              <w:bottom w:val="single" w:sz="4" w:space="0" w:color="auto"/>
              <w:right w:val="nil"/>
            </w:tcBorders>
            <w:vAlign w:val="bottom"/>
            <w:hideMark/>
          </w:tcPr>
          <w:p w14:paraId="45DA0638" w14:textId="77777777" w:rsidR="00BE07CA" w:rsidRDefault="00BE07CA" w:rsidP="00DD4824">
            <w:pPr>
              <w:suppressAutoHyphens w:val="0"/>
              <w:spacing w:before="80" w:after="80" w:line="200" w:lineRule="exact"/>
              <w:rPr>
                <w:i/>
                <w:sz w:val="16"/>
              </w:rPr>
            </w:pPr>
            <w:r>
              <w:rPr>
                <w:i/>
                <w:sz w:val="16"/>
              </w:rPr>
              <w:t>Before/during SBI 47 and SBSTA 47 (November 2017)</w:t>
            </w:r>
          </w:p>
        </w:tc>
      </w:tr>
      <w:tr w:rsidR="00BE07CA" w14:paraId="1B55C451" w14:textId="77777777" w:rsidTr="00DD4824">
        <w:trPr>
          <w:trHeight w:val="20"/>
          <w:tblHeader/>
        </w:trPr>
        <w:tc>
          <w:tcPr>
            <w:tcW w:w="3831" w:type="dxa"/>
            <w:gridSpan w:val="2"/>
            <w:tcBorders>
              <w:top w:val="single" w:sz="4" w:space="0" w:color="auto"/>
              <w:left w:val="nil"/>
              <w:bottom w:val="single" w:sz="12" w:space="0" w:color="auto"/>
              <w:right w:val="nil"/>
            </w:tcBorders>
            <w:hideMark/>
          </w:tcPr>
          <w:p w14:paraId="5F2974F0" w14:textId="77777777" w:rsidR="00BE07CA" w:rsidRDefault="00BE07CA" w:rsidP="00DD4824">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5478049C" w14:textId="77777777" w:rsidR="00BE07CA" w:rsidRDefault="00BE07CA" w:rsidP="00DD4824">
            <w:pPr>
              <w:suppressAutoHyphens w:val="0"/>
              <w:spacing w:before="80" w:after="80" w:line="200" w:lineRule="exact"/>
              <w:rPr>
                <w:i/>
                <w:sz w:val="16"/>
              </w:rPr>
            </w:pPr>
            <w:r>
              <w:rPr>
                <w:i/>
                <w:sz w:val="16"/>
              </w:rPr>
              <w:t>Estimated timeline/deliverable</w:t>
            </w:r>
          </w:p>
        </w:tc>
      </w:tr>
      <w:tr w:rsidR="00BE07CA" w14:paraId="6BA0EFFC" w14:textId="77777777" w:rsidTr="00DD4824">
        <w:trPr>
          <w:trHeight w:val="20"/>
        </w:trPr>
        <w:tc>
          <w:tcPr>
            <w:tcW w:w="3825" w:type="dxa"/>
            <w:tcBorders>
              <w:top w:val="nil"/>
              <w:left w:val="nil"/>
              <w:bottom w:val="single" w:sz="12" w:space="0" w:color="auto"/>
              <w:right w:val="nil"/>
            </w:tcBorders>
            <w:hideMark/>
          </w:tcPr>
          <w:p w14:paraId="445923A1" w14:textId="77777777" w:rsidR="00BE07CA" w:rsidRDefault="00BE07CA" w:rsidP="00DD4824">
            <w:pPr>
              <w:suppressAutoHyphens w:val="0"/>
              <w:spacing w:before="40" w:after="120" w:line="220" w:lineRule="exact"/>
            </w:pPr>
            <w:r>
              <w:t>In-forum discussion on possible needs for modelling tools, including capacity-building opportunities, related to the work programme on the improved forum on the impact of the implementation of response measures</w:t>
            </w:r>
          </w:p>
          <w:p w14:paraId="2AB8A6EA" w14:textId="77777777" w:rsidR="00BE07CA" w:rsidRDefault="00BE07CA" w:rsidP="00DD4824">
            <w:pPr>
              <w:suppressAutoHyphens w:val="0"/>
              <w:spacing w:before="40" w:after="120" w:line="220" w:lineRule="exact"/>
            </w:pPr>
            <w:r>
              <w:t>In-forum discussion on the areas of the work programme</w:t>
            </w:r>
          </w:p>
        </w:tc>
        <w:tc>
          <w:tcPr>
            <w:tcW w:w="3545" w:type="dxa"/>
            <w:gridSpan w:val="2"/>
            <w:tcBorders>
              <w:top w:val="nil"/>
              <w:left w:val="nil"/>
              <w:bottom w:val="single" w:sz="12" w:space="0" w:color="auto"/>
              <w:right w:val="nil"/>
            </w:tcBorders>
          </w:tcPr>
          <w:p w14:paraId="08E8272B" w14:textId="77777777" w:rsidR="00BE07CA" w:rsidRDefault="00BE07CA" w:rsidP="00DD4824">
            <w:pPr>
              <w:suppressAutoHyphens w:val="0"/>
              <w:spacing w:before="40" w:after="120" w:line="220" w:lineRule="exact"/>
            </w:pPr>
            <w:r>
              <w:t>During SBI 47 and SBSTA 47</w:t>
            </w:r>
          </w:p>
          <w:p w14:paraId="4D334D06" w14:textId="77777777" w:rsidR="00BE07CA" w:rsidRDefault="00BE07CA" w:rsidP="00DD4824">
            <w:pPr>
              <w:suppressAutoHyphens w:val="0"/>
              <w:spacing w:before="40" w:after="120" w:line="220" w:lineRule="exact"/>
            </w:pPr>
          </w:p>
          <w:p w14:paraId="441EC60E" w14:textId="77777777" w:rsidR="00BE07CA" w:rsidRDefault="00BE07CA" w:rsidP="00DD4824">
            <w:pPr>
              <w:suppressAutoHyphens w:val="0"/>
              <w:spacing w:before="40" w:after="120" w:line="220" w:lineRule="exact"/>
            </w:pPr>
            <w:r>
              <w:t>Conclusions of the forum</w:t>
            </w:r>
          </w:p>
        </w:tc>
      </w:tr>
    </w:tbl>
    <w:p w14:paraId="18237BC7" w14:textId="77777777" w:rsidR="00BE07CA" w:rsidRDefault="00BE07CA" w:rsidP="00BE07CA"/>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31"/>
        <w:gridCol w:w="3539"/>
      </w:tblGrid>
      <w:tr w:rsidR="00BE07CA" w14:paraId="364FA0DB" w14:textId="77777777" w:rsidTr="00DD4824">
        <w:trPr>
          <w:trHeight w:val="20"/>
          <w:tblHeader/>
        </w:trPr>
        <w:tc>
          <w:tcPr>
            <w:tcW w:w="7370" w:type="dxa"/>
            <w:gridSpan w:val="2"/>
            <w:tcBorders>
              <w:top w:val="single" w:sz="4" w:space="0" w:color="auto"/>
              <w:left w:val="nil"/>
              <w:bottom w:val="single" w:sz="4" w:space="0" w:color="auto"/>
              <w:right w:val="nil"/>
            </w:tcBorders>
            <w:vAlign w:val="bottom"/>
            <w:hideMark/>
          </w:tcPr>
          <w:p w14:paraId="2450440E" w14:textId="77777777" w:rsidR="00BE07CA" w:rsidRDefault="00BE07CA" w:rsidP="00DD4824">
            <w:pPr>
              <w:suppressAutoHyphens w:val="0"/>
              <w:spacing w:before="80" w:after="80" w:line="200" w:lineRule="exact"/>
              <w:rPr>
                <w:i/>
                <w:sz w:val="16"/>
              </w:rPr>
            </w:pPr>
            <w:r>
              <w:rPr>
                <w:i/>
                <w:sz w:val="16"/>
              </w:rPr>
              <w:t>Before/during SBI 48 and SBSTA 48 (April–May 2018)</w:t>
            </w:r>
          </w:p>
        </w:tc>
      </w:tr>
      <w:tr w:rsidR="00BE07CA" w14:paraId="465645CE" w14:textId="77777777" w:rsidTr="00DD4824">
        <w:trPr>
          <w:trHeight w:val="20"/>
          <w:tblHeader/>
        </w:trPr>
        <w:tc>
          <w:tcPr>
            <w:tcW w:w="3831" w:type="dxa"/>
            <w:tcBorders>
              <w:top w:val="single" w:sz="4" w:space="0" w:color="auto"/>
              <w:left w:val="nil"/>
              <w:bottom w:val="single" w:sz="12" w:space="0" w:color="auto"/>
              <w:right w:val="nil"/>
            </w:tcBorders>
            <w:hideMark/>
          </w:tcPr>
          <w:p w14:paraId="27DACE3F" w14:textId="77777777" w:rsidR="00BE07CA" w:rsidRDefault="00BE07CA" w:rsidP="00DD4824">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102714D1" w14:textId="77777777" w:rsidR="00BE07CA" w:rsidRDefault="00BE07CA" w:rsidP="00DD4824">
            <w:pPr>
              <w:suppressAutoHyphens w:val="0"/>
              <w:spacing w:before="80" w:after="80" w:line="200" w:lineRule="exact"/>
              <w:rPr>
                <w:i/>
                <w:sz w:val="16"/>
              </w:rPr>
            </w:pPr>
            <w:r>
              <w:rPr>
                <w:i/>
                <w:sz w:val="16"/>
              </w:rPr>
              <w:t>Estimated timeline/deliverable</w:t>
            </w:r>
          </w:p>
        </w:tc>
      </w:tr>
      <w:tr w:rsidR="00BE07CA" w14:paraId="54CB18F4" w14:textId="77777777" w:rsidTr="00DD4824">
        <w:trPr>
          <w:trHeight w:val="20"/>
        </w:trPr>
        <w:tc>
          <w:tcPr>
            <w:tcW w:w="3831" w:type="dxa"/>
            <w:tcBorders>
              <w:top w:val="nil"/>
              <w:left w:val="nil"/>
              <w:bottom w:val="single" w:sz="12" w:space="0" w:color="auto"/>
              <w:right w:val="nil"/>
            </w:tcBorders>
            <w:hideMark/>
          </w:tcPr>
          <w:p w14:paraId="76C0CC4B" w14:textId="77777777" w:rsidR="00BE07CA" w:rsidRDefault="00BE07CA" w:rsidP="00DD4824">
            <w:pPr>
              <w:suppressAutoHyphens w:val="0"/>
              <w:spacing w:before="40" w:after="120" w:line="220" w:lineRule="exact"/>
            </w:pPr>
            <w:r>
              <w:t>In-forum training workshop on use of economic modelling tools related to the work programme on the improved forum on the impact of the implementation of response measures</w:t>
            </w:r>
          </w:p>
        </w:tc>
        <w:tc>
          <w:tcPr>
            <w:tcW w:w="3539" w:type="dxa"/>
            <w:tcBorders>
              <w:top w:val="nil"/>
              <w:left w:val="nil"/>
              <w:bottom w:val="single" w:sz="12" w:space="0" w:color="auto"/>
              <w:right w:val="nil"/>
            </w:tcBorders>
            <w:hideMark/>
          </w:tcPr>
          <w:p w14:paraId="5D6A5EFE" w14:textId="77777777" w:rsidR="00BE07CA" w:rsidRDefault="00BE07CA" w:rsidP="00DD4824">
            <w:pPr>
              <w:suppressAutoHyphens w:val="0"/>
              <w:spacing w:before="40" w:after="120" w:line="220" w:lineRule="exact"/>
            </w:pPr>
            <w:r>
              <w:t>Report on the in-forum training workshop</w:t>
            </w:r>
          </w:p>
        </w:tc>
      </w:tr>
    </w:tbl>
    <w:p w14:paraId="0E892AF3" w14:textId="77777777" w:rsidR="00BE07CA" w:rsidRDefault="00BE07CA" w:rsidP="00BE07CA"/>
    <w:tbl>
      <w:tblPr>
        <w:tblStyle w:val="TableGrid"/>
        <w:tblW w:w="7370" w:type="dxa"/>
        <w:tblInd w:w="1134" w:type="dxa"/>
        <w:tblBorders>
          <w:left w:val="none" w:sz="0" w:space="0" w:color="auto"/>
          <w:bottom w:val="none" w:sz="0" w:space="0" w:color="auto"/>
          <w:right w:val="none" w:sz="0" w:space="0" w:color="auto"/>
          <w:insideH w:val="none" w:sz="0" w:space="0" w:color="auto"/>
          <w:insideV w:val="none" w:sz="0" w:space="0" w:color="auto"/>
        </w:tblBorders>
        <w:tblCellMar>
          <w:left w:w="0" w:type="dxa"/>
          <w:right w:w="113" w:type="dxa"/>
        </w:tblCellMar>
        <w:tblLook w:val="00A0" w:firstRow="1" w:lastRow="0" w:firstColumn="1" w:lastColumn="0" w:noHBand="0" w:noVBand="0"/>
      </w:tblPr>
      <w:tblGrid>
        <w:gridCol w:w="3831"/>
        <w:gridCol w:w="3539"/>
      </w:tblGrid>
      <w:tr w:rsidR="00BE07CA" w14:paraId="4BCF2C18" w14:textId="77777777" w:rsidTr="00DD4824">
        <w:trPr>
          <w:trHeight w:val="20"/>
          <w:tblHeader/>
        </w:trPr>
        <w:tc>
          <w:tcPr>
            <w:tcW w:w="7370" w:type="dxa"/>
            <w:gridSpan w:val="2"/>
            <w:tcBorders>
              <w:top w:val="single" w:sz="4" w:space="0" w:color="auto"/>
              <w:left w:val="nil"/>
              <w:bottom w:val="single" w:sz="4" w:space="0" w:color="auto"/>
              <w:right w:val="nil"/>
            </w:tcBorders>
            <w:vAlign w:val="bottom"/>
            <w:hideMark/>
          </w:tcPr>
          <w:p w14:paraId="3F416BBE" w14:textId="77777777" w:rsidR="00BE07CA" w:rsidRDefault="00BE07CA" w:rsidP="00DD4824">
            <w:pPr>
              <w:suppressAutoHyphens w:val="0"/>
              <w:spacing w:before="80" w:after="80" w:line="200" w:lineRule="exact"/>
              <w:rPr>
                <w:i/>
                <w:sz w:val="16"/>
              </w:rPr>
            </w:pPr>
            <w:r>
              <w:rPr>
                <w:i/>
                <w:sz w:val="16"/>
              </w:rPr>
              <w:t>Before/during SBI 49 and SBSTA 49 (November 2018)</w:t>
            </w:r>
          </w:p>
        </w:tc>
      </w:tr>
      <w:tr w:rsidR="00BE07CA" w14:paraId="2760BD4E" w14:textId="77777777" w:rsidTr="00DD4824">
        <w:trPr>
          <w:trHeight w:val="20"/>
          <w:tblHeader/>
        </w:trPr>
        <w:tc>
          <w:tcPr>
            <w:tcW w:w="3831" w:type="dxa"/>
            <w:tcBorders>
              <w:top w:val="single" w:sz="4" w:space="0" w:color="auto"/>
              <w:left w:val="nil"/>
              <w:bottom w:val="single" w:sz="12" w:space="0" w:color="auto"/>
              <w:right w:val="nil"/>
            </w:tcBorders>
            <w:hideMark/>
          </w:tcPr>
          <w:p w14:paraId="65DB66EA" w14:textId="77777777" w:rsidR="00BE07CA" w:rsidRDefault="00BE07CA" w:rsidP="00DD4824">
            <w:pPr>
              <w:suppressAutoHyphens w:val="0"/>
              <w:spacing w:before="80" w:after="80" w:line="200" w:lineRule="exact"/>
              <w:rPr>
                <w:i/>
                <w:sz w:val="16"/>
              </w:rPr>
            </w:pPr>
            <w:r>
              <w:rPr>
                <w:i/>
                <w:sz w:val="16"/>
              </w:rPr>
              <w:t>Elements</w:t>
            </w:r>
          </w:p>
        </w:tc>
        <w:tc>
          <w:tcPr>
            <w:tcW w:w="3539" w:type="dxa"/>
            <w:tcBorders>
              <w:top w:val="single" w:sz="4" w:space="0" w:color="auto"/>
              <w:left w:val="nil"/>
              <w:bottom w:val="single" w:sz="12" w:space="0" w:color="auto"/>
              <w:right w:val="nil"/>
            </w:tcBorders>
            <w:hideMark/>
          </w:tcPr>
          <w:p w14:paraId="2D0802D0" w14:textId="77777777" w:rsidR="00BE07CA" w:rsidRDefault="00BE07CA" w:rsidP="00DD4824">
            <w:pPr>
              <w:suppressAutoHyphens w:val="0"/>
              <w:spacing w:before="80" w:after="80" w:line="200" w:lineRule="exact"/>
              <w:rPr>
                <w:i/>
                <w:sz w:val="16"/>
              </w:rPr>
            </w:pPr>
            <w:r>
              <w:rPr>
                <w:i/>
                <w:sz w:val="16"/>
              </w:rPr>
              <w:t>Estimated timeline/deliverable</w:t>
            </w:r>
          </w:p>
        </w:tc>
      </w:tr>
      <w:tr w:rsidR="00BE07CA" w14:paraId="6A25AAEF" w14:textId="77777777" w:rsidTr="00DD4824">
        <w:trPr>
          <w:trHeight w:val="20"/>
        </w:trPr>
        <w:tc>
          <w:tcPr>
            <w:tcW w:w="3831" w:type="dxa"/>
            <w:tcBorders>
              <w:top w:val="nil"/>
              <w:left w:val="nil"/>
              <w:bottom w:val="single" w:sz="12" w:space="0" w:color="auto"/>
              <w:right w:val="nil"/>
            </w:tcBorders>
            <w:hideMark/>
          </w:tcPr>
          <w:p w14:paraId="454B27B6" w14:textId="77777777" w:rsidR="00BE07CA" w:rsidRDefault="00BE07CA" w:rsidP="00DD4824">
            <w:pPr>
              <w:suppressAutoHyphens w:val="0"/>
              <w:spacing w:before="40" w:after="120" w:line="220" w:lineRule="exact"/>
            </w:pPr>
            <w:r>
              <w:t>Review of the work of the improved forum</w:t>
            </w:r>
          </w:p>
        </w:tc>
        <w:tc>
          <w:tcPr>
            <w:tcW w:w="3539" w:type="dxa"/>
            <w:tcBorders>
              <w:top w:val="nil"/>
              <w:left w:val="nil"/>
              <w:bottom w:val="single" w:sz="12" w:space="0" w:color="auto"/>
              <w:right w:val="nil"/>
            </w:tcBorders>
            <w:hideMark/>
          </w:tcPr>
          <w:p w14:paraId="6F3F4ACE" w14:textId="77777777" w:rsidR="00BE07CA" w:rsidRDefault="00BE07CA" w:rsidP="00DD4824">
            <w:pPr>
              <w:suppressAutoHyphens w:val="0"/>
              <w:spacing w:before="40" w:after="120" w:line="220" w:lineRule="exact"/>
            </w:pPr>
            <w:r>
              <w:t>Draft conclusions/decisions</w:t>
            </w:r>
          </w:p>
        </w:tc>
      </w:tr>
    </w:tbl>
    <w:p w14:paraId="421B7475" w14:textId="138C94F1" w:rsidR="00BE07CA" w:rsidRDefault="00BE07CA" w:rsidP="00D55D86">
      <w:pPr>
        <w:pStyle w:val="Heading1"/>
        <w:ind w:right="1276" w:firstLine="170"/>
        <w:rPr>
          <w:sz w:val="18"/>
          <w:szCs w:val="18"/>
        </w:rPr>
      </w:pPr>
      <w:r>
        <w:rPr>
          <w:i/>
          <w:sz w:val="18"/>
          <w:szCs w:val="18"/>
        </w:rPr>
        <w:t>Abbreviations</w:t>
      </w:r>
      <w:r>
        <w:rPr>
          <w:sz w:val="18"/>
          <w:szCs w:val="18"/>
        </w:rPr>
        <w:t xml:space="preserve">: COP = Conference of the Parties, SBI – Subsidiary Body for Implementation, SBSTA = Subsidiary Body for Scientific and Technological Advice. </w:t>
      </w:r>
    </w:p>
    <w:p w14:paraId="324F79FB" w14:textId="77777777" w:rsidR="00BE07CA" w:rsidRDefault="00BE07CA" w:rsidP="00BE07CA">
      <w:pPr>
        <w:suppressAutoHyphens w:val="0"/>
        <w:spacing w:line="256" w:lineRule="auto"/>
        <w:sectPr w:rsidR="00BE07CA">
          <w:headerReference w:type="even" r:id="rId62"/>
          <w:footerReference w:type="even" r:id="rId63"/>
          <w:footnotePr>
            <w:numRestart w:val="eachSect"/>
          </w:footnotePr>
          <w:pgSz w:w="11906" w:h="16838"/>
          <w:pgMar w:top="1701" w:right="1134" w:bottom="2268" w:left="1134" w:header="1134" w:footer="1701" w:gutter="0"/>
          <w:cols w:space="720"/>
        </w:sectPr>
      </w:pPr>
    </w:p>
    <w:p w14:paraId="2E0764FB" w14:textId="04816D46" w:rsidR="00BE07CA" w:rsidRDefault="00BE07CA" w:rsidP="00BE07CA">
      <w:pPr>
        <w:pStyle w:val="HChG"/>
        <w:spacing w:before="0"/>
      </w:pPr>
      <w:r>
        <w:t>Annex I</w:t>
      </w:r>
      <w:r w:rsidR="00D46DE0">
        <w:t>I</w:t>
      </w:r>
      <w:r>
        <w:t>I</w:t>
      </w:r>
    </w:p>
    <w:p w14:paraId="6CB9C001" w14:textId="77777777" w:rsidR="00BE07CA" w:rsidRDefault="00BE07CA" w:rsidP="00BE07CA">
      <w:pPr>
        <w:pStyle w:val="H1G"/>
        <w:ind w:firstLine="0"/>
      </w:pPr>
      <w:r>
        <w:t>Terms of reference of the ad hoc technical expert groups on the impact of the implementation of response measures</w:t>
      </w:r>
    </w:p>
    <w:p w14:paraId="2D07E9DD" w14:textId="7E959540" w:rsidR="00BE07CA" w:rsidRPr="009274D5" w:rsidRDefault="000E0429" w:rsidP="000E0429">
      <w:pPr>
        <w:pStyle w:val="RegSingleTxtG"/>
        <w:numPr>
          <w:ilvl w:val="0"/>
          <w:numId w:val="0"/>
        </w:numPr>
        <w:tabs>
          <w:tab w:val="left" w:pos="568"/>
        </w:tabs>
        <w:ind w:left="1135"/>
      </w:pPr>
      <w:r w:rsidRPr="009274D5">
        <w:t>1.</w:t>
      </w:r>
      <w:r w:rsidRPr="009274D5">
        <w:tab/>
      </w:r>
      <w:r w:rsidR="00BE07CA" w:rsidRPr="009274D5">
        <w:t>Pursuant to decision 11/CP.21, paragraph 4, the subsidiary bodies may constitute ad hoc technical expert groups (TEGs) to elaborate on the technical work under the improved forum on the impact of the implementation of response measures. A TEG is to make findings that will assist the improved forum in making recommendations.</w:t>
      </w:r>
    </w:p>
    <w:p w14:paraId="23A394BC" w14:textId="6896DC7D" w:rsidR="00BE07CA" w:rsidRPr="009274D5" w:rsidRDefault="000E0429" w:rsidP="000E0429">
      <w:pPr>
        <w:tabs>
          <w:tab w:val="left" w:pos="568"/>
          <w:tab w:val="left" w:pos="1701"/>
        </w:tabs>
        <w:spacing w:after="120"/>
        <w:ind w:left="1135" w:right="1134"/>
        <w:jc w:val="both"/>
      </w:pPr>
      <w:r w:rsidRPr="009274D5">
        <w:t>2.</w:t>
      </w:r>
      <w:r w:rsidRPr="009274D5">
        <w:tab/>
      </w:r>
      <w:r w:rsidR="00BE07CA" w:rsidRPr="009274D5">
        <w:t>A TEG shall have regional balance in line with decision 11/CP.21, paragraph 4, and will take into account the goal of gender balance in line with decision 23/CP.18.</w:t>
      </w:r>
    </w:p>
    <w:p w14:paraId="558DB4C8" w14:textId="24DDB5DE" w:rsidR="00BE07CA" w:rsidRDefault="000E0429" w:rsidP="000E0429">
      <w:pPr>
        <w:tabs>
          <w:tab w:val="left" w:pos="568"/>
          <w:tab w:val="left" w:pos="1701"/>
        </w:tabs>
        <w:spacing w:after="120"/>
        <w:ind w:left="1135" w:right="1134"/>
        <w:jc w:val="both"/>
      </w:pPr>
      <w:r>
        <w:t>3.</w:t>
      </w:r>
      <w:r>
        <w:tab/>
      </w:r>
      <w:r w:rsidR="00BE07CA">
        <w:t>A TEG shall be composed of:</w:t>
      </w:r>
    </w:p>
    <w:p w14:paraId="385D373F" w14:textId="54498E1C" w:rsidR="00BE07CA" w:rsidRDefault="000E0429" w:rsidP="000E0429">
      <w:pPr>
        <w:pStyle w:val="RegSingleTxtG"/>
        <w:numPr>
          <w:ilvl w:val="0"/>
          <w:numId w:val="0"/>
        </w:numPr>
        <w:tabs>
          <w:tab w:val="left" w:pos="2269"/>
        </w:tabs>
        <w:ind w:left="1135" w:firstLine="567"/>
        <w:rPr>
          <w:iCs/>
        </w:rPr>
      </w:pPr>
      <w:r>
        <w:rPr>
          <w:iCs/>
        </w:rPr>
        <w:t>(a)</w:t>
      </w:r>
      <w:r>
        <w:rPr>
          <w:iCs/>
        </w:rPr>
        <w:tab/>
      </w:r>
      <w:r w:rsidR="00BE07CA">
        <w:rPr>
          <w:iCs/>
        </w:rPr>
        <w:t>Twelve experts with two members from each of the five regional groups of the United Nations, and one member each from the small island developing States and the least developed countries;</w:t>
      </w:r>
    </w:p>
    <w:p w14:paraId="6B1D3683" w14:textId="5DA3142B" w:rsidR="00BE07CA" w:rsidRDefault="000E0429" w:rsidP="000E0429">
      <w:pPr>
        <w:pStyle w:val="RegSingleTxtG"/>
        <w:numPr>
          <w:ilvl w:val="0"/>
          <w:numId w:val="0"/>
        </w:numPr>
        <w:tabs>
          <w:tab w:val="left" w:pos="2269"/>
        </w:tabs>
        <w:ind w:left="1135" w:firstLine="567"/>
        <w:rPr>
          <w:iCs/>
        </w:rPr>
      </w:pPr>
      <w:r>
        <w:rPr>
          <w:iCs/>
        </w:rPr>
        <w:t>(b)</w:t>
      </w:r>
      <w:r>
        <w:rPr>
          <w:iCs/>
        </w:rPr>
        <w:tab/>
      </w:r>
      <w:r w:rsidR="00BE07CA">
        <w:rPr>
          <w:iCs/>
        </w:rPr>
        <w:t>Two experts from intergovernmental organizations with experience in the relevant technical area.</w:t>
      </w:r>
    </w:p>
    <w:p w14:paraId="5AC13C7E" w14:textId="69DCFB56" w:rsidR="00BE07CA" w:rsidRDefault="000E0429" w:rsidP="000E0429">
      <w:pPr>
        <w:tabs>
          <w:tab w:val="left" w:pos="568"/>
          <w:tab w:val="left" w:pos="1701"/>
        </w:tabs>
        <w:spacing w:after="120"/>
        <w:ind w:left="1135" w:right="1134"/>
        <w:jc w:val="both"/>
      </w:pPr>
      <w:r>
        <w:t>4.</w:t>
      </w:r>
      <w:r>
        <w:tab/>
      </w:r>
      <w:r w:rsidR="00BE07CA">
        <w:t>The participating experts shall serve in their independent expert capacity.</w:t>
      </w:r>
    </w:p>
    <w:p w14:paraId="423AA62F" w14:textId="2D3BCABA" w:rsidR="00BE07CA" w:rsidRDefault="000E0429" w:rsidP="000E0429">
      <w:pPr>
        <w:tabs>
          <w:tab w:val="left" w:pos="568"/>
          <w:tab w:val="left" w:pos="1701"/>
        </w:tabs>
        <w:spacing w:after="120"/>
        <w:ind w:left="1135" w:right="1134"/>
        <w:jc w:val="both"/>
      </w:pPr>
      <w:r>
        <w:t>5.</w:t>
      </w:r>
      <w:r>
        <w:tab/>
      </w:r>
      <w:r w:rsidR="00BE07CA">
        <w:t>An ad hoc TEG meets in session in conjunction with the meetings of the forum, unless otherwise decided by Parties.</w:t>
      </w:r>
    </w:p>
    <w:p w14:paraId="5F062EF1" w14:textId="6C204674" w:rsidR="00BE07CA" w:rsidRDefault="000E0429" w:rsidP="000E0429">
      <w:pPr>
        <w:tabs>
          <w:tab w:val="left" w:pos="568"/>
          <w:tab w:val="left" w:pos="1701"/>
        </w:tabs>
        <w:spacing w:after="120"/>
        <w:ind w:left="1135" w:right="1134"/>
        <w:jc w:val="both"/>
      </w:pPr>
      <w:r>
        <w:t>6.</w:t>
      </w:r>
      <w:r>
        <w:tab/>
      </w:r>
      <w:r w:rsidR="00BE07CA">
        <w:t>Technical experts will need to have relevant qualifications and expertise in scientific, technical and socioeconomic fields related to the areas of the work programme on the improved forum on the impact of the implementation of response measures. Parties will determine what expertise is required for a TEG.</w:t>
      </w:r>
    </w:p>
    <w:p w14:paraId="0B43B38A" w14:textId="38CB58F3" w:rsidR="00BE07CA" w:rsidRDefault="000E0429" w:rsidP="000E0429">
      <w:pPr>
        <w:tabs>
          <w:tab w:val="left" w:pos="568"/>
          <w:tab w:val="left" w:pos="1701"/>
        </w:tabs>
        <w:spacing w:after="120"/>
        <w:ind w:left="1135" w:right="1134"/>
        <w:jc w:val="both"/>
      </w:pPr>
      <w:r>
        <w:t>7.</w:t>
      </w:r>
      <w:r>
        <w:tab/>
      </w:r>
      <w:r w:rsidR="00BE07CA">
        <w:t>The members of a TEG shall be nominated and approved by Parties.</w:t>
      </w:r>
    </w:p>
    <w:p w14:paraId="3F4B5C65" w14:textId="241E4860" w:rsidR="00BE07CA" w:rsidRDefault="000E0429" w:rsidP="000E0429">
      <w:pPr>
        <w:tabs>
          <w:tab w:val="left" w:pos="568"/>
          <w:tab w:val="left" w:pos="1701"/>
        </w:tabs>
        <w:spacing w:after="120"/>
        <w:ind w:left="1135" w:right="1134"/>
        <w:jc w:val="both"/>
      </w:pPr>
      <w:r>
        <w:t>8.</w:t>
      </w:r>
      <w:r>
        <w:tab/>
      </w:r>
      <w:r w:rsidR="00BE07CA">
        <w:t>The co-chairs of a TEG shall be nominated and approved by Parties with one co-chair nominated by developing country Parties and one co-chair nominated by developed country Parties.</w:t>
      </w:r>
    </w:p>
    <w:p w14:paraId="49246F6C" w14:textId="33A6E14E" w:rsidR="00BE07CA" w:rsidRDefault="000E0429" w:rsidP="000E0429">
      <w:pPr>
        <w:tabs>
          <w:tab w:val="left" w:pos="568"/>
          <w:tab w:val="left" w:pos="1701"/>
        </w:tabs>
        <w:spacing w:after="120"/>
        <w:ind w:left="1135" w:right="1134"/>
        <w:jc w:val="both"/>
      </w:pPr>
      <w:r>
        <w:t>9.</w:t>
      </w:r>
      <w:r>
        <w:tab/>
      </w:r>
      <w:r w:rsidR="00BE07CA">
        <w:t>Meetings are open to attendance by accredited observer organizations and observers from Parties.</w:t>
      </w:r>
    </w:p>
    <w:p w14:paraId="15D36F2F" w14:textId="53EC8493" w:rsidR="00BE07CA" w:rsidRDefault="000E0429" w:rsidP="000E0429">
      <w:pPr>
        <w:tabs>
          <w:tab w:val="left" w:pos="568"/>
          <w:tab w:val="left" w:pos="1701"/>
        </w:tabs>
        <w:spacing w:after="120"/>
        <w:ind w:left="1135" w:right="1134"/>
        <w:jc w:val="both"/>
      </w:pPr>
      <w:r>
        <w:t>10.</w:t>
      </w:r>
      <w:r>
        <w:tab/>
      </w:r>
      <w:r w:rsidR="00BE07CA">
        <w:t>The secretariat shall support the activities of a TEG, including facilitating the organization of meetings and preparing background materials and workshop/meeting reports, as requested by the TEG, and as appropriate.</w:t>
      </w:r>
    </w:p>
    <w:p w14:paraId="6B5D1598" w14:textId="77777777" w:rsidR="00BE07CA" w:rsidRDefault="00BE07CA" w:rsidP="00BE07CA">
      <w:pPr>
        <w:spacing w:before="240"/>
        <w:ind w:left="1134" w:right="1134"/>
        <w:jc w:val="center"/>
        <w:rPr>
          <w:u w:val="single"/>
        </w:rPr>
      </w:pPr>
      <w:r>
        <w:rPr>
          <w:sz w:val="24"/>
          <w:u w:val="single"/>
        </w:rPr>
        <w:tab/>
      </w:r>
      <w:r>
        <w:rPr>
          <w:sz w:val="24"/>
          <w:u w:val="single"/>
        </w:rPr>
        <w:tab/>
      </w:r>
      <w:r>
        <w:rPr>
          <w:sz w:val="24"/>
          <w:u w:val="single"/>
        </w:rPr>
        <w:tab/>
      </w:r>
    </w:p>
    <w:p w14:paraId="6D1258E9" w14:textId="77777777" w:rsidR="00BE07CA" w:rsidRDefault="00BE07CA" w:rsidP="00BE07CA"/>
    <w:p w14:paraId="73E9C3AD" w14:textId="77777777" w:rsidR="00BE07CA" w:rsidRPr="00811AEC" w:rsidRDefault="00BE07CA" w:rsidP="00BE07CA"/>
    <w:p w14:paraId="6A04A660" w14:textId="77777777" w:rsidR="00BE07CA" w:rsidRPr="00C8510F" w:rsidRDefault="00BE07CA" w:rsidP="00BE07CA"/>
    <w:p w14:paraId="119CF479" w14:textId="5DD7A5C7" w:rsidR="00A61BEC" w:rsidRPr="00BE07CA" w:rsidRDefault="00A61BEC" w:rsidP="00BE07CA"/>
    <w:sectPr w:rsidR="00A61BEC" w:rsidRPr="00BE07CA" w:rsidSect="00A900FC">
      <w:headerReference w:type="even" r:id="rId64"/>
      <w:headerReference w:type="default" r:id="rId65"/>
      <w:footerReference w:type="even" r:id="rId66"/>
      <w:footerReference w:type="default" r:id="rId67"/>
      <w:headerReference w:type="first" r:id="rId68"/>
      <w:footerReference w:type="first" r:id="rId69"/>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485E" w14:textId="77777777" w:rsidR="0068282A" w:rsidRDefault="0068282A">
      <w:r>
        <w:separator/>
      </w:r>
    </w:p>
  </w:endnote>
  <w:endnote w:type="continuationSeparator" w:id="0">
    <w:p w14:paraId="7ECF1AB8" w14:textId="77777777" w:rsidR="0068282A" w:rsidRDefault="0068282A">
      <w:r>
        <w:continuationSeparator/>
      </w:r>
    </w:p>
  </w:endnote>
  <w:endnote w:type="continuationNotice" w:id="1">
    <w:p w14:paraId="581E5520" w14:textId="77777777" w:rsidR="0068282A" w:rsidRDefault="0068282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Kozuka Gothic Pro L">
    <w:altName w:val="Yu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C301" w14:textId="6BE251E2" w:rsidR="00952179" w:rsidRDefault="00952179" w:rsidP="00DD4824">
    <w:pPr>
      <w:pStyle w:val="Footer"/>
      <w:tabs>
        <w:tab w:val="right" w:pos="9638"/>
      </w:tabs>
    </w:pPr>
    <w:r w:rsidRPr="00EC1A7B">
      <w:rPr>
        <w:b/>
        <w:sz w:val="18"/>
      </w:rPr>
      <w:fldChar w:fldCharType="begin"/>
    </w:r>
    <w:r w:rsidRPr="00EC1A7B">
      <w:rPr>
        <w:b/>
        <w:sz w:val="18"/>
      </w:rPr>
      <w:instrText xml:space="preserve"> PAGE  \* MERGEFORMAT </w:instrText>
    </w:r>
    <w:r w:rsidRPr="00EC1A7B">
      <w:rPr>
        <w:b/>
        <w:sz w:val="18"/>
      </w:rPr>
      <w:fldChar w:fldCharType="separate"/>
    </w:r>
    <w:r w:rsidR="000E0429">
      <w:rPr>
        <w:b/>
        <w:noProof/>
        <w:sz w:val="18"/>
      </w:rPr>
      <w:t>2</w:t>
    </w:r>
    <w:r w:rsidRPr="00EC1A7B">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2139" w14:textId="7019ED57" w:rsidR="00952179" w:rsidRPr="0075674A" w:rsidRDefault="00952179" w:rsidP="006D4A81">
    <w:pPr>
      <w:pStyle w:val="Footer"/>
      <w:ind w:right="-45"/>
      <w:jc w:val="right"/>
      <w:rPr>
        <w:b/>
        <w:sz w:val="18"/>
        <w:szCs w:val="18"/>
      </w:rPr>
    </w:pPr>
    <w:r w:rsidRPr="0075674A">
      <w:rPr>
        <w:b/>
        <w:sz w:val="18"/>
        <w:szCs w:val="18"/>
      </w:rPr>
      <w:fldChar w:fldCharType="begin"/>
    </w:r>
    <w:r w:rsidRPr="0075674A">
      <w:rPr>
        <w:b/>
        <w:sz w:val="18"/>
        <w:szCs w:val="18"/>
      </w:rPr>
      <w:instrText xml:space="preserve"> PAGE  \* MERGEFORMAT </w:instrText>
    </w:r>
    <w:r w:rsidRPr="0075674A">
      <w:rPr>
        <w:b/>
        <w:sz w:val="18"/>
        <w:szCs w:val="18"/>
      </w:rPr>
      <w:fldChar w:fldCharType="separate"/>
    </w:r>
    <w:r w:rsidR="000E0429">
      <w:rPr>
        <w:b/>
        <w:noProof/>
        <w:sz w:val="18"/>
        <w:szCs w:val="18"/>
      </w:rPr>
      <w:t>49</w:t>
    </w:r>
    <w:r w:rsidRPr="0075674A">
      <w:rPr>
        <w:b/>
        <w:sz w:val="18"/>
        <w:szCs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17704" w14:textId="77777777" w:rsidR="00952179" w:rsidRPr="00EF78D9" w:rsidRDefault="00952179" w:rsidP="006D4A81">
    <w:pPr>
      <w:pStyle w:val="Footer"/>
    </w:pPr>
    <w:r>
      <w:rPr>
        <w:noProof/>
        <w:lang w:val="en-US" w:eastAsia="en-US"/>
      </w:rPr>
      <mc:AlternateContent>
        <mc:Choice Requires="wps">
          <w:drawing>
            <wp:anchor distT="0" distB="0" distL="114300" distR="114300" simplePos="0" relativeHeight="251672576" behindDoc="0" locked="0" layoutInCell="1" allowOverlap="1" wp14:anchorId="0D9ADB2E" wp14:editId="08D71E6C">
              <wp:simplePos x="0" y="0"/>
              <wp:positionH relativeFrom="margin">
                <wp:posOffset>-431800</wp:posOffset>
              </wp:positionH>
              <wp:positionV relativeFrom="margin">
                <wp:posOffset>0</wp:posOffset>
              </wp:positionV>
              <wp:extent cx="222885" cy="6120130"/>
              <wp:effectExtent l="0" t="0" r="5715" b="139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71CAEFC" w14:textId="77777777" w:rsidR="00952179" w:rsidRPr="00EF78D9" w:rsidRDefault="00952179" w:rsidP="006D4A81">
                          <w:pPr>
                            <w:pStyle w:val="Footer"/>
                            <w:tabs>
                              <w:tab w:val="right" w:pos="9638"/>
                            </w:tabs>
                          </w:pPr>
                          <w:r w:rsidRPr="00EF78D9">
                            <w:rPr>
                              <w:b/>
                              <w:sz w:val="18"/>
                            </w:rPr>
                            <w:fldChar w:fldCharType="begin"/>
                          </w:r>
                          <w:r w:rsidRPr="00EF78D9">
                            <w:rPr>
                              <w:b/>
                              <w:sz w:val="18"/>
                            </w:rPr>
                            <w:instrText xml:space="preserve"> PAGE  \* MERGEFORMAT </w:instrText>
                          </w:r>
                          <w:r w:rsidRPr="00EF78D9">
                            <w:rPr>
                              <w:b/>
                              <w:sz w:val="18"/>
                            </w:rPr>
                            <w:fldChar w:fldCharType="separate"/>
                          </w:r>
                          <w:r w:rsidR="009203E1">
                            <w:rPr>
                              <w:b/>
                              <w:noProof/>
                              <w:sz w:val="18"/>
                            </w:rPr>
                            <w:t>52</w:t>
                          </w:r>
                          <w:r w:rsidRPr="00EF78D9">
                            <w:rPr>
                              <w:b/>
                              <w:sz w:val="18"/>
                            </w:rPr>
                            <w:fldChar w:fldCharType="end"/>
                          </w:r>
                          <w:r>
                            <w:rPr>
                              <w:sz w:val="18"/>
                            </w:rPr>
                            <w:tab/>
                          </w:r>
                        </w:p>
                        <w:p w14:paraId="6271D688" w14:textId="77777777" w:rsidR="00952179" w:rsidRDefault="0095217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D9ADB2E" id="_x0000_t202" coordsize="21600,21600" o:spt="202" path="m,l,21600r21600,l21600,xe">
              <v:stroke joinstyle="miter"/>
              <v:path gradientshapeok="t" o:connecttype="rect"/>
            </v:shapetype>
            <v:shape id="Text Box 10" o:spid="_x0000_s1036" type="#_x0000_t202" style="position:absolute;margin-left:-34pt;margin-top:0;width:17.55pt;height:481.9pt;z-index:25167257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" filled="f" stroked="f">
              <v:stroke joinstyle="round"/>
              <v:path arrowok="t"/>
              <v:textbox style="layout-flow:vertical" inset="0,0,0,0">
                <w:txbxContent>
                  <w:p w14:paraId="371CAEFC" w14:textId="77777777" w:rsidR="00952179" w:rsidRPr="00EF78D9" w:rsidRDefault="00952179" w:rsidP="006D4A81">
                    <w:pPr>
                      <w:pStyle w:val="Footer"/>
                      <w:tabs>
                        <w:tab w:val="right" w:pos="9638"/>
                      </w:tabs>
                    </w:pPr>
                    <w:r w:rsidRPr="00EF78D9">
                      <w:rPr>
                        <w:b/>
                        <w:sz w:val="18"/>
                      </w:rPr>
                      <w:fldChar w:fldCharType="begin"/>
                    </w:r>
                    <w:r w:rsidRPr="00EF78D9">
                      <w:rPr>
                        <w:b/>
                        <w:sz w:val="18"/>
                      </w:rPr>
                      <w:instrText xml:space="preserve"> PAGE  \* MERGEFORMAT </w:instrText>
                    </w:r>
                    <w:r w:rsidRPr="00EF78D9">
                      <w:rPr>
                        <w:b/>
                        <w:sz w:val="18"/>
                      </w:rPr>
                      <w:fldChar w:fldCharType="separate"/>
                    </w:r>
                    <w:r w:rsidR="009203E1">
                      <w:rPr>
                        <w:b/>
                        <w:noProof/>
                        <w:sz w:val="18"/>
                      </w:rPr>
                      <w:t>52</w:t>
                    </w:r>
                    <w:r w:rsidRPr="00EF78D9">
                      <w:rPr>
                        <w:b/>
                        <w:sz w:val="18"/>
                      </w:rPr>
                      <w:fldChar w:fldCharType="end"/>
                    </w:r>
                    <w:r>
                      <w:rPr>
                        <w:sz w:val="18"/>
                      </w:rPr>
                      <w:tab/>
                    </w:r>
                  </w:p>
                  <w:p w14:paraId="6271D688" w14:textId="77777777" w:rsidR="00952179" w:rsidRDefault="00952179"/>
                </w:txbxContent>
              </v:textbox>
              <w10:wrap anchorx="margin" anchory="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3BE32" w14:textId="6E46EBEE" w:rsidR="00952179" w:rsidRPr="008F63F4" w:rsidRDefault="00952179" w:rsidP="008F63F4">
    <w:pPr>
      <w:pStyle w:val="Footer"/>
    </w:pPr>
    <w:r>
      <w:rPr>
        <w:noProof/>
        <w:lang w:val="en-US" w:eastAsia="en-US"/>
      </w:rPr>
      <mc:AlternateContent>
        <mc:Choice Requires="wps">
          <w:drawing>
            <wp:anchor distT="0" distB="0" distL="114300" distR="114300" simplePos="0" relativeHeight="251681792" behindDoc="0" locked="0" layoutInCell="1" allowOverlap="1" wp14:anchorId="31D5F416" wp14:editId="28F30E6E">
              <wp:simplePos x="0" y="0"/>
              <wp:positionH relativeFrom="margin">
                <wp:posOffset>-431800</wp:posOffset>
              </wp:positionH>
              <wp:positionV relativeFrom="margin">
                <wp:posOffset>0</wp:posOffset>
              </wp:positionV>
              <wp:extent cx="222250" cy="6121400"/>
              <wp:effectExtent l="0" t="0" r="6350" b="1270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250" cy="612140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7EC03192" w14:textId="186A84BD" w:rsidR="00952179" w:rsidRPr="008F63F4" w:rsidRDefault="00952179" w:rsidP="008F63F4">
                          <w:pPr>
                            <w:pStyle w:val="Footer"/>
                            <w:tabs>
                              <w:tab w:val="right" w:pos="9638"/>
                            </w:tabs>
                            <w:rPr>
                              <w:b/>
                              <w:sz w:val="18"/>
                            </w:rPr>
                          </w:pPr>
                          <w:r>
                            <w:tab/>
                          </w:r>
                          <w:r w:rsidRPr="008F63F4">
                            <w:rPr>
                              <w:b/>
                              <w:sz w:val="18"/>
                            </w:rPr>
                            <w:fldChar w:fldCharType="begin"/>
                          </w:r>
                          <w:r w:rsidRPr="008F63F4">
                            <w:rPr>
                              <w:b/>
                              <w:sz w:val="18"/>
                            </w:rPr>
                            <w:instrText xml:space="preserve"> PAGE  \* MERGEFORMAT </w:instrText>
                          </w:r>
                          <w:r w:rsidRPr="008F63F4">
                            <w:rPr>
                              <w:b/>
                              <w:sz w:val="18"/>
                            </w:rPr>
                            <w:fldChar w:fldCharType="separate"/>
                          </w:r>
                          <w:r w:rsidR="000E0429">
                            <w:rPr>
                              <w:b/>
                              <w:noProof/>
                              <w:sz w:val="18"/>
                            </w:rPr>
                            <w:t>51</w:t>
                          </w:r>
                          <w:r w:rsidRPr="008F63F4">
                            <w:rPr>
                              <w:b/>
                              <w:sz w:val="18"/>
                            </w:rPr>
                            <w:fldChar w:fldCharType="end"/>
                          </w:r>
                        </w:p>
                        <w:p w14:paraId="74A664B5" w14:textId="77777777" w:rsidR="00952179" w:rsidRDefault="0095217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1D5F416" id="_x0000_t202" coordsize="21600,21600" o:spt="202" path="m,l,21600r21600,l21600,xe">
              <v:stroke joinstyle="miter"/>
              <v:path gradientshapeok="t" o:connecttype="rect"/>
            </v:shapetype>
            <v:shape id="Text Box 23" o:spid="_x0000_s1037" type="#_x0000_t202" style="position:absolute;margin-left:-34pt;margin-top:0;width:17.5pt;height:482pt;z-index:25168179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" filled="f" stroked="f">
              <v:stroke joinstyle="round"/>
              <v:path arrowok="t"/>
              <v:textbox style="layout-flow:vertical" inset="0,0,0,0">
                <w:txbxContent>
                  <w:p w14:paraId="7EC03192" w14:textId="186A84BD" w:rsidR="00952179" w:rsidRPr="008F63F4" w:rsidRDefault="00952179" w:rsidP="008F63F4">
                    <w:pPr>
                      <w:pStyle w:val="Footer"/>
                      <w:tabs>
                        <w:tab w:val="right" w:pos="9638"/>
                      </w:tabs>
                      <w:rPr>
                        <w:b/>
                        <w:sz w:val="18"/>
                      </w:rPr>
                    </w:pPr>
                    <w:r>
                      <w:tab/>
                    </w:r>
                    <w:r w:rsidRPr="008F63F4">
                      <w:rPr>
                        <w:b/>
                        <w:sz w:val="18"/>
                      </w:rPr>
                      <w:fldChar w:fldCharType="begin"/>
                    </w:r>
                    <w:r w:rsidRPr="008F63F4">
                      <w:rPr>
                        <w:b/>
                        <w:sz w:val="18"/>
                      </w:rPr>
                      <w:instrText xml:space="preserve"> PAGE  \* MERGEFORMAT </w:instrText>
                    </w:r>
                    <w:r w:rsidRPr="008F63F4">
                      <w:rPr>
                        <w:b/>
                        <w:sz w:val="18"/>
                      </w:rPr>
                      <w:fldChar w:fldCharType="separate"/>
                    </w:r>
                    <w:r w:rsidR="000E0429">
                      <w:rPr>
                        <w:b/>
                        <w:noProof/>
                        <w:sz w:val="18"/>
                      </w:rPr>
                      <w:t>51</w:t>
                    </w:r>
                    <w:r w:rsidRPr="008F63F4">
                      <w:rPr>
                        <w:b/>
                        <w:sz w:val="18"/>
                      </w:rPr>
                      <w:fldChar w:fldCharType="end"/>
                    </w:r>
                  </w:p>
                  <w:p w14:paraId="74A664B5" w14:textId="77777777" w:rsidR="00952179" w:rsidRDefault="00952179"/>
                </w:txbxContent>
              </v:textbox>
              <w10:wrap anchorx="margin" anchory="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BEA3" w14:textId="5BE1F716" w:rsidR="00952179" w:rsidRPr="005A3E4B" w:rsidRDefault="00952179" w:rsidP="006D4A81">
    <w:pPr>
      <w:pStyle w:val="Footer"/>
      <w:tabs>
        <w:tab w:val="right" w:pos="9638"/>
      </w:tabs>
    </w:pPr>
    <w:r w:rsidRPr="005A3E4B">
      <w:rPr>
        <w:b/>
        <w:sz w:val="18"/>
      </w:rPr>
      <w:fldChar w:fldCharType="begin"/>
    </w:r>
    <w:r w:rsidRPr="005A3E4B">
      <w:rPr>
        <w:b/>
        <w:sz w:val="18"/>
      </w:rPr>
      <w:instrText xml:space="preserve"> PAGE  \* MERGEFORMAT </w:instrText>
    </w:r>
    <w:r w:rsidRPr="005A3E4B">
      <w:rPr>
        <w:b/>
        <w:sz w:val="18"/>
      </w:rPr>
      <w:fldChar w:fldCharType="separate"/>
    </w:r>
    <w:r w:rsidR="000E0429">
      <w:rPr>
        <w:b/>
        <w:noProof/>
        <w:sz w:val="18"/>
      </w:rPr>
      <w:t>52</w:t>
    </w:r>
    <w:r w:rsidRPr="005A3E4B">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7E9EA" w14:textId="34DED5FA" w:rsidR="00952179" w:rsidRPr="004116D7" w:rsidRDefault="00952179" w:rsidP="006D4A81">
    <w:pPr>
      <w:pStyle w:val="Footer"/>
      <w:tabs>
        <w:tab w:val="right" w:pos="9638"/>
      </w:tabs>
      <w:rPr>
        <w:b/>
        <w:sz w:val="18"/>
      </w:rPr>
    </w:pPr>
    <w:r>
      <w:tab/>
    </w:r>
    <w:r w:rsidRPr="004116D7">
      <w:rPr>
        <w:b/>
        <w:sz w:val="18"/>
      </w:rPr>
      <w:fldChar w:fldCharType="begin"/>
    </w:r>
    <w:r w:rsidRPr="004116D7">
      <w:rPr>
        <w:b/>
        <w:sz w:val="18"/>
      </w:rPr>
      <w:instrText xml:space="preserve"> PAGE  \* MERGEFORMAT </w:instrText>
    </w:r>
    <w:r w:rsidRPr="004116D7">
      <w:rPr>
        <w:b/>
        <w:sz w:val="18"/>
      </w:rPr>
      <w:fldChar w:fldCharType="separate"/>
    </w:r>
    <w:r w:rsidR="000E0429">
      <w:rPr>
        <w:b/>
        <w:noProof/>
        <w:sz w:val="18"/>
      </w:rPr>
      <w:t>53</w:t>
    </w:r>
    <w:r w:rsidRPr="004116D7">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48D3D" w14:textId="307933D8" w:rsidR="00952179" w:rsidRPr="008F63F4" w:rsidRDefault="00952179" w:rsidP="008F63F4">
    <w:pPr>
      <w:pStyle w:val="Footer"/>
    </w:pPr>
    <w:r>
      <w:rPr>
        <w:noProof/>
        <w:lang w:val="en-US" w:eastAsia="en-US"/>
      </w:rPr>
      <mc:AlternateContent>
        <mc:Choice Requires="wps">
          <w:drawing>
            <wp:anchor distT="0" distB="0" distL="114300" distR="114300" simplePos="0" relativeHeight="251683840" behindDoc="0" locked="0" layoutInCell="1" allowOverlap="1" wp14:anchorId="34C6AB9A" wp14:editId="2036E889">
              <wp:simplePos x="0" y="0"/>
              <wp:positionH relativeFrom="margin">
                <wp:posOffset>-431800</wp:posOffset>
              </wp:positionH>
              <wp:positionV relativeFrom="margin">
                <wp:posOffset>0</wp:posOffset>
              </wp:positionV>
              <wp:extent cx="221343" cy="6121400"/>
              <wp:effectExtent l="0" t="0" r="7620" b="127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43" cy="612140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37F389E" w14:textId="5D31C587" w:rsidR="00952179" w:rsidRPr="008F63F4" w:rsidRDefault="00952179" w:rsidP="008F63F4">
                          <w:pPr>
                            <w:pStyle w:val="Footer"/>
                            <w:tabs>
                              <w:tab w:val="right" w:pos="9638"/>
                            </w:tabs>
                          </w:pPr>
                          <w:r w:rsidRPr="008F63F4">
                            <w:rPr>
                              <w:b/>
                              <w:sz w:val="18"/>
                            </w:rPr>
                            <w:fldChar w:fldCharType="begin"/>
                          </w:r>
                          <w:r w:rsidRPr="008F63F4">
                            <w:rPr>
                              <w:b/>
                              <w:sz w:val="18"/>
                            </w:rPr>
                            <w:instrText xml:space="preserve"> PAGE  \* MERGEFORMAT </w:instrText>
                          </w:r>
                          <w:r w:rsidRPr="008F63F4">
                            <w:rPr>
                              <w:b/>
                              <w:sz w:val="18"/>
                            </w:rPr>
                            <w:fldChar w:fldCharType="separate"/>
                          </w:r>
                          <w:r w:rsidR="000E0429">
                            <w:rPr>
                              <w:b/>
                              <w:noProof/>
                              <w:sz w:val="18"/>
                            </w:rPr>
                            <w:t>56</w:t>
                          </w:r>
                          <w:r w:rsidRPr="008F63F4">
                            <w:rPr>
                              <w:b/>
                              <w:sz w:val="18"/>
                            </w:rPr>
                            <w:fldChar w:fldCharType="end"/>
                          </w:r>
                          <w:r>
                            <w:rPr>
                              <w:sz w:val="18"/>
                            </w:rPr>
                            <w:tab/>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4C6AB9A" id="_x0000_t202" coordsize="21600,21600" o:spt="202" path="m,l,21600r21600,l21600,xe">
              <v:stroke joinstyle="miter"/>
              <v:path gradientshapeok="t" o:connecttype="rect"/>
            </v:shapetype>
            <v:shape id="Text Box 25" o:spid="_x0000_s1040" type="#_x0000_t202" style="position:absolute;margin-left:-34pt;margin-top:0;width:17.45pt;height:482pt;z-index:2516838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" filled="f" stroked="f">
              <v:stroke joinstyle="round"/>
              <v:path arrowok="t"/>
              <v:textbox style="layout-flow:vertical" inset="0,0,0,0">
                <w:txbxContent>
                  <w:p w14:paraId="637F389E" w14:textId="5D31C587" w:rsidR="00952179" w:rsidRPr="008F63F4" w:rsidRDefault="00952179" w:rsidP="008F63F4">
                    <w:pPr>
                      <w:pStyle w:val="Footer"/>
                      <w:tabs>
                        <w:tab w:val="right" w:pos="9638"/>
                      </w:tabs>
                    </w:pPr>
                    <w:r w:rsidRPr="008F63F4">
                      <w:rPr>
                        <w:b/>
                        <w:sz w:val="18"/>
                      </w:rPr>
                      <w:fldChar w:fldCharType="begin"/>
                    </w:r>
                    <w:r w:rsidRPr="008F63F4">
                      <w:rPr>
                        <w:b/>
                        <w:sz w:val="18"/>
                      </w:rPr>
                      <w:instrText xml:space="preserve"> PAGE  \* MERGEFORMAT </w:instrText>
                    </w:r>
                    <w:r w:rsidRPr="008F63F4">
                      <w:rPr>
                        <w:b/>
                        <w:sz w:val="18"/>
                      </w:rPr>
                      <w:fldChar w:fldCharType="separate"/>
                    </w:r>
                    <w:r w:rsidR="000E0429">
                      <w:rPr>
                        <w:b/>
                        <w:noProof/>
                        <w:sz w:val="18"/>
                      </w:rPr>
                      <w:t>56</w:t>
                    </w:r>
                    <w:r w:rsidRPr="008F63F4">
                      <w:rPr>
                        <w:b/>
                        <w:sz w:val="18"/>
                      </w:rPr>
                      <w:fldChar w:fldCharType="end"/>
                    </w:r>
                    <w:r>
                      <w:rPr>
                        <w:sz w:val="18"/>
                      </w:rPr>
                      <w:tab/>
                    </w:r>
                  </w:p>
                </w:txbxContent>
              </v:textbox>
              <w10:wrap anchorx="margin" anchory="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4A444" w14:textId="6C06A840" w:rsidR="00952179" w:rsidRPr="00487D2B" w:rsidRDefault="00952179" w:rsidP="00487D2B">
    <w:pPr>
      <w:pStyle w:val="Footer"/>
    </w:pPr>
    <w:r>
      <w:rPr>
        <w:noProof/>
        <w:lang w:val="en-US" w:eastAsia="en-US"/>
      </w:rPr>
      <mc:AlternateContent>
        <mc:Choice Requires="wps">
          <w:drawing>
            <wp:anchor distT="0" distB="0" distL="114300" distR="114300" simplePos="0" relativeHeight="251687936" behindDoc="0" locked="0" layoutInCell="1" allowOverlap="1" wp14:anchorId="56717D36" wp14:editId="3DA369AA">
              <wp:simplePos x="0" y="0"/>
              <wp:positionH relativeFrom="margin">
                <wp:posOffset>-431800</wp:posOffset>
              </wp:positionH>
              <wp:positionV relativeFrom="margin">
                <wp:posOffset>0</wp:posOffset>
              </wp:positionV>
              <wp:extent cx="219075" cy="6124575"/>
              <wp:effectExtent l="0" t="0" r="9525"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6124575"/>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BF33305" w14:textId="4B5D3981" w:rsidR="00952179" w:rsidRPr="00487D2B" w:rsidRDefault="00952179" w:rsidP="00487D2B">
                          <w:pPr>
                            <w:pStyle w:val="Footer"/>
                            <w:tabs>
                              <w:tab w:val="right" w:pos="9638"/>
                            </w:tabs>
                            <w:rPr>
                              <w:b/>
                              <w:sz w:val="18"/>
                            </w:rPr>
                          </w:pPr>
                          <w:r>
                            <w:tab/>
                          </w:r>
                          <w:r w:rsidRPr="00487D2B">
                            <w:rPr>
                              <w:b/>
                              <w:sz w:val="18"/>
                            </w:rPr>
                            <w:fldChar w:fldCharType="begin"/>
                          </w:r>
                          <w:r w:rsidRPr="00487D2B">
                            <w:rPr>
                              <w:b/>
                              <w:sz w:val="18"/>
                            </w:rPr>
                            <w:instrText xml:space="preserve"> PAGE  \* MERGEFORMAT </w:instrText>
                          </w:r>
                          <w:r w:rsidRPr="00487D2B">
                            <w:rPr>
                              <w:b/>
                              <w:sz w:val="18"/>
                            </w:rPr>
                            <w:fldChar w:fldCharType="separate"/>
                          </w:r>
                          <w:r w:rsidR="000E0429">
                            <w:rPr>
                              <w:b/>
                              <w:noProof/>
                              <w:sz w:val="18"/>
                            </w:rPr>
                            <w:t>55</w:t>
                          </w:r>
                          <w:r w:rsidRPr="00487D2B">
                            <w:rPr>
                              <w:b/>
                              <w:sz w:val="18"/>
                            </w:rPr>
                            <w:fldChar w:fldCharType="end"/>
                          </w:r>
                        </w:p>
                        <w:p w14:paraId="779C5AEA" w14:textId="77777777" w:rsidR="00952179" w:rsidRDefault="0095217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6717D36" id="_x0000_t202" coordsize="21600,21600" o:spt="202" path="m,l,21600r21600,l21600,xe">
              <v:stroke joinstyle="miter"/>
              <v:path gradientshapeok="t" o:connecttype="rect"/>
            </v:shapetype>
            <v:shape id="Text Box 30" o:spid="_x0000_s1041" type="#_x0000_t202" style="position:absolute;margin-left:-34pt;margin-top:0;width:17.25pt;height:482.25pt;z-index:25168793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" filled="f" stroked="f">
              <v:stroke joinstyle="round"/>
              <v:path arrowok="t"/>
              <v:textbox style="layout-flow:vertical" inset="0,0,0,0">
                <w:txbxContent>
                  <w:p w14:paraId="6BF33305" w14:textId="4B5D3981" w:rsidR="00952179" w:rsidRPr="00487D2B" w:rsidRDefault="00952179" w:rsidP="00487D2B">
                    <w:pPr>
                      <w:pStyle w:val="Footer"/>
                      <w:tabs>
                        <w:tab w:val="right" w:pos="9638"/>
                      </w:tabs>
                      <w:rPr>
                        <w:b/>
                        <w:sz w:val="18"/>
                      </w:rPr>
                    </w:pPr>
                    <w:r>
                      <w:tab/>
                    </w:r>
                    <w:r w:rsidRPr="00487D2B">
                      <w:rPr>
                        <w:b/>
                        <w:sz w:val="18"/>
                      </w:rPr>
                      <w:fldChar w:fldCharType="begin"/>
                    </w:r>
                    <w:r w:rsidRPr="00487D2B">
                      <w:rPr>
                        <w:b/>
                        <w:sz w:val="18"/>
                      </w:rPr>
                      <w:instrText xml:space="preserve"> PAGE  \* MERGEFORMAT </w:instrText>
                    </w:r>
                    <w:r w:rsidRPr="00487D2B">
                      <w:rPr>
                        <w:b/>
                        <w:sz w:val="18"/>
                      </w:rPr>
                      <w:fldChar w:fldCharType="separate"/>
                    </w:r>
                    <w:r w:rsidR="000E0429">
                      <w:rPr>
                        <w:b/>
                        <w:noProof/>
                        <w:sz w:val="18"/>
                      </w:rPr>
                      <w:t>55</w:t>
                    </w:r>
                    <w:r w:rsidRPr="00487D2B">
                      <w:rPr>
                        <w:b/>
                        <w:sz w:val="18"/>
                      </w:rPr>
                      <w:fldChar w:fldCharType="end"/>
                    </w:r>
                  </w:p>
                  <w:p w14:paraId="779C5AEA" w14:textId="77777777" w:rsidR="00952179" w:rsidRDefault="00952179"/>
                </w:txbxContent>
              </v:textbox>
              <w10:wrap anchorx="margin" anchory="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F9868" w14:textId="299E2244" w:rsidR="00952179" w:rsidRPr="007E6386" w:rsidRDefault="00952179" w:rsidP="006D4A81">
    <w:pPr>
      <w:pStyle w:val="Footer"/>
      <w:tabs>
        <w:tab w:val="right" w:pos="9638"/>
      </w:tabs>
    </w:pPr>
    <w:r w:rsidRPr="007E6386">
      <w:rPr>
        <w:b/>
        <w:sz w:val="18"/>
      </w:rPr>
      <w:fldChar w:fldCharType="begin"/>
    </w:r>
    <w:r w:rsidRPr="007E6386">
      <w:rPr>
        <w:b/>
        <w:sz w:val="18"/>
      </w:rPr>
      <w:instrText xml:space="preserve"> PAGE  \* MERGEFORMAT </w:instrText>
    </w:r>
    <w:r w:rsidRPr="007E6386">
      <w:rPr>
        <w:b/>
        <w:sz w:val="18"/>
      </w:rPr>
      <w:fldChar w:fldCharType="separate"/>
    </w:r>
    <w:r w:rsidR="000E0429">
      <w:rPr>
        <w:b/>
        <w:noProof/>
        <w:sz w:val="18"/>
      </w:rPr>
      <w:t>60</w:t>
    </w:r>
    <w:r w:rsidRPr="007E6386">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F1A95" w14:textId="33E1F3E2" w:rsidR="00952179" w:rsidRPr="00387940" w:rsidRDefault="00952179" w:rsidP="006D4A81">
    <w:pPr>
      <w:pStyle w:val="Footer"/>
      <w:jc w:val="right"/>
      <w:rPr>
        <w:b/>
        <w:sz w:val="18"/>
      </w:rPr>
    </w:pPr>
    <w:r w:rsidRPr="00387940">
      <w:rPr>
        <w:b/>
        <w:sz w:val="18"/>
      </w:rPr>
      <w:fldChar w:fldCharType="begin"/>
    </w:r>
    <w:r w:rsidRPr="00387940">
      <w:rPr>
        <w:b/>
        <w:sz w:val="18"/>
      </w:rPr>
      <w:instrText xml:space="preserve"> PAGE  \* MERGEFORMAT </w:instrText>
    </w:r>
    <w:r w:rsidRPr="00387940">
      <w:rPr>
        <w:b/>
        <w:sz w:val="18"/>
      </w:rPr>
      <w:fldChar w:fldCharType="separate"/>
    </w:r>
    <w:r w:rsidR="000E0429">
      <w:rPr>
        <w:b/>
        <w:noProof/>
        <w:sz w:val="18"/>
      </w:rPr>
      <w:t>61</w:t>
    </w:r>
    <w:r w:rsidRPr="00387940">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5695D" w14:textId="77777777" w:rsidR="00952179" w:rsidRPr="00D66F87" w:rsidRDefault="00952179" w:rsidP="006D4A81">
    <w:pPr>
      <w:pStyle w:val="Footer"/>
    </w:pPr>
    <w:r>
      <w:rPr>
        <w:noProof/>
        <w:lang w:val="en-US" w:eastAsia="en-US"/>
      </w:rPr>
      <mc:AlternateContent>
        <mc:Choice Requires="wps">
          <w:drawing>
            <wp:anchor distT="0" distB="0" distL="114300" distR="114300" simplePos="0" relativeHeight="251677696" behindDoc="0" locked="0" layoutInCell="1" allowOverlap="1" wp14:anchorId="5BDEDDC5" wp14:editId="0FEEC242">
              <wp:simplePos x="0" y="0"/>
              <wp:positionH relativeFrom="margin">
                <wp:posOffset>-431800</wp:posOffset>
              </wp:positionH>
              <wp:positionV relativeFrom="margin">
                <wp:posOffset>0</wp:posOffset>
              </wp:positionV>
              <wp:extent cx="222885" cy="6120130"/>
              <wp:effectExtent l="0" t="0" r="5715" b="1397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1C5DFFB" w14:textId="22B6ED7E" w:rsidR="00952179" w:rsidRPr="00D66F87" w:rsidRDefault="00952179" w:rsidP="006D4A81">
                          <w:pPr>
                            <w:pStyle w:val="Footer"/>
                            <w:tabs>
                              <w:tab w:val="right" w:pos="9638"/>
                            </w:tabs>
                          </w:pPr>
                          <w:r w:rsidRPr="00D66F87">
                            <w:rPr>
                              <w:b/>
                              <w:sz w:val="18"/>
                            </w:rPr>
                            <w:fldChar w:fldCharType="begin"/>
                          </w:r>
                          <w:r w:rsidRPr="00D66F87">
                            <w:rPr>
                              <w:b/>
                              <w:sz w:val="18"/>
                            </w:rPr>
                            <w:instrText xml:space="preserve"> PAGE  \* MERGEFORMAT </w:instrText>
                          </w:r>
                          <w:r w:rsidRPr="00D66F87">
                            <w:rPr>
                              <w:b/>
                              <w:sz w:val="18"/>
                            </w:rPr>
                            <w:fldChar w:fldCharType="separate"/>
                          </w:r>
                          <w:r w:rsidR="000E0429">
                            <w:rPr>
                              <w:b/>
                              <w:noProof/>
                              <w:sz w:val="18"/>
                            </w:rPr>
                            <w:t>62</w:t>
                          </w:r>
                          <w:r w:rsidRPr="00D66F87">
                            <w:rPr>
                              <w:b/>
                              <w:sz w:val="18"/>
                            </w:rPr>
                            <w:fldChar w:fldCharType="end"/>
                          </w:r>
                          <w:r>
                            <w:rPr>
                              <w:sz w:val="18"/>
                            </w:rPr>
                            <w:tab/>
                          </w:r>
                        </w:p>
                        <w:p w14:paraId="7F2E91B2" w14:textId="77777777" w:rsidR="00952179" w:rsidRDefault="0095217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BDEDDC5" id="_x0000_t202" coordsize="21600,21600" o:spt="202" path="m,l,21600r21600,l21600,xe">
              <v:stroke joinstyle="miter"/>
              <v:path gradientshapeok="t" o:connecttype="rect"/>
            </v:shapetype>
            <v:shape id="Text Box 22" o:spid="_x0000_s1044" type="#_x0000_t202" style="position:absolute;margin-left:-34pt;margin-top:0;width:17.55pt;height:481.9pt;z-index:25167769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" filled="f" stroked="f">
              <v:stroke joinstyle="round"/>
              <v:path arrowok="t"/>
              <v:textbox style="layout-flow:vertical" inset="0,0,0,0">
                <w:txbxContent>
                  <w:p w14:paraId="61C5DFFB" w14:textId="22B6ED7E" w:rsidR="00952179" w:rsidRPr="00D66F87" w:rsidRDefault="00952179" w:rsidP="006D4A81">
                    <w:pPr>
                      <w:pStyle w:val="Footer"/>
                      <w:tabs>
                        <w:tab w:val="right" w:pos="9638"/>
                      </w:tabs>
                    </w:pPr>
                    <w:r w:rsidRPr="00D66F87">
                      <w:rPr>
                        <w:b/>
                        <w:sz w:val="18"/>
                      </w:rPr>
                      <w:fldChar w:fldCharType="begin"/>
                    </w:r>
                    <w:r w:rsidRPr="00D66F87">
                      <w:rPr>
                        <w:b/>
                        <w:sz w:val="18"/>
                      </w:rPr>
                      <w:instrText xml:space="preserve"> PAGE  \* MERGEFORMAT </w:instrText>
                    </w:r>
                    <w:r w:rsidRPr="00D66F87">
                      <w:rPr>
                        <w:b/>
                        <w:sz w:val="18"/>
                      </w:rPr>
                      <w:fldChar w:fldCharType="separate"/>
                    </w:r>
                    <w:r w:rsidR="000E0429">
                      <w:rPr>
                        <w:b/>
                        <w:noProof/>
                        <w:sz w:val="18"/>
                      </w:rPr>
                      <w:t>62</w:t>
                    </w:r>
                    <w:r w:rsidRPr="00D66F87">
                      <w:rPr>
                        <w:b/>
                        <w:sz w:val="18"/>
                      </w:rPr>
                      <w:fldChar w:fldCharType="end"/>
                    </w:r>
                    <w:r>
                      <w:rPr>
                        <w:sz w:val="18"/>
                      </w:rPr>
                      <w:tab/>
                    </w:r>
                  </w:p>
                  <w:p w14:paraId="7F2E91B2" w14:textId="77777777" w:rsidR="00952179" w:rsidRDefault="00952179"/>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2CF88" w14:textId="59F4755C" w:rsidR="00952179" w:rsidRPr="00717561" w:rsidRDefault="00952179" w:rsidP="00DD4824">
    <w:pPr>
      <w:pStyle w:val="Footer"/>
      <w:tabs>
        <w:tab w:val="right" w:pos="9638"/>
      </w:tabs>
      <w:rPr>
        <w:b/>
        <w:sz w:val="18"/>
      </w:rPr>
    </w:pPr>
    <w:r>
      <w:tab/>
    </w:r>
    <w:r w:rsidRPr="00717561">
      <w:rPr>
        <w:b/>
        <w:sz w:val="18"/>
      </w:rPr>
      <w:fldChar w:fldCharType="begin"/>
    </w:r>
    <w:r w:rsidRPr="00717561">
      <w:rPr>
        <w:b/>
        <w:sz w:val="18"/>
      </w:rPr>
      <w:instrText xml:space="preserve"> PAGE  \* MERGEFORMAT </w:instrText>
    </w:r>
    <w:r w:rsidRPr="00717561">
      <w:rPr>
        <w:b/>
        <w:sz w:val="18"/>
      </w:rPr>
      <w:fldChar w:fldCharType="separate"/>
    </w:r>
    <w:r w:rsidR="000E0429">
      <w:rPr>
        <w:b/>
        <w:noProof/>
        <w:sz w:val="18"/>
      </w:rPr>
      <w:t>3</w:t>
    </w:r>
    <w:r w:rsidRPr="00717561">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33E94" w14:textId="6AA61987" w:rsidR="00952179" w:rsidRPr="00AD303F" w:rsidRDefault="00952179" w:rsidP="00AD303F">
    <w:pPr>
      <w:pStyle w:val="Footer"/>
    </w:pPr>
    <w:r>
      <w:rPr>
        <w:noProof/>
        <w:lang w:val="en-US" w:eastAsia="en-US"/>
      </w:rPr>
      <mc:AlternateContent>
        <mc:Choice Requires="wps">
          <w:drawing>
            <wp:anchor distT="0" distB="0" distL="114300" distR="114300" simplePos="0" relativeHeight="251688960" behindDoc="0" locked="0" layoutInCell="1" allowOverlap="1" wp14:anchorId="012E2F22" wp14:editId="092DF975">
              <wp:simplePos x="0" y="0"/>
              <wp:positionH relativeFrom="margin">
                <wp:posOffset>-431800</wp:posOffset>
              </wp:positionH>
              <wp:positionV relativeFrom="margin">
                <wp:posOffset>0</wp:posOffset>
              </wp:positionV>
              <wp:extent cx="219075" cy="6124575"/>
              <wp:effectExtent l="0" t="0" r="9525" b="952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6124575"/>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98247F4" w14:textId="77777777" w:rsidR="00952179" w:rsidRPr="00AD303F" w:rsidRDefault="00952179" w:rsidP="00AD303F">
                          <w:pPr>
                            <w:pStyle w:val="Footer"/>
                            <w:tabs>
                              <w:tab w:val="right" w:pos="9638"/>
                            </w:tabs>
                            <w:rPr>
                              <w:b/>
                              <w:sz w:val="18"/>
                            </w:rPr>
                          </w:pPr>
                          <w:r>
                            <w:tab/>
                          </w:r>
                          <w:r w:rsidRPr="00AD303F">
                            <w:rPr>
                              <w:b/>
                              <w:sz w:val="18"/>
                            </w:rPr>
                            <w:fldChar w:fldCharType="begin"/>
                          </w:r>
                          <w:r w:rsidRPr="00AD303F">
                            <w:rPr>
                              <w:b/>
                              <w:sz w:val="18"/>
                            </w:rPr>
                            <w:instrText xml:space="preserve"> PAGE  \* MERGEFORMAT </w:instrText>
                          </w:r>
                          <w:r w:rsidRPr="00AD303F">
                            <w:rPr>
                              <w:b/>
                              <w:sz w:val="18"/>
                            </w:rPr>
                            <w:fldChar w:fldCharType="separate"/>
                          </w:r>
                          <w:r w:rsidR="004E1E83">
                            <w:rPr>
                              <w:b/>
                              <w:noProof/>
                              <w:sz w:val="18"/>
                            </w:rPr>
                            <w:t>61</w:t>
                          </w:r>
                          <w:r w:rsidRPr="00AD303F">
                            <w:rPr>
                              <w:b/>
                              <w:sz w:val="18"/>
                            </w:rPr>
                            <w:fldChar w:fldCharType="end"/>
                          </w:r>
                        </w:p>
                        <w:p w14:paraId="28DE3DAB" w14:textId="77777777" w:rsidR="00952179" w:rsidRDefault="0095217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12E2F22" id="_x0000_t202" coordsize="21600,21600" o:spt="202" path="m,l,21600r21600,l21600,xe">
              <v:stroke joinstyle="miter"/>
              <v:path gradientshapeok="t" o:connecttype="rect"/>
            </v:shapetype>
            <v:shape id="Text Box 31" o:spid="_x0000_s1045" type="#_x0000_t202" style="position:absolute;margin-left:-34pt;margin-top:0;width:17.25pt;height:482.25pt;z-index:25168896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" filled="f" stroked="f">
              <v:stroke joinstyle="round"/>
              <v:path arrowok="t"/>
              <v:textbox style="layout-flow:vertical" inset="0,0,0,0">
                <w:txbxContent>
                  <w:p w14:paraId="698247F4" w14:textId="77777777" w:rsidR="00952179" w:rsidRPr="00AD303F" w:rsidRDefault="00952179" w:rsidP="00AD303F">
                    <w:pPr>
                      <w:pStyle w:val="Footer"/>
                      <w:tabs>
                        <w:tab w:val="right" w:pos="9638"/>
                      </w:tabs>
                      <w:rPr>
                        <w:b/>
                        <w:sz w:val="18"/>
                      </w:rPr>
                    </w:pPr>
                    <w:r>
                      <w:tab/>
                    </w:r>
                    <w:r w:rsidRPr="00AD303F">
                      <w:rPr>
                        <w:b/>
                        <w:sz w:val="18"/>
                      </w:rPr>
                      <w:fldChar w:fldCharType="begin"/>
                    </w:r>
                    <w:r w:rsidRPr="00AD303F">
                      <w:rPr>
                        <w:b/>
                        <w:sz w:val="18"/>
                      </w:rPr>
                      <w:instrText xml:space="preserve"> PAGE  \* MERGEFORMAT </w:instrText>
                    </w:r>
                    <w:r w:rsidRPr="00AD303F">
                      <w:rPr>
                        <w:b/>
                        <w:sz w:val="18"/>
                      </w:rPr>
                      <w:fldChar w:fldCharType="separate"/>
                    </w:r>
                    <w:r w:rsidR="004E1E83">
                      <w:rPr>
                        <w:b/>
                        <w:noProof/>
                        <w:sz w:val="18"/>
                      </w:rPr>
                      <w:t>61</w:t>
                    </w:r>
                    <w:r w:rsidRPr="00AD303F">
                      <w:rPr>
                        <w:b/>
                        <w:sz w:val="18"/>
                      </w:rPr>
                      <w:fldChar w:fldCharType="end"/>
                    </w:r>
                  </w:p>
                  <w:p w14:paraId="28DE3DAB" w14:textId="77777777" w:rsidR="00952179" w:rsidRDefault="00952179"/>
                </w:txbxContent>
              </v:textbox>
              <w10:wrap anchorx="margin" anchory="margin"/>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81DB8" w14:textId="11F0D0D0" w:rsidR="00952179" w:rsidRPr="00830AAD" w:rsidRDefault="00952179" w:rsidP="006D4A81">
    <w:pPr>
      <w:pStyle w:val="Footer"/>
      <w:tabs>
        <w:tab w:val="right" w:pos="9638"/>
      </w:tabs>
    </w:pPr>
    <w:r w:rsidRPr="00830AAD">
      <w:rPr>
        <w:b/>
        <w:sz w:val="18"/>
      </w:rPr>
      <w:fldChar w:fldCharType="begin"/>
    </w:r>
    <w:r w:rsidRPr="00830AAD">
      <w:rPr>
        <w:b/>
        <w:sz w:val="18"/>
      </w:rPr>
      <w:instrText xml:space="preserve"> PAGE  \* MERGEFORMAT </w:instrText>
    </w:r>
    <w:r w:rsidRPr="00830AAD">
      <w:rPr>
        <w:b/>
        <w:sz w:val="18"/>
      </w:rPr>
      <w:fldChar w:fldCharType="separate"/>
    </w:r>
    <w:r w:rsidR="000E0429">
      <w:rPr>
        <w:b/>
        <w:noProof/>
        <w:sz w:val="18"/>
      </w:rPr>
      <w:t>64</w:t>
    </w:r>
    <w:r w:rsidRPr="00830AAD">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C0B0" w14:textId="4838140F" w:rsidR="00952179" w:rsidRPr="008F63F4" w:rsidRDefault="00952179" w:rsidP="008F63F4">
    <w:pPr>
      <w:pStyle w:val="Footer"/>
      <w:tabs>
        <w:tab w:val="right" w:pos="9638"/>
      </w:tabs>
      <w:rPr>
        <w:b/>
        <w:sz w:val="18"/>
      </w:rPr>
    </w:pPr>
    <w:r>
      <w:tab/>
    </w:r>
    <w:r w:rsidRPr="008F63F4">
      <w:rPr>
        <w:b/>
        <w:sz w:val="18"/>
      </w:rPr>
      <w:fldChar w:fldCharType="begin"/>
    </w:r>
    <w:r w:rsidRPr="008F63F4">
      <w:rPr>
        <w:b/>
        <w:sz w:val="18"/>
      </w:rPr>
      <w:instrText xml:space="preserve"> PAGE  \* MERGEFORMAT </w:instrText>
    </w:r>
    <w:r w:rsidRPr="008F63F4">
      <w:rPr>
        <w:b/>
        <w:sz w:val="18"/>
      </w:rPr>
      <w:fldChar w:fldCharType="separate"/>
    </w:r>
    <w:r w:rsidR="000E0429">
      <w:rPr>
        <w:b/>
        <w:noProof/>
        <w:sz w:val="18"/>
      </w:rPr>
      <w:t>63</w:t>
    </w:r>
    <w:r w:rsidRPr="008F63F4">
      <w:rPr>
        <w:b/>
        <w:sz w:val="18"/>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025CD" w14:textId="65EF2CCE" w:rsidR="00952179" w:rsidRPr="00830AAD" w:rsidRDefault="00952179" w:rsidP="006D4A81">
    <w:pPr>
      <w:pStyle w:val="Footer"/>
      <w:tabs>
        <w:tab w:val="right" w:pos="9638"/>
      </w:tabs>
    </w:pPr>
    <w:r w:rsidRPr="00830AAD">
      <w:rPr>
        <w:b/>
        <w:sz w:val="18"/>
      </w:rPr>
      <w:fldChar w:fldCharType="begin"/>
    </w:r>
    <w:r w:rsidRPr="00830AAD">
      <w:rPr>
        <w:b/>
        <w:sz w:val="18"/>
      </w:rPr>
      <w:instrText xml:space="preserve"> PAGE  \* MERGEFORMAT </w:instrText>
    </w:r>
    <w:r w:rsidRPr="00830AAD">
      <w:rPr>
        <w:b/>
        <w:sz w:val="18"/>
      </w:rPr>
      <w:fldChar w:fldCharType="separate"/>
    </w:r>
    <w:r w:rsidR="000E0429">
      <w:rPr>
        <w:b/>
        <w:noProof/>
        <w:sz w:val="18"/>
      </w:rPr>
      <w:t>66</w:t>
    </w:r>
    <w:r w:rsidRPr="00830AAD">
      <w:rPr>
        <w:b/>
        <w:sz w:val="18"/>
      </w:rPr>
      <w:fldChar w:fldCharType="end"/>
    </w:r>
    <w:r>
      <w:rPr>
        <w:sz w:val="18"/>
      </w:rPr>
      <w:tab/>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BE" w14:textId="45C1B569" w:rsidR="00952179" w:rsidRPr="00887A81" w:rsidRDefault="00952179" w:rsidP="00887A81">
    <w:pPr>
      <w:pStyle w:val="Footer"/>
      <w:tabs>
        <w:tab w:val="right" w:pos="9638"/>
      </w:tabs>
    </w:pPr>
    <w:r w:rsidRPr="00887A81">
      <w:rPr>
        <w:b/>
        <w:sz w:val="18"/>
      </w:rPr>
      <w:fldChar w:fldCharType="begin"/>
    </w:r>
    <w:r w:rsidRPr="00887A81">
      <w:rPr>
        <w:b/>
        <w:sz w:val="18"/>
      </w:rPr>
      <w:instrText xml:space="preserve"> PAGE  \* MERGEFORMAT </w:instrText>
    </w:r>
    <w:r w:rsidRPr="00887A81">
      <w:rPr>
        <w:b/>
        <w:sz w:val="18"/>
      </w:rPr>
      <w:fldChar w:fldCharType="separate"/>
    </w:r>
    <w:r w:rsidR="000E0429">
      <w:rPr>
        <w:b/>
        <w:noProof/>
        <w:sz w:val="18"/>
      </w:rPr>
      <w:t>70</w:t>
    </w:r>
    <w:r w:rsidRPr="00887A81">
      <w:rPr>
        <w:b/>
        <w:sz w:val="18"/>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BF" w14:textId="77777777" w:rsidR="00952179" w:rsidRPr="00887A81" w:rsidRDefault="00952179" w:rsidP="00887A81">
    <w:pPr>
      <w:pStyle w:val="Footer"/>
      <w:tabs>
        <w:tab w:val="right" w:pos="9638"/>
      </w:tabs>
      <w:rPr>
        <w:b/>
        <w:sz w:val="18"/>
      </w:rPr>
    </w:pPr>
    <w:r>
      <w:tab/>
    </w:r>
    <w:r w:rsidRPr="00887A81">
      <w:rPr>
        <w:b/>
        <w:sz w:val="18"/>
      </w:rPr>
      <w:fldChar w:fldCharType="begin"/>
    </w:r>
    <w:r w:rsidRPr="00887A81">
      <w:rPr>
        <w:b/>
        <w:sz w:val="18"/>
      </w:rPr>
      <w:instrText xml:space="preserve"> PAGE  \* MERGEFORMAT </w:instrText>
    </w:r>
    <w:r w:rsidRPr="00887A81">
      <w:rPr>
        <w:b/>
        <w:sz w:val="18"/>
      </w:rPr>
      <w:fldChar w:fldCharType="separate"/>
    </w:r>
    <w:r w:rsidR="0057309C">
      <w:rPr>
        <w:b/>
        <w:noProof/>
        <w:sz w:val="18"/>
      </w:rPr>
      <w:t>69</w:t>
    </w:r>
    <w:r w:rsidRPr="00887A81">
      <w:rPr>
        <w:b/>
        <w:sz w:val="18"/>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C1" w14:textId="77777777" w:rsidR="00952179" w:rsidRPr="00887A81" w:rsidRDefault="00952179" w:rsidP="00887A81">
    <w:pPr>
      <w:pStyle w:val="Footer"/>
      <w:rPr>
        <w:sz w:val="20"/>
      </w:rPr>
    </w:pPr>
    <w:r>
      <w:rPr>
        <w:sz w:val="20"/>
      </w:rPr>
      <w:t>GE.16-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5DFD6" w14:textId="77777777" w:rsidR="00952179" w:rsidRPr="00FB39E6" w:rsidRDefault="00952179" w:rsidP="006D4A81">
    <w:pPr>
      <w:pStyle w:val="Footer"/>
    </w:pPr>
    <w:r>
      <w:rPr>
        <w:noProof/>
        <w:lang w:val="en-US" w:eastAsia="en-US"/>
      </w:rPr>
      <mc:AlternateContent>
        <mc:Choice Requires="wps">
          <w:drawing>
            <wp:anchor distT="0" distB="0" distL="114300" distR="114300" simplePos="0" relativeHeight="251673600" behindDoc="0" locked="0" layoutInCell="1" allowOverlap="1" wp14:anchorId="4DD6DC25" wp14:editId="46C843CB">
              <wp:simplePos x="0" y="0"/>
              <wp:positionH relativeFrom="margin">
                <wp:posOffset>-431800</wp:posOffset>
              </wp:positionH>
              <wp:positionV relativeFrom="margin">
                <wp:posOffset>0</wp:posOffset>
              </wp:positionV>
              <wp:extent cx="222885" cy="6120130"/>
              <wp:effectExtent l="0" t="0" r="5715"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17801F7B" w14:textId="04B74C2C" w:rsidR="00952179" w:rsidRPr="00FB39E6" w:rsidRDefault="00952179" w:rsidP="006D4A81">
                          <w:pPr>
                            <w:pStyle w:val="Footer"/>
                            <w:tabs>
                              <w:tab w:val="right" w:pos="9638"/>
                            </w:tabs>
                          </w:pPr>
                          <w:r w:rsidRPr="00FB39E6">
                            <w:rPr>
                              <w:b/>
                              <w:sz w:val="18"/>
                            </w:rPr>
                            <w:fldChar w:fldCharType="begin"/>
                          </w:r>
                          <w:r w:rsidRPr="00FB39E6">
                            <w:rPr>
                              <w:b/>
                              <w:sz w:val="18"/>
                            </w:rPr>
                            <w:instrText xml:space="preserve"> PAGE  \* MERGEFORMAT </w:instrText>
                          </w:r>
                          <w:r w:rsidRPr="00FB39E6">
                            <w:rPr>
                              <w:b/>
                              <w:sz w:val="18"/>
                            </w:rPr>
                            <w:fldChar w:fldCharType="separate"/>
                          </w:r>
                          <w:r w:rsidR="000E0429">
                            <w:rPr>
                              <w:b/>
                              <w:noProof/>
                              <w:sz w:val="18"/>
                            </w:rPr>
                            <w:t>40</w:t>
                          </w:r>
                          <w:r w:rsidRPr="00FB39E6">
                            <w:rPr>
                              <w:b/>
                              <w:sz w:val="18"/>
                            </w:rPr>
                            <w:fldChar w:fldCharType="end"/>
                          </w:r>
                          <w:r>
                            <w:rPr>
                              <w:sz w:val="18"/>
                            </w:rPr>
                            <w:tab/>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4DD6DC25" id="_x0000_t202" coordsize="21600,21600" o:spt="202" path="m,l,21600r21600,l21600,xe">
              <v:stroke joinstyle="miter"/>
              <v:path gradientshapeok="t" o:connecttype="rect"/>
            </v:shapetype>
            <v:shape id="Text Box 3" o:spid="_x0000_s1028" type="#_x0000_t202" style="position:absolute;margin-left:-34pt;margin-top:0;width:17.55pt;height:481.9pt;z-index:25167360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" filled="f" stroked="f">
              <v:stroke joinstyle="round"/>
              <v:path arrowok="t"/>
              <v:textbox style="layout-flow:vertical" inset="0,0,0,0">
                <w:txbxContent>
                  <w:p w14:paraId="17801F7B" w14:textId="04B74C2C" w:rsidR="00952179" w:rsidRPr="00FB39E6" w:rsidRDefault="00952179" w:rsidP="006D4A81">
                    <w:pPr>
                      <w:pStyle w:val="Footer"/>
                      <w:tabs>
                        <w:tab w:val="right" w:pos="9638"/>
                      </w:tabs>
                    </w:pPr>
                    <w:r w:rsidRPr="00FB39E6">
                      <w:rPr>
                        <w:b/>
                        <w:sz w:val="18"/>
                      </w:rPr>
                      <w:fldChar w:fldCharType="begin"/>
                    </w:r>
                    <w:r w:rsidRPr="00FB39E6">
                      <w:rPr>
                        <w:b/>
                        <w:sz w:val="18"/>
                      </w:rPr>
                      <w:instrText xml:space="preserve"> PAGE  \* MERGEFORMAT </w:instrText>
                    </w:r>
                    <w:r w:rsidRPr="00FB39E6">
                      <w:rPr>
                        <w:b/>
                        <w:sz w:val="18"/>
                      </w:rPr>
                      <w:fldChar w:fldCharType="separate"/>
                    </w:r>
                    <w:r w:rsidR="000E0429">
                      <w:rPr>
                        <w:b/>
                        <w:noProof/>
                        <w:sz w:val="18"/>
                      </w:rPr>
                      <w:t>40</w:t>
                    </w:r>
                    <w:r w:rsidRPr="00FB39E6">
                      <w:rPr>
                        <w:b/>
                        <w:sz w:val="18"/>
                      </w:rPr>
                      <w:fldChar w:fldCharType="end"/>
                    </w:r>
                    <w:r>
                      <w:rPr>
                        <w:sz w:val="18"/>
                      </w:rPr>
                      <w:tab/>
                    </w:r>
                  </w:p>
                </w:txbxContent>
              </v:textbox>
              <w10:wrap anchorx="margin" anchory="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BE879" w14:textId="77777777" w:rsidR="00952179" w:rsidRPr="00AA4577" w:rsidRDefault="00952179" w:rsidP="006D4A81">
    <w:pPr>
      <w:pStyle w:val="Footer"/>
    </w:pPr>
    <w:r>
      <w:rPr>
        <w:noProof/>
        <w:lang w:val="en-US" w:eastAsia="en-US"/>
      </w:rPr>
      <mc:AlternateContent>
        <mc:Choice Requires="wps">
          <w:drawing>
            <wp:anchor distT="0" distB="0" distL="114300" distR="114300" simplePos="0" relativeHeight="251661312" behindDoc="0" locked="0" layoutInCell="1" allowOverlap="1" wp14:anchorId="0BDDA01C" wp14:editId="50541216">
              <wp:simplePos x="0" y="0"/>
              <wp:positionH relativeFrom="margin">
                <wp:posOffset>-431800</wp:posOffset>
              </wp:positionH>
              <wp:positionV relativeFrom="margin">
                <wp:posOffset>0</wp:posOffset>
              </wp:positionV>
              <wp:extent cx="222885" cy="6120130"/>
              <wp:effectExtent l="0" t="0" r="5715" b="1397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425F2B3F" w14:textId="77777777" w:rsidR="00952179" w:rsidRPr="00AA4577" w:rsidRDefault="00952179" w:rsidP="006D4A81">
                          <w:pPr>
                            <w:pStyle w:val="Footer"/>
                            <w:tabs>
                              <w:tab w:val="right" w:pos="9638"/>
                            </w:tabs>
                            <w:rPr>
                              <w:b/>
                              <w:sz w:val="18"/>
                            </w:rPr>
                          </w:pPr>
                          <w:r>
                            <w:tab/>
                          </w:r>
                          <w:r w:rsidRPr="00AA4577">
                            <w:rPr>
                              <w:b/>
                              <w:sz w:val="18"/>
                            </w:rPr>
                            <w:fldChar w:fldCharType="begin"/>
                          </w:r>
                          <w:r w:rsidRPr="00AA4577">
                            <w:rPr>
                              <w:b/>
                              <w:sz w:val="18"/>
                            </w:rPr>
                            <w:instrText xml:space="preserve"> PAGE  \* MERGEFORMAT </w:instrText>
                          </w:r>
                          <w:r w:rsidRPr="00AA4577">
                            <w:rPr>
                              <w:b/>
                              <w:sz w:val="18"/>
                            </w:rPr>
                            <w:fldChar w:fldCharType="separate"/>
                          </w:r>
                          <w:r>
                            <w:rPr>
                              <w:b/>
                              <w:noProof/>
                              <w:sz w:val="18"/>
                            </w:rPr>
                            <w:t>41</w:t>
                          </w:r>
                          <w:r w:rsidRPr="00AA4577">
                            <w:rPr>
                              <w:b/>
                              <w:sz w:val="18"/>
                            </w:rPr>
                            <w:fldChar w:fldCharType="end"/>
                          </w:r>
                        </w:p>
                        <w:p w14:paraId="580AD51F" w14:textId="77777777" w:rsidR="00952179" w:rsidRDefault="00952179"/>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BDDA01C" id="_x0000_t202" coordsize="21600,21600" o:spt="202" path="m,l,21600r21600,l21600,xe">
              <v:stroke joinstyle="miter"/>
              <v:path gradientshapeok="t" o:connecttype="rect"/>
            </v:shapetype>
            <v:shape id="Text Box 38" o:spid="_x0000_s1029" type="#_x0000_t202" style="position:absolute;margin-left:-34pt;margin-top:0;width:17.55pt;height:481.9pt;z-index:25166131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" filled="f" stroked="f">
              <v:stroke joinstyle="round"/>
              <v:path arrowok="t"/>
              <v:textbox style="layout-flow:vertical" inset="0,0,0,0">
                <w:txbxContent>
                  <w:p w14:paraId="425F2B3F" w14:textId="77777777" w:rsidR="00952179" w:rsidRPr="00AA4577" w:rsidRDefault="00952179" w:rsidP="006D4A81">
                    <w:pPr>
                      <w:pStyle w:val="Footer"/>
                      <w:tabs>
                        <w:tab w:val="right" w:pos="9638"/>
                      </w:tabs>
                      <w:rPr>
                        <w:b/>
                        <w:sz w:val="18"/>
                      </w:rPr>
                    </w:pPr>
                    <w:r>
                      <w:tab/>
                    </w:r>
                    <w:r w:rsidRPr="00AA4577">
                      <w:rPr>
                        <w:b/>
                        <w:sz w:val="18"/>
                      </w:rPr>
                      <w:fldChar w:fldCharType="begin"/>
                    </w:r>
                    <w:r w:rsidRPr="00AA4577">
                      <w:rPr>
                        <w:b/>
                        <w:sz w:val="18"/>
                      </w:rPr>
                      <w:instrText xml:space="preserve"> PAGE  \* MERGEFORMAT </w:instrText>
                    </w:r>
                    <w:r w:rsidRPr="00AA4577">
                      <w:rPr>
                        <w:b/>
                        <w:sz w:val="18"/>
                      </w:rPr>
                      <w:fldChar w:fldCharType="separate"/>
                    </w:r>
                    <w:r>
                      <w:rPr>
                        <w:b/>
                        <w:noProof/>
                        <w:sz w:val="18"/>
                      </w:rPr>
                      <w:t>41</w:t>
                    </w:r>
                    <w:r w:rsidRPr="00AA4577">
                      <w:rPr>
                        <w:b/>
                        <w:sz w:val="18"/>
                      </w:rPr>
                      <w:fldChar w:fldCharType="end"/>
                    </w:r>
                  </w:p>
                  <w:p w14:paraId="580AD51F" w14:textId="77777777" w:rsidR="00952179" w:rsidRDefault="00952179"/>
                </w:txbxContent>
              </v:textbox>
              <w10:wrap anchorx="margin" anchory="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B882A" w14:textId="4B7BC046" w:rsidR="00952179" w:rsidRPr="00AA4577" w:rsidRDefault="00952179" w:rsidP="006D4A81">
    <w:pPr>
      <w:pStyle w:val="Footer"/>
      <w:tabs>
        <w:tab w:val="right" w:pos="9638"/>
      </w:tabs>
    </w:pPr>
    <w:r w:rsidRPr="00AA4577">
      <w:rPr>
        <w:b/>
        <w:sz w:val="18"/>
      </w:rPr>
      <w:fldChar w:fldCharType="begin"/>
    </w:r>
    <w:r w:rsidRPr="00AA4577">
      <w:rPr>
        <w:b/>
        <w:sz w:val="18"/>
      </w:rPr>
      <w:instrText xml:space="preserve"> PAGE  \* MERGEFORMAT </w:instrText>
    </w:r>
    <w:r w:rsidRPr="00AA4577">
      <w:rPr>
        <w:b/>
        <w:sz w:val="18"/>
      </w:rPr>
      <w:fldChar w:fldCharType="separate"/>
    </w:r>
    <w:r w:rsidR="000E0429">
      <w:rPr>
        <w:b/>
        <w:noProof/>
        <w:sz w:val="18"/>
      </w:rPr>
      <w:t>42</w:t>
    </w:r>
    <w:r w:rsidRPr="00AA4577">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04D8" w14:textId="55D69BD1" w:rsidR="00952179" w:rsidRPr="00AA4577" w:rsidRDefault="00952179" w:rsidP="006D4A81">
    <w:pPr>
      <w:pStyle w:val="Footer"/>
      <w:tabs>
        <w:tab w:val="right" w:pos="9638"/>
      </w:tabs>
      <w:rPr>
        <w:b/>
        <w:sz w:val="18"/>
      </w:rPr>
    </w:pPr>
    <w:r>
      <w:tab/>
    </w:r>
    <w:r w:rsidRPr="00AA4577">
      <w:rPr>
        <w:b/>
        <w:sz w:val="18"/>
      </w:rPr>
      <w:fldChar w:fldCharType="begin"/>
    </w:r>
    <w:r w:rsidRPr="00AA4577">
      <w:rPr>
        <w:b/>
        <w:sz w:val="18"/>
      </w:rPr>
      <w:instrText xml:space="preserve"> PAGE  \* MERGEFORMAT </w:instrText>
    </w:r>
    <w:r w:rsidRPr="00AA4577">
      <w:rPr>
        <w:b/>
        <w:sz w:val="18"/>
      </w:rPr>
      <w:fldChar w:fldCharType="separate"/>
    </w:r>
    <w:r w:rsidR="000E0429">
      <w:rPr>
        <w:b/>
        <w:noProof/>
        <w:sz w:val="18"/>
      </w:rPr>
      <w:t>41</w:t>
    </w:r>
    <w:r w:rsidRPr="00AA4577">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92289" w14:textId="77777777" w:rsidR="00952179" w:rsidRPr="00BE4CBF" w:rsidRDefault="00952179" w:rsidP="006D4A81">
    <w:pPr>
      <w:pStyle w:val="Footer"/>
    </w:pPr>
    <w:r>
      <w:rPr>
        <w:noProof/>
        <w:lang w:val="en-US" w:eastAsia="en-US"/>
      </w:rPr>
      <mc:AlternateContent>
        <mc:Choice Requires="wps">
          <w:drawing>
            <wp:anchor distT="0" distB="0" distL="114300" distR="114300" simplePos="0" relativeHeight="251665408" behindDoc="0" locked="0" layoutInCell="1" allowOverlap="1" wp14:anchorId="5E6E7A27" wp14:editId="4F510F19">
              <wp:simplePos x="0" y="0"/>
              <wp:positionH relativeFrom="margin">
                <wp:posOffset>-431800</wp:posOffset>
              </wp:positionH>
              <wp:positionV relativeFrom="margin">
                <wp:posOffset>0</wp:posOffset>
              </wp:positionV>
              <wp:extent cx="222885" cy="6120130"/>
              <wp:effectExtent l="0" t="0" r="5715"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650F478" w14:textId="36E35711" w:rsidR="00952179" w:rsidRPr="00BE4CBF" w:rsidRDefault="00952179" w:rsidP="006D4A81">
                          <w:pPr>
                            <w:pStyle w:val="Footer"/>
                            <w:tabs>
                              <w:tab w:val="right" w:pos="9638"/>
                            </w:tabs>
                          </w:pPr>
                          <w:r w:rsidRPr="00BE4CBF">
                            <w:rPr>
                              <w:b/>
                              <w:sz w:val="18"/>
                            </w:rPr>
                            <w:fldChar w:fldCharType="begin"/>
                          </w:r>
                          <w:r w:rsidRPr="00BE4CBF">
                            <w:rPr>
                              <w:b/>
                              <w:sz w:val="18"/>
                            </w:rPr>
                            <w:instrText xml:space="preserve"> PAGE  \* MERGEFORMAT </w:instrText>
                          </w:r>
                          <w:r w:rsidRPr="00BE4CBF">
                            <w:rPr>
                              <w:b/>
                              <w:sz w:val="18"/>
                            </w:rPr>
                            <w:fldChar w:fldCharType="separate"/>
                          </w:r>
                          <w:r w:rsidR="000E0429">
                            <w:rPr>
                              <w:b/>
                              <w:noProof/>
                              <w:sz w:val="18"/>
                            </w:rPr>
                            <w:t>44</w:t>
                          </w:r>
                          <w:r w:rsidRPr="00BE4CBF">
                            <w:rPr>
                              <w:b/>
                              <w:sz w:val="18"/>
                            </w:rPr>
                            <w:fldChar w:fldCharType="end"/>
                          </w:r>
                          <w:r>
                            <w:rPr>
                              <w:sz w:val="18"/>
                            </w:rPr>
                            <w:tab/>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E6E7A27" id="_x0000_t202" coordsize="21600,21600" o:spt="202" path="m,l,21600r21600,l21600,xe">
              <v:stroke joinstyle="miter"/>
              <v:path gradientshapeok="t" o:connecttype="rect"/>
            </v:shapetype>
            <v:shape id="Text Box 7" o:spid="_x0000_s1032" type="#_x0000_t202" style="position:absolute;margin-left:-34pt;margin-top:0;width:17.55pt;height:481.9pt;z-index:251665408;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" filled="f" stroked="f">
              <v:stroke joinstyle="round"/>
              <v:path arrowok="t"/>
              <v:textbox style="layout-flow:vertical" inset="0,0,0,0">
                <w:txbxContent>
                  <w:p w14:paraId="6650F478" w14:textId="36E35711" w:rsidR="00952179" w:rsidRPr="00BE4CBF" w:rsidRDefault="00952179" w:rsidP="006D4A81">
                    <w:pPr>
                      <w:pStyle w:val="Footer"/>
                      <w:tabs>
                        <w:tab w:val="right" w:pos="9638"/>
                      </w:tabs>
                    </w:pPr>
                    <w:r w:rsidRPr="00BE4CBF">
                      <w:rPr>
                        <w:b/>
                        <w:sz w:val="18"/>
                      </w:rPr>
                      <w:fldChar w:fldCharType="begin"/>
                    </w:r>
                    <w:r w:rsidRPr="00BE4CBF">
                      <w:rPr>
                        <w:b/>
                        <w:sz w:val="18"/>
                      </w:rPr>
                      <w:instrText xml:space="preserve"> PAGE  \* MERGEFORMAT </w:instrText>
                    </w:r>
                    <w:r w:rsidRPr="00BE4CBF">
                      <w:rPr>
                        <w:b/>
                        <w:sz w:val="18"/>
                      </w:rPr>
                      <w:fldChar w:fldCharType="separate"/>
                    </w:r>
                    <w:r w:rsidR="000E0429">
                      <w:rPr>
                        <w:b/>
                        <w:noProof/>
                        <w:sz w:val="18"/>
                      </w:rPr>
                      <w:t>44</w:t>
                    </w:r>
                    <w:r w:rsidRPr="00BE4CBF">
                      <w:rPr>
                        <w:b/>
                        <w:sz w:val="18"/>
                      </w:rPr>
                      <w:fldChar w:fldCharType="end"/>
                    </w:r>
                    <w:r>
                      <w:rPr>
                        <w:sz w:val="18"/>
                      </w:rPr>
                      <w:tab/>
                    </w:r>
                  </w:p>
                </w:txbxContent>
              </v:textbox>
              <w10:wrap anchorx="margin" anchory="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46BF2" w14:textId="77777777" w:rsidR="00952179" w:rsidRPr="00AA4577" w:rsidRDefault="00952179" w:rsidP="006D4A81">
    <w:pPr>
      <w:pStyle w:val="Footer"/>
    </w:pPr>
    <w:r>
      <w:rPr>
        <w:noProof/>
        <w:lang w:val="en-US" w:eastAsia="en-US"/>
      </w:rPr>
      <mc:AlternateContent>
        <mc:Choice Requires="wps">
          <w:drawing>
            <wp:anchor distT="0" distB="0" distL="114300" distR="114300" simplePos="0" relativeHeight="251662336" behindDoc="0" locked="0" layoutInCell="1" allowOverlap="1" wp14:anchorId="73BCFF41" wp14:editId="34996443">
              <wp:simplePos x="0" y="0"/>
              <wp:positionH relativeFrom="margin">
                <wp:posOffset>-431800</wp:posOffset>
              </wp:positionH>
              <wp:positionV relativeFrom="margin">
                <wp:posOffset>0</wp:posOffset>
              </wp:positionV>
              <wp:extent cx="222885" cy="6120130"/>
              <wp:effectExtent l="0" t="0" r="5715" b="1397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3AD0EEE" w14:textId="117E0863" w:rsidR="00952179" w:rsidRPr="00AA4577" w:rsidRDefault="00952179" w:rsidP="006D4A81">
                          <w:pPr>
                            <w:pStyle w:val="Footer"/>
                            <w:tabs>
                              <w:tab w:val="right" w:pos="9638"/>
                            </w:tabs>
                            <w:rPr>
                              <w:b/>
                              <w:sz w:val="18"/>
                            </w:rPr>
                          </w:pPr>
                          <w:r>
                            <w:tab/>
                          </w:r>
                          <w:r w:rsidRPr="00AA4577">
                            <w:rPr>
                              <w:b/>
                              <w:sz w:val="18"/>
                            </w:rPr>
                            <w:fldChar w:fldCharType="begin"/>
                          </w:r>
                          <w:r w:rsidRPr="00AA4577">
                            <w:rPr>
                              <w:b/>
                              <w:sz w:val="18"/>
                            </w:rPr>
                            <w:instrText xml:space="preserve"> PAGE  \* MERGEFORMAT </w:instrText>
                          </w:r>
                          <w:r w:rsidRPr="00AA4577">
                            <w:rPr>
                              <w:b/>
                              <w:sz w:val="18"/>
                            </w:rPr>
                            <w:fldChar w:fldCharType="separate"/>
                          </w:r>
                          <w:r w:rsidR="000E0429">
                            <w:rPr>
                              <w:b/>
                              <w:noProof/>
                              <w:sz w:val="18"/>
                            </w:rPr>
                            <w:t>43</w:t>
                          </w:r>
                          <w:r w:rsidRPr="00AA4577">
                            <w:rPr>
                              <w:b/>
                              <w:sz w:val="18"/>
                            </w:rPr>
                            <w:fldChar w:fldCharType="end"/>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3BCFF41" id="_x0000_t202" coordsize="21600,21600" o:spt="202" path="m,l,21600r21600,l21600,xe">
              <v:stroke joinstyle="miter"/>
              <v:path gradientshapeok="t" o:connecttype="rect"/>
            </v:shapetype>
            <v:shape id="Text Box 46" o:spid="_x0000_s1033" type="#_x0000_t202" style="position:absolute;margin-left:-34pt;margin-top:0;width:17.55pt;height:481.9pt;z-index:25166233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" filled="f" stroked="f">
              <v:stroke joinstyle="round"/>
              <v:path arrowok="t"/>
              <v:textbox style="layout-flow:vertical" inset="0,0,0,0">
                <w:txbxContent>
                  <w:p w14:paraId="33AD0EEE" w14:textId="117E0863" w:rsidR="00952179" w:rsidRPr="00AA4577" w:rsidRDefault="00952179" w:rsidP="006D4A81">
                    <w:pPr>
                      <w:pStyle w:val="Footer"/>
                      <w:tabs>
                        <w:tab w:val="right" w:pos="9638"/>
                      </w:tabs>
                      <w:rPr>
                        <w:b/>
                        <w:sz w:val="18"/>
                      </w:rPr>
                    </w:pPr>
                    <w:r>
                      <w:tab/>
                    </w:r>
                    <w:r w:rsidRPr="00AA4577">
                      <w:rPr>
                        <w:b/>
                        <w:sz w:val="18"/>
                      </w:rPr>
                      <w:fldChar w:fldCharType="begin"/>
                    </w:r>
                    <w:r w:rsidRPr="00AA4577">
                      <w:rPr>
                        <w:b/>
                        <w:sz w:val="18"/>
                      </w:rPr>
                      <w:instrText xml:space="preserve"> PAGE  \* MERGEFORMAT </w:instrText>
                    </w:r>
                    <w:r w:rsidRPr="00AA4577">
                      <w:rPr>
                        <w:b/>
                        <w:sz w:val="18"/>
                      </w:rPr>
                      <w:fldChar w:fldCharType="separate"/>
                    </w:r>
                    <w:r w:rsidR="000E0429">
                      <w:rPr>
                        <w:b/>
                        <w:noProof/>
                        <w:sz w:val="18"/>
                      </w:rPr>
                      <w:t>43</w:t>
                    </w:r>
                    <w:r w:rsidRPr="00AA4577">
                      <w:rPr>
                        <w:b/>
                        <w:sz w:val="18"/>
                      </w:rPr>
                      <w:fldChar w:fldCharType="end"/>
                    </w:r>
                  </w:p>
                </w:txbxContent>
              </v:textbox>
              <w10:wrap anchorx="margin" anchory="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908C0" w14:textId="1BC1DA39" w:rsidR="00952179" w:rsidRPr="0075674A" w:rsidRDefault="00952179" w:rsidP="006D4A81">
    <w:pPr>
      <w:pStyle w:val="Footer"/>
      <w:tabs>
        <w:tab w:val="right" w:pos="9356"/>
        <w:tab w:val="right" w:pos="9638"/>
      </w:tabs>
      <w:ind w:right="-329"/>
      <w:rPr>
        <w:b/>
        <w:szCs w:val="18"/>
      </w:rPr>
    </w:pPr>
    <w:r w:rsidRPr="0075674A">
      <w:rPr>
        <w:b/>
        <w:sz w:val="18"/>
        <w:szCs w:val="18"/>
      </w:rPr>
      <w:fldChar w:fldCharType="begin"/>
    </w:r>
    <w:r w:rsidRPr="0075674A">
      <w:rPr>
        <w:b/>
        <w:sz w:val="18"/>
        <w:szCs w:val="18"/>
      </w:rPr>
      <w:instrText xml:space="preserve"> PAGE  \* MERGEFORMAT </w:instrText>
    </w:r>
    <w:r w:rsidRPr="0075674A">
      <w:rPr>
        <w:b/>
        <w:sz w:val="18"/>
        <w:szCs w:val="18"/>
      </w:rPr>
      <w:fldChar w:fldCharType="separate"/>
    </w:r>
    <w:r w:rsidR="000E0429">
      <w:rPr>
        <w:b/>
        <w:noProof/>
        <w:sz w:val="18"/>
        <w:szCs w:val="18"/>
      </w:rPr>
      <w:t>50</w:t>
    </w:r>
    <w:r w:rsidRPr="0075674A">
      <w:rPr>
        <w:b/>
        <w:sz w:val="18"/>
        <w:szCs w:val="18"/>
      </w:rPr>
      <w:fldChar w:fldCharType="end"/>
    </w:r>
    <w:r w:rsidRPr="0075674A">
      <w:rPr>
        <w:b/>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78E7C" w14:textId="77777777" w:rsidR="0068282A" w:rsidRDefault="0068282A">
      <w:r>
        <w:separator/>
      </w:r>
    </w:p>
  </w:footnote>
  <w:footnote w:type="continuationSeparator" w:id="0">
    <w:p w14:paraId="72AAEFE6" w14:textId="77777777" w:rsidR="0068282A" w:rsidRDefault="0068282A">
      <w:r>
        <w:continuationSeparator/>
      </w:r>
    </w:p>
  </w:footnote>
  <w:footnote w:type="continuationNotice" w:id="1">
    <w:p w14:paraId="0F0630E7" w14:textId="77777777" w:rsidR="0068282A" w:rsidRDefault="0068282A">
      <w:pPr>
        <w:spacing w:line="240" w:lineRule="auto"/>
      </w:pPr>
    </w:p>
  </w:footnote>
  <w:footnote w:id="2">
    <w:p w14:paraId="1A065976" w14:textId="77777777" w:rsidR="00952179" w:rsidRDefault="00952179" w:rsidP="00BE07CA">
      <w:pPr>
        <w:pStyle w:val="FootnoteText"/>
        <w:rPr>
          <w:szCs w:val="16"/>
        </w:rPr>
      </w:pPr>
      <w:r>
        <w:rPr>
          <w:szCs w:val="16"/>
        </w:rPr>
        <w:tab/>
      </w:r>
      <w:r w:rsidRPr="00FB11AC">
        <w:rPr>
          <w:rStyle w:val="FootnoteReference"/>
          <w:szCs w:val="16"/>
        </w:rPr>
        <w:footnoteRef/>
      </w:r>
      <w:r w:rsidRPr="00FB11AC">
        <w:rPr>
          <w:szCs w:val="16"/>
        </w:rPr>
        <w:tab/>
        <w:t>The text of the statement is available on the submission portal at &lt;</w:t>
      </w:r>
      <w:r w:rsidRPr="00FB11AC">
        <w:rPr>
          <w:color w:val="000000" w:themeColor="text1"/>
          <w:szCs w:val="16"/>
        </w:rPr>
        <w:t>www.unfccc.int/5900</w:t>
      </w:r>
      <w:r w:rsidRPr="00FB11AC">
        <w:rPr>
          <w:szCs w:val="16"/>
        </w:rPr>
        <w:t>&gt; (click on “Submissions from Parties” under the SBI header, then select “SBI 44”).</w:t>
      </w:r>
    </w:p>
  </w:footnote>
  <w:footnote w:id="3">
    <w:p w14:paraId="00A2C343" w14:textId="77777777" w:rsidR="00952179" w:rsidRDefault="00952179" w:rsidP="00BE07CA">
      <w:pPr>
        <w:pStyle w:val="FootnoteText"/>
        <w:rPr>
          <w:szCs w:val="16"/>
        </w:rPr>
      </w:pPr>
      <w:r>
        <w:rPr>
          <w:szCs w:val="16"/>
        </w:rPr>
        <w:tab/>
      </w:r>
      <w:r>
        <w:rPr>
          <w:rStyle w:val="FootnoteReference"/>
          <w:szCs w:val="16"/>
        </w:rPr>
        <w:footnoteRef/>
      </w:r>
      <w:r>
        <w:rPr>
          <w:szCs w:val="16"/>
        </w:rPr>
        <w:tab/>
        <w:t>The texts of the statements, including those that were not delivered during the plenary meeting, are available on the submission portal at &lt;</w:t>
      </w:r>
      <w:r>
        <w:t>www.unfccc.int/5900</w:t>
      </w:r>
      <w:r>
        <w:rPr>
          <w:szCs w:val="16"/>
        </w:rPr>
        <w:t>&gt; (click on “Submissions from Parties” under the SBI header to be directed to the submission portal, select “SBI 44”, then search for</w:t>
      </w:r>
      <w:r>
        <w:t xml:space="preserve"> “statements”.</w:t>
      </w:r>
      <w:r>
        <w:rPr>
          <w:szCs w:val="16"/>
        </w:rPr>
        <w:t>)</w:t>
      </w:r>
    </w:p>
  </w:footnote>
  <w:footnote w:id="4">
    <w:p w14:paraId="7F298813" w14:textId="77777777" w:rsidR="00952179" w:rsidRDefault="00952179" w:rsidP="00BE07CA">
      <w:pPr>
        <w:pStyle w:val="FootnoteText"/>
        <w:rPr>
          <w:szCs w:val="16"/>
        </w:rPr>
      </w:pPr>
      <w:r>
        <w:rPr>
          <w:szCs w:val="16"/>
        </w:rPr>
        <w:tab/>
      </w:r>
      <w:r w:rsidRPr="00FB11AC">
        <w:rPr>
          <w:rStyle w:val="FootnoteReference"/>
          <w:szCs w:val="16"/>
        </w:rPr>
        <w:footnoteRef/>
      </w:r>
      <w:r w:rsidRPr="00FB11AC">
        <w:rPr>
          <w:szCs w:val="16"/>
        </w:rPr>
        <w:tab/>
        <w:t>&lt;www.unfccc.int/9392&gt;.</w:t>
      </w:r>
      <w:r>
        <w:rPr>
          <w:szCs w:val="16"/>
        </w:rPr>
        <w:t xml:space="preserve"> </w:t>
      </w:r>
    </w:p>
  </w:footnote>
  <w:footnote w:id="5">
    <w:p w14:paraId="77563D95" w14:textId="77777777" w:rsidR="00952179" w:rsidRPr="00FB11AC" w:rsidRDefault="00952179" w:rsidP="00BE07CA">
      <w:pPr>
        <w:pStyle w:val="FootnoteText"/>
        <w:rPr>
          <w:color w:val="000000" w:themeColor="text1"/>
          <w:szCs w:val="16"/>
        </w:rPr>
      </w:pPr>
      <w:r>
        <w:rPr>
          <w:color w:val="1F497D" w:themeColor="text2"/>
          <w:szCs w:val="16"/>
        </w:rPr>
        <w:tab/>
      </w:r>
      <w:r>
        <w:rPr>
          <w:rStyle w:val="FootnoteReference"/>
          <w:color w:val="1F497D" w:themeColor="text2"/>
          <w:szCs w:val="16"/>
        </w:rPr>
        <w:footnoteRef/>
      </w:r>
      <w:r>
        <w:rPr>
          <w:color w:val="1F497D" w:themeColor="text2"/>
          <w:szCs w:val="16"/>
        </w:rPr>
        <w:tab/>
      </w:r>
      <w:r w:rsidRPr="00FB11AC">
        <w:rPr>
          <w:color w:val="000000" w:themeColor="text1"/>
          <w:szCs w:val="16"/>
        </w:rPr>
        <w:t>FCCC/SBI/2014/8, paragraphs 213 and 218–221.</w:t>
      </w:r>
    </w:p>
  </w:footnote>
  <w:footnote w:id="6">
    <w:p w14:paraId="42856C19" w14:textId="17934351" w:rsidR="00952179" w:rsidRPr="00FB11AC" w:rsidRDefault="00952179" w:rsidP="00BE07CA">
      <w:pPr>
        <w:pStyle w:val="FootnoteText"/>
      </w:pPr>
      <w:r w:rsidRPr="00FB11AC">
        <w:rPr>
          <w:color w:val="1F497D" w:themeColor="text2"/>
        </w:rPr>
        <w:tab/>
      </w:r>
      <w:r w:rsidRPr="00FB11AC">
        <w:rPr>
          <w:rStyle w:val="FootnoteReference"/>
        </w:rPr>
        <w:footnoteRef/>
      </w:r>
      <w:r w:rsidRPr="00FB11AC">
        <w:tab/>
        <w:t>&lt;www.unfccc.int/9382&gt;.</w:t>
      </w:r>
    </w:p>
  </w:footnote>
  <w:footnote w:id="7">
    <w:p w14:paraId="1390D560" w14:textId="77777777" w:rsidR="00952179" w:rsidRDefault="00952179" w:rsidP="00BE07CA">
      <w:pPr>
        <w:pStyle w:val="FootnoteText"/>
        <w:rPr>
          <w:lang w:val="en-US"/>
        </w:rPr>
      </w:pPr>
      <w:r w:rsidRPr="00FB11AC">
        <w:rPr>
          <w:color w:val="1F497D" w:themeColor="text2"/>
          <w:lang w:val="en-US"/>
        </w:rPr>
        <w:tab/>
      </w:r>
      <w:r w:rsidRPr="00FB11AC">
        <w:rPr>
          <w:rStyle w:val="FootnoteReference"/>
          <w:szCs w:val="16"/>
        </w:rPr>
        <w:footnoteRef/>
      </w:r>
      <w:r w:rsidRPr="00FB11AC">
        <w:rPr>
          <w:lang w:val="en-US"/>
        </w:rPr>
        <w:tab/>
        <w:t>See paragraph 42 below and &lt;www.unfccc.int/8722&gt;.</w:t>
      </w:r>
      <w:r>
        <w:rPr>
          <w:lang w:val="en-US"/>
        </w:rPr>
        <w:t xml:space="preserve"> </w:t>
      </w:r>
    </w:p>
  </w:footnote>
  <w:footnote w:id="8">
    <w:p w14:paraId="365672A2" w14:textId="77777777" w:rsidR="00952179" w:rsidRPr="00FB11AC" w:rsidRDefault="00952179" w:rsidP="00BE07CA">
      <w:pPr>
        <w:pStyle w:val="FootnoteText"/>
        <w:rPr>
          <w:szCs w:val="16"/>
        </w:rPr>
      </w:pPr>
      <w:r>
        <w:rPr>
          <w:szCs w:val="16"/>
        </w:rPr>
        <w:tab/>
      </w:r>
      <w:r>
        <w:rPr>
          <w:rStyle w:val="FootnoteReference"/>
          <w:szCs w:val="16"/>
        </w:rPr>
        <w:footnoteRef/>
      </w:r>
      <w:r>
        <w:rPr>
          <w:szCs w:val="16"/>
        </w:rPr>
        <w:tab/>
      </w:r>
      <w:r w:rsidRPr="00FB11AC">
        <w:rPr>
          <w:szCs w:val="16"/>
        </w:rPr>
        <w:t xml:space="preserve">Draft conclusions presented in document FCCC/SBI/2016/L.1. </w:t>
      </w:r>
    </w:p>
  </w:footnote>
  <w:footnote w:id="9">
    <w:p w14:paraId="2D787184" w14:textId="77777777" w:rsidR="00952179" w:rsidRPr="00FB11AC" w:rsidRDefault="00952179" w:rsidP="00BE07CA">
      <w:pPr>
        <w:pStyle w:val="FootnoteText"/>
      </w:pPr>
      <w:r w:rsidRPr="00FB11AC">
        <w:tab/>
      </w:r>
      <w:r w:rsidRPr="00FB11AC">
        <w:rPr>
          <w:rStyle w:val="FootnoteReference"/>
        </w:rPr>
        <w:footnoteRef/>
      </w:r>
      <w:r w:rsidRPr="00FB11AC">
        <w:tab/>
        <w:t>FCCC/SBI/2014/INF.20 and Add.1 and 2 and Add.1/Corr.1.</w:t>
      </w:r>
    </w:p>
  </w:footnote>
  <w:footnote w:id="10">
    <w:p w14:paraId="00A7A56E" w14:textId="77777777" w:rsidR="00952179" w:rsidRPr="00FB11AC" w:rsidRDefault="00952179" w:rsidP="00BE07CA">
      <w:pPr>
        <w:pStyle w:val="FootnoteText"/>
        <w:rPr>
          <w:lang w:val="en-US"/>
        </w:rPr>
      </w:pPr>
      <w:r w:rsidRPr="00FB11AC">
        <w:tab/>
      </w:r>
      <w:r w:rsidRPr="00FB11AC">
        <w:rPr>
          <w:rStyle w:val="FootnoteReference"/>
        </w:rPr>
        <w:footnoteRef/>
      </w:r>
      <w:r w:rsidRPr="00FB11AC">
        <w:tab/>
        <w:t>See decision 2/CP.17, paragraph 21.</w:t>
      </w:r>
    </w:p>
  </w:footnote>
  <w:footnote w:id="11">
    <w:p w14:paraId="3A822396" w14:textId="77777777" w:rsidR="00952179" w:rsidRPr="00FB11AC" w:rsidRDefault="00952179" w:rsidP="00BE07CA">
      <w:pPr>
        <w:pStyle w:val="FootnoteText"/>
        <w:rPr>
          <w:szCs w:val="16"/>
        </w:rPr>
      </w:pPr>
      <w:r w:rsidRPr="00FB11AC">
        <w:rPr>
          <w:szCs w:val="16"/>
        </w:rPr>
        <w:tab/>
      </w:r>
      <w:r w:rsidRPr="00FB11AC">
        <w:rPr>
          <w:rStyle w:val="FootnoteReference"/>
          <w:szCs w:val="16"/>
        </w:rPr>
        <w:footnoteRef/>
      </w:r>
      <w:r w:rsidRPr="00FB11AC">
        <w:rPr>
          <w:szCs w:val="16"/>
        </w:rPr>
        <w:tab/>
        <w:t xml:space="preserve">Draft conclusions presented in document FCCC/SBI/2016/L.12. </w:t>
      </w:r>
    </w:p>
  </w:footnote>
  <w:footnote w:id="12">
    <w:p w14:paraId="2D9BF4EE" w14:textId="77777777" w:rsidR="00952179" w:rsidRDefault="00952179" w:rsidP="00BE07CA">
      <w:pPr>
        <w:pStyle w:val="FootnoteText"/>
        <w:widowControl w:val="0"/>
        <w:rPr>
          <w:lang w:val="en-US"/>
        </w:rPr>
      </w:pPr>
      <w:r w:rsidRPr="00FB11AC">
        <w:tab/>
      </w:r>
      <w:r w:rsidRPr="00FB11AC">
        <w:rPr>
          <w:rStyle w:val="FootnoteReference"/>
        </w:rPr>
        <w:footnoteRef/>
      </w:r>
      <w:r w:rsidRPr="00FB11AC">
        <w:tab/>
        <w:t>See decision 2/CP.17, annex II, paragraph 12.</w:t>
      </w:r>
    </w:p>
  </w:footnote>
  <w:footnote w:id="13">
    <w:p w14:paraId="53101FAF" w14:textId="77777777" w:rsidR="00952179" w:rsidRPr="00FB11AC" w:rsidRDefault="00952179" w:rsidP="00BE07CA">
      <w:pPr>
        <w:pStyle w:val="FootnoteText"/>
        <w:widowControl w:val="0"/>
        <w:rPr>
          <w:lang w:val="en-US"/>
        </w:rPr>
      </w:pPr>
      <w:r>
        <w:tab/>
      </w:r>
      <w:r>
        <w:rPr>
          <w:rStyle w:val="FootnoteReference"/>
        </w:rPr>
        <w:footnoteRef/>
      </w:r>
      <w:r>
        <w:tab/>
      </w:r>
      <w:r>
        <w:rPr>
          <w:iCs/>
        </w:rPr>
        <w:t xml:space="preserve">Parties that were multilaterally assessed during the first round of IAR: Australia, Austria, Belarus, Belgium, Bulgaria, Canada, Croatia, Cyprus, Czech Republic, Denmark, Estonia, European Union, Finland, France, Germany, Greece, Hungary, Iceland, Ireland, Italy, Japan, Kazakhstan, Latvia, Liechtenstein, Lithuania, Luxembourg, Malta, Monaco, Netherlands, New Zealand, Norway, Poland, </w:t>
      </w:r>
      <w:r w:rsidRPr="00FB11AC">
        <w:rPr>
          <w:iCs/>
        </w:rPr>
        <w:t>Portugal, Romania, Russian Federation, Slovakia, Slovenia, Spain, Sweden, Switzerland, Ukraine, United Kingdom of Great Britain and Northern Ireland and United States of America.</w:t>
      </w:r>
      <w:r w:rsidRPr="00FB11AC">
        <w:t xml:space="preserve"> </w:t>
      </w:r>
    </w:p>
  </w:footnote>
  <w:footnote w:id="14">
    <w:p w14:paraId="2C9C5285" w14:textId="77777777" w:rsidR="00952179" w:rsidRPr="00FB11AC" w:rsidRDefault="00952179" w:rsidP="00BE07CA">
      <w:pPr>
        <w:pStyle w:val="FootnoteText"/>
        <w:widowControl w:val="0"/>
        <w:rPr>
          <w:lang w:val="en-US"/>
        </w:rPr>
      </w:pPr>
      <w:r w:rsidRPr="00FB11AC">
        <w:tab/>
      </w:r>
      <w:r w:rsidRPr="00FB11AC">
        <w:rPr>
          <w:rStyle w:val="FootnoteReference"/>
        </w:rPr>
        <w:footnoteRef/>
      </w:r>
      <w:r w:rsidRPr="00FB11AC">
        <w:tab/>
      </w:r>
      <w:r w:rsidRPr="00FB11AC">
        <w:rPr>
          <w:lang w:val="en-US"/>
        </w:rPr>
        <w:t>The Party records are available on the respective Party pages under multilateral assessment at &lt;http://unfccc.int/focus/mitigation/the_multilateral_assessment_process_under_the_iar/items/9456.php&gt;.</w:t>
      </w:r>
      <w:r w:rsidRPr="00FB11AC">
        <w:t xml:space="preserve"> </w:t>
      </w:r>
    </w:p>
  </w:footnote>
  <w:footnote w:id="15">
    <w:p w14:paraId="3DC11002" w14:textId="4B8FA8D6" w:rsidR="00952179" w:rsidRPr="004B6C33" w:rsidRDefault="00952179">
      <w:pPr>
        <w:pStyle w:val="FootnoteText"/>
        <w:rPr>
          <w:lang w:val="en-US"/>
        </w:rPr>
      </w:pPr>
      <w:r>
        <w:tab/>
      </w:r>
      <w:r>
        <w:rPr>
          <w:rStyle w:val="FootnoteReference"/>
        </w:rPr>
        <w:footnoteRef/>
      </w:r>
      <w:r>
        <w:t xml:space="preserve"> </w:t>
      </w:r>
      <w:r>
        <w:tab/>
        <w:t>For the text of the draft decision, see document FCCC/SBI/2016/8/Add.1.</w:t>
      </w:r>
    </w:p>
  </w:footnote>
  <w:footnote w:id="16">
    <w:p w14:paraId="041678E9" w14:textId="77777777" w:rsidR="00952179" w:rsidRPr="00FB11AC" w:rsidRDefault="00952179" w:rsidP="00BE07CA">
      <w:pPr>
        <w:pStyle w:val="FootnoteText"/>
        <w:rPr>
          <w:szCs w:val="16"/>
        </w:rPr>
      </w:pPr>
      <w:r w:rsidRPr="00FB11AC">
        <w:rPr>
          <w:szCs w:val="16"/>
        </w:rPr>
        <w:tab/>
      </w:r>
      <w:r w:rsidRPr="00FB11AC">
        <w:rPr>
          <w:rStyle w:val="FootnoteReference"/>
          <w:szCs w:val="16"/>
        </w:rPr>
        <w:footnoteRef/>
      </w:r>
      <w:r w:rsidRPr="00FB11AC">
        <w:rPr>
          <w:szCs w:val="16"/>
        </w:rPr>
        <w:tab/>
      </w:r>
      <w:r w:rsidRPr="00FB11AC">
        <w:t>For the workshop report, see document FCCC/SBI/2016/INF.4/Rev.1.</w:t>
      </w:r>
    </w:p>
  </w:footnote>
  <w:footnote w:id="17">
    <w:p w14:paraId="6D2925C9" w14:textId="77777777" w:rsidR="00952179" w:rsidRDefault="00952179" w:rsidP="00BE07CA">
      <w:pPr>
        <w:pStyle w:val="FootnoteText"/>
        <w:rPr>
          <w:szCs w:val="16"/>
        </w:rPr>
      </w:pPr>
      <w:r w:rsidRPr="00FB11AC">
        <w:rPr>
          <w:szCs w:val="16"/>
        </w:rPr>
        <w:tab/>
      </w:r>
      <w:r w:rsidRPr="00FB11AC">
        <w:rPr>
          <w:rStyle w:val="FootnoteReference"/>
          <w:szCs w:val="16"/>
        </w:rPr>
        <w:footnoteRef/>
      </w:r>
      <w:r w:rsidRPr="00FB11AC">
        <w:rPr>
          <w:szCs w:val="16"/>
        </w:rPr>
        <w:tab/>
        <w:t>Draft conclusions presented in document FCCC/SBI/2016/L.22.</w:t>
      </w:r>
      <w:r>
        <w:rPr>
          <w:szCs w:val="16"/>
        </w:rPr>
        <w:t xml:space="preserve"> </w:t>
      </w:r>
    </w:p>
  </w:footnote>
  <w:footnote w:id="18">
    <w:p w14:paraId="5E9B7120" w14:textId="77777777" w:rsidR="00952179" w:rsidRPr="00C74F85" w:rsidRDefault="00952179" w:rsidP="00BE07CA">
      <w:pPr>
        <w:pStyle w:val="FootnoteText"/>
        <w:widowControl w:val="0"/>
        <w:rPr>
          <w:lang w:val="en-US"/>
        </w:rPr>
      </w:pPr>
      <w:r>
        <w:tab/>
      </w:r>
      <w:r>
        <w:rPr>
          <w:rStyle w:val="FootnoteReference"/>
        </w:rPr>
        <w:footnoteRef/>
      </w:r>
      <w:r>
        <w:tab/>
        <w:t xml:space="preserve">Contained in </w:t>
      </w:r>
      <w:r w:rsidRPr="00C74F85">
        <w:t xml:space="preserve">document FCCC/CP/1999/7. </w:t>
      </w:r>
    </w:p>
  </w:footnote>
  <w:footnote w:id="19">
    <w:p w14:paraId="0C4FC20D" w14:textId="77777777" w:rsidR="00952179" w:rsidRPr="00C74F85" w:rsidRDefault="00952179" w:rsidP="00BE07CA">
      <w:pPr>
        <w:pStyle w:val="FootnoteText"/>
        <w:widowControl w:val="0"/>
        <w:rPr>
          <w:lang w:val="en-US"/>
        </w:rPr>
      </w:pPr>
      <w:r w:rsidRPr="00C74F85">
        <w:tab/>
      </w:r>
      <w:r w:rsidRPr="00C74F85">
        <w:rPr>
          <w:rStyle w:val="FootnoteReference"/>
        </w:rPr>
        <w:footnoteRef/>
      </w:r>
      <w:r w:rsidRPr="00C74F85">
        <w:tab/>
        <w:t>Contained in document FCCC/SBI/2016/INF.4/Rev.1.</w:t>
      </w:r>
    </w:p>
  </w:footnote>
  <w:footnote w:id="20">
    <w:p w14:paraId="6AD43600" w14:textId="77777777" w:rsidR="00952179" w:rsidRPr="00C74F85" w:rsidRDefault="00952179" w:rsidP="00BE07CA">
      <w:pPr>
        <w:pStyle w:val="FootnoteText"/>
        <w:rPr>
          <w:szCs w:val="16"/>
        </w:rPr>
      </w:pPr>
      <w:r w:rsidRPr="00C74F85">
        <w:rPr>
          <w:szCs w:val="16"/>
        </w:rPr>
        <w:tab/>
      </w:r>
      <w:r w:rsidRPr="00BD77AE">
        <w:rPr>
          <w:rStyle w:val="FootnoteReference"/>
          <w:szCs w:val="16"/>
        </w:rPr>
        <w:footnoteRef/>
      </w:r>
      <w:r w:rsidRPr="00BD77AE">
        <w:rPr>
          <w:szCs w:val="16"/>
        </w:rPr>
        <w:tab/>
      </w:r>
      <w:r w:rsidRPr="00BD77AE">
        <w:rPr>
          <w:rFonts w:eastAsia="Times New Roman"/>
          <w:szCs w:val="18"/>
          <w:lang w:val="en-US" w:eastAsia="en-US"/>
        </w:rPr>
        <w:t>The statement is available at &lt;unfccc.int/9</w:t>
      </w:r>
      <w:r>
        <w:rPr>
          <w:rFonts w:eastAsia="Times New Roman"/>
          <w:szCs w:val="18"/>
          <w:lang w:val="en-US" w:eastAsia="en-US"/>
        </w:rPr>
        <w:t>5</w:t>
      </w:r>
      <w:r w:rsidRPr="00BD77AE">
        <w:rPr>
          <w:rFonts w:eastAsia="Times New Roman"/>
          <w:szCs w:val="18"/>
          <w:lang w:val="en-US" w:eastAsia="en-US"/>
        </w:rPr>
        <w:t>53&gt;.</w:t>
      </w:r>
      <w:r w:rsidRPr="00C74F85">
        <w:rPr>
          <w:szCs w:val="16"/>
        </w:rPr>
        <w:t xml:space="preserve"> </w:t>
      </w:r>
    </w:p>
  </w:footnote>
  <w:footnote w:id="21">
    <w:p w14:paraId="6A289090" w14:textId="77777777" w:rsidR="00952179" w:rsidRDefault="00952179" w:rsidP="00BE07CA">
      <w:pPr>
        <w:pStyle w:val="FootnoteText"/>
        <w:rPr>
          <w:szCs w:val="16"/>
        </w:rPr>
      </w:pPr>
      <w:r w:rsidRPr="00C74F85">
        <w:rPr>
          <w:szCs w:val="16"/>
        </w:rPr>
        <w:tab/>
      </w:r>
      <w:r w:rsidRPr="00C74F85">
        <w:rPr>
          <w:rStyle w:val="FootnoteReference"/>
          <w:szCs w:val="16"/>
        </w:rPr>
        <w:footnoteRef/>
      </w:r>
      <w:r w:rsidRPr="00C74F85">
        <w:rPr>
          <w:szCs w:val="16"/>
        </w:rPr>
        <w:tab/>
        <w:t>Statements delivered on this agenda sub-item are available through the webcast of the meeting at &lt;http://unfccc6.meta-fusion.com/bonn_may_2016/events/2016-05-26-15-00-subsidiary-body-for-implementation-sbi-resumed-3rd-meeting/provision-of-financial-and-technical-support-agenda-item-4-b&gt;</w:t>
      </w:r>
      <w:r w:rsidRPr="00C74F85">
        <w:rPr>
          <w:rFonts w:eastAsia="Times New Roman"/>
          <w:szCs w:val="18"/>
          <w:lang w:val="en-US" w:eastAsia="en-US"/>
        </w:rPr>
        <w:t>.</w:t>
      </w:r>
      <w:r>
        <w:rPr>
          <w:szCs w:val="16"/>
        </w:rPr>
        <w:t xml:space="preserve"> </w:t>
      </w:r>
    </w:p>
  </w:footnote>
  <w:footnote w:id="22">
    <w:p w14:paraId="313EDA2D" w14:textId="77777777" w:rsidR="00952179" w:rsidRPr="00C74F85" w:rsidRDefault="00952179" w:rsidP="00BE07CA">
      <w:pPr>
        <w:pStyle w:val="FootnoteText"/>
        <w:rPr>
          <w:szCs w:val="16"/>
        </w:rPr>
      </w:pPr>
      <w:r>
        <w:rPr>
          <w:szCs w:val="16"/>
        </w:rPr>
        <w:tab/>
      </w:r>
      <w:r>
        <w:rPr>
          <w:rStyle w:val="FootnoteReference"/>
          <w:szCs w:val="16"/>
        </w:rPr>
        <w:footnoteRef/>
      </w:r>
      <w:r>
        <w:rPr>
          <w:szCs w:val="16"/>
        </w:rPr>
        <w:tab/>
      </w:r>
      <w:r w:rsidRPr="00C74F85">
        <w:rPr>
          <w:szCs w:val="16"/>
        </w:rPr>
        <w:t xml:space="preserve">Draft conclusions presented in document FCCC/SBI/2016/L.11. </w:t>
      </w:r>
    </w:p>
  </w:footnote>
  <w:footnote w:id="23">
    <w:p w14:paraId="5344BF79" w14:textId="77777777" w:rsidR="00952179" w:rsidRPr="00C74F85" w:rsidRDefault="00952179" w:rsidP="00BE07CA">
      <w:pPr>
        <w:pStyle w:val="FootnoteText"/>
        <w:widowControl w:val="0"/>
        <w:rPr>
          <w:lang w:val="fr-FR"/>
        </w:rPr>
      </w:pPr>
      <w:r w:rsidRPr="00C74F85">
        <w:tab/>
      </w:r>
      <w:r w:rsidRPr="00C74F85">
        <w:rPr>
          <w:rStyle w:val="FootnoteReference"/>
        </w:rPr>
        <w:footnoteRef/>
      </w:r>
      <w:r w:rsidRPr="00C74F85">
        <w:rPr>
          <w:lang w:val="fr-FR"/>
        </w:rPr>
        <w:tab/>
        <w:t>FCCC/SBI/2016/INF.2.</w:t>
      </w:r>
    </w:p>
  </w:footnote>
  <w:footnote w:id="24">
    <w:p w14:paraId="0F72579B" w14:textId="77777777" w:rsidR="00952179" w:rsidRPr="00C74F85" w:rsidRDefault="00952179" w:rsidP="00BE07CA">
      <w:pPr>
        <w:pStyle w:val="FootnoteText"/>
        <w:widowControl w:val="0"/>
        <w:rPr>
          <w:lang w:val="fr-FR"/>
        </w:rPr>
      </w:pPr>
      <w:r w:rsidRPr="00C74F85">
        <w:rPr>
          <w:lang w:val="fr-FR"/>
        </w:rPr>
        <w:tab/>
      </w:r>
      <w:r w:rsidRPr="00C74F85">
        <w:rPr>
          <w:rStyle w:val="FootnoteReference"/>
        </w:rPr>
        <w:footnoteRef/>
      </w:r>
      <w:r w:rsidRPr="00C74F85">
        <w:rPr>
          <w:lang w:val="fr-FR"/>
        </w:rPr>
        <w:tab/>
        <w:t>FCCC/SBI/2012/15, paragraph 53.</w:t>
      </w:r>
    </w:p>
  </w:footnote>
  <w:footnote w:id="25">
    <w:p w14:paraId="30979633" w14:textId="77777777" w:rsidR="00952179" w:rsidRDefault="00952179" w:rsidP="00BE07CA">
      <w:pPr>
        <w:pStyle w:val="FootnoteText"/>
        <w:widowControl w:val="0"/>
        <w:rPr>
          <w:lang w:val="en-US"/>
        </w:rPr>
      </w:pPr>
      <w:r w:rsidRPr="00C74F85">
        <w:rPr>
          <w:lang w:val="fr-FR"/>
        </w:rPr>
        <w:tab/>
      </w:r>
      <w:r w:rsidRPr="00C74F85">
        <w:rPr>
          <w:rStyle w:val="FootnoteReference"/>
        </w:rPr>
        <w:footnoteRef/>
      </w:r>
      <w:r>
        <w:tab/>
        <w:t xml:space="preserve">FCCC/CP/2015/4, page 12. </w:t>
      </w:r>
    </w:p>
  </w:footnote>
  <w:footnote w:id="26">
    <w:p w14:paraId="4269E18B" w14:textId="77777777" w:rsidR="00952179" w:rsidRDefault="00952179" w:rsidP="00BE07CA">
      <w:pPr>
        <w:pStyle w:val="FootnoteText"/>
        <w:widowControl w:val="0"/>
        <w:rPr>
          <w:lang w:val="en-US"/>
        </w:rPr>
      </w:pPr>
      <w:r>
        <w:tab/>
      </w:r>
      <w:r>
        <w:rPr>
          <w:rStyle w:val="FootnoteReference"/>
        </w:rPr>
        <w:footnoteRef/>
      </w:r>
      <w:r>
        <w:tab/>
        <w:t xml:space="preserve">A project administered jointly by the United Nations Development Programme and the United Nations Environment Programme with the objective of enhancing the support provided to non-Annex I Parties for the timely preparation and submission of their national communications and BURs. </w:t>
      </w:r>
    </w:p>
  </w:footnote>
  <w:footnote w:id="27">
    <w:p w14:paraId="72FE621E" w14:textId="77777777" w:rsidR="00952179" w:rsidRPr="00725383" w:rsidRDefault="00952179" w:rsidP="00BE07CA">
      <w:pPr>
        <w:pStyle w:val="FootnoteText"/>
        <w:widowControl w:val="0"/>
        <w:rPr>
          <w:lang w:val="en-US"/>
        </w:rPr>
      </w:pPr>
      <w:r>
        <w:tab/>
      </w:r>
      <w:r>
        <w:rPr>
          <w:rStyle w:val="FootnoteReference"/>
        </w:rPr>
        <w:footnoteRef/>
      </w:r>
      <w:r>
        <w:tab/>
      </w:r>
      <w:r w:rsidRPr="00725383">
        <w:t xml:space="preserve">Decision 1/CP.21, paragraph 86. </w:t>
      </w:r>
    </w:p>
  </w:footnote>
  <w:footnote w:id="28">
    <w:p w14:paraId="240703D3" w14:textId="77777777" w:rsidR="00952179" w:rsidRPr="00725383" w:rsidRDefault="00952179" w:rsidP="00BE07CA">
      <w:pPr>
        <w:pStyle w:val="FootnoteText"/>
        <w:widowControl w:val="0"/>
        <w:rPr>
          <w:lang w:val="en-US"/>
        </w:rPr>
      </w:pPr>
      <w:r w:rsidRPr="00725383">
        <w:tab/>
      </w:r>
      <w:r w:rsidRPr="00725383">
        <w:rPr>
          <w:rStyle w:val="FootnoteReference"/>
        </w:rPr>
        <w:footnoteRef/>
      </w:r>
      <w:r w:rsidRPr="00725383">
        <w:tab/>
        <w:t xml:space="preserve">Details of the work programme of the CGE for 2016–2018 are available at &lt;http://unfccc.int/files/national_reports/non-annex_i_natcom/cge/application/pdf/updated-cge_workprogramme_2016_2018docx.pdf&gt;. </w:t>
      </w:r>
    </w:p>
  </w:footnote>
  <w:footnote w:id="29">
    <w:p w14:paraId="3C2A70EC" w14:textId="77777777" w:rsidR="00952179" w:rsidRDefault="00952179" w:rsidP="00BE07CA">
      <w:pPr>
        <w:pStyle w:val="FootnoteText"/>
        <w:widowControl w:val="0"/>
        <w:rPr>
          <w:lang w:val="en-US"/>
        </w:rPr>
      </w:pPr>
      <w:r w:rsidRPr="00725383">
        <w:tab/>
      </w:r>
      <w:r w:rsidRPr="00725383">
        <w:rPr>
          <w:rStyle w:val="FootnoteReference"/>
        </w:rPr>
        <w:footnoteRef/>
      </w:r>
      <w:r w:rsidRPr="00725383">
        <w:tab/>
        <w:t>FCCC/SBI/2015/10, paragraph 29.</w:t>
      </w:r>
      <w:r>
        <w:t xml:space="preserve"> </w:t>
      </w:r>
    </w:p>
  </w:footnote>
  <w:footnote w:id="30">
    <w:p w14:paraId="433ADB36" w14:textId="3C5F6CE5" w:rsidR="00952179" w:rsidRDefault="00952179" w:rsidP="00BE07CA">
      <w:pPr>
        <w:pStyle w:val="FootnoteText"/>
        <w:widowControl w:val="0"/>
        <w:rPr>
          <w:lang w:val="en-US"/>
        </w:rPr>
      </w:pPr>
      <w:r>
        <w:tab/>
      </w:r>
      <w:r w:rsidRPr="004505D0">
        <w:rPr>
          <w:rStyle w:val="FootnoteReference"/>
        </w:rPr>
        <w:footnoteRef/>
      </w:r>
      <w:r w:rsidRPr="004505D0">
        <w:tab/>
        <w:t>As footnote 2</w:t>
      </w:r>
      <w:r>
        <w:t>8</w:t>
      </w:r>
      <w:r w:rsidRPr="004505D0">
        <w:t xml:space="preserve"> above.</w:t>
      </w:r>
      <w:r>
        <w:t xml:space="preserve"> </w:t>
      </w:r>
    </w:p>
  </w:footnote>
  <w:footnote w:id="31">
    <w:p w14:paraId="43F8796A" w14:textId="77777777" w:rsidR="00952179" w:rsidRDefault="00952179" w:rsidP="00BE07CA">
      <w:pPr>
        <w:pStyle w:val="FootnoteText"/>
        <w:rPr>
          <w:lang w:val="en-US"/>
        </w:rPr>
      </w:pPr>
      <w:r>
        <w:rPr>
          <w:color w:val="1F497D" w:themeColor="text2"/>
          <w:lang w:val="en-US"/>
        </w:rPr>
        <w:tab/>
      </w:r>
      <w:r w:rsidRPr="00725383">
        <w:rPr>
          <w:rStyle w:val="FootnoteReference"/>
          <w:szCs w:val="16"/>
        </w:rPr>
        <w:footnoteRef/>
      </w:r>
      <w:r w:rsidRPr="00725383">
        <w:rPr>
          <w:lang w:val="en-US"/>
        </w:rPr>
        <w:tab/>
        <w:t>&lt;www.unfccc.int/8722&gt;.</w:t>
      </w:r>
      <w:r>
        <w:rPr>
          <w:lang w:val="en-US"/>
        </w:rPr>
        <w:t xml:space="preserve"> </w:t>
      </w:r>
    </w:p>
  </w:footnote>
  <w:footnote w:id="32">
    <w:p w14:paraId="2E56A655" w14:textId="77777777" w:rsidR="00952179" w:rsidRPr="008F2D4F" w:rsidRDefault="00952179" w:rsidP="00BE07CA">
      <w:pPr>
        <w:pStyle w:val="FootnoteText"/>
        <w:rPr>
          <w:szCs w:val="16"/>
        </w:rPr>
      </w:pPr>
      <w:r>
        <w:rPr>
          <w:szCs w:val="16"/>
        </w:rPr>
        <w:tab/>
      </w:r>
      <w:r>
        <w:rPr>
          <w:rStyle w:val="FootnoteReference"/>
          <w:szCs w:val="16"/>
        </w:rPr>
        <w:footnoteRef/>
      </w:r>
      <w:r>
        <w:rPr>
          <w:szCs w:val="16"/>
        </w:rPr>
        <w:tab/>
      </w:r>
      <w:r w:rsidRPr="008F2D4F">
        <w:rPr>
          <w:szCs w:val="16"/>
        </w:rPr>
        <w:t xml:space="preserve">Draft conclusions presented in document FCCC/SBI/2016/L.18. </w:t>
      </w:r>
    </w:p>
  </w:footnote>
  <w:footnote w:id="33">
    <w:p w14:paraId="4D37E804" w14:textId="77777777"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 xml:space="preserve">FCCC/SBI/2016/INF.6. </w:t>
      </w:r>
    </w:p>
  </w:footnote>
  <w:footnote w:id="34">
    <w:p w14:paraId="74CCB2D3" w14:textId="77777777"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See decision 1/CP.21, paragraph 30.</w:t>
      </w:r>
    </w:p>
  </w:footnote>
  <w:footnote w:id="35">
    <w:p w14:paraId="6BF52C88" w14:textId="77777777" w:rsidR="00952179" w:rsidRPr="008F2D4F" w:rsidRDefault="00952179" w:rsidP="00BE07CA">
      <w:pPr>
        <w:pStyle w:val="FootnoteText"/>
        <w:rPr>
          <w:szCs w:val="16"/>
        </w:rPr>
      </w:pPr>
      <w:r w:rsidRPr="008F2D4F">
        <w:rPr>
          <w:szCs w:val="16"/>
        </w:rPr>
        <w:tab/>
      </w:r>
      <w:r w:rsidRPr="008F2D4F">
        <w:rPr>
          <w:rStyle w:val="FootnoteReference"/>
          <w:szCs w:val="16"/>
        </w:rPr>
        <w:footnoteRef/>
      </w:r>
      <w:r w:rsidRPr="008F2D4F">
        <w:rPr>
          <w:szCs w:val="16"/>
        </w:rPr>
        <w:tab/>
        <w:t xml:space="preserve">Draft conclusions presented in document FCCC/SBI/2016/L.19. </w:t>
      </w:r>
    </w:p>
  </w:footnote>
  <w:footnote w:id="36">
    <w:p w14:paraId="37BA3C31" w14:textId="77777777" w:rsidR="00952179" w:rsidRPr="008F2D4F" w:rsidRDefault="00952179" w:rsidP="00BE07CA">
      <w:pPr>
        <w:pStyle w:val="FootnoteText"/>
        <w:widowControl w:val="0"/>
      </w:pPr>
      <w:r w:rsidRPr="008F2D4F">
        <w:tab/>
      </w:r>
      <w:r w:rsidRPr="008F2D4F">
        <w:rPr>
          <w:rStyle w:val="FootnoteReference"/>
        </w:rPr>
        <w:footnoteRef/>
      </w:r>
      <w:r w:rsidRPr="008F2D4F">
        <w:tab/>
        <w:t>Available at &lt;http://www4.unfccc.int/ndcregistry&gt;.</w:t>
      </w:r>
    </w:p>
  </w:footnote>
  <w:footnote w:id="37">
    <w:p w14:paraId="7EA3F518" w14:textId="77777777" w:rsidR="00952179" w:rsidRDefault="00952179" w:rsidP="00BE07CA">
      <w:pPr>
        <w:pStyle w:val="FootnoteText"/>
        <w:widowControl w:val="0"/>
        <w:rPr>
          <w:lang w:val="en-US"/>
        </w:rPr>
      </w:pPr>
      <w:r w:rsidRPr="008F2D4F">
        <w:tab/>
      </w:r>
      <w:r w:rsidRPr="008F2D4F">
        <w:rPr>
          <w:rStyle w:val="FootnoteReference"/>
        </w:rPr>
        <w:footnoteRef/>
      </w:r>
      <w:r w:rsidRPr="008F2D4F">
        <w:tab/>
        <w:t>&lt;http://unfccc.int/8932&gt;.</w:t>
      </w:r>
    </w:p>
  </w:footnote>
  <w:footnote w:id="38">
    <w:p w14:paraId="72FE9CFE" w14:textId="77777777" w:rsidR="00952179" w:rsidRPr="008F2D4F" w:rsidRDefault="00952179" w:rsidP="00BE07CA">
      <w:pPr>
        <w:pStyle w:val="FootnoteText"/>
        <w:rPr>
          <w:color w:val="1F497D" w:themeColor="text2"/>
          <w:szCs w:val="16"/>
        </w:rPr>
      </w:pPr>
      <w:r>
        <w:rPr>
          <w:lang w:val="en-US"/>
        </w:rPr>
        <w:tab/>
      </w:r>
      <w:r>
        <w:rPr>
          <w:rStyle w:val="FootnoteReference"/>
          <w:szCs w:val="16"/>
        </w:rPr>
        <w:footnoteRef/>
      </w:r>
      <w:r>
        <w:rPr>
          <w:szCs w:val="16"/>
        </w:rPr>
        <w:tab/>
        <w:t xml:space="preserve">Draft conclusions </w:t>
      </w:r>
      <w:r w:rsidRPr="008F2D4F">
        <w:rPr>
          <w:szCs w:val="16"/>
        </w:rPr>
        <w:t xml:space="preserve">presented in document FCCC/SBI/2016/L.13. </w:t>
      </w:r>
    </w:p>
  </w:footnote>
  <w:footnote w:id="39">
    <w:p w14:paraId="2CD99F1B" w14:textId="77777777"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 xml:space="preserve"> Such views include those raised in the submissions from Parties on this agenda sub-item (available at &lt;http://unfccc.int/documentation/submissions_from_parties/items/8016.php&gt; and &lt;http://www4.unfccc.int/submissions/SitePages/sessions.aspx?showOnlyCurrentCalls=1&amp;populateData=1&amp;expectedsubmissionfrom=Parties&amp;focalBodies=SBI&gt;.</w:t>
      </w:r>
    </w:p>
  </w:footnote>
  <w:footnote w:id="40">
    <w:p w14:paraId="33B998C4" w14:textId="77777777" w:rsidR="00952179" w:rsidRDefault="00952179" w:rsidP="00BE07CA">
      <w:pPr>
        <w:pStyle w:val="FootnoteText"/>
        <w:widowControl w:val="0"/>
        <w:ind w:left="0"/>
      </w:pPr>
      <w:r w:rsidRPr="008F2D4F">
        <w:rPr>
          <w:color w:val="1F497D" w:themeColor="text2"/>
        </w:rPr>
        <w:tab/>
      </w:r>
      <w:r w:rsidRPr="008F2D4F">
        <w:tab/>
      </w:r>
      <w:r w:rsidRPr="008F2D4F">
        <w:rPr>
          <w:rStyle w:val="FootnoteReference"/>
        </w:rPr>
        <w:footnoteRef/>
      </w:r>
      <w:r w:rsidRPr="008F2D4F">
        <w:tab/>
        <w:t>Draft conclusions presented in document FCCC/SBI/2016/L.8.</w:t>
      </w:r>
      <w:r>
        <w:t xml:space="preserve"> </w:t>
      </w:r>
    </w:p>
  </w:footnote>
  <w:footnote w:id="41">
    <w:p w14:paraId="58DC10CF" w14:textId="4BE06088" w:rsidR="00952179" w:rsidRPr="004B6C33" w:rsidRDefault="00952179">
      <w:pPr>
        <w:pStyle w:val="FootnoteText"/>
        <w:rPr>
          <w:lang w:val="en-US"/>
        </w:rPr>
      </w:pPr>
      <w:r>
        <w:tab/>
      </w:r>
      <w:r>
        <w:rPr>
          <w:rStyle w:val="FootnoteReference"/>
        </w:rPr>
        <w:footnoteRef/>
      </w:r>
      <w:r>
        <w:t xml:space="preserve"> </w:t>
      </w:r>
      <w:r>
        <w:tab/>
        <w:t>For the text of the draft decision, see document FCCC/SBI/2016/8/Add.1.</w:t>
      </w:r>
    </w:p>
  </w:footnote>
  <w:footnote w:id="42">
    <w:p w14:paraId="72265564" w14:textId="77777777" w:rsidR="00952179" w:rsidRPr="008F2D4F" w:rsidRDefault="00952179" w:rsidP="00BE07CA">
      <w:pPr>
        <w:pStyle w:val="FootnoteText"/>
        <w:rPr>
          <w:szCs w:val="16"/>
        </w:rPr>
      </w:pPr>
      <w:r>
        <w:rPr>
          <w:szCs w:val="16"/>
        </w:rPr>
        <w:tab/>
      </w:r>
      <w:r>
        <w:rPr>
          <w:rStyle w:val="FootnoteReference"/>
          <w:szCs w:val="16"/>
        </w:rPr>
        <w:footnoteRef/>
      </w:r>
      <w:r>
        <w:rPr>
          <w:szCs w:val="16"/>
        </w:rPr>
        <w:tab/>
        <w:t xml:space="preserve">Draft </w:t>
      </w:r>
      <w:r w:rsidRPr="008F2D4F">
        <w:rPr>
          <w:szCs w:val="16"/>
        </w:rPr>
        <w:t xml:space="preserve">conclusions presented in document FCCC/SBI/2016/L.23. </w:t>
      </w:r>
    </w:p>
  </w:footnote>
  <w:footnote w:id="43">
    <w:p w14:paraId="43A6D464" w14:textId="77777777" w:rsidR="00952179" w:rsidRPr="008F2D4F" w:rsidRDefault="00952179" w:rsidP="00BE07CA">
      <w:pPr>
        <w:pStyle w:val="FootnoteText"/>
        <w:rPr>
          <w:szCs w:val="16"/>
        </w:rPr>
      </w:pPr>
      <w:r w:rsidRPr="008F2D4F">
        <w:rPr>
          <w:szCs w:val="16"/>
        </w:rPr>
        <w:tab/>
      </w:r>
      <w:r w:rsidRPr="008F2D4F">
        <w:rPr>
          <w:rStyle w:val="FootnoteReference"/>
          <w:szCs w:val="16"/>
        </w:rPr>
        <w:footnoteRef/>
      </w:r>
      <w:r w:rsidRPr="008F2D4F">
        <w:rPr>
          <w:szCs w:val="16"/>
        </w:rPr>
        <w:tab/>
      </w:r>
      <w:r w:rsidRPr="008F2D4F">
        <w:rPr>
          <w:rFonts w:eastAsia="Times New Roman"/>
          <w:szCs w:val="18"/>
          <w:lang w:val="en-US" w:eastAsia="en-US"/>
        </w:rPr>
        <w:t>The statement is available at &lt;unfccc.int/9553&gt;.</w:t>
      </w:r>
    </w:p>
  </w:footnote>
  <w:footnote w:id="44">
    <w:p w14:paraId="722ECBEE" w14:textId="078A4702"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Draft conclusions presented in document FCCC/SBI/2016/L.6.</w:t>
      </w:r>
      <w:r>
        <w:t xml:space="preserve"> </w:t>
      </w:r>
    </w:p>
  </w:footnote>
  <w:footnote w:id="45">
    <w:p w14:paraId="08524DDE" w14:textId="77777777" w:rsidR="00952179" w:rsidRDefault="00952179" w:rsidP="00BE07CA">
      <w:pPr>
        <w:pStyle w:val="FootnoteText"/>
        <w:widowControl w:val="0"/>
      </w:pPr>
      <w:r w:rsidRPr="008F2D4F">
        <w:tab/>
      </w:r>
      <w:r w:rsidRPr="008F2D4F">
        <w:rPr>
          <w:rStyle w:val="FootnoteReference"/>
        </w:rPr>
        <w:footnoteRef/>
      </w:r>
      <w:r w:rsidRPr="008F2D4F">
        <w:tab/>
        <w:t>FCCC/SBI/2016/7.</w:t>
      </w:r>
    </w:p>
  </w:footnote>
  <w:footnote w:id="46">
    <w:p w14:paraId="58820069" w14:textId="77777777" w:rsidR="00952179" w:rsidRPr="008F2D4F" w:rsidRDefault="00952179" w:rsidP="00BE07CA">
      <w:pPr>
        <w:pStyle w:val="FootnoteText"/>
        <w:widowControl w:val="0"/>
        <w:rPr>
          <w:lang w:val="en-US"/>
        </w:rPr>
      </w:pPr>
      <w:r>
        <w:tab/>
      </w:r>
      <w:r>
        <w:rPr>
          <w:rStyle w:val="FootnoteReference"/>
        </w:rPr>
        <w:footnoteRef/>
      </w:r>
      <w:r>
        <w:tab/>
      </w:r>
      <w:r w:rsidRPr="008F2D4F">
        <w:rPr>
          <w:lang w:val="en-US"/>
        </w:rPr>
        <w:t>FCCC/SBI/2016/7, annex I.</w:t>
      </w:r>
    </w:p>
  </w:footnote>
  <w:footnote w:id="47">
    <w:p w14:paraId="0E568FEB" w14:textId="77777777" w:rsidR="00952179" w:rsidRPr="008F2D4F" w:rsidRDefault="00952179" w:rsidP="00BE07CA">
      <w:pPr>
        <w:pStyle w:val="FootnoteText"/>
        <w:widowControl w:val="0"/>
        <w:rPr>
          <w:lang w:val="fr-FR"/>
        </w:rPr>
      </w:pPr>
      <w:r w:rsidRPr="008F2D4F">
        <w:rPr>
          <w:lang w:val="en-US"/>
        </w:rPr>
        <w:tab/>
      </w:r>
      <w:r w:rsidRPr="008F2D4F">
        <w:rPr>
          <w:rStyle w:val="FootnoteReference"/>
        </w:rPr>
        <w:footnoteRef/>
      </w:r>
      <w:r w:rsidRPr="008F2D4F">
        <w:rPr>
          <w:lang w:val="fr-FR"/>
        </w:rPr>
        <w:tab/>
        <w:t xml:space="preserve">FCCC/SBI/2016/7, paragraph 15. </w:t>
      </w:r>
    </w:p>
  </w:footnote>
  <w:footnote w:id="48">
    <w:p w14:paraId="29DBE0B2" w14:textId="77777777" w:rsidR="00952179" w:rsidRPr="008F2D4F" w:rsidRDefault="00952179" w:rsidP="00BE07CA">
      <w:pPr>
        <w:pStyle w:val="FootnoteText"/>
        <w:widowControl w:val="0"/>
        <w:rPr>
          <w:lang w:val="fr-FR"/>
        </w:rPr>
      </w:pPr>
      <w:r w:rsidRPr="008F2D4F">
        <w:rPr>
          <w:lang w:val="fr-FR"/>
        </w:rPr>
        <w:tab/>
      </w:r>
      <w:r w:rsidRPr="008F2D4F">
        <w:rPr>
          <w:rStyle w:val="FootnoteReference"/>
        </w:rPr>
        <w:footnoteRef/>
      </w:r>
      <w:r w:rsidRPr="008F2D4F">
        <w:rPr>
          <w:lang w:val="fr-FR"/>
        </w:rPr>
        <w:tab/>
        <w:t>FCCC/SBI/2016/7, paragraphs 20–23.</w:t>
      </w:r>
    </w:p>
  </w:footnote>
  <w:footnote w:id="49">
    <w:p w14:paraId="7347DA96" w14:textId="77777777" w:rsidR="00952179" w:rsidRPr="008F2D4F" w:rsidRDefault="00952179" w:rsidP="00BE07CA">
      <w:pPr>
        <w:pStyle w:val="FootnoteText"/>
        <w:widowControl w:val="0"/>
        <w:rPr>
          <w:lang w:val="fr-FR"/>
        </w:rPr>
      </w:pPr>
      <w:r w:rsidRPr="008F2D4F">
        <w:rPr>
          <w:lang w:val="fr-FR"/>
        </w:rPr>
        <w:tab/>
      </w:r>
      <w:r w:rsidRPr="008F2D4F">
        <w:rPr>
          <w:rStyle w:val="FootnoteReference"/>
        </w:rPr>
        <w:footnoteRef/>
      </w:r>
      <w:r w:rsidRPr="008F2D4F">
        <w:rPr>
          <w:lang w:val="fr-FR"/>
        </w:rPr>
        <w:tab/>
        <w:t>FCCC/SBI/2016/7, paragraph 37.</w:t>
      </w:r>
    </w:p>
  </w:footnote>
  <w:footnote w:id="50">
    <w:p w14:paraId="2699A91A" w14:textId="77777777" w:rsidR="00952179" w:rsidRDefault="00952179" w:rsidP="00BE07CA">
      <w:pPr>
        <w:pStyle w:val="FootnoteText"/>
        <w:widowControl w:val="0"/>
        <w:rPr>
          <w:lang w:val="fr-FR"/>
        </w:rPr>
      </w:pPr>
      <w:r w:rsidRPr="008F2D4F">
        <w:rPr>
          <w:lang w:val="fr-FR"/>
        </w:rPr>
        <w:tab/>
      </w:r>
      <w:r w:rsidRPr="008F2D4F">
        <w:rPr>
          <w:rStyle w:val="FootnoteReference"/>
        </w:rPr>
        <w:footnoteRef/>
      </w:r>
      <w:r w:rsidRPr="008F2D4F">
        <w:rPr>
          <w:lang w:val="fr-FR"/>
        </w:rPr>
        <w:tab/>
        <w:t>FCCC/SBI/2016/7, paragraph 33.</w:t>
      </w:r>
    </w:p>
  </w:footnote>
  <w:footnote w:id="51">
    <w:p w14:paraId="6FF9009E" w14:textId="77777777" w:rsidR="00952179" w:rsidRPr="008F2D4F" w:rsidRDefault="00952179" w:rsidP="00BE07CA">
      <w:pPr>
        <w:pStyle w:val="FootnoteText"/>
        <w:widowControl w:val="0"/>
        <w:rPr>
          <w:lang w:val="en-US"/>
        </w:rPr>
      </w:pPr>
      <w:r>
        <w:rPr>
          <w:lang w:val="fr-FR"/>
        </w:rPr>
        <w:tab/>
      </w:r>
      <w:r>
        <w:rPr>
          <w:rStyle w:val="FootnoteReference"/>
        </w:rPr>
        <w:footnoteRef/>
      </w:r>
      <w:r>
        <w:rPr>
          <w:lang w:val="en-US"/>
        </w:rPr>
        <w:tab/>
      </w:r>
      <w:r w:rsidRPr="008F2D4F">
        <w:rPr>
          <w:lang w:val="en-US"/>
        </w:rPr>
        <w:t>See &lt;</w:t>
      </w:r>
      <w:r w:rsidRPr="008F2D4F">
        <w:rPr>
          <w:rFonts w:eastAsia="Times New Roman"/>
        </w:rPr>
        <w:t>http://www.thegef.org/gef/node/11550&gt;</w:t>
      </w:r>
      <w:r w:rsidRPr="008F2D4F">
        <w:rPr>
          <w:lang w:val="en-US"/>
        </w:rPr>
        <w:t>.</w:t>
      </w:r>
    </w:p>
  </w:footnote>
  <w:footnote w:id="52">
    <w:p w14:paraId="3E9993C0" w14:textId="77777777" w:rsidR="00952179" w:rsidRPr="008F2D4F" w:rsidRDefault="00952179" w:rsidP="00BE07CA">
      <w:pPr>
        <w:pStyle w:val="FootnoteText"/>
        <w:widowControl w:val="0"/>
        <w:rPr>
          <w:lang w:val="en-US"/>
        </w:rPr>
      </w:pPr>
      <w:r w:rsidRPr="008F2D4F">
        <w:rPr>
          <w:lang w:val="en-US"/>
        </w:rPr>
        <w:tab/>
      </w:r>
      <w:r w:rsidRPr="008F2D4F">
        <w:rPr>
          <w:rStyle w:val="FootnoteReference"/>
        </w:rPr>
        <w:footnoteRef/>
      </w:r>
      <w:r w:rsidRPr="008F2D4F">
        <w:rPr>
          <w:lang w:val="en-US"/>
        </w:rPr>
        <w:tab/>
        <w:t>See &lt;</w:t>
      </w:r>
      <w:r w:rsidRPr="008F2D4F">
        <w:t>http://www.greenclimate.fund/contributions/pledge-tracker</w:t>
      </w:r>
      <w:r w:rsidRPr="008F2D4F">
        <w:rPr>
          <w:lang w:val="en-US"/>
        </w:rPr>
        <w:t xml:space="preserve">&gt;. </w:t>
      </w:r>
    </w:p>
  </w:footnote>
  <w:footnote w:id="53">
    <w:p w14:paraId="24C60B3D" w14:textId="77777777" w:rsidR="00952179" w:rsidRPr="008F2D4F" w:rsidRDefault="00952179" w:rsidP="00BE07CA">
      <w:pPr>
        <w:pStyle w:val="FootnoteText"/>
        <w:widowControl w:val="0"/>
        <w:ind w:left="0" w:firstLine="0"/>
        <w:rPr>
          <w:lang w:val="fr-FR"/>
        </w:rPr>
      </w:pPr>
      <w:r w:rsidRPr="008F2D4F">
        <w:rPr>
          <w:lang w:val="en-US"/>
        </w:rPr>
        <w:tab/>
      </w:r>
      <w:r w:rsidRPr="008F2D4F">
        <w:rPr>
          <w:rStyle w:val="FootnoteReference"/>
        </w:rPr>
        <w:footnoteRef/>
      </w:r>
      <w:r w:rsidRPr="008F2D4F">
        <w:rPr>
          <w:lang w:val="fr-FR"/>
        </w:rPr>
        <w:tab/>
        <w:t>FCCC/SBI/2016/7, paragraphs 6–9.</w:t>
      </w:r>
    </w:p>
  </w:footnote>
  <w:footnote w:id="54">
    <w:p w14:paraId="5CA9D882" w14:textId="77777777" w:rsidR="00952179" w:rsidRPr="008F2D4F" w:rsidRDefault="00952179" w:rsidP="00BE07CA">
      <w:pPr>
        <w:pStyle w:val="FootnoteText"/>
        <w:rPr>
          <w:lang w:val="fr-FR"/>
        </w:rPr>
      </w:pPr>
      <w:r w:rsidRPr="008F2D4F">
        <w:rPr>
          <w:lang w:val="fr-FR"/>
        </w:rPr>
        <w:tab/>
      </w:r>
      <w:r w:rsidRPr="008F2D4F">
        <w:rPr>
          <w:rStyle w:val="FootnoteReference"/>
        </w:rPr>
        <w:footnoteRef/>
      </w:r>
      <w:r w:rsidRPr="008F2D4F">
        <w:rPr>
          <w:lang w:val="fr-FR"/>
        </w:rPr>
        <w:t xml:space="preserve"> </w:t>
      </w:r>
      <w:r w:rsidRPr="008F2D4F">
        <w:rPr>
          <w:lang w:val="fr-FR"/>
        </w:rPr>
        <w:tab/>
        <w:t>Decision 3/CP.20, paragraph 9.</w:t>
      </w:r>
    </w:p>
  </w:footnote>
  <w:footnote w:id="55">
    <w:p w14:paraId="7AE3D9A6" w14:textId="77777777" w:rsidR="00952179" w:rsidRPr="008F2D4F" w:rsidRDefault="00952179" w:rsidP="00BE07CA">
      <w:pPr>
        <w:pStyle w:val="FootnoteText"/>
        <w:widowControl w:val="0"/>
      </w:pPr>
      <w:r w:rsidRPr="008F2D4F">
        <w:rPr>
          <w:lang w:val="fr-FR"/>
        </w:rPr>
        <w:tab/>
      </w:r>
      <w:r w:rsidRPr="008F2D4F">
        <w:rPr>
          <w:rStyle w:val="FootnoteReference"/>
        </w:rPr>
        <w:footnoteRef/>
      </w:r>
      <w:r w:rsidRPr="008F2D4F">
        <w:tab/>
        <w:t xml:space="preserve">Draft conclusions presented in document FCCC/SBI/2016/L.9. </w:t>
      </w:r>
    </w:p>
  </w:footnote>
  <w:footnote w:id="56">
    <w:p w14:paraId="1221C120" w14:textId="77777777" w:rsidR="00952179" w:rsidRDefault="00952179" w:rsidP="00BE07CA">
      <w:pPr>
        <w:pStyle w:val="FootnoteText"/>
        <w:widowControl w:val="0"/>
        <w:rPr>
          <w:lang w:val="en-US"/>
        </w:rPr>
      </w:pPr>
      <w:r w:rsidRPr="008F2D4F">
        <w:tab/>
      </w:r>
      <w:r w:rsidRPr="008F2D4F">
        <w:rPr>
          <w:rStyle w:val="FootnoteReference"/>
        </w:rPr>
        <w:footnoteRef/>
      </w:r>
      <w:r w:rsidRPr="008F2D4F">
        <w:tab/>
        <w:t>FCCC/SBI/2016/7, paragraphs 6–11.</w:t>
      </w:r>
    </w:p>
  </w:footnote>
  <w:footnote w:id="57">
    <w:p w14:paraId="33FA99DB" w14:textId="77777777" w:rsidR="00952179" w:rsidRDefault="00952179" w:rsidP="00BE07CA">
      <w:pPr>
        <w:pStyle w:val="FootnoteText"/>
        <w:widowControl w:val="0"/>
        <w:rPr>
          <w:lang w:val="en-US"/>
        </w:rPr>
      </w:pPr>
      <w:r>
        <w:tab/>
      </w:r>
      <w:r w:rsidRPr="00725383">
        <w:rPr>
          <w:rStyle w:val="FootnoteReference"/>
        </w:rPr>
        <w:footnoteRef/>
      </w:r>
      <w:r w:rsidRPr="00725383">
        <w:tab/>
        <w:t>Decision 4/CP.21, paragraph 10, and decision 19/CP.21, paragraph 2.</w:t>
      </w:r>
    </w:p>
  </w:footnote>
  <w:footnote w:id="58">
    <w:p w14:paraId="2FED2700" w14:textId="77777777" w:rsidR="00952179" w:rsidRDefault="00952179" w:rsidP="00BE07CA">
      <w:pPr>
        <w:pStyle w:val="FootnoteText"/>
        <w:widowControl w:val="0"/>
        <w:rPr>
          <w:lang w:val="en-US"/>
        </w:rPr>
      </w:pPr>
      <w:r>
        <w:tab/>
      </w:r>
      <w:r w:rsidRPr="008F2D4F">
        <w:rPr>
          <w:rStyle w:val="FootnoteReference"/>
        </w:rPr>
        <w:footnoteRef/>
      </w:r>
      <w:r w:rsidRPr="008F2D4F">
        <w:tab/>
        <w:t xml:space="preserve">See the revised workplan of the Adaptation Committee for 2016–2018, available at &lt;http://unfccc.int/files/adaptation/cancun_adaptation_framework/adaptation_committee/application/pdf/20160308_wp_revised.pdf&gt; and the detailed rolling work programme of the LEG for 2016–2017 presented in annex I to document </w:t>
      </w:r>
      <w:r w:rsidRPr="008F2D4F">
        <w:rPr>
          <w:lang w:val="en-US"/>
        </w:rPr>
        <w:t>FCCC/SBI/2016/7</w:t>
      </w:r>
      <w:r w:rsidRPr="008F2D4F">
        <w:t>.</w:t>
      </w:r>
    </w:p>
  </w:footnote>
  <w:footnote w:id="59">
    <w:p w14:paraId="1BFF6022" w14:textId="49BF9D49" w:rsidR="00952179" w:rsidRPr="004B6C33" w:rsidRDefault="00952179">
      <w:pPr>
        <w:pStyle w:val="FootnoteText"/>
        <w:rPr>
          <w:lang w:val="en-US"/>
        </w:rPr>
      </w:pPr>
      <w:r>
        <w:tab/>
      </w:r>
      <w:r>
        <w:rPr>
          <w:rStyle w:val="FootnoteReference"/>
        </w:rPr>
        <w:footnoteRef/>
      </w:r>
      <w:r>
        <w:t xml:space="preserve"> </w:t>
      </w:r>
      <w:r>
        <w:tab/>
        <w:t>For the text of the draft decision, see document FCCC/SBI/2016/8/Add.1.</w:t>
      </w:r>
    </w:p>
  </w:footnote>
  <w:footnote w:id="60">
    <w:p w14:paraId="37FDE692" w14:textId="77777777" w:rsidR="00952179" w:rsidRPr="008F2D4F" w:rsidRDefault="00952179" w:rsidP="00BE07CA">
      <w:pPr>
        <w:pStyle w:val="FootnoteText"/>
        <w:widowControl w:val="0"/>
      </w:pPr>
      <w:r>
        <w:tab/>
      </w:r>
      <w:r>
        <w:rPr>
          <w:rStyle w:val="FootnoteReference"/>
        </w:rPr>
        <w:footnoteRef/>
      </w:r>
      <w:r>
        <w:tab/>
      </w:r>
      <w:r w:rsidRPr="008F2D4F">
        <w:t xml:space="preserve">Draft conclusions presented in document FCCC/SBI/2016/L.5. </w:t>
      </w:r>
    </w:p>
  </w:footnote>
  <w:footnote w:id="61">
    <w:p w14:paraId="22833207" w14:textId="77777777"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 xml:space="preserve">In accordance with decision 1/CP.21, paragraph 70. </w:t>
      </w:r>
    </w:p>
  </w:footnote>
  <w:footnote w:id="62">
    <w:p w14:paraId="1E22F8DB" w14:textId="64CD0242"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 xml:space="preserve">As footnote </w:t>
      </w:r>
      <w:r>
        <w:t>60</w:t>
      </w:r>
      <w:r w:rsidRPr="008F2D4F">
        <w:t xml:space="preserve"> above. </w:t>
      </w:r>
    </w:p>
  </w:footnote>
  <w:footnote w:id="63">
    <w:p w14:paraId="3EB1B9E2" w14:textId="77777777" w:rsidR="00952179" w:rsidRDefault="00952179" w:rsidP="00BE07CA">
      <w:pPr>
        <w:pStyle w:val="FootnoteText"/>
        <w:widowControl w:val="0"/>
        <w:rPr>
          <w:lang w:val="en-US"/>
        </w:rPr>
      </w:pPr>
      <w:r w:rsidRPr="008F2D4F">
        <w:tab/>
      </w:r>
      <w:r w:rsidRPr="008F2D4F">
        <w:rPr>
          <w:rStyle w:val="FootnoteReference"/>
        </w:rPr>
        <w:footnoteRef/>
      </w:r>
      <w:r w:rsidRPr="008F2D4F">
        <w:tab/>
      </w:r>
      <w:r w:rsidRPr="008F2D4F">
        <w:rPr>
          <w:rFonts w:eastAsia="Arial Unicode MS" w:cs="Arial Unicode MS"/>
          <w:szCs w:val="18"/>
        </w:rPr>
        <w:t>Parties should submit their views via the submission portal at &lt;http://www.unfccc.int/5900&gt;. Observer organizations should e-mail their submissions to &lt;secretariat@unfccc.int&gt;.</w:t>
      </w:r>
    </w:p>
  </w:footnote>
  <w:footnote w:id="64">
    <w:p w14:paraId="4334E227" w14:textId="77777777" w:rsidR="00952179" w:rsidRPr="008F2D4F" w:rsidRDefault="00952179" w:rsidP="00BE07CA">
      <w:pPr>
        <w:pStyle w:val="FootnoteText"/>
        <w:widowControl w:val="0"/>
      </w:pPr>
      <w:r>
        <w:tab/>
      </w:r>
      <w:r>
        <w:rPr>
          <w:rStyle w:val="FootnoteReference"/>
        </w:rPr>
        <w:footnoteRef/>
      </w:r>
      <w:r>
        <w:tab/>
      </w:r>
      <w:r w:rsidRPr="008F2D4F">
        <w:t xml:space="preserve">Draft conclusions presented in document FCCC/SBI/2016/L.21. </w:t>
      </w:r>
    </w:p>
  </w:footnote>
  <w:footnote w:id="65">
    <w:p w14:paraId="5ED4BDD8" w14:textId="77777777" w:rsidR="00952179" w:rsidRPr="008F2D4F" w:rsidRDefault="00952179" w:rsidP="00BE07CA">
      <w:pPr>
        <w:pStyle w:val="FootnoteText"/>
        <w:widowControl w:val="0"/>
      </w:pPr>
      <w:r w:rsidRPr="008F2D4F">
        <w:tab/>
      </w:r>
      <w:r w:rsidRPr="008F2D4F">
        <w:rPr>
          <w:rStyle w:val="FootnoteReference"/>
        </w:rPr>
        <w:footnoteRef/>
      </w:r>
      <w:r w:rsidRPr="008F2D4F">
        <w:tab/>
        <w:t xml:space="preserve">Draft conclusions presented in document FCCC/SBI/2016/L.20. </w:t>
      </w:r>
    </w:p>
  </w:footnote>
  <w:footnote w:id="66">
    <w:p w14:paraId="2283F2D8" w14:textId="77777777" w:rsidR="00952179" w:rsidRPr="008F2D4F" w:rsidRDefault="00952179" w:rsidP="00BE07CA">
      <w:pPr>
        <w:pStyle w:val="FootnoteText"/>
        <w:widowControl w:val="0"/>
      </w:pPr>
      <w:r w:rsidRPr="008F2D4F">
        <w:tab/>
      </w:r>
      <w:r w:rsidRPr="00C613DF">
        <w:rPr>
          <w:rStyle w:val="FootnoteReference"/>
        </w:rPr>
        <w:footnoteRef/>
      </w:r>
      <w:r w:rsidRPr="00C613DF">
        <w:tab/>
        <w:t xml:space="preserve">A representative of one Party drew the attention of the SBI to the fact that not all language versions of document FCCC/SBI/2016/L.24/Add.1 were available at the time it was presented for adoption. </w:t>
      </w:r>
      <w:r>
        <w:br/>
        <w:t>T</w:t>
      </w:r>
      <w:r w:rsidRPr="00C613DF">
        <w:t>he full statement is available on the webcast at</w:t>
      </w:r>
      <w:r>
        <w:t>: &lt;</w:t>
      </w:r>
      <w:r w:rsidRPr="00C613DF">
        <w:t>http://unfccc6.meta-fusion.com/bonn_may_2016/events/2016-05-26-15-00-subsidiary-body-for-implementation-sbi-resumed-3rd-meeting/capacity-building-in-developing-countries-agenda-item-12</w:t>
      </w:r>
      <w:r>
        <w:t>&gt;</w:t>
      </w:r>
      <w:r w:rsidRPr="00C613DF">
        <w:t>.</w:t>
      </w:r>
    </w:p>
  </w:footnote>
  <w:footnote w:id="67">
    <w:p w14:paraId="3B08071C" w14:textId="77777777" w:rsidR="00952179" w:rsidRDefault="00952179" w:rsidP="00BE07CA">
      <w:pPr>
        <w:pStyle w:val="FootnoteText"/>
        <w:widowControl w:val="0"/>
      </w:pPr>
      <w:r w:rsidRPr="008F2D4F">
        <w:tab/>
      </w:r>
      <w:r w:rsidRPr="008F2D4F">
        <w:rPr>
          <w:rStyle w:val="FootnoteReference"/>
        </w:rPr>
        <w:footnoteRef/>
      </w:r>
      <w:r w:rsidRPr="008F2D4F">
        <w:tab/>
        <w:t>Draft conclusions presented in document FCCC/SBI/2016/L.24.</w:t>
      </w:r>
      <w:r>
        <w:t xml:space="preserve"> </w:t>
      </w:r>
    </w:p>
  </w:footnote>
  <w:footnote w:id="68">
    <w:p w14:paraId="3E059151" w14:textId="77777777" w:rsidR="00952179" w:rsidRDefault="00952179" w:rsidP="00BE07CA">
      <w:pPr>
        <w:pStyle w:val="FootnoteText"/>
      </w:pPr>
      <w:r>
        <w:tab/>
      </w:r>
      <w:r w:rsidRPr="008F2D4F">
        <w:rPr>
          <w:rStyle w:val="FootnoteReference"/>
        </w:rPr>
        <w:footnoteRef/>
      </w:r>
      <w:r w:rsidRPr="008F2D4F">
        <w:tab/>
        <w:t>See decision 1/CP.21, paragraph 76.</w:t>
      </w:r>
    </w:p>
  </w:footnote>
  <w:footnote w:id="69">
    <w:p w14:paraId="3602DD2E" w14:textId="3609B0B6" w:rsidR="00952179" w:rsidRPr="004B6C33" w:rsidRDefault="00952179">
      <w:pPr>
        <w:pStyle w:val="FootnoteText"/>
        <w:rPr>
          <w:lang w:val="en-US"/>
        </w:rPr>
      </w:pPr>
      <w:r>
        <w:tab/>
      </w:r>
      <w:r>
        <w:rPr>
          <w:rStyle w:val="FootnoteReference"/>
        </w:rPr>
        <w:footnoteRef/>
      </w:r>
      <w:r>
        <w:t xml:space="preserve"> </w:t>
      </w:r>
      <w:r>
        <w:tab/>
        <w:t>For the text of the draft decision, see document FCCC/SBI/2016/8/Add.1.</w:t>
      </w:r>
    </w:p>
  </w:footnote>
  <w:footnote w:id="70">
    <w:p w14:paraId="76A4A996" w14:textId="77777777" w:rsidR="00952179" w:rsidRPr="008F2D4F" w:rsidRDefault="00952179" w:rsidP="00BE07CA">
      <w:pPr>
        <w:pStyle w:val="FootnoteText"/>
      </w:pPr>
      <w:r>
        <w:tab/>
      </w:r>
      <w:r>
        <w:rPr>
          <w:rStyle w:val="FootnoteReference"/>
        </w:rPr>
        <w:footnoteRef/>
      </w:r>
      <w:r>
        <w:tab/>
      </w:r>
      <w:r w:rsidRPr="008F2D4F">
        <w:t>Parties should submit their views via the submission portal at &lt;http://www.unfccc.int/5900&gt;.</w:t>
      </w:r>
    </w:p>
  </w:footnote>
  <w:footnote w:id="71">
    <w:p w14:paraId="260AE58A" w14:textId="77777777" w:rsidR="00952179" w:rsidRPr="008F2D4F" w:rsidRDefault="00952179" w:rsidP="00BE07CA">
      <w:pPr>
        <w:pStyle w:val="FootnoteText"/>
        <w:widowControl w:val="0"/>
      </w:pPr>
      <w:r w:rsidRPr="008F2D4F">
        <w:tab/>
      </w:r>
      <w:r w:rsidRPr="008F2D4F">
        <w:rPr>
          <w:rStyle w:val="FootnoteReference"/>
        </w:rPr>
        <w:footnoteRef/>
      </w:r>
      <w:r w:rsidRPr="008F2D4F">
        <w:tab/>
        <w:t xml:space="preserve">Draft conclusions presented in document FCCC/SBI/2016/L.15. </w:t>
      </w:r>
    </w:p>
  </w:footnote>
  <w:footnote w:id="72">
    <w:p w14:paraId="0B14B754" w14:textId="77777777" w:rsidR="00952179" w:rsidRPr="008F2D4F" w:rsidRDefault="00952179" w:rsidP="00BE07CA">
      <w:pPr>
        <w:pStyle w:val="FootnoteText"/>
        <w:rPr>
          <w:lang w:val="en-US"/>
        </w:rPr>
      </w:pPr>
      <w:r w:rsidRPr="008F2D4F">
        <w:tab/>
      </w:r>
      <w:r w:rsidRPr="008F2D4F">
        <w:rPr>
          <w:rStyle w:val="FootnoteReference"/>
        </w:rPr>
        <w:footnoteRef/>
      </w:r>
      <w:r w:rsidRPr="008F2D4F">
        <w:tab/>
      </w:r>
      <w:r w:rsidRPr="008F2D4F">
        <w:rPr>
          <w:szCs w:val="18"/>
        </w:rPr>
        <w:t>Available at &lt;</w:t>
      </w:r>
      <w:r w:rsidRPr="008F2D4F">
        <w:rPr>
          <w:szCs w:val="16"/>
        </w:rPr>
        <w:t>www.unfccc.int/5900&gt;</w:t>
      </w:r>
      <w:r w:rsidRPr="008F2D4F">
        <w:rPr>
          <w:szCs w:val="18"/>
        </w:rPr>
        <w:t xml:space="preserve">. </w:t>
      </w:r>
    </w:p>
  </w:footnote>
  <w:footnote w:id="73">
    <w:p w14:paraId="34C9BCFA" w14:textId="77777777" w:rsidR="00952179" w:rsidRPr="008F2D4F" w:rsidRDefault="00952179" w:rsidP="00BE07CA">
      <w:pPr>
        <w:pStyle w:val="FootnoteText"/>
        <w:widowControl w:val="0"/>
        <w:rPr>
          <w:lang w:val="en-US"/>
        </w:rPr>
      </w:pPr>
      <w:r w:rsidRPr="008F2D4F">
        <w:tab/>
      </w:r>
      <w:r w:rsidRPr="008F2D4F">
        <w:rPr>
          <w:rStyle w:val="FootnoteReference"/>
        </w:rPr>
        <w:footnoteRef/>
      </w:r>
      <w:r w:rsidRPr="008F2D4F">
        <w:tab/>
        <w:t>Available at &lt;</w:t>
      </w:r>
      <w:r w:rsidRPr="008F2D4F">
        <w:rPr>
          <w:szCs w:val="16"/>
        </w:rPr>
        <w:t>www.unfccc.int/7481&gt;</w:t>
      </w:r>
      <w:r w:rsidRPr="008F2D4F">
        <w:t xml:space="preserve">. </w:t>
      </w:r>
    </w:p>
  </w:footnote>
  <w:footnote w:id="74">
    <w:p w14:paraId="3A6383C9" w14:textId="77777777" w:rsidR="00952179" w:rsidRDefault="00952179" w:rsidP="00BE07CA">
      <w:pPr>
        <w:pStyle w:val="FootnoteText"/>
        <w:spacing w:line="240" w:lineRule="auto"/>
        <w:jc w:val="both"/>
        <w:rPr>
          <w:szCs w:val="18"/>
          <w:lang w:val="en-US"/>
        </w:rPr>
      </w:pPr>
      <w:r w:rsidRPr="008F2D4F">
        <w:tab/>
      </w:r>
      <w:r w:rsidRPr="008F2D4F">
        <w:rPr>
          <w:rStyle w:val="FootnoteReference"/>
        </w:rPr>
        <w:footnoteRef/>
      </w:r>
      <w:r w:rsidRPr="008F2D4F">
        <w:tab/>
      </w:r>
      <w:r w:rsidRPr="008F2D4F">
        <w:rPr>
          <w:szCs w:val="18"/>
          <w:lang w:val="en-US"/>
        </w:rPr>
        <w:t>As noted at SBI 43,</w:t>
      </w:r>
      <w:r w:rsidRPr="008F2D4F">
        <w:rPr>
          <w:sz w:val="16"/>
          <w:lang w:val="en-US"/>
        </w:rPr>
        <w:t xml:space="preserve"> </w:t>
      </w:r>
      <w:r w:rsidRPr="008F2D4F">
        <w:rPr>
          <w:szCs w:val="18"/>
          <w:lang w:val="en-US"/>
        </w:rPr>
        <w:t>as of that session, activities performed to support the implementation of Article 6 of the Convention were to be referred to as “Action for Climate Empowerment”, a name chosen at SBI 42.</w:t>
      </w:r>
    </w:p>
  </w:footnote>
  <w:footnote w:id="75">
    <w:p w14:paraId="16C37C01" w14:textId="77777777" w:rsidR="00952179" w:rsidRDefault="00952179" w:rsidP="00BE07CA">
      <w:pPr>
        <w:pStyle w:val="FootnoteText"/>
      </w:pPr>
      <w:r>
        <w:tab/>
      </w:r>
      <w:r w:rsidRPr="00DA074E">
        <w:rPr>
          <w:rStyle w:val="FootnoteReference"/>
        </w:rPr>
        <w:footnoteRef/>
      </w:r>
      <w:r w:rsidRPr="00DA074E">
        <w:tab/>
      </w:r>
      <w:r w:rsidRPr="00DA074E">
        <w:rPr>
          <w:szCs w:val="18"/>
        </w:rPr>
        <w:t>Parties should submit their views via the submission portal at &lt;http://www.unfccc.int/5900&gt;. Observer organizations and other non-Party stakeholders should e-mail their submissions to &lt;secretariat@unfccc.int&gt;.</w:t>
      </w:r>
    </w:p>
  </w:footnote>
  <w:footnote w:id="76">
    <w:p w14:paraId="6478FEDD" w14:textId="77777777" w:rsidR="00952179" w:rsidRDefault="00952179" w:rsidP="00BE07CA">
      <w:pPr>
        <w:pStyle w:val="FootnoteText"/>
        <w:rPr>
          <w:lang w:val="en-US"/>
        </w:rPr>
      </w:pPr>
      <w:r>
        <w:tab/>
      </w:r>
      <w:r w:rsidRPr="00DA074E">
        <w:rPr>
          <w:rStyle w:val="FootnoteReference"/>
        </w:rPr>
        <w:footnoteRef/>
      </w:r>
      <w:r w:rsidRPr="00DA074E">
        <w:t xml:space="preserve"> </w:t>
      </w:r>
      <w:r w:rsidRPr="00DA074E">
        <w:tab/>
      </w:r>
      <w:r w:rsidRPr="00DA074E">
        <w:rPr>
          <w:lang w:val="en-US"/>
        </w:rPr>
        <w:t>FCCC/SBI/2016/6.</w:t>
      </w:r>
    </w:p>
  </w:footnote>
  <w:footnote w:id="77">
    <w:p w14:paraId="03023344" w14:textId="2309CEB5" w:rsidR="00952179" w:rsidRPr="00FE27AA" w:rsidRDefault="00952179">
      <w:pPr>
        <w:pStyle w:val="FootnoteText"/>
        <w:rPr>
          <w:lang w:val="en-US"/>
        </w:rPr>
      </w:pPr>
      <w:r>
        <w:tab/>
      </w:r>
      <w:r w:rsidRPr="00FE27AA">
        <w:rPr>
          <w:rStyle w:val="FootnoteReference"/>
        </w:rPr>
        <w:footnoteRef/>
      </w:r>
      <w:r w:rsidRPr="00FE27AA">
        <w:t xml:space="preserve"> </w:t>
      </w:r>
      <w:r w:rsidRPr="00FE27AA">
        <w:tab/>
        <w:t>For the text of the draft decision, see document FCCC/SBI/2016/8/Add.1.</w:t>
      </w:r>
    </w:p>
  </w:footnote>
  <w:footnote w:id="78">
    <w:p w14:paraId="10D64F96" w14:textId="022A5D1F" w:rsidR="00952179" w:rsidRPr="00DA074E" w:rsidRDefault="00952179" w:rsidP="00BE07CA">
      <w:pPr>
        <w:pStyle w:val="FootnoteText"/>
        <w:widowControl w:val="0"/>
      </w:pPr>
      <w:r w:rsidRPr="00FE27AA">
        <w:tab/>
      </w:r>
      <w:r w:rsidRPr="00FE27AA">
        <w:rPr>
          <w:rStyle w:val="FootnoteReference"/>
        </w:rPr>
        <w:footnoteRef/>
      </w:r>
      <w:r w:rsidRPr="00FE27AA">
        <w:tab/>
        <w:t>Draft conclusions presented in document FCCC/SB/2016/L.2/Rev.1.Annexes I and II to that document have been reproduced in annexes II and III, respectively, to this report.</w:t>
      </w:r>
    </w:p>
  </w:footnote>
  <w:footnote w:id="79">
    <w:p w14:paraId="08B7E52B" w14:textId="77777777" w:rsidR="00952179" w:rsidRPr="00DA074E" w:rsidRDefault="00952179" w:rsidP="00BE07CA">
      <w:pPr>
        <w:pStyle w:val="FootnoteText"/>
        <w:widowControl w:val="0"/>
        <w:rPr>
          <w:lang w:val="en-US"/>
        </w:rPr>
      </w:pPr>
      <w:r w:rsidRPr="00DA074E">
        <w:tab/>
      </w:r>
      <w:r w:rsidRPr="00DA074E">
        <w:rPr>
          <w:rStyle w:val="FootnoteReference"/>
        </w:rPr>
        <w:footnoteRef/>
      </w:r>
      <w:r w:rsidRPr="00DA074E">
        <w:tab/>
        <w:t>FCCC/TP/2016/4.</w:t>
      </w:r>
    </w:p>
  </w:footnote>
  <w:footnote w:id="80">
    <w:p w14:paraId="11DF5487" w14:textId="77777777" w:rsidR="00952179" w:rsidRPr="00DA074E" w:rsidRDefault="00952179" w:rsidP="00BE07CA">
      <w:pPr>
        <w:pStyle w:val="FootnoteText"/>
        <w:widowControl w:val="0"/>
        <w:rPr>
          <w:lang w:val="en-US"/>
        </w:rPr>
      </w:pPr>
      <w:r w:rsidRPr="00DA074E">
        <w:tab/>
      </w:r>
      <w:r w:rsidRPr="00DA074E">
        <w:rPr>
          <w:rStyle w:val="FootnoteReference"/>
        </w:rPr>
        <w:footnoteRef/>
      </w:r>
      <w:r w:rsidRPr="00DA074E">
        <w:tab/>
        <w:t>FCCC/TP/2016/3.</w:t>
      </w:r>
    </w:p>
  </w:footnote>
  <w:footnote w:id="81">
    <w:p w14:paraId="3FBA7178" w14:textId="77777777" w:rsidR="00952179" w:rsidRDefault="00952179" w:rsidP="00BE07CA">
      <w:pPr>
        <w:pStyle w:val="FootnoteText"/>
        <w:widowControl w:val="0"/>
        <w:rPr>
          <w:lang w:val="en-US"/>
        </w:rPr>
      </w:pPr>
      <w:r w:rsidRPr="00DA074E">
        <w:tab/>
      </w:r>
      <w:r w:rsidRPr="00DA074E">
        <w:rPr>
          <w:rStyle w:val="FootnoteReference"/>
        </w:rPr>
        <w:footnoteRef/>
      </w:r>
      <w:r w:rsidRPr="00DA074E">
        <w:tab/>
        <w:t>See decision 11/CP.21, paragraph 4.</w:t>
      </w:r>
    </w:p>
  </w:footnote>
  <w:footnote w:id="82">
    <w:p w14:paraId="6E9FEBCC" w14:textId="77777777" w:rsidR="00952179" w:rsidRDefault="00952179" w:rsidP="00BE07CA">
      <w:pPr>
        <w:pStyle w:val="FootnoteText"/>
        <w:widowControl w:val="0"/>
      </w:pPr>
      <w:r>
        <w:tab/>
      </w:r>
      <w:r w:rsidRPr="00DA074E">
        <w:rPr>
          <w:rStyle w:val="FootnoteReference"/>
        </w:rPr>
        <w:footnoteRef/>
      </w:r>
      <w:r w:rsidRPr="00DA074E">
        <w:tab/>
        <w:t>Draft conclusions presented in document FCCC/SB/2016/L.3.</w:t>
      </w:r>
    </w:p>
  </w:footnote>
  <w:footnote w:id="83">
    <w:p w14:paraId="0825DDD6" w14:textId="77777777" w:rsidR="00952179" w:rsidRDefault="00952179" w:rsidP="00BE07CA">
      <w:pPr>
        <w:pStyle w:val="FootnoteText"/>
        <w:widowControl w:val="0"/>
        <w:rPr>
          <w:lang w:val="en-US"/>
        </w:rPr>
      </w:pPr>
      <w:r>
        <w:tab/>
      </w:r>
      <w:r w:rsidRPr="00DA074E">
        <w:rPr>
          <w:rStyle w:val="FootnoteReference"/>
        </w:rPr>
        <w:footnoteRef/>
      </w:r>
      <w:r w:rsidRPr="00DA074E">
        <w:tab/>
        <w:t>Parties should submit their views via the submission portal at &lt;http://www.unfccc.int/5900&gt;. Observer organizations should e-mail their submissions to &lt;secretariat@unfccc.int&gt;.</w:t>
      </w:r>
    </w:p>
  </w:footnote>
  <w:footnote w:id="84">
    <w:p w14:paraId="2FBBFD6F" w14:textId="77777777" w:rsidR="00952179" w:rsidRPr="00DA074E" w:rsidRDefault="00952179" w:rsidP="00BE07CA">
      <w:pPr>
        <w:pStyle w:val="FootnoteText"/>
        <w:rPr>
          <w:szCs w:val="16"/>
        </w:rPr>
      </w:pPr>
      <w:r>
        <w:rPr>
          <w:color w:val="1F497D" w:themeColor="text2"/>
          <w:szCs w:val="16"/>
        </w:rPr>
        <w:tab/>
      </w:r>
      <w:r>
        <w:rPr>
          <w:rStyle w:val="FootnoteReference"/>
          <w:szCs w:val="16"/>
        </w:rPr>
        <w:footnoteRef/>
      </w:r>
      <w:r>
        <w:rPr>
          <w:szCs w:val="16"/>
        </w:rPr>
        <w:tab/>
        <w:t xml:space="preserve">Draft </w:t>
      </w:r>
      <w:r w:rsidRPr="00DA074E">
        <w:rPr>
          <w:szCs w:val="16"/>
        </w:rPr>
        <w:t xml:space="preserve">conclusions presented in document FCCC/SB/2016/L.1. </w:t>
      </w:r>
    </w:p>
  </w:footnote>
  <w:footnote w:id="85">
    <w:p w14:paraId="59F668FC" w14:textId="77777777" w:rsidR="00952179" w:rsidRPr="00DA074E" w:rsidRDefault="00952179" w:rsidP="00BE07CA">
      <w:pPr>
        <w:pStyle w:val="FootnoteText"/>
        <w:widowControl w:val="0"/>
        <w:rPr>
          <w:lang w:val="en-US"/>
        </w:rPr>
      </w:pPr>
      <w:r w:rsidRPr="00DA074E">
        <w:tab/>
      </w:r>
      <w:r w:rsidRPr="00DA074E">
        <w:rPr>
          <w:rStyle w:val="FootnoteReference"/>
        </w:rPr>
        <w:footnoteRef/>
      </w:r>
      <w:r w:rsidRPr="00DA074E">
        <w:tab/>
        <w:t>Decision 10/CP.21, paragraph 10.</w:t>
      </w:r>
    </w:p>
  </w:footnote>
  <w:footnote w:id="86">
    <w:p w14:paraId="5D266755" w14:textId="77777777" w:rsidR="00952179" w:rsidRPr="00DA074E" w:rsidRDefault="00952179" w:rsidP="00BE07CA">
      <w:pPr>
        <w:pStyle w:val="FootnoteText"/>
        <w:rPr>
          <w:lang w:val="en-US"/>
        </w:rPr>
      </w:pPr>
      <w:r w:rsidRPr="00DA074E">
        <w:rPr>
          <w:lang w:val="en-US"/>
        </w:rPr>
        <w:tab/>
      </w:r>
      <w:r w:rsidRPr="00DA074E">
        <w:rPr>
          <w:rStyle w:val="FootnoteReference"/>
        </w:rPr>
        <w:footnoteRef/>
      </w:r>
      <w:r w:rsidRPr="00DA074E">
        <w:rPr>
          <w:lang w:val="en-US"/>
        </w:rPr>
        <w:tab/>
        <w:t>Decision 10/CP.21, paragraph 9.</w:t>
      </w:r>
    </w:p>
  </w:footnote>
  <w:footnote w:id="87">
    <w:p w14:paraId="25571547" w14:textId="77777777" w:rsidR="00952179" w:rsidRDefault="00952179" w:rsidP="00BE07CA">
      <w:pPr>
        <w:pStyle w:val="FootnoteText"/>
        <w:rPr>
          <w:szCs w:val="16"/>
        </w:rPr>
      </w:pPr>
      <w:r w:rsidRPr="00DA074E">
        <w:rPr>
          <w:color w:val="1F497D" w:themeColor="text2"/>
          <w:szCs w:val="16"/>
        </w:rPr>
        <w:tab/>
      </w:r>
      <w:r w:rsidRPr="00DA074E">
        <w:rPr>
          <w:rStyle w:val="FootnoteReference"/>
          <w:szCs w:val="16"/>
        </w:rPr>
        <w:footnoteRef/>
      </w:r>
      <w:r w:rsidRPr="00DA074E">
        <w:rPr>
          <w:szCs w:val="16"/>
        </w:rPr>
        <w:tab/>
        <w:t>Draft conclusions presented in document FCCC/SBI/2016/L.16.</w:t>
      </w:r>
      <w:r>
        <w:rPr>
          <w:szCs w:val="16"/>
        </w:rPr>
        <w:t xml:space="preserve"> </w:t>
      </w:r>
    </w:p>
  </w:footnote>
  <w:footnote w:id="88">
    <w:p w14:paraId="18D7FFC4" w14:textId="77777777" w:rsidR="00952179" w:rsidRPr="008B08A1" w:rsidRDefault="00952179" w:rsidP="00BE07CA">
      <w:pPr>
        <w:pStyle w:val="FootnoteText"/>
      </w:pPr>
      <w:r>
        <w:rPr>
          <w:rStyle w:val="FootnoteReference"/>
        </w:rPr>
        <w:tab/>
      </w:r>
      <w:r>
        <w:rPr>
          <w:rStyle w:val="FootnoteReference"/>
        </w:rPr>
        <w:footnoteRef/>
      </w:r>
      <w:r>
        <w:rPr>
          <w:rStyle w:val="FootnoteReference"/>
        </w:rPr>
        <w:t xml:space="preserve"> </w:t>
      </w:r>
      <w:r>
        <w:rPr>
          <w:rStyle w:val="FootnoteReference"/>
        </w:rPr>
        <w:tab/>
      </w:r>
      <w:r w:rsidRPr="008B08A1">
        <w:t>Submissions from Parties are available on the submission portal at &lt;http://www.unfccc.int/5900&gt;. Submissions from observer organizations are available on the submission portal at &lt;http://www.unfccc.int/7478&gt;.</w:t>
      </w:r>
    </w:p>
  </w:footnote>
  <w:footnote w:id="89">
    <w:p w14:paraId="317BB3CF" w14:textId="77777777" w:rsidR="00952179" w:rsidRPr="008B08A1" w:rsidRDefault="00952179" w:rsidP="00BE07CA">
      <w:pPr>
        <w:pStyle w:val="FootnoteText"/>
        <w:rPr>
          <w:lang w:val="en-US"/>
        </w:rPr>
      </w:pPr>
      <w:r w:rsidRPr="008B08A1">
        <w:tab/>
      </w:r>
      <w:r w:rsidRPr="008B08A1">
        <w:rPr>
          <w:rStyle w:val="FootnoteReference"/>
        </w:rPr>
        <w:footnoteRef/>
      </w:r>
      <w:r w:rsidRPr="008B08A1">
        <w:t xml:space="preserve"> </w:t>
      </w:r>
      <w:r w:rsidRPr="008B08A1">
        <w:tab/>
        <w:t>FCCC/TP/2016/2.</w:t>
      </w:r>
    </w:p>
  </w:footnote>
  <w:footnote w:id="90">
    <w:p w14:paraId="71ADC91D" w14:textId="77777777" w:rsidR="00952179" w:rsidRPr="008B08A1" w:rsidRDefault="00952179" w:rsidP="00BE07CA">
      <w:pPr>
        <w:pStyle w:val="FootnoteText"/>
        <w:rPr>
          <w:lang w:val="en-US"/>
        </w:rPr>
      </w:pPr>
      <w:r w:rsidRPr="008B08A1">
        <w:tab/>
      </w:r>
      <w:r w:rsidRPr="008B08A1">
        <w:rPr>
          <w:rStyle w:val="FootnoteReference"/>
        </w:rPr>
        <w:footnoteRef/>
      </w:r>
      <w:r w:rsidRPr="008B08A1">
        <w:t xml:space="preserve"> </w:t>
      </w:r>
      <w:r w:rsidRPr="008B08A1">
        <w:tab/>
        <w:t>Parties should submit their views via the submission portal at &lt;http://www.unfccc.int/5900&gt;. Observer organizations should e-mail their submissions to &lt;secretariat@unfccc.int&gt;.</w:t>
      </w:r>
    </w:p>
  </w:footnote>
  <w:footnote w:id="91">
    <w:p w14:paraId="3309513A" w14:textId="02BC5C4F" w:rsidR="00952179" w:rsidRPr="008B08A1" w:rsidRDefault="00952179" w:rsidP="00BE07CA">
      <w:pPr>
        <w:pStyle w:val="FootnoteText"/>
        <w:rPr>
          <w:lang w:val="en-US"/>
        </w:rPr>
      </w:pPr>
      <w:r w:rsidRPr="008B08A1">
        <w:tab/>
      </w:r>
      <w:r w:rsidRPr="008B08A1">
        <w:rPr>
          <w:rStyle w:val="FootnoteReference"/>
        </w:rPr>
        <w:footnoteRef/>
      </w:r>
      <w:r w:rsidRPr="008B08A1">
        <w:t xml:space="preserve"> </w:t>
      </w:r>
      <w:r w:rsidRPr="008B08A1">
        <w:tab/>
        <w:t>As</w:t>
      </w:r>
      <w:r w:rsidRPr="008B08A1">
        <w:rPr>
          <w:lang w:val="en-US"/>
        </w:rPr>
        <w:t xml:space="preserve"> footnote 8</w:t>
      </w:r>
      <w:r>
        <w:rPr>
          <w:lang w:val="en-US"/>
        </w:rPr>
        <w:t>9</w:t>
      </w:r>
      <w:r w:rsidRPr="008B08A1">
        <w:rPr>
          <w:lang w:val="en-US"/>
        </w:rPr>
        <w:t xml:space="preserve"> above.</w:t>
      </w:r>
    </w:p>
  </w:footnote>
  <w:footnote w:id="92">
    <w:p w14:paraId="077DE2EF" w14:textId="77777777" w:rsidR="00952179" w:rsidRDefault="00952179" w:rsidP="00BE07CA">
      <w:pPr>
        <w:pStyle w:val="FootnoteText"/>
        <w:rPr>
          <w:color w:val="1F497D" w:themeColor="text2"/>
          <w:szCs w:val="16"/>
        </w:rPr>
      </w:pPr>
      <w:r w:rsidRPr="008B08A1">
        <w:rPr>
          <w:szCs w:val="16"/>
        </w:rPr>
        <w:tab/>
      </w:r>
      <w:r w:rsidRPr="008B08A1">
        <w:rPr>
          <w:rStyle w:val="FootnoteReference"/>
          <w:szCs w:val="16"/>
        </w:rPr>
        <w:footnoteRef/>
      </w:r>
      <w:r w:rsidRPr="008B08A1">
        <w:rPr>
          <w:szCs w:val="16"/>
        </w:rPr>
        <w:tab/>
      </w:r>
      <w:r w:rsidRPr="008B08A1">
        <w:rPr>
          <w:rFonts w:eastAsia="Times New Roman"/>
          <w:szCs w:val="18"/>
          <w:lang w:val="en-US" w:eastAsia="en-US"/>
        </w:rPr>
        <w:t xml:space="preserve">The statement is available </w:t>
      </w:r>
      <w:r w:rsidRPr="008B08A1">
        <w:rPr>
          <w:szCs w:val="16"/>
        </w:rPr>
        <w:t xml:space="preserve">through the webcast of the meeting </w:t>
      </w:r>
      <w:r w:rsidRPr="008B08A1">
        <w:rPr>
          <w:rFonts w:eastAsia="Times New Roman"/>
          <w:szCs w:val="18"/>
          <w:lang w:val="en-US" w:eastAsia="en-US"/>
        </w:rPr>
        <w:t>at &lt;http://unfccc6.meta-</w:t>
      </w:r>
      <w:r>
        <w:rPr>
          <w:rFonts w:eastAsia="Times New Roman"/>
          <w:szCs w:val="18"/>
          <w:lang w:val="en-US" w:eastAsia="en-US"/>
        </w:rPr>
        <w:t>fusion.com/bonn_may_2016/events/2016-05-16-15-30-subsidiary-body-for-implementation-sbi-1st-meeting/16-arrangements-for-intergovernmental-meetings-item-16-of-the-provisional-agenda&gt;.</w:t>
      </w:r>
      <w:r>
        <w:rPr>
          <w:szCs w:val="16"/>
        </w:rPr>
        <w:t xml:space="preserve"> </w:t>
      </w:r>
    </w:p>
  </w:footnote>
  <w:footnote w:id="93">
    <w:p w14:paraId="03779B88" w14:textId="77777777" w:rsidR="00952179" w:rsidRPr="00FC2EC7" w:rsidRDefault="00952179" w:rsidP="00BE07CA">
      <w:pPr>
        <w:pStyle w:val="FootnoteText"/>
        <w:rPr>
          <w:color w:val="1F497D" w:themeColor="text2"/>
          <w:szCs w:val="16"/>
        </w:rPr>
      </w:pPr>
      <w:r>
        <w:rPr>
          <w:szCs w:val="16"/>
        </w:rPr>
        <w:tab/>
      </w:r>
      <w:r>
        <w:rPr>
          <w:rStyle w:val="FootnoteReference"/>
          <w:szCs w:val="16"/>
        </w:rPr>
        <w:footnoteRef/>
      </w:r>
      <w:r>
        <w:rPr>
          <w:szCs w:val="16"/>
        </w:rPr>
        <w:tab/>
        <w:t xml:space="preserve">Draft conclusions </w:t>
      </w:r>
      <w:r w:rsidRPr="00FC2EC7">
        <w:rPr>
          <w:szCs w:val="16"/>
        </w:rPr>
        <w:t xml:space="preserve">presented in document FCCC/SBI/2016/L.14. </w:t>
      </w:r>
    </w:p>
  </w:footnote>
  <w:footnote w:id="94">
    <w:p w14:paraId="1E96666F" w14:textId="77777777" w:rsidR="00952179" w:rsidRPr="00FC2EC7" w:rsidRDefault="00952179" w:rsidP="00BE07CA">
      <w:pPr>
        <w:pStyle w:val="FootnoteText"/>
        <w:rPr>
          <w:color w:val="1F497D" w:themeColor="text2"/>
          <w:szCs w:val="16"/>
        </w:rPr>
      </w:pPr>
      <w:r w:rsidRPr="00FC2EC7">
        <w:rPr>
          <w:szCs w:val="16"/>
        </w:rPr>
        <w:tab/>
      </w:r>
      <w:r w:rsidRPr="00FC2EC7">
        <w:rPr>
          <w:rStyle w:val="FootnoteReference"/>
          <w:szCs w:val="16"/>
        </w:rPr>
        <w:footnoteRef/>
      </w:r>
      <w:r w:rsidRPr="00FC2EC7">
        <w:rPr>
          <w:szCs w:val="16"/>
        </w:rPr>
        <w:tab/>
      </w:r>
      <w:r w:rsidRPr="00FC2EC7">
        <w:rPr>
          <w:lang w:val="en-US"/>
        </w:rPr>
        <w:t xml:space="preserve">Statements </w:t>
      </w:r>
      <w:r w:rsidRPr="00FC2EC7">
        <w:rPr>
          <w:szCs w:val="16"/>
        </w:rPr>
        <w:t xml:space="preserve">delivered on this agenda item </w:t>
      </w:r>
      <w:r w:rsidRPr="00FC2EC7">
        <w:rPr>
          <w:lang w:val="en-US"/>
        </w:rPr>
        <w:t>are available through the webcast of the meeting at &lt;http://unfccc6.meta-fusion.com/bonn_may_2016/events/2016-05-26-15-00-subsidiary-body-for-implementation-sbi-resumed-3rd-meeting/arrangements-for-intergovernmental-meetings-agenda-item-17-part-1&gt;.</w:t>
      </w:r>
    </w:p>
  </w:footnote>
  <w:footnote w:id="95">
    <w:p w14:paraId="0AE46261" w14:textId="77777777" w:rsidR="00952179" w:rsidRDefault="00952179" w:rsidP="00BE07CA">
      <w:pPr>
        <w:pStyle w:val="FootnoteText"/>
        <w:rPr>
          <w:lang w:val="en-US"/>
        </w:rPr>
      </w:pPr>
      <w:r w:rsidRPr="00FC2EC7">
        <w:tab/>
      </w:r>
      <w:r w:rsidRPr="00FC2EC7">
        <w:rPr>
          <w:rStyle w:val="FootnoteReference"/>
        </w:rPr>
        <w:footnoteRef/>
      </w:r>
      <w:r w:rsidRPr="00FC2EC7">
        <w:tab/>
      </w:r>
      <w:r w:rsidRPr="00FC2EC7">
        <w:rPr>
          <w:lang w:val="en-US"/>
        </w:rPr>
        <w:t>Decisions 3/CP.19, paragraph 13, and 5/CP.21, paragraph 4.</w:t>
      </w:r>
    </w:p>
  </w:footnote>
  <w:footnote w:id="96">
    <w:p w14:paraId="769EE399" w14:textId="77777777" w:rsidR="00952179" w:rsidRPr="00FC2EC7" w:rsidRDefault="00952179" w:rsidP="00BE07CA">
      <w:pPr>
        <w:pStyle w:val="FootnoteText"/>
        <w:rPr>
          <w:lang w:val="fr-FR"/>
        </w:rPr>
      </w:pPr>
      <w:r>
        <w:tab/>
      </w:r>
      <w:r>
        <w:rPr>
          <w:rStyle w:val="FootnoteReference"/>
        </w:rPr>
        <w:footnoteRef/>
      </w:r>
      <w:r>
        <w:rPr>
          <w:lang w:val="fr-FR"/>
        </w:rPr>
        <w:tab/>
      </w:r>
      <w:r w:rsidRPr="00FC2EC7">
        <w:rPr>
          <w:lang w:val="fr-FR"/>
        </w:rPr>
        <w:t>Decision 1/CP.21, paragraph 120.</w:t>
      </w:r>
    </w:p>
  </w:footnote>
  <w:footnote w:id="97">
    <w:p w14:paraId="488E65E8" w14:textId="77777777" w:rsidR="00952179" w:rsidRPr="00FC2EC7" w:rsidRDefault="00952179" w:rsidP="00BE07CA">
      <w:pPr>
        <w:pStyle w:val="FootnoteText"/>
        <w:rPr>
          <w:lang w:val="fr-FR"/>
        </w:rPr>
      </w:pPr>
      <w:r w:rsidRPr="00FC2EC7">
        <w:rPr>
          <w:lang w:val="fr-FR"/>
        </w:rPr>
        <w:tab/>
      </w:r>
      <w:r w:rsidRPr="00FC2EC7">
        <w:rPr>
          <w:rStyle w:val="FootnoteReference"/>
        </w:rPr>
        <w:footnoteRef/>
      </w:r>
      <w:r w:rsidRPr="00FC2EC7">
        <w:rPr>
          <w:lang w:val="fr-FR"/>
        </w:rPr>
        <w:tab/>
        <w:t>FCCC/SBI/2016/2, paragraphs 36–45.</w:t>
      </w:r>
    </w:p>
  </w:footnote>
  <w:footnote w:id="98">
    <w:p w14:paraId="19E862C1" w14:textId="77777777" w:rsidR="00952179" w:rsidRDefault="00952179" w:rsidP="00BE07CA">
      <w:pPr>
        <w:pStyle w:val="FootnoteText"/>
        <w:rPr>
          <w:lang w:val="fr-FR"/>
        </w:rPr>
      </w:pPr>
      <w:r w:rsidRPr="00FC2EC7">
        <w:rPr>
          <w:lang w:val="fr-FR"/>
        </w:rPr>
        <w:tab/>
      </w:r>
      <w:r w:rsidRPr="00FC2EC7">
        <w:rPr>
          <w:rStyle w:val="FootnoteReference"/>
        </w:rPr>
        <w:footnoteRef/>
      </w:r>
      <w:r w:rsidRPr="00FC2EC7">
        <w:rPr>
          <w:lang w:val="fr-FR"/>
        </w:rPr>
        <w:tab/>
        <w:t>FCCC/SBI/2016/2, paragraph 41.</w:t>
      </w:r>
    </w:p>
  </w:footnote>
  <w:footnote w:id="99">
    <w:p w14:paraId="0321480E" w14:textId="77777777" w:rsidR="00952179" w:rsidRPr="00FC2EC7" w:rsidRDefault="00952179" w:rsidP="00BE07CA">
      <w:pPr>
        <w:pStyle w:val="FootnoteText"/>
        <w:rPr>
          <w:lang w:val="en-US"/>
        </w:rPr>
      </w:pPr>
      <w:r>
        <w:rPr>
          <w:lang w:val="fr-FR"/>
        </w:rPr>
        <w:tab/>
      </w:r>
      <w:r>
        <w:rPr>
          <w:rStyle w:val="FootnoteReference"/>
        </w:rPr>
        <w:footnoteRef/>
      </w:r>
      <w:r>
        <w:tab/>
      </w:r>
      <w:r w:rsidRPr="00FC2EC7">
        <w:t xml:space="preserve">FCCC/SBI/2011/7, paragraph 171. </w:t>
      </w:r>
    </w:p>
  </w:footnote>
  <w:footnote w:id="100">
    <w:p w14:paraId="2ED5EE92" w14:textId="77777777" w:rsidR="00952179" w:rsidRDefault="00952179" w:rsidP="00BE07CA">
      <w:pPr>
        <w:pStyle w:val="FootnoteText"/>
        <w:rPr>
          <w:lang w:val="en-US"/>
        </w:rPr>
      </w:pPr>
      <w:r w:rsidRPr="00FC2EC7">
        <w:tab/>
      </w:r>
      <w:r w:rsidRPr="00FC2EC7">
        <w:rPr>
          <w:rStyle w:val="FootnoteReference"/>
        </w:rPr>
        <w:footnoteRef/>
      </w:r>
      <w:r w:rsidRPr="00FC2EC7">
        <w:tab/>
        <w:t>Parties should submit their views via the submission portal at &lt;http://www.unfccc.int/5900&gt;.</w:t>
      </w:r>
      <w:r>
        <w:t xml:space="preserve"> Observer organizations should e-mail their submissions to &lt;secretariat@unfccc.int&gt;.</w:t>
      </w:r>
    </w:p>
  </w:footnote>
  <w:footnote w:id="101">
    <w:p w14:paraId="602E1455" w14:textId="77777777" w:rsidR="00952179" w:rsidRDefault="00952179" w:rsidP="00BE07CA">
      <w:pPr>
        <w:pStyle w:val="FootnoteText"/>
        <w:rPr>
          <w:szCs w:val="16"/>
        </w:rPr>
      </w:pPr>
      <w:r>
        <w:rPr>
          <w:szCs w:val="16"/>
        </w:rPr>
        <w:tab/>
      </w:r>
      <w:r w:rsidRPr="00FC2EC7">
        <w:rPr>
          <w:rStyle w:val="FootnoteReference"/>
          <w:szCs w:val="16"/>
        </w:rPr>
        <w:footnoteRef/>
      </w:r>
      <w:r w:rsidRPr="00FC2EC7">
        <w:rPr>
          <w:szCs w:val="16"/>
        </w:rPr>
        <w:tab/>
        <w:t>Draft conclusions presented in document FCCC/SBI/2016/L.17.</w:t>
      </w:r>
      <w:r>
        <w:rPr>
          <w:szCs w:val="16"/>
        </w:rPr>
        <w:t xml:space="preserve"> </w:t>
      </w:r>
    </w:p>
  </w:footnote>
  <w:footnote w:id="102">
    <w:p w14:paraId="62CEE1AF" w14:textId="77777777" w:rsidR="00952179" w:rsidRPr="009276C9" w:rsidRDefault="00952179" w:rsidP="00BE07CA">
      <w:pPr>
        <w:pStyle w:val="FootnoteText"/>
        <w:rPr>
          <w:szCs w:val="16"/>
        </w:rPr>
      </w:pPr>
      <w:r>
        <w:rPr>
          <w:szCs w:val="16"/>
        </w:rPr>
        <w:tab/>
      </w:r>
      <w:r>
        <w:rPr>
          <w:rStyle w:val="FootnoteReference"/>
          <w:szCs w:val="16"/>
        </w:rPr>
        <w:footnoteRef/>
      </w:r>
      <w:r>
        <w:rPr>
          <w:szCs w:val="16"/>
        </w:rPr>
        <w:tab/>
        <w:t xml:space="preserve">Draft conclusions presented in </w:t>
      </w:r>
      <w:r w:rsidRPr="009276C9">
        <w:rPr>
          <w:szCs w:val="16"/>
        </w:rPr>
        <w:t xml:space="preserve">document FCCC/SBI/2016/L.3. </w:t>
      </w:r>
    </w:p>
  </w:footnote>
  <w:footnote w:id="103">
    <w:p w14:paraId="35B4EA7D" w14:textId="77777777" w:rsidR="00952179" w:rsidRDefault="00952179" w:rsidP="00BE07CA">
      <w:pPr>
        <w:pStyle w:val="FootnoteText"/>
        <w:rPr>
          <w:szCs w:val="16"/>
        </w:rPr>
      </w:pPr>
      <w:r w:rsidRPr="009276C9">
        <w:rPr>
          <w:szCs w:val="16"/>
        </w:rPr>
        <w:tab/>
      </w:r>
      <w:r w:rsidRPr="009276C9">
        <w:rPr>
          <w:rStyle w:val="FootnoteReference"/>
          <w:szCs w:val="16"/>
        </w:rPr>
        <w:footnoteRef/>
      </w:r>
      <w:r w:rsidRPr="009276C9">
        <w:rPr>
          <w:szCs w:val="16"/>
        </w:rPr>
        <w:tab/>
        <w:t>Draft conclusions presented in document FCCC/SBI/2016/L.4.</w:t>
      </w:r>
      <w:r>
        <w:rPr>
          <w:szCs w:val="16"/>
        </w:rPr>
        <w:t xml:space="preserve"> </w:t>
      </w:r>
    </w:p>
  </w:footnote>
  <w:footnote w:id="104">
    <w:p w14:paraId="7894972C" w14:textId="54E54ACE" w:rsidR="00952179" w:rsidRDefault="00952179" w:rsidP="00BE07CA">
      <w:pPr>
        <w:pStyle w:val="FootnoteText"/>
        <w:tabs>
          <w:tab w:val="right" w:pos="993"/>
        </w:tabs>
        <w:rPr>
          <w:lang w:val="en-US"/>
        </w:rPr>
      </w:pPr>
      <w:r>
        <w:tab/>
      </w:r>
      <w:r w:rsidRPr="0038087F">
        <w:rPr>
          <w:rStyle w:val="FootnoteReference"/>
        </w:rPr>
        <w:footnoteRef/>
      </w:r>
      <w:r w:rsidRPr="0038087F">
        <w:tab/>
      </w:r>
      <w:r>
        <w:t xml:space="preserve"> </w:t>
      </w:r>
      <w:r>
        <w:tab/>
        <w:t xml:space="preserve">See </w:t>
      </w:r>
      <w:r w:rsidRPr="0038087F">
        <w:t>&lt;http://newsroom.unfccc.int/unfccc-newsroom/christiana-figueres-farewell-address-to-delegates/</w:t>
      </w:r>
      <w:r w:rsidRPr="0038087F">
        <w:rPr>
          <w:color w:val="1F497D"/>
        </w:rPr>
        <w:t>&gt;.</w:t>
      </w:r>
    </w:p>
  </w:footnote>
  <w:footnote w:id="105">
    <w:p w14:paraId="7778640C" w14:textId="77777777" w:rsidR="00952179" w:rsidRDefault="00952179" w:rsidP="00BE07CA">
      <w:pPr>
        <w:pStyle w:val="FootnoteText"/>
        <w:tabs>
          <w:tab w:val="right" w:pos="993"/>
        </w:tabs>
        <w:rPr>
          <w:szCs w:val="16"/>
        </w:rPr>
      </w:pPr>
      <w:r>
        <w:rPr>
          <w:szCs w:val="16"/>
        </w:rPr>
        <w:tab/>
      </w:r>
      <w:r w:rsidRPr="00DD6EC5">
        <w:rPr>
          <w:rStyle w:val="FootnoteReference"/>
          <w:szCs w:val="16"/>
        </w:rPr>
        <w:footnoteRef/>
      </w:r>
      <w:r>
        <w:rPr>
          <w:szCs w:val="16"/>
        </w:rPr>
        <w:t xml:space="preserve"> </w:t>
      </w:r>
      <w:r w:rsidRPr="00DD6EC5">
        <w:rPr>
          <w:szCs w:val="16"/>
        </w:rPr>
        <w:tab/>
        <w:t>FCCC/SBI/2016/L.7.</w:t>
      </w:r>
      <w:r>
        <w:rPr>
          <w:szCs w:val="16"/>
        </w:rPr>
        <w:t xml:space="preserve"> </w:t>
      </w:r>
    </w:p>
  </w:footnote>
  <w:footnote w:id="106">
    <w:p w14:paraId="60A3244E" w14:textId="77777777" w:rsidR="00952179" w:rsidRDefault="00952179" w:rsidP="00BE07CA">
      <w:pPr>
        <w:tabs>
          <w:tab w:val="right" w:pos="993"/>
        </w:tabs>
        <w:suppressAutoHyphens w:val="0"/>
        <w:autoSpaceDE w:val="0"/>
        <w:autoSpaceDN w:val="0"/>
        <w:adjustRightInd w:val="0"/>
        <w:spacing w:line="240" w:lineRule="auto"/>
        <w:ind w:left="1134" w:right="1133" w:hanging="567"/>
        <w:rPr>
          <w:lang w:val="en-US"/>
        </w:rPr>
      </w:pPr>
      <w:r>
        <w:tab/>
      </w:r>
      <w:r w:rsidRPr="00DD6EC5">
        <w:rPr>
          <w:rStyle w:val="FootnoteReference"/>
        </w:rPr>
        <w:footnoteRef/>
      </w:r>
      <w:r w:rsidRPr="00DD6EC5">
        <w:tab/>
      </w:r>
      <w:r w:rsidRPr="00DD6EC5">
        <w:rPr>
          <w:sz w:val="18"/>
        </w:rPr>
        <w:t>Decision 11/CP. 21, paragraphs 5 and 6, reads: “</w:t>
      </w:r>
      <w:r w:rsidRPr="00DD6EC5">
        <w:rPr>
          <w:rFonts w:eastAsiaTheme="minorHAnsi"/>
          <w:iCs/>
          <w:sz w:val="18"/>
          <w:lang w:val="en-US" w:eastAsia="en-US"/>
        </w:rPr>
        <w:t xml:space="preserve">Adopts </w:t>
      </w:r>
      <w:r w:rsidRPr="00DD6EC5">
        <w:rPr>
          <w:rFonts w:eastAsiaTheme="minorHAnsi"/>
          <w:sz w:val="18"/>
          <w:lang w:val="en-US" w:eastAsia="en-US"/>
        </w:rPr>
        <w:t xml:space="preserve">the work programme comprising the following areas: (a) Economic diversification and transformation; (b) Just transition of the workforce, and the creation of decent work and quality jobs; </w:t>
      </w:r>
      <w:r w:rsidRPr="00DD6EC5">
        <w:rPr>
          <w:rFonts w:eastAsiaTheme="minorHAnsi"/>
          <w:iCs/>
          <w:sz w:val="18"/>
          <w:lang w:val="en-US" w:eastAsia="en-US"/>
        </w:rPr>
        <w:t>Decides</w:t>
      </w:r>
      <w:r w:rsidRPr="00DD6EC5">
        <w:rPr>
          <w:rFonts w:eastAsiaTheme="minorHAnsi"/>
          <w:i/>
          <w:iCs/>
          <w:sz w:val="18"/>
          <w:lang w:val="en-US" w:eastAsia="en-US"/>
        </w:rPr>
        <w:t xml:space="preserve"> </w:t>
      </w:r>
      <w:r w:rsidRPr="00DD6EC5">
        <w:rPr>
          <w:rFonts w:eastAsiaTheme="minorHAnsi"/>
          <w:sz w:val="18"/>
          <w:lang w:val="en-US" w:eastAsia="en-US"/>
        </w:rPr>
        <w:t>that the implementation of the work programme shall address the needs of all Parties, in particular developing country Parties, and shall be informed, inter alia, by the assessment and analysis of impacts, including the use and development of economic modelling, taking into account all relevant policy issues of concern”</w:t>
      </w:r>
      <w:r w:rsidRPr="00DD6EC5">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BF97" w14:textId="77777777" w:rsidR="00952179" w:rsidRDefault="00952179">
    <w:pPr>
      <w:pStyle w:val="Header"/>
    </w:pPr>
    <w:r>
      <w:t>FCCC/SBI/201</w:t>
    </w:r>
    <w:r w:rsidRPr="00512C42">
      <w:t>6/8</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DF99" w14:textId="77777777" w:rsidR="00952179" w:rsidRPr="00AA4577" w:rsidRDefault="00952179" w:rsidP="006D4A81">
    <w:r>
      <w:rPr>
        <w:noProof/>
        <w:lang w:val="en-US" w:eastAsia="en-US"/>
      </w:rPr>
      <mc:AlternateContent>
        <mc:Choice Requires="wps">
          <w:drawing>
            <wp:anchor distT="0" distB="0" distL="114300" distR="114300" simplePos="0" relativeHeight="251664384" behindDoc="0" locked="0" layoutInCell="1" allowOverlap="1" wp14:anchorId="1F890981" wp14:editId="673E5C79">
              <wp:simplePos x="0" y="0"/>
              <wp:positionH relativeFrom="column">
                <wp:posOffset>8322945</wp:posOffset>
              </wp:positionH>
              <wp:positionV relativeFrom="paragraph">
                <wp:posOffset>327025</wp:posOffset>
              </wp:positionV>
              <wp:extent cx="215900" cy="6120130"/>
              <wp:effectExtent l="0" t="0" r="1270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1316A1FC" w14:textId="02395E63" w:rsidR="00952179" w:rsidRDefault="00952179" w:rsidP="006D4A81">
                          <w:pPr>
                            <w:pStyle w:val="Header"/>
                            <w:jc w:val="right"/>
                          </w:pPr>
                          <w:r w:rsidRPr="00BD7AAF">
                            <w:t>FCCC/SBI/2016/8</w:t>
                          </w:r>
                        </w:p>
                      </w:txbxContent>
                    </wps:txbx>
                    <wps:bodyPr rot="0" spcFirstLastPara="0" vertOverflow="overflow" horzOverflow="overflow" vert="vert" wrap="square" lIns="0" tIns="0" rIns="0" bIns="45720" numCol="1" spcCol="0" rtlCol="0" fromWordArt="0" anchor="t" anchorCtr="0" forceAA="0" compatLnSpc="1">
                      <a:prstTxWarp prst="textNoShape">
                        <a:avLst/>
                      </a:prstTxWarp>
                      <a:noAutofit/>
                    </wps:bodyPr>
                  </wps:wsp>
                </a:graphicData>
              </a:graphic>
            </wp:anchor>
          </w:drawing>
        </mc:Choice>
        <mc:Fallback>
          <w:pict>
            <v:shapetype w14:anchorId="1F890981" id="_x0000_t202" coordsize="21600,21600" o:spt="202" path="m,l,21600r21600,l21600,xe">
              <v:stroke joinstyle="miter"/>
              <v:path gradientshapeok="t" o:connecttype="rect"/>
            </v:shapetype>
            <v:shape id="Text Box 49" o:spid="_x0000_s1031" type="#_x0000_t202" style="position:absolute;margin-left:655.35pt;margin-top:25.75pt;width:17pt;height:481.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" filled="f" stroked="f">
              <v:stroke joinstyle="round"/>
              <v:path arrowok="t"/>
              <v:textbox style="layout-flow:vertical" inset="0,0,0">
                <w:txbxContent>
                  <w:p w14:paraId="1316A1FC" w14:textId="02395E63" w:rsidR="00952179" w:rsidRDefault="00952179" w:rsidP="006D4A81">
                    <w:pPr>
                      <w:pStyle w:val="Header"/>
                      <w:jc w:val="right"/>
                    </w:pPr>
                    <w:r w:rsidRPr="00BD7AAF">
                      <w:t>FCCC/SBI/2016/8</w:t>
                    </w:r>
                  </w:p>
                </w:txbxContent>
              </v:textbox>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1519" w14:textId="0DE0F4A5" w:rsidR="00952179" w:rsidRPr="00BD7AAF" w:rsidRDefault="00952179" w:rsidP="00BD7AAF">
    <w:pPr>
      <w:pStyle w:val="Header"/>
    </w:pPr>
    <w:r w:rsidRPr="00BD7AAF">
      <w:t>FCCC/SBI/2016/8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32FFE" w14:textId="1B4FF71E" w:rsidR="00952179" w:rsidRPr="00BD7AAF" w:rsidRDefault="00952179" w:rsidP="00BD7AAF">
    <w:pPr>
      <w:pStyle w:val="Header"/>
      <w:jc w:val="right"/>
    </w:pPr>
    <w:r w:rsidRPr="00BD7AAF">
      <w:t>FCCC/SBI/2016/8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6196" w14:textId="77777777" w:rsidR="00952179" w:rsidRPr="00762222" w:rsidRDefault="00952179" w:rsidP="006D4A81">
    <w:r>
      <w:rPr>
        <w:noProof/>
        <w:lang w:val="en-US" w:eastAsia="en-US"/>
      </w:rPr>
      <mc:AlternateContent>
        <mc:Choice Requires="wps">
          <w:drawing>
            <wp:anchor distT="0" distB="0" distL="114300" distR="114300" simplePos="0" relativeHeight="251666432" behindDoc="0" locked="0" layoutInCell="1" allowOverlap="1" wp14:anchorId="7BA83DB8" wp14:editId="0054C4D1">
              <wp:simplePos x="0" y="0"/>
              <wp:positionH relativeFrom="page">
                <wp:posOffset>9791700</wp:posOffset>
              </wp:positionH>
              <wp:positionV relativeFrom="margin">
                <wp:posOffset>0</wp:posOffset>
              </wp:positionV>
              <wp:extent cx="215900" cy="6120130"/>
              <wp:effectExtent l="0" t="0" r="12700" b="139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761EFDCF" w14:textId="6BA60C72" w:rsidR="00952179" w:rsidRDefault="00952179" w:rsidP="006D4A81">
                          <w:pPr>
                            <w:pStyle w:val="Header"/>
                          </w:pPr>
                          <w:r w:rsidRPr="00BD7AAF">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7BA83DB8" id="_x0000_t202" coordsize="21600,21600" o:spt="202" path="m,l,21600r21600,l21600,xe">
              <v:stroke joinstyle="miter"/>
              <v:path gradientshapeok="t" o:connecttype="rect"/>
            </v:shapetype>
            <v:shape id="Text Box 8" o:spid="_x0000_s1034" type="#_x0000_t202" style="position:absolute;margin-left:771pt;margin-top:0;width:17pt;height:481.9pt;z-index:25166643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" filled="f" stroked="f">
              <v:stroke joinstyle="round"/>
              <v:path arrowok="t"/>
              <v:textbox style="layout-flow:vertical" inset="0,0,0,0">
                <w:txbxContent>
                  <w:p w14:paraId="761EFDCF" w14:textId="6BA60C72" w:rsidR="00952179" w:rsidRDefault="00952179" w:rsidP="006D4A81">
                    <w:pPr>
                      <w:pStyle w:val="Header"/>
                    </w:pPr>
                    <w:r w:rsidRPr="00BD7AAF">
                      <w:t>FCCC/SBI/2016/8</w:t>
                    </w:r>
                  </w:p>
                </w:txbxContent>
              </v:textbox>
              <w10:wrap anchorx="page" anchory="margin"/>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B3D9F" w14:textId="182A1835" w:rsidR="00952179" w:rsidRPr="008F63F4" w:rsidRDefault="00952179" w:rsidP="008F63F4">
    <w:r>
      <w:rPr>
        <w:noProof/>
        <w:lang w:val="en-US" w:eastAsia="en-US"/>
      </w:rPr>
      <mc:AlternateContent>
        <mc:Choice Requires="wps">
          <w:drawing>
            <wp:anchor distT="0" distB="0" distL="114300" distR="114300" simplePos="0" relativeHeight="251682816" behindDoc="0" locked="0" layoutInCell="1" allowOverlap="1" wp14:anchorId="21EF6F77" wp14:editId="4A29DBF1">
              <wp:simplePos x="0" y="0"/>
              <wp:positionH relativeFrom="page">
                <wp:posOffset>9791700</wp:posOffset>
              </wp:positionH>
              <wp:positionV relativeFrom="margin">
                <wp:posOffset>0</wp:posOffset>
              </wp:positionV>
              <wp:extent cx="215900" cy="6121400"/>
              <wp:effectExtent l="0" t="0" r="12700" b="1270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140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982D35D" w14:textId="2695F458" w:rsidR="00952179" w:rsidRDefault="00952179" w:rsidP="008F63F4">
                          <w:pPr>
                            <w:pStyle w:val="Header"/>
                            <w:jc w:val="right"/>
                          </w:pPr>
                          <w:r>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1EF6F77" id="_x0000_t202" coordsize="21600,21600" o:spt="202" path="m,l,21600r21600,l21600,xe">
              <v:stroke joinstyle="miter"/>
              <v:path gradientshapeok="t" o:connecttype="rect"/>
            </v:shapetype>
            <v:shape id="Text Box 24" o:spid="_x0000_s1035" type="#_x0000_t202" style="position:absolute;margin-left:771pt;margin-top:0;width:17pt;height:482pt;z-index:251682816;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" filled="f" stroked="f">
              <v:stroke joinstyle="round"/>
              <v:path arrowok="t"/>
              <v:textbox style="layout-flow:vertical" inset="0,0,0,0">
                <w:txbxContent>
                  <w:p w14:paraId="3982D35D" w14:textId="2695F458" w:rsidR="00952179" w:rsidRDefault="00952179" w:rsidP="008F63F4">
                    <w:pPr>
                      <w:pStyle w:val="Header"/>
                      <w:jc w:val="right"/>
                    </w:pPr>
                    <w:r>
                      <w:t>FCCC/SBI/2016/8</w:t>
                    </w:r>
                  </w:p>
                </w:txbxContent>
              </v:textbox>
              <w10:wrap anchorx="page" anchory="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7859D" w14:textId="3D776550" w:rsidR="00952179" w:rsidRPr="00BD7AAF" w:rsidRDefault="00952179" w:rsidP="00BD7AAF">
    <w:pPr>
      <w:pStyle w:val="Header"/>
    </w:pPr>
    <w:r w:rsidRPr="00BD7AAF">
      <w:t>FCCC/SBI/2016/8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EFB92" w14:textId="44207EA6" w:rsidR="00952179" w:rsidRPr="00BD7AAF" w:rsidRDefault="00952179" w:rsidP="00BD7AAF">
    <w:pPr>
      <w:pStyle w:val="Header"/>
      <w:jc w:val="right"/>
    </w:pPr>
    <w:r w:rsidRPr="00BD7AAF">
      <w:t>FCCC/SBI/2016/8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410E" w14:textId="5A89AA50" w:rsidR="00952179" w:rsidRPr="00487D2B" w:rsidRDefault="00952179" w:rsidP="00487D2B">
    <w:r>
      <w:rPr>
        <w:noProof/>
        <w:lang w:val="en-US" w:eastAsia="en-US"/>
      </w:rPr>
      <mc:AlternateContent>
        <mc:Choice Requires="wps">
          <w:drawing>
            <wp:anchor distT="0" distB="0" distL="114300" distR="114300" simplePos="0" relativeHeight="251685888" behindDoc="0" locked="0" layoutInCell="1" allowOverlap="1" wp14:anchorId="6E57AC61" wp14:editId="0CAA0ED2">
              <wp:simplePos x="0" y="0"/>
              <wp:positionH relativeFrom="page">
                <wp:posOffset>9791700</wp:posOffset>
              </wp:positionH>
              <wp:positionV relativeFrom="margin">
                <wp:posOffset>0</wp:posOffset>
              </wp:positionV>
              <wp:extent cx="219075" cy="6124575"/>
              <wp:effectExtent l="0" t="0" r="9525" b="952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6124575"/>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B5AB0D1" w14:textId="2B33889B" w:rsidR="00952179" w:rsidRDefault="00952179" w:rsidP="00487D2B">
                          <w:pPr>
                            <w:pStyle w:val="Header"/>
                          </w:pPr>
                          <w:r>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6E57AC61" id="_x0000_t202" coordsize="21600,21600" o:spt="202" path="m,l,21600r21600,l21600,xe">
              <v:stroke joinstyle="miter"/>
              <v:path gradientshapeok="t" o:connecttype="rect"/>
            </v:shapetype>
            <v:shape id="Text Box 28" o:spid="_x0000_s1038" type="#_x0000_t202" style="position:absolute;margin-left:771pt;margin-top:0;width:17.25pt;height:482.25pt;z-index:25168588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" filled="f" stroked="f">
              <v:stroke joinstyle="round"/>
              <v:path arrowok="t"/>
              <v:textbox style="layout-flow:vertical" inset="0,0,0,0">
                <w:txbxContent>
                  <w:p w14:paraId="3B5AB0D1" w14:textId="2B33889B" w:rsidR="00952179" w:rsidRDefault="00952179" w:rsidP="00487D2B">
                    <w:pPr>
                      <w:pStyle w:val="Header"/>
                    </w:pPr>
                    <w:r>
                      <w:t>FCCC/SBI/2016/8</w:t>
                    </w:r>
                  </w:p>
                </w:txbxContent>
              </v:textbox>
              <w10:wrap anchorx="page" anchory="margin"/>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7992" w14:textId="71D8FAFB" w:rsidR="00952179" w:rsidRPr="00487D2B" w:rsidRDefault="00952179" w:rsidP="00487D2B">
    <w:r>
      <w:rPr>
        <w:noProof/>
        <w:lang w:val="en-US" w:eastAsia="en-US"/>
      </w:rPr>
      <mc:AlternateContent>
        <mc:Choice Requires="wps">
          <w:drawing>
            <wp:anchor distT="0" distB="0" distL="114300" distR="114300" simplePos="0" relativeHeight="251686912" behindDoc="0" locked="0" layoutInCell="1" allowOverlap="1" wp14:anchorId="2C2158FC" wp14:editId="782A716D">
              <wp:simplePos x="0" y="0"/>
              <wp:positionH relativeFrom="page">
                <wp:posOffset>9791700</wp:posOffset>
              </wp:positionH>
              <wp:positionV relativeFrom="margin">
                <wp:posOffset>0</wp:posOffset>
              </wp:positionV>
              <wp:extent cx="219075" cy="6124575"/>
              <wp:effectExtent l="0" t="0" r="9525" b="952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6124575"/>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8F06B4B" w14:textId="25B1BD22" w:rsidR="00952179" w:rsidRDefault="00952179" w:rsidP="00487D2B">
                          <w:pPr>
                            <w:pStyle w:val="Header"/>
                            <w:jc w:val="right"/>
                          </w:pPr>
                          <w:r>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2C2158FC" id="_x0000_t202" coordsize="21600,21600" o:spt="202" path="m,l,21600r21600,l21600,xe">
              <v:stroke joinstyle="miter"/>
              <v:path gradientshapeok="t" o:connecttype="rect"/>
            </v:shapetype>
            <v:shape id="Text Box 29" o:spid="_x0000_s1039" type="#_x0000_t202" style="position:absolute;margin-left:771pt;margin-top:0;width:17.25pt;height:482.25pt;z-index:251686912;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" filled="f" stroked="f">
              <v:stroke joinstyle="round"/>
              <v:path arrowok="t"/>
              <v:textbox style="layout-flow:vertical" inset="0,0,0,0">
                <w:txbxContent>
                  <w:p w14:paraId="68F06B4B" w14:textId="25B1BD22" w:rsidR="00952179" w:rsidRDefault="00952179" w:rsidP="00487D2B">
                    <w:pPr>
                      <w:pStyle w:val="Header"/>
                      <w:jc w:val="right"/>
                    </w:pPr>
                    <w:r>
                      <w:t>FCCC/SBI/2016/8</w:t>
                    </w:r>
                  </w:p>
                </w:txbxContent>
              </v:textbox>
              <w10:wrap anchorx="page" anchory="margin"/>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DABC7" w14:textId="323AB51E" w:rsidR="00952179" w:rsidRPr="00BD7AAF" w:rsidRDefault="00952179" w:rsidP="00BD7AAF">
    <w:pPr>
      <w:pStyle w:val="Header"/>
    </w:pPr>
    <w:r w:rsidRPr="00BD7AAF">
      <w:t>FCCC/SBI/2016/8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7271" w14:textId="77777777" w:rsidR="00952179" w:rsidRDefault="00952179" w:rsidP="00DD4824">
    <w:pPr>
      <w:pStyle w:val="Header"/>
      <w:jc w:val="right"/>
    </w:pPr>
    <w:r>
      <w:t>FCCC/SBI/2016/8</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8DCEC" w14:textId="35406F5A" w:rsidR="00952179" w:rsidRPr="00BD7AAF" w:rsidRDefault="00952179" w:rsidP="00BD7AAF">
    <w:pPr>
      <w:pStyle w:val="Header"/>
      <w:jc w:val="right"/>
    </w:pPr>
    <w:r w:rsidRPr="00BD7AAF">
      <w:t>FCCC/SBI/2016/8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8BD8" w14:textId="77777777" w:rsidR="00952179" w:rsidRPr="00D66F87" w:rsidRDefault="00952179" w:rsidP="006D4A81">
    <w:r>
      <w:rPr>
        <w:noProof/>
        <w:lang w:val="en-US" w:eastAsia="en-US"/>
      </w:rPr>
      <mc:AlternateContent>
        <mc:Choice Requires="wps">
          <w:drawing>
            <wp:anchor distT="0" distB="0" distL="114300" distR="114300" simplePos="0" relativeHeight="251676672" behindDoc="0" locked="0" layoutInCell="1" allowOverlap="1" wp14:anchorId="1E0C837E" wp14:editId="611D3FCE">
              <wp:simplePos x="0" y="0"/>
              <wp:positionH relativeFrom="page">
                <wp:posOffset>9792586</wp:posOffset>
              </wp:positionH>
              <wp:positionV relativeFrom="margin">
                <wp:posOffset>-620</wp:posOffset>
              </wp:positionV>
              <wp:extent cx="215900" cy="5454502"/>
              <wp:effectExtent l="0" t="0" r="12700" b="1333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5454502"/>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6A94704C" w14:textId="65ABA2EC" w:rsidR="00952179" w:rsidRDefault="00952179" w:rsidP="006D4A81">
                          <w:pPr>
                            <w:pStyle w:val="Header"/>
                          </w:pPr>
                          <w:r>
                            <w:t>FCCC/SBI/2016/</w:t>
                          </w:r>
                          <w:r w:rsidR="007626ED">
                            <w:t>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0C837E" id="_x0000_t202" coordsize="21600,21600" o:spt="202" path="m,l,21600r21600,l21600,xe">
              <v:stroke joinstyle="miter"/>
              <v:path gradientshapeok="t" o:connecttype="rect"/>
            </v:shapetype>
            <v:shape id="Text Box 21" o:spid="_x0000_s1042" type="#_x0000_t202" style="position:absolute;margin-left:771.05pt;margin-top:-.05pt;width:17pt;height:429.5pt;z-index:251676672;visibility:visible;mso-wrap-style:square;mso-height-percent:0;mso-wrap-distance-left:9pt;mso-wrap-distance-top:0;mso-wrap-distance-right:9pt;mso-wrap-distance-bottom:0;mso-position-horizontal:absolute;mso-position-horizontal-relative:page;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" filled="f" stroked="f">
              <v:stroke joinstyle="round"/>
              <v:path arrowok="t"/>
              <v:textbox style="layout-flow:vertical" inset="0,0,0,0">
                <w:txbxContent>
                  <w:p w14:paraId="6A94704C" w14:textId="65ABA2EC" w:rsidR="00952179" w:rsidRDefault="00952179" w:rsidP="006D4A81">
                    <w:pPr>
                      <w:pStyle w:val="Header"/>
                    </w:pPr>
                    <w:r>
                      <w:t>FCCC/SBI/2016/</w:t>
                    </w:r>
                    <w:r w:rsidR="007626ED">
                      <w:t>8</w:t>
                    </w:r>
                  </w:p>
                </w:txbxContent>
              </v:textbox>
              <w10:wrap anchorx="page" anchory="margin"/>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E6299" w14:textId="77777777" w:rsidR="00952179" w:rsidRPr="004C5282" w:rsidRDefault="00952179" w:rsidP="006D4A81">
    <w:r>
      <w:rPr>
        <w:noProof/>
        <w:lang w:val="en-US" w:eastAsia="en-US"/>
      </w:rPr>
      <mc:AlternateContent>
        <mc:Choice Requires="wps">
          <w:drawing>
            <wp:anchor distT="0" distB="0" distL="114300" distR="114300" simplePos="0" relativeHeight="251670528" behindDoc="0" locked="0" layoutInCell="1" allowOverlap="1" wp14:anchorId="3A25A32B" wp14:editId="50F18096">
              <wp:simplePos x="0" y="0"/>
              <wp:positionH relativeFrom="page">
                <wp:posOffset>9791700</wp:posOffset>
              </wp:positionH>
              <wp:positionV relativeFrom="margin">
                <wp:posOffset>0</wp:posOffset>
              </wp:positionV>
              <wp:extent cx="215900" cy="6120130"/>
              <wp:effectExtent l="0" t="0" r="12700" b="1397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5BA4F132" w14:textId="489DD36A" w:rsidR="00952179" w:rsidRDefault="00952179" w:rsidP="006D4A81">
                          <w:pPr>
                            <w:pStyle w:val="Header"/>
                            <w:jc w:val="right"/>
                          </w:pPr>
                          <w:r w:rsidRPr="00BD7AAF">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3A25A32B" id="_x0000_t202" coordsize="21600,21600" o:spt="202" path="m,l,21600r21600,l21600,xe">
              <v:stroke joinstyle="miter"/>
              <v:path gradientshapeok="t" o:connecttype="rect"/>
            </v:shapetype>
            <v:shape id="Text Box 17" o:spid="_x0000_s1043" type="#_x0000_t202" style="position:absolute;margin-left:771pt;margin-top:0;width:17pt;height:481.9pt;z-index:25167052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" filled="f" stroked="f">
              <v:stroke joinstyle="round"/>
              <v:path arrowok="t"/>
              <v:textbox style="layout-flow:vertical" inset="0,0,0,0">
                <w:txbxContent>
                  <w:p w14:paraId="5BA4F132" w14:textId="489DD36A" w:rsidR="00952179" w:rsidRDefault="00952179" w:rsidP="006D4A81">
                    <w:pPr>
                      <w:pStyle w:val="Header"/>
                      <w:jc w:val="right"/>
                    </w:pPr>
                    <w:r w:rsidRPr="00BD7AAF">
                      <w:t>FCCC/SBI/2016/8</w:t>
                    </w:r>
                  </w:p>
                </w:txbxContent>
              </v:textbox>
              <w10:wrap anchorx="page" anchory="margin"/>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11513" w14:textId="3661E304" w:rsidR="00952179" w:rsidRPr="00BD7AAF" w:rsidRDefault="00952179" w:rsidP="00BD7AAF">
    <w:pPr>
      <w:pStyle w:val="Header"/>
    </w:pPr>
    <w:r w:rsidRPr="00BD7AAF">
      <w:t>FCCC/SBI/2016/8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49F5" w14:textId="0A7094DE" w:rsidR="00952179" w:rsidRPr="008F63F4" w:rsidRDefault="00952179" w:rsidP="008F63F4">
    <w:pPr>
      <w:pStyle w:val="Header"/>
      <w:jc w:val="right"/>
    </w:pPr>
    <w:r>
      <w:t>FCCC/SBI/2016/8</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8F2D" w14:textId="60F1A06B" w:rsidR="00952179" w:rsidRPr="00BD7AAF" w:rsidRDefault="00952179" w:rsidP="00BD7AAF">
    <w:pPr>
      <w:pStyle w:val="Header"/>
    </w:pPr>
    <w:r w:rsidRPr="00BD7AAF">
      <w:t>FCCC/SBI/2016/8</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BC" w14:textId="0F5BD87D" w:rsidR="00952179" w:rsidRPr="00887A81" w:rsidRDefault="00952179" w:rsidP="00887A81">
    <w:pPr>
      <w:pStyle w:val="Header"/>
    </w:pPr>
    <w:r>
      <w:t>FCCC/SBI/2016/8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BD" w14:textId="74F986F1" w:rsidR="00952179" w:rsidRPr="00887A81" w:rsidRDefault="00952179" w:rsidP="00887A81">
    <w:pPr>
      <w:pStyle w:val="Header"/>
      <w:jc w:val="right"/>
    </w:pPr>
    <w:r>
      <w:t>FCCC/SBI/2016/8</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05C0" w14:textId="77777777" w:rsidR="00952179" w:rsidRDefault="00952179" w:rsidP="00CB192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B652C" w14:textId="77777777" w:rsidR="00952179" w:rsidRDefault="00952179" w:rsidP="00520E6A">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F4DCB" w14:textId="6DD7EA29" w:rsidR="00952179" w:rsidRPr="00BD7AAF" w:rsidRDefault="00952179" w:rsidP="00BD7AAF">
    <w:pPr>
      <w:pStyle w:val="Header"/>
      <w:jc w:val="right"/>
    </w:pPr>
    <w:r w:rsidRPr="00BD7AAF">
      <w:t>FCCC/SBI/2016/8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DEAFF" w14:textId="034A916B" w:rsidR="00952179" w:rsidRPr="00D06A4E" w:rsidRDefault="00952179" w:rsidP="00D06A4E">
    <w:r>
      <w:rPr>
        <w:noProof/>
        <w:lang w:val="en-US" w:eastAsia="en-US"/>
      </w:rPr>
      <mc:AlternateContent>
        <mc:Choice Requires="wps">
          <w:drawing>
            <wp:anchor distT="0" distB="0" distL="114300" distR="114300" simplePos="0" relativeHeight="251684864" behindDoc="0" locked="0" layoutInCell="1" allowOverlap="1" wp14:anchorId="5EB96766" wp14:editId="7BCCEC29">
              <wp:simplePos x="0" y="0"/>
              <wp:positionH relativeFrom="page">
                <wp:posOffset>9791700</wp:posOffset>
              </wp:positionH>
              <wp:positionV relativeFrom="margin">
                <wp:posOffset>0</wp:posOffset>
              </wp:positionV>
              <wp:extent cx="215900" cy="6121400"/>
              <wp:effectExtent l="0" t="0" r="1270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140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B6F4E99" w14:textId="2AC4149B" w:rsidR="00952179" w:rsidRDefault="00952179" w:rsidP="00D06A4E">
                          <w:pPr>
                            <w:pStyle w:val="Header"/>
                          </w:pPr>
                          <w:r>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EB96766" id="_x0000_t202" coordsize="21600,21600" o:spt="202" path="m,l,21600r21600,l21600,xe">
              <v:stroke joinstyle="miter"/>
              <v:path gradientshapeok="t" o:connecttype="rect"/>
            </v:shapetype>
            <v:shape id="Text Box 27" o:spid="_x0000_s1026" type="#_x0000_t202" style="position:absolute;margin-left:771pt;margin-top:0;width:17pt;height:482pt;z-index:25168486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" filled="f" stroked="f">
              <v:stroke joinstyle="round"/>
              <v:path arrowok="t"/>
              <v:textbox style="layout-flow:vertical" inset="0,0,0,0">
                <w:txbxContent>
                  <w:p w14:paraId="3B6F4E99" w14:textId="2AC4149B" w:rsidR="00952179" w:rsidRDefault="00952179" w:rsidP="00D06A4E">
                    <w:pPr>
                      <w:pStyle w:val="Header"/>
                    </w:pPr>
                    <w:r>
                      <w:t>FCCC/SBI/2016/8</w:t>
                    </w:r>
                  </w:p>
                </w:txbxContent>
              </v:textbox>
              <w10:wrap anchorx="page" anchory="margin"/>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7D99" w14:textId="77777777" w:rsidR="00952179" w:rsidRPr="00AA4577" w:rsidRDefault="00952179" w:rsidP="006D4A81">
    <w:r>
      <w:rPr>
        <w:noProof/>
        <w:lang w:val="en-US" w:eastAsia="en-US"/>
      </w:rPr>
      <mc:AlternateContent>
        <mc:Choice Requires="wps">
          <w:drawing>
            <wp:anchor distT="0" distB="0" distL="114300" distR="114300" simplePos="0" relativeHeight="251659264" behindDoc="0" locked="0" layoutInCell="1" allowOverlap="1" wp14:anchorId="1010B59B" wp14:editId="6C13C76F">
              <wp:simplePos x="0" y="0"/>
              <wp:positionH relativeFrom="page">
                <wp:posOffset>9791700</wp:posOffset>
              </wp:positionH>
              <wp:positionV relativeFrom="margin">
                <wp:posOffset>0</wp:posOffset>
              </wp:positionV>
              <wp:extent cx="215900" cy="6120130"/>
              <wp:effectExtent l="0" t="0" r="12700" b="1397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013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386F0E30" w14:textId="24DA6AD2" w:rsidR="00952179" w:rsidRDefault="00952179" w:rsidP="006D4A81">
                          <w:pPr>
                            <w:pStyle w:val="Header"/>
                            <w:jc w:val="right"/>
                          </w:pPr>
                          <w:r w:rsidRPr="00BD7AAF">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010B59B" id="_x0000_t202" coordsize="21600,21600" o:spt="202" path="m,l,21600r21600,l21600,xe">
              <v:stroke joinstyle="miter"/>
              <v:path gradientshapeok="t" o:connecttype="rect"/>
            </v:shapetype>
            <v:shape id="Text Box 37" o:spid="_x0000_s1027" type="#_x0000_t202" style="position:absolute;margin-left:771pt;margin-top:0;width:17pt;height:481.9pt;z-index:251659264;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" filled="f" stroked="f">
              <v:stroke joinstyle="round"/>
              <v:path arrowok="t"/>
              <v:textbox style="layout-flow:vertical" inset="0,0,0,0">
                <w:txbxContent>
                  <w:p w14:paraId="386F0E30" w14:textId="24DA6AD2" w:rsidR="00952179" w:rsidRDefault="00952179" w:rsidP="006D4A81">
                    <w:pPr>
                      <w:pStyle w:val="Header"/>
                      <w:jc w:val="right"/>
                    </w:pPr>
                    <w:r w:rsidRPr="00BD7AAF">
                      <w:t>FCCC/SBI/2016/8</w:t>
                    </w:r>
                  </w:p>
                </w:txbxContent>
              </v:textbox>
              <w10:wrap anchorx="page" anchory="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698A5" w14:textId="3997FAED" w:rsidR="00952179" w:rsidRPr="00BD7AAF" w:rsidRDefault="00952179" w:rsidP="00BD7AAF">
    <w:pPr>
      <w:pStyle w:val="Header"/>
    </w:pPr>
    <w:r w:rsidRPr="00BD7AAF">
      <w:t>FCCC/SBI/2016/8</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6A41D" w14:textId="6BB498BE" w:rsidR="00952179" w:rsidRPr="00BD7AAF" w:rsidRDefault="00952179" w:rsidP="00BD7AAF">
    <w:pPr>
      <w:pStyle w:val="Header"/>
      <w:jc w:val="right"/>
    </w:pPr>
    <w:r w:rsidRPr="00BD7AAF">
      <w:t>FCCC/SBI/2016/8</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96CCC" w14:textId="4EE6F268" w:rsidR="00952179" w:rsidRPr="008F63F4" w:rsidRDefault="00952179" w:rsidP="008F63F4">
    <w:r>
      <w:rPr>
        <w:noProof/>
        <w:lang w:val="en-US" w:eastAsia="en-US"/>
      </w:rPr>
      <mc:AlternateContent>
        <mc:Choice Requires="wps">
          <w:drawing>
            <wp:anchor distT="0" distB="0" distL="114300" distR="114300" simplePos="0" relativeHeight="251680768" behindDoc="0" locked="0" layoutInCell="1" allowOverlap="1" wp14:anchorId="0CEE5E58" wp14:editId="2E8ACD86">
              <wp:simplePos x="0" y="0"/>
              <wp:positionH relativeFrom="page">
                <wp:posOffset>9791700</wp:posOffset>
              </wp:positionH>
              <wp:positionV relativeFrom="margin">
                <wp:posOffset>0</wp:posOffset>
              </wp:positionV>
              <wp:extent cx="215900" cy="6121400"/>
              <wp:effectExtent l="0" t="0" r="12700" b="127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6121400"/>
                      </a:xfrm>
                      <a:prstGeom prst="rect">
                        <a:avLst/>
                      </a:prstGeom>
                      <a:noFill/>
                      <a:ln w="9525" cap="flat" cmpd="sng" algn="ctr">
                        <a:noFill/>
                        <a:prstDash val="solid"/>
                        <a:round/>
                        <a:headEnd type="none" w="med" len="med"/>
                        <a:tailEnd type="none" w="med" len="med"/>
                      </a:ln>
                      <a:effectLst/>
                      <a:extLst>
                        <a:ext uri="{91240B29-F687-4F45-9708-019B960494DF}">
                          <a14:hiddenLine xmlns:a14="http://schemas.microsoft.com/office/drawing/2010/main" w="9525" cap="flat" cmpd="sng" algn="ctr">
                            <a:solidFill>
                              <a:prstClr val="black"/>
                            </a:solidFill>
                            <a:prstDash val="solid"/>
                            <a:round/>
                            <a:headEnd type="none" w="med" len="med"/>
                            <a:tailEnd type="none" w="med" len="med"/>
                          </a14:hiddenLine>
                        </a:ext>
                      </a:extLst>
                    </wps:spPr>
                    <wps:style>
                      <a:lnRef idx="0">
                        <a:schemeClr val="accent1"/>
                      </a:lnRef>
                      <a:fillRef idx="0">
                        <a:schemeClr val="accent1"/>
                      </a:fillRef>
                      <a:effectRef idx="0">
                        <a:schemeClr val="accent1"/>
                      </a:effectRef>
                      <a:fontRef idx="minor">
                        <a:schemeClr val="dk1"/>
                      </a:fontRef>
                    </wps:style>
                    <wps:txbx>
                      <w:txbxContent>
                        <w:p w14:paraId="11185CD4" w14:textId="72BB58FB" w:rsidR="00952179" w:rsidRDefault="00952179" w:rsidP="008F63F4">
                          <w:pPr>
                            <w:pStyle w:val="Header"/>
                          </w:pPr>
                          <w:r>
                            <w:t>FCCC/SBI/2016/8</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0CEE5E58" id="_x0000_t202" coordsize="21600,21600" o:spt="202" path="m,l,21600r21600,l21600,xe">
              <v:stroke joinstyle="miter"/>
              <v:path gradientshapeok="t" o:connecttype="rect"/>
            </v:shapetype>
            <v:shape id="Text Box 15" o:spid="_x0000_s1030" type="#_x0000_t202" style="position:absolute;margin-left:771pt;margin-top:0;width:17pt;height:482pt;z-index:251680768;visibility:visible;mso-wrap-style:square;mso-wrap-distance-left:9pt;mso-wrap-distance-top:0;mso-wrap-distance-right:9pt;mso-wrap-distance-bottom:0;mso-position-horizontal:absolute;mso-position-horizontal-relative:page;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" filled="f" stroked="f">
              <v:stroke joinstyle="round"/>
              <v:path arrowok="t"/>
              <v:textbox style="layout-flow:vertical" inset="0,0,0,0">
                <w:txbxContent>
                  <w:p w14:paraId="11185CD4" w14:textId="72BB58FB" w:rsidR="00952179" w:rsidRDefault="00952179" w:rsidP="008F63F4">
                    <w:pPr>
                      <w:pStyle w:val="Header"/>
                    </w:pPr>
                    <w:r>
                      <w:t>FCCC/SBI/2016/8</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36B"/>
    <w:multiLevelType w:val="hybridMultilevel"/>
    <w:tmpl w:val="DF1E3956"/>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 w15:restartNumberingAfterBreak="0">
    <w:nsid w:val="181A4D20"/>
    <w:multiLevelType w:val="hybridMultilevel"/>
    <w:tmpl w:val="EA323984"/>
    <w:lvl w:ilvl="0" w:tplc="9AFE8AF8">
      <w:start w:val="1"/>
      <w:numFmt w:val="lowerLetter"/>
      <w:lvlRestart w:val="0"/>
      <w:suff w:val="space"/>
      <w:lvlText w:val="%1  "/>
      <w:lvlJc w:val="left"/>
      <w:pPr>
        <w:ind w:left="0" w:firstLine="170"/>
      </w:pPr>
      <w:rPr>
        <w:i/>
        <w:sz w:val="18"/>
        <w:vertAlign w:val="superscript"/>
      </w:rPr>
    </w:lvl>
    <w:lvl w:ilvl="1" w:tplc="04090019" w:tentative="1">
      <w:start w:val="1"/>
      <w:numFmt w:val="lowerLetter"/>
      <w:lvlText w:val="%2."/>
      <w:lvlJc w:val="left"/>
      <w:pPr>
        <w:ind w:left="306" w:hanging="360"/>
      </w:pPr>
    </w:lvl>
    <w:lvl w:ilvl="2" w:tplc="0409001B" w:tentative="1">
      <w:start w:val="1"/>
      <w:numFmt w:val="lowerRoman"/>
      <w:lvlText w:val="%3."/>
      <w:lvlJc w:val="right"/>
      <w:pPr>
        <w:ind w:left="1026" w:hanging="180"/>
      </w:pPr>
    </w:lvl>
    <w:lvl w:ilvl="3" w:tplc="0409000F" w:tentative="1">
      <w:start w:val="1"/>
      <w:numFmt w:val="decimal"/>
      <w:lvlText w:val="%4."/>
      <w:lvlJc w:val="left"/>
      <w:pPr>
        <w:ind w:left="1746" w:hanging="360"/>
      </w:pPr>
    </w:lvl>
    <w:lvl w:ilvl="4" w:tplc="04090019" w:tentative="1">
      <w:start w:val="1"/>
      <w:numFmt w:val="lowerLetter"/>
      <w:lvlText w:val="%5."/>
      <w:lvlJc w:val="left"/>
      <w:pPr>
        <w:ind w:left="2466" w:hanging="360"/>
      </w:pPr>
    </w:lvl>
    <w:lvl w:ilvl="5" w:tplc="0409001B" w:tentative="1">
      <w:start w:val="1"/>
      <w:numFmt w:val="lowerRoman"/>
      <w:lvlText w:val="%6."/>
      <w:lvlJc w:val="right"/>
      <w:pPr>
        <w:ind w:left="3186" w:hanging="180"/>
      </w:pPr>
    </w:lvl>
    <w:lvl w:ilvl="6" w:tplc="0409000F" w:tentative="1">
      <w:start w:val="1"/>
      <w:numFmt w:val="decimal"/>
      <w:lvlText w:val="%7."/>
      <w:lvlJc w:val="left"/>
      <w:pPr>
        <w:ind w:left="3906" w:hanging="360"/>
      </w:pPr>
    </w:lvl>
    <w:lvl w:ilvl="7" w:tplc="04090019" w:tentative="1">
      <w:start w:val="1"/>
      <w:numFmt w:val="lowerLetter"/>
      <w:lvlText w:val="%8."/>
      <w:lvlJc w:val="left"/>
      <w:pPr>
        <w:ind w:left="4626" w:hanging="360"/>
      </w:pPr>
    </w:lvl>
    <w:lvl w:ilvl="8" w:tplc="0409001B" w:tentative="1">
      <w:start w:val="1"/>
      <w:numFmt w:val="lowerRoman"/>
      <w:lvlText w:val="%9."/>
      <w:lvlJc w:val="right"/>
      <w:pPr>
        <w:ind w:left="5346" w:hanging="180"/>
      </w:pPr>
    </w:lvl>
  </w:abstractNum>
  <w:abstractNum w:abstractNumId="4" w15:restartNumberingAfterBreak="0">
    <w:nsid w:val="184C5D00"/>
    <w:multiLevelType w:val="hybridMultilevel"/>
    <w:tmpl w:val="F036E3C0"/>
    <w:lvl w:ilvl="0" w:tplc="7D62B7D4">
      <w:start w:val="1"/>
      <w:numFmt w:val="lowerLetter"/>
      <w:lvlRestart w:val="0"/>
      <w:suff w:val="space"/>
      <w:lvlText w:val="%1  "/>
      <w:lvlJc w:val="left"/>
      <w:pPr>
        <w:ind w:left="114" w:firstLine="170"/>
      </w:pPr>
      <w:rPr>
        <w:i/>
        <w:sz w:val="18"/>
        <w:vertAlign w:val="superscript"/>
      </w:rPr>
    </w:lvl>
    <w:lvl w:ilvl="1" w:tplc="08090019" w:tentative="1">
      <w:start w:val="1"/>
      <w:numFmt w:val="lowerLetter"/>
      <w:lvlText w:val="%2."/>
      <w:lvlJc w:val="left"/>
      <w:pPr>
        <w:ind w:left="420" w:hanging="360"/>
      </w:pPr>
    </w:lvl>
    <w:lvl w:ilvl="2" w:tplc="0809001B" w:tentative="1">
      <w:start w:val="1"/>
      <w:numFmt w:val="lowerRoman"/>
      <w:lvlText w:val="%3."/>
      <w:lvlJc w:val="right"/>
      <w:pPr>
        <w:ind w:left="1140" w:hanging="180"/>
      </w:pPr>
    </w:lvl>
    <w:lvl w:ilvl="3" w:tplc="0809000F" w:tentative="1">
      <w:start w:val="1"/>
      <w:numFmt w:val="decimal"/>
      <w:lvlText w:val="%4."/>
      <w:lvlJc w:val="left"/>
      <w:pPr>
        <w:ind w:left="1860" w:hanging="360"/>
      </w:pPr>
    </w:lvl>
    <w:lvl w:ilvl="4" w:tplc="08090019" w:tentative="1">
      <w:start w:val="1"/>
      <w:numFmt w:val="lowerLetter"/>
      <w:lvlText w:val="%5."/>
      <w:lvlJc w:val="left"/>
      <w:pPr>
        <w:ind w:left="2580" w:hanging="360"/>
      </w:pPr>
    </w:lvl>
    <w:lvl w:ilvl="5" w:tplc="0809001B" w:tentative="1">
      <w:start w:val="1"/>
      <w:numFmt w:val="lowerRoman"/>
      <w:lvlText w:val="%6."/>
      <w:lvlJc w:val="right"/>
      <w:pPr>
        <w:ind w:left="3300" w:hanging="180"/>
      </w:pPr>
    </w:lvl>
    <w:lvl w:ilvl="6" w:tplc="0809000F" w:tentative="1">
      <w:start w:val="1"/>
      <w:numFmt w:val="decimal"/>
      <w:lvlText w:val="%7."/>
      <w:lvlJc w:val="left"/>
      <w:pPr>
        <w:ind w:left="4020" w:hanging="360"/>
      </w:pPr>
    </w:lvl>
    <w:lvl w:ilvl="7" w:tplc="08090019" w:tentative="1">
      <w:start w:val="1"/>
      <w:numFmt w:val="lowerLetter"/>
      <w:lvlText w:val="%8."/>
      <w:lvlJc w:val="left"/>
      <w:pPr>
        <w:ind w:left="4740" w:hanging="360"/>
      </w:pPr>
    </w:lvl>
    <w:lvl w:ilvl="8" w:tplc="0809001B" w:tentative="1">
      <w:start w:val="1"/>
      <w:numFmt w:val="lowerRoman"/>
      <w:lvlText w:val="%9."/>
      <w:lvlJc w:val="right"/>
      <w:pPr>
        <w:ind w:left="5460" w:hanging="180"/>
      </w:pPr>
    </w:lvl>
  </w:abstractNum>
  <w:abstractNum w:abstractNumId="5"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6"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7" w15:restartNumberingAfterBreak="0">
    <w:nsid w:val="24BF7A39"/>
    <w:multiLevelType w:val="hybridMultilevel"/>
    <w:tmpl w:val="767607AE"/>
    <w:lvl w:ilvl="0" w:tplc="7D62B7D4">
      <w:start w:val="1"/>
      <w:numFmt w:val="lowerLetter"/>
      <w:lvlRestart w:val="0"/>
      <w:suff w:val="space"/>
      <w:lvlText w:val="%1  "/>
      <w:lvlJc w:val="left"/>
      <w:pPr>
        <w:ind w:left="1134" w:firstLine="170"/>
      </w:pPr>
      <w:rPr>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AA338D"/>
    <w:multiLevelType w:val="hybridMultilevel"/>
    <w:tmpl w:val="A9EA0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ED1D60"/>
    <w:multiLevelType w:val="hybridMultilevel"/>
    <w:tmpl w:val="FE4C6140"/>
    <w:lvl w:ilvl="0" w:tplc="A7061250">
      <w:start w:val="1"/>
      <w:numFmt w:val="upperRoman"/>
      <w:lvlText w:val="%1."/>
      <w:lvlJc w:val="left"/>
      <w:pPr>
        <w:ind w:left="1598" w:hanging="720"/>
      </w:pPr>
      <w:rPr>
        <w:rFonts w:hint="default"/>
      </w:rPr>
    </w:lvl>
    <w:lvl w:ilvl="1" w:tplc="08090019">
      <w:start w:val="1"/>
      <w:numFmt w:val="lowerLetter"/>
      <w:lvlText w:val="%2."/>
      <w:lvlJc w:val="left"/>
      <w:pPr>
        <w:ind w:left="1958" w:hanging="360"/>
      </w:pPr>
    </w:lvl>
    <w:lvl w:ilvl="2" w:tplc="0809001B" w:tentative="1">
      <w:start w:val="1"/>
      <w:numFmt w:val="lowerRoman"/>
      <w:lvlText w:val="%3."/>
      <w:lvlJc w:val="right"/>
      <w:pPr>
        <w:ind w:left="2678" w:hanging="180"/>
      </w:pPr>
    </w:lvl>
    <w:lvl w:ilvl="3" w:tplc="0809000F" w:tentative="1">
      <w:start w:val="1"/>
      <w:numFmt w:val="decimal"/>
      <w:lvlText w:val="%4."/>
      <w:lvlJc w:val="left"/>
      <w:pPr>
        <w:ind w:left="3398" w:hanging="360"/>
      </w:pPr>
    </w:lvl>
    <w:lvl w:ilvl="4" w:tplc="08090019" w:tentative="1">
      <w:start w:val="1"/>
      <w:numFmt w:val="lowerLetter"/>
      <w:lvlText w:val="%5."/>
      <w:lvlJc w:val="left"/>
      <w:pPr>
        <w:ind w:left="4118" w:hanging="360"/>
      </w:pPr>
    </w:lvl>
    <w:lvl w:ilvl="5" w:tplc="0809001B" w:tentative="1">
      <w:start w:val="1"/>
      <w:numFmt w:val="lowerRoman"/>
      <w:lvlText w:val="%6."/>
      <w:lvlJc w:val="right"/>
      <w:pPr>
        <w:ind w:left="4838" w:hanging="180"/>
      </w:pPr>
    </w:lvl>
    <w:lvl w:ilvl="6" w:tplc="0809000F" w:tentative="1">
      <w:start w:val="1"/>
      <w:numFmt w:val="decimal"/>
      <w:lvlText w:val="%7."/>
      <w:lvlJc w:val="left"/>
      <w:pPr>
        <w:ind w:left="5558" w:hanging="360"/>
      </w:pPr>
    </w:lvl>
    <w:lvl w:ilvl="7" w:tplc="08090019" w:tentative="1">
      <w:start w:val="1"/>
      <w:numFmt w:val="lowerLetter"/>
      <w:lvlText w:val="%8."/>
      <w:lvlJc w:val="left"/>
      <w:pPr>
        <w:ind w:left="6278" w:hanging="360"/>
      </w:pPr>
    </w:lvl>
    <w:lvl w:ilvl="8" w:tplc="0809001B" w:tentative="1">
      <w:start w:val="1"/>
      <w:numFmt w:val="lowerRoman"/>
      <w:lvlText w:val="%9."/>
      <w:lvlJc w:val="right"/>
      <w:pPr>
        <w:ind w:left="6998" w:hanging="180"/>
      </w:pPr>
    </w:lvl>
  </w:abstractNum>
  <w:abstractNum w:abstractNumId="10" w15:restartNumberingAfterBreak="0">
    <w:nsid w:val="36F50900"/>
    <w:multiLevelType w:val="hybridMultilevel"/>
    <w:tmpl w:val="D8023F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236A06"/>
    <w:multiLevelType w:val="hybridMultilevel"/>
    <w:tmpl w:val="8C7E2262"/>
    <w:lvl w:ilvl="0" w:tplc="04090015">
      <w:start w:val="1"/>
      <w:numFmt w:val="upperLetter"/>
      <w:lvlText w:val="%1."/>
      <w:lvlJc w:val="left"/>
      <w:pPr>
        <w:ind w:left="2398" w:hanging="360"/>
      </w:pPr>
    </w:lvl>
    <w:lvl w:ilvl="1" w:tplc="04090019" w:tentative="1">
      <w:start w:val="1"/>
      <w:numFmt w:val="lowerLetter"/>
      <w:lvlText w:val="%2."/>
      <w:lvlJc w:val="left"/>
      <w:pPr>
        <w:ind w:left="3118" w:hanging="360"/>
      </w:pPr>
    </w:lvl>
    <w:lvl w:ilvl="2" w:tplc="0409001B" w:tentative="1">
      <w:start w:val="1"/>
      <w:numFmt w:val="lowerRoman"/>
      <w:lvlText w:val="%3."/>
      <w:lvlJc w:val="right"/>
      <w:pPr>
        <w:ind w:left="3838" w:hanging="180"/>
      </w:pPr>
    </w:lvl>
    <w:lvl w:ilvl="3" w:tplc="0409000F" w:tentative="1">
      <w:start w:val="1"/>
      <w:numFmt w:val="decimal"/>
      <w:lvlText w:val="%4."/>
      <w:lvlJc w:val="left"/>
      <w:pPr>
        <w:ind w:left="4558" w:hanging="360"/>
      </w:pPr>
    </w:lvl>
    <w:lvl w:ilvl="4" w:tplc="04090019" w:tentative="1">
      <w:start w:val="1"/>
      <w:numFmt w:val="lowerLetter"/>
      <w:lvlText w:val="%5."/>
      <w:lvlJc w:val="left"/>
      <w:pPr>
        <w:ind w:left="5278" w:hanging="360"/>
      </w:pPr>
    </w:lvl>
    <w:lvl w:ilvl="5" w:tplc="0409001B" w:tentative="1">
      <w:start w:val="1"/>
      <w:numFmt w:val="lowerRoman"/>
      <w:lvlText w:val="%6."/>
      <w:lvlJc w:val="right"/>
      <w:pPr>
        <w:ind w:left="5998" w:hanging="180"/>
      </w:pPr>
    </w:lvl>
    <w:lvl w:ilvl="6" w:tplc="0409000F" w:tentative="1">
      <w:start w:val="1"/>
      <w:numFmt w:val="decimal"/>
      <w:lvlText w:val="%7."/>
      <w:lvlJc w:val="left"/>
      <w:pPr>
        <w:ind w:left="6718" w:hanging="360"/>
      </w:pPr>
    </w:lvl>
    <w:lvl w:ilvl="7" w:tplc="04090019" w:tentative="1">
      <w:start w:val="1"/>
      <w:numFmt w:val="lowerLetter"/>
      <w:lvlText w:val="%8."/>
      <w:lvlJc w:val="left"/>
      <w:pPr>
        <w:ind w:left="7438" w:hanging="360"/>
      </w:pPr>
    </w:lvl>
    <w:lvl w:ilvl="8" w:tplc="0409001B" w:tentative="1">
      <w:start w:val="1"/>
      <w:numFmt w:val="lowerRoman"/>
      <w:lvlText w:val="%9."/>
      <w:lvlJc w:val="right"/>
      <w:pPr>
        <w:ind w:left="8158" w:hanging="180"/>
      </w:pPr>
    </w:lvl>
  </w:abstractNum>
  <w:abstractNum w:abstractNumId="12" w15:restartNumberingAfterBreak="0">
    <w:nsid w:val="379C1E77"/>
    <w:multiLevelType w:val="hybridMultilevel"/>
    <w:tmpl w:val="E49E438A"/>
    <w:lvl w:ilvl="0" w:tplc="F70C330A">
      <w:start w:val="1"/>
      <w:numFmt w:val="lowerLetter"/>
      <w:lvlRestart w:val="0"/>
      <w:suff w:val="space"/>
      <w:lvlText w:val="%1  "/>
      <w:lvlJc w:val="left"/>
      <w:pPr>
        <w:ind w:left="1134" w:firstLine="170"/>
      </w:pPr>
      <w:rPr>
        <w:i/>
        <w:sz w:val="18"/>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BA734CD"/>
    <w:multiLevelType w:val="hybridMultilevel"/>
    <w:tmpl w:val="CB4CB076"/>
    <w:lvl w:ilvl="0" w:tplc="F70C330A">
      <w:start w:val="1"/>
      <w:numFmt w:val="lowerLetter"/>
      <w:lvlRestart w:val="0"/>
      <w:suff w:val="space"/>
      <w:lvlText w:val="%1  "/>
      <w:lvlJc w:val="left"/>
      <w:pPr>
        <w:ind w:left="965" w:firstLine="170"/>
      </w:pPr>
      <w:rPr>
        <w:i/>
        <w:sz w:val="18"/>
        <w:vertAlign w:val="superscript"/>
      </w:rPr>
    </w:lvl>
    <w:lvl w:ilvl="1" w:tplc="08090019">
      <w:start w:val="1"/>
      <w:numFmt w:val="lowerLetter"/>
      <w:lvlText w:val="%2."/>
      <w:lvlJc w:val="left"/>
      <w:pPr>
        <w:ind w:left="1271" w:hanging="360"/>
      </w:pPr>
    </w:lvl>
    <w:lvl w:ilvl="2" w:tplc="0809001B" w:tentative="1">
      <w:start w:val="1"/>
      <w:numFmt w:val="lowerRoman"/>
      <w:lvlText w:val="%3."/>
      <w:lvlJc w:val="right"/>
      <w:pPr>
        <w:ind w:left="1991" w:hanging="180"/>
      </w:pPr>
    </w:lvl>
    <w:lvl w:ilvl="3" w:tplc="0809000F" w:tentative="1">
      <w:start w:val="1"/>
      <w:numFmt w:val="decimal"/>
      <w:lvlText w:val="%4."/>
      <w:lvlJc w:val="left"/>
      <w:pPr>
        <w:ind w:left="2711" w:hanging="360"/>
      </w:pPr>
    </w:lvl>
    <w:lvl w:ilvl="4" w:tplc="08090019" w:tentative="1">
      <w:start w:val="1"/>
      <w:numFmt w:val="lowerLetter"/>
      <w:lvlText w:val="%5."/>
      <w:lvlJc w:val="left"/>
      <w:pPr>
        <w:ind w:left="3431" w:hanging="360"/>
      </w:pPr>
    </w:lvl>
    <w:lvl w:ilvl="5" w:tplc="0809001B" w:tentative="1">
      <w:start w:val="1"/>
      <w:numFmt w:val="lowerRoman"/>
      <w:lvlText w:val="%6."/>
      <w:lvlJc w:val="right"/>
      <w:pPr>
        <w:ind w:left="4151" w:hanging="180"/>
      </w:pPr>
    </w:lvl>
    <w:lvl w:ilvl="6" w:tplc="0809000F" w:tentative="1">
      <w:start w:val="1"/>
      <w:numFmt w:val="decimal"/>
      <w:lvlText w:val="%7."/>
      <w:lvlJc w:val="left"/>
      <w:pPr>
        <w:ind w:left="4871" w:hanging="360"/>
      </w:pPr>
    </w:lvl>
    <w:lvl w:ilvl="7" w:tplc="08090019" w:tentative="1">
      <w:start w:val="1"/>
      <w:numFmt w:val="lowerLetter"/>
      <w:lvlText w:val="%8."/>
      <w:lvlJc w:val="left"/>
      <w:pPr>
        <w:ind w:left="5591" w:hanging="360"/>
      </w:pPr>
    </w:lvl>
    <w:lvl w:ilvl="8" w:tplc="0809001B" w:tentative="1">
      <w:start w:val="1"/>
      <w:numFmt w:val="lowerRoman"/>
      <w:lvlText w:val="%9."/>
      <w:lvlJc w:val="right"/>
      <w:pPr>
        <w:ind w:left="6311" w:hanging="180"/>
      </w:pPr>
    </w:lvl>
  </w:abstractNum>
  <w:abstractNum w:abstractNumId="14" w15:restartNumberingAfterBreak="0">
    <w:nsid w:val="3C1E7BFC"/>
    <w:multiLevelType w:val="hybridMultilevel"/>
    <w:tmpl w:val="8D627184"/>
    <w:lvl w:ilvl="0" w:tplc="9AFE8AF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70655"/>
    <w:multiLevelType w:val="hybridMultilevel"/>
    <w:tmpl w:val="2C10CB7C"/>
    <w:lvl w:ilvl="0" w:tplc="9AFE8AF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9F4254"/>
    <w:multiLevelType w:val="hybridMultilevel"/>
    <w:tmpl w:val="C09A4F46"/>
    <w:lvl w:ilvl="0" w:tplc="7D62B7D4">
      <w:start w:val="1"/>
      <w:numFmt w:val="lowerLetter"/>
      <w:lvlRestart w:val="0"/>
      <w:suff w:val="space"/>
      <w:lvlText w:val="%1  "/>
      <w:lvlJc w:val="left"/>
      <w:pPr>
        <w:ind w:left="1134" w:firstLine="170"/>
      </w:pPr>
      <w:rPr>
        <w:i/>
        <w:sz w:val="18"/>
        <w:vertAlign w:val="superscrip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173654"/>
    <w:multiLevelType w:val="hybridMultilevel"/>
    <w:tmpl w:val="45903224"/>
    <w:lvl w:ilvl="0" w:tplc="DAC8DD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862366"/>
    <w:multiLevelType w:val="hybridMultilevel"/>
    <w:tmpl w:val="26D29120"/>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B33504"/>
    <w:multiLevelType w:val="hybridMultilevel"/>
    <w:tmpl w:val="71DA4740"/>
    <w:lvl w:ilvl="0" w:tplc="0D50F6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3D57BD7"/>
    <w:multiLevelType w:val="hybridMultilevel"/>
    <w:tmpl w:val="AE00A550"/>
    <w:lvl w:ilvl="0" w:tplc="77743EAE">
      <w:start w:val="1"/>
      <w:numFmt w:val="lowerLetter"/>
      <w:lvlRestart w:val="0"/>
      <w:suff w:val="space"/>
      <w:lvlText w:val="%1  "/>
      <w:lvlJc w:val="left"/>
      <w:pPr>
        <w:ind w:left="114" w:firstLine="170"/>
      </w:pPr>
      <w:rPr>
        <w:b w:val="0"/>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5E525BB"/>
    <w:multiLevelType w:val="hybridMultilevel"/>
    <w:tmpl w:val="A4861280"/>
    <w:lvl w:ilvl="0" w:tplc="21CE54D4">
      <w:start w:val="1"/>
      <w:numFmt w:val="lowerLetter"/>
      <w:lvlRestart w:val="0"/>
      <w:suff w:val="space"/>
      <w:lvlText w:val="%1  "/>
      <w:lvlJc w:val="left"/>
      <w:pPr>
        <w:ind w:left="1134" w:firstLine="170"/>
      </w:pPr>
      <w:rPr>
        <w:b w:val="0"/>
        <w:i/>
        <w:sz w:val="18"/>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73336EE"/>
    <w:multiLevelType w:val="hybridMultilevel"/>
    <w:tmpl w:val="8F7C0758"/>
    <w:lvl w:ilvl="0" w:tplc="942E179E">
      <w:start w:val="1"/>
      <w:numFmt w:val="upperLetter"/>
      <w:lvlText w:val="%1."/>
      <w:lvlJc w:val="left"/>
      <w:pPr>
        <w:ind w:left="2038" w:hanging="360"/>
      </w:pPr>
      <w:rPr>
        <w:rFonts w:hint="default"/>
      </w:rPr>
    </w:lvl>
    <w:lvl w:ilvl="1" w:tplc="04090019" w:tentative="1">
      <w:start w:val="1"/>
      <w:numFmt w:val="lowerLetter"/>
      <w:lvlText w:val="%2."/>
      <w:lvlJc w:val="left"/>
      <w:pPr>
        <w:ind w:left="2758" w:hanging="360"/>
      </w:pPr>
    </w:lvl>
    <w:lvl w:ilvl="2" w:tplc="0409001B" w:tentative="1">
      <w:start w:val="1"/>
      <w:numFmt w:val="lowerRoman"/>
      <w:lvlText w:val="%3."/>
      <w:lvlJc w:val="right"/>
      <w:pPr>
        <w:ind w:left="3478" w:hanging="180"/>
      </w:pPr>
    </w:lvl>
    <w:lvl w:ilvl="3" w:tplc="0409000F" w:tentative="1">
      <w:start w:val="1"/>
      <w:numFmt w:val="decimal"/>
      <w:lvlText w:val="%4."/>
      <w:lvlJc w:val="left"/>
      <w:pPr>
        <w:ind w:left="4198" w:hanging="360"/>
      </w:pPr>
    </w:lvl>
    <w:lvl w:ilvl="4" w:tplc="04090019" w:tentative="1">
      <w:start w:val="1"/>
      <w:numFmt w:val="lowerLetter"/>
      <w:lvlText w:val="%5."/>
      <w:lvlJc w:val="left"/>
      <w:pPr>
        <w:ind w:left="4918" w:hanging="360"/>
      </w:pPr>
    </w:lvl>
    <w:lvl w:ilvl="5" w:tplc="0409001B" w:tentative="1">
      <w:start w:val="1"/>
      <w:numFmt w:val="lowerRoman"/>
      <w:lvlText w:val="%6."/>
      <w:lvlJc w:val="right"/>
      <w:pPr>
        <w:ind w:left="5638" w:hanging="180"/>
      </w:pPr>
    </w:lvl>
    <w:lvl w:ilvl="6" w:tplc="0409000F" w:tentative="1">
      <w:start w:val="1"/>
      <w:numFmt w:val="decimal"/>
      <w:lvlText w:val="%7."/>
      <w:lvlJc w:val="left"/>
      <w:pPr>
        <w:ind w:left="6358" w:hanging="360"/>
      </w:pPr>
    </w:lvl>
    <w:lvl w:ilvl="7" w:tplc="04090019" w:tentative="1">
      <w:start w:val="1"/>
      <w:numFmt w:val="lowerLetter"/>
      <w:lvlText w:val="%8."/>
      <w:lvlJc w:val="left"/>
      <w:pPr>
        <w:ind w:left="7078" w:hanging="360"/>
      </w:pPr>
    </w:lvl>
    <w:lvl w:ilvl="8" w:tplc="0409001B" w:tentative="1">
      <w:start w:val="1"/>
      <w:numFmt w:val="lowerRoman"/>
      <w:lvlText w:val="%9."/>
      <w:lvlJc w:val="right"/>
      <w:pPr>
        <w:ind w:left="7798" w:hanging="180"/>
      </w:pPr>
    </w:lvl>
  </w:abstractNum>
  <w:num w:numId="1" w16cid:durableId="745148829">
    <w:abstractNumId w:val="1"/>
  </w:num>
  <w:num w:numId="2" w16cid:durableId="21134288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22494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4" w16cid:durableId="1835955927">
    <w:abstractNumId w:val="2"/>
    <w:lvlOverride w:ilvl="0">
      <w:startOverride w:val="2"/>
    </w:lvlOverride>
    <w:lvlOverride w:ilvl="1">
      <w:startOverride w:val="2"/>
    </w:lvlOverride>
    <w:lvlOverride w:ilvl="2">
      <w:startOverride w:val="1"/>
    </w:lvlOverride>
    <w:lvlOverride w:ilvl="3">
      <w:startOverride w:val="8"/>
    </w:lvlOverride>
    <w:lvlOverride w:ilvl="4">
      <w:startOverride w:val="1"/>
    </w:lvlOverride>
    <w:lvlOverride w:ilvl="5">
      <w:startOverride w:val="1"/>
    </w:lvlOverride>
    <w:lvlOverride w:ilvl="6"/>
    <w:lvlOverride w:ilvl="7">
      <w:startOverride w:val="1"/>
    </w:lvlOverride>
    <w:lvlOverride w:ilvl="8">
      <w:startOverride w:val="1"/>
    </w:lvlOverride>
  </w:num>
  <w:num w:numId="5" w16cid:durableId="10489132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6" w16cid:durableId="7588684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6950010">
    <w:abstractNumId w:val="17"/>
  </w:num>
  <w:num w:numId="8" w16cid:durableId="1126774180">
    <w:abstractNumId w:val="21"/>
  </w:num>
  <w:num w:numId="9" w16cid:durableId="1551309592">
    <w:abstractNumId w:val="4"/>
  </w:num>
  <w:num w:numId="10" w16cid:durableId="1967394327">
    <w:abstractNumId w:val="20"/>
  </w:num>
  <w:num w:numId="11" w16cid:durableId="603196655">
    <w:abstractNumId w:val="7"/>
  </w:num>
  <w:num w:numId="12" w16cid:durableId="1784419598">
    <w:abstractNumId w:val="19"/>
  </w:num>
  <w:num w:numId="13" w16cid:durableId="439104337">
    <w:abstractNumId w:val="16"/>
  </w:num>
  <w:num w:numId="14" w16cid:durableId="1737630340">
    <w:abstractNumId w:val="13"/>
  </w:num>
  <w:num w:numId="15" w16cid:durableId="1551575921">
    <w:abstractNumId w:val="12"/>
  </w:num>
  <w:num w:numId="16" w16cid:durableId="1370378333">
    <w:abstractNumId w:val="8"/>
  </w:num>
  <w:num w:numId="17" w16cid:durableId="464854581">
    <w:abstractNumId w:val="10"/>
  </w:num>
  <w:num w:numId="18" w16cid:durableId="617182190">
    <w:abstractNumId w:val="9"/>
  </w:num>
  <w:num w:numId="19" w16cid:durableId="1800105419">
    <w:abstractNumId w:val="15"/>
  </w:num>
  <w:num w:numId="20" w16cid:durableId="301428033">
    <w:abstractNumId w:val="14"/>
  </w:num>
  <w:num w:numId="21" w16cid:durableId="1350792892">
    <w:abstractNumId w:val="3"/>
  </w:num>
  <w:num w:numId="22" w16cid:durableId="636763106">
    <w:abstractNumId w:val="0"/>
  </w:num>
  <w:num w:numId="23" w16cid:durableId="1363939902">
    <w:abstractNumId w:val="18"/>
  </w:num>
  <w:num w:numId="24" w16cid:durableId="375206749">
    <w:abstractNumId w:val="6"/>
  </w:num>
  <w:num w:numId="25" w16cid:durableId="671951623">
    <w:abstractNumId w:val="2"/>
  </w:num>
  <w:num w:numId="26" w16cid:durableId="946694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369362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83000870">
    <w:abstractNumId w:val="2"/>
  </w:num>
  <w:num w:numId="29" w16cid:durableId="1888951435">
    <w:abstractNumId w:val="2"/>
  </w:num>
  <w:num w:numId="30" w16cid:durableId="185759187">
    <w:abstractNumId w:val="2"/>
  </w:num>
  <w:num w:numId="31" w16cid:durableId="1467434129">
    <w:abstractNumId w:val="2"/>
  </w:num>
  <w:num w:numId="32" w16cid:durableId="842430214">
    <w:abstractNumId w:val="2"/>
  </w:num>
  <w:num w:numId="33" w16cid:durableId="1582060000">
    <w:abstractNumId w:val="2"/>
  </w:num>
  <w:num w:numId="34" w16cid:durableId="1484080673">
    <w:abstractNumId w:val="2"/>
  </w:num>
  <w:num w:numId="35" w16cid:durableId="479082778">
    <w:abstractNumId w:val="2"/>
  </w:num>
  <w:num w:numId="36" w16cid:durableId="1772234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2321113">
    <w:abstractNumId w:val="2"/>
  </w:num>
  <w:num w:numId="38" w16cid:durableId="1494569157">
    <w:abstractNumId w:val="2"/>
  </w:num>
  <w:num w:numId="39" w16cid:durableId="628707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443232293">
    <w:abstractNumId w:val="2"/>
  </w:num>
  <w:num w:numId="41" w16cid:durableId="13116738">
    <w:abstractNumId w:val="2"/>
  </w:num>
  <w:num w:numId="42" w16cid:durableId="542638555">
    <w:abstractNumId w:val="2"/>
  </w:num>
  <w:num w:numId="43" w16cid:durableId="1999798023">
    <w:abstractNumId w:val="22"/>
  </w:num>
  <w:num w:numId="44" w16cid:durableId="851992402">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1BEC"/>
    <w:rsid w:val="00002A97"/>
    <w:rsid w:val="00002AD0"/>
    <w:rsid w:val="00003137"/>
    <w:rsid w:val="00003414"/>
    <w:rsid w:val="00004A30"/>
    <w:rsid w:val="000064B8"/>
    <w:rsid w:val="0001393B"/>
    <w:rsid w:val="00021BB6"/>
    <w:rsid w:val="00022317"/>
    <w:rsid w:val="0002375D"/>
    <w:rsid w:val="00027898"/>
    <w:rsid w:val="00027A6C"/>
    <w:rsid w:val="00030CBD"/>
    <w:rsid w:val="00030F20"/>
    <w:rsid w:val="00031112"/>
    <w:rsid w:val="00031C05"/>
    <w:rsid w:val="00036531"/>
    <w:rsid w:val="00037BD3"/>
    <w:rsid w:val="00041EB4"/>
    <w:rsid w:val="000423A6"/>
    <w:rsid w:val="000438F8"/>
    <w:rsid w:val="0004555B"/>
    <w:rsid w:val="00045FBD"/>
    <w:rsid w:val="00046B1B"/>
    <w:rsid w:val="00050C69"/>
    <w:rsid w:val="0005310F"/>
    <w:rsid w:val="00053188"/>
    <w:rsid w:val="000555B3"/>
    <w:rsid w:val="00056138"/>
    <w:rsid w:val="000561BD"/>
    <w:rsid w:val="00056D4A"/>
    <w:rsid w:val="000605DC"/>
    <w:rsid w:val="0006245C"/>
    <w:rsid w:val="00066E08"/>
    <w:rsid w:val="00071534"/>
    <w:rsid w:val="00072A86"/>
    <w:rsid w:val="000730AF"/>
    <w:rsid w:val="00073295"/>
    <w:rsid w:val="00074855"/>
    <w:rsid w:val="00076113"/>
    <w:rsid w:val="00076559"/>
    <w:rsid w:val="00080473"/>
    <w:rsid w:val="00085D6E"/>
    <w:rsid w:val="00087AF8"/>
    <w:rsid w:val="000906DD"/>
    <w:rsid w:val="000913E6"/>
    <w:rsid w:val="00091622"/>
    <w:rsid w:val="000926C4"/>
    <w:rsid w:val="00093044"/>
    <w:rsid w:val="00094492"/>
    <w:rsid w:val="00094EFB"/>
    <w:rsid w:val="00097BA1"/>
    <w:rsid w:val="00097CB6"/>
    <w:rsid w:val="000A0035"/>
    <w:rsid w:val="000A325A"/>
    <w:rsid w:val="000A357C"/>
    <w:rsid w:val="000A399F"/>
    <w:rsid w:val="000A3FEC"/>
    <w:rsid w:val="000A566F"/>
    <w:rsid w:val="000B1FD0"/>
    <w:rsid w:val="000B49F2"/>
    <w:rsid w:val="000B5BD3"/>
    <w:rsid w:val="000B693E"/>
    <w:rsid w:val="000C0400"/>
    <w:rsid w:val="000C24E3"/>
    <w:rsid w:val="000C5173"/>
    <w:rsid w:val="000C55F6"/>
    <w:rsid w:val="000C6D07"/>
    <w:rsid w:val="000D2B33"/>
    <w:rsid w:val="000D57B6"/>
    <w:rsid w:val="000D5DED"/>
    <w:rsid w:val="000D6D4A"/>
    <w:rsid w:val="000E0429"/>
    <w:rsid w:val="000E493A"/>
    <w:rsid w:val="000E55C5"/>
    <w:rsid w:val="000E5A58"/>
    <w:rsid w:val="000E7B60"/>
    <w:rsid w:val="000F177D"/>
    <w:rsid w:val="000F2134"/>
    <w:rsid w:val="000F606D"/>
    <w:rsid w:val="000F720C"/>
    <w:rsid w:val="001007C9"/>
    <w:rsid w:val="0010399D"/>
    <w:rsid w:val="00106384"/>
    <w:rsid w:val="00107D81"/>
    <w:rsid w:val="00112ED6"/>
    <w:rsid w:val="00114A29"/>
    <w:rsid w:val="0011781E"/>
    <w:rsid w:val="00120E84"/>
    <w:rsid w:val="001221FE"/>
    <w:rsid w:val="00123C52"/>
    <w:rsid w:val="00123F7E"/>
    <w:rsid w:val="001271A6"/>
    <w:rsid w:val="00127311"/>
    <w:rsid w:val="001313C5"/>
    <w:rsid w:val="001328F9"/>
    <w:rsid w:val="00133A2B"/>
    <w:rsid w:val="00133F44"/>
    <w:rsid w:val="00134066"/>
    <w:rsid w:val="00134F24"/>
    <w:rsid w:val="0013712F"/>
    <w:rsid w:val="001452ED"/>
    <w:rsid w:val="001469CD"/>
    <w:rsid w:val="001471FC"/>
    <w:rsid w:val="001526ED"/>
    <w:rsid w:val="00152A6E"/>
    <w:rsid w:val="00154002"/>
    <w:rsid w:val="00156FDF"/>
    <w:rsid w:val="001600D9"/>
    <w:rsid w:val="00163403"/>
    <w:rsid w:val="00163BEB"/>
    <w:rsid w:val="00163C47"/>
    <w:rsid w:val="00164D1A"/>
    <w:rsid w:val="001707CB"/>
    <w:rsid w:val="00170C38"/>
    <w:rsid w:val="00170D6C"/>
    <w:rsid w:val="00172A69"/>
    <w:rsid w:val="00172CF0"/>
    <w:rsid w:val="0017336F"/>
    <w:rsid w:val="001738F1"/>
    <w:rsid w:val="00174A05"/>
    <w:rsid w:val="00177074"/>
    <w:rsid w:val="00180C30"/>
    <w:rsid w:val="001835B2"/>
    <w:rsid w:val="00184C03"/>
    <w:rsid w:val="00185627"/>
    <w:rsid w:val="00186A4F"/>
    <w:rsid w:val="001906D0"/>
    <w:rsid w:val="001912AA"/>
    <w:rsid w:val="001918D2"/>
    <w:rsid w:val="0019317D"/>
    <w:rsid w:val="0019430F"/>
    <w:rsid w:val="001944F0"/>
    <w:rsid w:val="001945C7"/>
    <w:rsid w:val="00195F62"/>
    <w:rsid w:val="00197509"/>
    <w:rsid w:val="001A1FED"/>
    <w:rsid w:val="001A2A07"/>
    <w:rsid w:val="001A65F8"/>
    <w:rsid w:val="001A7280"/>
    <w:rsid w:val="001B085A"/>
    <w:rsid w:val="001B0C1A"/>
    <w:rsid w:val="001B1483"/>
    <w:rsid w:val="001B1DD9"/>
    <w:rsid w:val="001B289E"/>
    <w:rsid w:val="001B2B4C"/>
    <w:rsid w:val="001B479D"/>
    <w:rsid w:val="001B527C"/>
    <w:rsid w:val="001B7448"/>
    <w:rsid w:val="001C30ED"/>
    <w:rsid w:val="001C39C6"/>
    <w:rsid w:val="001C4823"/>
    <w:rsid w:val="001D2128"/>
    <w:rsid w:val="001D3C12"/>
    <w:rsid w:val="001E01B8"/>
    <w:rsid w:val="001E3130"/>
    <w:rsid w:val="001E4869"/>
    <w:rsid w:val="001E74A6"/>
    <w:rsid w:val="001F1F6E"/>
    <w:rsid w:val="001F4167"/>
    <w:rsid w:val="001F5B9D"/>
    <w:rsid w:val="00200363"/>
    <w:rsid w:val="002005DB"/>
    <w:rsid w:val="00200ABB"/>
    <w:rsid w:val="00201882"/>
    <w:rsid w:val="0020245D"/>
    <w:rsid w:val="002025E1"/>
    <w:rsid w:val="00207728"/>
    <w:rsid w:val="00213B77"/>
    <w:rsid w:val="002219DE"/>
    <w:rsid w:val="00221ABE"/>
    <w:rsid w:val="00223453"/>
    <w:rsid w:val="00223F3E"/>
    <w:rsid w:val="002251C6"/>
    <w:rsid w:val="00230D0F"/>
    <w:rsid w:val="00231FB5"/>
    <w:rsid w:val="00232479"/>
    <w:rsid w:val="0023350E"/>
    <w:rsid w:val="00235F3A"/>
    <w:rsid w:val="002400D0"/>
    <w:rsid w:val="00240CED"/>
    <w:rsid w:val="0024197F"/>
    <w:rsid w:val="0024447B"/>
    <w:rsid w:val="00246888"/>
    <w:rsid w:val="00246DDD"/>
    <w:rsid w:val="00247BE4"/>
    <w:rsid w:val="00250037"/>
    <w:rsid w:val="00251FF9"/>
    <w:rsid w:val="00253398"/>
    <w:rsid w:val="0025550D"/>
    <w:rsid w:val="0025573A"/>
    <w:rsid w:val="0025587A"/>
    <w:rsid w:val="00256B23"/>
    <w:rsid w:val="00256CFB"/>
    <w:rsid w:val="00257315"/>
    <w:rsid w:val="00257AA3"/>
    <w:rsid w:val="00257CC2"/>
    <w:rsid w:val="002609D4"/>
    <w:rsid w:val="002619D0"/>
    <w:rsid w:val="00264F17"/>
    <w:rsid w:val="00270693"/>
    <w:rsid w:val="002717DC"/>
    <w:rsid w:val="0027296A"/>
    <w:rsid w:val="00272C73"/>
    <w:rsid w:val="00273E8E"/>
    <w:rsid w:val="00274221"/>
    <w:rsid w:val="00275220"/>
    <w:rsid w:val="002756DD"/>
    <w:rsid w:val="00276A17"/>
    <w:rsid w:val="002779EB"/>
    <w:rsid w:val="00280D8F"/>
    <w:rsid w:val="00281B60"/>
    <w:rsid w:val="002859C9"/>
    <w:rsid w:val="0029007C"/>
    <w:rsid w:val="00290E5D"/>
    <w:rsid w:val="0029207C"/>
    <w:rsid w:val="00292289"/>
    <w:rsid w:val="00292DC3"/>
    <w:rsid w:val="00295866"/>
    <w:rsid w:val="0029733B"/>
    <w:rsid w:val="00297C1E"/>
    <w:rsid w:val="002A7448"/>
    <w:rsid w:val="002B0283"/>
    <w:rsid w:val="002B296C"/>
    <w:rsid w:val="002B446B"/>
    <w:rsid w:val="002B72CE"/>
    <w:rsid w:val="002B7532"/>
    <w:rsid w:val="002C051E"/>
    <w:rsid w:val="002C11F7"/>
    <w:rsid w:val="002C37A1"/>
    <w:rsid w:val="002C52A6"/>
    <w:rsid w:val="002C598C"/>
    <w:rsid w:val="002D0694"/>
    <w:rsid w:val="002D0A31"/>
    <w:rsid w:val="002D1B23"/>
    <w:rsid w:val="002D3522"/>
    <w:rsid w:val="002D4829"/>
    <w:rsid w:val="002D5B4F"/>
    <w:rsid w:val="002D62B9"/>
    <w:rsid w:val="002E2AEF"/>
    <w:rsid w:val="002E3231"/>
    <w:rsid w:val="002E36DA"/>
    <w:rsid w:val="002E7655"/>
    <w:rsid w:val="002F07E8"/>
    <w:rsid w:val="002F125B"/>
    <w:rsid w:val="002F304A"/>
    <w:rsid w:val="002F60E8"/>
    <w:rsid w:val="002F646E"/>
    <w:rsid w:val="003012AF"/>
    <w:rsid w:val="0030277E"/>
    <w:rsid w:val="00303113"/>
    <w:rsid w:val="00304424"/>
    <w:rsid w:val="00306423"/>
    <w:rsid w:val="0031086D"/>
    <w:rsid w:val="0031180E"/>
    <w:rsid w:val="003147E4"/>
    <w:rsid w:val="00322D83"/>
    <w:rsid w:val="0032665F"/>
    <w:rsid w:val="00327575"/>
    <w:rsid w:val="0032799B"/>
    <w:rsid w:val="00327B89"/>
    <w:rsid w:val="00330339"/>
    <w:rsid w:val="00332ACC"/>
    <w:rsid w:val="00336DC3"/>
    <w:rsid w:val="003410A2"/>
    <w:rsid w:val="003415A1"/>
    <w:rsid w:val="003415A2"/>
    <w:rsid w:val="00344AD3"/>
    <w:rsid w:val="003469E6"/>
    <w:rsid w:val="003531C3"/>
    <w:rsid w:val="00357EEE"/>
    <w:rsid w:val="003601FF"/>
    <w:rsid w:val="00360D1E"/>
    <w:rsid w:val="00361821"/>
    <w:rsid w:val="00363C5C"/>
    <w:rsid w:val="00364B85"/>
    <w:rsid w:val="00370338"/>
    <w:rsid w:val="00372ED5"/>
    <w:rsid w:val="00373DD4"/>
    <w:rsid w:val="00373EC6"/>
    <w:rsid w:val="00373F85"/>
    <w:rsid w:val="00375F53"/>
    <w:rsid w:val="003802EF"/>
    <w:rsid w:val="0038087F"/>
    <w:rsid w:val="00381632"/>
    <w:rsid w:val="00383494"/>
    <w:rsid w:val="0038680F"/>
    <w:rsid w:val="003928D1"/>
    <w:rsid w:val="00394714"/>
    <w:rsid w:val="003947BA"/>
    <w:rsid w:val="00395A33"/>
    <w:rsid w:val="00395F0C"/>
    <w:rsid w:val="00396C19"/>
    <w:rsid w:val="003A2F9C"/>
    <w:rsid w:val="003A3841"/>
    <w:rsid w:val="003A4936"/>
    <w:rsid w:val="003A5F32"/>
    <w:rsid w:val="003A7064"/>
    <w:rsid w:val="003B2A23"/>
    <w:rsid w:val="003B2C11"/>
    <w:rsid w:val="003B374D"/>
    <w:rsid w:val="003B4E8A"/>
    <w:rsid w:val="003B61AF"/>
    <w:rsid w:val="003B62E0"/>
    <w:rsid w:val="003B7F0B"/>
    <w:rsid w:val="003C2091"/>
    <w:rsid w:val="003C3854"/>
    <w:rsid w:val="003C45A7"/>
    <w:rsid w:val="003C5590"/>
    <w:rsid w:val="003C75B9"/>
    <w:rsid w:val="003D17CB"/>
    <w:rsid w:val="003D1A53"/>
    <w:rsid w:val="003D3D50"/>
    <w:rsid w:val="003D4762"/>
    <w:rsid w:val="003D6A59"/>
    <w:rsid w:val="003D6B47"/>
    <w:rsid w:val="003D70AB"/>
    <w:rsid w:val="003E7E20"/>
    <w:rsid w:val="003F03BB"/>
    <w:rsid w:val="003F0AB4"/>
    <w:rsid w:val="003F0D41"/>
    <w:rsid w:val="003F1FD5"/>
    <w:rsid w:val="003F5946"/>
    <w:rsid w:val="003F5B8D"/>
    <w:rsid w:val="003F7301"/>
    <w:rsid w:val="003F74C3"/>
    <w:rsid w:val="003F7CCB"/>
    <w:rsid w:val="004018CE"/>
    <w:rsid w:val="00403453"/>
    <w:rsid w:val="00405ED5"/>
    <w:rsid w:val="004061BF"/>
    <w:rsid w:val="00406267"/>
    <w:rsid w:val="00407AAF"/>
    <w:rsid w:val="004103A9"/>
    <w:rsid w:val="00410508"/>
    <w:rsid w:val="00410588"/>
    <w:rsid w:val="00410FBB"/>
    <w:rsid w:val="00411213"/>
    <w:rsid w:val="00411A48"/>
    <w:rsid w:val="0041252D"/>
    <w:rsid w:val="00412E4E"/>
    <w:rsid w:val="0041420C"/>
    <w:rsid w:val="00414DAA"/>
    <w:rsid w:val="00417292"/>
    <w:rsid w:val="004174A1"/>
    <w:rsid w:val="00422A55"/>
    <w:rsid w:val="00423449"/>
    <w:rsid w:val="00425608"/>
    <w:rsid w:val="00427412"/>
    <w:rsid w:val="00427703"/>
    <w:rsid w:val="00427DA2"/>
    <w:rsid w:val="00430642"/>
    <w:rsid w:val="00432B79"/>
    <w:rsid w:val="004363CC"/>
    <w:rsid w:val="0043729E"/>
    <w:rsid w:val="0043744E"/>
    <w:rsid w:val="00437CE7"/>
    <w:rsid w:val="00437DC5"/>
    <w:rsid w:val="00444872"/>
    <w:rsid w:val="00446FA4"/>
    <w:rsid w:val="004505D0"/>
    <w:rsid w:val="00454F4E"/>
    <w:rsid w:val="004578AD"/>
    <w:rsid w:val="0046064F"/>
    <w:rsid w:val="00460CF9"/>
    <w:rsid w:val="0046109F"/>
    <w:rsid w:val="004623AA"/>
    <w:rsid w:val="004636C9"/>
    <w:rsid w:val="00466871"/>
    <w:rsid w:val="0046705A"/>
    <w:rsid w:val="00467FFD"/>
    <w:rsid w:val="0047548D"/>
    <w:rsid w:val="00480524"/>
    <w:rsid w:val="004812E6"/>
    <w:rsid w:val="004813F6"/>
    <w:rsid w:val="00484F94"/>
    <w:rsid w:val="0048523B"/>
    <w:rsid w:val="00485449"/>
    <w:rsid w:val="00485971"/>
    <w:rsid w:val="00485CC6"/>
    <w:rsid w:val="00486ABD"/>
    <w:rsid w:val="00487244"/>
    <w:rsid w:val="00487658"/>
    <w:rsid w:val="00487D2B"/>
    <w:rsid w:val="00487DED"/>
    <w:rsid w:val="00491A58"/>
    <w:rsid w:val="004971A8"/>
    <w:rsid w:val="004977C3"/>
    <w:rsid w:val="004A03AA"/>
    <w:rsid w:val="004A0C2C"/>
    <w:rsid w:val="004A22F9"/>
    <w:rsid w:val="004A4C39"/>
    <w:rsid w:val="004A6056"/>
    <w:rsid w:val="004A67DD"/>
    <w:rsid w:val="004B2869"/>
    <w:rsid w:val="004B2EC5"/>
    <w:rsid w:val="004B3E8A"/>
    <w:rsid w:val="004B501A"/>
    <w:rsid w:val="004B6A24"/>
    <w:rsid w:val="004B6C33"/>
    <w:rsid w:val="004C4DF3"/>
    <w:rsid w:val="004D21F0"/>
    <w:rsid w:val="004D40D2"/>
    <w:rsid w:val="004D72AF"/>
    <w:rsid w:val="004E1C5B"/>
    <w:rsid w:val="004E1E83"/>
    <w:rsid w:val="004E2287"/>
    <w:rsid w:val="004E349E"/>
    <w:rsid w:val="004E378E"/>
    <w:rsid w:val="004E6C96"/>
    <w:rsid w:val="004F0D45"/>
    <w:rsid w:val="004F615A"/>
    <w:rsid w:val="004F6AE0"/>
    <w:rsid w:val="004F7F59"/>
    <w:rsid w:val="00502776"/>
    <w:rsid w:val="005030B1"/>
    <w:rsid w:val="00503373"/>
    <w:rsid w:val="0051158B"/>
    <w:rsid w:val="00514A8A"/>
    <w:rsid w:val="00520E6A"/>
    <w:rsid w:val="0052483F"/>
    <w:rsid w:val="005255F0"/>
    <w:rsid w:val="00530A55"/>
    <w:rsid w:val="00534475"/>
    <w:rsid w:val="00534543"/>
    <w:rsid w:val="0053756B"/>
    <w:rsid w:val="0054010D"/>
    <w:rsid w:val="005416D2"/>
    <w:rsid w:val="005464AA"/>
    <w:rsid w:val="0054651F"/>
    <w:rsid w:val="00546735"/>
    <w:rsid w:val="005474C8"/>
    <w:rsid w:val="0054761D"/>
    <w:rsid w:val="005502DC"/>
    <w:rsid w:val="005514EA"/>
    <w:rsid w:val="0055299F"/>
    <w:rsid w:val="005549B8"/>
    <w:rsid w:val="00554C13"/>
    <w:rsid w:val="0055590A"/>
    <w:rsid w:val="005565A1"/>
    <w:rsid w:val="005627AB"/>
    <w:rsid w:val="00565AF2"/>
    <w:rsid w:val="00565F31"/>
    <w:rsid w:val="00565F7C"/>
    <w:rsid w:val="00567ACA"/>
    <w:rsid w:val="0057309C"/>
    <w:rsid w:val="00573130"/>
    <w:rsid w:val="00573988"/>
    <w:rsid w:val="00573AA8"/>
    <w:rsid w:val="00576132"/>
    <w:rsid w:val="005765DE"/>
    <w:rsid w:val="00576F19"/>
    <w:rsid w:val="005812FC"/>
    <w:rsid w:val="00581AB2"/>
    <w:rsid w:val="005834A4"/>
    <w:rsid w:val="005841B7"/>
    <w:rsid w:val="00584943"/>
    <w:rsid w:val="00584AC8"/>
    <w:rsid w:val="005866F8"/>
    <w:rsid w:val="00592405"/>
    <w:rsid w:val="005960ED"/>
    <w:rsid w:val="00597C03"/>
    <w:rsid w:val="005A0171"/>
    <w:rsid w:val="005A17A8"/>
    <w:rsid w:val="005A1844"/>
    <w:rsid w:val="005A1FAD"/>
    <w:rsid w:val="005A2F9C"/>
    <w:rsid w:val="005A4637"/>
    <w:rsid w:val="005A64FB"/>
    <w:rsid w:val="005B011D"/>
    <w:rsid w:val="005B069A"/>
    <w:rsid w:val="005B3EA8"/>
    <w:rsid w:val="005B6BC8"/>
    <w:rsid w:val="005C01B6"/>
    <w:rsid w:val="005C08EC"/>
    <w:rsid w:val="005C2F83"/>
    <w:rsid w:val="005C3E1C"/>
    <w:rsid w:val="005C4CCE"/>
    <w:rsid w:val="005D7FB9"/>
    <w:rsid w:val="005E284F"/>
    <w:rsid w:val="005E6419"/>
    <w:rsid w:val="005F1F03"/>
    <w:rsid w:val="005F2031"/>
    <w:rsid w:val="005F4ECE"/>
    <w:rsid w:val="006002E5"/>
    <w:rsid w:val="00600C3B"/>
    <w:rsid w:val="00601526"/>
    <w:rsid w:val="006030AF"/>
    <w:rsid w:val="00603D73"/>
    <w:rsid w:val="00604F43"/>
    <w:rsid w:val="00606733"/>
    <w:rsid w:val="00606F81"/>
    <w:rsid w:val="00611E89"/>
    <w:rsid w:val="00616F89"/>
    <w:rsid w:val="00617B57"/>
    <w:rsid w:val="0062035F"/>
    <w:rsid w:val="006252F0"/>
    <w:rsid w:val="006257A8"/>
    <w:rsid w:val="0062646F"/>
    <w:rsid w:val="00631C30"/>
    <w:rsid w:val="00631EE2"/>
    <w:rsid w:val="00632754"/>
    <w:rsid w:val="00633BF3"/>
    <w:rsid w:val="0063667C"/>
    <w:rsid w:val="006379C7"/>
    <w:rsid w:val="00641F29"/>
    <w:rsid w:val="00642CFC"/>
    <w:rsid w:val="006475C2"/>
    <w:rsid w:val="006519BA"/>
    <w:rsid w:val="00655F79"/>
    <w:rsid w:val="00656FF5"/>
    <w:rsid w:val="00660FFD"/>
    <w:rsid w:val="0066159F"/>
    <w:rsid w:val="0066304F"/>
    <w:rsid w:val="00664CF4"/>
    <w:rsid w:val="00665276"/>
    <w:rsid w:val="00666AB9"/>
    <w:rsid w:val="00666CA6"/>
    <w:rsid w:val="00667867"/>
    <w:rsid w:val="00667ED0"/>
    <w:rsid w:val="00676F99"/>
    <w:rsid w:val="00677EE4"/>
    <w:rsid w:val="006806AB"/>
    <w:rsid w:val="006810D8"/>
    <w:rsid w:val="0068282A"/>
    <w:rsid w:val="00682B88"/>
    <w:rsid w:val="006862FC"/>
    <w:rsid w:val="00687740"/>
    <w:rsid w:val="00693901"/>
    <w:rsid w:val="00696558"/>
    <w:rsid w:val="006973FA"/>
    <w:rsid w:val="006A0C42"/>
    <w:rsid w:val="006A1970"/>
    <w:rsid w:val="006A3385"/>
    <w:rsid w:val="006A63F7"/>
    <w:rsid w:val="006B06DB"/>
    <w:rsid w:val="006B13CC"/>
    <w:rsid w:val="006B2284"/>
    <w:rsid w:val="006B37CB"/>
    <w:rsid w:val="006B50B4"/>
    <w:rsid w:val="006B62F2"/>
    <w:rsid w:val="006B6D3A"/>
    <w:rsid w:val="006C3100"/>
    <w:rsid w:val="006C37A3"/>
    <w:rsid w:val="006D0BDC"/>
    <w:rsid w:val="006D3F89"/>
    <w:rsid w:val="006D4A41"/>
    <w:rsid w:val="006D4A81"/>
    <w:rsid w:val="006D5151"/>
    <w:rsid w:val="006D57B8"/>
    <w:rsid w:val="006D5C8C"/>
    <w:rsid w:val="006E2336"/>
    <w:rsid w:val="006E6852"/>
    <w:rsid w:val="006E6AFB"/>
    <w:rsid w:val="006E77AE"/>
    <w:rsid w:val="006F1BFA"/>
    <w:rsid w:val="006F2373"/>
    <w:rsid w:val="006F5CB3"/>
    <w:rsid w:val="0070086E"/>
    <w:rsid w:val="00700EEF"/>
    <w:rsid w:val="00703FBB"/>
    <w:rsid w:val="00706ACC"/>
    <w:rsid w:val="00710CD9"/>
    <w:rsid w:val="00710D46"/>
    <w:rsid w:val="007112BE"/>
    <w:rsid w:val="0071327E"/>
    <w:rsid w:val="0071398F"/>
    <w:rsid w:val="0071428F"/>
    <w:rsid w:val="0071521D"/>
    <w:rsid w:val="007172A9"/>
    <w:rsid w:val="00717BC5"/>
    <w:rsid w:val="00717D06"/>
    <w:rsid w:val="0072179A"/>
    <w:rsid w:val="00723D59"/>
    <w:rsid w:val="00724C09"/>
    <w:rsid w:val="00725294"/>
    <w:rsid w:val="00725383"/>
    <w:rsid w:val="00726562"/>
    <w:rsid w:val="00726CFB"/>
    <w:rsid w:val="007318E7"/>
    <w:rsid w:val="00731E4F"/>
    <w:rsid w:val="007333C6"/>
    <w:rsid w:val="007334B2"/>
    <w:rsid w:val="007334C8"/>
    <w:rsid w:val="00733560"/>
    <w:rsid w:val="00740561"/>
    <w:rsid w:val="0074123B"/>
    <w:rsid w:val="00741FEC"/>
    <w:rsid w:val="00742F78"/>
    <w:rsid w:val="00744F97"/>
    <w:rsid w:val="00746771"/>
    <w:rsid w:val="00747B78"/>
    <w:rsid w:val="00750344"/>
    <w:rsid w:val="00750AE3"/>
    <w:rsid w:val="00750E79"/>
    <w:rsid w:val="00752275"/>
    <w:rsid w:val="00752FEF"/>
    <w:rsid w:val="00753A60"/>
    <w:rsid w:val="007540E4"/>
    <w:rsid w:val="00754145"/>
    <w:rsid w:val="007552C2"/>
    <w:rsid w:val="007626E6"/>
    <w:rsid w:val="007626ED"/>
    <w:rsid w:val="0076397D"/>
    <w:rsid w:val="007642BC"/>
    <w:rsid w:val="007658FD"/>
    <w:rsid w:val="007662FB"/>
    <w:rsid w:val="007667AC"/>
    <w:rsid w:val="007712B0"/>
    <w:rsid w:val="007719B7"/>
    <w:rsid w:val="007733EC"/>
    <w:rsid w:val="007739EE"/>
    <w:rsid w:val="007760E2"/>
    <w:rsid w:val="007828F4"/>
    <w:rsid w:val="007830F0"/>
    <w:rsid w:val="00786D2F"/>
    <w:rsid w:val="00786FB1"/>
    <w:rsid w:val="00787860"/>
    <w:rsid w:val="007931AD"/>
    <w:rsid w:val="00793523"/>
    <w:rsid w:val="007A0A3B"/>
    <w:rsid w:val="007A2466"/>
    <w:rsid w:val="007A4B32"/>
    <w:rsid w:val="007A7492"/>
    <w:rsid w:val="007B0DFC"/>
    <w:rsid w:val="007B234B"/>
    <w:rsid w:val="007B282F"/>
    <w:rsid w:val="007B66E5"/>
    <w:rsid w:val="007B7466"/>
    <w:rsid w:val="007C2CFD"/>
    <w:rsid w:val="007C4282"/>
    <w:rsid w:val="007C43B0"/>
    <w:rsid w:val="007C4CA0"/>
    <w:rsid w:val="007C660A"/>
    <w:rsid w:val="007D0DEF"/>
    <w:rsid w:val="007D221E"/>
    <w:rsid w:val="007D29CC"/>
    <w:rsid w:val="007D3A77"/>
    <w:rsid w:val="007D3D0E"/>
    <w:rsid w:val="007D46D9"/>
    <w:rsid w:val="007D6C93"/>
    <w:rsid w:val="007D70D5"/>
    <w:rsid w:val="007D7439"/>
    <w:rsid w:val="007E038C"/>
    <w:rsid w:val="007E2A04"/>
    <w:rsid w:val="007E4A42"/>
    <w:rsid w:val="007E5A0D"/>
    <w:rsid w:val="007F0AAE"/>
    <w:rsid w:val="007F11A7"/>
    <w:rsid w:val="007F1370"/>
    <w:rsid w:val="007F4749"/>
    <w:rsid w:val="007F5855"/>
    <w:rsid w:val="007F6C8A"/>
    <w:rsid w:val="007F6D09"/>
    <w:rsid w:val="007F78D3"/>
    <w:rsid w:val="00800CAE"/>
    <w:rsid w:val="00802646"/>
    <w:rsid w:val="00804AA5"/>
    <w:rsid w:val="00805529"/>
    <w:rsid w:val="008071D5"/>
    <w:rsid w:val="00810726"/>
    <w:rsid w:val="00811AEC"/>
    <w:rsid w:val="008121A0"/>
    <w:rsid w:val="0081315D"/>
    <w:rsid w:val="0081380F"/>
    <w:rsid w:val="00813961"/>
    <w:rsid w:val="00814516"/>
    <w:rsid w:val="0081743A"/>
    <w:rsid w:val="00820BD5"/>
    <w:rsid w:val="00821927"/>
    <w:rsid w:val="00822406"/>
    <w:rsid w:val="00823C2A"/>
    <w:rsid w:val="00824785"/>
    <w:rsid w:val="00825242"/>
    <w:rsid w:val="0082561D"/>
    <w:rsid w:val="00825F50"/>
    <w:rsid w:val="008263F2"/>
    <w:rsid w:val="00826D97"/>
    <w:rsid w:val="00827882"/>
    <w:rsid w:val="0083172F"/>
    <w:rsid w:val="00833965"/>
    <w:rsid w:val="00834097"/>
    <w:rsid w:val="0083676B"/>
    <w:rsid w:val="00836D5B"/>
    <w:rsid w:val="008370E0"/>
    <w:rsid w:val="0084026C"/>
    <w:rsid w:val="008407FC"/>
    <w:rsid w:val="008419FD"/>
    <w:rsid w:val="00841A8B"/>
    <w:rsid w:val="00841F6A"/>
    <w:rsid w:val="0084591B"/>
    <w:rsid w:val="00847A56"/>
    <w:rsid w:val="00850BA0"/>
    <w:rsid w:val="00850C39"/>
    <w:rsid w:val="00850FF2"/>
    <w:rsid w:val="00852A1E"/>
    <w:rsid w:val="00854F81"/>
    <w:rsid w:val="00857A55"/>
    <w:rsid w:val="0086015C"/>
    <w:rsid w:val="00862384"/>
    <w:rsid w:val="00864609"/>
    <w:rsid w:val="00871CCE"/>
    <w:rsid w:val="00873FF2"/>
    <w:rsid w:val="008744DE"/>
    <w:rsid w:val="00874BE9"/>
    <w:rsid w:val="00876014"/>
    <w:rsid w:val="0087654F"/>
    <w:rsid w:val="00876E0B"/>
    <w:rsid w:val="00880CD7"/>
    <w:rsid w:val="008814EC"/>
    <w:rsid w:val="00881769"/>
    <w:rsid w:val="00883394"/>
    <w:rsid w:val="00885EE0"/>
    <w:rsid w:val="0088601C"/>
    <w:rsid w:val="008865EB"/>
    <w:rsid w:val="00887A81"/>
    <w:rsid w:val="00895001"/>
    <w:rsid w:val="008A2E97"/>
    <w:rsid w:val="008A3660"/>
    <w:rsid w:val="008A4202"/>
    <w:rsid w:val="008A4C44"/>
    <w:rsid w:val="008A7864"/>
    <w:rsid w:val="008A7BC8"/>
    <w:rsid w:val="008A7E15"/>
    <w:rsid w:val="008B08A1"/>
    <w:rsid w:val="008B0BDE"/>
    <w:rsid w:val="008B17FB"/>
    <w:rsid w:val="008B2230"/>
    <w:rsid w:val="008B2F6A"/>
    <w:rsid w:val="008B31BD"/>
    <w:rsid w:val="008B416E"/>
    <w:rsid w:val="008B4372"/>
    <w:rsid w:val="008B46C0"/>
    <w:rsid w:val="008B51DE"/>
    <w:rsid w:val="008B61C0"/>
    <w:rsid w:val="008B6447"/>
    <w:rsid w:val="008C3312"/>
    <w:rsid w:val="008C42B4"/>
    <w:rsid w:val="008C59A2"/>
    <w:rsid w:val="008C7DD8"/>
    <w:rsid w:val="008D35FB"/>
    <w:rsid w:val="008D3D64"/>
    <w:rsid w:val="008D3EE8"/>
    <w:rsid w:val="008D4193"/>
    <w:rsid w:val="008D41E5"/>
    <w:rsid w:val="008D52AD"/>
    <w:rsid w:val="008D7CC1"/>
    <w:rsid w:val="008E2C61"/>
    <w:rsid w:val="008E352E"/>
    <w:rsid w:val="008E4889"/>
    <w:rsid w:val="008E4AAA"/>
    <w:rsid w:val="008E4DB1"/>
    <w:rsid w:val="008E5FBE"/>
    <w:rsid w:val="008E6F4B"/>
    <w:rsid w:val="008F1681"/>
    <w:rsid w:val="008F2D4F"/>
    <w:rsid w:val="008F37F0"/>
    <w:rsid w:val="008F4C57"/>
    <w:rsid w:val="008F4D1A"/>
    <w:rsid w:val="008F63F4"/>
    <w:rsid w:val="008F6651"/>
    <w:rsid w:val="008F6D8E"/>
    <w:rsid w:val="008F7B36"/>
    <w:rsid w:val="0090278D"/>
    <w:rsid w:val="009034BB"/>
    <w:rsid w:val="009044C0"/>
    <w:rsid w:val="00904EC5"/>
    <w:rsid w:val="009053AE"/>
    <w:rsid w:val="00905A47"/>
    <w:rsid w:val="009064D8"/>
    <w:rsid w:val="0091113E"/>
    <w:rsid w:val="00911AE8"/>
    <w:rsid w:val="00912360"/>
    <w:rsid w:val="00912D5C"/>
    <w:rsid w:val="009137D2"/>
    <w:rsid w:val="00913975"/>
    <w:rsid w:val="00917213"/>
    <w:rsid w:val="009203E1"/>
    <w:rsid w:val="009209F0"/>
    <w:rsid w:val="009210CB"/>
    <w:rsid w:val="00921D1D"/>
    <w:rsid w:val="00921DB5"/>
    <w:rsid w:val="00921DC9"/>
    <w:rsid w:val="009230A8"/>
    <w:rsid w:val="009242C4"/>
    <w:rsid w:val="00924AB7"/>
    <w:rsid w:val="00926F28"/>
    <w:rsid w:val="009274D5"/>
    <w:rsid w:val="009276C9"/>
    <w:rsid w:val="00933228"/>
    <w:rsid w:val="00940CD8"/>
    <w:rsid w:val="00941068"/>
    <w:rsid w:val="00942418"/>
    <w:rsid w:val="0094334C"/>
    <w:rsid w:val="00944C2E"/>
    <w:rsid w:val="009458E8"/>
    <w:rsid w:val="00946503"/>
    <w:rsid w:val="00952179"/>
    <w:rsid w:val="0095581E"/>
    <w:rsid w:val="009577AD"/>
    <w:rsid w:val="00960298"/>
    <w:rsid w:val="009617EB"/>
    <w:rsid w:val="0096198A"/>
    <w:rsid w:val="00963690"/>
    <w:rsid w:val="0096371A"/>
    <w:rsid w:val="00965737"/>
    <w:rsid w:val="00966463"/>
    <w:rsid w:val="00970D22"/>
    <w:rsid w:val="00970F53"/>
    <w:rsid w:val="00973FDB"/>
    <w:rsid w:val="00975728"/>
    <w:rsid w:val="00980C63"/>
    <w:rsid w:val="00980E44"/>
    <w:rsid w:val="00980E61"/>
    <w:rsid w:val="00983B71"/>
    <w:rsid w:val="00985B35"/>
    <w:rsid w:val="0098750D"/>
    <w:rsid w:val="00991C45"/>
    <w:rsid w:val="009929D4"/>
    <w:rsid w:val="00994D90"/>
    <w:rsid w:val="00996312"/>
    <w:rsid w:val="009979A7"/>
    <w:rsid w:val="009A180C"/>
    <w:rsid w:val="009A1EFD"/>
    <w:rsid w:val="009A252E"/>
    <w:rsid w:val="009A2813"/>
    <w:rsid w:val="009A38FD"/>
    <w:rsid w:val="009A4C47"/>
    <w:rsid w:val="009A71AA"/>
    <w:rsid w:val="009B064C"/>
    <w:rsid w:val="009B1CB9"/>
    <w:rsid w:val="009B1DF3"/>
    <w:rsid w:val="009B2F7E"/>
    <w:rsid w:val="009B3EF2"/>
    <w:rsid w:val="009B4A93"/>
    <w:rsid w:val="009B525D"/>
    <w:rsid w:val="009B6993"/>
    <w:rsid w:val="009C2392"/>
    <w:rsid w:val="009C444B"/>
    <w:rsid w:val="009C74CE"/>
    <w:rsid w:val="009D1230"/>
    <w:rsid w:val="009D186B"/>
    <w:rsid w:val="009D3B46"/>
    <w:rsid w:val="009D4521"/>
    <w:rsid w:val="009D4529"/>
    <w:rsid w:val="009D58DD"/>
    <w:rsid w:val="009D67E7"/>
    <w:rsid w:val="009D7644"/>
    <w:rsid w:val="009D7707"/>
    <w:rsid w:val="009E2075"/>
    <w:rsid w:val="009E6C21"/>
    <w:rsid w:val="009F13B5"/>
    <w:rsid w:val="009F1AEF"/>
    <w:rsid w:val="009F3514"/>
    <w:rsid w:val="009F3A00"/>
    <w:rsid w:val="009F449B"/>
    <w:rsid w:val="009F5771"/>
    <w:rsid w:val="009F5DD8"/>
    <w:rsid w:val="009F65C0"/>
    <w:rsid w:val="009F7619"/>
    <w:rsid w:val="00A014EA"/>
    <w:rsid w:val="00A017FB"/>
    <w:rsid w:val="00A021D8"/>
    <w:rsid w:val="00A02AAA"/>
    <w:rsid w:val="00A02E12"/>
    <w:rsid w:val="00A0584F"/>
    <w:rsid w:val="00A05F73"/>
    <w:rsid w:val="00A06F91"/>
    <w:rsid w:val="00A070BE"/>
    <w:rsid w:val="00A0753F"/>
    <w:rsid w:val="00A078E1"/>
    <w:rsid w:val="00A07CCB"/>
    <w:rsid w:val="00A10FFD"/>
    <w:rsid w:val="00A11347"/>
    <w:rsid w:val="00A13C53"/>
    <w:rsid w:val="00A14261"/>
    <w:rsid w:val="00A15511"/>
    <w:rsid w:val="00A15E10"/>
    <w:rsid w:val="00A176AB"/>
    <w:rsid w:val="00A246EA"/>
    <w:rsid w:val="00A24B7B"/>
    <w:rsid w:val="00A32389"/>
    <w:rsid w:val="00A32408"/>
    <w:rsid w:val="00A3286D"/>
    <w:rsid w:val="00A331E5"/>
    <w:rsid w:val="00A33887"/>
    <w:rsid w:val="00A34628"/>
    <w:rsid w:val="00A401AD"/>
    <w:rsid w:val="00A407E7"/>
    <w:rsid w:val="00A42B7D"/>
    <w:rsid w:val="00A451E9"/>
    <w:rsid w:val="00A46476"/>
    <w:rsid w:val="00A55AAA"/>
    <w:rsid w:val="00A57308"/>
    <w:rsid w:val="00A57E7F"/>
    <w:rsid w:val="00A60968"/>
    <w:rsid w:val="00A609D3"/>
    <w:rsid w:val="00A61BEC"/>
    <w:rsid w:val="00A63C00"/>
    <w:rsid w:val="00A64114"/>
    <w:rsid w:val="00A70DC5"/>
    <w:rsid w:val="00A71AF4"/>
    <w:rsid w:val="00A72AC5"/>
    <w:rsid w:val="00A72B5C"/>
    <w:rsid w:val="00A76164"/>
    <w:rsid w:val="00A76791"/>
    <w:rsid w:val="00A7768C"/>
    <w:rsid w:val="00A77BFF"/>
    <w:rsid w:val="00A832E1"/>
    <w:rsid w:val="00A83897"/>
    <w:rsid w:val="00A83977"/>
    <w:rsid w:val="00A85038"/>
    <w:rsid w:val="00A866D7"/>
    <w:rsid w:val="00A9001C"/>
    <w:rsid w:val="00A900FC"/>
    <w:rsid w:val="00A9059C"/>
    <w:rsid w:val="00A91FD9"/>
    <w:rsid w:val="00A93965"/>
    <w:rsid w:val="00A9402E"/>
    <w:rsid w:val="00A94046"/>
    <w:rsid w:val="00A94F68"/>
    <w:rsid w:val="00A9701F"/>
    <w:rsid w:val="00A97021"/>
    <w:rsid w:val="00A97509"/>
    <w:rsid w:val="00A97F8E"/>
    <w:rsid w:val="00AA0A1E"/>
    <w:rsid w:val="00AA62CC"/>
    <w:rsid w:val="00AA7361"/>
    <w:rsid w:val="00AA79D8"/>
    <w:rsid w:val="00AB018A"/>
    <w:rsid w:val="00AB1658"/>
    <w:rsid w:val="00AB2E3D"/>
    <w:rsid w:val="00AB4914"/>
    <w:rsid w:val="00AB7BF3"/>
    <w:rsid w:val="00AC2AE2"/>
    <w:rsid w:val="00AC3FA8"/>
    <w:rsid w:val="00AC6C01"/>
    <w:rsid w:val="00AD303F"/>
    <w:rsid w:val="00AD34DC"/>
    <w:rsid w:val="00AD40C4"/>
    <w:rsid w:val="00AD4D69"/>
    <w:rsid w:val="00AD4DF3"/>
    <w:rsid w:val="00AD53D2"/>
    <w:rsid w:val="00AD5A0E"/>
    <w:rsid w:val="00AD62F9"/>
    <w:rsid w:val="00AE03E0"/>
    <w:rsid w:val="00AE0FD3"/>
    <w:rsid w:val="00AE3F49"/>
    <w:rsid w:val="00AE7406"/>
    <w:rsid w:val="00AF05D1"/>
    <w:rsid w:val="00AF37CA"/>
    <w:rsid w:val="00AF45B0"/>
    <w:rsid w:val="00AF4E8C"/>
    <w:rsid w:val="00B025A6"/>
    <w:rsid w:val="00B03808"/>
    <w:rsid w:val="00B054B4"/>
    <w:rsid w:val="00B06233"/>
    <w:rsid w:val="00B116C2"/>
    <w:rsid w:val="00B1184B"/>
    <w:rsid w:val="00B13218"/>
    <w:rsid w:val="00B1389E"/>
    <w:rsid w:val="00B14F37"/>
    <w:rsid w:val="00B15390"/>
    <w:rsid w:val="00B15416"/>
    <w:rsid w:val="00B155A0"/>
    <w:rsid w:val="00B16D4B"/>
    <w:rsid w:val="00B217B4"/>
    <w:rsid w:val="00B21926"/>
    <w:rsid w:val="00B22C45"/>
    <w:rsid w:val="00B24B73"/>
    <w:rsid w:val="00B27F33"/>
    <w:rsid w:val="00B308C7"/>
    <w:rsid w:val="00B33E91"/>
    <w:rsid w:val="00B345A8"/>
    <w:rsid w:val="00B35407"/>
    <w:rsid w:val="00B36C65"/>
    <w:rsid w:val="00B37C98"/>
    <w:rsid w:val="00B43558"/>
    <w:rsid w:val="00B43BA1"/>
    <w:rsid w:val="00B4541F"/>
    <w:rsid w:val="00B45559"/>
    <w:rsid w:val="00B46153"/>
    <w:rsid w:val="00B465AB"/>
    <w:rsid w:val="00B47C14"/>
    <w:rsid w:val="00B504FA"/>
    <w:rsid w:val="00B50AE2"/>
    <w:rsid w:val="00B520AC"/>
    <w:rsid w:val="00B53E02"/>
    <w:rsid w:val="00B54524"/>
    <w:rsid w:val="00B56046"/>
    <w:rsid w:val="00B57B1F"/>
    <w:rsid w:val="00B57D13"/>
    <w:rsid w:val="00B61F14"/>
    <w:rsid w:val="00B62532"/>
    <w:rsid w:val="00B62A21"/>
    <w:rsid w:val="00B64FBF"/>
    <w:rsid w:val="00B673A8"/>
    <w:rsid w:val="00B71C56"/>
    <w:rsid w:val="00B72300"/>
    <w:rsid w:val="00B73ACE"/>
    <w:rsid w:val="00B75C77"/>
    <w:rsid w:val="00B76EAD"/>
    <w:rsid w:val="00B774D7"/>
    <w:rsid w:val="00B81301"/>
    <w:rsid w:val="00B81484"/>
    <w:rsid w:val="00B82719"/>
    <w:rsid w:val="00B82BB6"/>
    <w:rsid w:val="00B838D3"/>
    <w:rsid w:val="00B8518A"/>
    <w:rsid w:val="00B90B21"/>
    <w:rsid w:val="00B93DB9"/>
    <w:rsid w:val="00B946F3"/>
    <w:rsid w:val="00B961E8"/>
    <w:rsid w:val="00B96EC8"/>
    <w:rsid w:val="00B97F59"/>
    <w:rsid w:val="00BA0BF9"/>
    <w:rsid w:val="00BA1B89"/>
    <w:rsid w:val="00BA3AFA"/>
    <w:rsid w:val="00BA5BC0"/>
    <w:rsid w:val="00BA5F8A"/>
    <w:rsid w:val="00BA707B"/>
    <w:rsid w:val="00BA7906"/>
    <w:rsid w:val="00BB06E6"/>
    <w:rsid w:val="00BB0D34"/>
    <w:rsid w:val="00BB33EA"/>
    <w:rsid w:val="00BB3A22"/>
    <w:rsid w:val="00BB4988"/>
    <w:rsid w:val="00BB7CEE"/>
    <w:rsid w:val="00BC2AC8"/>
    <w:rsid w:val="00BC3C53"/>
    <w:rsid w:val="00BC43C0"/>
    <w:rsid w:val="00BC49AF"/>
    <w:rsid w:val="00BC56A5"/>
    <w:rsid w:val="00BC5D98"/>
    <w:rsid w:val="00BC72C5"/>
    <w:rsid w:val="00BD4436"/>
    <w:rsid w:val="00BD4A8A"/>
    <w:rsid w:val="00BD63A5"/>
    <w:rsid w:val="00BD7715"/>
    <w:rsid w:val="00BD77AE"/>
    <w:rsid w:val="00BD7AAF"/>
    <w:rsid w:val="00BE07CA"/>
    <w:rsid w:val="00BE0EAC"/>
    <w:rsid w:val="00BE6757"/>
    <w:rsid w:val="00BF0A31"/>
    <w:rsid w:val="00BF0EE6"/>
    <w:rsid w:val="00BF2BBD"/>
    <w:rsid w:val="00C0105B"/>
    <w:rsid w:val="00C0208C"/>
    <w:rsid w:val="00C053B0"/>
    <w:rsid w:val="00C07A39"/>
    <w:rsid w:val="00C12D57"/>
    <w:rsid w:val="00C12E87"/>
    <w:rsid w:val="00C143D8"/>
    <w:rsid w:val="00C16534"/>
    <w:rsid w:val="00C200A6"/>
    <w:rsid w:val="00C20DA0"/>
    <w:rsid w:val="00C20FC7"/>
    <w:rsid w:val="00C220C7"/>
    <w:rsid w:val="00C22CC2"/>
    <w:rsid w:val="00C238D6"/>
    <w:rsid w:val="00C24427"/>
    <w:rsid w:val="00C251F3"/>
    <w:rsid w:val="00C2531D"/>
    <w:rsid w:val="00C300F3"/>
    <w:rsid w:val="00C3075C"/>
    <w:rsid w:val="00C33B7D"/>
    <w:rsid w:val="00C33E96"/>
    <w:rsid w:val="00C34D9C"/>
    <w:rsid w:val="00C41487"/>
    <w:rsid w:val="00C42FD7"/>
    <w:rsid w:val="00C43476"/>
    <w:rsid w:val="00C4358F"/>
    <w:rsid w:val="00C43AE2"/>
    <w:rsid w:val="00C43DB1"/>
    <w:rsid w:val="00C45FE0"/>
    <w:rsid w:val="00C461CD"/>
    <w:rsid w:val="00C472A3"/>
    <w:rsid w:val="00C50202"/>
    <w:rsid w:val="00C52133"/>
    <w:rsid w:val="00C54200"/>
    <w:rsid w:val="00C552D4"/>
    <w:rsid w:val="00C55602"/>
    <w:rsid w:val="00C55EC6"/>
    <w:rsid w:val="00C607D8"/>
    <w:rsid w:val="00C613DF"/>
    <w:rsid w:val="00C655ED"/>
    <w:rsid w:val="00C6622B"/>
    <w:rsid w:val="00C67050"/>
    <w:rsid w:val="00C709D6"/>
    <w:rsid w:val="00C71146"/>
    <w:rsid w:val="00C72C22"/>
    <w:rsid w:val="00C7473A"/>
    <w:rsid w:val="00C74F85"/>
    <w:rsid w:val="00C75E4B"/>
    <w:rsid w:val="00C77A2E"/>
    <w:rsid w:val="00C800A4"/>
    <w:rsid w:val="00C80E9D"/>
    <w:rsid w:val="00C83DFC"/>
    <w:rsid w:val="00C905DC"/>
    <w:rsid w:val="00C90E39"/>
    <w:rsid w:val="00C93678"/>
    <w:rsid w:val="00C940C8"/>
    <w:rsid w:val="00C955A1"/>
    <w:rsid w:val="00CA590C"/>
    <w:rsid w:val="00CA6177"/>
    <w:rsid w:val="00CA64BF"/>
    <w:rsid w:val="00CB0E91"/>
    <w:rsid w:val="00CB157C"/>
    <w:rsid w:val="00CB1664"/>
    <w:rsid w:val="00CB1926"/>
    <w:rsid w:val="00CB41BE"/>
    <w:rsid w:val="00CB5498"/>
    <w:rsid w:val="00CB5BA6"/>
    <w:rsid w:val="00CB5ECE"/>
    <w:rsid w:val="00CB6A6E"/>
    <w:rsid w:val="00CC234D"/>
    <w:rsid w:val="00CC31A8"/>
    <w:rsid w:val="00CC7923"/>
    <w:rsid w:val="00CD07A1"/>
    <w:rsid w:val="00CD2376"/>
    <w:rsid w:val="00CD3F2F"/>
    <w:rsid w:val="00CD41F3"/>
    <w:rsid w:val="00CE0ACD"/>
    <w:rsid w:val="00CE5856"/>
    <w:rsid w:val="00CE6FC3"/>
    <w:rsid w:val="00CF07DD"/>
    <w:rsid w:val="00CF0A1D"/>
    <w:rsid w:val="00CF170E"/>
    <w:rsid w:val="00CF226F"/>
    <w:rsid w:val="00CF3297"/>
    <w:rsid w:val="00CF3733"/>
    <w:rsid w:val="00CF44A6"/>
    <w:rsid w:val="00CF59BB"/>
    <w:rsid w:val="00D01EC6"/>
    <w:rsid w:val="00D02E98"/>
    <w:rsid w:val="00D06A4E"/>
    <w:rsid w:val="00D15ABC"/>
    <w:rsid w:val="00D21910"/>
    <w:rsid w:val="00D22980"/>
    <w:rsid w:val="00D23275"/>
    <w:rsid w:val="00D33395"/>
    <w:rsid w:val="00D33833"/>
    <w:rsid w:val="00D33B85"/>
    <w:rsid w:val="00D3426A"/>
    <w:rsid w:val="00D3483E"/>
    <w:rsid w:val="00D41489"/>
    <w:rsid w:val="00D42A4B"/>
    <w:rsid w:val="00D44A37"/>
    <w:rsid w:val="00D46DE0"/>
    <w:rsid w:val="00D4720D"/>
    <w:rsid w:val="00D50E2F"/>
    <w:rsid w:val="00D52287"/>
    <w:rsid w:val="00D55D86"/>
    <w:rsid w:val="00D56153"/>
    <w:rsid w:val="00D5683B"/>
    <w:rsid w:val="00D6098D"/>
    <w:rsid w:val="00D61765"/>
    <w:rsid w:val="00D637FD"/>
    <w:rsid w:val="00D72903"/>
    <w:rsid w:val="00D72B1D"/>
    <w:rsid w:val="00D75908"/>
    <w:rsid w:val="00D7598E"/>
    <w:rsid w:val="00D8199F"/>
    <w:rsid w:val="00D85EA8"/>
    <w:rsid w:val="00D87991"/>
    <w:rsid w:val="00D87C8B"/>
    <w:rsid w:val="00D914AB"/>
    <w:rsid w:val="00D94410"/>
    <w:rsid w:val="00D949F4"/>
    <w:rsid w:val="00D94CD8"/>
    <w:rsid w:val="00D97990"/>
    <w:rsid w:val="00DA0375"/>
    <w:rsid w:val="00DA0633"/>
    <w:rsid w:val="00DA074E"/>
    <w:rsid w:val="00DA17D7"/>
    <w:rsid w:val="00DA31E9"/>
    <w:rsid w:val="00DA3457"/>
    <w:rsid w:val="00DA5A75"/>
    <w:rsid w:val="00DA74C6"/>
    <w:rsid w:val="00DA74CE"/>
    <w:rsid w:val="00DB107D"/>
    <w:rsid w:val="00DB2574"/>
    <w:rsid w:val="00DB2FC6"/>
    <w:rsid w:val="00DB3143"/>
    <w:rsid w:val="00DB41D1"/>
    <w:rsid w:val="00DB7EA6"/>
    <w:rsid w:val="00DC49AD"/>
    <w:rsid w:val="00DD4824"/>
    <w:rsid w:val="00DD6EC5"/>
    <w:rsid w:val="00DE0F91"/>
    <w:rsid w:val="00DE1854"/>
    <w:rsid w:val="00DE280F"/>
    <w:rsid w:val="00DE4477"/>
    <w:rsid w:val="00DE70B3"/>
    <w:rsid w:val="00DF0493"/>
    <w:rsid w:val="00DF0D58"/>
    <w:rsid w:val="00DF0F3A"/>
    <w:rsid w:val="00DF1D61"/>
    <w:rsid w:val="00DF2F8B"/>
    <w:rsid w:val="00DF3850"/>
    <w:rsid w:val="00DF47AE"/>
    <w:rsid w:val="00DF7F75"/>
    <w:rsid w:val="00E0019C"/>
    <w:rsid w:val="00E003CC"/>
    <w:rsid w:val="00E01902"/>
    <w:rsid w:val="00E042AC"/>
    <w:rsid w:val="00E0554F"/>
    <w:rsid w:val="00E0640D"/>
    <w:rsid w:val="00E07247"/>
    <w:rsid w:val="00E10A1A"/>
    <w:rsid w:val="00E10C59"/>
    <w:rsid w:val="00E1341F"/>
    <w:rsid w:val="00E1637F"/>
    <w:rsid w:val="00E1688A"/>
    <w:rsid w:val="00E1774D"/>
    <w:rsid w:val="00E2038B"/>
    <w:rsid w:val="00E2040F"/>
    <w:rsid w:val="00E21A8F"/>
    <w:rsid w:val="00E21DBF"/>
    <w:rsid w:val="00E22651"/>
    <w:rsid w:val="00E2485D"/>
    <w:rsid w:val="00E251E9"/>
    <w:rsid w:val="00E26BE6"/>
    <w:rsid w:val="00E27286"/>
    <w:rsid w:val="00E3128A"/>
    <w:rsid w:val="00E31E48"/>
    <w:rsid w:val="00E33B7E"/>
    <w:rsid w:val="00E34EE4"/>
    <w:rsid w:val="00E355E5"/>
    <w:rsid w:val="00E35FE9"/>
    <w:rsid w:val="00E37CB8"/>
    <w:rsid w:val="00E40280"/>
    <w:rsid w:val="00E42B0D"/>
    <w:rsid w:val="00E42EA9"/>
    <w:rsid w:val="00E43076"/>
    <w:rsid w:val="00E4456A"/>
    <w:rsid w:val="00E44623"/>
    <w:rsid w:val="00E466BB"/>
    <w:rsid w:val="00E4682F"/>
    <w:rsid w:val="00E46C07"/>
    <w:rsid w:val="00E47153"/>
    <w:rsid w:val="00E5485F"/>
    <w:rsid w:val="00E55D15"/>
    <w:rsid w:val="00E57B62"/>
    <w:rsid w:val="00E57F8B"/>
    <w:rsid w:val="00E60E14"/>
    <w:rsid w:val="00E637B2"/>
    <w:rsid w:val="00E6392A"/>
    <w:rsid w:val="00E64735"/>
    <w:rsid w:val="00E653D7"/>
    <w:rsid w:val="00E6644A"/>
    <w:rsid w:val="00E666AD"/>
    <w:rsid w:val="00E66D94"/>
    <w:rsid w:val="00E6745D"/>
    <w:rsid w:val="00E67951"/>
    <w:rsid w:val="00E702C1"/>
    <w:rsid w:val="00E70A89"/>
    <w:rsid w:val="00E71B15"/>
    <w:rsid w:val="00E731A7"/>
    <w:rsid w:val="00E75D67"/>
    <w:rsid w:val="00E77B25"/>
    <w:rsid w:val="00E77E4E"/>
    <w:rsid w:val="00E8008E"/>
    <w:rsid w:val="00E8410C"/>
    <w:rsid w:val="00E847EA"/>
    <w:rsid w:val="00E84B29"/>
    <w:rsid w:val="00E85641"/>
    <w:rsid w:val="00E85C0E"/>
    <w:rsid w:val="00E85D4E"/>
    <w:rsid w:val="00E87FC3"/>
    <w:rsid w:val="00E90A32"/>
    <w:rsid w:val="00E924AE"/>
    <w:rsid w:val="00E967CB"/>
    <w:rsid w:val="00E96D2F"/>
    <w:rsid w:val="00EA323F"/>
    <w:rsid w:val="00EA3D09"/>
    <w:rsid w:val="00EA45FF"/>
    <w:rsid w:val="00EA5979"/>
    <w:rsid w:val="00EA5D44"/>
    <w:rsid w:val="00EB0A16"/>
    <w:rsid w:val="00EB3C12"/>
    <w:rsid w:val="00EC14B4"/>
    <w:rsid w:val="00EC1838"/>
    <w:rsid w:val="00EC1E2B"/>
    <w:rsid w:val="00EC24D2"/>
    <w:rsid w:val="00EC2700"/>
    <w:rsid w:val="00EC3A3D"/>
    <w:rsid w:val="00EC3BBD"/>
    <w:rsid w:val="00EC5052"/>
    <w:rsid w:val="00ED2F8E"/>
    <w:rsid w:val="00ED3393"/>
    <w:rsid w:val="00ED387C"/>
    <w:rsid w:val="00ED5711"/>
    <w:rsid w:val="00EE200F"/>
    <w:rsid w:val="00EE7958"/>
    <w:rsid w:val="00EF2102"/>
    <w:rsid w:val="00EF28C1"/>
    <w:rsid w:val="00EF4E1D"/>
    <w:rsid w:val="00EF6F93"/>
    <w:rsid w:val="00EF73FE"/>
    <w:rsid w:val="00EF7AB7"/>
    <w:rsid w:val="00F00B0E"/>
    <w:rsid w:val="00F03595"/>
    <w:rsid w:val="00F04A80"/>
    <w:rsid w:val="00F04B76"/>
    <w:rsid w:val="00F12E4A"/>
    <w:rsid w:val="00F12F85"/>
    <w:rsid w:val="00F15E1E"/>
    <w:rsid w:val="00F15F4C"/>
    <w:rsid w:val="00F212F2"/>
    <w:rsid w:val="00F221BD"/>
    <w:rsid w:val="00F226BB"/>
    <w:rsid w:val="00F22F57"/>
    <w:rsid w:val="00F24097"/>
    <w:rsid w:val="00F26A88"/>
    <w:rsid w:val="00F3393A"/>
    <w:rsid w:val="00F35DF0"/>
    <w:rsid w:val="00F42077"/>
    <w:rsid w:val="00F44C6A"/>
    <w:rsid w:val="00F47D7F"/>
    <w:rsid w:val="00F51990"/>
    <w:rsid w:val="00F51FEA"/>
    <w:rsid w:val="00F54973"/>
    <w:rsid w:val="00F5595C"/>
    <w:rsid w:val="00F578FE"/>
    <w:rsid w:val="00F61639"/>
    <w:rsid w:val="00F62419"/>
    <w:rsid w:val="00F63EF4"/>
    <w:rsid w:val="00F650DD"/>
    <w:rsid w:val="00F6546F"/>
    <w:rsid w:val="00F71D7E"/>
    <w:rsid w:val="00F71F23"/>
    <w:rsid w:val="00F71FB8"/>
    <w:rsid w:val="00F72287"/>
    <w:rsid w:val="00F726D8"/>
    <w:rsid w:val="00F72796"/>
    <w:rsid w:val="00F72A74"/>
    <w:rsid w:val="00F73B1E"/>
    <w:rsid w:val="00F74BD7"/>
    <w:rsid w:val="00F74E04"/>
    <w:rsid w:val="00F772EA"/>
    <w:rsid w:val="00F809EF"/>
    <w:rsid w:val="00F8104F"/>
    <w:rsid w:val="00F82445"/>
    <w:rsid w:val="00F83B6E"/>
    <w:rsid w:val="00F86838"/>
    <w:rsid w:val="00F87B82"/>
    <w:rsid w:val="00F9046E"/>
    <w:rsid w:val="00F907BF"/>
    <w:rsid w:val="00F93E30"/>
    <w:rsid w:val="00F940CC"/>
    <w:rsid w:val="00F9479C"/>
    <w:rsid w:val="00F9564A"/>
    <w:rsid w:val="00F9629C"/>
    <w:rsid w:val="00FA243D"/>
    <w:rsid w:val="00FA35D4"/>
    <w:rsid w:val="00FA4306"/>
    <w:rsid w:val="00FA6D96"/>
    <w:rsid w:val="00FA6F79"/>
    <w:rsid w:val="00FB11AC"/>
    <w:rsid w:val="00FB3AB9"/>
    <w:rsid w:val="00FB4B98"/>
    <w:rsid w:val="00FB5144"/>
    <w:rsid w:val="00FB66D0"/>
    <w:rsid w:val="00FB6759"/>
    <w:rsid w:val="00FB7F1A"/>
    <w:rsid w:val="00FC2D9C"/>
    <w:rsid w:val="00FC2E61"/>
    <w:rsid w:val="00FC2EC7"/>
    <w:rsid w:val="00FC6A55"/>
    <w:rsid w:val="00FC7722"/>
    <w:rsid w:val="00FC7B0B"/>
    <w:rsid w:val="00FD1D7B"/>
    <w:rsid w:val="00FD27F1"/>
    <w:rsid w:val="00FD3813"/>
    <w:rsid w:val="00FD3B5A"/>
    <w:rsid w:val="00FD4BA4"/>
    <w:rsid w:val="00FD5000"/>
    <w:rsid w:val="00FD5DED"/>
    <w:rsid w:val="00FD6D40"/>
    <w:rsid w:val="00FE11D1"/>
    <w:rsid w:val="00FE27AA"/>
    <w:rsid w:val="00FE447E"/>
    <w:rsid w:val="00FE7456"/>
    <w:rsid w:val="00FE746E"/>
    <w:rsid w:val="00FF0F58"/>
    <w:rsid w:val="00FF1706"/>
    <w:rsid w:val="00FF21B8"/>
    <w:rsid w:val="00FF2D2B"/>
    <w:rsid w:val="00FF3B0F"/>
    <w:rsid w:val="00FF7B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B055D"/>
  <w15:docId w15:val="{D642D627-CA58-403C-A9C1-02534233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17A8"/>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226BB"/>
    <w:pPr>
      <w:ind w:left="1134"/>
      <w:outlineLvl w:val="0"/>
    </w:pPr>
  </w:style>
  <w:style w:type="paragraph" w:styleId="Heading2">
    <w:name w:val="heading 2"/>
    <w:basedOn w:val="Normal"/>
    <w:next w:val="Normal"/>
    <w:link w:val="Heading2Char"/>
    <w:qFormat/>
    <w:rsid w:val="00F226B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226B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226B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226B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226B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226BB"/>
    <w:pPr>
      <w:keepNext/>
      <w:keepLines/>
      <w:spacing w:before="360" w:after="240" w:line="270" w:lineRule="exact"/>
      <w:ind w:left="1134" w:right="1134" w:hanging="1134"/>
    </w:pPr>
    <w:rPr>
      <w:b/>
      <w:sz w:val="24"/>
    </w:rPr>
  </w:style>
  <w:style w:type="paragraph" w:customStyle="1" w:styleId="H23G">
    <w:name w:val="_ H_2/3_G"/>
    <w:basedOn w:val="Normal"/>
    <w:next w:val="Normal"/>
    <w:rsid w:val="00F226B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226B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226B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226BB"/>
    <w:pPr>
      <w:spacing w:after="120"/>
      <w:ind w:left="1134" w:right="1134"/>
      <w:jc w:val="both"/>
    </w:pPr>
    <w:rPr>
      <w:rFonts w:eastAsia="Times New Roman"/>
      <w:lang w:eastAsia="en-US"/>
    </w:rPr>
  </w:style>
  <w:style w:type="paragraph" w:customStyle="1" w:styleId="SLG">
    <w:name w:val="__S_L_G"/>
    <w:basedOn w:val="Normal"/>
    <w:next w:val="Normal"/>
    <w:rsid w:val="00F226BB"/>
    <w:pPr>
      <w:keepNext/>
      <w:keepLines/>
      <w:spacing w:before="240" w:after="240" w:line="580" w:lineRule="exact"/>
      <w:ind w:left="1134" w:right="1134"/>
    </w:pPr>
    <w:rPr>
      <w:b/>
      <w:sz w:val="56"/>
    </w:rPr>
  </w:style>
  <w:style w:type="paragraph" w:customStyle="1" w:styleId="SMG">
    <w:name w:val="__S_M_G"/>
    <w:basedOn w:val="Normal"/>
    <w:next w:val="Normal"/>
    <w:rsid w:val="00F226BB"/>
    <w:pPr>
      <w:keepNext/>
      <w:keepLines/>
      <w:spacing w:before="240" w:after="240" w:line="420" w:lineRule="exact"/>
      <w:ind w:left="1134" w:right="1134"/>
    </w:pPr>
    <w:rPr>
      <w:b/>
      <w:sz w:val="40"/>
    </w:rPr>
  </w:style>
  <w:style w:type="paragraph" w:customStyle="1" w:styleId="SSG">
    <w:name w:val="__S_S_G"/>
    <w:basedOn w:val="Normal"/>
    <w:next w:val="Normal"/>
    <w:rsid w:val="00F226BB"/>
    <w:pPr>
      <w:keepNext/>
      <w:keepLines/>
      <w:spacing w:before="240" w:after="240" w:line="300" w:lineRule="exact"/>
      <w:ind w:left="1134" w:right="1134"/>
    </w:pPr>
    <w:rPr>
      <w:b/>
      <w:sz w:val="28"/>
    </w:rPr>
  </w:style>
  <w:style w:type="paragraph" w:customStyle="1" w:styleId="XLargeG">
    <w:name w:val="__XLarge_G"/>
    <w:basedOn w:val="Normal"/>
    <w:next w:val="Normal"/>
    <w:rsid w:val="00F226BB"/>
    <w:pPr>
      <w:keepNext/>
      <w:keepLines/>
      <w:spacing w:before="240" w:after="240" w:line="420" w:lineRule="exact"/>
      <w:ind w:left="1134" w:right="1134"/>
    </w:pPr>
    <w:rPr>
      <w:b/>
      <w:sz w:val="40"/>
    </w:rPr>
  </w:style>
  <w:style w:type="paragraph" w:customStyle="1" w:styleId="Bullet1G">
    <w:name w:val="_Bullet 1_G"/>
    <w:basedOn w:val="Normal"/>
    <w:rsid w:val="00F226BB"/>
    <w:pPr>
      <w:numPr>
        <w:numId w:val="22"/>
      </w:numPr>
      <w:spacing w:after="120"/>
      <w:ind w:right="1134"/>
      <w:jc w:val="both"/>
    </w:pPr>
  </w:style>
  <w:style w:type="paragraph" w:customStyle="1" w:styleId="Bullet2G">
    <w:name w:val="_Bullet 2_G"/>
    <w:basedOn w:val="Normal"/>
    <w:rsid w:val="00F226BB"/>
    <w:pPr>
      <w:numPr>
        <w:numId w:val="23"/>
      </w:numPr>
      <w:spacing w:after="120"/>
      <w:ind w:right="1134"/>
      <w:jc w:val="both"/>
    </w:pPr>
  </w:style>
  <w:style w:type="paragraph" w:customStyle="1" w:styleId="AnnoHCHG">
    <w:name w:val="Anno _ H_CH_G"/>
    <w:basedOn w:val="Normal"/>
    <w:next w:val="AnnoH1G"/>
    <w:rsid w:val="00F226BB"/>
    <w:pPr>
      <w:keepNext/>
      <w:keepLines/>
      <w:numPr>
        <w:numId w:val="24"/>
      </w:numPr>
      <w:spacing w:before="360" w:after="240" w:line="300" w:lineRule="exact"/>
      <w:ind w:right="1134"/>
    </w:pPr>
    <w:rPr>
      <w:b/>
      <w:sz w:val="28"/>
    </w:rPr>
  </w:style>
  <w:style w:type="paragraph" w:customStyle="1" w:styleId="AnnoH1G">
    <w:name w:val="Anno_ H_1_G"/>
    <w:basedOn w:val="Normal"/>
    <w:next w:val="AnnoH23G"/>
    <w:autoRedefine/>
    <w:rsid w:val="00F226BB"/>
    <w:pPr>
      <w:keepNext/>
      <w:keepLines/>
      <w:numPr>
        <w:ilvl w:val="1"/>
        <w:numId w:val="24"/>
      </w:numPr>
      <w:spacing w:before="360" w:after="240" w:line="270" w:lineRule="exact"/>
      <w:ind w:right="1134"/>
    </w:pPr>
    <w:rPr>
      <w:b/>
      <w:sz w:val="24"/>
    </w:rPr>
  </w:style>
  <w:style w:type="paragraph" w:customStyle="1" w:styleId="AnnoH23G">
    <w:name w:val="Anno_ H_2/3_G"/>
    <w:basedOn w:val="Normal"/>
    <w:next w:val="AnnoSingleTxtG"/>
    <w:autoRedefine/>
    <w:rsid w:val="00F226BB"/>
    <w:pPr>
      <w:keepNext/>
      <w:keepLines/>
      <w:numPr>
        <w:ilvl w:val="2"/>
        <w:numId w:val="24"/>
      </w:numPr>
      <w:spacing w:before="240" w:after="120" w:line="240" w:lineRule="exact"/>
      <w:ind w:right="1134"/>
    </w:pPr>
    <w:rPr>
      <w:u w:val="single"/>
    </w:rPr>
  </w:style>
  <w:style w:type="paragraph" w:customStyle="1" w:styleId="AnnoSingleTxtG">
    <w:name w:val="Anno_ Single Txt_G"/>
    <w:basedOn w:val="Normal"/>
    <w:link w:val="AnnoSingleTxtGChar"/>
    <w:rsid w:val="00F226BB"/>
    <w:pPr>
      <w:numPr>
        <w:ilvl w:val="3"/>
        <w:numId w:val="24"/>
      </w:numPr>
      <w:spacing w:after="120"/>
      <w:ind w:right="1134"/>
      <w:jc w:val="both"/>
    </w:pPr>
  </w:style>
  <w:style w:type="character" w:styleId="FootnoteReference">
    <w:name w:val="footnote reference"/>
    <w:aliases w:val="4_G"/>
    <w:rsid w:val="00F226BB"/>
    <w:rPr>
      <w:rFonts w:ascii="Times New Roman" w:hAnsi="Times New Roman"/>
      <w:sz w:val="18"/>
      <w:vertAlign w:val="superscript"/>
    </w:rPr>
  </w:style>
  <w:style w:type="character" w:styleId="EndnoteReference">
    <w:name w:val="endnote reference"/>
    <w:aliases w:val="1_G"/>
    <w:rsid w:val="00F226BB"/>
    <w:rPr>
      <w:rFonts w:ascii="Times New Roman" w:hAnsi="Times New Roman"/>
      <w:sz w:val="18"/>
      <w:vertAlign w:val="superscript"/>
    </w:rPr>
  </w:style>
  <w:style w:type="paragraph" w:styleId="EndnoteText">
    <w:name w:val="endnote text"/>
    <w:aliases w:val="2_G"/>
    <w:basedOn w:val="FootnoteText"/>
    <w:link w:val="EndnoteTextChar"/>
    <w:rsid w:val="00F226BB"/>
  </w:style>
  <w:style w:type="paragraph" w:styleId="FootnoteText">
    <w:name w:val="footnote text"/>
    <w:aliases w:val="5_G"/>
    <w:basedOn w:val="Normal"/>
    <w:link w:val="FootnoteTextChar"/>
    <w:rsid w:val="00F226BB"/>
    <w:pPr>
      <w:tabs>
        <w:tab w:val="right" w:pos="1021"/>
      </w:tabs>
      <w:spacing w:line="220" w:lineRule="exact"/>
      <w:ind w:left="1134" w:right="1134" w:hanging="1134"/>
    </w:pPr>
    <w:rPr>
      <w:sz w:val="18"/>
    </w:rPr>
  </w:style>
  <w:style w:type="paragraph" w:styleId="Footer">
    <w:name w:val="footer"/>
    <w:aliases w:val="3_G"/>
    <w:basedOn w:val="Normal"/>
    <w:link w:val="FooterChar"/>
    <w:rsid w:val="00F226BB"/>
    <w:rPr>
      <w:sz w:val="16"/>
    </w:rPr>
  </w:style>
  <w:style w:type="paragraph" w:customStyle="1" w:styleId="FootnoteTable">
    <w:name w:val="Footnote Table"/>
    <w:basedOn w:val="Normal"/>
    <w:rsid w:val="00F226BB"/>
    <w:pPr>
      <w:spacing w:line="220" w:lineRule="exact"/>
      <w:jc w:val="both"/>
    </w:pPr>
    <w:rPr>
      <w:sz w:val="18"/>
    </w:rPr>
  </w:style>
  <w:style w:type="paragraph" w:styleId="Header">
    <w:name w:val="header"/>
    <w:aliases w:val="6_G"/>
    <w:basedOn w:val="Normal"/>
    <w:link w:val="HeaderChar"/>
    <w:rsid w:val="00F226BB"/>
    <w:pPr>
      <w:pBdr>
        <w:bottom w:val="single" w:sz="4" w:space="4" w:color="auto"/>
      </w:pBdr>
    </w:pPr>
    <w:rPr>
      <w:b/>
      <w:sz w:val="18"/>
    </w:rPr>
  </w:style>
  <w:style w:type="character" w:styleId="PageNumber">
    <w:name w:val="page number"/>
    <w:aliases w:val="7_G"/>
    <w:rsid w:val="00F226BB"/>
    <w:rPr>
      <w:rFonts w:ascii="Times New Roman" w:hAnsi="Times New Roman"/>
      <w:b/>
      <w:sz w:val="18"/>
    </w:rPr>
  </w:style>
  <w:style w:type="paragraph" w:customStyle="1" w:styleId="RegHChG">
    <w:name w:val="Reg_H__Ch_G"/>
    <w:basedOn w:val="Normal"/>
    <w:next w:val="RegH1G"/>
    <w:link w:val="RegHChGCharChar"/>
    <w:rsid w:val="00F226BB"/>
    <w:pPr>
      <w:keepNext/>
      <w:keepLines/>
      <w:numPr>
        <w:numId w:val="25"/>
      </w:numPr>
      <w:spacing w:before="360" w:after="240" w:line="300" w:lineRule="exact"/>
      <w:ind w:right="1134"/>
    </w:pPr>
    <w:rPr>
      <w:b/>
      <w:sz w:val="28"/>
    </w:rPr>
  </w:style>
  <w:style w:type="paragraph" w:customStyle="1" w:styleId="RegH1G">
    <w:name w:val="Reg_H_1_G"/>
    <w:basedOn w:val="Normal"/>
    <w:next w:val="RegH23G"/>
    <w:rsid w:val="00F226BB"/>
    <w:pPr>
      <w:keepNext/>
      <w:keepLines/>
      <w:numPr>
        <w:ilvl w:val="1"/>
        <w:numId w:val="25"/>
      </w:numPr>
      <w:spacing w:before="360" w:after="240" w:line="270" w:lineRule="exact"/>
      <w:ind w:right="1134"/>
    </w:pPr>
    <w:rPr>
      <w:b/>
      <w:sz w:val="24"/>
    </w:rPr>
  </w:style>
  <w:style w:type="paragraph" w:customStyle="1" w:styleId="RegH23G">
    <w:name w:val="Reg_H_2/3_G"/>
    <w:basedOn w:val="Normal"/>
    <w:next w:val="RegSingleTxtG"/>
    <w:rsid w:val="00F226BB"/>
    <w:pPr>
      <w:keepNext/>
      <w:keepLines/>
      <w:numPr>
        <w:ilvl w:val="2"/>
        <w:numId w:val="25"/>
      </w:numPr>
      <w:spacing w:before="240" w:after="120" w:line="240" w:lineRule="exact"/>
      <w:ind w:right="1134"/>
    </w:pPr>
    <w:rPr>
      <w:b/>
    </w:rPr>
  </w:style>
  <w:style w:type="paragraph" w:customStyle="1" w:styleId="RegSingleTxtG">
    <w:name w:val="Reg_Single Txt_G"/>
    <w:basedOn w:val="Normal"/>
    <w:link w:val="RegSingleTxtGChar"/>
    <w:unhideWhenUsed/>
    <w:rsid w:val="00F226BB"/>
    <w:pPr>
      <w:numPr>
        <w:ilvl w:val="3"/>
        <w:numId w:val="25"/>
      </w:numPr>
      <w:tabs>
        <w:tab w:val="left" w:pos="1701"/>
      </w:tabs>
      <w:spacing w:after="120"/>
      <w:ind w:right="1134"/>
      <w:jc w:val="both"/>
    </w:pPr>
  </w:style>
  <w:style w:type="paragraph" w:styleId="TOC1">
    <w:name w:val="toc 1"/>
    <w:basedOn w:val="Normal"/>
    <w:next w:val="Normal"/>
    <w:autoRedefine/>
    <w:rsid w:val="00BA1B89"/>
    <w:pPr>
      <w:tabs>
        <w:tab w:val="right" w:pos="851"/>
        <w:tab w:val="left" w:pos="1134"/>
        <w:tab w:val="left" w:pos="1559"/>
        <w:tab w:val="left" w:pos="1985"/>
        <w:tab w:val="left" w:leader="dot" w:pos="7655"/>
        <w:tab w:val="right" w:pos="8930"/>
        <w:tab w:val="right" w:pos="9639"/>
      </w:tabs>
      <w:spacing w:after="120"/>
      <w:ind w:left="1134" w:hanging="1134"/>
    </w:pPr>
  </w:style>
  <w:style w:type="paragraph" w:styleId="TOC2">
    <w:name w:val="toc 2"/>
    <w:basedOn w:val="Normal"/>
    <w:next w:val="Normal"/>
    <w:autoRedefine/>
    <w:rsid w:val="00F226BB"/>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226B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226BB"/>
    <w:pPr>
      <w:spacing w:line="240" w:lineRule="auto"/>
    </w:pPr>
    <w:rPr>
      <w:rFonts w:ascii="Tahoma" w:hAnsi="Tahoma" w:cs="Tahoma"/>
      <w:sz w:val="16"/>
      <w:szCs w:val="16"/>
    </w:rPr>
  </w:style>
  <w:style w:type="character" w:customStyle="1" w:styleId="BalloonTextChar">
    <w:name w:val="Balloon Text Char"/>
    <w:link w:val="BalloonText"/>
    <w:rsid w:val="00F226BB"/>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226BB"/>
    <w:pPr>
      <w:ind w:left="720"/>
      <w:contextualSpacing/>
    </w:pPr>
  </w:style>
  <w:style w:type="character" w:customStyle="1" w:styleId="Heading2Char">
    <w:name w:val="Heading 2 Char"/>
    <w:link w:val="Heading2"/>
    <w:rsid w:val="00F226BB"/>
    <w:rPr>
      <w:rFonts w:ascii="Cambria" w:hAnsi="Cambria"/>
      <w:b/>
      <w:bCs/>
      <w:color w:val="4F81BD"/>
      <w:sz w:val="26"/>
      <w:szCs w:val="26"/>
      <w:lang w:val="en-GB" w:eastAsia="zh-CN"/>
    </w:rPr>
  </w:style>
  <w:style w:type="character" w:customStyle="1" w:styleId="Heading4Char">
    <w:name w:val="Heading 4 Char"/>
    <w:link w:val="Heading4"/>
    <w:rsid w:val="00F226BB"/>
    <w:rPr>
      <w:rFonts w:ascii="Cambria" w:hAnsi="Cambria"/>
      <w:b/>
      <w:bCs/>
      <w:i/>
      <w:iCs/>
      <w:color w:val="4F81BD"/>
      <w:lang w:val="en-GB" w:eastAsia="zh-CN"/>
    </w:rPr>
  </w:style>
  <w:style w:type="character" w:customStyle="1" w:styleId="Heading5Char">
    <w:name w:val="Heading 5 Char"/>
    <w:link w:val="Heading5"/>
    <w:rsid w:val="00F226BB"/>
    <w:rPr>
      <w:rFonts w:ascii="Cambria" w:hAnsi="Cambria"/>
      <w:color w:val="243F60"/>
      <w:lang w:val="en-GB" w:eastAsia="zh-CN"/>
    </w:rPr>
  </w:style>
  <w:style w:type="paragraph" w:customStyle="1" w:styleId="ListParagraphforAnnexes">
    <w:name w:val="List Paragraph for Annexes"/>
    <w:basedOn w:val="ListParagraph"/>
    <w:qFormat/>
    <w:rsid w:val="00F226BB"/>
    <w:pPr>
      <w:spacing w:before="120" w:after="120" w:line="240" w:lineRule="exact"/>
      <w:contextualSpacing w:val="0"/>
    </w:pPr>
  </w:style>
  <w:style w:type="paragraph" w:customStyle="1" w:styleId="RegHead1">
    <w:name w:val="RegHead1"/>
    <w:basedOn w:val="Normal"/>
    <w:next w:val="RegHead2"/>
    <w:rsid w:val="00A61BEC"/>
    <w:pPr>
      <w:keepNext/>
      <w:numPr>
        <w:numId w:val="1"/>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1"/>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1"/>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1"/>
      </w:numPr>
      <w:suppressAutoHyphens w:val="0"/>
      <w:spacing w:before="180" w:line="240" w:lineRule="auto"/>
    </w:pPr>
    <w:rPr>
      <w:rFonts w:eastAsia="Times New Roman"/>
      <w:sz w:val="22"/>
      <w:lang w:eastAsia="de-DE"/>
    </w:rPr>
  </w:style>
  <w:style w:type="character" w:customStyle="1" w:styleId="FootnoteTextChar">
    <w:name w:val="Footnote Text Char"/>
    <w:aliases w:val="5_G Char"/>
    <w:link w:val="FootnoteText"/>
    <w:locked/>
    <w:rsid w:val="00A61BEC"/>
    <w:rPr>
      <w:rFonts w:eastAsia="SimSun"/>
      <w:sz w:val="18"/>
      <w:lang w:val="en-GB" w:eastAsia="zh-CN"/>
    </w:rPr>
  </w:style>
  <w:style w:type="character" w:customStyle="1" w:styleId="RegSingleTxtGChar">
    <w:name w:val="Reg_Single Txt_G Char"/>
    <w:link w:val="RegSingleTxtG"/>
    <w:rsid w:val="005A17A8"/>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71398F"/>
    <w:rPr>
      <w:rFonts w:eastAsia="SimSun"/>
      <w:lang w:val="en-GB" w:eastAsia="zh-CN"/>
    </w:rPr>
  </w:style>
  <w:style w:type="character" w:customStyle="1" w:styleId="RegHChGCharChar">
    <w:name w:val="Reg_H__Ch_G Char Char"/>
    <w:link w:val="RegHChG"/>
    <w:rsid w:val="009A4C47"/>
    <w:rPr>
      <w:rFonts w:eastAsia="SimSun"/>
      <w:b/>
      <w:sz w:val="28"/>
      <w:lang w:val="en-GB" w:eastAsia="zh-CN"/>
    </w:rPr>
  </w:style>
  <w:style w:type="character" w:customStyle="1" w:styleId="FooterChar">
    <w:name w:val="Footer Char"/>
    <w:aliases w:val="3_G Char"/>
    <w:link w:val="Footer"/>
    <w:rsid w:val="00CD07A1"/>
    <w:rPr>
      <w:rFonts w:eastAsia="SimSun"/>
      <w:sz w:val="16"/>
      <w:lang w:val="en-GB" w:eastAsia="zh-CN"/>
    </w:rPr>
  </w:style>
  <w:style w:type="character" w:customStyle="1" w:styleId="HeaderChar">
    <w:name w:val="Header Char"/>
    <w:aliases w:val="6_G Char"/>
    <w:link w:val="Header"/>
    <w:rsid w:val="00CD07A1"/>
    <w:rPr>
      <w:rFonts w:eastAsia="SimSun"/>
      <w:b/>
      <w:sz w:val="18"/>
      <w:lang w:val="en-GB" w:eastAsia="zh-CN"/>
    </w:rPr>
  </w:style>
  <w:style w:type="character" w:styleId="Hyperlink">
    <w:name w:val="Hyperlink"/>
    <w:basedOn w:val="DefaultParagraphFont"/>
    <w:uiPriority w:val="99"/>
    <w:unhideWhenUsed/>
    <w:rsid w:val="002D3522"/>
    <w:rPr>
      <w:color w:val="0000FF" w:themeColor="hyperlink"/>
      <w:u w:val="single"/>
    </w:rPr>
  </w:style>
  <w:style w:type="paragraph" w:styleId="TOCHeading">
    <w:name w:val="TOC Heading"/>
    <w:basedOn w:val="Heading1"/>
    <w:next w:val="Normal"/>
    <w:uiPriority w:val="39"/>
    <w:semiHidden/>
    <w:unhideWhenUsed/>
    <w:qFormat/>
    <w:rsid w:val="00272C73"/>
    <w:pPr>
      <w:keepNext/>
      <w:keepLines/>
      <w:suppressAutoHyphens w:val="0"/>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ChGChar">
    <w:name w:val="_ H _Ch_G Char"/>
    <w:link w:val="HChG"/>
    <w:locked/>
    <w:rsid w:val="007830F0"/>
    <w:rPr>
      <w:rFonts w:eastAsia="SimSun"/>
      <w:b/>
      <w:sz w:val="28"/>
      <w:lang w:val="en-GB" w:eastAsia="zh-CN"/>
    </w:rPr>
  </w:style>
  <w:style w:type="character" w:customStyle="1" w:styleId="Heading1Char">
    <w:name w:val="Heading 1 Char"/>
    <w:aliases w:val="Table_G Char"/>
    <w:basedOn w:val="DefaultParagraphFont"/>
    <w:link w:val="Heading1"/>
    <w:rsid w:val="00E85641"/>
    <w:rPr>
      <w:rFonts w:eastAsia="SimSun"/>
      <w:lang w:val="en-GB" w:eastAsia="zh-CN"/>
    </w:rPr>
  </w:style>
  <w:style w:type="character" w:customStyle="1" w:styleId="EndnoteTextChar">
    <w:name w:val="Endnote Text Char"/>
    <w:aliases w:val="2_G Char"/>
    <w:basedOn w:val="DefaultParagraphFont"/>
    <w:link w:val="EndnoteText"/>
    <w:rsid w:val="00E85641"/>
    <w:rPr>
      <w:rFonts w:eastAsia="SimSun"/>
      <w:sz w:val="18"/>
      <w:lang w:val="en-GB" w:eastAsia="zh-CN"/>
    </w:rPr>
  </w:style>
  <w:style w:type="table" w:styleId="TableGrid">
    <w:name w:val="Table Grid"/>
    <w:basedOn w:val="TableNormal"/>
    <w:rsid w:val="00E85641"/>
    <w:pPr>
      <w:suppressAutoHyphens/>
      <w:spacing w:line="240" w:lineRule="atLeast"/>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unhideWhenUsed/>
    <w:rsid w:val="00B1184B"/>
    <w:pPr>
      <w:spacing w:after="100"/>
      <w:ind w:left="600"/>
    </w:pPr>
  </w:style>
  <w:style w:type="paragraph" w:styleId="TOC5">
    <w:name w:val="toc 5"/>
    <w:basedOn w:val="Normal"/>
    <w:next w:val="Normal"/>
    <w:autoRedefine/>
    <w:semiHidden/>
    <w:unhideWhenUsed/>
    <w:rsid w:val="00B1184B"/>
    <w:pPr>
      <w:spacing w:after="100"/>
      <w:ind w:left="800"/>
    </w:pPr>
  </w:style>
  <w:style w:type="paragraph" w:styleId="TOC6">
    <w:name w:val="toc 6"/>
    <w:basedOn w:val="Normal"/>
    <w:next w:val="Normal"/>
    <w:autoRedefine/>
    <w:semiHidden/>
    <w:unhideWhenUsed/>
    <w:rsid w:val="00B1184B"/>
    <w:pPr>
      <w:spacing w:after="100"/>
      <w:ind w:left="1000"/>
    </w:pPr>
  </w:style>
  <w:style w:type="paragraph" w:styleId="TOC7">
    <w:name w:val="toc 7"/>
    <w:basedOn w:val="Normal"/>
    <w:next w:val="Normal"/>
    <w:autoRedefine/>
    <w:semiHidden/>
    <w:unhideWhenUsed/>
    <w:rsid w:val="00B1184B"/>
    <w:pPr>
      <w:spacing w:after="100"/>
      <w:ind w:left="1200"/>
    </w:pPr>
  </w:style>
  <w:style w:type="paragraph" w:styleId="TOC8">
    <w:name w:val="toc 8"/>
    <w:basedOn w:val="Normal"/>
    <w:next w:val="Normal"/>
    <w:autoRedefine/>
    <w:semiHidden/>
    <w:unhideWhenUsed/>
    <w:rsid w:val="00B1184B"/>
    <w:pPr>
      <w:spacing w:after="100"/>
      <w:ind w:left="1400"/>
    </w:pPr>
  </w:style>
  <w:style w:type="paragraph" w:styleId="TOC9">
    <w:name w:val="toc 9"/>
    <w:basedOn w:val="Normal"/>
    <w:next w:val="Normal"/>
    <w:autoRedefine/>
    <w:semiHidden/>
    <w:unhideWhenUsed/>
    <w:rsid w:val="00B1184B"/>
    <w:pPr>
      <w:spacing w:after="100"/>
      <w:ind w:left="1600"/>
    </w:pPr>
  </w:style>
  <w:style w:type="character" w:styleId="FollowedHyperlink">
    <w:name w:val="FollowedHyperlink"/>
    <w:basedOn w:val="DefaultParagraphFont"/>
    <w:uiPriority w:val="99"/>
    <w:semiHidden/>
    <w:unhideWhenUsed/>
    <w:rsid w:val="00811AEC"/>
    <w:rPr>
      <w:color w:val="800080" w:themeColor="followedHyperlink"/>
      <w:u w:val="single"/>
    </w:rPr>
  </w:style>
  <w:style w:type="character" w:customStyle="1" w:styleId="Heading1Char1">
    <w:name w:val="Heading 1 Char1"/>
    <w:aliases w:val="Table_G Char1"/>
    <w:basedOn w:val="DefaultParagraphFont"/>
    <w:rsid w:val="00811AEC"/>
    <w:rPr>
      <w:rFonts w:asciiTheme="majorHAnsi" w:eastAsiaTheme="majorEastAsia" w:hAnsiTheme="majorHAnsi" w:cstheme="majorBidi"/>
      <w:b/>
      <w:bCs/>
      <w:color w:val="365F91" w:themeColor="accent1" w:themeShade="BF"/>
      <w:sz w:val="28"/>
      <w:szCs w:val="28"/>
      <w:lang w:val="en-GB" w:eastAsia="zh-CN"/>
    </w:rPr>
  </w:style>
  <w:style w:type="character" w:customStyle="1" w:styleId="FootnoteTextChar1">
    <w:name w:val="Footnote Text Char1"/>
    <w:aliases w:val="5_G Char1,Geneva 9 Char1,Font: Geneva 9 Char1,Boston 10 Char1,f Char1,fn Char1,footnote text Char1,Footnotes Char1,Footnote ak Char1,Char Char1,Char Char Char Char Char1,Default Paragraph Font Char Char Char1,Footno Char1"/>
    <w:basedOn w:val="DefaultParagraphFont"/>
    <w:semiHidden/>
    <w:rsid w:val="00811AEC"/>
    <w:rPr>
      <w:rFonts w:eastAsia="SimSun"/>
      <w:lang w:val="en-GB" w:eastAsia="zh-CN"/>
    </w:rPr>
  </w:style>
  <w:style w:type="character" w:customStyle="1" w:styleId="HeaderChar1">
    <w:name w:val="Header Char1"/>
    <w:aliases w:val="6_G Char1"/>
    <w:basedOn w:val="DefaultParagraphFont"/>
    <w:semiHidden/>
    <w:rsid w:val="00811AEC"/>
    <w:rPr>
      <w:rFonts w:eastAsia="SimSun"/>
      <w:lang w:val="en-GB" w:eastAsia="zh-CN"/>
    </w:rPr>
  </w:style>
  <w:style w:type="character" w:customStyle="1" w:styleId="FooterChar1">
    <w:name w:val="Footer Char1"/>
    <w:aliases w:val="3_G Char1"/>
    <w:basedOn w:val="DefaultParagraphFont"/>
    <w:semiHidden/>
    <w:rsid w:val="00811AEC"/>
    <w:rPr>
      <w:rFonts w:eastAsia="SimSun"/>
      <w:lang w:val="en-GB" w:eastAsia="zh-CN"/>
    </w:rPr>
  </w:style>
  <w:style w:type="character" w:customStyle="1" w:styleId="EndnoteTextChar1">
    <w:name w:val="Endnote Text Char1"/>
    <w:aliases w:val="2_G Char1"/>
    <w:basedOn w:val="DefaultParagraphFont"/>
    <w:semiHidden/>
    <w:rsid w:val="00811AEC"/>
    <w:rPr>
      <w:rFonts w:eastAsia="SimSun"/>
      <w:lang w:val="en-GB" w:eastAsia="zh-CN"/>
    </w:rPr>
  </w:style>
  <w:style w:type="character" w:customStyle="1" w:styleId="ListParagraphChar">
    <w:name w:val="List Paragraph Char"/>
    <w:link w:val="ListParagraph"/>
    <w:uiPriority w:val="34"/>
    <w:rsid w:val="00895001"/>
    <w:rPr>
      <w:rFonts w:eastAsia="SimSun"/>
      <w:lang w:val="en-GB" w:eastAsia="zh-CN"/>
    </w:rPr>
  </w:style>
  <w:style w:type="table" w:customStyle="1" w:styleId="TableGrid3">
    <w:name w:val="Table Grid3"/>
    <w:basedOn w:val="TableNormal"/>
    <w:next w:val="TableGrid"/>
    <w:rsid w:val="00895001"/>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261893">
      <w:bodyDiv w:val="1"/>
      <w:marLeft w:val="0"/>
      <w:marRight w:val="0"/>
      <w:marTop w:val="0"/>
      <w:marBottom w:val="0"/>
      <w:divBdr>
        <w:top w:val="none" w:sz="0" w:space="0" w:color="auto"/>
        <w:left w:val="none" w:sz="0" w:space="0" w:color="auto"/>
        <w:bottom w:val="none" w:sz="0" w:space="0" w:color="auto"/>
        <w:right w:val="none" w:sz="0" w:space="0" w:color="auto"/>
      </w:divBdr>
    </w:div>
    <w:div w:id="552079585">
      <w:bodyDiv w:val="1"/>
      <w:marLeft w:val="0"/>
      <w:marRight w:val="0"/>
      <w:marTop w:val="0"/>
      <w:marBottom w:val="0"/>
      <w:divBdr>
        <w:top w:val="none" w:sz="0" w:space="0" w:color="auto"/>
        <w:left w:val="none" w:sz="0" w:space="0" w:color="auto"/>
        <w:bottom w:val="none" w:sz="0" w:space="0" w:color="auto"/>
        <w:right w:val="none" w:sz="0" w:space="0" w:color="auto"/>
      </w:divBdr>
    </w:div>
    <w:div w:id="745107664">
      <w:bodyDiv w:val="1"/>
      <w:marLeft w:val="0"/>
      <w:marRight w:val="0"/>
      <w:marTop w:val="0"/>
      <w:marBottom w:val="0"/>
      <w:divBdr>
        <w:top w:val="none" w:sz="0" w:space="0" w:color="auto"/>
        <w:left w:val="none" w:sz="0" w:space="0" w:color="auto"/>
        <w:bottom w:val="none" w:sz="0" w:space="0" w:color="auto"/>
        <w:right w:val="none" w:sz="0" w:space="0" w:color="auto"/>
      </w:divBdr>
    </w:div>
    <w:div w:id="751777573">
      <w:bodyDiv w:val="1"/>
      <w:marLeft w:val="0"/>
      <w:marRight w:val="0"/>
      <w:marTop w:val="0"/>
      <w:marBottom w:val="0"/>
      <w:divBdr>
        <w:top w:val="none" w:sz="0" w:space="0" w:color="auto"/>
        <w:left w:val="none" w:sz="0" w:space="0" w:color="auto"/>
        <w:bottom w:val="none" w:sz="0" w:space="0" w:color="auto"/>
        <w:right w:val="none" w:sz="0" w:space="0" w:color="auto"/>
      </w:divBdr>
    </w:div>
    <w:div w:id="765616413">
      <w:bodyDiv w:val="1"/>
      <w:marLeft w:val="0"/>
      <w:marRight w:val="0"/>
      <w:marTop w:val="0"/>
      <w:marBottom w:val="0"/>
      <w:divBdr>
        <w:top w:val="none" w:sz="0" w:space="0" w:color="auto"/>
        <w:left w:val="none" w:sz="0" w:space="0" w:color="auto"/>
        <w:bottom w:val="none" w:sz="0" w:space="0" w:color="auto"/>
        <w:right w:val="none" w:sz="0" w:space="0" w:color="auto"/>
      </w:divBdr>
    </w:div>
    <w:div w:id="830608953">
      <w:bodyDiv w:val="1"/>
      <w:marLeft w:val="0"/>
      <w:marRight w:val="0"/>
      <w:marTop w:val="0"/>
      <w:marBottom w:val="0"/>
      <w:divBdr>
        <w:top w:val="none" w:sz="0" w:space="0" w:color="auto"/>
        <w:left w:val="none" w:sz="0" w:space="0" w:color="auto"/>
        <w:bottom w:val="none" w:sz="0" w:space="0" w:color="auto"/>
        <w:right w:val="none" w:sz="0" w:space="0" w:color="auto"/>
      </w:divBdr>
    </w:div>
    <w:div w:id="1105880913">
      <w:bodyDiv w:val="1"/>
      <w:marLeft w:val="0"/>
      <w:marRight w:val="0"/>
      <w:marTop w:val="0"/>
      <w:marBottom w:val="0"/>
      <w:divBdr>
        <w:top w:val="none" w:sz="0" w:space="0" w:color="auto"/>
        <w:left w:val="none" w:sz="0" w:space="0" w:color="auto"/>
        <w:bottom w:val="none" w:sz="0" w:space="0" w:color="auto"/>
        <w:right w:val="none" w:sz="0" w:space="0" w:color="auto"/>
      </w:divBdr>
    </w:div>
    <w:div w:id="1682469028">
      <w:bodyDiv w:val="1"/>
      <w:marLeft w:val="0"/>
      <w:marRight w:val="0"/>
      <w:marTop w:val="0"/>
      <w:marBottom w:val="0"/>
      <w:divBdr>
        <w:top w:val="none" w:sz="0" w:space="0" w:color="auto"/>
        <w:left w:val="none" w:sz="0" w:space="0" w:color="auto"/>
        <w:bottom w:val="none" w:sz="0" w:space="0" w:color="auto"/>
        <w:right w:val="none" w:sz="0" w:space="0" w:color="auto"/>
      </w:divBdr>
    </w:div>
    <w:div w:id="1941141287">
      <w:bodyDiv w:val="1"/>
      <w:marLeft w:val="0"/>
      <w:marRight w:val="0"/>
      <w:marTop w:val="0"/>
      <w:marBottom w:val="0"/>
      <w:divBdr>
        <w:top w:val="none" w:sz="0" w:space="0" w:color="auto"/>
        <w:left w:val="none" w:sz="0" w:space="0" w:color="auto"/>
        <w:bottom w:val="none" w:sz="0" w:space="0" w:color="auto"/>
        <w:right w:val="none" w:sz="0" w:space="0" w:color="auto"/>
      </w:divBdr>
    </w:div>
    <w:div w:id="1968706803">
      <w:bodyDiv w:val="1"/>
      <w:marLeft w:val="0"/>
      <w:marRight w:val="0"/>
      <w:marTop w:val="0"/>
      <w:marBottom w:val="0"/>
      <w:divBdr>
        <w:top w:val="none" w:sz="0" w:space="0" w:color="auto"/>
        <w:left w:val="none" w:sz="0" w:space="0" w:color="auto"/>
        <w:bottom w:val="none" w:sz="0" w:space="0" w:color="auto"/>
        <w:right w:val="none" w:sz="0" w:space="0" w:color="auto"/>
      </w:divBdr>
    </w:div>
    <w:div w:id="20697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header" Target="header5.xml"/><Relationship Id="rId42" Type="http://schemas.openxmlformats.org/officeDocument/2006/relationships/header" Target="header15.xml"/><Relationship Id="rId47" Type="http://schemas.openxmlformats.org/officeDocument/2006/relationships/header" Target="header18.xml"/><Relationship Id="rId63" Type="http://schemas.openxmlformats.org/officeDocument/2006/relationships/footer" Target="footer23.xml"/><Relationship Id="rId68" Type="http://schemas.openxmlformats.org/officeDocument/2006/relationships/header" Target="header28.xml"/><Relationship Id="rId7" Type="http://schemas.openxmlformats.org/officeDocument/2006/relationships/numbering" Target="numbering.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eader" Target="header9.xml"/><Relationship Id="rId11" Type="http://schemas.openxmlformats.org/officeDocument/2006/relationships/footnotes" Target="footnotes.xml"/><Relationship Id="rId24" Type="http://schemas.openxmlformats.org/officeDocument/2006/relationships/footer" Target="footer4.xml"/><Relationship Id="rId32" Type="http://schemas.openxmlformats.org/officeDocument/2006/relationships/footer" Target="footer8.xml"/><Relationship Id="rId37" Type="http://schemas.openxmlformats.org/officeDocument/2006/relationships/footer" Target="footer10.xml"/><Relationship Id="rId40" Type="http://schemas.openxmlformats.org/officeDocument/2006/relationships/footer" Target="footer11.xml"/><Relationship Id="rId45" Type="http://schemas.openxmlformats.org/officeDocument/2006/relationships/footer" Target="footer14.xml"/><Relationship Id="rId53" Type="http://schemas.openxmlformats.org/officeDocument/2006/relationships/footer" Target="footer18.xml"/><Relationship Id="rId58" Type="http://schemas.openxmlformats.org/officeDocument/2006/relationships/header" Target="header23.xml"/><Relationship Id="rId66" Type="http://schemas.openxmlformats.org/officeDocument/2006/relationships/footer" Target="footer24.xml"/><Relationship Id="rId61" Type="http://schemas.openxmlformats.org/officeDocument/2006/relationships/footer" Target="footer22.xml"/><Relationship Id="rId1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footer" Target="footer5.xml"/><Relationship Id="rId30" Type="http://schemas.openxmlformats.org/officeDocument/2006/relationships/header" Target="header10.xml"/><Relationship Id="rId35" Type="http://schemas.openxmlformats.org/officeDocument/2006/relationships/header" Target="header12.xml"/><Relationship Id="rId43" Type="http://schemas.openxmlformats.org/officeDocument/2006/relationships/header" Target="header16.xml"/><Relationship Id="rId48" Type="http://schemas.openxmlformats.org/officeDocument/2006/relationships/footer" Target="footer15.xml"/><Relationship Id="rId56" Type="http://schemas.openxmlformats.org/officeDocument/2006/relationships/footer" Target="footer19.xml"/><Relationship Id="rId64" Type="http://schemas.openxmlformats.org/officeDocument/2006/relationships/header" Target="header26.xml"/><Relationship Id="rId69" Type="http://schemas.openxmlformats.org/officeDocument/2006/relationships/footer" Target="footer26.xml"/><Relationship Id="rId8" Type="http://schemas.openxmlformats.org/officeDocument/2006/relationships/styles" Target="styles.xml"/><Relationship Id="rId51" Type="http://schemas.openxmlformats.org/officeDocument/2006/relationships/header" Target="header20.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7.xml"/><Relationship Id="rId33" Type="http://schemas.openxmlformats.org/officeDocument/2006/relationships/image" Target="media/image3.png"/><Relationship Id="rId38" Type="http://schemas.openxmlformats.org/officeDocument/2006/relationships/header" Target="header13.xml"/><Relationship Id="rId46" Type="http://schemas.openxmlformats.org/officeDocument/2006/relationships/header" Target="header17.xml"/><Relationship Id="rId59" Type="http://schemas.openxmlformats.org/officeDocument/2006/relationships/header" Target="header24.xml"/><Relationship Id="rId67" Type="http://schemas.openxmlformats.org/officeDocument/2006/relationships/footer" Target="footer25.xml"/><Relationship Id="rId20" Type="http://schemas.openxmlformats.org/officeDocument/2006/relationships/header" Target="header4.xml"/><Relationship Id="rId41" Type="http://schemas.openxmlformats.org/officeDocument/2006/relationships/footer" Target="footer12.xml"/><Relationship Id="rId54" Type="http://schemas.openxmlformats.org/officeDocument/2006/relationships/header" Target="header21.xml"/><Relationship Id="rId62" Type="http://schemas.openxmlformats.org/officeDocument/2006/relationships/header" Target="header25.xm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1.xml"/><Relationship Id="rId23" Type="http://schemas.openxmlformats.org/officeDocument/2006/relationships/footer" Target="footer3.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footer" Target="footer16.xml"/><Relationship Id="rId57" Type="http://schemas.openxmlformats.org/officeDocument/2006/relationships/footer" Target="footer20.xml"/><Relationship Id="rId10" Type="http://schemas.openxmlformats.org/officeDocument/2006/relationships/webSettings" Target="webSettings.xml"/><Relationship Id="rId31" Type="http://schemas.openxmlformats.org/officeDocument/2006/relationships/footer" Target="footer7.xml"/><Relationship Id="rId44" Type="http://schemas.openxmlformats.org/officeDocument/2006/relationships/footer" Target="footer13.xml"/><Relationship Id="rId52" Type="http://schemas.openxmlformats.org/officeDocument/2006/relationships/footer" Target="footer17.xml"/><Relationship Id="rId60" Type="http://schemas.openxmlformats.org/officeDocument/2006/relationships/footer" Target="footer21.xml"/><Relationship Id="rId65" Type="http://schemas.openxmlformats.org/officeDocument/2006/relationships/header" Target="header27.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footer" Target="footer2.xml"/><Relationship Id="rId39" Type="http://schemas.openxmlformats.org/officeDocument/2006/relationships/header" Target="header14.xml"/><Relationship Id="rId34" Type="http://schemas.openxmlformats.org/officeDocument/2006/relationships/header" Target="header11.xml"/><Relationship Id="rId50" Type="http://schemas.openxmlformats.org/officeDocument/2006/relationships/header" Target="header19.xml"/><Relationship Id="rId55" Type="http://schemas.openxmlformats.org/officeDocument/2006/relationships/header" Target="header2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F2C40D-446F-42E3-B770-543F8010479B}">
  <ds:schemaRefs>
    <ds:schemaRef ds:uri="http://schemas.openxmlformats.org/officeDocument/2006/bibliography"/>
  </ds:schemaRefs>
</ds:datastoreItem>
</file>

<file path=customXml/itemProps2.xml><?xml version="1.0" encoding="utf-8"?>
<ds:datastoreItem xmlns:ds="http://schemas.openxmlformats.org/officeDocument/2006/customXml" ds:itemID="{EF33B4DA-419B-4937-920B-2A77210CCFA6}"/>
</file>

<file path=customXml/itemProps3.xml><?xml version="1.0" encoding="utf-8"?>
<ds:datastoreItem xmlns:ds="http://schemas.openxmlformats.org/officeDocument/2006/customXml" ds:itemID="{BA66AEBC-FCE4-4225-9A97-252F274ECFEA}">
  <ds:schemaRefs>
    <ds:schemaRef ds:uri="http://schemas.microsoft.com/office/2006/metadata/longProperties"/>
  </ds:schemaRefs>
</ds:datastoreItem>
</file>

<file path=customXml/itemProps4.xml><?xml version="1.0" encoding="utf-8"?>
<ds:datastoreItem xmlns:ds="http://schemas.openxmlformats.org/officeDocument/2006/customXml" ds:itemID="{1D1D2FE9-7D47-4B9B-81C9-1A600E4DBEF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3C3CEFCF-52FB-46BA-96F1-896FEB990927}"/>
</file>

<file path=customXml/itemProps6.xml><?xml version="1.0" encoding="utf-8"?>
<ds:datastoreItem xmlns:ds="http://schemas.openxmlformats.org/officeDocument/2006/customXml" ds:itemID="{61608F33-C97F-49C6-8CBE-128EDCD79D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Template>
  <TotalTime>2</TotalTime>
  <Pages>32</Pages>
  <Words>21496</Words>
  <Characters>122533</Characters>
  <Application>Microsoft Office Word</Application>
  <DocSecurity>0</DocSecurity>
  <Lines>1021</Lines>
  <Paragraphs>287</Paragraphs>
  <ScaleCrop>false</ScaleCrop>
  <HeadingPairs>
    <vt:vector size="2" baseType="variant">
      <vt:variant>
        <vt:lpstr>Title</vt:lpstr>
      </vt:variant>
      <vt:variant>
        <vt:i4>1</vt:i4>
      </vt:variant>
    </vt:vector>
  </HeadingPairs>
  <TitlesOfParts>
    <vt:vector size="1" baseType="lpstr">
      <vt:lpstr>Report on the Subsidiary Body for Implementation on its forty-fourth session, held in Bonn from 16 to 26 May 2016</vt:lpstr>
    </vt:vector>
  </TitlesOfParts>
  <Company>UNFCCC</Company>
  <LinksUpToDate>false</LinksUpToDate>
  <CharactersWithSpaces>143742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Subsidiary Body for Implementation on its forty-fourth session, held in Bonn from 16 to 26 May 2016</dc:title>
  <dc:creator>FTC</dc:creator>
  <cp:lastModifiedBy>Toni Williams</cp:lastModifiedBy>
  <cp:revision>4</cp:revision>
  <cp:lastPrinted>2016-07-18T08:57:00Z</cp:lastPrinted>
  <dcterms:created xsi:type="dcterms:W3CDTF">2016-08-26T13:38:00Z</dcterms:created>
  <dcterms:modified xsi:type="dcterms:W3CDTF">2023-06-12T18:31:00Z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UNFC3CoreFunction">
    <vt:lpwstr/>
  </property>
  <property fmtid="{D5CDD505-2E9C-101B-9397-08002B2CF9AE}" pid="8" name="UNFC3CoreCountry">
    <vt:lpwstr/>
  </property>
  <property fmtid="{D5CDD505-2E9C-101B-9397-08002B2CF9AE}" pid="9" name="UNFC3CoreSensitivity">
    <vt:lpwstr/>
  </property>
  <property fmtid="{D5CDD505-2E9C-101B-9397-08002B2CF9AE}" pid="10" name="RequestedPublicationUNOG">
    <vt:filetime>2016-06-19T22:00:00Z</vt:filetime>
  </property>
  <property fmtid="{D5CDD505-2E9C-101B-9397-08002B2CF9AE}" pid="11" name="TaxonomyConferenceId">
    <vt:lpwstr>15</vt:lpwstr>
  </property>
  <property fmtid="{D5CDD505-2E9C-101B-9397-08002B2CF9AE}" pid="12" name="TaxonomyConference">
    <vt:lpwstr>Bonn Climate Change Conference - May 2016</vt:lpwstr>
  </property>
</Properties>
</file>