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footer5.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E4382" w14:paraId="7EAC8C97" w14:textId="77777777" w:rsidTr="000E6B6B">
        <w:trPr>
          <w:cantSplit/>
          <w:trHeight w:hRule="exact" w:val="1134"/>
        </w:trPr>
        <w:tc>
          <w:tcPr>
            <w:tcW w:w="1242" w:type="dxa"/>
            <w:vAlign w:val="bottom"/>
          </w:tcPr>
          <w:p w14:paraId="15BEC06A" w14:textId="77777777" w:rsidR="003E4382" w:rsidRDefault="003E4382" w:rsidP="003E4382">
            <w:bookmarkStart w:id="0" w:name="_GoBack" w:colFirst="0" w:colLast="0"/>
            <w:r>
              <w:rPr>
                <w:noProof/>
                <w:lang w:val="en-US" w:eastAsia="en-US"/>
              </w:rPr>
              <w:drawing>
                <wp:inline distT="0" distB="0" distL="0" distR="0" wp14:anchorId="04492F6D" wp14:editId="06AD272B">
                  <wp:extent cx="713740" cy="588645"/>
                  <wp:effectExtent l="0" t="0" r="0" b="190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740" cy="588645"/>
                          </a:xfrm>
                          <a:prstGeom prst="rect">
                            <a:avLst/>
                          </a:prstGeom>
                          <a:noFill/>
                          <a:ln>
                            <a:noFill/>
                          </a:ln>
                        </pic:spPr>
                      </pic:pic>
                    </a:graphicData>
                  </a:graphic>
                </wp:inline>
              </w:drawing>
            </w:r>
          </w:p>
        </w:tc>
        <w:tc>
          <w:tcPr>
            <w:tcW w:w="2552" w:type="dxa"/>
            <w:vAlign w:val="bottom"/>
          </w:tcPr>
          <w:p w14:paraId="51E85981" w14:textId="77777777" w:rsidR="003E4382" w:rsidRPr="001B28B2" w:rsidRDefault="003E4382" w:rsidP="003E4382">
            <w:pPr>
              <w:spacing w:after="80" w:line="300" w:lineRule="exact"/>
              <w:ind w:left="323"/>
              <w:rPr>
                <w:sz w:val="24"/>
                <w:szCs w:val="24"/>
              </w:rPr>
            </w:pPr>
            <w:r w:rsidRPr="00614B7B">
              <w:rPr>
                <w:sz w:val="28"/>
                <w:szCs w:val="28"/>
              </w:rPr>
              <w:t>United Nations</w:t>
            </w:r>
          </w:p>
        </w:tc>
        <w:tc>
          <w:tcPr>
            <w:tcW w:w="5845" w:type="dxa"/>
            <w:gridSpan w:val="3"/>
            <w:vAlign w:val="bottom"/>
          </w:tcPr>
          <w:p w14:paraId="59BE9024" w14:textId="77777777" w:rsidR="003E4382" w:rsidRPr="003D5414" w:rsidRDefault="003E4382" w:rsidP="003E4382">
            <w:pPr>
              <w:jc w:val="right"/>
            </w:pPr>
            <w:r w:rsidRPr="003D5414">
              <w:rPr>
                <w:sz w:val="40"/>
              </w:rPr>
              <w:t>FCCC</w:t>
            </w:r>
            <w:r>
              <w:t>/SBSTA/2016/2</w:t>
            </w:r>
          </w:p>
        </w:tc>
      </w:tr>
      <w:bookmarkEnd w:id="0"/>
      <w:tr w:rsidR="003E4382" w14:paraId="5DAEDAA3" w14:textId="77777777" w:rsidTr="000E6B6B">
        <w:trPr>
          <w:cantSplit/>
          <w:trHeight w:hRule="exact" w:val="2552"/>
        </w:trPr>
        <w:tc>
          <w:tcPr>
            <w:tcW w:w="4511" w:type="dxa"/>
            <w:gridSpan w:val="3"/>
          </w:tcPr>
          <w:p w14:paraId="3C9A830D" w14:textId="77777777" w:rsidR="003E4382" w:rsidRDefault="003E4382" w:rsidP="003E4382">
            <w:r>
              <w:rPr>
                <w:noProof/>
                <w:lang w:val="en-US" w:eastAsia="en-US"/>
              </w:rPr>
              <w:drawing>
                <wp:anchor distT="0" distB="0" distL="114300" distR="114300" simplePos="0" relativeHeight="251658240" behindDoc="1" locked="0" layoutInCell="1" allowOverlap="1" wp14:anchorId="684B03A3" wp14:editId="03651810">
                  <wp:simplePos x="0" y="0"/>
                  <wp:positionH relativeFrom="column">
                    <wp:posOffset>3810</wp:posOffset>
                  </wp:positionH>
                  <wp:positionV relativeFrom="paragraph">
                    <wp:posOffset>-635</wp:posOffset>
                  </wp:positionV>
                  <wp:extent cx="2397125" cy="56134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125"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26FDA" w14:textId="1A9005FA" w:rsidR="003E4382" w:rsidRPr="00DE0F91" w:rsidRDefault="003E4382" w:rsidP="003E4382"/>
        </w:tc>
        <w:tc>
          <w:tcPr>
            <w:tcW w:w="2293" w:type="dxa"/>
          </w:tcPr>
          <w:p w14:paraId="08A9C7C7" w14:textId="77777777" w:rsidR="003E4382" w:rsidRPr="00AB2E3D" w:rsidRDefault="003E4382" w:rsidP="003E4382">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7461DF01" w14:textId="77777777" w:rsidR="003E4382" w:rsidRDefault="003E4382" w:rsidP="003E4382">
            <w:pPr>
              <w:spacing w:before="240" w:line="240" w:lineRule="exact"/>
            </w:pPr>
            <w:r>
              <w:t>Distr.: General</w:t>
            </w:r>
          </w:p>
          <w:p w14:paraId="69B50EAA" w14:textId="0604ED55" w:rsidR="003E4382" w:rsidRDefault="00266232" w:rsidP="003E4382">
            <w:pPr>
              <w:spacing w:line="240" w:lineRule="exact"/>
            </w:pPr>
            <w:r>
              <w:t>2</w:t>
            </w:r>
            <w:r w:rsidR="00A51AD1">
              <w:t>7</w:t>
            </w:r>
            <w:r w:rsidR="00D95CB4">
              <w:t xml:space="preserve"> July</w:t>
            </w:r>
            <w:r w:rsidR="003E4382" w:rsidRPr="00184AE3">
              <w:t xml:space="preserve"> 2016</w:t>
            </w:r>
          </w:p>
          <w:p w14:paraId="62007FC6" w14:textId="77777777" w:rsidR="003E4382" w:rsidRDefault="003E4382" w:rsidP="003E4382">
            <w:pPr>
              <w:spacing w:line="240" w:lineRule="exact"/>
            </w:pPr>
          </w:p>
          <w:p w14:paraId="4832BDF9" w14:textId="77777777" w:rsidR="003E4382" w:rsidRPr="00E0470D" w:rsidRDefault="003E4382" w:rsidP="003E4382">
            <w:pPr>
              <w:spacing w:line="240" w:lineRule="exact"/>
            </w:pPr>
            <w:r>
              <w:t>Original: English</w:t>
            </w:r>
          </w:p>
        </w:tc>
      </w:tr>
    </w:tbl>
    <w:p w14:paraId="18068F9C" w14:textId="77777777" w:rsidR="003E4382" w:rsidRPr="001615C6" w:rsidRDefault="003E4382" w:rsidP="003E4382">
      <w:pPr>
        <w:spacing w:before="120"/>
        <w:rPr>
          <w:b/>
          <w:sz w:val="24"/>
          <w:szCs w:val="24"/>
        </w:rPr>
      </w:pPr>
      <w:r w:rsidRPr="001615C6">
        <w:rPr>
          <w:b/>
          <w:sz w:val="24"/>
          <w:szCs w:val="24"/>
        </w:rPr>
        <w:t xml:space="preserve">Subsidiary Body for </w:t>
      </w:r>
      <w:r>
        <w:rPr>
          <w:b/>
          <w:sz w:val="24"/>
          <w:szCs w:val="24"/>
        </w:rPr>
        <w:t>Scientific and Technological Advice</w:t>
      </w:r>
    </w:p>
    <w:p w14:paraId="4EC018D5" w14:textId="50551BDA" w:rsidR="003E4382" w:rsidRDefault="003E4382" w:rsidP="00E11F6A">
      <w:pPr>
        <w:pStyle w:val="HChG"/>
        <w:ind w:right="2550"/>
        <w:rPr>
          <w:i/>
          <w:sz w:val="18"/>
        </w:rPr>
      </w:pPr>
      <w:r w:rsidRPr="00865CD7">
        <w:tab/>
      </w:r>
      <w:r w:rsidRPr="00865CD7">
        <w:tab/>
        <w:t>Report of the Subsidiary Body for Scientific and Technolog</w:t>
      </w:r>
      <w:r>
        <w:t>ical Advice on its forty-fourth</w:t>
      </w:r>
      <w:r w:rsidRPr="00865CD7">
        <w:t xml:space="preserve"> session,</w:t>
      </w:r>
      <w:r w:rsidR="00E11F6A" w:rsidRPr="00865CD7" w:rsidDel="00E11F6A">
        <w:t xml:space="preserve"> </w:t>
      </w:r>
      <w:r w:rsidRPr="00865CD7">
        <w:t>held</w:t>
      </w:r>
      <w:r>
        <w:t xml:space="preserve"> in Bonn</w:t>
      </w:r>
      <w:r w:rsidRPr="00865CD7">
        <w:t xml:space="preserve"> from </w:t>
      </w:r>
      <w:r>
        <w:t>16 to 26</w:t>
      </w:r>
      <w:r w:rsidRPr="00865CD7">
        <w:t xml:space="preserve"> </w:t>
      </w:r>
      <w:r>
        <w:t>May</w:t>
      </w:r>
      <w:r w:rsidRPr="00865CD7">
        <w:t xml:space="preserve"> 201</w:t>
      </w:r>
      <w:r>
        <w:t>6</w:t>
      </w:r>
    </w:p>
    <w:p w14:paraId="3A856FF5" w14:textId="77777777" w:rsidR="003E4382" w:rsidRDefault="003E4382" w:rsidP="003E4382">
      <w:pPr>
        <w:tabs>
          <w:tab w:val="right" w:pos="850"/>
          <w:tab w:val="left" w:pos="1134"/>
          <w:tab w:val="left" w:pos="1559"/>
          <w:tab w:val="left" w:pos="1984"/>
          <w:tab w:val="left" w:leader="dot" w:pos="7654"/>
          <w:tab w:val="right" w:pos="8929"/>
          <w:tab w:val="right" w:pos="9638"/>
        </w:tabs>
        <w:spacing w:after="120"/>
        <w:rPr>
          <w:sz w:val="28"/>
        </w:rPr>
      </w:pPr>
      <w:r>
        <w:rPr>
          <w:sz w:val="28"/>
        </w:rPr>
        <w:t>Contents</w:t>
      </w:r>
    </w:p>
    <w:p w14:paraId="2C24D5E8" w14:textId="77777777" w:rsidR="003E4382" w:rsidRDefault="003E4382" w:rsidP="003E4382">
      <w:pPr>
        <w:tabs>
          <w:tab w:val="right" w:pos="8929"/>
          <w:tab w:val="right" w:pos="9638"/>
        </w:tabs>
        <w:spacing w:after="120"/>
        <w:ind w:left="283"/>
      </w:pPr>
      <w:r>
        <w:rPr>
          <w:i/>
          <w:sz w:val="18"/>
        </w:rPr>
        <w:tab/>
        <w:t>Paragraphs</w:t>
      </w:r>
      <w:r>
        <w:rPr>
          <w:i/>
          <w:sz w:val="18"/>
        </w:rPr>
        <w:tab/>
        <w:t>Page</w:t>
      </w:r>
    </w:p>
    <w:p w14:paraId="5200F9CE" w14:textId="074D0355"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I.</w:t>
      </w:r>
      <w:r>
        <w:rPr>
          <w:rFonts w:asciiTheme="minorHAnsi" w:eastAsiaTheme="minorEastAsia" w:hAnsiTheme="minorHAnsi" w:cstheme="minorBidi"/>
          <w:noProof/>
          <w:sz w:val="22"/>
          <w:szCs w:val="22"/>
          <w:lang w:val="en-US" w:eastAsia="en-US"/>
        </w:rPr>
        <w:tab/>
      </w:r>
      <w:r>
        <w:rPr>
          <w:noProof/>
        </w:rPr>
        <w:t>Opening of the session</w:t>
      </w:r>
      <w:r w:rsidRPr="00874327">
        <w:rPr>
          <w:noProof/>
        </w:rPr>
        <w:t xml:space="preserve">  </w:t>
      </w:r>
      <w:r>
        <w:rPr>
          <w:noProof/>
        </w:rPr>
        <w:br/>
      </w:r>
      <w:r>
        <w:rPr>
          <w:noProof/>
        </w:rPr>
        <w:tab/>
      </w:r>
      <w:r>
        <w:rPr>
          <w:noProof/>
        </w:rPr>
        <w:tab/>
      </w:r>
      <w:r w:rsidRPr="00874327">
        <w:rPr>
          <w:noProof/>
        </w:rPr>
        <w:t>(Agenda item 1)</w:t>
      </w:r>
      <w:r>
        <w:rPr>
          <w:noProof/>
          <w:webHidden/>
        </w:rPr>
        <w:tab/>
      </w:r>
      <w:r>
        <w:rPr>
          <w:noProof/>
          <w:webHidden/>
        </w:rPr>
        <w:tab/>
      </w:r>
      <w:r w:rsidR="00004AA0">
        <w:rPr>
          <w:noProof/>
          <w:webHidden/>
        </w:rPr>
        <w:t>1</w:t>
      </w:r>
      <w:r>
        <w:rPr>
          <w:noProof/>
          <w:webHidden/>
        </w:rPr>
        <w:t>–</w:t>
      </w:r>
      <w:r w:rsidR="00004AA0">
        <w:rPr>
          <w:noProof/>
          <w:webHidden/>
        </w:rPr>
        <w:t>2</w:t>
      </w:r>
      <w:r>
        <w:rPr>
          <w:noProof/>
          <w:webHidden/>
        </w:rPr>
        <w:tab/>
      </w:r>
      <w:r w:rsidR="00004AA0">
        <w:rPr>
          <w:noProof/>
          <w:webHidden/>
        </w:rPr>
        <w:t>4</w:t>
      </w:r>
    </w:p>
    <w:p w14:paraId="0A7C291C" w14:textId="60DDD111" w:rsidR="003E4382" w:rsidRDefault="003E4382" w:rsidP="003E4382">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Organizational</w:t>
      </w:r>
      <w:r w:rsidRPr="00874327">
        <w:rPr>
          <w:noProof/>
        </w:rPr>
        <w:t xml:space="preserve"> </w:t>
      </w:r>
      <w:r>
        <w:rPr>
          <w:noProof/>
        </w:rPr>
        <w:t>matters</w:t>
      </w:r>
      <w:r w:rsidRPr="00874327">
        <w:rPr>
          <w:noProof/>
        </w:rPr>
        <w:t xml:space="preserve"> </w:t>
      </w:r>
      <w:r>
        <w:rPr>
          <w:noProof/>
        </w:rPr>
        <w:br/>
      </w:r>
      <w:r>
        <w:rPr>
          <w:noProof/>
        </w:rPr>
        <w:tab/>
      </w:r>
      <w:r>
        <w:rPr>
          <w:noProof/>
        </w:rPr>
        <w:tab/>
      </w:r>
      <w:r w:rsidRPr="00874327">
        <w:rPr>
          <w:noProof/>
        </w:rPr>
        <w:t>(Agenda item 2)</w:t>
      </w:r>
      <w:r>
        <w:rPr>
          <w:noProof/>
          <w:webHidden/>
        </w:rPr>
        <w:tab/>
      </w:r>
      <w:r>
        <w:rPr>
          <w:noProof/>
          <w:webHidden/>
        </w:rPr>
        <w:tab/>
      </w:r>
      <w:r w:rsidR="00004AA0">
        <w:rPr>
          <w:noProof/>
          <w:webHidden/>
        </w:rPr>
        <w:t>3</w:t>
      </w:r>
      <w:r>
        <w:rPr>
          <w:noProof/>
          <w:webHidden/>
        </w:rPr>
        <w:t>–</w:t>
      </w:r>
      <w:r w:rsidR="00004AA0">
        <w:rPr>
          <w:noProof/>
          <w:webHidden/>
        </w:rPr>
        <w:t>6</w:t>
      </w:r>
      <w:r>
        <w:rPr>
          <w:noProof/>
          <w:webHidden/>
        </w:rPr>
        <w:tab/>
      </w:r>
      <w:r w:rsidR="00004AA0">
        <w:rPr>
          <w:noProof/>
          <w:webHidden/>
        </w:rPr>
        <w:t>4</w:t>
      </w:r>
    </w:p>
    <w:p w14:paraId="5841BF68" w14:textId="6E297808"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sidR="00E02EE8">
        <w:rPr>
          <w:noProof/>
        </w:rPr>
        <w:tab/>
      </w:r>
      <w:r>
        <w:rPr>
          <w:noProof/>
        </w:rPr>
        <w:t>A.</w:t>
      </w:r>
      <w:r>
        <w:rPr>
          <w:rFonts w:asciiTheme="minorHAnsi" w:eastAsiaTheme="minorEastAsia" w:hAnsiTheme="minorHAnsi" w:cstheme="minorBidi"/>
          <w:noProof/>
          <w:sz w:val="22"/>
          <w:szCs w:val="22"/>
          <w:lang w:val="en-US" w:eastAsia="en-US"/>
        </w:rPr>
        <w:tab/>
      </w:r>
      <w:r>
        <w:rPr>
          <w:noProof/>
          <w:lang w:eastAsia="en-US"/>
        </w:rPr>
        <w:t>Adoption</w:t>
      </w:r>
      <w:r>
        <w:rPr>
          <w:noProof/>
        </w:rPr>
        <w:t xml:space="preserve"> of the agenda</w:t>
      </w:r>
      <w:r>
        <w:rPr>
          <w:noProof/>
          <w:webHidden/>
        </w:rPr>
        <w:tab/>
      </w:r>
      <w:r>
        <w:rPr>
          <w:noProof/>
          <w:webHidden/>
        </w:rPr>
        <w:tab/>
      </w:r>
      <w:r w:rsidR="00004AA0">
        <w:rPr>
          <w:noProof/>
          <w:webHidden/>
        </w:rPr>
        <w:t>3</w:t>
      </w:r>
      <w:r>
        <w:rPr>
          <w:noProof/>
          <w:webHidden/>
        </w:rPr>
        <w:t>–</w:t>
      </w:r>
      <w:r w:rsidR="00004AA0">
        <w:rPr>
          <w:noProof/>
          <w:webHidden/>
        </w:rPr>
        <w:t>5</w:t>
      </w:r>
      <w:r>
        <w:rPr>
          <w:noProof/>
          <w:webHidden/>
        </w:rPr>
        <w:tab/>
      </w:r>
      <w:r w:rsidR="00004AA0">
        <w:rPr>
          <w:noProof/>
          <w:webHidden/>
        </w:rPr>
        <w:t>4</w:t>
      </w:r>
    </w:p>
    <w:p w14:paraId="6D58E75F" w14:textId="66E73AF8"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sidR="004C1EF1">
        <w:rPr>
          <w:noProof/>
        </w:rPr>
        <w:tab/>
      </w:r>
      <w:r>
        <w:rPr>
          <w:noProof/>
        </w:rPr>
        <w:t>B.</w:t>
      </w:r>
      <w:r>
        <w:rPr>
          <w:rFonts w:asciiTheme="minorHAnsi" w:eastAsiaTheme="minorEastAsia" w:hAnsiTheme="minorHAnsi" w:cstheme="minorBidi"/>
          <w:noProof/>
          <w:sz w:val="22"/>
          <w:szCs w:val="22"/>
          <w:lang w:val="en-US" w:eastAsia="en-US"/>
        </w:rPr>
        <w:tab/>
      </w:r>
      <w:r>
        <w:rPr>
          <w:noProof/>
        </w:rPr>
        <w:t>Organization of the work of the session</w:t>
      </w:r>
      <w:r>
        <w:rPr>
          <w:noProof/>
          <w:webHidden/>
        </w:rPr>
        <w:tab/>
      </w:r>
      <w:r>
        <w:rPr>
          <w:noProof/>
          <w:webHidden/>
        </w:rPr>
        <w:tab/>
      </w:r>
      <w:r w:rsidR="00004AA0">
        <w:rPr>
          <w:noProof/>
          <w:webHidden/>
        </w:rPr>
        <w:t>6</w:t>
      </w:r>
      <w:r>
        <w:rPr>
          <w:noProof/>
          <w:webHidden/>
        </w:rPr>
        <w:tab/>
      </w:r>
      <w:r w:rsidR="00004AA0">
        <w:rPr>
          <w:noProof/>
          <w:webHidden/>
        </w:rPr>
        <w:t>6</w:t>
      </w:r>
    </w:p>
    <w:p w14:paraId="06B12B9D" w14:textId="08DBB2CF"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III.</w:t>
      </w:r>
      <w:r>
        <w:rPr>
          <w:rFonts w:asciiTheme="minorHAnsi" w:eastAsiaTheme="minorEastAsia" w:hAnsiTheme="minorHAnsi" w:cstheme="minorBidi"/>
          <w:noProof/>
          <w:sz w:val="22"/>
          <w:szCs w:val="22"/>
          <w:lang w:val="en-US" w:eastAsia="en-US"/>
        </w:rPr>
        <w:tab/>
      </w:r>
      <w:r>
        <w:rPr>
          <w:noProof/>
        </w:rPr>
        <w:t xml:space="preserve">Nairobi work programme on impacts, vulnerability and adaptation </w:t>
      </w:r>
      <w:r>
        <w:rPr>
          <w:noProof/>
        </w:rPr>
        <w:br/>
      </w:r>
      <w:r>
        <w:rPr>
          <w:noProof/>
        </w:rPr>
        <w:tab/>
      </w:r>
      <w:r>
        <w:rPr>
          <w:noProof/>
        </w:rPr>
        <w:tab/>
        <w:t>to climate change</w:t>
      </w:r>
      <w:r w:rsidRPr="00874327">
        <w:rPr>
          <w:noProof/>
        </w:rPr>
        <w:t xml:space="preserve"> </w:t>
      </w:r>
      <w:r>
        <w:rPr>
          <w:noProof/>
        </w:rPr>
        <w:br/>
      </w:r>
      <w:r>
        <w:rPr>
          <w:noProof/>
          <w:lang w:eastAsia="en-US"/>
        </w:rPr>
        <w:tab/>
      </w:r>
      <w:r>
        <w:rPr>
          <w:noProof/>
          <w:lang w:eastAsia="en-US"/>
        </w:rPr>
        <w:tab/>
      </w:r>
      <w:r w:rsidRPr="00874327">
        <w:rPr>
          <w:noProof/>
          <w:lang w:eastAsia="en-US"/>
        </w:rPr>
        <w:t>(Agenda item 3)</w:t>
      </w:r>
      <w:r>
        <w:rPr>
          <w:noProof/>
          <w:webHidden/>
        </w:rPr>
        <w:tab/>
      </w:r>
      <w:r>
        <w:rPr>
          <w:noProof/>
          <w:webHidden/>
        </w:rPr>
        <w:tab/>
      </w:r>
      <w:r w:rsidR="00004AA0">
        <w:rPr>
          <w:noProof/>
          <w:webHidden/>
        </w:rPr>
        <w:t>7</w:t>
      </w:r>
      <w:r>
        <w:rPr>
          <w:noProof/>
          <w:webHidden/>
        </w:rPr>
        <w:t>–</w:t>
      </w:r>
      <w:r w:rsidR="00004AA0">
        <w:rPr>
          <w:noProof/>
          <w:webHidden/>
        </w:rPr>
        <w:t>21</w:t>
      </w:r>
      <w:r>
        <w:rPr>
          <w:noProof/>
          <w:webHidden/>
        </w:rPr>
        <w:tab/>
      </w:r>
      <w:r w:rsidR="00004AA0">
        <w:rPr>
          <w:noProof/>
          <w:webHidden/>
        </w:rPr>
        <w:t>6</w:t>
      </w:r>
    </w:p>
    <w:p w14:paraId="55E2E280" w14:textId="60C0CF47" w:rsidR="003E4382" w:rsidRDefault="003E4382" w:rsidP="003E4382">
      <w:pPr>
        <w:pStyle w:val="TOC1"/>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noProof/>
        </w:rPr>
        <w:t xml:space="preserve">Technology framework under Article 10, paragraph 4, of the </w:t>
      </w:r>
      <w:r>
        <w:rPr>
          <w:noProof/>
        </w:rPr>
        <w:br/>
      </w:r>
      <w:r>
        <w:rPr>
          <w:noProof/>
        </w:rPr>
        <w:tab/>
      </w:r>
      <w:r>
        <w:rPr>
          <w:noProof/>
        </w:rPr>
        <w:tab/>
        <w:t xml:space="preserve">Paris Agreement </w:t>
      </w:r>
      <w:r>
        <w:rPr>
          <w:noProof/>
        </w:rPr>
        <w:br/>
      </w:r>
      <w:r>
        <w:rPr>
          <w:noProof/>
        </w:rPr>
        <w:tab/>
      </w:r>
      <w:r>
        <w:rPr>
          <w:noProof/>
        </w:rPr>
        <w:tab/>
      </w:r>
      <w:r w:rsidRPr="00874327">
        <w:rPr>
          <w:noProof/>
        </w:rPr>
        <w:t>(Agenda item 4)</w:t>
      </w:r>
      <w:r>
        <w:rPr>
          <w:noProof/>
          <w:webHidden/>
        </w:rPr>
        <w:tab/>
      </w:r>
      <w:r>
        <w:rPr>
          <w:noProof/>
          <w:webHidden/>
        </w:rPr>
        <w:tab/>
      </w:r>
      <w:r w:rsidR="00004AA0">
        <w:rPr>
          <w:noProof/>
          <w:webHidden/>
        </w:rPr>
        <w:t>22</w:t>
      </w:r>
      <w:r>
        <w:rPr>
          <w:noProof/>
          <w:webHidden/>
        </w:rPr>
        <w:t>–</w:t>
      </w:r>
      <w:r w:rsidR="00004AA0">
        <w:rPr>
          <w:noProof/>
          <w:webHidden/>
        </w:rPr>
        <w:t>27</w:t>
      </w:r>
      <w:r>
        <w:rPr>
          <w:noProof/>
          <w:webHidden/>
        </w:rPr>
        <w:tab/>
      </w:r>
      <w:r w:rsidR="00004AA0">
        <w:rPr>
          <w:noProof/>
          <w:webHidden/>
        </w:rPr>
        <w:t>10</w:t>
      </w:r>
    </w:p>
    <w:p w14:paraId="7C1838BD" w14:textId="66D32620"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V.</w:t>
      </w:r>
      <w:r>
        <w:rPr>
          <w:rFonts w:asciiTheme="minorHAnsi" w:eastAsiaTheme="minorEastAsia" w:hAnsiTheme="minorHAnsi" w:cstheme="minorBidi"/>
          <w:noProof/>
          <w:sz w:val="22"/>
          <w:szCs w:val="22"/>
          <w:lang w:val="en-US" w:eastAsia="en-US"/>
        </w:rPr>
        <w:tab/>
      </w:r>
      <w:r>
        <w:rPr>
          <w:noProof/>
        </w:rPr>
        <w:t>Issues relating to agriculture</w:t>
      </w:r>
      <w:r>
        <w:rPr>
          <w:noProof/>
          <w:lang w:eastAsia="en-US"/>
        </w:rPr>
        <w:t xml:space="preserve"> </w:t>
      </w:r>
      <w:r>
        <w:rPr>
          <w:noProof/>
          <w:lang w:eastAsia="en-US"/>
        </w:rPr>
        <w:br/>
      </w:r>
      <w:r>
        <w:rPr>
          <w:noProof/>
          <w:lang w:eastAsia="en-US"/>
        </w:rPr>
        <w:tab/>
      </w:r>
      <w:r>
        <w:rPr>
          <w:noProof/>
          <w:lang w:eastAsia="en-US"/>
        </w:rPr>
        <w:tab/>
      </w:r>
      <w:r w:rsidRPr="00874327">
        <w:rPr>
          <w:noProof/>
          <w:lang w:eastAsia="en-US"/>
        </w:rPr>
        <w:t>(Agenda item 5)</w:t>
      </w:r>
      <w:r>
        <w:rPr>
          <w:noProof/>
          <w:webHidden/>
        </w:rPr>
        <w:tab/>
      </w:r>
      <w:r>
        <w:rPr>
          <w:noProof/>
          <w:webHidden/>
        </w:rPr>
        <w:tab/>
      </w:r>
      <w:r w:rsidR="00004AA0">
        <w:rPr>
          <w:noProof/>
          <w:webHidden/>
        </w:rPr>
        <w:t>28</w:t>
      </w:r>
      <w:r>
        <w:rPr>
          <w:noProof/>
          <w:webHidden/>
        </w:rPr>
        <w:tab/>
      </w:r>
      <w:r w:rsidR="00004AA0">
        <w:rPr>
          <w:noProof/>
          <w:webHidden/>
        </w:rPr>
        <w:t>11</w:t>
      </w:r>
    </w:p>
    <w:p w14:paraId="4845AE9C" w14:textId="2A3F755D"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VI.</w:t>
      </w:r>
      <w:r>
        <w:rPr>
          <w:rFonts w:asciiTheme="minorHAnsi" w:eastAsiaTheme="minorEastAsia" w:hAnsiTheme="minorHAnsi" w:cstheme="minorBidi"/>
          <w:noProof/>
          <w:sz w:val="22"/>
          <w:szCs w:val="22"/>
          <w:lang w:val="en-US" w:eastAsia="en-US"/>
        </w:rPr>
        <w:tab/>
      </w:r>
      <w:r>
        <w:rPr>
          <w:noProof/>
        </w:rPr>
        <w:t xml:space="preserve">Matters relating to science and review </w:t>
      </w:r>
      <w:r>
        <w:rPr>
          <w:noProof/>
        </w:rPr>
        <w:br/>
      </w:r>
      <w:r>
        <w:rPr>
          <w:noProof/>
        </w:rPr>
        <w:tab/>
      </w:r>
      <w:r>
        <w:rPr>
          <w:noProof/>
        </w:rPr>
        <w:tab/>
      </w:r>
      <w:r w:rsidRPr="00874327">
        <w:rPr>
          <w:noProof/>
          <w:lang w:eastAsia="en-US"/>
        </w:rPr>
        <w:t>(Agenda item 6)</w:t>
      </w:r>
      <w:r>
        <w:rPr>
          <w:noProof/>
          <w:webHidden/>
        </w:rPr>
        <w:tab/>
      </w:r>
      <w:r>
        <w:rPr>
          <w:noProof/>
          <w:webHidden/>
        </w:rPr>
        <w:tab/>
      </w:r>
      <w:r w:rsidR="00004AA0">
        <w:rPr>
          <w:noProof/>
          <w:webHidden/>
        </w:rPr>
        <w:t>29</w:t>
      </w:r>
      <w:r>
        <w:rPr>
          <w:noProof/>
          <w:webHidden/>
        </w:rPr>
        <w:t>–</w:t>
      </w:r>
      <w:r w:rsidR="00004AA0">
        <w:rPr>
          <w:noProof/>
          <w:webHidden/>
        </w:rPr>
        <w:t>48</w:t>
      </w:r>
      <w:r>
        <w:rPr>
          <w:noProof/>
          <w:webHidden/>
        </w:rPr>
        <w:tab/>
      </w:r>
      <w:r w:rsidR="00004AA0">
        <w:rPr>
          <w:noProof/>
          <w:webHidden/>
        </w:rPr>
        <w:t>11</w:t>
      </w:r>
    </w:p>
    <w:p w14:paraId="34486B91" w14:textId="06A41221"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Pr>
          <w:noProof/>
        </w:rPr>
        <w:tab/>
        <w:t>A.</w:t>
      </w:r>
      <w:r>
        <w:rPr>
          <w:rFonts w:asciiTheme="minorHAnsi" w:eastAsiaTheme="minorEastAsia" w:hAnsiTheme="minorHAnsi" w:cstheme="minorBidi"/>
          <w:noProof/>
          <w:sz w:val="22"/>
          <w:szCs w:val="22"/>
          <w:lang w:val="en-US" w:eastAsia="en-US"/>
        </w:rPr>
        <w:tab/>
      </w:r>
      <w:r>
        <w:rPr>
          <w:noProof/>
        </w:rPr>
        <w:t>Research and systematic observation</w:t>
      </w:r>
      <w:r>
        <w:rPr>
          <w:noProof/>
          <w:webHidden/>
        </w:rPr>
        <w:tab/>
      </w:r>
      <w:r>
        <w:rPr>
          <w:noProof/>
          <w:webHidden/>
        </w:rPr>
        <w:tab/>
      </w:r>
      <w:r w:rsidR="00004AA0">
        <w:rPr>
          <w:noProof/>
          <w:webHidden/>
        </w:rPr>
        <w:t>29</w:t>
      </w:r>
      <w:r>
        <w:rPr>
          <w:noProof/>
          <w:webHidden/>
        </w:rPr>
        <w:t>–</w:t>
      </w:r>
      <w:r w:rsidR="00004AA0">
        <w:rPr>
          <w:noProof/>
          <w:webHidden/>
        </w:rPr>
        <w:t>36</w:t>
      </w:r>
      <w:r>
        <w:rPr>
          <w:noProof/>
          <w:webHidden/>
        </w:rPr>
        <w:tab/>
      </w:r>
      <w:r w:rsidR="00004AA0">
        <w:rPr>
          <w:noProof/>
          <w:webHidden/>
        </w:rPr>
        <w:t>11</w:t>
      </w:r>
    </w:p>
    <w:p w14:paraId="59536BCC" w14:textId="087CC2BD"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 xml:space="preserve">Advice on how the assessments of the Intergovernmental Panel on </w:t>
      </w:r>
      <w:r>
        <w:rPr>
          <w:noProof/>
        </w:rPr>
        <w:br/>
      </w:r>
      <w:r>
        <w:rPr>
          <w:noProof/>
        </w:rPr>
        <w:tab/>
      </w:r>
      <w:r>
        <w:rPr>
          <w:noProof/>
        </w:rPr>
        <w:tab/>
      </w:r>
      <w:r>
        <w:rPr>
          <w:noProof/>
        </w:rPr>
        <w:tab/>
      </w:r>
      <w:r>
        <w:rPr>
          <w:noProof/>
        </w:rPr>
        <w:tab/>
        <w:t xml:space="preserve">Climate Change can inform the global stocktake referred to in </w:t>
      </w:r>
      <w:r>
        <w:rPr>
          <w:noProof/>
        </w:rPr>
        <w:br/>
      </w:r>
      <w:r>
        <w:rPr>
          <w:noProof/>
        </w:rPr>
        <w:tab/>
      </w:r>
      <w:r>
        <w:rPr>
          <w:noProof/>
        </w:rPr>
        <w:tab/>
      </w:r>
      <w:r>
        <w:rPr>
          <w:noProof/>
        </w:rPr>
        <w:tab/>
      </w:r>
      <w:r>
        <w:rPr>
          <w:noProof/>
        </w:rPr>
        <w:tab/>
        <w:t>Article 14 of  the Paris Agreemen</w:t>
      </w:r>
      <w:r>
        <w:rPr>
          <w:noProof/>
          <w:lang w:eastAsia="en-US"/>
        </w:rPr>
        <w:t>t</w:t>
      </w:r>
      <w:r>
        <w:rPr>
          <w:noProof/>
          <w:webHidden/>
        </w:rPr>
        <w:tab/>
      </w:r>
      <w:r>
        <w:rPr>
          <w:noProof/>
          <w:webHidden/>
        </w:rPr>
        <w:tab/>
      </w:r>
      <w:r w:rsidR="00004AA0">
        <w:rPr>
          <w:noProof/>
          <w:webHidden/>
        </w:rPr>
        <w:t>37</w:t>
      </w:r>
      <w:r>
        <w:rPr>
          <w:noProof/>
          <w:webHidden/>
        </w:rPr>
        <w:t>–</w:t>
      </w:r>
      <w:r w:rsidR="00004AA0">
        <w:rPr>
          <w:noProof/>
          <w:webHidden/>
        </w:rPr>
        <w:t>43</w:t>
      </w:r>
      <w:r>
        <w:rPr>
          <w:noProof/>
          <w:webHidden/>
        </w:rPr>
        <w:tab/>
      </w:r>
      <w:r w:rsidR="00004AA0">
        <w:rPr>
          <w:noProof/>
          <w:webHidden/>
        </w:rPr>
        <w:t>13</w:t>
      </w:r>
    </w:p>
    <w:p w14:paraId="705B4DF1" w14:textId="1448C247"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 xml:space="preserve">The scope of the next periodic review of the long-term global goal </w:t>
      </w:r>
      <w:r>
        <w:rPr>
          <w:noProof/>
        </w:rPr>
        <w:br/>
      </w:r>
      <w:r>
        <w:rPr>
          <w:noProof/>
        </w:rPr>
        <w:tab/>
      </w:r>
      <w:r>
        <w:rPr>
          <w:noProof/>
        </w:rPr>
        <w:tab/>
      </w:r>
      <w:r>
        <w:rPr>
          <w:noProof/>
        </w:rPr>
        <w:tab/>
      </w:r>
      <w:r>
        <w:rPr>
          <w:noProof/>
        </w:rPr>
        <w:tab/>
        <w:t>under the Convention and of overall progress towards achieving it</w:t>
      </w:r>
      <w:r>
        <w:rPr>
          <w:noProof/>
          <w:webHidden/>
        </w:rPr>
        <w:tab/>
      </w:r>
      <w:r>
        <w:rPr>
          <w:noProof/>
          <w:webHidden/>
        </w:rPr>
        <w:tab/>
      </w:r>
      <w:r w:rsidR="00004AA0">
        <w:rPr>
          <w:noProof/>
          <w:webHidden/>
        </w:rPr>
        <w:t>44</w:t>
      </w:r>
      <w:r>
        <w:rPr>
          <w:noProof/>
          <w:webHidden/>
        </w:rPr>
        <w:t>–</w:t>
      </w:r>
      <w:r w:rsidR="00004AA0">
        <w:rPr>
          <w:noProof/>
          <w:webHidden/>
        </w:rPr>
        <w:t>48</w:t>
      </w:r>
      <w:r>
        <w:rPr>
          <w:noProof/>
          <w:webHidden/>
        </w:rPr>
        <w:tab/>
      </w:r>
      <w:r w:rsidR="00004AA0">
        <w:rPr>
          <w:noProof/>
          <w:webHidden/>
        </w:rPr>
        <w:t>14</w:t>
      </w:r>
    </w:p>
    <w:p w14:paraId="79CA18C6" w14:textId="77777777" w:rsidR="003E4382" w:rsidRDefault="003E4382" w:rsidP="003E4382">
      <w:pPr>
        <w:pStyle w:val="TOC1"/>
        <w:rPr>
          <w:noProof/>
        </w:rPr>
      </w:pPr>
      <w:r>
        <w:rPr>
          <w:noProof/>
        </w:rPr>
        <w:tab/>
      </w:r>
      <w:r>
        <w:rPr>
          <w:noProof/>
        </w:rPr>
        <w:tab/>
      </w:r>
    </w:p>
    <w:p w14:paraId="5925584B" w14:textId="77777777" w:rsidR="003E4382" w:rsidRDefault="003E4382" w:rsidP="003E4382">
      <w:pPr>
        <w:tabs>
          <w:tab w:val="right" w:pos="8929"/>
          <w:tab w:val="right" w:pos="9638"/>
        </w:tabs>
        <w:spacing w:after="120"/>
        <w:ind w:left="283"/>
      </w:pPr>
      <w:r>
        <w:rPr>
          <w:noProof/>
        </w:rPr>
        <w:br w:type="column"/>
      </w:r>
      <w:r>
        <w:rPr>
          <w:i/>
          <w:sz w:val="18"/>
        </w:rPr>
        <w:lastRenderedPageBreak/>
        <w:tab/>
        <w:t>Paragraphs</w:t>
      </w:r>
      <w:r>
        <w:rPr>
          <w:i/>
          <w:sz w:val="18"/>
        </w:rPr>
        <w:tab/>
        <w:t>Page</w:t>
      </w:r>
    </w:p>
    <w:p w14:paraId="08B91289" w14:textId="13C0C0B7" w:rsidR="003E4382" w:rsidRDefault="003E4382" w:rsidP="003E4382">
      <w:pPr>
        <w:pStyle w:val="TOC1"/>
        <w:rPr>
          <w:rFonts w:asciiTheme="minorHAnsi" w:eastAsiaTheme="minorEastAsia" w:hAnsiTheme="minorHAnsi" w:cstheme="minorBidi"/>
          <w:noProof/>
          <w:sz w:val="22"/>
          <w:szCs w:val="22"/>
          <w:lang w:val="en-US" w:eastAsia="en-US"/>
        </w:rPr>
      </w:pPr>
      <w:r>
        <w:rPr>
          <w:sz w:val="28"/>
        </w:rPr>
        <w:tab/>
      </w:r>
      <w:r>
        <w:rPr>
          <w:noProof/>
        </w:rPr>
        <w:t>VII.</w:t>
      </w:r>
      <w:r w:rsidR="00E02EE8">
        <w:rPr>
          <w:noProof/>
        </w:rPr>
        <w:tab/>
      </w:r>
      <w:r>
        <w:rPr>
          <w:noProof/>
        </w:rPr>
        <w:t xml:space="preserve">Impact of the implementation of response measures  </w:t>
      </w:r>
      <w:r>
        <w:rPr>
          <w:noProof/>
        </w:rPr>
        <w:br/>
      </w:r>
      <w:r>
        <w:rPr>
          <w:noProof/>
        </w:rPr>
        <w:tab/>
      </w:r>
      <w:r>
        <w:rPr>
          <w:noProof/>
        </w:rPr>
        <w:tab/>
      </w:r>
      <w:r w:rsidRPr="00874327">
        <w:rPr>
          <w:noProof/>
        </w:rPr>
        <w:t>(Agenda item 7)</w:t>
      </w:r>
      <w:r>
        <w:rPr>
          <w:noProof/>
          <w:webHidden/>
        </w:rPr>
        <w:tab/>
      </w:r>
      <w:r>
        <w:rPr>
          <w:noProof/>
          <w:webHidden/>
        </w:rPr>
        <w:tab/>
      </w:r>
      <w:r w:rsidR="00004AA0">
        <w:rPr>
          <w:noProof/>
          <w:webHidden/>
        </w:rPr>
        <w:t>49</w:t>
      </w:r>
      <w:r>
        <w:rPr>
          <w:noProof/>
          <w:webHidden/>
        </w:rPr>
        <w:t>–</w:t>
      </w:r>
      <w:r w:rsidR="00004AA0">
        <w:rPr>
          <w:noProof/>
          <w:webHidden/>
        </w:rPr>
        <w:t>62</w:t>
      </w:r>
      <w:r>
        <w:rPr>
          <w:noProof/>
          <w:webHidden/>
        </w:rPr>
        <w:tab/>
      </w:r>
      <w:r w:rsidR="00004AA0">
        <w:rPr>
          <w:noProof/>
          <w:webHidden/>
        </w:rPr>
        <w:t>14</w:t>
      </w:r>
    </w:p>
    <w:p w14:paraId="3F08CAB7" w14:textId="03840BD3" w:rsidR="003E4382" w:rsidRDefault="003E4382" w:rsidP="003E4382">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Pr>
          <w:bCs/>
          <w:noProof/>
          <w:color w:val="000000"/>
        </w:rPr>
        <w:tab/>
      </w:r>
      <w:r w:rsidRPr="00874327">
        <w:rPr>
          <w:bCs/>
          <w:noProof/>
          <w:color w:val="000000"/>
        </w:rPr>
        <w:t>A.</w:t>
      </w:r>
      <w:r>
        <w:rPr>
          <w:rFonts w:asciiTheme="minorHAnsi" w:eastAsiaTheme="minorEastAsia" w:hAnsiTheme="minorHAnsi" w:cstheme="minorBidi"/>
          <w:noProof/>
          <w:sz w:val="22"/>
          <w:szCs w:val="22"/>
          <w:lang w:val="en-US" w:eastAsia="en-US"/>
        </w:rPr>
        <w:tab/>
      </w:r>
      <w:r>
        <w:rPr>
          <w:noProof/>
        </w:rPr>
        <w:t>Improved forum and work programme</w:t>
      </w:r>
      <w:r>
        <w:rPr>
          <w:noProof/>
          <w:webHidden/>
        </w:rPr>
        <w:tab/>
      </w:r>
      <w:r>
        <w:rPr>
          <w:noProof/>
          <w:webHidden/>
        </w:rPr>
        <w:tab/>
      </w:r>
      <w:r w:rsidR="00004AA0">
        <w:rPr>
          <w:noProof/>
          <w:webHidden/>
        </w:rPr>
        <w:t>49</w:t>
      </w:r>
      <w:r>
        <w:rPr>
          <w:noProof/>
          <w:webHidden/>
        </w:rPr>
        <w:t>–</w:t>
      </w:r>
      <w:r w:rsidR="00004AA0">
        <w:rPr>
          <w:noProof/>
          <w:webHidden/>
        </w:rPr>
        <w:t>57</w:t>
      </w:r>
      <w:r>
        <w:rPr>
          <w:noProof/>
          <w:webHidden/>
        </w:rPr>
        <w:tab/>
      </w:r>
      <w:r w:rsidR="00004AA0">
        <w:rPr>
          <w:noProof/>
          <w:webHidden/>
        </w:rPr>
        <w:t>14</w:t>
      </w:r>
    </w:p>
    <w:p w14:paraId="4F55AA1E" w14:textId="521606C1"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lang w:eastAsia="en-US"/>
        </w:rPr>
        <w:t xml:space="preserve">Modalities, work programme and functions under the Paris Agreement of </w:t>
      </w:r>
      <w:r>
        <w:rPr>
          <w:noProof/>
          <w:lang w:eastAsia="en-US"/>
        </w:rPr>
        <w:br/>
      </w:r>
      <w:r>
        <w:rPr>
          <w:noProof/>
          <w:lang w:eastAsia="en-US"/>
        </w:rPr>
        <w:tab/>
      </w:r>
      <w:r>
        <w:rPr>
          <w:noProof/>
          <w:lang w:eastAsia="en-US"/>
        </w:rPr>
        <w:tab/>
      </w:r>
      <w:r>
        <w:rPr>
          <w:noProof/>
          <w:lang w:eastAsia="en-US"/>
        </w:rPr>
        <w:tab/>
      </w:r>
      <w:r>
        <w:rPr>
          <w:noProof/>
          <w:lang w:eastAsia="en-US"/>
        </w:rPr>
        <w:tab/>
        <w:t>the forum on the impact of the implementation of response measures</w:t>
      </w:r>
      <w:r>
        <w:rPr>
          <w:noProof/>
          <w:webHidden/>
        </w:rPr>
        <w:tab/>
      </w:r>
      <w:r>
        <w:rPr>
          <w:noProof/>
          <w:webHidden/>
        </w:rPr>
        <w:tab/>
      </w:r>
      <w:r w:rsidR="00004AA0">
        <w:rPr>
          <w:noProof/>
          <w:webHidden/>
        </w:rPr>
        <w:t>58</w:t>
      </w:r>
      <w:r>
        <w:rPr>
          <w:noProof/>
          <w:webHidden/>
        </w:rPr>
        <w:t>–</w:t>
      </w:r>
      <w:r w:rsidR="00004AA0">
        <w:rPr>
          <w:noProof/>
          <w:webHidden/>
        </w:rPr>
        <w:t>61</w:t>
      </w:r>
      <w:r>
        <w:rPr>
          <w:noProof/>
          <w:webHidden/>
        </w:rPr>
        <w:tab/>
      </w:r>
      <w:r w:rsidR="00004AA0">
        <w:rPr>
          <w:noProof/>
          <w:webHidden/>
        </w:rPr>
        <w:t>16</w:t>
      </w:r>
    </w:p>
    <w:p w14:paraId="246C205C" w14:textId="49A3F1EB" w:rsidR="003E4382" w:rsidRDefault="003E4382" w:rsidP="003E4382">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Pr>
          <w:bCs/>
          <w:noProof/>
          <w:color w:val="000000"/>
        </w:rPr>
        <w:tab/>
      </w:r>
      <w:r w:rsidRPr="00874327">
        <w:rPr>
          <w:bCs/>
          <w:noProof/>
          <w:color w:val="000000"/>
        </w:rPr>
        <w:t>C.</w:t>
      </w:r>
      <w:r>
        <w:rPr>
          <w:rFonts w:asciiTheme="minorHAnsi" w:eastAsiaTheme="minorEastAsia" w:hAnsiTheme="minorHAnsi" w:cstheme="minorBidi"/>
          <w:noProof/>
          <w:sz w:val="22"/>
          <w:szCs w:val="22"/>
          <w:lang w:val="en-US" w:eastAsia="en-US"/>
        </w:rPr>
        <w:tab/>
      </w:r>
      <w:r>
        <w:rPr>
          <w:noProof/>
        </w:rPr>
        <w:t>Matters relating to Article 2, paragraph 3, of the Kyoto Protocol</w:t>
      </w:r>
      <w:r>
        <w:rPr>
          <w:noProof/>
          <w:webHidden/>
        </w:rPr>
        <w:tab/>
      </w:r>
      <w:r>
        <w:rPr>
          <w:noProof/>
          <w:webHidden/>
        </w:rPr>
        <w:tab/>
      </w:r>
      <w:r w:rsidR="00004AA0">
        <w:rPr>
          <w:noProof/>
          <w:webHidden/>
        </w:rPr>
        <w:t>62</w:t>
      </w:r>
      <w:r>
        <w:rPr>
          <w:noProof/>
          <w:webHidden/>
        </w:rPr>
        <w:tab/>
      </w:r>
      <w:r w:rsidR="00004AA0">
        <w:rPr>
          <w:noProof/>
          <w:webHidden/>
        </w:rPr>
        <w:t>16</w:t>
      </w:r>
    </w:p>
    <w:p w14:paraId="63222CA1" w14:textId="67AE69D1" w:rsidR="003E4382" w:rsidRDefault="003E4382" w:rsidP="003E4382">
      <w:pPr>
        <w:pStyle w:val="TOC1"/>
        <w:rPr>
          <w:rFonts w:asciiTheme="minorHAnsi" w:eastAsiaTheme="minorEastAsia" w:hAnsiTheme="minorHAnsi" w:cstheme="minorBidi"/>
          <w:noProof/>
          <w:sz w:val="22"/>
          <w:szCs w:val="22"/>
          <w:lang w:val="en-US" w:eastAsia="en-US"/>
        </w:rPr>
      </w:pPr>
      <w:r>
        <w:rPr>
          <w:bCs/>
          <w:noProof/>
          <w:lang w:eastAsia="en-US"/>
        </w:rPr>
        <w:tab/>
      </w:r>
      <w:r w:rsidRPr="00874327">
        <w:rPr>
          <w:bCs/>
          <w:noProof/>
          <w:lang w:eastAsia="en-US"/>
        </w:rPr>
        <w:t>VIII.</w:t>
      </w:r>
      <w:r>
        <w:rPr>
          <w:rFonts w:asciiTheme="minorHAnsi" w:eastAsiaTheme="minorEastAsia" w:hAnsiTheme="minorHAnsi" w:cstheme="minorBidi"/>
          <w:noProof/>
          <w:sz w:val="22"/>
          <w:szCs w:val="22"/>
          <w:lang w:val="en-US" w:eastAsia="en-US"/>
        </w:rPr>
        <w:tab/>
      </w:r>
      <w:r>
        <w:rPr>
          <w:noProof/>
        </w:rPr>
        <w:t>Methodological</w:t>
      </w:r>
      <w:r w:rsidRPr="00874327">
        <w:rPr>
          <w:noProof/>
        </w:rPr>
        <w:t xml:space="preserve"> </w:t>
      </w:r>
      <w:r>
        <w:rPr>
          <w:noProof/>
        </w:rPr>
        <w:t>issues</w:t>
      </w:r>
      <w:r w:rsidRPr="00874327">
        <w:rPr>
          <w:bCs/>
          <w:noProof/>
        </w:rPr>
        <w:t xml:space="preserve"> under the Convention</w:t>
      </w:r>
      <w:r>
        <w:rPr>
          <w:bCs/>
          <w:noProof/>
        </w:rPr>
        <w:br/>
      </w:r>
      <w:r>
        <w:rPr>
          <w:bCs/>
          <w:noProof/>
        </w:rPr>
        <w:tab/>
      </w:r>
      <w:r>
        <w:rPr>
          <w:bCs/>
          <w:noProof/>
        </w:rPr>
        <w:tab/>
      </w:r>
      <w:r w:rsidRPr="00874327">
        <w:rPr>
          <w:noProof/>
          <w:color w:val="000000"/>
        </w:rPr>
        <w:t>(Agenda item 8)</w:t>
      </w:r>
      <w:r>
        <w:rPr>
          <w:noProof/>
          <w:webHidden/>
        </w:rPr>
        <w:tab/>
      </w:r>
      <w:r>
        <w:rPr>
          <w:noProof/>
          <w:webHidden/>
        </w:rPr>
        <w:tab/>
      </w:r>
      <w:r w:rsidR="00004AA0">
        <w:rPr>
          <w:noProof/>
          <w:webHidden/>
        </w:rPr>
        <w:t>63</w:t>
      </w:r>
      <w:r>
        <w:rPr>
          <w:noProof/>
          <w:webHidden/>
        </w:rPr>
        <w:t>–</w:t>
      </w:r>
      <w:r w:rsidR="00004AA0">
        <w:rPr>
          <w:noProof/>
          <w:webHidden/>
        </w:rPr>
        <w:t>76</w:t>
      </w:r>
      <w:r>
        <w:rPr>
          <w:noProof/>
          <w:webHidden/>
        </w:rPr>
        <w:tab/>
      </w:r>
      <w:r w:rsidR="00004AA0">
        <w:rPr>
          <w:noProof/>
          <w:webHidden/>
        </w:rPr>
        <w:t>16</w:t>
      </w:r>
    </w:p>
    <w:p w14:paraId="31171A12" w14:textId="46254FFB"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Greenhouse gas data interface</w:t>
      </w:r>
      <w:r>
        <w:rPr>
          <w:noProof/>
          <w:webHidden/>
        </w:rPr>
        <w:tab/>
      </w:r>
      <w:r>
        <w:rPr>
          <w:noProof/>
          <w:webHidden/>
        </w:rPr>
        <w:tab/>
      </w:r>
      <w:r w:rsidR="00004AA0">
        <w:rPr>
          <w:noProof/>
          <w:webHidden/>
        </w:rPr>
        <w:t>63</w:t>
      </w:r>
      <w:r>
        <w:rPr>
          <w:noProof/>
          <w:webHidden/>
        </w:rPr>
        <w:tab/>
      </w:r>
      <w:r w:rsidR="00004AA0">
        <w:rPr>
          <w:noProof/>
          <w:webHidden/>
        </w:rPr>
        <w:t>16</w:t>
      </w:r>
    </w:p>
    <w:p w14:paraId="5E4FE87F" w14:textId="052D55D0"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 xml:space="preserve">Common metrics to calculate the carbon dioxide equivalence of </w:t>
      </w:r>
      <w:r>
        <w:rPr>
          <w:noProof/>
        </w:rPr>
        <w:br/>
      </w:r>
      <w:r>
        <w:rPr>
          <w:noProof/>
        </w:rPr>
        <w:tab/>
      </w:r>
      <w:r>
        <w:rPr>
          <w:noProof/>
        </w:rPr>
        <w:tab/>
      </w:r>
      <w:r>
        <w:rPr>
          <w:noProof/>
        </w:rPr>
        <w:tab/>
      </w:r>
      <w:r>
        <w:rPr>
          <w:noProof/>
        </w:rPr>
        <w:tab/>
        <w:t>greenhouse gases</w:t>
      </w:r>
      <w:r>
        <w:rPr>
          <w:noProof/>
          <w:webHidden/>
        </w:rPr>
        <w:tab/>
      </w:r>
      <w:r>
        <w:rPr>
          <w:noProof/>
          <w:webHidden/>
        </w:rPr>
        <w:tab/>
      </w:r>
      <w:r w:rsidR="00004AA0">
        <w:rPr>
          <w:noProof/>
          <w:webHidden/>
        </w:rPr>
        <w:t>64</w:t>
      </w:r>
      <w:r>
        <w:rPr>
          <w:noProof/>
          <w:webHidden/>
        </w:rPr>
        <w:t>–</w:t>
      </w:r>
      <w:r w:rsidR="00004AA0">
        <w:rPr>
          <w:noProof/>
          <w:webHidden/>
        </w:rPr>
        <w:t>67</w:t>
      </w:r>
      <w:r>
        <w:rPr>
          <w:noProof/>
          <w:webHidden/>
        </w:rPr>
        <w:tab/>
      </w:r>
      <w:r w:rsidR="00004AA0">
        <w:rPr>
          <w:noProof/>
          <w:webHidden/>
        </w:rPr>
        <w:t>17</w:t>
      </w:r>
    </w:p>
    <w:p w14:paraId="3A9746AD" w14:textId="423B8AE2"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 xml:space="preserve">Emissions from fuel used for international aviation and maritime </w:t>
      </w:r>
      <w:r>
        <w:rPr>
          <w:noProof/>
        </w:rPr>
        <w:br/>
      </w:r>
      <w:r>
        <w:rPr>
          <w:noProof/>
        </w:rPr>
        <w:tab/>
      </w:r>
      <w:r>
        <w:rPr>
          <w:noProof/>
        </w:rPr>
        <w:tab/>
      </w:r>
      <w:r>
        <w:rPr>
          <w:noProof/>
        </w:rPr>
        <w:tab/>
      </w:r>
      <w:r>
        <w:rPr>
          <w:noProof/>
        </w:rPr>
        <w:tab/>
        <w:t>transport</w:t>
      </w:r>
      <w:r>
        <w:rPr>
          <w:noProof/>
          <w:webHidden/>
        </w:rPr>
        <w:tab/>
      </w:r>
      <w:r>
        <w:rPr>
          <w:noProof/>
          <w:webHidden/>
        </w:rPr>
        <w:tab/>
      </w:r>
      <w:r w:rsidR="00004AA0">
        <w:rPr>
          <w:noProof/>
          <w:webHidden/>
        </w:rPr>
        <w:t>68</w:t>
      </w:r>
      <w:r>
        <w:rPr>
          <w:noProof/>
          <w:webHidden/>
        </w:rPr>
        <w:t>–</w:t>
      </w:r>
      <w:r w:rsidR="00004AA0">
        <w:rPr>
          <w:noProof/>
          <w:webHidden/>
        </w:rPr>
        <w:t>70</w:t>
      </w:r>
      <w:r>
        <w:rPr>
          <w:noProof/>
          <w:webHidden/>
        </w:rPr>
        <w:tab/>
      </w:r>
      <w:r w:rsidR="00004AA0">
        <w:rPr>
          <w:noProof/>
          <w:webHidden/>
        </w:rPr>
        <w:t>17</w:t>
      </w:r>
    </w:p>
    <w:p w14:paraId="587F1BF6" w14:textId="4F14B086"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w:t>
      </w:r>
      <w:r>
        <w:rPr>
          <w:noProof/>
        </w:rPr>
        <w:br/>
      </w:r>
      <w:r>
        <w:rPr>
          <w:noProof/>
        </w:rPr>
        <w:tab/>
      </w:r>
      <w:r>
        <w:rPr>
          <w:noProof/>
        </w:rPr>
        <w:tab/>
      </w:r>
      <w:r>
        <w:rPr>
          <w:noProof/>
        </w:rPr>
        <w:tab/>
      </w:r>
      <w:r>
        <w:rPr>
          <w:noProof/>
        </w:rPr>
        <w:tab/>
        <w:t xml:space="preserve">greenhouse gas inventories of Parties included in Annex I </w:t>
      </w:r>
      <w:r>
        <w:rPr>
          <w:noProof/>
        </w:rPr>
        <w:br/>
      </w:r>
      <w:r>
        <w:rPr>
          <w:noProof/>
        </w:rPr>
        <w:tab/>
      </w:r>
      <w:r>
        <w:rPr>
          <w:noProof/>
        </w:rPr>
        <w:tab/>
      </w:r>
      <w:r>
        <w:rPr>
          <w:noProof/>
        </w:rPr>
        <w:tab/>
      </w:r>
      <w:r>
        <w:rPr>
          <w:noProof/>
        </w:rPr>
        <w:tab/>
        <w:t>to the Convention</w:t>
      </w:r>
      <w:r>
        <w:rPr>
          <w:noProof/>
          <w:webHidden/>
        </w:rPr>
        <w:tab/>
      </w:r>
      <w:r>
        <w:rPr>
          <w:noProof/>
          <w:webHidden/>
        </w:rPr>
        <w:tab/>
      </w:r>
      <w:r w:rsidR="00004AA0">
        <w:rPr>
          <w:noProof/>
          <w:webHidden/>
        </w:rPr>
        <w:t>71</w:t>
      </w:r>
      <w:r>
        <w:rPr>
          <w:noProof/>
          <w:webHidden/>
        </w:rPr>
        <w:t>–</w:t>
      </w:r>
      <w:r w:rsidR="00004AA0">
        <w:rPr>
          <w:noProof/>
          <w:webHidden/>
        </w:rPr>
        <w:t>76</w:t>
      </w:r>
      <w:r>
        <w:rPr>
          <w:noProof/>
          <w:webHidden/>
        </w:rPr>
        <w:tab/>
      </w:r>
      <w:r w:rsidR="00004AA0">
        <w:rPr>
          <w:noProof/>
          <w:webHidden/>
        </w:rPr>
        <w:t>18</w:t>
      </w:r>
    </w:p>
    <w:p w14:paraId="1F60804A" w14:textId="73E01927"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IX.</w:t>
      </w:r>
      <w:r>
        <w:rPr>
          <w:rFonts w:asciiTheme="minorHAnsi" w:eastAsiaTheme="minorEastAsia" w:hAnsiTheme="minorHAnsi" w:cstheme="minorBidi"/>
          <w:noProof/>
          <w:sz w:val="22"/>
          <w:szCs w:val="22"/>
          <w:lang w:val="en-US" w:eastAsia="en-US"/>
        </w:rPr>
        <w:tab/>
      </w:r>
      <w:r>
        <w:rPr>
          <w:noProof/>
        </w:rPr>
        <w:t>Methodological</w:t>
      </w:r>
      <w:r w:rsidRPr="00874327">
        <w:rPr>
          <w:bCs/>
          <w:noProof/>
        </w:rPr>
        <w:t xml:space="preserve"> </w:t>
      </w:r>
      <w:r>
        <w:rPr>
          <w:noProof/>
        </w:rPr>
        <w:t>issues</w:t>
      </w:r>
      <w:r w:rsidRPr="00874327">
        <w:rPr>
          <w:noProof/>
        </w:rPr>
        <w:t xml:space="preserve"> </w:t>
      </w:r>
      <w:r>
        <w:rPr>
          <w:noProof/>
        </w:rPr>
        <w:t>under</w:t>
      </w:r>
      <w:r w:rsidRPr="00874327">
        <w:rPr>
          <w:noProof/>
        </w:rPr>
        <w:t xml:space="preserve"> </w:t>
      </w:r>
      <w:r>
        <w:rPr>
          <w:noProof/>
        </w:rPr>
        <w:t>the</w:t>
      </w:r>
      <w:r w:rsidRPr="00874327">
        <w:rPr>
          <w:noProof/>
        </w:rPr>
        <w:t xml:space="preserve"> </w:t>
      </w:r>
      <w:r>
        <w:rPr>
          <w:noProof/>
        </w:rPr>
        <w:t>Kyoto</w:t>
      </w:r>
      <w:r w:rsidRPr="00874327">
        <w:rPr>
          <w:noProof/>
        </w:rPr>
        <w:t xml:space="preserve"> </w:t>
      </w:r>
      <w:r>
        <w:rPr>
          <w:noProof/>
        </w:rPr>
        <w:t>Protocol</w:t>
      </w:r>
      <w:r>
        <w:rPr>
          <w:noProof/>
        </w:rPr>
        <w:br/>
      </w:r>
      <w:r>
        <w:rPr>
          <w:noProof/>
        </w:rPr>
        <w:tab/>
      </w:r>
      <w:r>
        <w:rPr>
          <w:noProof/>
        </w:rPr>
        <w:tab/>
      </w:r>
      <w:r w:rsidRPr="00874327">
        <w:rPr>
          <w:noProof/>
          <w:lang w:eastAsia="en-US"/>
        </w:rPr>
        <w:t>(Agenda item 9)</w:t>
      </w:r>
      <w:r>
        <w:rPr>
          <w:noProof/>
          <w:webHidden/>
        </w:rPr>
        <w:tab/>
      </w:r>
      <w:r>
        <w:rPr>
          <w:noProof/>
          <w:webHidden/>
        </w:rPr>
        <w:tab/>
      </w:r>
      <w:r w:rsidR="00004AA0">
        <w:rPr>
          <w:noProof/>
          <w:webHidden/>
        </w:rPr>
        <w:t>77</w:t>
      </w:r>
      <w:r>
        <w:rPr>
          <w:noProof/>
          <w:webHidden/>
        </w:rPr>
        <w:t>–</w:t>
      </w:r>
      <w:r w:rsidR="00004AA0">
        <w:rPr>
          <w:noProof/>
          <w:webHidden/>
        </w:rPr>
        <w:t>89</w:t>
      </w:r>
      <w:r>
        <w:rPr>
          <w:noProof/>
          <w:webHidden/>
        </w:rPr>
        <w:tab/>
      </w:r>
      <w:r w:rsidR="00004AA0">
        <w:rPr>
          <w:noProof/>
          <w:webHidden/>
        </w:rPr>
        <w:t>19</w:t>
      </w:r>
    </w:p>
    <w:p w14:paraId="54265B24" w14:textId="3E282A51"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 xml:space="preserve">Land use, land-use change and forestry under Article 3, paragraphs 3 </w:t>
      </w:r>
      <w:r>
        <w:rPr>
          <w:noProof/>
        </w:rPr>
        <w:br/>
      </w:r>
      <w:r>
        <w:rPr>
          <w:noProof/>
        </w:rPr>
        <w:tab/>
      </w:r>
      <w:r>
        <w:rPr>
          <w:noProof/>
        </w:rPr>
        <w:tab/>
      </w:r>
      <w:r>
        <w:rPr>
          <w:noProof/>
        </w:rPr>
        <w:tab/>
      </w:r>
      <w:r>
        <w:rPr>
          <w:noProof/>
        </w:rPr>
        <w:tab/>
        <w:t xml:space="preserve">and 4, of the Kyoto Protocol and under the clean development </w:t>
      </w:r>
      <w:r>
        <w:rPr>
          <w:noProof/>
        </w:rPr>
        <w:br/>
      </w:r>
      <w:r>
        <w:rPr>
          <w:noProof/>
        </w:rPr>
        <w:tab/>
      </w:r>
      <w:r>
        <w:rPr>
          <w:noProof/>
        </w:rPr>
        <w:tab/>
      </w:r>
      <w:r>
        <w:rPr>
          <w:noProof/>
        </w:rPr>
        <w:tab/>
      </w:r>
      <w:r>
        <w:rPr>
          <w:noProof/>
        </w:rPr>
        <w:tab/>
        <w:t>mechanism</w:t>
      </w:r>
      <w:r>
        <w:rPr>
          <w:noProof/>
          <w:webHidden/>
        </w:rPr>
        <w:tab/>
      </w:r>
      <w:r>
        <w:rPr>
          <w:noProof/>
          <w:webHidden/>
        </w:rPr>
        <w:tab/>
      </w:r>
      <w:r w:rsidR="00004AA0">
        <w:rPr>
          <w:noProof/>
          <w:webHidden/>
        </w:rPr>
        <w:t>77</w:t>
      </w:r>
      <w:r>
        <w:rPr>
          <w:noProof/>
          <w:webHidden/>
        </w:rPr>
        <w:t>–</w:t>
      </w:r>
      <w:r w:rsidR="00004AA0">
        <w:rPr>
          <w:noProof/>
          <w:webHidden/>
        </w:rPr>
        <w:t>81</w:t>
      </w:r>
      <w:r>
        <w:rPr>
          <w:noProof/>
          <w:webHidden/>
        </w:rPr>
        <w:tab/>
      </w:r>
      <w:r w:rsidR="00004AA0">
        <w:rPr>
          <w:noProof/>
          <w:webHidden/>
        </w:rPr>
        <w:t>19</w:t>
      </w:r>
    </w:p>
    <w:p w14:paraId="5E836020" w14:textId="61A8BE05" w:rsidR="003E4382" w:rsidRDefault="003E4382" w:rsidP="003E4382">
      <w:pPr>
        <w:pStyle w:val="TOC2"/>
        <w:ind w:left="567" w:hanging="567"/>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 xml:space="preserve">Implications of the choice of metrics used to calculate the carbon </w:t>
      </w:r>
      <w:r>
        <w:rPr>
          <w:noProof/>
        </w:rPr>
        <w:br/>
      </w:r>
      <w:r>
        <w:rPr>
          <w:noProof/>
        </w:rPr>
        <w:tab/>
      </w:r>
      <w:r>
        <w:rPr>
          <w:noProof/>
        </w:rPr>
        <w:tab/>
      </w:r>
      <w:r>
        <w:rPr>
          <w:noProof/>
        </w:rPr>
        <w:tab/>
      </w:r>
      <w:r>
        <w:rPr>
          <w:noProof/>
        </w:rPr>
        <w:tab/>
        <w:t xml:space="preserve">dioxide equivalence of greenhouse gases listed in Annex A to the </w:t>
      </w:r>
      <w:r>
        <w:rPr>
          <w:noProof/>
        </w:rPr>
        <w:br/>
      </w:r>
      <w:r>
        <w:rPr>
          <w:noProof/>
        </w:rPr>
        <w:tab/>
      </w:r>
      <w:r>
        <w:rPr>
          <w:noProof/>
        </w:rPr>
        <w:tab/>
      </w:r>
      <w:r>
        <w:rPr>
          <w:noProof/>
        </w:rPr>
        <w:tab/>
      </w:r>
      <w:r>
        <w:rPr>
          <w:noProof/>
        </w:rPr>
        <w:tab/>
        <w:t>Kyoto Protocol</w:t>
      </w:r>
      <w:r>
        <w:rPr>
          <w:noProof/>
          <w:webHidden/>
        </w:rPr>
        <w:tab/>
      </w:r>
      <w:r>
        <w:rPr>
          <w:noProof/>
          <w:webHidden/>
        </w:rPr>
        <w:tab/>
      </w:r>
      <w:r w:rsidR="00004AA0">
        <w:rPr>
          <w:noProof/>
          <w:webHidden/>
        </w:rPr>
        <w:t>82</w:t>
      </w:r>
      <w:r>
        <w:rPr>
          <w:noProof/>
          <w:webHidden/>
        </w:rPr>
        <w:t>–</w:t>
      </w:r>
      <w:r w:rsidR="00004AA0">
        <w:rPr>
          <w:noProof/>
          <w:webHidden/>
        </w:rPr>
        <w:t>85</w:t>
      </w:r>
      <w:r>
        <w:rPr>
          <w:noProof/>
          <w:webHidden/>
        </w:rPr>
        <w:tab/>
      </w:r>
      <w:r w:rsidR="00004AA0">
        <w:rPr>
          <w:noProof/>
          <w:webHidden/>
        </w:rPr>
        <w:t>19</w:t>
      </w:r>
    </w:p>
    <w:p w14:paraId="710B829D" w14:textId="1C38CFD8"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Implications of the inclusion of reforestation of lands with forest </w:t>
      </w:r>
      <w:r>
        <w:rPr>
          <w:noProof/>
        </w:rPr>
        <w:br/>
      </w:r>
      <w:r>
        <w:rPr>
          <w:noProof/>
        </w:rPr>
        <w:tab/>
      </w:r>
      <w:r>
        <w:rPr>
          <w:noProof/>
        </w:rPr>
        <w:tab/>
      </w:r>
      <w:r>
        <w:rPr>
          <w:noProof/>
        </w:rPr>
        <w:tab/>
      </w:r>
      <w:r>
        <w:rPr>
          <w:noProof/>
        </w:rPr>
        <w:tab/>
        <w:t xml:space="preserve">in exhaustion as afforestation and reforestation clean development </w:t>
      </w:r>
      <w:r>
        <w:rPr>
          <w:noProof/>
        </w:rPr>
        <w:br/>
      </w:r>
      <w:r>
        <w:rPr>
          <w:noProof/>
        </w:rPr>
        <w:tab/>
      </w:r>
      <w:r>
        <w:rPr>
          <w:noProof/>
        </w:rPr>
        <w:tab/>
      </w:r>
      <w:r>
        <w:rPr>
          <w:noProof/>
        </w:rPr>
        <w:tab/>
      </w:r>
      <w:r>
        <w:rPr>
          <w:noProof/>
        </w:rPr>
        <w:tab/>
        <w:t>mechanism project activities</w:t>
      </w:r>
      <w:r>
        <w:rPr>
          <w:noProof/>
          <w:webHidden/>
        </w:rPr>
        <w:tab/>
      </w:r>
      <w:r>
        <w:rPr>
          <w:noProof/>
          <w:webHidden/>
        </w:rPr>
        <w:tab/>
      </w:r>
      <w:r w:rsidR="00004AA0">
        <w:rPr>
          <w:noProof/>
          <w:webHidden/>
        </w:rPr>
        <w:t>86</w:t>
      </w:r>
      <w:r>
        <w:rPr>
          <w:noProof/>
          <w:webHidden/>
        </w:rPr>
        <w:t>–</w:t>
      </w:r>
      <w:r w:rsidR="00004AA0">
        <w:rPr>
          <w:noProof/>
          <w:webHidden/>
        </w:rPr>
        <w:t>89</w:t>
      </w:r>
      <w:r>
        <w:rPr>
          <w:noProof/>
          <w:webHidden/>
        </w:rPr>
        <w:tab/>
      </w:r>
      <w:r w:rsidR="00004AA0">
        <w:rPr>
          <w:noProof/>
          <w:webHidden/>
        </w:rPr>
        <w:t>20</w:t>
      </w:r>
    </w:p>
    <w:p w14:paraId="619EBCD1" w14:textId="05917A8E"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X.</w:t>
      </w:r>
      <w:r>
        <w:rPr>
          <w:rFonts w:asciiTheme="minorHAnsi" w:eastAsiaTheme="minorEastAsia" w:hAnsiTheme="minorHAnsi" w:cstheme="minorBidi"/>
          <w:noProof/>
          <w:sz w:val="22"/>
          <w:szCs w:val="22"/>
          <w:lang w:val="en-US" w:eastAsia="en-US"/>
        </w:rPr>
        <w:tab/>
      </w:r>
      <w:r>
        <w:rPr>
          <w:noProof/>
        </w:rPr>
        <w:t>Market</w:t>
      </w:r>
      <w:r w:rsidRPr="00874327">
        <w:rPr>
          <w:noProof/>
        </w:rPr>
        <w:t xml:space="preserve"> </w:t>
      </w:r>
      <w:r>
        <w:rPr>
          <w:noProof/>
        </w:rPr>
        <w:t>and</w:t>
      </w:r>
      <w:r w:rsidRPr="00874327">
        <w:rPr>
          <w:noProof/>
        </w:rPr>
        <w:t xml:space="preserve"> </w:t>
      </w:r>
      <w:r>
        <w:rPr>
          <w:noProof/>
        </w:rPr>
        <w:t>non</w:t>
      </w:r>
      <w:r w:rsidRPr="00874327">
        <w:rPr>
          <w:noProof/>
        </w:rPr>
        <w:t>-</w:t>
      </w:r>
      <w:r>
        <w:rPr>
          <w:noProof/>
        </w:rPr>
        <w:t>market</w:t>
      </w:r>
      <w:r w:rsidRPr="00874327">
        <w:rPr>
          <w:noProof/>
        </w:rPr>
        <w:t xml:space="preserve"> </w:t>
      </w:r>
      <w:r>
        <w:rPr>
          <w:noProof/>
        </w:rPr>
        <w:t>mechanisms</w:t>
      </w:r>
      <w:r w:rsidRPr="00874327">
        <w:rPr>
          <w:noProof/>
        </w:rPr>
        <w:t xml:space="preserve"> </w:t>
      </w:r>
      <w:r>
        <w:rPr>
          <w:noProof/>
        </w:rPr>
        <w:t>under</w:t>
      </w:r>
      <w:r w:rsidRPr="00874327">
        <w:rPr>
          <w:noProof/>
        </w:rPr>
        <w:t xml:space="preserve"> </w:t>
      </w:r>
      <w:r>
        <w:rPr>
          <w:noProof/>
        </w:rPr>
        <w:t>the</w:t>
      </w:r>
      <w:r w:rsidRPr="00874327">
        <w:rPr>
          <w:noProof/>
        </w:rPr>
        <w:t xml:space="preserve"> </w:t>
      </w:r>
      <w:r>
        <w:rPr>
          <w:noProof/>
        </w:rPr>
        <w:t xml:space="preserve">Convention  </w:t>
      </w:r>
      <w:r>
        <w:rPr>
          <w:noProof/>
        </w:rPr>
        <w:br/>
      </w:r>
      <w:r>
        <w:rPr>
          <w:noProof/>
        </w:rPr>
        <w:tab/>
      </w:r>
      <w:r>
        <w:rPr>
          <w:noProof/>
        </w:rPr>
        <w:tab/>
      </w:r>
      <w:r w:rsidRPr="00874327">
        <w:rPr>
          <w:noProof/>
          <w:lang w:eastAsia="en-US"/>
        </w:rPr>
        <w:t>(</w:t>
      </w:r>
      <w:r w:rsidRPr="00874327">
        <w:rPr>
          <w:noProof/>
        </w:rPr>
        <w:t>Agenda</w:t>
      </w:r>
      <w:r w:rsidRPr="00874327">
        <w:rPr>
          <w:noProof/>
          <w:lang w:eastAsia="en-US"/>
        </w:rPr>
        <w:t xml:space="preserve"> item 10)</w:t>
      </w:r>
      <w:r>
        <w:rPr>
          <w:noProof/>
          <w:webHidden/>
        </w:rPr>
        <w:tab/>
      </w:r>
      <w:r>
        <w:rPr>
          <w:noProof/>
          <w:webHidden/>
        </w:rPr>
        <w:tab/>
      </w:r>
      <w:r w:rsidR="00004AA0">
        <w:rPr>
          <w:noProof/>
          <w:webHidden/>
        </w:rPr>
        <w:t>90</w:t>
      </w:r>
      <w:r>
        <w:rPr>
          <w:noProof/>
          <w:webHidden/>
        </w:rPr>
        <w:t>–</w:t>
      </w:r>
      <w:r w:rsidR="00004AA0">
        <w:rPr>
          <w:noProof/>
          <w:webHidden/>
        </w:rPr>
        <w:t>92</w:t>
      </w:r>
      <w:r>
        <w:rPr>
          <w:noProof/>
          <w:webHidden/>
        </w:rPr>
        <w:tab/>
      </w:r>
      <w:r w:rsidR="00004AA0">
        <w:rPr>
          <w:noProof/>
          <w:webHidden/>
        </w:rPr>
        <w:t>21</w:t>
      </w:r>
    </w:p>
    <w:p w14:paraId="21BE7A77" w14:textId="14B27629"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Framework for various approaches</w:t>
      </w:r>
      <w:r>
        <w:rPr>
          <w:noProof/>
          <w:webHidden/>
        </w:rPr>
        <w:tab/>
      </w:r>
      <w:r>
        <w:rPr>
          <w:noProof/>
          <w:webHidden/>
        </w:rPr>
        <w:tab/>
      </w:r>
      <w:r w:rsidR="00004AA0">
        <w:rPr>
          <w:noProof/>
          <w:webHidden/>
        </w:rPr>
        <w:t>90</w:t>
      </w:r>
      <w:r>
        <w:rPr>
          <w:noProof/>
          <w:webHidden/>
        </w:rPr>
        <w:t>–</w:t>
      </w:r>
      <w:r w:rsidR="00004AA0">
        <w:rPr>
          <w:noProof/>
          <w:webHidden/>
        </w:rPr>
        <w:t>92</w:t>
      </w:r>
      <w:r>
        <w:rPr>
          <w:noProof/>
          <w:webHidden/>
        </w:rPr>
        <w:tab/>
      </w:r>
      <w:r w:rsidR="00004AA0">
        <w:rPr>
          <w:noProof/>
          <w:webHidden/>
        </w:rPr>
        <w:t>21</w:t>
      </w:r>
    </w:p>
    <w:p w14:paraId="236CE739" w14:textId="645CEB07"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Non-market-based approaches</w:t>
      </w:r>
      <w:r>
        <w:rPr>
          <w:noProof/>
          <w:webHidden/>
        </w:rPr>
        <w:tab/>
      </w:r>
      <w:r>
        <w:rPr>
          <w:noProof/>
          <w:webHidden/>
        </w:rPr>
        <w:tab/>
      </w:r>
      <w:r w:rsidR="00004AA0">
        <w:rPr>
          <w:noProof/>
          <w:webHidden/>
        </w:rPr>
        <w:t>90</w:t>
      </w:r>
      <w:r>
        <w:rPr>
          <w:noProof/>
          <w:webHidden/>
        </w:rPr>
        <w:t>–</w:t>
      </w:r>
      <w:r w:rsidR="00004AA0">
        <w:rPr>
          <w:noProof/>
          <w:webHidden/>
        </w:rPr>
        <w:t>92</w:t>
      </w:r>
      <w:r>
        <w:rPr>
          <w:noProof/>
          <w:webHidden/>
        </w:rPr>
        <w:tab/>
      </w:r>
      <w:r w:rsidR="00004AA0">
        <w:rPr>
          <w:noProof/>
          <w:webHidden/>
        </w:rPr>
        <w:t>21</w:t>
      </w:r>
    </w:p>
    <w:p w14:paraId="23EF2DD5" w14:textId="72B0461A" w:rsidR="003E4382" w:rsidRDefault="003E4382" w:rsidP="003E4382">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New market-based mechanism</w:t>
      </w:r>
      <w:r>
        <w:rPr>
          <w:noProof/>
          <w:webHidden/>
        </w:rPr>
        <w:tab/>
      </w:r>
      <w:r>
        <w:rPr>
          <w:noProof/>
          <w:webHidden/>
        </w:rPr>
        <w:tab/>
      </w:r>
      <w:r w:rsidR="00004AA0">
        <w:rPr>
          <w:noProof/>
          <w:webHidden/>
        </w:rPr>
        <w:t>90</w:t>
      </w:r>
      <w:r>
        <w:rPr>
          <w:noProof/>
          <w:webHidden/>
        </w:rPr>
        <w:t>–</w:t>
      </w:r>
      <w:r w:rsidR="00004AA0">
        <w:rPr>
          <w:noProof/>
          <w:webHidden/>
        </w:rPr>
        <w:t>92</w:t>
      </w:r>
      <w:r>
        <w:rPr>
          <w:noProof/>
          <w:webHidden/>
        </w:rPr>
        <w:tab/>
      </w:r>
      <w:r w:rsidR="00004AA0">
        <w:rPr>
          <w:noProof/>
          <w:webHidden/>
        </w:rPr>
        <w:t>21</w:t>
      </w:r>
    </w:p>
    <w:p w14:paraId="29BDF9BB" w14:textId="03C549D1" w:rsidR="003E4382" w:rsidRDefault="003E4382" w:rsidP="003E4382">
      <w:pPr>
        <w:pStyle w:val="TOC1"/>
        <w:rPr>
          <w:rFonts w:asciiTheme="minorHAnsi" w:eastAsiaTheme="minorEastAsia" w:hAnsiTheme="minorHAnsi" w:cstheme="minorBidi"/>
          <w:noProof/>
          <w:sz w:val="22"/>
          <w:szCs w:val="22"/>
          <w:lang w:val="en-US" w:eastAsia="en-US"/>
        </w:rPr>
      </w:pPr>
      <w:r>
        <w:rPr>
          <w:noProof/>
        </w:rPr>
        <w:tab/>
        <w:t>XI.</w:t>
      </w:r>
      <w:r>
        <w:rPr>
          <w:rFonts w:asciiTheme="minorHAnsi" w:eastAsiaTheme="minorEastAsia" w:hAnsiTheme="minorHAnsi" w:cstheme="minorBidi"/>
          <w:noProof/>
          <w:sz w:val="22"/>
          <w:szCs w:val="22"/>
          <w:lang w:val="en-US" w:eastAsia="en-US"/>
        </w:rPr>
        <w:tab/>
      </w:r>
      <w:r>
        <w:rPr>
          <w:noProof/>
        </w:rPr>
        <w:t xml:space="preserve">Matters relating to Article 6 of the Paris Agreement  </w:t>
      </w:r>
      <w:r>
        <w:rPr>
          <w:noProof/>
        </w:rPr>
        <w:br/>
      </w:r>
      <w:r>
        <w:rPr>
          <w:noProof/>
        </w:rPr>
        <w:tab/>
      </w:r>
      <w:r>
        <w:rPr>
          <w:noProof/>
        </w:rPr>
        <w:tab/>
      </w:r>
      <w:r w:rsidRPr="00874327">
        <w:rPr>
          <w:noProof/>
        </w:rPr>
        <w:t>(Agenda item 11)</w:t>
      </w:r>
      <w:r>
        <w:rPr>
          <w:noProof/>
          <w:webHidden/>
        </w:rPr>
        <w:tab/>
      </w:r>
      <w:r>
        <w:rPr>
          <w:noProof/>
          <w:webHidden/>
        </w:rPr>
        <w:tab/>
      </w:r>
      <w:r w:rsidR="00004AA0">
        <w:rPr>
          <w:noProof/>
          <w:webHidden/>
        </w:rPr>
        <w:t>93</w:t>
      </w:r>
      <w:r>
        <w:rPr>
          <w:noProof/>
          <w:webHidden/>
        </w:rPr>
        <w:t>–</w:t>
      </w:r>
      <w:r w:rsidR="00004AA0">
        <w:rPr>
          <w:noProof/>
          <w:webHidden/>
        </w:rPr>
        <w:t>104</w:t>
      </w:r>
      <w:r>
        <w:rPr>
          <w:noProof/>
          <w:webHidden/>
        </w:rPr>
        <w:tab/>
      </w:r>
      <w:r w:rsidR="00004AA0">
        <w:rPr>
          <w:noProof/>
          <w:webHidden/>
        </w:rPr>
        <w:t>21</w:t>
      </w:r>
    </w:p>
    <w:p w14:paraId="78223AFF" w14:textId="1762B070"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Guidance on cooperative approaches referred to in Article 6, </w:t>
      </w:r>
      <w:r>
        <w:rPr>
          <w:noProof/>
        </w:rPr>
        <w:br/>
      </w:r>
      <w:r>
        <w:rPr>
          <w:noProof/>
        </w:rPr>
        <w:tab/>
      </w:r>
      <w:r>
        <w:rPr>
          <w:noProof/>
        </w:rPr>
        <w:tab/>
      </w:r>
      <w:r>
        <w:rPr>
          <w:noProof/>
        </w:rPr>
        <w:tab/>
      </w:r>
      <w:r>
        <w:rPr>
          <w:noProof/>
        </w:rPr>
        <w:tab/>
        <w:t>paragraph 2, of the Paris Agreement</w:t>
      </w:r>
      <w:r>
        <w:rPr>
          <w:noProof/>
          <w:webHidden/>
        </w:rPr>
        <w:tab/>
      </w:r>
      <w:r>
        <w:rPr>
          <w:noProof/>
          <w:webHidden/>
        </w:rPr>
        <w:tab/>
      </w:r>
      <w:r w:rsidR="00004AA0">
        <w:rPr>
          <w:noProof/>
          <w:webHidden/>
        </w:rPr>
        <w:t>93</w:t>
      </w:r>
      <w:r>
        <w:rPr>
          <w:noProof/>
          <w:webHidden/>
        </w:rPr>
        <w:t>–</w:t>
      </w:r>
      <w:r w:rsidR="00004AA0">
        <w:rPr>
          <w:noProof/>
          <w:webHidden/>
        </w:rPr>
        <w:t>96</w:t>
      </w:r>
      <w:r>
        <w:rPr>
          <w:noProof/>
          <w:webHidden/>
        </w:rPr>
        <w:tab/>
      </w:r>
      <w:r w:rsidR="00004AA0">
        <w:rPr>
          <w:noProof/>
          <w:webHidden/>
        </w:rPr>
        <w:t>21</w:t>
      </w:r>
    </w:p>
    <w:p w14:paraId="543E2E17" w14:textId="12092DAE"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Rules, modalities and procedures for the mechanism established </w:t>
      </w:r>
      <w:r>
        <w:rPr>
          <w:noProof/>
        </w:rPr>
        <w:br/>
      </w:r>
      <w:r>
        <w:rPr>
          <w:noProof/>
        </w:rPr>
        <w:tab/>
      </w:r>
      <w:r>
        <w:rPr>
          <w:noProof/>
        </w:rPr>
        <w:tab/>
      </w:r>
      <w:r>
        <w:rPr>
          <w:noProof/>
        </w:rPr>
        <w:tab/>
      </w:r>
      <w:r>
        <w:rPr>
          <w:noProof/>
        </w:rPr>
        <w:tab/>
        <w:t>by Article 6, paragraph 4, of the Paris Agreement</w:t>
      </w:r>
      <w:r>
        <w:rPr>
          <w:noProof/>
          <w:webHidden/>
        </w:rPr>
        <w:tab/>
      </w:r>
      <w:r>
        <w:rPr>
          <w:noProof/>
          <w:webHidden/>
        </w:rPr>
        <w:tab/>
      </w:r>
      <w:r w:rsidR="00004AA0">
        <w:rPr>
          <w:noProof/>
          <w:webHidden/>
        </w:rPr>
        <w:t>97</w:t>
      </w:r>
      <w:r>
        <w:rPr>
          <w:noProof/>
          <w:webHidden/>
        </w:rPr>
        <w:t>–</w:t>
      </w:r>
      <w:r w:rsidR="00004AA0">
        <w:rPr>
          <w:noProof/>
          <w:webHidden/>
        </w:rPr>
        <w:t>100</w:t>
      </w:r>
      <w:r>
        <w:rPr>
          <w:noProof/>
          <w:webHidden/>
        </w:rPr>
        <w:tab/>
      </w:r>
      <w:r w:rsidR="00004AA0">
        <w:rPr>
          <w:noProof/>
          <w:webHidden/>
        </w:rPr>
        <w:t>22</w:t>
      </w:r>
    </w:p>
    <w:p w14:paraId="707AFFF2" w14:textId="03C13FBA" w:rsidR="003E4382" w:rsidRDefault="003E4382" w:rsidP="003E4382">
      <w:pPr>
        <w:pStyle w:val="TOC2"/>
        <w:rPr>
          <w:rFonts w:asciiTheme="minorHAnsi" w:eastAsiaTheme="minorEastAsia" w:hAnsiTheme="minorHAnsi" w:cstheme="minorBidi"/>
          <w:noProof/>
          <w:sz w:val="22"/>
          <w:szCs w:val="22"/>
          <w:lang w:val="en-US" w:eastAsia="en-US"/>
        </w:rPr>
      </w:pPr>
      <w:r>
        <w:rPr>
          <w:noProof/>
        </w:rPr>
        <w:tab/>
      </w: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Work programme under the framework for non-market approaches </w:t>
      </w:r>
      <w:r>
        <w:rPr>
          <w:noProof/>
        </w:rPr>
        <w:br/>
      </w:r>
      <w:r>
        <w:rPr>
          <w:noProof/>
        </w:rPr>
        <w:tab/>
      </w:r>
      <w:r>
        <w:rPr>
          <w:noProof/>
        </w:rPr>
        <w:tab/>
      </w:r>
      <w:r>
        <w:rPr>
          <w:noProof/>
        </w:rPr>
        <w:tab/>
      </w:r>
      <w:r>
        <w:rPr>
          <w:noProof/>
        </w:rPr>
        <w:tab/>
        <w:t>referred to in Article 6, paragraph 8, of the Paris Agreement</w:t>
      </w:r>
      <w:r>
        <w:rPr>
          <w:noProof/>
          <w:webHidden/>
        </w:rPr>
        <w:tab/>
      </w:r>
      <w:r>
        <w:rPr>
          <w:noProof/>
          <w:webHidden/>
        </w:rPr>
        <w:tab/>
      </w:r>
      <w:r w:rsidR="00004AA0">
        <w:rPr>
          <w:noProof/>
          <w:webHidden/>
        </w:rPr>
        <w:t>101</w:t>
      </w:r>
      <w:r>
        <w:rPr>
          <w:noProof/>
          <w:webHidden/>
        </w:rPr>
        <w:t>–</w:t>
      </w:r>
      <w:r w:rsidR="00004AA0">
        <w:rPr>
          <w:noProof/>
          <w:webHidden/>
        </w:rPr>
        <w:t>104</w:t>
      </w:r>
      <w:r>
        <w:rPr>
          <w:noProof/>
          <w:webHidden/>
        </w:rPr>
        <w:tab/>
      </w:r>
      <w:r w:rsidR="00004AA0">
        <w:rPr>
          <w:noProof/>
          <w:webHidden/>
        </w:rPr>
        <w:t>22</w:t>
      </w:r>
    </w:p>
    <w:p w14:paraId="39B9CDB7" w14:textId="77777777" w:rsidR="003E4382" w:rsidRDefault="003E4382" w:rsidP="003E4382">
      <w:pPr>
        <w:pStyle w:val="TOC1"/>
        <w:rPr>
          <w:noProof/>
        </w:rPr>
      </w:pPr>
    </w:p>
    <w:p w14:paraId="2815C76A" w14:textId="77777777" w:rsidR="003E4382" w:rsidRDefault="003E4382" w:rsidP="003E4382">
      <w:pPr>
        <w:tabs>
          <w:tab w:val="right" w:pos="8929"/>
          <w:tab w:val="right" w:pos="9638"/>
        </w:tabs>
        <w:spacing w:after="120"/>
        <w:ind w:left="283"/>
      </w:pPr>
      <w:r>
        <w:rPr>
          <w:noProof/>
        </w:rPr>
        <w:br w:type="column"/>
      </w:r>
      <w:r>
        <w:rPr>
          <w:i/>
          <w:sz w:val="18"/>
        </w:rPr>
        <w:lastRenderedPageBreak/>
        <w:tab/>
        <w:t>Paragraphs</w:t>
      </w:r>
      <w:r>
        <w:rPr>
          <w:i/>
          <w:sz w:val="18"/>
        </w:rPr>
        <w:tab/>
        <w:t>Page</w:t>
      </w:r>
    </w:p>
    <w:p w14:paraId="668FF07E" w14:textId="561DF324" w:rsidR="003E4382" w:rsidRDefault="003E4382" w:rsidP="003E4382">
      <w:pPr>
        <w:pStyle w:val="TOC1"/>
        <w:rPr>
          <w:rFonts w:asciiTheme="minorHAnsi" w:eastAsiaTheme="minorEastAsia" w:hAnsiTheme="minorHAnsi" w:cstheme="minorBidi"/>
          <w:noProof/>
          <w:sz w:val="22"/>
          <w:szCs w:val="22"/>
          <w:lang w:val="en-US" w:eastAsia="en-US"/>
        </w:rPr>
      </w:pPr>
      <w:r>
        <w:rPr>
          <w:sz w:val="28"/>
        </w:rPr>
        <w:tab/>
      </w:r>
      <w:r>
        <w:rPr>
          <w:noProof/>
        </w:rPr>
        <w:t>XII.</w:t>
      </w:r>
      <w:r>
        <w:rPr>
          <w:rFonts w:asciiTheme="minorHAnsi" w:eastAsiaTheme="minorEastAsia" w:hAnsiTheme="minorHAnsi" w:cstheme="minorBidi"/>
          <w:noProof/>
          <w:sz w:val="22"/>
          <w:szCs w:val="22"/>
          <w:lang w:val="en-US" w:eastAsia="en-US"/>
        </w:rPr>
        <w:tab/>
      </w:r>
      <w:r>
        <w:rPr>
          <w:noProof/>
        </w:rPr>
        <w:t xml:space="preserve">Modalities for the accounting of financial resources provided and mobilized </w:t>
      </w:r>
      <w:r>
        <w:rPr>
          <w:noProof/>
        </w:rPr>
        <w:br/>
      </w:r>
      <w:r>
        <w:rPr>
          <w:noProof/>
        </w:rPr>
        <w:tab/>
      </w:r>
      <w:r>
        <w:rPr>
          <w:noProof/>
        </w:rPr>
        <w:tab/>
        <w:t xml:space="preserve">through public interventions in accordance with Article 9, paragraph 7, </w:t>
      </w:r>
      <w:r>
        <w:rPr>
          <w:noProof/>
        </w:rPr>
        <w:br/>
      </w:r>
      <w:r>
        <w:rPr>
          <w:noProof/>
        </w:rPr>
        <w:tab/>
      </w:r>
      <w:r>
        <w:rPr>
          <w:noProof/>
        </w:rPr>
        <w:tab/>
        <w:t xml:space="preserve">of the Paris Agreement </w:t>
      </w:r>
      <w:r>
        <w:rPr>
          <w:noProof/>
        </w:rPr>
        <w:br/>
      </w:r>
      <w:r>
        <w:rPr>
          <w:noProof/>
        </w:rPr>
        <w:tab/>
      </w:r>
      <w:r>
        <w:rPr>
          <w:noProof/>
        </w:rPr>
        <w:tab/>
      </w:r>
      <w:r w:rsidRPr="00874327">
        <w:rPr>
          <w:noProof/>
        </w:rPr>
        <w:t>(Agenda item 12)</w:t>
      </w:r>
      <w:r>
        <w:rPr>
          <w:noProof/>
          <w:webHidden/>
        </w:rPr>
        <w:tab/>
      </w:r>
      <w:r>
        <w:rPr>
          <w:noProof/>
          <w:webHidden/>
        </w:rPr>
        <w:tab/>
      </w:r>
      <w:r w:rsidR="00004AA0">
        <w:rPr>
          <w:noProof/>
          <w:webHidden/>
        </w:rPr>
        <w:t>105</w:t>
      </w:r>
      <w:r>
        <w:rPr>
          <w:noProof/>
          <w:webHidden/>
        </w:rPr>
        <w:t>–</w:t>
      </w:r>
      <w:r w:rsidR="00004AA0">
        <w:rPr>
          <w:noProof/>
          <w:webHidden/>
        </w:rPr>
        <w:t>111</w:t>
      </w:r>
      <w:r>
        <w:rPr>
          <w:noProof/>
          <w:webHidden/>
        </w:rPr>
        <w:tab/>
      </w:r>
      <w:r w:rsidR="00004AA0">
        <w:rPr>
          <w:noProof/>
          <w:webHidden/>
        </w:rPr>
        <w:t>23</w:t>
      </w:r>
    </w:p>
    <w:p w14:paraId="3B09FA73" w14:textId="0C08BA33" w:rsidR="003E4382" w:rsidRDefault="003E4382" w:rsidP="003E4382">
      <w:pPr>
        <w:pStyle w:val="TOC1"/>
        <w:rPr>
          <w:rFonts w:asciiTheme="minorHAnsi" w:eastAsiaTheme="minorEastAsia" w:hAnsiTheme="minorHAnsi" w:cstheme="minorBidi"/>
          <w:noProof/>
          <w:sz w:val="22"/>
          <w:szCs w:val="22"/>
          <w:lang w:val="en-US" w:eastAsia="en-US"/>
        </w:rPr>
      </w:pPr>
      <w:r>
        <w:rPr>
          <w:noProof/>
        </w:rPr>
        <w:tab/>
        <w:t>XIII.</w:t>
      </w:r>
      <w:r>
        <w:rPr>
          <w:rFonts w:asciiTheme="minorHAnsi" w:eastAsiaTheme="minorEastAsia" w:hAnsiTheme="minorHAnsi" w:cstheme="minorBidi"/>
          <w:noProof/>
          <w:sz w:val="22"/>
          <w:szCs w:val="22"/>
          <w:lang w:val="en-US" w:eastAsia="en-US"/>
        </w:rPr>
        <w:tab/>
      </w:r>
      <w:r>
        <w:rPr>
          <w:noProof/>
        </w:rPr>
        <w:t xml:space="preserve">Cooperation with other international organizations  </w:t>
      </w:r>
      <w:r>
        <w:rPr>
          <w:noProof/>
        </w:rPr>
        <w:br/>
      </w:r>
      <w:r>
        <w:rPr>
          <w:noProof/>
        </w:rPr>
        <w:tab/>
      </w:r>
      <w:r>
        <w:rPr>
          <w:noProof/>
        </w:rPr>
        <w:tab/>
      </w:r>
      <w:r w:rsidRPr="00874327">
        <w:rPr>
          <w:noProof/>
        </w:rPr>
        <w:t>(Agenda item 13)</w:t>
      </w:r>
      <w:r>
        <w:rPr>
          <w:noProof/>
          <w:webHidden/>
        </w:rPr>
        <w:tab/>
      </w:r>
      <w:r>
        <w:rPr>
          <w:noProof/>
          <w:webHidden/>
        </w:rPr>
        <w:tab/>
      </w:r>
      <w:r w:rsidR="00004AA0">
        <w:rPr>
          <w:noProof/>
          <w:webHidden/>
        </w:rPr>
        <w:t>112</w:t>
      </w:r>
      <w:r>
        <w:rPr>
          <w:noProof/>
          <w:webHidden/>
        </w:rPr>
        <w:t>–</w:t>
      </w:r>
      <w:r w:rsidR="00004AA0">
        <w:rPr>
          <w:noProof/>
          <w:webHidden/>
        </w:rPr>
        <w:t>113</w:t>
      </w:r>
      <w:r>
        <w:rPr>
          <w:noProof/>
          <w:webHidden/>
        </w:rPr>
        <w:tab/>
      </w:r>
      <w:r w:rsidR="00004AA0">
        <w:rPr>
          <w:noProof/>
          <w:webHidden/>
        </w:rPr>
        <w:t>24</w:t>
      </w:r>
    </w:p>
    <w:p w14:paraId="08D9DE1B" w14:textId="07C100FA"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XIV.</w:t>
      </w:r>
      <w:r>
        <w:rPr>
          <w:rFonts w:asciiTheme="minorHAnsi" w:eastAsiaTheme="minorEastAsia" w:hAnsiTheme="minorHAnsi" w:cstheme="minorBidi"/>
          <w:noProof/>
          <w:sz w:val="22"/>
          <w:szCs w:val="22"/>
          <w:lang w:val="en-US" w:eastAsia="en-US"/>
        </w:rPr>
        <w:tab/>
      </w:r>
      <w:r>
        <w:rPr>
          <w:noProof/>
        </w:rPr>
        <w:t>Other</w:t>
      </w:r>
      <w:r w:rsidRPr="00874327">
        <w:rPr>
          <w:noProof/>
        </w:rPr>
        <w:t xml:space="preserve"> </w:t>
      </w:r>
      <w:r>
        <w:rPr>
          <w:noProof/>
        </w:rPr>
        <w:t xml:space="preserve">matters  </w:t>
      </w:r>
      <w:r>
        <w:rPr>
          <w:noProof/>
        </w:rPr>
        <w:br/>
      </w:r>
      <w:r>
        <w:rPr>
          <w:noProof/>
        </w:rPr>
        <w:tab/>
      </w:r>
      <w:r>
        <w:rPr>
          <w:noProof/>
        </w:rPr>
        <w:tab/>
      </w:r>
      <w:r w:rsidRPr="00874327">
        <w:rPr>
          <w:noProof/>
          <w:lang w:eastAsia="en-US"/>
        </w:rPr>
        <w:t>(Agenda item 14)</w:t>
      </w:r>
      <w:r>
        <w:rPr>
          <w:noProof/>
          <w:webHidden/>
        </w:rPr>
        <w:tab/>
      </w:r>
      <w:r>
        <w:rPr>
          <w:noProof/>
          <w:webHidden/>
        </w:rPr>
        <w:tab/>
      </w:r>
      <w:r w:rsidR="00004AA0">
        <w:rPr>
          <w:noProof/>
          <w:webHidden/>
        </w:rPr>
        <w:t>114</w:t>
      </w:r>
      <w:r>
        <w:rPr>
          <w:noProof/>
          <w:webHidden/>
        </w:rPr>
        <w:t>–</w:t>
      </w:r>
      <w:r w:rsidR="00004AA0">
        <w:rPr>
          <w:noProof/>
          <w:webHidden/>
        </w:rPr>
        <w:t>116</w:t>
      </w:r>
      <w:r>
        <w:rPr>
          <w:noProof/>
          <w:webHidden/>
        </w:rPr>
        <w:tab/>
      </w:r>
      <w:r w:rsidR="00004AA0">
        <w:rPr>
          <w:noProof/>
          <w:webHidden/>
        </w:rPr>
        <w:t>24</w:t>
      </w:r>
    </w:p>
    <w:p w14:paraId="292A5A7F" w14:textId="6DA03B18" w:rsidR="003E4382" w:rsidRDefault="003E4382" w:rsidP="003E4382">
      <w:pPr>
        <w:pStyle w:val="TOC1"/>
        <w:rPr>
          <w:rFonts w:asciiTheme="minorHAnsi" w:eastAsiaTheme="minorEastAsia" w:hAnsiTheme="minorHAnsi" w:cstheme="minorBidi"/>
          <w:noProof/>
          <w:sz w:val="22"/>
          <w:szCs w:val="22"/>
          <w:lang w:val="en-US" w:eastAsia="en-US"/>
        </w:rPr>
      </w:pPr>
      <w:r>
        <w:rPr>
          <w:noProof/>
          <w:lang w:eastAsia="en-US"/>
        </w:rPr>
        <w:tab/>
        <w:t>XV.</w:t>
      </w:r>
      <w:r>
        <w:rPr>
          <w:rFonts w:asciiTheme="minorHAnsi" w:eastAsiaTheme="minorEastAsia" w:hAnsiTheme="minorHAnsi" w:cstheme="minorBidi"/>
          <w:noProof/>
          <w:sz w:val="22"/>
          <w:szCs w:val="22"/>
          <w:lang w:val="en-US" w:eastAsia="en-US"/>
        </w:rPr>
        <w:tab/>
      </w:r>
      <w:r>
        <w:rPr>
          <w:noProof/>
        </w:rPr>
        <w:t>Closure of and report</w:t>
      </w:r>
      <w:r w:rsidRPr="00874327">
        <w:rPr>
          <w:bCs/>
          <w:noProof/>
        </w:rPr>
        <w:t xml:space="preserve"> </w:t>
      </w:r>
      <w:r>
        <w:rPr>
          <w:noProof/>
        </w:rPr>
        <w:t>on</w:t>
      </w:r>
      <w:r w:rsidRPr="00874327">
        <w:rPr>
          <w:bCs/>
          <w:noProof/>
        </w:rPr>
        <w:t xml:space="preserve"> </w:t>
      </w:r>
      <w:r>
        <w:rPr>
          <w:noProof/>
        </w:rPr>
        <w:t>the</w:t>
      </w:r>
      <w:r w:rsidRPr="00874327">
        <w:rPr>
          <w:bCs/>
          <w:noProof/>
        </w:rPr>
        <w:t xml:space="preserve"> </w:t>
      </w:r>
      <w:r>
        <w:rPr>
          <w:noProof/>
        </w:rPr>
        <w:t xml:space="preserve">session  </w:t>
      </w:r>
      <w:r>
        <w:rPr>
          <w:noProof/>
        </w:rPr>
        <w:br/>
      </w:r>
      <w:r>
        <w:rPr>
          <w:noProof/>
        </w:rPr>
        <w:tab/>
      </w:r>
      <w:r>
        <w:rPr>
          <w:noProof/>
        </w:rPr>
        <w:tab/>
      </w:r>
      <w:r w:rsidRPr="00874327">
        <w:rPr>
          <w:noProof/>
          <w:lang w:eastAsia="en-US"/>
        </w:rPr>
        <w:t>(Agenda item 15)</w:t>
      </w:r>
      <w:r>
        <w:rPr>
          <w:noProof/>
          <w:webHidden/>
        </w:rPr>
        <w:tab/>
      </w:r>
      <w:r>
        <w:rPr>
          <w:noProof/>
          <w:webHidden/>
        </w:rPr>
        <w:tab/>
      </w:r>
      <w:r w:rsidR="00004AA0">
        <w:rPr>
          <w:noProof/>
          <w:webHidden/>
        </w:rPr>
        <w:t>117</w:t>
      </w:r>
      <w:r>
        <w:rPr>
          <w:noProof/>
          <w:webHidden/>
        </w:rPr>
        <w:t>–</w:t>
      </w:r>
      <w:r w:rsidR="00004AA0">
        <w:rPr>
          <w:noProof/>
          <w:webHidden/>
        </w:rPr>
        <w:t>12</w:t>
      </w:r>
      <w:r w:rsidR="004C1EF1">
        <w:rPr>
          <w:noProof/>
          <w:webHidden/>
        </w:rPr>
        <w:t>5</w:t>
      </w:r>
      <w:r>
        <w:rPr>
          <w:noProof/>
          <w:webHidden/>
        </w:rPr>
        <w:tab/>
      </w:r>
      <w:r w:rsidR="00004AA0">
        <w:rPr>
          <w:noProof/>
          <w:webHidden/>
        </w:rPr>
        <w:t>25</w:t>
      </w:r>
    </w:p>
    <w:p w14:paraId="6CB51889" w14:textId="0B4F9E8B" w:rsidR="004C1EF1" w:rsidRPr="000379F9" w:rsidRDefault="004C1EF1" w:rsidP="00A071AA">
      <w:pPr>
        <w:tabs>
          <w:tab w:val="right" w:pos="850"/>
          <w:tab w:val="left" w:pos="1134"/>
          <w:tab w:val="left" w:pos="1559"/>
          <w:tab w:val="left" w:pos="1984"/>
          <w:tab w:val="left" w:leader="dot" w:pos="7654"/>
          <w:tab w:val="right" w:pos="8929"/>
          <w:tab w:val="right" w:pos="9638"/>
        </w:tabs>
        <w:spacing w:after="120"/>
        <w:rPr>
          <w:noProof/>
        </w:rPr>
      </w:pPr>
      <w:r w:rsidRPr="00004AA0">
        <w:rPr>
          <w:noProof/>
        </w:rPr>
        <w:t>Annexes</w:t>
      </w:r>
    </w:p>
    <w:p w14:paraId="78E6C3AD" w14:textId="6CD40ADE" w:rsidR="004C1EF1" w:rsidRPr="00D01892" w:rsidRDefault="004C1EF1" w:rsidP="00183A36">
      <w:pPr>
        <w:tabs>
          <w:tab w:val="left" w:pos="1134"/>
          <w:tab w:val="left" w:pos="1559"/>
          <w:tab w:val="left" w:pos="1984"/>
          <w:tab w:val="center" w:leader="dot" w:pos="8929"/>
          <w:tab w:val="right" w:pos="9638"/>
        </w:tabs>
        <w:spacing w:after="120"/>
        <w:rPr>
          <w:noProof/>
        </w:rPr>
      </w:pPr>
      <w:r w:rsidRPr="00D01892">
        <w:rPr>
          <w:noProof/>
        </w:rPr>
        <w:tab/>
        <w:t>I.</w:t>
      </w:r>
      <w:r w:rsidRPr="00D01892">
        <w:rPr>
          <w:noProof/>
        </w:rPr>
        <w:tab/>
        <w:t xml:space="preserve">Work programme on the improved forum on the impact of the </w:t>
      </w:r>
      <w:r w:rsidR="0038407A" w:rsidRPr="00D01892">
        <w:rPr>
          <w:noProof/>
        </w:rPr>
        <w:br/>
      </w:r>
      <w:r w:rsidR="0038407A" w:rsidRPr="00D01892">
        <w:rPr>
          <w:noProof/>
        </w:rPr>
        <w:tab/>
      </w:r>
      <w:r w:rsidR="0038407A" w:rsidRPr="00D01892">
        <w:rPr>
          <w:noProof/>
        </w:rPr>
        <w:tab/>
      </w:r>
      <w:r w:rsidRPr="00D01892">
        <w:rPr>
          <w:noProof/>
        </w:rPr>
        <w:t>implementation of response measures (June 2016 to November 2018)</w:t>
      </w:r>
      <w:r w:rsidRPr="00D01892">
        <w:rPr>
          <w:noProof/>
        </w:rPr>
        <w:tab/>
      </w:r>
      <w:r w:rsidRPr="00D01892">
        <w:rPr>
          <w:noProof/>
        </w:rPr>
        <w:tab/>
        <w:t>27</w:t>
      </w:r>
    </w:p>
    <w:p w14:paraId="7F3C20D9" w14:textId="0F5D2BB8" w:rsidR="004C1EF1" w:rsidRPr="00D01892" w:rsidRDefault="004C1EF1" w:rsidP="0038407A">
      <w:pPr>
        <w:tabs>
          <w:tab w:val="right" w:pos="1276"/>
          <w:tab w:val="left" w:pos="1559"/>
          <w:tab w:val="left" w:pos="1984"/>
          <w:tab w:val="center" w:leader="dot" w:pos="8929"/>
          <w:tab w:val="right" w:pos="9638"/>
        </w:tabs>
        <w:spacing w:before="120" w:after="120"/>
        <w:rPr>
          <w:noProof/>
        </w:rPr>
      </w:pPr>
      <w:r w:rsidRPr="00D01892">
        <w:rPr>
          <w:noProof/>
        </w:rPr>
        <w:tab/>
        <w:t>II.</w:t>
      </w:r>
      <w:r w:rsidRPr="00D01892">
        <w:rPr>
          <w:noProof/>
        </w:rPr>
        <w:tab/>
        <w:t xml:space="preserve">Terms of reference of the ad hoc technical expert groups on the impact of the </w:t>
      </w:r>
      <w:r w:rsidRPr="00D01892">
        <w:rPr>
          <w:noProof/>
        </w:rPr>
        <w:br/>
      </w:r>
      <w:r w:rsidRPr="00D01892">
        <w:rPr>
          <w:noProof/>
        </w:rPr>
        <w:tab/>
      </w:r>
      <w:r w:rsidRPr="00D01892">
        <w:rPr>
          <w:noProof/>
        </w:rPr>
        <w:tab/>
        <w:t>implementation of response measures</w:t>
      </w:r>
      <w:r w:rsidRPr="00D01892">
        <w:rPr>
          <w:noProof/>
        </w:rPr>
        <w:tab/>
      </w:r>
      <w:r w:rsidRPr="00D01892">
        <w:rPr>
          <w:noProof/>
        </w:rPr>
        <w:tab/>
        <w:t>29</w:t>
      </w:r>
    </w:p>
    <w:p w14:paraId="6BC067EF" w14:textId="11C74858" w:rsidR="003E4382" w:rsidRPr="0058480B" w:rsidRDefault="00F83E99" w:rsidP="00F83E99">
      <w:pPr>
        <w:pStyle w:val="RegHChG"/>
        <w:numPr>
          <w:ilvl w:val="0"/>
          <w:numId w:val="0"/>
        </w:numPr>
        <w:tabs>
          <w:tab w:val="left" w:pos="1135"/>
        </w:tabs>
        <w:ind w:left="1135" w:hanging="454"/>
        <w:rPr>
          <w:rStyle w:val="SingleTxtGChar"/>
          <w:b w:val="0"/>
          <w:sz w:val="20"/>
        </w:rPr>
      </w:pPr>
      <w:r w:rsidRPr="0058480B">
        <w:rPr>
          <w:rStyle w:val="SingleTxtGChar"/>
        </w:rPr>
        <w:t>I.</w:t>
      </w:r>
      <w:r w:rsidRPr="0058480B">
        <w:rPr>
          <w:rStyle w:val="SingleTxtGChar"/>
        </w:rPr>
        <w:tab/>
      </w:r>
      <w:r w:rsidR="003E4382">
        <w:br w:type="column"/>
      </w:r>
      <w:bookmarkStart w:id="1" w:name="_Toc391892166"/>
      <w:bookmarkStart w:id="2" w:name="_Toc391892350"/>
      <w:bookmarkStart w:id="3" w:name="_Toc437266309"/>
      <w:bookmarkStart w:id="4" w:name="_Toc452991181"/>
      <w:bookmarkStart w:id="5" w:name="_Toc452994331"/>
      <w:bookmarkStart w:id="6" w:name="_Ref453072594"/>
      <w:bookmarkStart w:id="7" w:name="_Toc453077359"/>
      <w:r w:rsidR="003E4382" w:rsidRPr="0058480B">
        <w:lastRenderedPageBreak/>
        <w:t>Opening of the session</w:t>
      </w:r>
      <w:r w:rsidR="003E4382" w:rsidRPr="0058480B">
        <w:rPr>
          <w:b w:val="0"/>
        </w:rPr>
        <w:t xml:space="preserve"> </w:t>
      </w:r>
      <w:r w:rsidR="003E4382" w:rsidRPr="0058480B">
        <w:rPr>
          <w:b w:val="0"/>
        </w:rPr>
        <w:br/>
      </w:r>
      <w:r w:rsidR="003E4382" w:rsidRPr="0058480B">
        <w:rPr>
          <w:b w:val="0"/>
          <w:sz w:val="20"/>
        </w:rPr>
        <w:t>(Agenda item 1)</w:t>
      </w:r>
      <w:bookmarkEnd w:id="1"/>
      <w:bookmarkEnd w:id="2"/>
      <w:bookmarkEnd w:id="3"/>
      <w:bookmarkEnd w:id="4"/>
      <w:bookmarkEnd w:id="5"/>
      <w:bookmarkEnd w:id="6"/>
      <w:bookmarkEnd w:id="7"/>
      <w:r w:rsidR="003E4382" w:rsidRPr="0058480B">
        <w:t xml:space="preserve"> </w:t>
      </w:r>
    </w:p>
    <w:p w14:paraId="4F6020D4" w14:textId="163F4456" w:rsidR="003E4382" w:rsidRPr="006D2B5F" w:rsidRDefault="00F83E99" w:rsidP="00F83E99">
      <w:pPr>
        <w:pStyle w:val="RegSingleTxtG"/>
        <w:numPr>
          <w:ilvl w:val="0"/>
          <w:numId w:val="0"/>
        </w:numPr>
        <w:tabs>
          <w:tab w:val="left" w:pos="2127"/>
        </w:tabs>
        <w:ind w:left="1134"/>
      </w:pPr>
      <w:bookmarkStart w:id="8" w:name="_Ref326930715"/>
      <w:bookmarkStart w:id="9" w:name="_Ref392163800"/>
      <w:bookmarkStart w:id="10" w:name="_Ref452990467"/>
      <w:r w:rsidRPr="006D2B5F">
        <w:t>1.</w:t>
      </w:r>
      <w:r w:rsidRPr="006D2B5F">
        <w:tab/>
      </w:r>
      <w:r w:rsidR="003E4382" w:rsidRPr="0058480B">
        <w:t>The fort</w:t>
      </w:r>
      <w:r w:rsidR="003E4382">
        <w:t>y-fourth</w:t>
      </w:r>
      <w:r w:rsidR="003E4382" w:rsidRPr="0058480B">
        <w:t xml:space="preserve"> session of the Subsidiary Body for Scientific and Technological Advice (</w:t>
      </w:r>
      <w:r w:rsidR="003E4382" w:rsidRPr="006D2B5F">
        <w:t xml:space="preserve">SBSTA) was held </w:t>
      </w:r>
      <w:bookmarkEnd w:id="8"/>
      <w:bookmarkEnd w:id="9"/>
      <w:r w:rsidR="003E4382" w:rsidRPr="006D2B5F">
        <w:t>at the World Conference Center Bonn, in Bonn, Germany, from 16 to 26 May 2016.</w:t>
      </w:r>
      <w:bookmarkEnd w:id="10"/>
    </w:p>
    <w:p w14:paraId="35D83929" w14:textId="5AEE40AB" w:rsidR="003E4382" w:rsidRPr="006D2B5F" w:rsidRDefault="00F83E99" w:rsidP="00F83E99">
      <w:pPr>
        <w:pStyle w:val="RegSingleTxtG"/>
        <w:numPr>
          <w:ilvl w:val="0"/>
          <w:numId w:val="0"/>
        </w:numPr>
        <w:tabs>
          <w:tab w:val="left" w:pos="2127"/>
        </w:tabs>
        <w:ind w:left="1134"/>
      </w:pPr>
      <w:bookmarkStart w:id="11" w:name="_Ref298150457"/>
      <w:r w:rsidRPr="006D2B5F">
        <w:t>2.</w:t>
      </w:r>
      <w:r w:rsidRPr="006D2B5F">
        <w:tab/>
      </w:r>
      <w:r w:rsidR="003E4382" w:rsidRPr="006D2B5F">
        <w:t xml:space="preserve">The Chair of the SBSTA, Mr. Carlos Fuller (Belize), opened the session on Monday, 16 May, and welcomed all Parties and observers. He also welcomed Mr. Tibor Schaffhauser (Hungary) as Vice-Chair of the SBSTA and Mr. Aderito Manuel </w:t>
      </w:r>
      <w:r w:rsidR="005F2B42">
        <w:t xml:space="preserve">Fernandes </w:t>
      </w:r>
      <w:r w:rsidR="003E4382" w:rsidRPr="006D2B5F">
        <w:t>Santana (Sao Tome and Principe) as Rapporteur.</w:t>
      </w:r>
      <w:bookmarkEnd w:id="11"/>
      <w:r w:rsidR="003E4382" w:rsidRPr="006D2B5F">
        <w:t xml:space="preserve"> Ms. Laurence Tubiana (France) made a statement on behalf of the Presidency of the Conference of the Parties (COP).</w:t>
      </w:r>
      <w:r w:rsidR="003E4382" w:rsidRPr="006D2B5F">
        <w:rPr>
          <w:sz w:val="18"/>
          <w:vertAlign w:val="superscript"/>
        </w:rPr>
        <w:footnoteReference w:id="2"/>
      </w:r>
    </w:p>
    <w:p w14:paraId="4315B30F" w14:textId="0C88A1EF" w:rsidR="003E4382" w:rsidRPr="0058480B" w:rsidRDefault="00F83E99" w:rsidP="00F83E99">
      <w:pPr>
        <w:pStyle w:val="RegHChG"/>
        <w:numPr>
          <w:ilvl w:val="0"/>
          <w:numId w:val="0"/>
        </w:numPr>
        <w:tabs>
          <w:tab w:val="left" w:pos="1135"/>
        </w:tabs>
        <w:ind w:left="1135" w:hanging="454"/>
        <w:rPr>
          <w:sz w:val="20"/>
        </w:rPr>
      </w:pPr>
      <w:bookmarkStart w:id="12" w:name="_Toc305764163"/>
      <w:bookmarkStart w:id="13" w:name="_Toc328480789"/>
      <w:bookmarkStart w:id="14" w:name="_Toc361321963"/>
      <w:bookmarkStart w:id="15" w:name="_Toc373495738"/>
      <w:bookmarkStart w:id="16" w:name="_Toc391892167"/>
      <w:bookmarkStart w:id="17" w:name="_Toc391892351"/>
      <w:bookmarkStart w:id="18" w:name="_Toc437266310"/>
      <w:bookmarkStart w:id="19" w:name="_Toc452991182"/>
      <w:bookmarkStart w:id="20" w:name="_Toc452994332"/>
      <w:bookmarkStart w:id="21" w:name="_Toc453077360"/>
      <w:r w:rsidRPr="0058480B">
        <w:t>II.</w:t>
      </w:r>
      <w:r w:rsidRPr="0058480B">
        <w:tab/>
      </w:r>
      <w:r w:rsidR="003E4382" w:rsidRPr="006D2B5F">
        <w:t>Organizational</w:t>
      </w:r>
      <w:r w:rsidR="003E4382" w:rsidRPr="006D2B5F">
        <w:rPr>
          <w:b w:val="0"/>
        </w:rPr>
        <w:t xml:space="preserve"> </w:t>
      </w:r>
      <w:r w:rsidR="003E4382" w:rsidRPr="006D2B5F">
        <w:t>matters</w:t>
      </w:r>
      <w:r w:rsidR="003E4382" w:rsidRPr="0058480B">
        <w:rPr>
          <w:b w:val="0"/>
        </w:rPr>
        <w:br/>
      </w:r>
      <w:r w:rsidR="003E4382" w:rsidRPr="0058480B">
        <w:rPr>
          <w:b w:val="0"/>
          <w:sz w:val="20"/>
        </w:rPr>
        <w:t>(Agenda item 2)</w:t>
      </w:r>
      <w:bookmarkEnd w:id="12"/>
      <w:bookmarkEnd w:id="13"/>
      <w:bookmarkEnd w:id="14"/>
      <w:bookmarkEnd w:id="15"/>
      <w:bookmarkEnd w:id="16"/>
      <w:bookmarkEnd w:id="17"/>
      <w:bookmarkEnd w:id="18"/>
      <w:bookmarkEnd w:id="19"/>
      <w:bookmarkEnd w:id="20"/>
      <w:bookmarkEnd w:id="21"/>
    </w:p>
    <w:p w14:paraId="32832622" w14:textId="16B0C9F1" w:rsidR="003E4382" w:rsidRPr="00865CD7" w:rsidRDefault="00F83E99" w:rsidP="00F83E99">
      <w:pPr>
        <w:pStyle w:val="RegH1G"/>
        <w:numPr>
          <w:ilvl w:val="0"/>
          <w:numId w:val="0"/>
        </w:numPr>
        <w:tabs>
          <w:tab w:val="left" w:pos="1135"/>
        </w:tabs>
        <w:ind w:left="1135" w:hanging="454"/>
        <w:rPr>
          <w:sz w:val="20"/>
        </w:rPr>
      </w:pPr>
      <w:bookmarkStart w:id="22" w:name="_Toc305764164"/>
      <w:bookmarkStart w:id="23" w:name="_Toc328480790"/>
      <w:bookmarkStart w:id="24" w:name="_Toc359945298"/>
      <w:bookmarkStart w:id="25" w:name="_Toc361321674"/>
      <w:bookmarkStart w:id="26" w:name="_Toc361321964"/>
      <w:bookmarkStart w:id="27" w:name="_Toc373495739"/>
      <w:bookmarkStart w:id="28" w:name="_Toc391892168"/>
      <w:bookmarkStart w:id="29" w:name="_Toc391892352"/>
      <w:bookmarkStart w:id="30" w:name="_Toc437266311"/>
      <w:bookmarkStart w:id="31" w:name="_Toc452991183"/>
      <w:bookmarkStart w:id="32" w:name="_Toc452994333"/>
      <w:bookmarkStart w:id="33" w:name="_Toc453077361"/>
      <w:r w:rsidRPr="00865CD7">
        <w:t>A.</w:t>
      </w:r>
      <w:r w:rsidRPr="00865CD7">
        <w:tab/>
      </w:r>
      <w:r w:rsidR="003E4382" w:rsidRPr="0058480B">
        <w:rPr>
          <w:lang w:eastAsia="en-US"/>
        </w:rPr>
        <w:t>Adoption</w:t>
      </w:r>
      <w:r w:rsidR="003E4382" w:rsidRPr="0058480B">
        <w:t xml:space="preserve"> of the agenda</w:t>
      </w:r>
      <w:r w:rsidR="003E4382" w:rsidRPr="00865CD7">
        <w:br/>
      </w:r>
      <w:r w:rsidR="003E4382" w:rsidRPr="00E04FCA">
        <w:rPr>
          <w:b w:val="0"/>
          <w:sz w:val="20"/>
        </w:rPr>
        <w:t xml:space="preserve">(Agenda </w:t>
      </w:r>
      <w:r w:rsidR="003E4382" w:rsidRPr="00BA4FE0">
        <w:rPr>
          <w:b w:val="0"/>
          <w:sz w:val="20"/>
        </w:rPr>
        <w:t>sub-item 2(a))</w:t>
      </w:r>
      <w:bookmarkEnd w:id="22"/>
      <w:bookmarkEnd w:id="23"/>
      <w:bookmarkEnd w:id="24"/>
      <w:bookmarkEnd w:id="25"/>
      <w:bookmarkEnd w:id="26"/>
      <w:bookmarkEnd w:id="27"/>
      <w:bookmarkEnd w:id="28"/>
      <w:bookmarkEnd w:id="29"/>
      <w:bookmarkEnd w:id="30"/>
      <w:bookmarkEnd w:id="31"/>
      <w:bookmarkEnd w:id="32"/>
      <w:bookmarkEnd w:id="33"/>
    </w:p>
    <w:p w14:paraId="6C5ABE77" w14:textId="05E55BF2" w:rsidR="003E4382" w:rsidRDefault="00F83E99" w:rsidP="00F83E99">
      <w:pPr>
        <w:pStyle w:val="RegSingleTxtG"/>
        <w:numPr>
          <w:ilvl w:val="0"/>
          <w:numId w:val="0"/>
        </w:numPr>
        <w:tabs>
          <w:tab w:val="left" w:pos="2127"/>
        </w:tabs>
        <w:ind w:left="1134"/>
      </w:pPr>
      <w:bookmarkStart w:id="34" w:name="_Ref326930795"/>
      <w:bookmarkStart w:id="35" w:name="_Ref392163817"/>
      <w:r>
        <w:t>3.</w:t>
      </w:r>
      <w:r>
        <w:tab/>
      </w:r>
      <w:r w:rsidR="003E4382" w:rsidRPr="00865CD7">
        <w:t>At its 1</w:t>
      </w:r>
      <w:r w:rsidR="003E4382" w:rsidRPr="00194CF5">
        <w:rPr>
          <w:vertAlign w:val="superscript"/>
        </w:rPr>
        <w:t>st</w:t>
      </w:r>
      <w:r w:rsidR="003E4382">
        <w:t xml:space="preserve"> </w:t>
      </w:r>
      <w:r w:rsidR="003E4382" w:rsidRPr="00865CD7">
        <w:t xml:space="preserve">meeting, on </w:t>
      </w:r>
      <w:r w:rsidR="003E4382" w:rsidRPr="00531541">
        <w:t>1</w:t>
      </w:r>
      <w:r w:rsidR="003E4382">
        <w:t>6</w:t>
      </w:r>
      <w:r w:rsidR="003E4382" w:rsidRPr="00865CD7">
        <w:t xml:space="preserve"> </w:t>
      </w:r>
      <w:r w:rsidR="003E4382">
        <w:t>May</w:t>
      </w:r>
      <w:r w:rsidR="003E4382" w:rsidRPr="00865CD7">
        <w:t xml:space="preserve">, the SBSTA </w:t>
      </w:r>
      <w:r w:rsidR="003E4382" w:rsidRPr="00B42EAD">
        <w:t>considered a note by the Executive Secretary containing the provisional agenda and annotations (</w:t>
      </w:r>
      <w:r w:rsidR="003E4382" w:rsidRPr="00A03B36">
        <w:t>FCCC/SBSTA/201</w:t>
      </w:r>
      <w:r w:rsidR="003E4382">
        <w:t>6</w:t>
      </w:r>
      <w:r w:rsidR="003E4382" w:rsidRPr="00A03B36">
        <w:t>/</w:t>
      </w:r>
      <w:r w:rsidR="003E4382">
        <w:t>1</w:t>
      </w:r>
      <w:r w:rsidR="003E4382" w:rsidRPr="00B42EAD">
        <w:t>).</w:t>
      </w:r>
      <w:bookmarkEnd w:id="34"/>
      <w:r w:rsidR="003E4382" w:rsidRPr="00B42EAD">
        <w:t xml:space="preserve"> </w:t>
      </w:r>
    </w:p>
    <w:p w14:paraId="7049CC72" w14:textId="17C89ABF" w:rsidR="003E4382" w:rsidRPr="003B2633" w:rsidRDefault="00F83E99" w:rsidP="00F83E99">
      <w:pPr>
        <w:pStyle w:val="RegSingleTxtG"/>
        <w:numPr>
          <w:ilvl w:val="0"/>
          <w:numId w:val="0"/>
        </w:numPr>
        <w:tabs>
          <w:tab w:val="left" w:pos="2127"/>
        </w:tabs>
        <w:ind w:left="1134"/>
        <w:rPr>
          <w:bCs/>
        </w:rPr>
      </w:pPr>
      <w:bookmarkStart w:id="36" w:name="_Ref452990485"/>
      <w:r w:rsidRPr="003B2633">
        <w:rPr>
          <w:bCs/>
        </w:rPr>
        <w:t>4.</w:t>
      </w:r>
      <w:r w:rsidRPr="003B2633">
        <w:rPr>
          <w:bCs/>
        </w:rPr>
        <w:tab/>
      </w:r>
      <w:r w:rsidR="003E4382">
        <w:t>A</w:t>
      </w:r>
      <w:r w:rsidR="003E4382" w:rsidRPr="00865CD7">
        <w:t xml:space="preserve">t the same meeting, </w:t>
      </w:r>
      <w:r w:rsidR="003E4382">
        <w:rPr>
          <w:color w:val="000000"/>
        </w:rPr>
        <w:t xml:space="preserve">the SBSTA adopted its </w:t>
      </w:r>
      <w:r w:rsidR="003E4382">
        <w:t>agenda, as amended at that meeting, as follows:</w:t>
      </w:r>
      <w:bookmarkEnd w:id="35"/>
      <w:bookmarkEnd w:id="36"/>
      <w:r w:rsidR="003E4382">
        <w:t xml:space="preserve"> </w:t>
      </w:r>
      <w:bookmarkStart w:id="37" w:name="_Ref344973485"/>
      <w:bookmarkStart w:id="38" w:name="_Ref374540940"/>
      <w:bookmarkStart w:id="39" w:name="_Ref326930819"/>
      <w:bookmarkStart w:id="40" w:name="_Toc305764165"/>
      <w:bookmarkStart w:id="41" w:name="_Toc328480791"/>
      <w:bookmarkStart w:id="42" w:name="_Toc361321675"/>
      <w:bookmarkStart w:id="43" w:name="_Toc361321965"/>
      <w:bookmarkStart w:id="44" w:name="_Toc373495740"/>
      <w:bookmarkStart w:id="45" w:name="_Toc391892169"/>
      <w:bookmarkStart w:id="46" w:name="_Toc391892353"/>
    </w:p>
    <w:p w14:paraId="5A351CEF" w14:textId="41B2E24E" w:rsidR="003E4382" w:rsidRPr="001D0755" w:rsidRDefault="00F83E99" w:rsidP="00F83E99">
      <w:pPr>
        <w:tabs>
          <w:tab w:val="left" w:pos="900"/>
          <w:tab w:val="left" w:pos="1560"/>
        </w:tabs>
        <w:suppressAutoHyphens w:val="0"/>
        <w:spacing w:after="120" w:line="240" w:lineRule="auto"/>
        <w:ind w:left="720" w:right="-22" w:firstLine="981"/>
      </w:pPr>
      <w:r w:rsidRPr="001D0755">
        <w:t>1.</w:t>
      </w:r>
      <w:r w:rsidRPr="001D0755">
        <w:tab/>
      </w:r>
      <w:r w:rsidR="003E4382" w:rsidRPr="001D0755">
        <w:t>Opening of the session.</w:t>
      </w:r>
    </w:p>
    <w:p w14:paraId="42A3EFD7" w14:textId="0BAE8863" w:rsidR="003E4382" w:rsidRPr="001D0755" w:rsidRDefault="00F83E99" w:rsidP="00F83E99">
      <w:pPr>
        <w:tabs>
          <w:tab w:val="left" w:pos="900"/>
          <w:tab w:val="left" w:pos="1560"/>
        </w:tabs>
        <w:suppressAutoHyphens w:val="0"/>
        <w:spacing w:after="120" w:line="240" w:lineRule="auto"/>
        <w:ind w:left="720" w:right="-22" w:firstLine="981"/>
      </w:pPr>
      <w:r w:rsidRPr="001D0755">
        <w:t>2.</w:t>
      </w:r>
      <w:r w:rsidRPr="001D0755">
        <w:tab/>
      </w:r>
      <w:r w:rsidR="003E4382" w:rsidRPr="001D0755">
        <w:t>Organizational matters:</w:t>
      </w:r>
    </w:p>
    <w:p w14:paraId="2634DDFA" w14:textId="11588337"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(a)</w:t>
      </w:r>
      <w:r w:rsidRPr="001D0755">
        <w:tab/>
      </w:r>
      <w:r w:rsidR="003E4382" w:rsidRPr="001D0755">
        <w:t>Adoption of the agenda;</w:t>
      </w:r>
    </w:p>
    <w:p w14:paraId="5534959D" w14:textId="06D0BFBE"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(b)</w:t>
      </w:r>
      <w:r w:rsidRPr="001D0755">
        <w:tab/>
      </w:r>
      <w:r w:rsidR="003E4382" w:rsidRPr="001D0755">
        <w:t>Organization of the work of the session.</w:t>
      </w:r>
    </w:p>
    <w:p w14:paraId="5D5C810C" w14:textId="5315CFC6" w:rsidR="003E4382" w:rsidRPr="001D0755" w:rsidRDefault="00F83E99" w:rsidP="00F83E99">
      <w:pPr>
        <w:tabs>
          <w:tab w:val="left" w:pos="900"/>
          <w:tab w:val="left" w:pos="1560"/>
        </w:tabs>
        <w:suppressAutoHyphens w:val="0"/>
        <w:spacing w:after="120" w:line="240" w:lineRule="auto"/>
        <w:ind w:left="720" w:right="-22" w:firstLine="981"/>
      </w:pPr>
      <w:r w:rsidRPr="001D0755">
        <w:t>3.</w:t>
      </w:r>
      <w:r w:rsidRPr="001D0755">
        <w:tab/>
      </w:r>
      <w:r w:rsidR="003E4382" w:rsidRPr="001D0755">
        <w:t>Nairobi work programme on impacts, vulnerability and adaptation to climate change.</w:t>
      </w:r>
    </w:p>
    <w:p w14:paraId="40CFA178" w14:textId="4009CD4D" w:rsidR="003E4382" w:rsidRPr="001D0755" w:rsidRDefault="00F83E99" w:rsidP="00F83E99">
      <w:pPr>
        <w:tabs>
          <w:tab w:val="left" w:pos="900"/>
          <w:tab w:val="left" w:pos="1560"/>
        </w:tabs>
        <w:suppressAutoHyphens w:val="0"/>
        <w:spacing w:after="120" w:line="240" w:lineRule="auto"/>
        <w:ind w:left="720" w:right="-22" w:firstLine="981"/>
      </w:pPr>
      <w:r w:rsidRPr="001D0755">
        <w:t>4.</w:t>
      </w:r>
      <w:r w:rsidRPr="001D0755">
        <w:tab/>
      </w:r>
      <w:r w:rsidR="003E4382" w:rsidRPr="001D0755">
        <w:t>Technology framework under Article 10, paragraph 4, of the Paris Agreement.</w:t>
      </w:r>
    </w:p>
    <w:p w14:paraId="787258F3" w14:textId="7027C051" w:rsidR="003E4382" w:rsidRPr="001D0755" w:rsidRDefault="00F83E99" w:rsidP="00F83E99">
      <w:pPr>
        <w:tabs>
          <w:tab w:val="left" w:pos="900"/>
          <w:tab w:val="left" w:pos="1560"/>
        </w:tabs>
        <w:suppressAutoHyphens w:val="0"/>
        <w:spacing w:after="120" w:line="240" w:lineRule="auto"/>
        <w:ind w:left="720" w:right="-22" w:firstLine="981"/>
      </w:pPr>
      <w:r w:rsidRPr="001D0755">
        <w:t>5.</w:t>
      </w:r>
      <w:r w:rsidRPr="001D0755">
        <w:tab/>
      </w:r>
      <w:r w:rsidR="003E4382" w:rsidRPr="001D0755">
        <w:t>Issues relating to agriculture.</w:t>
      </w:r>
    </w:p>
    <w:p w14:paraId="55CB52BE" w14:textId="28DAE249" w:rsidR="003E4382" w:rsidRPr="001D0755" w:rsidRDefault="00F83E99" w:rsidP="00F83E99">
      <w:pPr>
        <w:tabs>
          <w:tab w:val="left" w:pos="900"/>
          <w:tab w:val="left" w:pos="1560"/>
        </w:tabs>
        <w:suppressAutoHyphens w:val="0"/>
        <w:spacing w:after="120" w:line="240" w:lineRule="auto"/>
        <w:ind w:left="720" w:right="-22" w:firstLine="981"/>
      </w:pPr>
      <w:r w:rsidRPr="001D0755">
        <w:t>6.</w:t>
      </w:r>
      <w:r w:rsidRPr="001D0755">
        <w:tab/>
      </w:r>
      <w:r w:rsidR="003E4382" w:rsidRPr="001D0755">
        <w:t>Matters relating to science and review:</w:t>
      </w:r>
    </w:p>
    <w:p w14:paraId="74323596" w14:textId="5CB863D6"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(a)</w:t>
      </w:r>
      <w:r w:rsidRPr="001D0755">
        <w:tab/>
      </w:r>
      <w:r w:rsidR="003E4382" w:rsidRPr="001D0755">
        <w:t>Research and systematic observation;</w:t>
      </w:r>
    </w:p>
    <w:p w14:paraId="453EB148" w14:textId="519F0610"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(b)</w:t>
      </w:r>
      <w:r w:rsidRPr="001D0755">
        <w:tab/>
      </w:r>
      <w:r w:rsidR="003E4382">
        <w:t>Advice on how the a</w:t>
      </w:r>
      <w:r w:rsidR="003E4382" w:rsidRPr="001D0755">
        <w:t xml:space="preserve">ssessments of the Intergovernmental Panel on Climate Change </w:t>
      </w:r>
      <w:r w:rsidR="003E4382">
        <w:t>can inform</w:t>
      </w:r>
      <w:r w:rsidR="003E4382" w:rsidRPr="001D0755">
        <w:t xml:space="preserve"> the global stocktake referred to in Article 14 of the Paris Agreement;</w:t>
      </w:r>
    </w:p>
    <w:p w14:paraId="1123DF51" w14:textId="3D8FD304"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(c)</w:t>
      </w:r>
      <w:r w:rsidRPr="001D0755">
        <w:tab/>
      </w:r>
      <w:r w:rsidR="003E4382" w:rsidRPr="001D0755">
        <w:t>The scope of the next periodic review of the long-term global goal under the Convention and of overall progress towards achieving it.</w:t>
      </w:r>
    </w:p>
    <w:p w14:paraId="283AD6D5" w14:textId="12A0CAC6" w:rsidR="003E4382" w:rsidRPr="001D0755" w:rsidRDefault="00F83E99" w:rsidP="00F83E99">
      <w:pPr>
        <w:tabs>
          <w:tab w:val="left" w:pos="900"/>
          <w:tab w:val="left" w:pos="1560"/>
        </w:tabs>
        <w:suppressAutoHyphens w:val="0"/>
        <w:spacing w:after="120" w:line="240" w:lineRule="auto"/>
        <w:ind w:left="720" w:right="-22" w:firstLine="981"/>
      </w:pPr>
      <w:r w:rsidRPr="001D0755">
        <w:t>7.</w:t>
      </w:r>
      <w:r w:rsidRPr="001D0755">
        <w:tab/>
      </w:r>
      <w:r w:rsidR="003E4382" w:rsidRPr="001D0755">
        <w:t>Impact of the implementation of response measures:</w:t>
      </w:r>
      <w:r w:rsidR="003E4382" w:rsidRPr="001D0755">
        <w:rPr>
          <w:b/>
        </w:rPr>
        <w:t xml:space="preserve"> </w:t>
      </w:r>
    </w:p>
    <w:p w14:paraId="745069E4" w14:textId="531CCAE6"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(a)</w:t>
      </w:r>
      <w:r w:rsidRPr="001D0755">
        <w:tab/>
      </w:r>
      <w:r w:rsidR="003E4382" w:rsidRPr="001D0755">
        <w:t>Improved forum and work programme;</w:t>
      </w:r>
    </w:p>
    <w:p w14:paraId="4BFB38BA" w14:textId="7983DF5C"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lastRenderedPageBreak/>
        <w:t>(b)</w:t>
      </w:r>
      <w:r w:rsidRPr="001D0755">
        <w:tab/>
      </w:r>
      <w:r w:rsidR="003E4382" w:rsidRPr="001D0755">
        <w:t>Modalities, work programme and functions under the Paris Agreement of the forum on the impact of the implementation of response measures;</w:t>
      </w:r>
    </w:p>
    <w:p w14:paraId="7FBC1CCB" w14:textId="4489E786"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(c)</w:t>
      </w:r>
      <w:r w:rsidRPr="001D0755">
        <w:tab/>
      </w:r>
      <w:r w:rsidR="003E4382" w:rsidRPr="001D0755">
        <w:t>Matters relating to Article 2, paragraph 3, of the Kyoto Protocol.</w:t>
      </w:r>
    </w:p>
    <w:p w14:paraId="6EA9A728" w14:textId="79C6391C" w:rsidR="003E4382" w:rsidRPr="001D0755" w:rsidRDefault="00F83E99" w:rsidP="00F83E99">
      <w:pPr>
        <w:tabs>
          <w:tab w:val="left" w:pos="900"/>
          <w:tab w:val="num" w:pos="1353"/>
          <w:tab w:val="left" w:pos="1560"/>
        </w:tabs>
        <w:suppressAutoHyphens w:val="0"/>
        <w:spacing w:after="120" w:line="240" w:lineRule="auto"/>
        <w:ind w:left="720" w:right="-22" w:firstLine="981"/>
      </w:pPr>
      <w:r w:rsidRPr="001D0755">
        <w:t>8.</w:t>
      </w:r>
      <w:r w:rsidRPr="001D0755">
        <w:tab/>
      </w:r>
      <w:r w:rsidR="003E4382" w:rsidRPr="001D0755">
        <w:t>Methodological issues under the Convention:</w:t>
      </w:r>
      <w:r w:rsidR="003E4382" w:rsidRPr="001D0755">
        <w:rPr>
          <w:rStyle w:val="FootnoteReference"/>
        </w:rPr>
        <w:t xml:space="preserve"> </w:t>
      </w:r>
    </w:p>
    <w:p w14:paraId="7D7E9CB1" w14:textId="5C5D139C"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(a)</w:t>
      </w:r>
      <w:r w:rsidRPr="001D0755">
        <w:tab/>
      </w:r>
      <w:r w:rsidR="003E4382" w:rsidRPr="001D0755">
        <w:t>Greenhouse gas data interface;</w:t>
      </w:r>
    </w:p>
    <w:p w14:paraId="7D4E398B" w14:textId="26426658"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(b)</w:t>
      </w:r>
      <w:r w:rsidRPr="001D0755">
        <w:tab/>
      </w:r>
      <w:r w:rsidR="003E4382" w:rsidRPr="001D0755">
        <w:t xml:space="preserve">Common metrics to calculate the carbon dioxide equivalence of greenhouse gases; </w:t>
      </w:r>
    </w:p>
    <w:p w14:paraId="3D028474" w14:textId="0C9AB5F0"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(c)</w:t>
      </w:r>
      <w:r w:rsidRPr="001D0755">
        <w:tab/>
      </w:r>
      <w:r w:rsidR="003E4382" w:rsidRPr="001D0755">
        <w:t>Emissions from fuel used for international aviation and maritime transport;</w:t>
      </w:r>
    </w:p>
    <w:p w14:paraId="24A032D4" w14:textId="15161E72"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(d)</w:t>
      </w:r>
      <w:r w:rsidRPr="001D0755">
        <w:tab/>
      </w:r>
      <w:r w:rsidR="003E4382" w:rsidRPr="001D0755">
        <w:t>Training programme for review experts for the technical review of greenhouse gas inventories of Parties included in Annex I to the Convention.</w:t>
      </w:r>
    </w:p>
    <w:p w14:paraId="30CABCF1" w14:textId="66B3A6E2" w:rsidR="003E4382" w:rsidRPr="00A60770" w:rsidRDefault="00F83E99" w:rsidP="00F83E99">
      <w:pPr>
        <w:tabs>
          <w:tab w:val="left" w:pos="900"/>
          <w:tab w:val="left" w:pos="1560"/>
        </w:tabs>
        <w:suppressAutoHyphens w:val="0"/>
        <w:spacing w:after="120" w:line="240" w:lineRule="auto"/>
        <w:ind w:left="720" w:right="-22" w:firstLine="981"/>
      </w:pPr>
      <w:r w:rsidRPr="00A60770">
        <w:t>9.</w:t>
      </w:r>
      <w:r w:rsidRPr="00A60770">
        <w:tab/>
      </w:r>
      <w:r w:rsidR="003E4382" w:rsidRPr="00A60770">
        <w:t>Methodological issues under the Kyoto Protocol:</w:t>
      </w:r>
    </w:p>
    <w:p w14:paraId="6CBF3FCA" w14:textId="10BE118A" w:rsidR="003E4382" w:rsidRPr="00A60770" w:rsidRDefault="00F83E99" w:rsidP="00F83E99">
      <w:pPr>
        <w:tabs>
          <w:tab w:val="left" w:pos="720"/>
          <w:tab w:val="num" w:pos="1353"/>
          <w:tab w:val="num" w:pos="2835"/>
        </w:tabs>
        <w:suppressAutoHyphens w:val="0"/>
        <w:spacing w:after="120" w:line="240" w:lineRule="auto"/>
        <w:ind w:left="2835" w:right="1133" w:hanging="567"/>
      </w:pPr>
      <w:r w:rsidRPr="00A60770">
        <w:t>(a)</w:t>
      </w:r>
      <w:r w:rsidRPr="00A60770">
        <w:tab/>
      </w:r>
      <w:r w:rsidR="003E4382" w:rsidRPr="00A60770">
        <w:t>Land use, land-use change and forestry under Article 3, paragraphs 3 and 4, of the Kyoto Protocol and under the clean development mechanism;</w:t>
      </w:r>
    </w:p>
    <w:p w14:paraId="7FFF2B34" w14:textId="43117B90" w:rsidR="003E4382" w:rsidRPr="00A60770" w:rsidRDefault="00F83E99" w:rsidP="00F83E99">
      <w:pPr>
        <w:tabs>
          <w:tab w:val="left" w:pos="720"/>
          <w:tab w:val="num" w:pos="1353"/>
          <w:tab w:val="num" w:pos="2835"/>
        </w:tabs>
        <w:suppressAutoHyphens w:val="0"/>
        <w:spacing w:after="120" w:line="240" w:lineRule="auto"/>
        <w:ind w:left="2835" w:right="1133" w:hanging="567"/>
      </w:pPr>
      <w:r w:rsidRPr="00A60770">
        <w:t>(b)</w:t>
      </w:r>
      <w:r w:rsidRPr="00A60770">
        <w:tab/>
      </w:r>
      <w:r w:rsidR="003E4382" w:rsidRPr="00A60770">
        <w:t xml:space="preserve">Implications of the choice of metrics used to calculate the carbon dioxide equivalence of greenhouse gases listed in Annex A to the Kyoto Protocol; </w:t>
      </w:r>
    </w:p>
    <w:p w14:paraId="7B296FA2" w14:textId="191B301D" w:rsidR="003E4382" w:rsidRPr="00A60770" w:rsidRDefault="00F83E99" w:rsidP="00F83E99">
      <w:pPr>
        <w:tabs>
          <w:tab w:val="left" w:pos="720"/>
          <w:tab w:val="num" w:pos="1353"/>
          <w:tab w:val="num" w:pos="2835"/>
        </w:tabs>
        <w:suppressAutoHyphens w:val="0"/>
        <w:spacing w:after="120" w:line="240" w:lineRule="auto"/>
        <w:ind w:left="2835" w:right="1133" w:hanging="567"/>
      </w:pPr>
      <w:r w:rsidRPr="00A60770">
        <w:t>(c)</w:t>
      </w:r>
      <w:r w:rsidRPr="00A60770">
        <w:tab/>
      </w:r>
      <w:r w:rsidR="003E4382" w:rsidRPr="00A60770">
        <w:t>Implications of the inclusion of reforestation of lands with forest in exhaustion as afforestation and reforestation clean development mechanism project activities.</w:t>
      </w:r>
    </w:p>
    <w:p w14:paraId="7FACA2E4" w14:textId="5BB7112F" w:rsidR="003E4382" w:rsidRPr="001D0755" w:rsidRDefault="00F83E99" w:rsidP="00F83E99">
      <w:pPr>
        <w:tabs>
          <w:tab w:val="left" w:pos="900"/>
          <w:tab w:val="left" w:pos="1560"/>
        </w:tabs>
        <w:suppressAutoHyphens w:val="0"/>
        <w:spacing w:after="120" w:line="240" w:lineRule="auto"/>
        <w:ind w:left="720" w:right="-22" w:firstLine="981"/>
      </w:pPr>
      <w:r w:rsidRPr="001D0755">
        <w:t>10.</w:t>
      </w:r>
      <w:r w:rsidRPr="001D0755">
        <w:tab/>
      </w:r>
      <w:r w:rsidR="003E4382" w:rsidRPr="001D0755">
        <w:t>Market and non-market mechanisms under the Convention:</w:t>
      </w:r>
    </w:p>
    <w:p w14:paraId="1CF20D93" w14:textId="54E7CD2D"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(a)</w:t>
      </w:r>
      <w:r w:rsidRPr="001D0755">
        <w:tab/>
      </w:r>
      <w:r w:rsidR="003E4382" w:rsidRPr="001D0755">
        <w:t>Framework for various approaches;</w:t>
      </w:r>
    </w:p>
    <w:p w14:paraId="0CFF86EA" w14:textId="78E3C41F"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(b)</w:t>
      </w:r>
      <w:r w:rsidRPr="001D0755">
        <w:tab/>
      </w:r>
      <w:r w:rsidR="003E4382" w:rsidRPr="001D0755">
        <w:t>Non-market-based approaches;</w:t>
      </w:r>
    </w:p>
    <w:p w14:paraId="41E76F90" w14:textId="5E157985" w:rsidR="003E4382" w:rsidRPr="001D0755" w:rsidRDefault="00F83E99" w:rsidP="00F83E99">
      <w:pPr>
        <w:tabs>
          <w:tab w:val="left" w:pos="720"/>
          <w:tab w:val="num" w:pos="1353"/>
          <w:tab w:val="num" w:pos="2268"/>
        </w:tabs>
        <w:suppressAutoHyphens w:val="0"/>
        <w:spacing w:after="120" w:line="240" w:lineRule="auto"/>
        <w:ind w:left="2127" w:right="1133" w:firstLine="141"/>
      </w:pPr>
      <w:r w:rsidRPr="001D0755">
        <w:t>(c)</w:t>
      </w:r>
      <w:r w:rsidRPr="001D0755">
        <w:tab/>
      </w:r>
      <w:r w:rsidR="003E4382" w:rsidRPr="001D0755">
        <w:t>New market-based mechanism.</w:t>
      </w:r>
    </w:p>
    <w:p w14:paraId="66AFB5C3" w14:textId="1A202418" w:rsidR="003E4382" w:rsidRPr="001D0755" w:rsidRDefault="00F83E99" w:rsidP="00F83E99">
      <w:pPr>
        <w:tabs>
          <w:tab w:val="left" w:pos="900"/>
          <w:tab w:val="left" w:pos="1560"/>
        </w:tabs>
        <w:suppressAutoHyphens w:val="0"/>
        <w:spacing w:after="120" w:line="240" w:lineRule="auto"/>
        <w:ind w:left="720" w:right="-22" w:firstLine="981"/>
      </w:pPr>
      <w:r w:rsidRPr="001D0755">
        <w:t>11.</w:t>
      </w:r>
      <w:r w:rsidRPr="001D0755">
        <w:tab/>
      </w:r>
      <w:r w:rsidR="003E4382" w:rsidRPr="001D0755">
        <w:t xml:space="preserve">Matters relating to Article 6 of the Paris Agreement: </w:t>
      </w:r>
    </w:p>
    <w:p w14:paraId="7DDCDA7E" w14:textId="2D0B0088"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(a)</w:t>
      </w:r>
      <w:r w:rsidRPr="001D0755">
        <w:tab/>
      </w:r>
      <w:r w:rsidR="003E4382" w:rsidRPr="001D0755">
        <w:t>Guidance on cooperative approaches referred to in Article 6, paragraph 2, of the Paris Agreement;</w:t>
      </w:r>
    </w:p>
    <w:p w14:paraId="1CB7201E" w14:textId="0B6E99B2"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(b)</w:t>
      </w:r>
      <w:r w:rsidRPr="001D0755">
        <w:tab/>
      </w:r>
      <w:r w:rsidR="003E4382" w:rsidRPr="001D0755">
        <w:t xml:space="preserve">Rules, modalities and procedures for the mechanism established by Article 6, paragraph 4, of the Paris Agreement; </w:t>
      </w:r>
    </w:p>
    <w:p w14:paraId="3857DA9E" w14:textId="16887148" w:rsidR="003E4382" w:rsidRPr="001D0755" w:rsidRDefault="00F83E99" w:rsidP="00F83E99">
      <w:pPr>
        <w:tabs>
          <w:tab w:val="left" w:pos="720"/>
          <w:tab w:val="num" w:pos="1353"/>
          <w:tab w:val="num" w:pos="2835"/>
        </w:tabs>
        <w:suppressAutoHyphens w:val="0"/>
        <w:spacing w:after="120" w:line="240" w:lineRule="auto"/>
        <w:ind w:left="2835" w:right="1133" w:hanging="567"/>
      </w:pPr>
      <w:r w:rsidRPr="001D0755">
        <w:t>(c)</w:t>
      </w:r>
      <w:r w:rsidRPr="001D0755">
        <w:tab/>
      </w:r>
      <w:r w:rsidR="003E4382" w:rsidRPr="001D0755">
        <w:t>Work programme under the framework for non-market approaches referred to in Article 6, paragraph 8, of the Paris Agreement.</w:t>
      </w:r>
    </w:p>
    <w:p w14:paraId="1D6AB053" w14:textId="5D3D5F93" w:rsidR="003E4382" w:rsidRPr="001D0755" w:rsidRDefault="00F83E99" w:rsidP="00F83E99">
      <w:pPr>
        <w:tabs>
          <w:tab w:val="left" w:pos="900"/>
          <w:tab w:val="left" w:pos="1560"/>
        </w:tabs>
        <w:suppressAutoHyphens w:val="0"/>
        <w:spacing w:after="120" w:line="240" w:lineRule="auto"/>
        <w:ind w:left="2268" w:right="-22" w:hanging="567"/>
      </w:pPr>
      <w:r w:rsidRPr="001D0755">
        <w:t>12.</w:t>
      </w:r>
      <w:r w:rsidRPr="001D0755">
        <w:tab/>
      </w:r>
      <w:r w:rsidR="003E4382" w:rsidRPr="001D0755">
        <w:t xml:space="preserve">Modalities for the accounting of financial resources provided and mobilized </w:t>
      </w:r>
      <w:r w:rsidR="003E4382">
        <w:br/>
      </w:r>
      <w:r w:rsidR="003E4382" w:rsidRPr="001D0755">
        <w:t xml:space="preserve">through public interventions in accordance with Article 9, paragraph 7, of the </w:t>
      </w:r>
      <w:r w:rsidR="003E4382">
        <w:br/>
      </w:r>
      <w:r w:rsidR="003E4382">
        <w:tab/>
      </w:r>
      <w:r w:rsidR="003E4382" w:rsidRPr="001D0755">
        <w:t>Paris Agreement.</w:t>
      </w:r>
    </w:p>
    <w:p w14:paraId="20FB1A39" w14:textId="197CA11C" w:rsidR="003E4382" w:rsidRPr="001D0755" w:rsidRDefault="00F83E99" w:rsidP="00F83E99">
      <w:pPr>
        <w:tabs>
          <w:tab w:val="left" w:pos="900"/>
          <w:tab w:val="left" w:pos="1560"/>
        </w:tabs>
        <w:suppressAutoHyphens w:val="0"/>
        <w:spacing w:after="120" w:line="240" w:lineRule="auto"/>
        <w:ind w:left="720" w:right="-22" w:firstLine="981"/>
      </w:pPr>
      <w:r w:rsidRPr="001D0755">
        <w:t>13.</w:t>
      </w:r>
      <w:r w:rsidRPr="001D0755">
        <w:tab/>
      </w:r>
      <w:r w:rsidR="003E4382" w:rsidRPr="001D0755">
        <w:t>Cooperation with other international organizations.</w:t>
      </w:r>
    </w:p>
    <w:p w14:paraId="5C29CDC7" w14:textId="05E76790" w:rsidR="003E4382" w:rsidRPr="001D0755" w:rsidRDefault="00F83E99" w:rsidP="00F83E99">
      <w:pPr>
        <w:tabs>
          <w:tab w:val="left" w:pos="900"/>
          <w:tab w:val="left" w:pos="1560"/>
        </w:tabs>
        <w:suppressAutoHyphens w:val="0"/>
        <w:spacing w:after="120" w:line="240" w:lineRule="auto"/>
        <w:ind w:left="720" w:right="-22" w:firstLine="981"/>
      </w:pPr>
      <w:r w:rsidRPr="001D0755">
        <w:t>14.</w:t>
      </w:r>
      <w:r w:rsidRPr="001D0755">
        <w:tab/>
      </w:r>
      <w:r w:rsidR="003E4382" w:rsidRPr="001D0755">
        <w:t>Other matters.</w:t>
      </w:r>
    </w:p>
    <w:p w14:paraId="4AC839A9" w14:textId="346AF28A" w:rsidR="003E4382" w:rsidRPr="001D0755" w:rsidRDefault="00F83E99" w:rsidP="00F83E99">
      <w:pPr>
        <w:tabs>
          <w:tab w:val="left" w:pos="900"/>
          <w:tab w:val="left" w:pos="1560"/>
        </w:tabs>
        <w:suppressAutoHyphens w:val="0"/>
        <w:spacing w:after="120" w:line="240" w:lineRule="auto"/>
        <w:ind w:left="720" w:right="-22" w:firstLine="981"/>
      </w:pPr>
      <w:r w:rsidRPr="001D0755">
        <w:t>15.</w:t>
      </w:r>
      <w:r w:rsidRPr="001D0755">
        <w:tab/>
      </w:r>
      <w:r w:rsidR="003E4382" w:rsidRPr="001D0755">
        <w:t>Closure of and report on the session.</w:t>
      </w:r>
    </w:p>
    <w:p w14:paraId="7E58F796" w14:textId="21C8EE4E" w:rsidR="003E4382" w:rsidRPr="0058480B" w:rsidRDefault="00F83E99" w:rsidP="00F83E99">
      <w:pPr>
        <w:pStyle w:val="RegSingleTxtG"/>
        <w:numPr>
          <w:ilvl w:val="0"/>
          <w:numId w:val="0"/>
        </w:numPr>
        <w:tabs>
          <w:tab w:val="left" w:pos="2127"/>
        </w:tabs>
        <w:ind w:left="1134"/>
      </w:pPr>
      <w:bookmarkStart w:id="47" w:name="_Ref452990619"/>
      <w:bookmarkStart w:id="48" w:name="_Ref454183450"/>
      <w:r w:rsidRPr="0058480B">
        <w:t>5.</w:t>
      </w:r>
      <w:r w:rsidRPr="0058480B">
        <w:tab/>
      </w:r>
      <w:r w:rsidR="003E4382">
        <w:t>At the same meeting,</w:t>
      </w:r>
      <w:r w:rsidR="003E4382" w:rsidRPr="005D6B7B">
        <w:t xml:space="preserve"> the SBSTA agreed that statements would be made following the adoption of the agenda and the launch of work. </w:t>
      </w:r>
      <w:r w:rsidR="003E4382">
        <w:t>At the resumed 1</w:t>
      </w:r>
      <w:r w:rsidR="003E4382" w:rsidRPr="001B28B2">
        <w:rPr>
          <w:vertAlign w:val="superscript"/>
        </w:rPr>
        <w:t>st</w:t>
      </w:r>
      <w:r w:rsidR="003E4382">
        <w:t xml:space="preserve"> meeting, on 17 and 2</w:t>
      </w:r>
      <w:r w:rsidR="006D2B5F">
        <w:t>6</w:t>
      </w:r>
      <w:r w:rsidR="003E4382">
        <w:t xml:space="preserve"> May, s</w:t>
      </w:r>
      <w:r w:rsidR="003E4382" w:rsidRPr="005D6B7B">
        <w:t xml:space="preserve">tatements </w:t>
      </w:r>
      <w:r w:rsidR="003E4382" w:rsidRPr="00C927D5">
        <w:t xml:space="preserve">were provided by representatives of </w:t>
      </w:r>
      <w:r w:rsidR="003E4382" w:rsidRPr="00590A6E">
        <w:t>15</w:t>
      </w:r>
      <w:r w:rsidR="003E4382" w:rsidRPr="004678E4">
        <w:t xml:space="preserve"> Parties, including on behalf of </w:t>
      </w:r>
      <w:r w:rsidR="003E4382" w:rsidRPr="004678E4">
        <w:lastRenderedPageBreak/>
        <w:t xml:space="preserve">the African Group, the Alliance of Small Island States (AOSIS), </w:t>
      </w:r>
      <w:r w:rsidR="003E4382">
        <w:t xml:space="preserve">the Bolivarian Alliance for the Peoples of Our America </w:t>
      </w:r>
      <w:r w:rsidR="00EF6532" w:rsidRPr="00916821">
        <w:t>– Peoples’ Trade Treaty</w:t>
      </w:r>
      <w:r w:rsidR="003E4382">
        <w:t xml:space="preserve">, </w:t>
      </w:r>
      <w:r w:rsidR="003E4382" w:rsidRPr="004678E4">
        <w:t xml:space="preserve">the Coalition for Rainforest Nations, the Group of 77 and China (G77 and China), </w:t>
      </w:r>
      <w:r w:rsidR="003E4382">
        <w:t xml:space="preserve">the Environmental Integrity Group (EIG), </w:t>
      </w:r>
      <w:r w:rsidR="003E4382" w:rsidRPr="004678E4">
        <w:t>the European Union (EU), the Independent Association for Latin America and the Caribbean</w:t>
      </w:r>
      <w:r w:rsidR="003E4382">
        <w:t xml:space="preserve"> (AILAC)</w:t>
      </w:r>
      <w:r w:rsidR="003E4382" w:rsidRPr="004678E4">
        <w:t>, the Umbrella Grou</w:t>
      </w:r>
      <w:r w:rsidR="003E4382">
        <w:t xml:space="preserve">p and another group of Parties. </w:t>
      </w:r>
      <w:r w:rsidR="003E4382" w:rsidRPr="004678E4">
        <w:t>Statements were also made by representatives of the Intergovernmental Panel on Climate Change (IPCC), the International Civil Aviation Organization (ICAO), the Internatio</w:t>
      </w:r>
      <w:r w:rsidR="003E4382">
        <w:t>nal Maritime Organization (IMO)</w:t>
      </w:r>
      <w:r w:rsidR="003E4382" w:rsidRPr="004678E4">
        <w:t xml:space="preserve">, the Global Climate Observing System (GCOS) and the World </w:t>
      </w:r>
      <w:r w:rsidR="003E4382">
        <w:t>Climate Research Programme (WCRP)</w:t>
      </w:r>
      <w:r w:rsidR="003E4382" w:rsidRPr="004678E4">
        <w:t xml:space="preserve">, as well as by representatives of </w:t>
      </w:r>
      <w:r w:rsidR="003E4382">
        <w:t>en</w:t>
      </w:r>
      <w:r w:rsidR="003E4382" w:rsidRPr="004678E4">
        <w:t xml:space="preserve">vironmental non-governmental organizations, research and independent </w:t>
      </w:r>
      <w:r w:rsidR="003E4382">
        <w:t>non-governmental organizations (</w:t>
      </w:r>
      <w:r w:rsidR="003E4382" w:rsidRPr="004678E4">
        <w:t>NGOs</w:t>
      </w:r>
      <w:r w:rsidR="003E4382">
        <w:t>)</w:t>
      </w:r>
      <w:r w:rsidR="003E4382" w:rsidRPr="004678E4">
        <w:t xml:space="preserve"> and </w:t>
      </w:r>
      <w:r w:rsidR="003E4382">
        <w:t>indigenous peoples organizations</w:t>
      </w:r>
      <w:r w:rsidR="003E4382" w:rsidRPr="0058480B">
        <w:t>.</w:t>
      </w:r>
      <w:r w:rsidR="003E4382" w:rsidRPr="0058480B">
        <w:rPr>
          <w:rStyle w:val="FootnoteReference"/>
        </w:rPr>
        <w:footnoteReference w:id="3"/>
      </w:r>
      <w:bookmarkEnd w:id="47"/>
      <w:bookmarkEnd w:id="48"/>
    </w:p>
    <w:p w14:paraId="361F249D" w14:textId="5A4B9CBD" w:rsidR="003E4382" w:rsidRPr="0058480B" w:rsidRDefault="00F83E99" w:rsidP="00F83E99">
      <w:pPr>
        <w:pStyle w:val="RegH1G"/>
        <w:numPr>
          <w:ilvl w:val="0"/>
          <w:numId w:val="0"/>
        </w:numPr>
        <w:tabs>
          <w:tab w:val="left" w:pos="1135"/>
        </w:tabs>
        <w:ind w:left="1135" w:hanging="454"/>
        <w:rPr>
          <w:sz w:val="20"/>
        </w:rPr>
      </w:pPr>
      <w:bookmarkStart w:id="49" w:name="_Toc437266312"/>
      <w:bookmarkStart w:id="50" w:name="_Toc452991184"/>
      <w:bookmarkStart w:id="51" w:name="_Toc452994334"/>
      <w:bookmarkStart w:id="52" w:name="_Toc453077362"/>
      <w:bookmarkEnd w:id="37"/>
      <w:bookmarkEnd w:id="38"/>
      <w:bookmarkEnd w:id="39"/>
      <w:r w:rsidRPr="0058480B">
        <w:t>B.</w:t>
      </w:r>
      <w:r w:rsidRPr="0058480B">
        <w:tab/>
      </w:r>
      <w:r w:rsidR="003E4382" w:rsidRPr="002C7EB6">
        <w:t>Organization of the work of the session</w:t>
      </w:r>
      <w:r w:rsidR="003E4382" w:rsidRPr="0058480B">
        <w:t xml:space="preserve"> </w:t>
      </w:r>
      <w:r w:rsidR="003E4382" w:rsidRPr="0058480B">
        <w:br/>
      </w:r>
      <w:r w:rsidR="003E4382" w:rsidRPr="0058480B">
        <w:rPr>
          <w:b w:val="0"/>
          <w:sz w:val="20"/>
        </w:rPr>
        <w:t>(Agenda sub-item 2(b))</w:t>
      </w:r>
      <w:bookmarkEnd w:id="40"/>
      <w:bookmarkEnd w:id="41"/>
      <w:bookmarkEnd w:id="42"/>
      <w:bookmarkEnd w:id="43"/>
      <w:bookmarkEnd w:id="44"/>
      <w:bookmarkEnd w:id="45"/>
      <w:bookmarkEnd w:id="46"/>
      <w:bookmarkEnd w:id="49"/>
      <w:bookmarkEnd w:id="50"/>
      <w:bookmarkEnd w:id="51"/>
      <w:bookmarkEnd w:id="52"/>
    </w:p>
    <w:p w14:paraId="63CC5CE5" w14:textId="1D6C7BEA" w:rsidR="003E4382" w:rsidRDefault="00F83E99" w:rsidP="00F83E99">
      <w:pPr>
        <w:pStyle w:val="RegSingleTxtG"/>
        <w:numPr>
          <w:ilvl w:val="0"/>
          <w:numId w:val="0"/>
        </w:numPr>
        <w:tabs>
          <w:tab w:val="left" w:pos="2127"/>
        </w:tabs>
        <w:ind w:left="1134"/>
      </w:pPr>
      <w:bookmarkStart w:id="53" w:name="_Ref326930839"/>
      <w:r>
        <w:t>6.</w:t>
      </w:r>
      <w:r>
        <w:tab/>
      </w:r>
      <w:r w:rsidR="003E4382" w:rsidRPr="00865CD7">
        <w:t>The SBSTA considered this agenda sub-item at its 1</w:t>
      </w:r>
      <w:r w:rsidR="003E4382" w:rsidRPr="00865CD7">
        <w:rPr>
          <w:vertAlign w:val="superscript"/>
        </w:rPr>
        <w:t>st</w:t>
      </w:r>
      <w:r w:rsidR="003E4382" w:rsidRPr="00865CD7">
        <w:t xml:space="preserve"> meeting, at which the Chair drew attention to the proposed progra</w:t>
      </w:r>
      <w:r w:rsidR="003E4382">
        <w:t>mme of work posted on the SBSTA 44</w:t>
      </w:r>
      <w:r w:rsidR="003E4382" w:rsidRPr="00865CD7">
        <w:t xml:space="preserve"> web</w:t>
      </w:r>
      <w:r w:rsidR="004D1DEB">
        <w:t xml:space="preserve"> page</w:t>
      </w:r>
      <w:r w:rsidR="003E4382">
        <w:t>.</w:t>
      </w:r>
      <w:r w:rsidR="003E4382">
        <w:rPr>
          <w:rStyle w:val="FootnoteReference"/>
        </w:rPr>
        <w:footnoteReference w:id="4"/>
      </w:r>
      <w:r w:rsidR="003E4382" w:rsidRPr="00865CD7">
        <w:t xml:space="preserve"> </w:t>
      </w:r>
      <w:r w:rsidR="003E4382">
        <w:t>In line with previously adopted conclusions of the Subsidiary Body for Implementation (SBI)</w:t>
      </w:r>
      <w:r w:rsidR="003E4382">
        <w:rPr>
          <w:rStyle w:val="FootnoteReference"/>
        </w:rPr>
        <w:footnoteReference w:id="5"/>
      </w:r>
      <w:r w:rsidR="003E4382">
        <w:t xml:space="preserve"> on the timely conclusion of negotiations and related working practices, the Chair informed the SBSTA that he would apply firm time management measures in order to enhance the efficiency, timeliness and transparency of work. </w:t>
      </w:r>
      <w:r w:rsidR="003E4382" w:rsidRPr="00865CD7">
        <w:t>The Chair</w:t>
      </w:r>
      <w:r w:rsidR="003E4382">
        <w:t xml:space="preserve"> </w:t>
      </w:r>
      <w:r w:rsidR="003E4382" w:rsidRPr="00865CD7">
        <w:t xml:space="preserve">also drew the attention of </w:t>
      </w:r>
      <w:r w:rsidR="003E4382">
        <w:t xml:space="preserve">the </w:t>
      </w:r>
      <w:r w:rsidR="003E4382" w:rsidRPr="00865CD7">
        <w:t xml:space="preserve">delegates to </w:t>
      </w:r>
      <w:r w:rsidR="003E4382">
        <w:t>the</w:t>
      </w:r>
      <w:r w:rsidR="003E4382" w:rsidRPr="00865CD7">
        <w:t xml:space="preserve"> deadline for </w:t>
      </w:r>
      <w:r w:rsidR="003E4382">
        <w:t xml:space="preserve">concluding the work of all </w:t>
      </w:r>
      <w:r w:rsidR="003E4382" w:rsidRPr="00865CD7">
        <w:t xml:space="preserve">groups </w:t>
      </w:r>
      <w:r w:rsidR="003E4382">
        <w:t>by 6 p.m. on 24</w:t>
      </w:r>
      <w:r w:rsidR="003E4382" w:rsidRPr="00B11CBD">
        <w:t> </w:t>
      </w:r>
      <w:r w:rsidR="003E4382">
        <w:t xml:space="preserve">May, </w:t>
      </w:r>
      <w:r w:rsidR="003E4382" w:rsidRPr="00566853">
        <w:t>which</w:t>
      </w:r>
      <w:r w:rsidR="003E4382" w:rsidRPr="00865CD7">
        <w:t xml:space="preserve"> </w:t>
      </w:r>
      <w:r w:rsidR="003E4382">
        <w:t xml:space="preserve">was </w:t>
      </w:r>
      <w:r w:rsidR="003E4382" w:rsidRPr="00865CD7">
        <w:t xml:space="preserve">aimed </w:t>
      </w:r>
      <w:r w:rsidR="003E4382">
        <w:t xml:space="preserve">at </w:t>
      </w:r>
      <w:r w:rsidR="003E4382" w:rsidRPr="00865CD7">
        <w:t>ensur</w:t>
      </w:r>
      <w:r w:rsidR="003E4382">
        <w:t>ing</w:t>
      </w:r>
      <w:r w:rsidR="003E4382" w:rsidRPr="00865CD7">
        <w:t xml:space="preserve"> the timely availability of draft </w:t>
      </w:r>
      <w:r w:rsidR="003E4382" w:rsidRPr="0058480B">
        <w:t>conclusions for the closing plenary. On a proposal by the Chair, the SBSTA agreed to proceed on this basis.</w:t>
      </w:r>
      <w:bookmarkEnd w:id="53"/>
      <w:r w:rsidR="003E4382" w:rsidRPr="0058480B">
        <w:t xml:space="preserve"> </w:t>
      </w:r>
    </w:p>
    <w:p w14:paraId="3214B06F" w14:textId="4043216F" w:rsidR="003E4382" w:rsidRPr="0058480B" w:rsidRDefault="00F83E99" w:rsidP="00F83E99">
      <w:pPr>
        <w:pStyle w:val="RegHChG"/>
        <w:numPr>
          <w:ilvl w:val="0"/>
          <w:numId w:val="0"/>
        </w:numPr>
        <w:tabs>
          <w:tab w:val="left" w:pos="1135"/>
        </w:tabs>
        <w:ind w:left="1135" w:hanging="454"/>
        <w:rPr>
          <w:rStyle w:val="SingleTxtGChar"/>
          <w:b w:val="0"/>
          <w:sz w:val="20"/>
        </w:rPr>
      </w:pPr>
      <w:bookmarkStart w:id="54" w:name="_Toc231126857"/>
      <w:bookmarkStart w:id="55" w:name="_Toc261965562"/>
      <w:bookmarkStart w:id="56" w:name="_Toc267320427"/>
      <w:bookmarkStart w:id="57" w:name="_Toc279431821"/>
      <w:bookmarkStart w:id="58" w:name="_Toc297037323"/>
      <w:bookmarkStart w:id="59" w:name="_Toc305764168"/>
      <w:bookmarkStart w:id="60" w:name="_Toc328480794"/>
      <w:bookmarkStart w:id="61" w:name="_Toc359944879"/>
      <w:bookmarkStart w:id="62" w:name="_Toc359945301"/>
      <w:bookmarkStart w:id="63" w:name="_Toc361321678"/>
      <w:bookmarkStart w:id="64" w:name="_Toc361321968"/>
      <w:bookmarkStart w:id="65" w:name="_Toc373495741"/>
      <w:bookmarkStart w:id="66" w:name="_Toc391892172"/>
      <w:bookmarkStart w:id="67" w:name="_Toc391892356"/>
      <w:bookmarkStart w:id="68" w:name="_Toc437266314"/>
      <w:bookmarkStart w:id="69" w:name="_Toc452991185"/>
      <w:bookmarkStart w:id="70" w:name="_Toc452994335"/>
      <w:bookmarkStart w:id="71" w:name="_Toc453077363"/>
      <w:r w:rsidRPr="0058480B">
        <w:rPr>
          <w:rStyle w:val="SingleTxtGChar"/>
        </w:rPr>
        <w:t>III.</w:t>
      </w:r>
      <w:r w:rsidRPr="0058480B">
        <w:rPr>
          <w:rStyle w:val="SingleTxtGChar"/>
        </w:rPr>
        <w:tab/>
      </w:r>
      <w:r w:rsidR="003E4382" w:rsidRPr="00451764">
        <w:t>Nairobi work programme on impacts, vulnerability and adaptation to climate change</w:t>
      </w:r>
      <w:r w:rsidR="003E4382" w:rsidRPr="0058480B">
        <w:rPr>
          <w:b w:val="0"/>
        </w:rPr>
        <w:br/>
      </w:r>
      <w:r w:rsidR="003E4382" w:rsidRPr="0058480B">
        <w:rPr>
          <w:rStyle w:val="SingleTxtGChar"/>
          <w:b w:val="0"/>
          <w:sz w:val="20"/>
        </w:rPr>
        <w:t>(Agenda item 3)</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5EC153BC" w14:textId="54E0F7A1" w:rsidR="003E4382" w:rsidRPr="00865CD7" w:rsidRDefault="00F83E99" w:rsidP="00F83E99">
      <w:pPr>
        <w:pStyle w:val="RegH23G"/>
        <w:numPr>
          <w:ilvl w:val="0"/>
          <w:numId w:val="0"/>
        </w:numPr>
        <w:tabs>
          <w:tab w:val="left" w:pos="1135"/>
        </w:tabs>
        <w:ind w:left="1135" w:hanging="454"/>
      </w:pPr>
      <w:bookmarkStart w:id="72" w:name="_Toc267320428"/>
      <w:r w:rsidRPr="00865CD7">
        <w:rPr>
          <w:bCs/>
        </w:rPr>
        <w:t>1.</w:t>
      </w:r>
      <w:r w:rsidRPr="00865CD7">
        <w:rPr>
          <w:bCs/>
        </w:rPr>
        <w:tab/>
      </w:r>
      <w:r w:rsidR="003E4382" w:rsidRPr="00865CD7">
        <w:t>Proceedings</w:t>
      </w:r>
      <w:bookmarkEnd w:id="72"/>
    </w:p>
    <w:p w14:paraId="39B64317" w14:textId="520985F4" w:rsidR="003E4382" w:rsidRPr="00865CD7" w:rsidRDefault="00F83E99" w:rsidP="00F83E99">
      <w:pPr>
        <w:pStyle w:val="RegSingleTxtG"/>
        <w:numPr>
          <w:ilvl w:val="0"/>
          <w:numId w:val="0"/>
        </w:numPr>
        <w:tabs>
          <w:tab w:val="left" w:pos="2127"/>
        </w:tabs>
        <w:ind w:left="1134"/>
      </w:pPr>
      <w:bookmarkStart w:id="73" w:name="_Ref326930916"/>
      <w:bookmarkStart w:id="74" w:name="_Ref361316894"/>
      <w:bookmarkStart w:id="75" w:name="_Ref452990634"/>
      <w:r w:rsidRPr="00865CD7">
        <w:t>7.</w:t>
      </w:r>
      <w:r w:rsidRPr="00865CD7">
        <w:tab/>
      </w:r>
      <w:r w:rsidR="003E4382" w:rsidRPr="00865CD7">
        <w:t xml:space="preserve">The SBSTA considered this agenda item </w:t>
      </w:r>
      <w:r w:rsidR="003E4382" w:rsidRPr="000A7247">
        <w:t xml:space="preserve">at </w:t>
      </w:r>
      <w:r w:rsidR="003E4382" w:rsidRPr="00415C95">
        <w:t>its 1</w:t>
      </w:r>
      <w:r w:rsidR="003E4382" w:rsidRPr="00415C95">
        <w:rPr>
          <w:vertAlign w:val="superscript"/>
        </w:rPr>
        <w:t>st</w:t>
      </w:r>
      <w:r w:rsidR="003E4382" w:rsidRPr="00415C95">
        <w:t xml:space="preserve"> meeting and at its 2</w:t>
      </w:r>
      <w:r w:rsidR="003E4382" w:rsidRPr="00415C95">
        <w:rPr>
          <w:vertAlign w:val="superscript"/>
        </w:rPr>
        <w:t>nd</w:t>
      </w:r>
      <w:r w:rsidR="003E4382" w:rsidRPr="00415C95">
        <w:t xml:space="preserve"> meeting, on 26 May. It had before it documents FCCC/SBSTA/2016/INF.1 and FCCC/SBSTA/2016/INF.</w:t>
      </w:r>
      <w:bookmarkEnd w:id="73"/>
      <w:bookmarkEnd w:id="74"/>
      <w:r w:rsidR="003E4382" w:rsidRPr="00415C95">
        <w:t>4. At its 1</w:t>
      </w:r>
      <w:r w:rsidR="003E4382" w:rsidRPr="00415C95">
        <w:rPr>
          <w:vertAlign w:val="superscript"/>
        </w:rPr>
        <w:t xml:space="preserve">st </w:t>
      </w:r>
      <w:r w:rsidR="003E4382" w:rsidRPr="00415C95">
        <w:t>meeting, the SBSTA agreed to consider this agenda item in informal consultations co-facilitated by Mr.</w:t>
      </w:r>
      <w:r w:rsidR="003E4382">
        <w:t xml:space="preserve"> Julio Cordano (Chile) and Ms. Beth Lavender (Canada). At its 2</w:t>
      </w:r>
      <w:r w:rsidR="003E4382" w:rsidRPr="003D152A">
        <w:rPr>
          <w:vertAlign w:val="superscript"/>
        </w:rPr>
        <w:t>nd</w:t>
      </w:r>
      <w:r w:rsidR="003E4382">
        <w:t xml:space="preserve"> meeting, the SBSTA considered and adopted the conclusions below.</w:t>
      </w:r>
      <w:r w:rsidR="003E4382">
        <w:rPr>
          <w:rStyle w:val="FootnoteReference"/>
        </w:rPr>
        <w:footnoteReference w:id="6"/>
      </w:r>
      <w:bookmarkEnd w:id="75"/>
    </w:p>
    <w:p w14:paraId="2038A37F" w14:textId="5631DD74" w:rsidR="003E4382" w:rsidRDefault="00F83E99" w:rsidP="00F83E99">
      <w:pPr>
        <w:pStyle w:val="RegH23G"/>
        <w:numPr>
          <w:ilvl w:val="0"/>
          <w:numId w:val="0"/>
        </w:numPr>
        <w:tabs>
          <w:tab w:val="left" w:pos="1135"/>
        </w:tabs>
        <w:ind w:left="1135" w:hanging="454"/>
      </w:pPr>
      <w:r>
        <w:rPr>
          <w:bCs/>
        </w:rPr>
        <w:t>2.</w:t>
      </w:r>
      <w:r>
        <w:rPr>
          <w:bCs/>
        </w:rPr>
        <w:tab/>
      </w:r>
      <w:r w:rsidR="003E4382" w:rsidRPr="004A7A55">
        <w:t>Conclusions</w:t>
      </w:r>
    </w:p>
    <w:p w14:paraId="37E50652" w14:textId="52EFD7AD" w:rsidR="003E4382" w:rsidRPr="009E5EFD" w:rsidRDefault="00F83E99" w:rsidP="00F83E99">
      <w:pPr>
        <w:pStyle w:val="RegSingleTxtG"/>
        <w:numPr>
          <w:ilvl w:val="0"/>
          <w:numId w:val="0"/>
        </w:numPr>
        <w:tabs>
          <w:tab w:val="left" w:pos="568"/>
        </w:tabs>
        <w:ind w:left="1135"/>
      </w:pPr>
      <w:r w:rsidRPr="009E5EFD">
        <w:t>8.</w:t>
      </w:r>
      <w:r w:rsidRPr="009E5EFD">
        <w:tab/>
      </w:r>
      <w:r w:rsidR="003E4382" w:rsidRPr="009E5EFD">
        <w:t>The SBSTA welcomed the following documents prepared for the session:</w:t>
      </w:r>
    </w:p>
    <w:p w14:paraId="683040B1" w14:textId="0CE89D86" w:rsidR="003E4382" w:rsidRPr="009E5EFD" w:rsidRDefault="00F83E99" w:rsidP="00F83E99">
      <w:pPr>
        <w:pStyle w:val="RegSingleTxtG"/>
        <w:numPr>
          <w:ilvl w:val="0"/>
          <w:numId w:val="0"/>
        </w:numPr>
        <w:tabs>
          <w:tab w:val="left" w:pos="2269"/>
        </w:tabs>
        <w:ind w:left="1135" w:firstLine="567"/>
      </w:pPr>
      <w:r w:rsidRPr="009E5EFD">
        <w:lastRenderedPageBreak/>
        <w:t>(a)</w:t>
      </w:r>
      <w:r w:rsidRPr="009E5EFD">
        <w:tab/>
      </w:r>
      <w:r w:rsidR="003E4382" w:rsidRPr="009E5EFD">
        <w:t>The report on progress made in implementing activities under the Nairobi work programme on impacts, vulnerability and adaptation to climate change (NWP);</w:t>
      </w:r>
      <w:r w:rsidR="003E4382" w:rsidRPr="009E5EFD">
        <w:rPr>
          <w:rStyle w:val="FootnoteReference"/>
        </w:rPr>
        <w:footnoteReference w:id="7"/>
      </w:r>
    </w:p>
    <w:p w14:paraId="1E2EBC64" w14:textId="0149F27F" w:rsidR="003E4382" w:rsidRPr="009E5EFD" w:rsidRDefault="00F83E99" w:rsidP="00F83E99">
      <w:pPr>
        <w:pStyle w:val="RegSingleTxtG"/>
        <w:numPr>
          <w:ilvl w:val="0"/>
          <w:numId w:val="0"/>
        </w:numPr>
        <w:tabs>
          <w:tab w:val="left" w:pos="2269"/>
        </w:tabs>
        <w:ind w:left="1135" w:firstLine="567"/>
      </w:pPr>
      <w:r w:rsidRPr="009E5EFD">
        <w:t>(b)</w:t>
      </w:r>
      <w:r w:rsidRPr="009E5EFD">
        <w:tab/>
      </w:r>
      <w:r w:rsidR="003E4382" w:rsidRPr="009E5EFD">
        <w:t>The information note on activities undertaken by regional centres and networks on adaptation planning processes</w:t>
      </w:r>
      <w:r w:rsidR="004D1DEB">
        <w:t>,</w:t>
      </w:r>
      <w:r w:rsidR="003E4382" w:rsidRPr="009E5EFD">
        <w:t xml:space="preserve"> and processes and structures for linking national and local adaptation planning.</w:t>
      </w:r>
      <w:r w:rsidR="003E4382" w:rsidRPr="009E5EFD">
        <w:rPr>
          <w:rStyle w:val="FootnoteReference"/>
        </w:rPr>
        <w:footnoteReference w:id="8"/>
      </w:r>
    </w:p>
    <w:p w14:paraId="01FE0600" w14:textId="09B1B3C3" w:rsidR="003E4382" w:rsidRPr="009E5EFD" w:rsidRDefault="00F83E99" w:rsidP="00F83E99">
      <w:pPr>
        <w:pStyle w:val="RegSingleTxtG"/>
        <w:numPr>
          <w:ilvl w:val="0"/>
          <w:numId w:val="0"/>
        </w:numPr>
        <w:tabs>
          <w:tab w:val="left" w:pos="568"/>
        </w:tabs>
        <w:ind w:left="1135"/>
      </w:pPr>
      <w:r w:rsidRPr="009E5EFD">
        <w:t>9.</w:t>
      </w:r>
      <w:r w:rsidRPr="009E5EFD">
        <w:tab/>
      </w:r>
      <w:r w:rsidR="003E4382" w:rsidRPr="009E5EFD">
        <w:t>The SBSTA also welcomed the compilation of good practices, tools and data collection initiatives in relation to the use of local, indigenous and traditional knowledge and practices for adaptation, undertaken in collaboration with the Adaptation Committee (AC) and the Least Developed Countries Expert Group (LEG).</w:t>
      </w:r>
      <w:r w:rsidR="003E4382" w:rsidRPr="009E5EFD">
        <w:rPr>
          <w:rStyle w:val="FootnoteReference"/>
        </w:rPr>
        <w:footnoteReference w:id="9"/>
      </w:r>
    </w:p>
    <w:p w14:paraId="0938CDEC" w14:textId="627DA862" w:rsidR="003E4382" w:rsidRPr="00415C95" w:rsidRDefault="00F83E99" w:rsidP="00F83E99">
      <w:pPr>
        <w:pStyle w:val="RegSingleTxtG"/>
        <w:numPr>
          <w:ilvl w:val="0"/>
          <w:numId w:val="0"/>
        </w:numPr>
        <w:tabs>
          <w:tab w:val="left" w:pos="568"/>
        </w:tabs>
        <w:ind w:left="1135"/>
      </w:pPr>
      <w:r w:rsidRPr="00415C95">
        <w:t>10.</w:t>
      </w:r>
      <w:r w:rsidRPr="00415C95">
        <w:tab/>
      </w:r>
      <w:r w:rsidR="003E4382" w:rsidRPr="009E5EFD">
        <w:t>The SBSTA acknowledged the contributions of</w:t>
      </w:r>
      <w:r w:rsidR="003E4382" w:rsidRPr="009E5EFD">
        <w:rPr>
          <w:rFonts w:eastAsia="Times New Roman"/>
          <w:lang w:val="en-US" w:eastAsia="en-GB"/>
        </w:rPr>
        <w:t xml:space="preserve"> regional centres and networks, international institutions and NWP partner organizations in undertaking and reporting activities on adaptation planning and processes</w:t>
      </w:r>
      <w:r w:rsidR="004D1DEB">
        <w:rPr>
          <w:rFonts w:eastAsia="Times New Roman"/>
          <w:lang w:val="en-US" w:eastAsia="en-GB"/>
        </w:rPr>
        <w:t>,</w:t>
      </w:r>
      <w:r w:rsidR="003E4382" w:rsidRPr="009E5EFD">
        <w:rPr>
          <w:rFonts w:eastAsia="Times New Roman"/>
          <w:lang w:val="en-US" w:eastAsia="en-GB"/>
        </w:rPr>
        <w:t xml:space="preserve"> and </w:t>
      </w:r>
      <w:r w:rsidR="004D1DEB" w:rsidRPr="00415C95">
        <w:rPr>
          <w:rFonts w:eastAsia="Times New Roman"/>
          <w:lang w:val="en-US" w:eastAsia="en-GB"/>
        </w:rPr>
        <w:t xml:space="preserve">in </w:t>
      </w:r>
      <w:r w:rsidR="003E4382" w:rsidRPr="00415C95">
        <w:rPr>
          <w:rFonts w:eastAsia="Times New Roman"/>
          <w:lang w:val="en-US" w:eastAsia="en-GB"/>
        </w:rPr>
        <w:t>producing information on the outcomes of their regional activities</w:t>
      </w:r>
      <w:r w:rsidR="003E4382" w:rsidRPr="00415C95">
        <w:rPr>
          <w:rStyle w:val="FootnoteReference"/>
        </w:rPr>
        <w:footnoteReference w:id="10"/>
      </w:r>
      <w:r w:rsidR="003E4382" w:rsidRPr="00415C95">
        <w:rPr>
          <w:rFonts w:eastAsia="Times New Roman"/>
          <w:lang w:val="en-US" w:eastAsia="en-GB"/>
        </w:rPr>
        <w:t xml:space="preserve"> referred to in paragraph 8(b) above.</w:t>
      </w:r>
      <w:r w:rsidR="003E4382" w:rsidRPr="00415C95">
        <w:rPr>
          <w:rStyle w:val="FootnoteReference"/>
        </w:rPr>
        <w:t xml:space="preserve"> </w:t>
      </w:r>
      <w:r w:rsidR="003E4382" w:rsidRPr="00415C95">
        <w:rPr>
          <w:rFonts w:eastAsia="Times New Roman"/>
          <w:lang w:val="en-US" w:eastAsia="en-GB"/>
        </w:rPr>
        <w:t>It also acknowledged the inputs of NWP partner organizations, experts and other relevant organizations to the compilation referred to in paragraph 9 above.</w:t>
      </w:r>
    </w:p>
    <w:p w14:paraId="634098BF" w14:textId="3C534B54" w:rsidR="003E4382" w:rsidRPr="00415C95" w:rsidRDefault="00F83E99" w:rsidP="00F83E99">
      <w:pPr>
        <w:pStyle w:val="RegSingleTxtG"/>
        <w:numPr>
          <w:ilvl w:val="0"/>
          <w:numId w:val="0"/>
        </w:numPr>
        <w:tabs>
          <w:tab w:val="left" w:pos="568"/>
        </w:tabs>
        <w:ind w:left="1135"/>
      </w:pPr>
      <w:r w:rsidRPr="00415C95">
        <w:t>11.</w:t>
      </w:r>
      <w:r w:rsidRPr="00415C95">
        <w:tab/>
      </w:r>
      <w:r w:rsidR="003E4382" w:rsidRPr="00415C95">
        <w:t>It expressed its appreciation to Japan for providing financial support for the implementation of activities under the NWP.</w:t>
      </w:r>
    </w:p>
    <w:p w14:paraId="4030C932" w14:textId="20DF9491" w:rsidR="003E4382" w:rsidRPr="00415C95" w:rsidRDefault="00F83E99" w:rsidP="00F83E99">
      <w:pPr>
        <w:pStyle w:val="RegSingleTxtG"/>
        <w:numPr>
          <w:ilvl w:val="0"/>
          <w:numId w:val="0"/>
        </w:numPr>
        <w:tabs>
          <w:tab w:val="left" w:pos="568"/>
        </w:tabs>
        <w:ind w:left="1135"/>
        <w:rPr>
          <w:rFonts w:eastAsia="Times New Roman"/>
          <w:lang w:val="en-US" w:eastAsia="en-GB"/>
        </w:rPr>
      </w:pPr>
      <w:r w:rsidRPr="00415C95">
        <w:rPr>
          <w:rFonts w:eastAsia="Times New Roman"/>
          <w:lang w:val="en-US" w:eastAsia="en-GB"/>
        </w:rPr>
        <w:t>12.</w:t>
      </w:r>
      <w:r w:rsidRPr="00415C95">
        <w:rPr>
          <w:rFonts w:eastAsia="Times New Roman"/>
          <w:lang w:val="en-US" w:eastAsia="en-GB"/>
        </w:rPr>
        <w:tab/>
      </w:r>
      <w:r w:rsidR="003E4382" w:rsidRPr="00415C95">
        <w:rPr>
          <w:rFonts w:eastAsia="Times New Roman"/>
          <w:lang w:val="en-US" w:eastAsia="en-GB"/>
        </w:rPr>
        <w:t>In accordance with the mandate in decision 17/CP.19,</w:t>
      </w:r>
      <w:r w:rsidR="003E4382" w:rsidRPr="00415C95">
        <w:rPr>
          <w:rStyle w:val="FootnoteReference"/>
          <w:rFonts w:eastAsia="Times New Roman"/>
          <w:lang w:val="en-US" w:eastAsia="en-GB"/>
        </w:rPr>
        <w:footnoteReference w:id="11"/>
      </w:r>
      <w:r w:rsidR="003E4382" w:rsidRPr="00415C95">
        <w:rPr>
          <w:rFonts w:eastAsia="Times New Roman"/>
          <w:lang w:val="en-US" w:eastAsia="en-GB"/>
        </w:rPr>
        <w:t xml:space="preserve"> the SBSTA took stock of progress in the implementation of the NWP and </w:t>
      </w:r>
      <w:r w:rsidR="003E4382" w:rsidRPr="00415C95">
        <w:t xml:space="preserve">acknowledged the achievements and progress made under the NWP to date. </w:t>
      </w:r>
      <w:r w:rsidR="003E4382" w:rsidRPr="00415C95">
        <w:rPr>
          <w:lang w:val="en-US"/>
        </w:rPr>
        <w:t xml:space="preserve">The SBSTA welcomed the efforts of the secretariat in implementing activities under the NWP under the guidance of the Chair of the SBSTA. </w:t>
      </w:r>
    </w:p>
    <w:p w14:paraId="2AA34A59" w14:textId="6F0B5598" w:rsidR="003E4382" w:rsidRPr="009E5EFD" w:rsidRDefault="00F83E99" w:rsidP="00F83E99">
      <w:pPr>
        <w:pStyle w:val="RegSingleTxtG"/>
        <w:numPr>
          <w:ilvl w:val="0"/>
          <w:numId w:val="0"/>
        </w:numPr>
        <w:tabs>
          <w:tab w:val="left" w:pos="568"/>
        </w:tabs>
        <w:ind w:left="1135"/>
      </w:pPr>
      <w:r w:rsidRPr="009E5EFD">
        <w:t>13.</w:t>
      </w:r>
      <w:r w:rsidRPr="009E5EFD">
        <w:tab/>
      </w:r>
      <w:r w:rsidR="003E4382" w:rsidRPr="00415C95">
        <w:t>The SBSTA recognized the role of the NWP in providing support in the areas of adaptation knowledge and related stakeholder engagement to other workstreams and constituted bodies under the Convention and noted the potential role it can play in new processes under the Paris Agreement and decision 1/CP.21. In this regard, the SBSTA invited the AC, the LEG and other relevant bodies, in accordance</w:t>
      </w:r>
      <w:r w:rsidR="003E4382" w:rsidRPr="009E5EFD">
        <w:t xml:space="preserve"> with their mandates and functions, to consider providing recommendations for activities to be undertaken under the NWP in supporting these processes.</w:t>
      </w:r>
    </w:p>
    <w:p w14:paraId="5568013C" w14:textId="51561909" w:rsidR="003E4382" w:rsidRPr="009E5EFD" w:rsidRDefault="00F83E99" w:rsidP="00F83E99">
      <w:pPr>
        <w:pStyle w:val="RegSingleTxtG"/>
        <w:numPr>
          <w:ilvl w:val="0"/>
          <w:numId w:val="0"/>
        </w:numPr>
        <w:tabs>
          <w:tab w:val="left" w:pos="568"/>
        </w:tabs>
        <w:ind w:left="1135"/>
      </w:pPr>
      <w:r w:rsidRPr="009E5EFD">
        <w:t>14.</w:t>
      </w:r>
      <w:r w:rsidRPr="009E5EFD">
        <w:tab/>
      </w:r>
      <w:r w:rsidR="003E4382" w:rsidRPr="009E5EFD">
        <w:t>The SBSTA concluded that activities under the NWP should integrate the consideration of vulnerable communities in addition to gender issues, traditional knowledge, knowledge of indigenous peoples and local knowledge systems, and the role of and impacts on ecosystems, where appropriate.</w:t>
      </w:r>
    </w:p>
    <w:p w14:paraId="120450E3" w14:textId="22F2A2A3" w:rsidR="003E4382" w:rsidRPr="009E5EFD" w:rsidRDefault="00F83E99" w:rsidP="00F83E99">
      <w:pPr>
        <w:pStyle w:val="RegSingleTxtG"/>
        <w:numPr>
          <w:ilvl w:val="0"/>
          <w:numId w:val="0"/>
        </w:numPr>
        <w:tabs>
          <w:tab w:val="left" w:pos="568"/>
        </w:tabs>
        <w:ind w:left="1135"/>
      </w:pPr>
      <w:r w:rsidRPr="009E5EFD">
        <w:t>15.</w:t>
      </w:r>
      <w:r w:rsidRPr="009E5EFD">
        <w:tab/>
      </w:r>
      <w:r w:rsidR="003E4382" w:rsidRPr="009E5EFD">
        <w:rPr>
          <w:lang w:val="en-US" w:eastAsia="en-GB"/>
        </w:rPr>
        <w:t>The SBSTA also concluded that the following activities would be undertaken to inform adaptation planning and actions at the regional, national and subnational levels, particularly in relation to, inter alia, ecosystems, human settlements, water resources and health:</w:t>
      </w:r>
    </w:p>
    <w:p w14:paraId="4A9FD221" w14:textId="52E1291A" w:rsidR="003E4382" w:rsidRPr="009E5EFD" w:rsidRDefault="00F83E99" w:rsidP="00F83E99">
      <w:pPr>
        <w:pStyle w:val="RegSingleTxtG"/>
        <w:numPr>
          <w:ilvl w:val="0"/>
          <w:numId w:val="0"/>
        </w:numPr>
        <w:tabs>
          <w:tab w:val="left" w:pos="2269"/>
        </w:tabs>
        <w:ind w:left="1135" w:firstLine="567"/>
      </w:pPr>
      <w:r w:rsidRPr="009E5EFD">
        <w:t>(a)</w:t>
      </w:r>
      <w:r w:rsidRPr="009E5EFD">
        <w:tab/>
      </w:r>
      <w:r w:rsidR="003E4382" w:rsidRPr="009E5EFD">
        <w:rPr>
          <w:rFonts w:eastAsia="Times New Roman"/>
          <w:lang w:val="en-US" w:eastAsia="en-GB"/>
        </w:rPr>
        <w:t>On health:</w:t>
      </w:r>
    </w:p>
    <w:p w14:paraId="704D28A2" w14:textId="0CC09357" w:rsidR="003E4382" w:rsidRPr="00415C95" w:rsidRDefault="00F83E99" w:rsidP="00F83E99">
      <w:pPr>
        <w:pStyle w:val="RegSingleTxtG"/>
        <w:numPr>
          <w:ilvl w:val="0"/>
          <w:numId w:val="0"/>
        </w:numPr>
        <w:tabs>
          <w:tab w:val="left" w:pos="2269"/>
        </w:tabs>
        <w:ind w:left="1702"/>
      </w:pPr>
      <w:r w:rsidRPr="00415C95">
        <w:t>(i)</w:t>
      </w:r>
      <w:r w:rsidRPr="00415C95">
        <w:tab/>
      </w:r>
      <w:r w:rsidR="003E4382" w:rsidRPr="009E5EFD">
        <w:rPr>
          <w:lang w:val="en-US"/>
        </w:rPr>
        <w:t xml:space="preserve">The SBSTA invited Parties, NWP partner organizations and other relevant organizations to submit, by 29 August 2016, information on: their recent work in the area of climate impacts on human health, including changes in the geographical distribution of diseases; new and emerging health issues, including tropical diseases and their impacts on social and economic structures, as well as the issues of </w:t>
      </w:r>
      <w:r w:rsidR="003E4382" w:rsidRPr="009E5EFD">
        <w:rPr>
          <w:lang w:val="en-US"/>
        </w:rPr>
        <w:lastRenderedPageBreak/>
        <w:t xml:space="preserve">malnutrition, waterborne diseases, vector-borne diseases and disaster impacts; and the effects of climate change on health and productivity in the workplace, with </w:t>
      </w:r>
      <w:r w:rsidR="003E4382" w:rsidRPr="00415C95">
        <w:rPr>
          <w:lang w:val="en-US"/>
        </w:rPr>
        <w:t>implications for occupational health, safety and social protection;</w:t>
      </w:r>
      <w:r w:rsidR="003E4382" w:rsidRPr="00415C95">
        <w:rPr>
          <w:rStyle w:val="FootnoteReference"/>
          <w:lang w:val="en-US"/>
        </w:rPr>
        <w:footnoteReference w:id="12"/>
      </w:r>
    </w:p>
    <w:p w14:paraId="5B1CB73A" w14:textId="5A97CDD7" w:rsidR="003E4382" w:rsidRPr="00415C95" w:rsidRDefault="00F83E99" w:rsidP="00F83E99">
      <w:pPr>
        <w:pStyle w:val="RegSingleTxtG"/>
        <w:numPr>
          <w:ilvl w:val="0"/>
          <w:numId w:val="0"/>
        </w:numPr>
        <w:tabs>
          <w:tab w:val="left" w:pos="2269"/>
        </w:tabs>
        <w:ind w:left="1702"/>
        <w:rPr>
          <w:lang w:val="en-US"/>
        </w:rPr>
      </w:pPr>
      <w:r w:rsidRPr="00415C95">
        <w:rPr>
          <w:lang w:val="en-US"/>
        </w:rPr>
        <w:t>(ii)</w:t>
      </w:r>
      <w:r w:rsidRPr="00415C95">
        <w:rPr>
          <w:lang w:val="en-US"/>
        </w:rPr>
        <w:tab/>
      </w:r>
      <w:r w:rsidR="003E4382" w:rsidRPr="00415C95">
        <w:rPr>
          <w:lang w:val="en-US"/>
        </w:rPr>
        <w:t>The SBSTA requested the secretariat to utilize the submissions referred to in paragraph 15(a)(i) above to inform the 10</w:t>
      </w:r>
      <w:r w:rsidR="003E4382" w:rsidRPr="00415C95">
        <w:rPr>
          <w:vertAlign w:val="superscript"/>
          <w:lang w:val="en-US"/>
        </w:rPr>
        <w:t>th</w:t>
      </w:r>
      <w:r w:rsidR="003E4382" w:rsidRPr="00415C95">
        <w:rPr>
          <w:lang w:val="en-US"/>
        </w:rPr>
        <w:t xml:space="preserve"> Focal Point Forum, to be held in conjunction with SBSTA 45 (November 2016);</w:t>
      </w:r>
    </w:p>
    <w:p w14:paraId="77AE06F5" w14:textId="70AA915F" w:rsidR="003E4382" w:rsidRPr="00415C95" w:rsidRDefault="00F83E99" w:rsidP="00F83E99">
      <w:pPr>
        <w:pStyle w:val="RegSingleTxtG"/>
        <w:numPr>
          <w:ilvl w:val="0"/>
          <w:numId w:val="0"/>
        </w:numPr>
        <w:tabs>
          <w:tab w:val="left" w:pos="2269"/>
        </w:tabs>
        <w:ind w:left="1702"/>
        <w:rPr>
          <w:rFonts w:eastAsia="Times New Roman"/>
          <w:lang w:val="en-US" w:eastAsia="en-GB"/>
        </w:rPr>
      </w:pPr>
      <w:r w:rsidRPr="00415C95">
        <w:rPr>
          <w:rFonts w:eastAsia="Times New Roman"/>
          <w:lang w:val="en-US" w:eastAsia="en-GB"/>
        </w:rPr>
        <w:t>(iii)</w:t>
      </w:r>
      <w:r w:rsidRPr="00415C95">
        <w:rPr>
          <w:rFonts w:eastAsia="Times New Roman"/>
          <w:lang w:val="en-US" w:eastAsia="en-GB"/>
        </w:rPr>
        <w:tab/>
      </w:r>
      <w:r w:rsidR="003E4382" w:rsidRPr="00415C95">
        <w:rPr>
          <w:lang w:val="en-US"/>
        </w:rPr>
        <w:t>The SBSTA also requested the secretariat to organize the 10</w:t>
      </w:r>
      <w:r w:rsidR="003E4382" w:rsidRPr="00415C95">
        <w:rPr>
          <w:vertAlign w:val="superscript"/>
          <w:lang w:val="en-US"/>
        </w:rPr>
        <w:t>th</w:t>
      </w:r>
      <w:r w:rsidR="003E4382" w:rsidRPr="00415C95">
        <w:rPr>
          <w:lang w:val="en-US"/>
        </w:rPr>
        <w:t xml:space="preserve"> Focal Point Forum on the topic of health and adaptation, featuring speakers from Parties and relevant organizations; </w:t>
      </w:r>
    </w:p>
    <w:p w14:paraId="6A4DCB81" w14:textId="6B6083BB" w:rsidR="003E4382" w:rsidRPr="009E5EFD" w:rsidRDefault="00F83E99" w:rsidP="00F83E99">
      <w:pPr>
        <w:pStyle w:val="RegSingleTxtG"/>
        <w:numPr>
          <w:ilvl w:val="0"/>
          <w:numId w:val="0"/>
        </w:numPr>
        <w:tabs>
          <w:tab w:val="left" w:pos="2269"/>
        </w:tabs>
        <w:ind w:left="1702"/>
      </w:pPr>
      <w:r w:rsidRPr="009E5EFD">
        <w:t>(iv)</w:t>
      </w:r>
      <w:r w:rsidRPr="009E5EFD">
        <w:tab/>
      </w:r>
      <w:r w:rsidR="003E4382" w:rsidRPr="00415C95">
        <w:rPr>
          <w:lang w:val="en-US"/>
        </w:rPr>
        <w:t>The SBSTA further requested the secretariat to prepare a report synthesizing the submissions referred to in paragraph 15(a)(i) above and the</w:t>
      </w:r>
      <w:r w:rsidR="003E4382" w:rsidRPr="009E5EFD">
        <w:rPr>
          <w:lang w:val="en-US"/>
        </w:rPr>
        <w:t xml:space="preserve"> topics discussed at the 10</w:t>
      </w:r>
      <w:r w:rsidR="003E4382" w:rsidRPr="009E5EFD">
        <w:rPr>
          <w:vertAlign w:val="superscript"/>
          <w:lang w:val="en-US"/>
        </w:rPr>
        <w:t>th</w:t>
      </w:r>
      <w:r w:rsidR="003E4382" w:rsidRPr="009E5EFD">
        <w:rPr>
          <w:lang w:val="en-US"/>
        </w:rPr>
        <w:t xml:space="preserve"> Focal Point Forum for consideration at SBSTA 46 (May 2017);</w:t>
      </w:r>
    </w:p>
    <w:p w14:paraId="45850049" w14:textId="13241C5B" w:rsidR="003E4382" w:rsidRPr="009E5EFD" w:rsidRDefault="00F83E99" w:rsidP="00F83E99">
      <w:pPr>
        <w:pStyle w:val="RegSingleTxtG"/>
        <w:numPr>
          <w:ilvl w:val="0"/>
          <w:numId w:val="0"/>
        </w:numPr>
        <w:tabs>
          <w:tab w:val="left" w:pos="2269"/>
        </w:tabs>
        <w:ind w:left="1135" w:firstLine="567"/>
      </w:pPr>
      <w:r w:rsidRPr="009E5EFD">
        <w:t>(b)</w:t>
      </w:r>
      <w:r w:rsidRPr="009E5EFD">
        <w:tab/>
      </w:r>
      <w:r w:rsidR="003E4382" w:rsidRPr="009E5EFD">
        <w:rPr>
          <w:rFonts w:eastAsia="Times New Roman"/>
          <w:lang w:val="en-US" w:eastAsia="en-GB"/>
        </w:rPr>
        <w:t>On human settlements:</w:t>
      </w:r>
    </w:p>
    <w:p w14:paraId="1A68C3FE" w14:textId="79217220" w:rsidR="003E4382" w:rsidRPr="009E5EFD" w:rsidRDefault="00F83E99" w:rsidP="00F83E99">
      <w:pPr>
        <w:pStyle w:val="RegSingleTxtG"/>
        <w:numPr>
          <w:ilvl w:val="0"/>
          <w:numId w:val="0"/>
        </w:numPr>
        <w:tabs>
          <w:tab w:val="left" w:pos="2269"/>
        </w:tabs>
        <w:ind w:left="1702"/>
      </w:pPr>
      <w:r w:rsidRPr="009E5EFD">
        <w:t>(i)</w:t>
      </w:r>
      <w:r w:rsidRPr="009E5EFD">
        <w:tab/>
      </w:r>
      <w:r w:rsidR="003E4382" w:rsidRPr="009E5EFD">
        <w:rPr>
          <w:lang w:val="en-US"/>
        </w:rPr>
        <w:t>The SBSTA requested the secretariat to prepare a document concisely summarizing initiatives in the area of human settlements within the context of the mandate of the NWP for consideration at SBSTA 46;</w:t>
      </w:r>
    </w:p>
    <w:p w14:paraId="4033A816" w14:textId="42134A98" w:rsidR="003E4382" w:rsidRPr="00415C95" w:rsidRDefault="00F83E99" w:rsidP="00F83E99">
      <w:pPr>
        <w:pStyle w:val="RegSingleTxtG"/>
        <w:numPr>
          <w:ilvl w:val="0"/>
          <w:numId w:val="0"/>
        </w:numPr>
        <w:tabs>
          <w:tab w:val="left" w:pos="2269"/>
        </w:tabs>
        <w:ind w:left="1702"/>
      </w:pPr>
      <w:r w:rsidRPr="00415C95">
        <w:t>(ii)</w:t>
      </w:r>
      <w:r w:rsidRPr="00415C95">
        <w:tab/>
      </w:r>
      <w:r w:rsidR="003E4382" w:rsidRPr="009E5EFD">
        <w:rPr>
          <w:lang w:val="en-US"/>
        </w:rPr>
        <w:t>The SBSTA invited Parties, NWP partner organizations and other relevant organizations to submit, by 20 September 2017,</w:t>
      </w:r>
      <w:r w:rsidR="003E4382" w:rsidRPr="009E5EFD" w:rsidDel="000B15BB">
        <w:rPr>
          <w:lang w:val="en-US"/>
        </w:rPr>
        <w:t xml:space="preserve"> </w:t>
      </w:r>
      <w:r w:rsidR="003E4382" w:rsidRPr="009E5EFD">
        <w:rPr>
          <w:lang w:val="en-US"/>
        </w:rPr>
        <w:t xml:space="preserve">information on topics such as good practices, lessons learned and available tools and methods, based on their recent work in the area of human settlements and adaptation, including on assessing sensitivity and vulnerability to climate change, integrating both short- and long-term climate considerations (including both extreme and slow onset events) into planning, the role of national governments in supporting adaptation at the local level and city-to-city partnerships on climate change, </w:t>
      </w:r>
      <w:r w:rsidR="003E4382" w:rsidRPr="009E5EFD">
        <w:rPr>
          <w:color w:val="000000" w:themeColor="text1"/>
        </w:rPr>
        <w:t>bearing in mind the unique challenges and scale differences in urban, rural and remote settlements, in particular in small island developing States and the least developed countries</w:t>
      </w:r>
      <w:r w:rsidR="003E4382" w:rsidRPr="009E5EFD">
        <w:rPr>
          <w:color w:val="000000" w:themeColor="text1"/>
          <w:lang w:val="en-US"/>
        </w:rPr>
        <w:t xml:space="preserve">; cross-cutting issues and linkages to the process to formulate and implement national adaptation plans (NAPs) </w:t>
      </w:r>
      <w:r w:rsidR="003E4382" w:rsidRPr="00415C95">
        <w:rPr>
          <w:color w:val="000000" w:themeColor="text1"/>
          <w:lang w:val="en-US"/>
        </w:rPr>
        <w:t>should also be considered;</w:t>
      </w:r>
      <w:r w:rsidR="003E4382" w:rsidRPr="00415C95">
        <w:rPr>
          <w:rStyle w:val="FootnoteReference"/>
          <w:color w:val="000000" w:themeColor="text1"/>
          <w:lang w:val="en-US"/>
        </w:rPr>
        <w:footnoteReference w:id="13"/>
      </w:r>
    </w:p>
    <w:p w14:paraId="18C43268" w14:textId="02F6687E" w:rsidR="003E4382" w:rsidRPr="00415C95" w:rsidRDefault="00F83E99" w:rsidP="00F83E99">
      <w:pPr>
        <w:pStyle w:val="RegSingleTxtG"/>
        <w:numPr>
          <w:ilvl w:val="0"/>
          <w:numId w:val="0"/>
        </w:numPr>
        <w:tabs>
          <w:tab w:val="left" w:pos="2269"/>
        </w:tabs>
        <w:ind w:left="1702"/>
        <w:rPr>
          <w:lang w:val="en-US"/>
        </w:rPr>
      </w:pPr>
      <w:r w:rsidRPr="00415C95">
        <w:rPr>
          <w:lang w:val="en-US"/>
        </w:rPr>
        <w:t>(iii)</w:t>
      </w:r>
      <w:r w:rsidRPr="00415C95">
        <w:rPr>
          <w:lang w:val="en-US"/>
        </w:rPr>
        <w:tab/>
      </w:r>
      <w:r w:rsidR="003E4382" w:rsidRPr="00415C95">
        <w:rPr>
          <w:lang w:val="en-US"/>
        </w:rPr>
        <w:t>The SBSTA requested the secretariat to utilize the submissions referred to in paragraph 15(b)(ii) above to inform the 11</w:t>
      </w:r>
      <w:r w:rsidR="003E4382" w:rsidRPr="00415C95">
        <w:rPr>
          <w:vertAlign w:val="superscript"/>
          <w:lang w:val="en-US"/>
        </w:rPr>
        <w:t>th</w:t>
      </w:r>
      <w:r w:rsidR="003E4382" w:rsidRPr="00415C95">
        <w:rPr>
          <w:lang w:val="en-US"/>
        </w:rPr>
        <w:t xml:space="preserve"> Focal Point Forum, to be held in conjunction with SBSTA 47 (November 2017);</w:t>
      </w:r>
    </w:p>
    <w:p w14:paraId="39CE6E2A" w14:textId="09A1102E" w:rsidR="003E4382" w:rsidRPr="00415C95" w:rsidRDefault="00F83E99" w:rsidP="00F83E99">
      <w:pPr>
        <w:pStyle w:val="RegSingleTxtG"/>
        <w:numPr>
          <w:ilvl w:val="0"/>
          <w:numId w:val="0"/>
        </w:numPr>
        <w:tabs>
          <w:tab w:val="left" w:pos="2269"/>
        </w:tabs>
        <w:ind w:left="1702"/>
        <w:rPr>
          <w:lang w:val="en-US"/>
        </w:rPr>
      </w:pPr>
      <w:r w:rsidRPr="00415C95">
        <w:rPr>
          <w:lang w:val="en-US"/>
        </w:rPr>
        <w:t>(iv)</w:t>
      </w:r>
      <w:r w:rsidRPr="00415C95">
        <w:rPr>
          <w:lang w:val="en-US"/>
        </w:rPr>
        <w:tab/>
      </w:r>
      <w:r w:rsidR="003E4382" w:rsidRPr="00415C95">
        <w:rPr>
          <w:lang w:val="en-US"/>
        </w:rPr>
        <w:t>The SBSTA also requested the secretariat to organize the 11</w:t>
      </w:r>
      <w:r w:rsidR="003E4382" w:rsidRPr="00415C95">
        <w:rPr>
          <w:vertAlign w:val="superscript"/>
          <w:lang w:val="en-US"/>
        </w:rPr>
        <w:t>th</w:t>
      </w:r>
      <w:r w:rsidR="003E4382" w:rsidRPr="00415C95">
        <w:rPr>
          <w:lang w:val="en-US"/>
        </w:rPr>
        <w:t xml:space="preserve"> Focal Point Forum around the topic of human settlements and adaptation, featuring speakers from local and municipal governments and Parties and relevant organizations;</w:t>
      </w:r>
    </w:p>
    <w:p w14:paraId="3F650571" w14:textId="6FD997CA" w:rsidR="003E4382" w:rsidRPr="009E5EFD" w:rsidRDefault="00F83E99" w:rsidP="00F83E99">
      <w:pPr>
        <w:pStyle w:val="RegSingleTxtG"/>
        <w:numPr>
          <w:ilvl w:val="0"/>
          <w:numId w:val="0"/>
        </w:numPr>
        <w:tabs>
          <w:tab w:val="left" w:pos="2269"/>
        </w:tabs>
        <w:ind w:left="1702"/>
      </w:pPr>
      <w:r w:rsidRPr="009E5EFD">
        <w:t>(v)</w:t>
      </w:r>
      <w:r w:rsidRPr="009E5EFD">
        <w:tab/>
      </w:r>
      <w:r w:rsidR="003E4382" w:rsidRPr="00415C95">
        <w:rPr>
          <w:lang w:val="en-US"/>
        </w:rPr>
        <w:t>The SBSTA further requested the secretariat to prepare a report synthesizing the submissions referred to in paragraph 15(b)(ii) above</w:t>
      </w:r>
      <w:r w:rsidR="003E4382" w:rsidRPr="009E5EFD">
        <w:rPr>
          <w:lang w:val="en-US"/>
        </w:rPr>
        <w:t xml:space="preserve"> and the topics discussed at the 11</w:t>
      </w:r>
      <w:r w:rsidR="003E4382" w:rsidRPr="009E5EFD">
        <w:rPr>
          <w:vertAlign w:val="superscript"/>
          <w:lang w:val="en-US"/>
        </w:rPr>
        <w:t>th</w:t>
      </w:r>
      <w:r w:rsidR="003E4382" w:rsidRPr="009E5EFD">
        <w:rPr>
          <w:lang w:val="en-US"/>
        </w:rPr>
        <w:t xml:space="preserve"> Focal Point Forum for consideration at SBSTA 48 (April–May 2018);</w:t>
      </w:r>
    </w:p>
    <w:p w14:paraId="218EA522" w14:textId="5B5BE7D4" w:rsidR="003E4382" w:rsidRPr="009E5EFD" w:rsidRDefault="00F83E99" w:rsidP="00F83E99">
      <w:pPr>
        <w:pStyle w:val="RegSingleTxtG"/>
        <w:numPr>
          <w:ilvl w:val="0"/>
          <w:numId w:val="0"/>
        </w:numPr>
        <w:tabs>
          <w:tab w:val="left" w:pos="2269"/>
        </w:tabs>
        <w:ind w:left="1135" w:firstLine="567"/>
      </w:pPr>
      <w:r w:rsidRPr="009E5EFD">
        <w:t>(c)</w:t>
      </w:r>
      <w:r w:rsidRPr="009E5EFD">
        <w:tab/>
      </w:r>
      <w:r w:rsidR="003E4382" w:rsidRPr="009E5EFD">
        <w:rPr>
          <w:rFonts w:eastAsia="Times New Roman"/>
          <w:lang w:val="en-US" w:eastAsia="en-GB"/>
        </w:rPr>
        <w:t>On ecosystems and water resources:</w:t>
      </w:r>
    </w:p>
    <w:p w14:paraId="7861BE19" w14:textId="226D6F84" w:rsidR="003E4382" w:rsidRPr="009E5EFD" w:rsidRDefault="00F83E99" w:rsidP="00F83E99">
      <w:pPr>
        <w:pStyle w:val="RegSingleTxtG"/>
        <w:numPr>
          <w:ilvl w:val="0"/>
          <w:numId w:val="0"/>
        </w:numPr>
        <w:tabs>
          <w:tab w:val="left" w:pos="2269"/>
        </w:tabs>
        <w:ind w:left="1702"/>
      </w:pPr>
      <w:r w:rsidRPr="009E5EFD">
        <w:t>(i)</w:t>
      </w:r>
      <w:r w:rsidRPr="009E5EFD">
        <w:tab/>
      </w:r>
      <w:r w:rsidR="003E4382" w:rsidRPr="009E5EFD">
        <w:rPr>
          <w:rFonts w:eastAsia="Times New Roman"/>
          <w:lang w:val="en-US" w:eastAsia="en-GB"/>
        </w:rPr>
        <w:t xml:space="preserve">The SBSTA invited Parties, NWP partner organizations and other relevant organizations to submit, by 25 January 2017, information on: lessons learned and good </w:t>
      </w:r>
      <w:r w:rsidR="003E4382" w:rsidRPr="009E5EFD">
        <w:t xml:space="preserve">practices in relation to adaptation planning processes that address ecosystems and interrelated areas such as water resources; lessons learned and good practices in monitoring and evaluating the implementation of ecosystem-based adaptation; and </w:t>
      </w:r>
      <w:r w:rsidR="003E4382" w:rsidRPr="009E5EFD">
        <w:lastRenderedPageBreak/>
        <w:t>tools for assessing the benefits of mitigation and adaptation to enhancing resilience and emission reductions that ecosystem-based adaptation provides;</w:t>
      </w:r>
      <w:r w:rsidR="003E4382" w:rsidRPr="009E5EFD">
        <w:rPr>
          <w:rStyle w:val="FootnoteReference"/>
        </w:rPr>
        <w:footnoteReference w:id="14"/>
      </w:r>
    </w:p>
    <w:p w14:paraId="58C6C07D" w14:textId="4A365BD2" w:rsidR="003E4382" w:rsidRPr="00415C95" w:rsidRDefault="00F83E99" w:rsidP="00F83E99">
      <w:pPr>
        <w:pStyle w:val="RegSingleTxtG"/>
        <w:numPr>
          <w:ilvl w:val="0"/>
          <w:numId w:val="0"/>
        </w:numPr>
        <w:tabs>
          <w:tab w:val="left" w:pos="2269"/>
        </w:tabs>
        <w:ind w:left="1702"/>
      </w:pPr>
      <w:r w:rsidRPr="00415C95">
        <w:t>(ii)</w:t>
      </w:r>
      <w:r w:rsidRPr="00415C95">
        <w:tab/>
      </w:r>
      <w:r w:rsidR="003E4382" w:rsidRPr="00415C95">
        <w:t>The SBSTA requested the secretariat, in collaboration with relevant NWP partner organizations, to prepare a report synthesizing the submissions referred to in paragraph 15(c)(i) above for consideration at SBSTA 46;</w:t>
      </w:r>
    </w:p>
    <w:p w14:paraId="5BD35B8B" w14:textId="6EDA5D33" w:rsidR="003E4382" w:rsidRPr="00415C95" w:rsidRDefault="00F83E99" w:rsidP="00F83E99">
      <w:pPr>
        <w:pStyle w:val="RegSingleTxtG"/>
        <w:numPr>
          <w:ilvl w:val="0"/>
          <w:numId w:val="0"/>
        </w:numPr>
        <w:tabs>
          <w:tab w:val="left" w:pos="2269"/>
        </w:tabs>
        <w:ind w:left="1135" w:firstLine="567"/>
      </w:pPr>
      <w:r w:rsidRPr="00415C95">
        <w:t>(d)</w:t>
      </w:r>
      <w:r w:rsidRPr="00415C95">
        <w:tab/>
      </w:r>
      <w:r w:rsidR="003E4382" w:rsidRPr="00415C95">
        <w:t>On economic diversification:</w:t>
      </w:r>
    </w:p>
    <w:p w14:paraId="566BBF0F" w14:textId="5E86A7A5" w:rsidR="003E4382" w:rsidRPr="00415C95" w:rsidRDefault="00F83E99" w:rsidP="00F83E99">
      <w:pPr>
        <w:pStyle w:val="RegSingleTxtG"/>
        <w:numPr>
          <w:ilvl w:val="0"/>
          <w:numId w:val="0"/>
        </w:numPr>
        <w:tabs>
          <w:tab w:val="left" w:pos="2269"/>
        </w:tabs>
        <w:ind w:left="1702"/>
      </w:pPr>
      <w:r w:rsidRPr="00415C95">
        <w:t>(i)</w:t>
      </w:r>
      <w:r w:rsidRPr="00415C95">
        <w:tab/>
      </w:r>
      <w:r w:rsidR="003E4382" w:rsidRPr="00415C95">
        <w:rPr>
          <w:rFonts w:eastAsia="Times New Roman"/>
          <w:lang w:val="en-US" w:eastAsia="en-GB"/>
        </w:rPr>
        <w:t>The</w:t>
      </w:r>
      <w:r w:rsidR="003E4382" w:rsidRPr="00415C95">
        <w:t xml:space="preserve"> SBSTA invited Parties and NWP partner organizations and other relevant organizations to submit, by 20 September 2017, information on lessons learned and good practices in relation to adaptation actions and plans that could enhance economic diversification and have mitigation co-benefits;</w:t>
      </w:r>
      <w:r w:rsidR="003E4382" w:rsidRPr="00415C95">
        <w:rPr>
          <w:rStyle w:val="FootnoteReference"/>
        </w:rPr>
        <w:footnoteReference w:id="15"/>
      </w:r>
    </w:p>
    <w:p w14:paraId="7E8D7AF0" w14:textId="23AA7CE8" w:rsidR="003E4382" w:rsidRPr="00415C95" w:rsidRDefault="00F83E99" w:rsidP="00F83E99">
      <w:pPr>
        <w:pStyle w:val="RegSingleTxtG"/>
        <w:numPr>
          <w:ilvl w:val="0"/>
          <w:numId w:val="0"/>
        </w:numPr>
        <w:tabs>
          <w:tab w:val="left" w:pos="2269"/>
        </w:tabs>
        <w:ind w:left="1702"/>
      </w:pPr>
      <w:r w:rsidRPr="00415C95">
        <w:t>(ii)</w:t>
      </w:r>
      <w:r w:rsidRPr="00415C95">
        <w:tab/>
      </w:r>
      <w:r w:rsidR="003E4382" w:rsidRPr="00415C95">
        <w:t>The SBSTA requested the secretariat to compile all submissions referred to in paragraph 15(d)(i) above into a miscellaneous document for consideration at SBSTA 47.</w:t>
      </w:r>
    </w:p>
    <w:p w14:paraId="14B236E3" w14:textId="1A074338" w:rsidR="003E4382" w:rsidRPr="00415C95" w:rsidRDefault="00F83E99" w:rsidP="00F83E99">
      <w:pPr>
        <w:pStyle w:val="RegSingleTxtG"/>
        <w:numPr>
          <w:ilvl w:val="0"/>
          <w:numId w:val="0"/>
        </w:numPr>
        <w:tabs>
          <w:tab w:val="left" w:pos="568"/>
        </w:tabs>
        <w:ind w:left="1135"/>
      </w:pPr>
      <w:r w:rsidRPr="00415C95">
        <w:t>16.</w:t>
      </w:r>
      <w:r w:rsidRPr="00415C95">
        <w:tab/>
      </w:r>
      <w:r w:rsidR="003E4382" w:rsidRPr="00415C95">
        <w:t>The SBSTA welcomed the activities recommended by the AC and the LEG to be undertaken under the NWP, in response to an invitation from the Chair of the SBSTA,</w:t>
      </w:r>
      <w:r w:rsidR="003E4382" w:rsidRPr="00415C95">
        <w:rPr>
          <w:rStyle w:val="FootnoteReference"/>
        </w:rPr>
        <w:footnoteReference w:id="16"/>
      </w:r>
      <w:r w:rsidR="003E4382" w:rsidRPr="00415C95">
        <w:t xml:space="preserve"> and requested the secretariat to undertake those activities under the guidance of the Chair of the SBSTA. It noted that the activities will strengthen the role of the NWP in providing knowledge support to the work of the AC and the LEG.</w:t>
      </w:r>
    </w:p>
    <w:p w14:paraId="13F052F2" w14:textId="75535C42" w:rsidR="003E4382" w:rsidRPr="009E5EFD" w:rsidRDefault="00F83E99" w:rsidP="00F83E99">
      <w:pPr>
        <w:pStyle w:val="RegSingleTxtG"/>
        <w:numPr>
          <w:ilvl w:val="0"/>
          <w:numId w:val="0"/>
        </w:numPr>
        <w:tabs>
          <w:tab w:val="left" w:pos="568"/>
        </w:tabs>
        <w:ind w:left="1135"/>
      </w:pPr>
      <w:r w:rsidRPr="009E5EFD">
        <w:t>17.</w:t>
      </w:r>
      <w:r w:rsidRPr="009E5EFD">
        <w:tab/>
      </w:r>
      <w:r w:rsidR="003E4382" w:rsidRPr="00415C95">
        <w:t>The SBSTA also noted that the activities referred to in paragraph 16 above</w:t>
      </w:r>
      <w:r w:rsidR="003E4382" w:rsidRPr="009E5EFD">
        <w:t xml:space="preserve"> will strengthen the role of the NWP in supporting the process to formulate and implement NAPs.</w:t>
      </w:r>
    </w:p>
    <w:p w14:paraId="05AAD566" w14:textId="1E81D19E" w:rsidR="003E4382" w:rsidRPr="009E5EFD" w:rsidRDefault="00F83E99" w:rsidP="00F83E99">
      <w:pPr>
        <w:pStyle w:val="RegSingleTxtG"/>
        <w:numPr>
          <w:ilvl w:val="0"/>
          <w:numId w:val="0"/>
        </w:numPr>
        <w:tabs>
          <w:tab w:val="left" w:pos="568"/>
        </w:tabs>
        <w:ind w:left="1135"/>
      </w:pPr>
      <w:r w:rsidRPr="009E5EFD">
        <w:t>18.</w:t>
      </w:r>
      <w:r w:rsidRPr="009E5EFD">
        <w:tab/>
      </w:r>
      <w:r w:rsidR="003E4382" w:rsidRPr="009E5EFD">
        <w:t xml:space="preserve">The SBSTA invited NWP partner organizations and other relevant organizations, including the IPCC, to submit to the secretariat, by 20 September 2017, information on indicators of adaptation and resilience at the national and/or local level or for </w:t>
      </w:r>
      <w:r w:rsidR="003E4382" w:rsidRPr="00796BA4">
        <w:t>specific sectors.</w:t>
      </w:r>
      <w:r w:rsidR="003E4382" w:rsidRPr="00796BA4">
        <w:rPr>
          <w:rStyle w:val="FootnoteReference"/>
        </w:rPr>
        <w:footnoteReference w:id="17"/>
      </w:r>
      <w:r w:rsidR="003E4382" w:rsidRPr="00796BA4">
        <w:t xml:space="preserve"> The SBSTA requested the secretariat </w:t>
      </w:r>
      <w:r w:rsidR="003E4382" w:rsidRPr="00796BA4">
        <w:rPr>
          <w:lang w:val="en-US"/>
        </w:rPr>
        <w:t>to utilize those submissions</w:t>
      </w:r>
      <w:r w:rsidR="003E4382" w:rsidRPr="00796BA4">
        <w:t xml:space="preserve"> to inform the meeting that the AC agreed to convene in 2018 for exchanging views on national adaptation goals and indicators and how they relate to goals and indicators for sustainable development and disaster risk reduction in the context of the Sendai Framework for Disaster Risk Reduction 2015–2030.</w:t>
      </w:r>
      <w:r w:rsidR="003E4382" w:rsidRPr="00796BA4">
        <w:rPr>
          <w:rStyle w:val="FootnoteReference"/>
        </w:rPr>
        <w:footnoteReference w:id="18"/>
      </w:r>
      <w:r w:rsidR="003E4382" w:rsidRPr="00796BA4">
        <w:t xml:space="preserve"> The SBSTA invited the AC and the LEG to consider the submissions so as to inform their work on</w:t>
      </w:r>
      <w:r w:rsidR="003E4382" w:rsidRPr="009E5EFD">
        <w:t xml:space="preserve"> reviewing the effectiveness and adequacy of adaptation.</w:t>
      </w:r>
    </w:p>
    <w:p w14:paraId="05C96879" w14:textId="182D577B" w:rsidR="003E4382" w:rsidRPr="009E5EFD" w:rsidRDefault="00F83E99" w:rsidP="00F83E99">
      <w:pPr>
        <w:pStyle w:val="RegSingleTxtG"/>
        <w:numPr>
          <w:ilvl w:val="0"/>
          <w:numId w:val="0"/>
        </w:numPr>
        <w:tabs>
          <w:tab w:val="left" w:pos="568"/>
        </w:tabs>
        <w:ind w:left="1135"/>
      </w:pPr>
      <w:r w:rsidRPr="009E5EFD">
        <w:t>19.</w:t>
      </w:r>
      <w:r w:rsidRPr="009E5EFD">
        <w:tab/>
      </w:r>
      <w:r w:rsidR="003E4382" w:rsidRPr="009E5EFD">
        <w:t>The SBSTA recognized that there is a role for the NWP in addressing knowledge gaps that are barriers to adaptation actions at the national and subnational levels. It requested the secretariat to foster collaboration among, inter alia, policymakers</w:t>
      </w:r>
      <w:r w:rsidR="00AC03C6">
        <w:t>;</w:t>
      </w:r>
      <w:r w:rsidR="003E4382" w:rsidRPr="009E5EFD">
        <w:t xml:space="preserve"> research and scientific communities, including the IPCC</w:t>
      </w:r>
      <w:r w:rsidR="00AC03C6">
        <w:t>;</w:t>
      </w:r>
      <w:r w:rsidR="003E4382" w:rsidRPr="009E5EFD">
        <w:t xml:space="preserve"> practitioners and financial institutions so as to contribute to closing adaptation knowledge gaps at the national and subnational levels.</w:t>
      </w:r>
    </w:p>
    <w:p w14:paraId="1AB9A933" w14:textId="0A66789A" w:rsidR="003E4382" w:rsidRPr="009E5EFD" w:rsidRDefault="00F83E99" w:rsidP="00F83E99">
      <w:pPr>
        <w:pStyle w:val="RegSingleTxtG"/>
        <w:numPr>
          <w:ilvl w:val="0"/>
          <w:numId w:val="0"/>
        </w:numPr>
        <w:tabs>
          <w:tab w:val="left" w:pos="568"/>
        </w:tabs>
        <w:ind w:left="1135"/>
      </w:pPr>
      <w:r w:rsidRPr="009E5EFD">
        <w:t>20.</w:t>
      </w:r>
      <w:r w:rsidRPr="009E5EFD">
        <w:tab/>
      </w:r>
      <w:r w:rsidR="003E4382" w:rsidRPr="009E5EFD">
        <w:rPr>
          <w:rFonts w:eastAsia="Times New Roman"/>
          <w:lang w:val="en-US" w:eastAsia="en-GB"/>
        </w:rPr>
        <w:t xml:space="preserve">The SBSTA considered ways to enhance the effectiveness of the modalities of the NWP, including ways to </w:t>
      </w:r>
      <w:r w:rsidR="003E4382" w:rsidRPr="009E5EFD">
        <w:t>enhance the dissemination of knowledge generated under the NWP and improve learning to scale up adaptation actions at all levels.</w:t>
      </w:r>
      <w:r w:rsidR="003E4382" w:rsidRPr="009E5EFD">
        <w:rPr>
          <w:rFonts w:eastAsia="Times New Roman"/>
          <w:lang w:val="en-US" w:eastAsia="en-GB"/>
        </w:rPr>
        <w:t xml:space="preserve"> It concluded that the following actions, among others, would be carried out under the guidance of the Chair of the SBSTA and with the support of the secretariat:</w:t>
      </w:r>
    </w:p>
    <w:p w14:paraId="5F9CC8B1" w14:textId="46D23C77" w:rsidR="003E4382" w:rsidRPr="009E5EFD" w:rsidRDefault="00F83E99" w:rsidP="00F83E99">
      <w:pPr>
        <w:pStyle w:val="RegSingleTxtG"/>
        <w:numPr>
          <w:ilvl w:val="0"/>
          <w:numId w:val="0"/>
        </w:numPr>
        <w:tabs>
          <w:tab w:val="left" w:pos="2269"/>
        </w:tabs>
        <w:ind w:left="1135" w:firstLine="567"/>
        <w:rPr>
          <w:rFonts w:eastAsia="Times New Roman"/>
          <w:lang w:val="en-US" w:eastAsia="en-GB"/>
        </w:rPr>
      </w:pPr>
      <w:r w:rsidRPr="009E5EFD">
        <w:rPr>
          <w:rFonts w:eastAsia="Times New Roman"/>
          <w:lang w:val="en-US" w:eastAsia="en-GB"/>
        </w:rPr>
        <w:lastRenderedPageBreak/>
        <w:t>(a)</w:t>
      </w:r>
      <w:r w:rsidRPr="009E5EFD">
        <w:rPr>
          <w:rFonts w:eastAsia="Times New Roman"/>
          <w:lang w:val="en-US" w:eastAsia="en-GB"/>
        </w:rPr>
        <w:tab/>
      </w:r>
      <w:r w:rsidR="003E4382" w:rsidRPr="009E5EFD">
        <w:t xml:space="preserve">Strengthening the engagement of existing NWP partner organizations and developing new partnerships, including with local and municipal governments, the private sector, scientific organizations, academia, organizations representing indigenous and traditional communities, spiritual and religious groups, gender constituencies, youth organizations and </w:t>
      </w:r>
      <w:r w:rsidR="00B05F82">
        <w:t xml:space="preserve">the </w:t>
      </w:r>
      <w:r w:rsidR="003E4382" w:rsidRPr="009E5EFD">
        <w:t>mass media;</w:t>
      </w:r>
    </w:p>
    <w:p w14:paraId="1CCC0CDD" w14:textId="491F0A12" w:rsidR="003E4382" w:rsidRPr="009E5EFD" w:rsidRDefault="00F83E99" w:rsidP="00F83E99">
      <w:pPr>
        <w:pStyle w:val="RegSingleTxtG"/>
        <w:numPr>
          <w:ilvl w:val="0"/>
          <w:numId w:val="0"/>
        </w:numPr>
        <w:tabs>
          <w:tab w:val="left" w:pos="2269"/>
        </w:tabs>
        <w:ind w:left="1135" w:firstLine="567"/>
      </w:pPr>
      <w:r w:rsidRPr="009E5EFD">
        <w:t>(b)</w:t>
      </w:r>
      <w:r w:rsidRPr="009E5EFD">
        <w:tab/>
      </w:r>
      <w:r w:rsidR="003E4382" w:rsidRPr="009E5EFD">
        <w:t xml:space="preserve">Improving access to and usability of knowledge for end users, including through the adaptation knowledge portal, for example by linking the adaptation knowledge portal with other knowledge platforms, as appropriate; </w:t>
      </w:r>
    </w:p>
    <w:p w14:paraId="5B16369A" w14:textId="7864ABC8" w:rsidR="003E4382" w:rsidRPr="009E5EFD" w:rsidRDefault="00F83E99" w:rsidP="00F83E99">
      <w:pPr>
        <w:pStyle w:val="RegSingleTxtG"/>
        <w:numPr>
          <w:ilvl w:val="0"/>
          <w:numId w:val="0"/>
        </w:numPr>
        <w:tabs>
          <w:tab w:val="left" w:pos="2269"/>
        </w:tabs>
        <w:ind w:left="1135" w:firstLine="567"/>
      </w:pPr>
      <w:r w:rsidRPr="009E5EFD">
        <w:t>(c)</w:t>
      </w:r>
      <w:r w:rsidRPr="009E5EFD">
        <w:tab/>
      </w:r>
      <w:r w:rsidR="003E4382" w:rsidRPr="009E5EFD">
        <w:t>Enhancing the participation of the UNFCCC national focal points in meetings, workshops and other relevant activities under the NWP, and their role in the dissemination of knowledge outputs</w:t>
      </w:r>
      <w:r w:rsidR="00B05F82">
        <w:t>,</w:t>
      </w:r>
      <w:r w:rsidR="003E4382" w:rsidRPr="009E5EFD">
        <w:t xml:space="preserve"> generated under the NWP</w:t>
      </w:r>
      <w:r w:rsidR="00B05F82">
        <w:t>,</w:t>
      </w:r>
      <w:r w:rsidR="003E4382" w:rsidRPr="009E5EFD">
        <w:t xml:space="preserve"> to countries, including through the adaptation knowledge portal;</w:t>
      </w:r>
    </w:p>
    <w:p w14:paraId="7E39943F" w14:textId="53B24096" w:rsidR="003E4382" w:rsidRPr="00415C95" w:rsidRDefault="00F83E99" w:rsidP="00F83E99">
      <w:pPr>
        <w:pStyle w:val="RegSingleTxtG"/>
        <w:numPr>
          <w:ilvl w:val="0"/>
          <w:numId w:val="0"/>
        </w:numPr>
        <w:tabs>
          <w:tab w:val="left" w:pos="2269"/>
        </w:tabs>
        <w:ind w:left="1135" w:firstLine="567"/>
      </w:pPr>
      <w:r w:rsidRPr="00415C95">
        <w:t>(d)</w:t>
      </w:r>
      <w:r w:rsidRPr="00415C95">
        <w:tab/>
      </w:r>
      <w:r w:rsidR="003E4382" w:rsidRPr="00415C95">
        <w:t>Engaging regional centres and networks in undertaking knowledge-sharing and training activities and disseminating the outcomes at the regional, national and subnational levels, including the outcomes of the activities referred to in paragraphs 15 and 16 above;</w:t>
      </w:r>
    </w:p>
    <w:p w14:paraId="01F94115" w14:textId="320061BC" w:rsidR="003E4382" w:rsidRPr="00415C95" w:rsidRDefault="00F83E99" w:rsidP="00F83E99">
      <w:pPr>
        <w:pStyle w:val="RegSingleTxtG"/>
        <w:numPr>
          <w:ilvl w:val="0"/>
          <w:numId w:val="0"/>
        </w:numPr>
        <w:tabs>
          <w:tab w:val="left" w:pos="2269"/>
        </w:tabs>
        <w:ind w:left="1135" w:firstLine="567"/>
      </w:pPr>
      <w:r w:rsidRPr="00415C95">
        <w:t>(e)</w:t>
      </w:r>
      <w:r w:rsidRPr="00415C95">
        <w:tab/>
      </w:r>
      <w:r w:rsidR="003E4382" w:rsidRPr="00415C95">
        <w:t>Communicating (e.g. via webinar, as appropriate) with NWP partner organizations and other relevant organizations on the process to formulate and implement NAPs in collaboration with the AC and the LEG;</w:t>
      </w:r>
    </w:p>
    <w:p w14:paraId="52427069" w14:textId="2FF0552D" w:rsidR="003E4382" w:rsidRPr="00415C95" w:rsidRDefault="00F83E99" w:rsidP="00F83E99">
      <w:pPr>
        <w:pStyle w:val="RegSingleTxtG"/>
        <w:numPr>
          <w:ilvl w:val="0"/>
          <w:numId w:val="0"/>
        </w:numPr>
        <w:tabs>
          <w:tab w:val="left" w:pos="2269"/>
        </w:tabs>
        <w:ind w:left="1135" w:firstLine="567"/>
      </w:pPr>
      <w:r w:rsidRPr="00415C95">
        <w:t>(f)</w:t>
      </w:r>
      <w:r w:rsidRPr="00415C95">
        <w:tab/>
      </w:r>
      <w:r w:rsidR="003E4382" w:rsidRPr="00415C95">
        <w:t>Improving the consideration of gender issues and the inclusion of traditional knowledge, knowledge of indigenous peoples and local knowledge systems in tools and methods for adaptation planning processes.</w:t>
      </w:r>
    </w:p>
    <w:p w14:paraId="59DF454F" w14:textId="68E99339" w:rsidR="003E4382" w:rsidRPr="00415C95" w:rsidRDefault="00F83E99" w:rsidP="00F83E99">
      <w:pPr>
        <w:pStyle w:val="RegSingleTxtG"/>
        <w:numPr>
          <w:ilvl w:val="0"/>
          <w:numId w:val="0"/>
        </w:numPr>
        <w:tabs>
          <w:tab w:val="left" w:pos="568"/>
        </w:tabs>
        <w:ind w:left="1135"/>
      </w:pPr>
      <w:bookmarkStart w:id="76" w:name="_Ref452990650"/>
      <w:r w:rsidRPr="00415C95">
        <w:t>21.</w:t>
      </w:r>
      <w:r w:rsidRPr="00415C95">
        <w:tab/>
      </w:r>
      <w:r w:rsidR="003E4382" w:rsidRPr="00415C95">
        <w:rPr>
          <w:lang w:val="en-US" w:eastAsia="en-GB"/>
        </w:rPr>
        <w:t>The SBSTA took note of the estimated budgetary implications of the activities to be undertaken by the secretariat r</w:t>
      </w:r>
      <w:r w:rsidR="00214D00">
        <w:rPr>
          <w:lang w:val="en-US" w:eastAsia="en-GB"/>
        </w:rPr>
        <w:t>eferred to in paragraphs 15, 16</w:t>
      </w:r>
      <w:r w:rsidR="003E4382" w:rsidRPr="00415C95">
        <w:rPr>
          <w:lang w:val="en-US" w:eastAsia="en-GB"/>
        </w:rPr>
        <w:t xml:space="preserve"> </w:t>
      </w:r>
      <w:r w:rsidR="00B05F82" w:rsidRPr="00415C95">
        <w:rPr>
          <w:lang w:val="en-US" w:eastAsia="en-GB"/>
        </w:rPr>
        <w:t xml:space="preserve">and </w:t>
      </w:r>
      <w:r w:rsidR="003E4382" w:rsidRPr="00415C95">
        <w:rPr>
          <w:lang w:val="en-US" w:eastAsia="en-GB"/>
        </w:rPr>
        <w:t>18</w:t>
      </w:r>
      <w:r w:rsidR="00B05F82" w:rsidRPr="00415C95">
        <w:rPr>
          <w:lang w:val="en-US" w:eastAsia="en-GB"/>
        </w:rPr>
        <w:t>–</w:t>
      </w:r>
      <w:r w:rsidR="003E4382" w:rsidRPr="00415C95">
        <w:rPr>
          <w:lang w:val="en-US" w:eastAsia="en-GB"/>
        </w:rPr>
        <w:t xml:space="preserve">20 above. </w:t>
      </w:r>
      <w:r w:rsidR="003E4382" w:rsidRPr="00415C95">
        <w:rPr>
          <w:rFonts w:eastAsia="Times New Roman"/>
          <w:lang w:val="en-US" w:eastAsia="en-GB"/>
        </w:rPr>
        <w:t>It requested that the actions of the secretariat called for in these conclusions be undertaken subject to the availability of financial resources.</w:t>
      </w:r>
      <w:bookmarkEnd w:id="76"/>
    </w:p>
    <w:p w14:paraId="6572DE62" w14:textId="712863AA" w:rsidR="003E4382" w:rsidRDefault="00F83E99" w:rsidP="00F83E99">
      <w:pPr>
        <w:pStyle w:val="RegHChG"/>
        <w:numPr>
          <w:ilvl w:val="0"/>
          <w:numId w:val="0"/>
        </w:numPr>
        <w:tabs>
          <w:tab w:val="left" w:pos="1135"/>
        </w:tabs>
        <w:ind w:left="1135" w:hanging="454"/>
      </w:pPr>
      <w:bookmarkStart w:id="77" w:name="_Toc437266315"/>
      <w:bookmarkStart w:id="78" w:name="_Toc452991186"/>
      <w:bookmarkStart w:id="79" w:name="_Toc452994336"/>
      <w:bookmarkStart w:id="80" w:name="_Toc453077364"/>
      <w:bookmarkStart w:id="81" w:name="_Toc391892173"/>
      <w:bookmarkStart w:id="82" w:name="_Toc391892357"/>
      <w:r>
        <w:t>IV.</w:t>
      </w:r>
      <w:r>
        <w:tab/>
      </w:r>
      <w:r w:rsidR="003E4382" w:rsidRPr="00451764">
        <w:t>Technology framework under Article 10, paragraph 4, of the Paris Agreement</w:t>
      </w:r>
      <w:r w:rsidR="003E4382">
        <w:br/>
      </w:r>
      <w:r w:rsidR="003E4382" w:rsidRPr="00DA2A5C">
        <w:rPr>
          <w:b w:val="0"/>
          <w:sz w:val="20"/>
        </w:rPr>
        <w:t>(Agenda item 4)</w:t>
      </w:r>
      <w:bookmarkEnd w:id="77"/>
      <w:bookmarkEnd w:id="78"/>
      <w:bookmarkEnd w:id="79"/>
      <w:bookmarkEnd w:id="80"/>
    </w:p>
    <w:p w14:paraId="02CA4B05" w14:textId="06E3EDD9" w:rsidR="003E4382" w:rsidRPr="00C42590" w:rsidRDefault="00F83E99" w:rsidP="00F83E99">
      <w:pPr>
        <w:pStyle w:val="RegH23G"/>
        <w:numPr>
          <w:ilvl w:val="0"/>
          <w:numId w:val="0"/>
        </w:numPr>
        <w:tabs>
          <w:tab w:val="left" w:pos="1135"/>
        </w:tabs>
        <w:ind w:left="1135" w:hanging="454"/>
        <w:rPr>
          <w:b w:val="0"/>
        </w:rPr>
      </w:pPr>
      <w:r w:rsidRPr="00C42590">
        <w:rPr>
          <w:bCs/>
        </w:rPr>
        <w:t>1.</w:t>
      </w:r>
      <w:r w:rsidRPr="00C42590">
        <w:rPr>
          <w:bCs/>
        </w:rPr>
        <w:tab/>
      </w:r>
      <w:r w:rsidR="003E4382" w:rsidRPr="00C42590">
        <w:t>Proceedings</w:t>
      </w:r>
    </w:p>
    <w:p w14:paraId="25ACA422" w14:textId="68FB2C6B" w:rsidR="003E4382" w:rsidRDefault="00F83E99" w:rsidP="00F83E99">
      <w:pPr>
        <w:pStyle w:val="RegSingleTxtG"/>
        <w:numPr>
          <w:ilvl w:val="0"/>
          <w:numId w:val="0"/>
        </w:numPr>
        <w:tabs>
          <w:tab w:val="left" w:pos="2127"/>
        </w:tabs>
        <w:ind w:left="1134"/>
      </w:pPr>
      <w:bookmarkStart w:id="83" w:name="_Ref453072961"/>
      <w:r>
        <w:t>22.</w:t>
      </w:r>
      <w:r>
        <w:tab/>
      </w:r>
      <w:r w:rsidR="003E4382" w:rsidRPr="00865CD7">
        <w:t xml:space="preserve">The SBSTA considered this agenda </w:t>
      </w:r>
      <w:r w:rsidR="003E4382" w:rsidRPr="0086382D">
        <w:t>item at its 1</w:t>
      </w:r>
      <w:r w:rsidR="003E4382" w:rsidRPr="00FD05D7">
        <w:rPr>
          <w:vertAlign w:val="superscript"/>
        </w:rPr>
        <w:t>st</w:t>
      </w:r>
      <w:r w:rsidR="003E4382" w:rsidRPr="0086382D">
        <w:t xml:space="preserve"> and 2</w:t>
      </w:r>
      <w:r w:rsidR="003E4382" w:rsidRPr="00FD05D7">
        <w:rPr>
          <w:vertAlign w:val="superscript"/>
        </w:rPr>
        <w:t>nd</w:t>
      </w:r>
      <w:r w:rsidR="003E4382" w:rsidRPr="0086382D">
        <w:t xml:space="preserve"> meetings. At </w:t>
      </w:r>
      <w:r w:rsidR="003E4382">
        <w:t>its 1</w:t>
      </w:r>
      <w:r w:rsidR="003E4382" w:rsidRPr="003F25BE">
        <w:rPr>
          <w:vertAlign w:val="superscript"/>
        </w:rPr>
        <w:t>st</w:t>
      </w:r>
      <w:r w:rsidR="003E4382">
        <w:t xml:space="preserve"> meeting</w:t>
      </w:r>
      <w:r w:rsidR="003E4382" w:rsidRPr="0086382D">
        <w:t xml:space="preserve">, the SBSTA agreed to consider this agenda </w:t>
      </w:r>
      <w:r w:rsidR="003E4382">
        <w:t>item</w:t>
      </w:r>
      <w:r w:rsidR="003E4382" w:rsidRPr="0086382D">
        <w:t xml:space="preserve"> </w:t>
      </w:r>
      <w:r w:rsidR="003E4382" w:rsidRPr="0058480B">
        <w:t>in informal consultations co-facilitated by M</w:t>
      </w:r>
      <w:r w:rsidR="003E4382">
        <w:t>s. Gabriela Fischerova (Slovakia)</w:t>
      </w:r>
      <w:r w:rsidR="003E4382" w:rsidRPr="0058480B">
        <w:t xml:space="preserve"> and M</w:t>
      </w:r>
      <w:r w:rsidR="003E4382">
        <w:t>r</w:t>
      </w:r>
      <w:r w:rsidR="003E4382" w:rsidRPr="0058480B">
        <w:t xml:space="preserve">. </w:t>
      </w:r>
      <w:r w:rsidR="003E4382">
        <w:t>Kishan Kumarsingh</w:t>
      </w:r>
      <w:r w:rsidR="003E4382" w:rsidRPr="0058480B">
        <w:t xml:space="preserve"> (</w:t>
      </w:r>
      <w:r w:rsidR="003E4382">
        <w:t>Trinidad and Tobago</w:t>
      </w:r>
      <w:r w:rsidR="003E4382" w:rsidRPr="0058480B">
        <w:t xml:space="preserve">). At its </w:t>
      </w:r>
      <w:r w:rsidR="003E4382" w:rsidRPr="0058480B">
        <w:rPr>
          <w:snapToGrid w:val="0"/>
        </w:rPr>
        <w:t>2</w:t>
      </w:r>
      <w:r w:rsidR="003E4382" w:rsidRPr="0058480B">
        <w:rPr>
          <w:snapToGrid w:val="0"/>
          <w:vertAlign w:val="superscript"/>
        </w:rPr>
        <w:t>nd</w:t>
      </w:r>
      <w:r w:rsidR="003E4382" w:rsidRPr="0058480B">
        <w:rPr>
          <w:snapToGrid w:val="0"/>
        </w:rPr>
        <w:t xml:space="preserve"> meeting</w:t>
      </w:r>
      <w:r w:rsidR="003E4382" w:rsidRPr="0058480B">
        <w:t xml:space="preserve">, the SBSTA </w:t>
      </w:r>
      <w:r w:rsidR="003E4382">
        <w:t>considered and adopted the conclusions below.</w:t>
      </w:r>
      <w:r w:rsidR="003E4382">
        <w:rPr>
          <w:rStyle w:val="FootnoteReference"/>
        </w:rPr>
        <w:footnoteReference w:id="19"/>
      </w:r>
      <w:bookmarkEnd w:id="83"/>
    </w:p>
    <w:p w14:paraId="6B21715C" w14:textId="773C8D07"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7D06D26D" w14:textId="53E4451F" w:rsidR="003E4382" w:rsidRPr="00415C95" w:rsidRDefault="00F83E99" w:rsidP="00F83E99">
      <w:pPr>
        <w:pStyle w:val="RegSingleTxtG"/>
        <w:numPr>
          <w:ilvl w:val="0"/>
          <w:numId w:val="0"/>
        </w:numPr>
        <w:tabs>
          <w:tab w:val="left" w:pos="2127"/>
        </w:tabs>
        <w:ind w:left="1134"/>
      </w:pPr>
      <w:r w:rsidRPr="00415C95">
        <w:t>23.</w:t>
      </w:r>
      <w:r w:rsidRPr="00415C95">
        <w:tab/>
      </w:r>
      <w:r w:rsidR="003E4382" w:rsidRPr="00FB079C">
        <w:t>The SBSTA</w:t>
      </w:r>
      <w:r w:rsidR="003E4382">
        <w:t xml:space="preserve"> initiated </w:t>
      </w:r>
      <w:r w:rsidR="003E4382" w:rsidRPr="004A41D2">
        <w:t>the</w:t>
      </w:r>
      <w:r w:rsidR="003E4382">
        <w:t xml:space="preserve"> elaboration of the technology framework established under Article 10, paragraph 4, of </w:t>
      </w:r>
      <w:r w:rsidR="003E4382" w:rsidRPr="00415C95">
        <w:t>the Paris Agreement (hereinafter referred to as the technology framework), in accordance with decision 1/CP.21, paragraph 67.</w:t>
      </w:r>
    </w:p>
    <w:p w14:paraId="09C3911E" w14:textId="5732D362" w:rsidR="003E4382" w:rsidRPr="00252E6A" w:rsidRDefault="00F83E99" w:rsidP="00F83E99">
      <w:pPr>
        <w:pStyle w:val="RegSingleTxtG"/>
        <w:numPr>
          <w:ilvl w:val="0"/>
          <w:numId w:val="0"/>
        </w:numPr>
        <w:tabs>
          <w:tab w:val="left" w:pos="2127"/>
        </w:tabs>
        <w:ind w:left="1134"/>
      </w:pPr>
      <w:r w:rsidRPr="00252E6A">
        <w:lastRenderedPageBreak/>
        <w:t>24.</w:t>
      </w:r>
      <w:r w:rsidRPr="00252E6A">
        <w:tab/>
      </w:r>
      <w:r w:rsidR="003E4382">
        <w:t xml:space="preserve">The SBSTA </w:t>
      </w:r>
      <w:r w:rsidR="003E4382" w:rsidRPr="00252E6A">
        <w:t>noted the fruitful exchanges of initial views by Parties on the elaboration of the technology framework.</w:t>
      </w:r>
      <w:r w:rsidR="000E6B6B">
        <w:rPr>
          <w:rStyle w:val="FootnoteReference"/>
        </w:rPr>
        <w:footnoteReference w:id="20"/>
      </w:r>
      <w:r w:rsidR="003E4382" w:rsidRPr="00252E6A">
        <w:t xml:space="preserve"> </w:t>
      </w:r>
    </w:p>
    <w:p w14:paraId="2EA2E692" w14:textId="7BD9377E" w:rsidR="003E4382" w:rsidRPr="00415C95" w:rsidRDefault="00F83E99" w:rsidP="00F83E99">
      <w:pPr>
        <w:pStyle w:val="RegSingleTxtG"/>
        <w:numPr>
          <w:ilvl w:val="0"/>
          <w:numId w:val="0"/>
        </w:numPr>
        <w:tabs>
          <w:tab w:val="left" w:pos="2127"/>
        </w:tabs>
        <w:ind w:left="1134"/>
      </w:pPr>
      <w:r w:rsidRPr="00415C95">
        <w:t>25.</w:t>
      </w:r>
      <w:r w:rsidRPr="00415C95">
        <w:tab/>
      </w:r>
      <w:r w:rsidR="003E4382">
        <w:t>The SBSTA</w:t>
      </w:r>
      <w:r w:rsidR="003E4382" w:rsidRPr="00B83CD8">
        <w:t xml:space="preserve"> requested the secretariat</w:t>
      </w:r>
      <w:r w:rsidR="003E4382" w:rsidRPr="00252E6A">
        <w:t xml:space="preserve"> </w:t>
      </w:r>
      <w:r w:rsidR="003E4382">
        <w:t xml:space="preserve">to </w:t>
      </w:r>
      <w:r w:rsidR="003E4382" w:rsidRPr="00BA6428">
        <w:t xml:space="preserve">prepare an </w:t>
      </w:r>
      <w:r w:rsidR="003E4382" w:rsidRPr="00F23DD8">
        <w:t xml:space="preserve">information note on mapping climate technology development and transfer activities and initiatives under and outside the Convention relevant to the implementation of the Paris </w:t>
      </w:r>
      <w:r w:rsidR="003E4382" w:rsidRPr="00415C95">
        <w:t>Agreement, including on the status of the implementation of the framework for meaningful and effective actions to enhance the implementation of Article 4, paragraph 5, of the Convention, as adopted by decision 4/CP.7 and enhanced by decision 3/CP.13. This would form part of the inputs to the deliberations among Parties on the elaboration of the technology framework at SBSTA 45.</w:t>
      </w:r>
    </w:p>
    <w:p w14:paraId="3A742B22" w14:textId="3CFAC80C" w:rsidR="003E4382" w:rsidRPr="00415C95" w:rsidRDefault="00F83E99" w:rsidP="00F83E99">
      <w:pPr>
        <w:pStyle w:val="RegSingleTxtG"/>
        <w:numPr>
          <w:ilvl w:val="0"/>
          <w:numId w:val="0"/>
        </w:numPr>
        <w:tabs>
          <w:tab w:val="left" w:pos="2127"/>
        </w:tabs>
        <w:ind w:left="1134"/>
      </w:pPr>
      <w:r w:rsidRPr="00415C95">
        <w:t>26.</w:t>
      </w:r>
      <w:r w:rsidRPr="00415C95">
        <w:tab/>
      </w:r>
      <w:r w:rsidR="003E4382" w:rsidRPr="00415C95">
        <w:t>The SBSTA invited Parties to submit their views</w:t>
      </w:r>
      <w:r w:rsidR="003E4382" w:rsidRPr="00415C95">
        <w:rPr>
          <w:rStyle w:val="FootnoteReference"/>
        </w:rPr>
        <w:footnoteReference w:id="21"/>
      </w:r>
      <w:r w:rsidR="003E4382" w:rsidRPr="00415C95">
        <w:t xml:space="preserve"> by 15 September 2016 on the elaboration of the technology framework, including the content, features and characteristics, the purpose and the themes of the technology framework in order for the secretariat to prepare a compilation of Parties’ submissions for consideration at SBSTA 45.</w:t>
      </w:r>
    </w:p>
    <w:p w14:paraId="15A784C1" w14:textId="4525249F" w:rsidR="003E4382" w:rsidRPr="00415C95" w:rsidRDefault="00F83E99" w:rsidP="00F83E99">
      <w:pPr>
        <w:pStyle w:val="RegSingleTxtG"/>
        <w:numPr>
          <w:ilvl w:val="0"/>
          <w:numId w:val="0"/>
        </w:numPr>
        <w:tabs>
          <w:tab w:val="left" w:pos="2127"/>
        </w:tabs>
        <w:ind w:left="1134"/>
      </w:pPr>
      <w:bookmarkStart w:id="84" w:name="_Ref452990661"/>
      <w:r w:rsidRPr="00415C95">
        <w:t>27.</w:t>
      </w:r>
      <w:r w:rsidRPr="00415C95">
        <w:tab/>
      </w:r>
      <w:r w:rsidR="003E4382" w:rsidRPr="00415C95">
        <w:t>The SBSTA agreed to continue its consideration of this matter at SBSTA 45 taking into account the information referred to in paragraphs 24–26 above.</w:t>
      </w:r>
      <w:bookmarkEnd w:id="84"/>
      <w:r w:rsidR="003E4382" w:rsidRPr="00415C95">
        <w:t xml:space="preserve"> </w:t>
      </w:r>
    </w:p>
    <w:p w14:paraId="569CABF1" w14:textId="54DBDD97" w:rsidR="003E4382" w:rsidRPr="0053012B" w:rsidRDefault="00F83E99" w:rsidP="00F83E99">
      <w:pPr>
        <w:pStyle w:val="RegHChG"/>
        <w:numPr>
          <w:ilvl w:val="0"/>
          <w:numId w:val="0"/>
        </w:numPr>
        <w:tabs>
          <w:tab w:val="left" w:pos="1135"/>
        </w:tabs>
        <w:ind w:left="1135" w:hanging="454"/>
        <w:rPr>
          <w:lang w:eastAsia="en-US"/>
        </w:rPr>
      </w:pPr>
      <w:bookmarkStart w:id="85" w:name="_Toc437266316"/>
      <w:bookmarkStart w:id="86" w:name="_Toc373495746"/>
      <w:bookmarkStart w:id="87" w:name="_Toc391892174"/>
      <w:bookmarkStart w:id="88" w:name="_Toc391892358"/>
      <w:bookmarkStart w:id="89" w:name="_Toc452991187"/>
      <w:bookmarkStart w:id="90" w:name="_Toc452994337"/>
      <w:bookmarkStart w:id="91" w:name="_Toc453077365"/>
      <w:bookmarkEnd w:id="81"/>
      <w:bookmarkEnd w:id="82"/>
      <w:r w:rsidRPr="0053012B">
        <w:rPr>
          <w:lang w:eastAsia="en-US"/>
        </w:rPr>
        <w:t>V.</w:t>
      </w:r>
      <w:r w:rsidRPr="0053012B">
        <w:rPr>
          <w:lang w:eastAsia="en-US"/>
        </w:rPr>
        <w:tab/>
      </w:r>
      <w:r w:rsidR="003E4382" w:rsidRPr="00415C95">
        <w:t>Issues relating to agriculture</w:t>
      </w:r>
      <w:r w:rsidR="003E4382" w:rsidRPr="0053012B">
        <w:rPr>
          <w:lang w:eastAsia="en-US"/>
        </w:rPr>
        <w:br/>
      </w:r>
      <w:r w:rsidR="003E4382" w:rsidRPr="0053012B">
        <w:rPr>
          <w:rStyle w:val="SingleTxtGChar"/>
          <w:b w:val="0"/>
          <w:sz w:val="20"/>
        </w:rPr>
        <w:t>(Agenda item 5)</w:t>
      </w:r>
      <w:bookmarkEnd w:id="85"/>
      <w:bookmarkEnd w:id="86"/>
      <w:bookmarkEnd w:id="87"/>
      <w:bookmarkEnd w:id="88"/>
      <w:bookmarkEnd w:id="89"/>
      <w:bookmarkEnd w:id="90"/>
      <w:bookmarkEnd w:id="91"/>
    </w:p>
    <w:p w14:paraId="537D0F7F" w14:textId="77777777" w:rsidR="003E4382" w:rsidRPr="00C42590" w:rsidRDefault="003E4382" w:rsidP="00F83E99">
      <w:pPr>
        <w:pStyle w:val="RegH23G"/>
        <w:numPr>
          <w:ilvl w:val="0"/>
          <w:numId w:val="0"/>
        </w:numPr>
        <w:ind w:left="851" w:hanging="454"/>
        <w:rPr>
          <w:b w:val="0"/>
        </w:rPr>
      </w:pPr>
      <w:bookmarkStart w:id="92" w:name="_Ref392164133"/>
      <w:bookmarkStart w:id="93" w:name="_Ref374540993"/>
      <w:r w:rsidRPr="00C42590">
        <w:t>Proceedings</w:t>
      </w:r>
    </w:p>
    <w:p w14:paraId="7FC857E5" w14:textId="76BD8B0A" w:rsidR="003E4382" w:rsidRDefault="00F83E99" w:rsidP="00F83E99">
      <w:pPr>
        <w:pStyle w:val="RegSingleTxtG"/>
        <w:numPr>
          <w:ilvl w:val="0"/>
          <w:numId w:val="0"/>
        </w:numPr>
        <w:tabs>
          <w:tab w:val="left" w:pos="2127"/>
        </w:tabs>
        <w:ind w:left="1134"/>
      </w:pPr>
      <w:bookmarkStart w:id="94" w:name="_Ref452990667"/>
      <w:r>
        <w:t>28.</w:t>
      </w:r>
      <w:r>
        <w:tab/>
      </w:r>
      <w:r w:rsidR="003E4382" w:rsidRPr="00415C95">
        <w:t>The SBSTA considered this agenda item at its 1</w:t>
      </w:r>
      <w:r w:rsidR="003E4382" w:rsidRPr="00415C95">
        <w:rPr>
          <w:vertAlign w:val="superscript"/>
        </w:rPr>
        <w:t>st</w:t>
      </w:r>
      <w:r w:rsidR="003E4382" w:rsidRPr="00415C95">
        <w:t xml:space="preserve"> and 2</w:t>
      </w:r>
      <w:r w:rsidR="003E4382" w:rsidRPr="00415C95">
        <w:rPr>
          <w:vertAlign w:val="superscript"/>
        </w:rPr>
        <w:t>nd</w:t>
      </w:r>
      <w:r w:rsidR="003E4382" w:rsidRPr="00415C95">
        <w:t xml:space="preserve"> meetings</w:t>
      </w:r>
      <w:bookmarkEnd w:id="92"/>
      <w:r w:rsidR="003E4382" w:rsidRPr="00415C95">
        <w:t xml:space="preserve">. It had before it documents FCCC/SBSTA/2016/MISC.1 and Add.1. </w:t>
      </w:r>
      <w:bookmarkEnd w:id="93"/>
      <w:r w:rsidR="003E4382" w:rsidRPr="00415C95">
        <w:t>At its 1</w:t>
      </w:r>
      <w:r w:rsidR="003E4382" w:rsidRPr="00415C95">
        <w:rPr>
          <w:vertAlign w:val="superscript"/>
        </w:rPr>
        <w:t>st</w:t>
      </w:r>
      <w:r w:rsidR="003E4382" w:rsidRPr="00415C95">
        <w:t xml:space="preserve"> meeting, the SBSTA agreed to consider this agenda item in informal consultations co-facilitated by Mr. Emmanuel Dlamini (Swaziland) and Mr. Heikki Granholm (Finland).</w:t>
      </w:r>
      <w:bookmarkStart w:id="95" w:name="_Ref374541011"/>
      <w:r w:rsidR="003E4382" w:rsidRPr="00415C95">
        <w:t xml:space="preserve"> </w:t>
      </w:r>
      <w:bookmarkEnd w:id="95"/>
      <w:r w:rsidR="003E4382" w:rsidRPr="00415C95">
        <w:t>At its 2</w:t>
      </w:r>
      <w:r w:rsidR="003E4382" w:rsidRPr="00415C95">
        <w:rPr>
          <w:vertAlign w:val="superscript"/>
        </w:rPr>
        <w:t>nd</w:t>
      </w:r>
      <w:r w:rsidR="003E4382" w:rsidRPr="00415C95">
        <w:t xml:space="preserve"> meeting, the SBSTA noted that the issue will be included</w:t>
      </w:r>
      <w:r w:rsidR="003E4382">
        <w:t xml:space="preserve"> on the agenda of its next session in accordance with Rule 16 of the draft rules of procedure being applied.</w:t>
      </w:r>
      <w:bookmarkEnd w:id="94"/>
      <w:r w:rsidR="003E4382">
        <w:t xml:space="preserve"> </w:t>
      </w:r>
    </w:p>
    <w:p w14:paraId="43E0E773" w14:textId="58287906" w:rsidR="003E4382" w:rsidRPr="0058480B" w:rsidRDefault="00F83E99" w:rsidP="00F83E99">
      <w:pPr>
        <w:pStyle w:val="RegHChG"/>
        <w:numPr>
          <w:ilvl w:val="0"/>
          <w:numId w:val="0"/>
        </w:numPr>
        <w:tabs>
          <w:tab w:val="left" w:pos="1135"/>
        </w:tabs>
        <w:ind w:left="1135" w:hanging="454"/>
        <w:rPr>
          <w:rStyle w:val="SingleTxtGChar"/>
          <w:b w:val="0"/>
          <w:sz w:val="20"/>
        </w:rPr>
      </w:pPr>
      <w:bookmarkStart w:id="96" w:name="_Toc305764171"/>
      <w:bookmarkStart w:id="97" w:name="_Toc328480797"/>
      <w:bookmarkStart w:id="98" w:name="_Toc361321972"/>
      <w:bookmarkStart w:id="99" w:name="_Toc373495749"/>
      <w:bookmarkStart w:id="100" w:name="_Toc391892177"/>
      <w:bookmarkStart w:id="101" w:name="_Toc391892361"/>
      <w:bookmarkStart w:id="102" w:name="_Toc437266319"/>
      <w:bookmarkStart w:id="103" w:name="_Toc452991188"/>
      <w:bookmarkStart w:id="104" w:name="_Toc452994338"/>
      <w:bookmarkStart w:id="105" w:name="_Toc453077366"/>
      <w:bookmarkStart w:id="106" w:name="_Toc231126861"/>
      <w:r w:rsidRPr="0058480B">
        <w:rPr>
          <w:rStyle w:val="SingleTxtGChar"/>
        </w:rPr>
        <w:t>VI.</w:t>
      </w:r>
      <w:r w:rsidRPr="0058480B">
        <w:rPr>
          <w:rStyle w:val="SingleTxtGChar"/>
        </w:rPr>
        <w:tab/>
      </w:r>
      <w:r w:rsidR="003E4382" w:rsidRPr="0058480B">
        <w:t>Matters relating to science and review</w:t>
      </w:r>
      <w:r w:rsidR="003E4382" w:rsidRPr="00865CD7">
        <w:br/>
      </w:r>
      <w:r w:rsidR="003E4382">
        <w:rPr>
          <w:rStyle w:val="SingleTxtGChar"/>
          <w:b w:val="0"/>
          <w:sz w:val="20"/>
        </w:rPr>
        <w:t>(Agenda item 6</w:t>
      </w:r>
      <w:r w:rsidR="003E4382" w:rsidRPr="0058480B">
        <w:rPr>
          <w:rStyle w:val="SingleTxtGChar"/>
          <w:b w:val="0"/>
          <w:sz w:val="20"/>
        </w:rPr>
        <w:t>)</w:t>
      </w:r>
      <w:bookmarkEnd w:id="96"/>
      <w:bookmarkEnd w:id="97"/>
      <w:bookmarkEnd w:id="98"/>
      <w:bookmarkEnd w:id="99"/>
      <w:bookmarkEnd w:id="100"/>
      <w:bookmarkEnd w:id="101"/>
      <w:bookmarkEnd w:id="102"/>
      <w:bookmarkEnd w:id="103"/>
      <w:bookmarkEnd w:id="104"/>
      <w:bookmarkEnd w:id="105"/>
    </w:p>
    <w:p w14:paraId="261BF8FA" w14:textId="155E27C5" w:rsidR="003E4382" w:rsidRPr="00885BDE" w:rsidRDefault="00F83E99" w:rsidP="00F83E99">
      <w:pPr>
        <w:pStyle w:val="RegH1G"/>
        <w:numPr>
          <w:ilvl w:val="0"/>
          <w:numId w:val="0"/>
        </w:numPr>
        <w:tabs>
          <w:tab w:val="left" w:pos="1135"/>
        </w:tabs>
        <w:ind w:left="1135" w:hanging="454"/>
        <w:rPr>
          <w:b w:val="0"/>
          <w:sz w:val="20"/>
        </w:rPr>
      </w:pPr>
      <w:bookmarkStart w:id="107" w:name="_Toc437266320"/>
      <w:bookmarkStart w:id="108" w:name="_Toc452991189"/>
      <w:bookmarkStart w:id="109" w:name="_Toc452994339"/>
      <w:bookmarkStart w:id="110" w:name="_Toc453077367"/>
      <w:bookmarkStart w:id="111" w:name="_Toc261965566"/>
      <w:bookmarkStart w:id="112" w:name="_Toc267320439"/>
      <w:bookmarkStart w:id="113" w:name="_Toc279431824"/>
      <w:r w:rsidRPr="00885BDE">
        <w:t>A.</w:t>
      </w:r>
      <w:r w:rsidRPr="00885BDE">
        <w:tab/>
      </w:r>
      <w:r w:rsidR="003E4382" w:rsidRPr="00451764">
        <w:t>Research and systematic observation</w:t>
      </w:r>
      <w:r w:rsidR="003E4382">
        <w:br/>
      </w:r>
      <w:r w:rsidR="003E4382">
        <w:rPr>
          <w:b w:val="0"/>
          <w:sz w:val="20"/>
        </w:rPr>
        <w:t>(Agenda sub-item 6(a</w:t>
      </w:r>
      <w:r w:rsidR="003E4382" w:rsidRPr="00885BDE">
        <w:rPr>
          <w:b w:val="0"/>
          <w:sz w:val="20"/>
        </w:rPr>
        <w:t>))</w:t>
      </w:r>
      <w:bookmarkEnd w:id="107"/>
      <w:bookmarkEnd w:id="108"/>
      <w:bookmarkEnd w:id="109"/>
      <w:bookmarkEnd w:id="110"/>
    </w:p>
    <w:p w14:paraId="1A2B4C44" w14:textId="031D47F5"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0A197E16" w14:textId="4B25C5AD" w:rsidR="003E4382" w:rsidRPr="00885BDE" w:rsidRDefault="00F83E99" w:rsidP="00F83E99">
      <w:pPr>
        <w:pStyle w:val="RegSingleTxtG"/>
        <w:numPr>
          <w:ilvl w:val="0"/>
          <w:numId w:val="0"/>
        </w:numPr>
        <w:tabs>
          <w:tab w:val="left" w:pos="2127"/>
        </w:tabs>
        <w:ind w:left="1134"/>
      </w:pPr>
      <w:bookmarkStart w:id="114" w:name="_Ref452990674"/>
      <w:r w:rsidRPr="00885BDE">
        <w:t>29.</w:t>
      </w:r>
      <w:r w:rsidRPr="00885BDE">
        <w:tab/>
      </w:r>
      <w:r w:rsidR="003E4382" w:rsidRPr="00865CD7">
        <w:t xml:space="preserve">The SBSTA considered </w:t>
      </w:r>
      <w:r w:rsidR="003E4382" w:rsidRPr="00885BDE">
        <w:t xml:space="preserve">this agenda </w:t>
      </w:r>
      <w:r w:rsidR="003E4382">
        <w:t>sub-</w:t>
      </w:r>
      <w:r w:rsidR="003E4382" w:rsidRPr="00885BDE">
        <w:t>item at its 1</w:t>
      </w:r>
      <w:r w:rsidR="003E4382" w:rsidRPr="001B5FDC">
        <w:rPr>
          <w:vertAlign w:val="superscript"/>
        </w:rPr>
        <w:t>st</w:t>
      </w:r>
      <w:r w:rsidR="003E4382" w:rsidRPr="00885BDE">
        <w:t xml:space="preserve"> </w:t>
      </w:r>
      <w:r w:rsidR="003E4382">
        <w:t>and 2</w:t>
      </w:r>
      <w:r w:rsidR="003E4382" w:rsidRPr="001B5FDC">
        <w:rPr>
          <w:vertAlign w:val="superscript"/>
        </w:rPr>
        <w:t>nd</w:t>
      </w:r>
      <w:r w:rsidR="003E4382">
        <w:t xml:space="preserve"> </w:t>
      </w:r>
      <w:r w:rsidR="003E4382" w:rsidRPr="00885BDE">
        <w:t>meeting</w:t>
      </w:r>
      <w:r w:rsidR="003E4382">
        <w:t>s</w:t>
      </w:r>
      <w:r w:rsidR="003E4382" w:rsidRPr="00885BDE">
        <w:t xml:space="preserve">. </w:t>
      </w:r>
      <w:r w:rsidR="003E4382" w:rsidRPr="00865CD7">
        <w:rPr>
          <w:lang w:eastAsia="en-GB"/>
        </w:rPr>
        <w:t xml:space="preserve">At its </w:t>
      </w:r>
      <w:r w:rsidR="003E4382">
        <w:rPr>
          <w:lang w:eastAsia="en-GB"/>
        </w:rPr>
        <w:t>1</w:t>
      </w:r>
      <w:r w:rsidR="003E4382" w:rsidRPr="001B5FDC">
        <w:rPr>
          <w:vertAlign w:val="superscript"/>
          <w:lang w:eastAsia="en-GB"/>
        </w:rPr>
        <w:t>st</w:t>
      </w:r>
      <w:r w:rsidR="003E4382">
        <w:rPr>
          <w:lang w:eastAsia="en-GB"/>
        </w:rPr>
        <w:t xml:space="preserve"> </w:t>
      </w:r>
      <w:r w:rsidR="003E4382" w:rsidRPr="00865CD7">
        <w:rPr>
          <w:lang w:eastAsia="en-GB"/>
        </w:rPr>
        <w:t xml:space="preserve">meeting, </w:t>
      </w:r>
      <w:r w:rsidR="003E4382" w:rsidRPr="00F95D0F">
        <w:rPr>
          <w:lang w:eastAsia="en-GB"/>
        </w:rPr>
        <w:t xml:space="preserve">the SBSTA agreed to consider this agenda </w:t>
      </w:r>
      <w:r w:rsidR="003E4382">
        <w:rPr>
          <w:lang w:eastAsia="en-GB"/>
        </w:rPr>
        <w:t>sub-</w:t>
      </w:r>
      <w:r w:rsidR="003E4382" w:rsidRPr="00F95D0F">
        <w:rPr>
          <w:lang w:eastAsia="en-GB"/>
        </w:rPr>
        <w:t xml:space="preserve">item in </w:t>
      </w:r>
      <w:r w:rsidR="003E4382" w:rsidRPr="00F95D0F">
        <w:t>informal</w:t>
      </w:r>
      <w:r w:rsidR="003E4382" w:rsidRPr="00F95D0F">
        <w:rPr>
          <w:lang w:eastAsia="en-GB"/>
        </w:rPr>
        <w:t xml:space="preserve"> consultations co-facilitated by </w:t>
      </w:r>
      <w:r w:rsidR="003E4382">
        <w:rPr>
          <w:lang w:eastAsia="en-GB"/>
        </w:rPr>
        <w:t>Ms. Ann Gordon (Belize) and Ms. Christiane Textor (Germany).</w:t>
      </w:r>
      <w:r w:rsidR="003E4382" w:rsidRPr="00865CD7">
        <w:rPr>
          <w:lang w:eastAsia="en-GB"/>
        </w:rPr>
        <w:t xml:space="preserve"> </w:t>
      </w:r>
      <w:r w:rsidR="003E4382" w:rsidRPr="00865CD7">
        <w:t>At its</w:t>
      </w:r>
      <w:r w:rsidR="003E4382" w:rsidRPr="001B5FDC">
        <w:rPr>
          <w:snapToGrid w:val="0"/>
        </w:rPr>
        <w:t xml:space="preserve"> 2</w:t>
      </w:r>
      <w:r w:rsidR="003E4382" w:rsidRPr="001B5FDC">
        <w:rPr>
          <w:snapToGrid w:val="0"/>
          <w:vertAlign w:val="superscript"/>
        </w:rPr>
        <w:t>nd</w:t>
      </w:r>
      <w:r w:rsidR="003E4382" w:rsidRPr="001B5FDC">
        <w:rPr>
          <w:snapToGrid w:val="0"/>
        </w:rPr>
        <w:t xml:space="preserve"> </w:t>
      </w:r>
      <w:r w:rsidR="003E4382" w:rsidRPr="00865CD7">
        <w:t xml:space="preserve">meeting, </w:t>
      </w:r>
      <w:r w:rsidR="003E4382" w:rsidRPr="001B5FDC">
        <w:rPr>
          <w:snapToGrid w:val="0"/>
        </w:rPr>
        <w:t xml:space="preserve">the SBSTA </w:t>
      </w:r>
      <w:r w:rsidR="003E4382" w:rsidRPr="00865CD7">
        <w:t>considered and adopted the conclusions below</w:t>
      </w:r>
      <w:r w:rsidR="003E4382">
        <w:t>.</w:t>
      </w:r>
      <w:r w:rsidR="003E4382">
        <w:rPr>
          <w:rStyle w:val="FootnoteReference"/>
        </w:rPr>
        <w:footnoteReference w:id="22"/>
      </w:r>
      <w:bookmarkEnd w:id="114"/>
    </w:p>
    <w:p w14:paraId="0F06BA02" w14:textId="54FB6385" w:rsidR="003E4382" w:rsidRPr="00D227B2" w:rsidRDefault="00F83E99" w:rsidP="00F83E99">
      <w:pPr>
        <w:pStyle w:val="RegH23G"/>
        <w:numPr>
          <w:ilvl w:val="0"/>
          <w:numId w:val="0"/>
        </w:numPr>
        <w:tabs>
          <w:tab w:val="left" w:pos="1135"/>
        </w:tabs>
        <w:ind w:left="1135" w:hanging="454"/>
      </w:pPr>
      <w:r w:rsidRPr="00D227B2">
        <w:rPr>
          <w:bCs/>
        </w:rPr>
        <w:t>2.</w:t>
      </w:r>
      <w:r w:rsidRPr="00D227B2">
        <w:rPr>
          <w:bCs/>
        </w:rPr>
        <w:tab/>
      </w:r>
      <w:r w:rsidR="003E4382" w:rsidRPr="00D227B2">
        <w:t>Conclusions</w:t>
      </w:r>
    </w:p>
    <w:p w14:paraId="101A920E" w14:textId="362F707E" w:rsidR="003E4382" w:rsidRPr="000F3132" w:rsidRDefault="00F83E99" w:rsidP="00F83E99">
      <w:pPr>
        <w:pStyle w:val="RegSingleTxtG"/>
        <w:numPr>
          <w:ilvl w:val="0"/>
          <w:numId w:val="0"/>
        </w:numPr>
        <w:tabs>
          <w:tab w:val="left" w:pos="2127"/>
        </w:tabs>
        <w:ind w:left="1134"/>
      </w:pPr>
      <w:r w:rsidRPr="000F3132">
        <w:t>30.</w:t>
      </w:r>
      <w:r w:rsidRPr="000F3132">
        <w:tab/>
      </w:r>
      <w:r w:rsidR="003E4382" w:rsidRPr="000F3132">
        <w:t xml:space="preserve">The SBSTA noted with appreciation the statements delivered by the representatives of GCOS, </w:t>
      </w:r>
      <w:r w:rsidR="003E4382">
        <w:t xml:space="preserve">the </w:t>
      </w:r>
      <w:r w:rsidR="003E4382" w:rsidRPr="000F3132">
        <w:t>IPCC and WCRP</w:t>
      </w:r>
      <w:r w:rsidR="003E4382">
        <w:t>.</w:t>
      </w:r>
    </w:p>
    <w:p w14:paraId="6661E6D2" w14:textId="051949C3" w:rsidR="003E4382" w:rsidRDefault="00F83E99" w:rsidP="00F83E99">
      <w:pPr>
        <w:pStyle w:val="RegSingleTxtG"/>
        <w:numPr>
          <w:ilvl w:val="0"/>
          <w:numId w:val="0"/>
        </w:numPr>
        <w:tabs>
          <w:tab w:val="left" w:pos="2127"/>
        </w:tabs>
        <w:ind w:left="1134"/>
      </w:pPr>
      <w:r>
        <w:lastRenderedPageBreak/>
        <w:t>31.</w:t>
      </w:r>
      <w:r>
        <w:tab/>
      </w:r>
      <w:r w:rsidR="003E4382" w:rsidRPr="000F3132">
        <w:t>The SBSTA took note of the information submitted by Parties</w:t>
      </w:r>
      <w:r w:rsidR="003E4382" w:rsidRPr="000F3132">
        <w:rPr>
          <w:rStyle w:val="FootnoteReference"/>
        </w:rPr>
        <w:footnoteReference w:id="23"/>
      </w:r>
      <w:r w:rsidR="003E4382" w:rsidRPr="000F3132">
        <w:t xml:space="preserve"> for the </w:t>
      </w:r>
      <w:r w:rsidR="00B05F82">
        <w:t>8</w:t>
      </w:r>
      <w:r w:rsidR="00B05F82" w:rsidRPr="006D2B5F">
        <w:rPr>
          <w:vertAlign w:val="superscript"/>
        </w:rPr>
        <w:t>th</w:t>
      </w:r>
      <w:r w:rsidR="00B05F82" w:rsidRPr="000F3132">
        <w:t xml:space="preserve"> </w:t>
      </w:r>
      <w:r w:rsidR="003E4382" w:rsidRPr="000F3132">
        <w:t>meeting of the research dialogue,</w:t>
      </w:r>
      <w:r w:rsidR="003E4382" w:rsidRPr="000F3132">
        <w:rPr>
          <w:rStyle w:val="FootnoteReference"/>
        </w:rPr>
        <w:footnoteReference w:id="24"/>
      </w:r>
      <w:r w:rsidR="003E4382" w:rsidRPr="000F3132">
        <w:t xml:space="preserve"> held on 19 May 201</w:t>
      </w:r>
      <w:r w:rsidR="003E4382">
        <w:t>6</w:t>
      </w:r>
      <w:r w:rsidR="003E4382" w:rsidRPr="000F3132">
        <w:t xml:space="preserve">, and </w:t>
      </w:r>
      <w:r w:rsidR="003E4382">
        <w:t>on</w:t>
      </w:r>
      <w:r w:rsidR="003E4382" w:rsidRPr="000F3132">
        <w:t xml:space="preserve"> </w:t>
      </w:r>
      <w:r w:rsidR="003E4382">
        <w:t xml:space="preserve">themes for </w:t>
      </w:r>
      <w:r w:rsidR="003E4382" w:rsidRPr="000F3132">
        <w:t xml:space="preserve">a possible research workshop in conjunction with SBSTA 46. It also noted the information note on the </w:t>
      </w:r>
      <w:r w:rsidR="00B05F82">
        <w:t>8</w:t>
      </w:r>
      <w:r w:rsidR="00B05F82" w:rsidRPr="009D2B6B">
        <w:rPr>
          <w:vertAlign w:val="superscript"/>
        </w:rPr>
        <w:t>th</w:t>
      </w:r>
      <w:r w:rsidR="003E4382" w:rsidRPr="000F3132">
        <w:t xml:space="preserve"> meeting of the research dialogue prepared by the SBSTA Chair</w:t>
      </w:r>
      <w:r w:rsidR="003E4382" w:rsidRPr="000F3132">
        <w:rPr>
          <w:rStyle w:val="FootnoteReference"/>
        </w:rPr>
        <w:footnoteReference w:id="25"/>
      </w:r>
      <w:r w:rsidR="003E4382" w:rsidRPr="000F3132">
        <w:t xml:space="preserve"> and the letter to the SBSTA Chair from the Executive Committee of the Warsaw International Mechanism for Loss and Damage associated with Climate Change Impacts.</w:t>
      </w:r>
      <w:r w:rsidR="003E4382" w:rsidRPr="000F3132">
        <w:rPr>
          <w:rStyle w:val="FootnoteReference"/>
        </w:rPr>
        <w:footnoteReference w:id="26"/>
      </w:r>
    </w:p>
    <w:p w14:paraId="54E0E7EB" w14:textId="3F1E3663" w:rsidR="003E4382" w:rsidRDefault="00F83E99" w:rsidP="00F83E99">
      <w:pPr>
        <w:pStyle w:val="RegSingleTxtG"/>
        <w:numPr>
          <w:ilvl w:val="0"/>
          <w:numId w:val="0"/>
        </w:numPr>
        <w:tabs>
          <w:tab w:val="left" w:pos="2127"/>
        </w:tabs>
        <w:ind w:left="1134"/>
      </w:pPr>
      <w:r>
        <w:t>32.</w:t>
      </w:r>
      <w:r>
        <w:tab/>
      </w:r>
      <w:r w:rsidR="003E4382">
        <w:t>The SBSTA</w:t>
      </w:r>
      <w:r w:rsidR="003E4382" w:rsidRPr="009B5BCC">
        <w:t xml:space="preserve"> welcomed </w:t>
      </w:r>
      <w:r w:rsidR="003E4382">
        <w:t xml:space="preserve">the information </w:t>
      </w:r>
      <w:r w:rsidR="003E4382" w:rsidRPr="009B5BCC">
        <w:t xml:space="preserve">that the IPCC, in response to an invitation from the </w:t>
      </w:r>
      <w:r w:rsidR="003E4382">
        <w:t>COP,</w:t>
      </w:r>
      <w:r w:rsidR="003E4382" w:rsidRPr="009B5BCC">
        <w:rPr>
          <w:rStyle w:val="FootnoteReference"/>
        </w:rPr>
        <w:footnoteReference w:id="27"/>
      </w:r>
      <w:r w:rsidR="003E4382" w:rsidRPr="009B5BCC">
        <w:t xml:space="preserve"> will produce a special report in 2018 on the impacts of global warming of 1.5</w:t>
      </w:r>
      <w:r w:rsidR="003E4382">
        <w:t xml:space="preserve"> </w:t>
      </w:r>
      <w:r w:rsidR="003E4382" w:rsidRPr="009B5BCC">
        <w:t>°C above pre-industrial levels and related global greenhouse gas (GHG) emission pathways. It also welcomed the decision of the IPCC to produce two other special reports</w:t>
      </w:r>
      <w:r w:rsidR="003E4382">
        <w:t xml:space="preserve"> – one</w:t>
      </w:r>
      <w:r w:rsidR="003E4382" w:rsidRPr="009B5BCC">
        <w:t xml:space="preserve"> on</w:t>
      </w:r>
      <w:r w:rsidR="003E4382">
        <w:t xml:space="preserve"> </w:t>
      </w:r>
      <w:r w:rsidR="003E4382" w:rsidRPr="009B5BCC">
        <w:t xml:space="preserve">climate change, desertification, land degradation, sustainable land management, food security and GHG fluxes in terrestrial ecosystems and </w:t>
      </w:r>
      <w:r w:rsidR="003E4382">
        <w:t xml:space="preserve">the other on </w:t>
      </w:r>
      <w:r w:rsidR="003E4382" w:rsidRPr="009B5BCC">
        <w:t xml:space="preserve">climate change and oceans and the cryosphere </w:t>
      </w:r>
      <w:r w:rsidR="003E4382">
        <w:t>– and</w:t>
      </w:r>
      <w:r w:rsidR="003E4382" w:rsidRPr="009B5BCC">
        <w:t xml:space="preserve"> a methodology report</w:t>
      </w:r>
      <w:r w:rsidR="003E4382">
        <w:t xml:space="preserve"> on GHG inventories</w:t>
      </w:r>
      <w:r w:rsidR="003E4382" w:rsidRPr="009B5BCC">
        <w:t>.</w:t>
      </w:r>
    </w:p>
    <w:p w14:paraId="532E1636" w14:textId="4A913154" w:rsidR="003E4382" w:rsidRDefault="00F83E99" w:rsidP="00F83E99">
      <w:pPr>
        <w:pStyle w:val="RegSingleTxtG"/>
        <w:numPr>
          <w:ilvl w:val="0"/>
          <w:numId w:val="0"/>
        </w:numPr>
        <w:tabs>
          <w:tab w:val="left" w:pos="2127"/>
        </w:tabs>
        <w:ind w:left="1134"/>
      </w:pPr>
      <w:r>
        <w:t>33.</w:t>
      </w:r>
      <w:r>
        <w:tab/>
      </w:r>
      <w:r w:rsidR="003E4382" w:rsidRPr="000F3132">
        <w:t xml:space="preserve">The SBSTA </w:t>
      </w:r>
      <w:r w:rsidR="003E4382" w:rsidRPr="006F0DE5">
        <w:t xml:space="preserve">welcomed the </w:t>
      </w:r>
      <w:r w:rsidR="00C4569C">
        <w:t>8</w:t>
      </w:r>
      <w:r w:rsidR="00C4569C" w:rsidRPr="009D2B6B">
        <w:rPr>
          <w:vertAlign w:val="superscript"/>
        </w:rPr>
        <w:t>th</w:t>
      </w:r>
      <w:r w:rsidR="003E4382">
        <w:t xml:space="preserve"> meeting of the </w:t>
      </w:r>
      <w:r w:rsidR="003E4382" w:rsidRPr="006F0DE5">
        <w:t>research dialogue</w:t>
      </w:r>
      <w:r w:rsidR="003E4382">
        <w:t>. It</w:t>
      </w:r>
      <w:r w:rsidR="003E4382" w:rsidRPr="000F3132">
        <w:t xml:space="preserve"> expressed its appreciation to Parties, </w:t>
      </w:r>
      <w:r w:rsidR="003E4382">
        <w:t xml:space="preserve">GCOS, the </w:t>
      </w:r>
      <w:r w:rsidR="003E4382" w:rsidRPr="000F3132">
        <w:t>IPCC, WCRP</w:t>
      </w:r>
      <w:r w:rsidR="003E4382">
        <w:t>, the World Meteorological Organization</w:t>
      </w:r>
      <w:r w:rsidR="003E4382" w:rsidRPr="000F3132">
        <w:t xml:space="preserve"> and all participating research programmes and organizations for their contributions.</w:t>
      </w:r>
      <w:r w:rsidR="003E4382">
        <w:t xml:space="preserve"> It noted the usefulness of a poster session and invited the SBSTA Chair to continue to use this modality. It requested the SBSTA Chair to produce a summary report on the meeting, to be made available before SBSTA 45.</w:t>
      </w:r>
    </w:p>
    <w:p w14:paraId="2A16E86A" w14:textId="57AAB290" w:rsidR="003E4382" w:rsidRDefault="00F83E99" w:rsidP="00F83E99">
      <w:pPr>
        <w:pStyle w:val="RegSingleTxtG"/>
        <w:numPr>
          <w:ilvl w:val="0"/>
          <w:numId w:val="0"/>
        </w:numPr>
        <w:tabs>
          <w:tab w:val="left" w:pos="2127"/>
        </w:tabs>
        <w:ind w:left="1134"/>
      </w:pPr>
      <w:r>
        <w:t>34.</w:t>
      </w:r>
      <w:r>
        <w:tab/>
      </w:r>
      <w:r w:rsidR="003E4382">
        <w:t>The SBSTA noted the importance of addressing regional climate research and data needs. It encouraged relevant research programmes and organizations to present their efforts, including activities they are undertaking such as regional workshops, to identify relevant climate research and data information and gaps at the research dialogue meeting to be held at SBSTA 46.</w:t>
      </w:r>
    </w:p>
    <w:p w14:paraId="4BDEF955" w14:textId="5CA8ED76" w:rsidR="003E4382" w:rsidRPr="00415C95" w:rsidRDefault="00F83E99" w:rsidP="00F83E99">
      <w:pPr>
        <w:pStyle w:val="RegSingleTxtG"/>
        <w:numPr>
          <w:ilvl w:val="0"/>
          <w:numId w:val="0"/>
        </w:numPr>
        <w:tabs>
          <w:tab w:val="left" w:pos="2127"/>
        </w:tabs>
        <w:ind w:left="1134"/>
      </w:pPr>
      <w:r w:rsidRPr="00415C95">
        <w:t>35.</w:t>
      </w:r>
      <w:r w:rsidRPr="00415C95">
        <w:tab/>
      </w:r>
      <w:r w:rsidR="003E4382" w:rsidRPr="000F3132">
        <w:t>The SBSTA invited Parties to submit</w:t>
      </w:r>
      <w:r w:rsidR="003E4382">
        <w:t xml:space="preserve">, </w:t>
      </w:r>
      <w:r w:rsidR="003E4382" w:rsidRPr="000F3132">
        <w:t xml:space="preserve">by </w:t>
      </w:r>
      <w:r w:rsidR="003E4382">
        <w:t>10 April</w:t>
      </w:r>
      <w:r w:rsidR="003E4382" w:rsidRPr="000F3132">
        <w:t xml:space="preserve"> 2017</w:t>
      </w:r>
      <w:r w:rsidR="003E4382">
        <w:t>,</w:t>
      </w:r>
      <w:r w:rsidR="003E4382" w:rsidRPr="000F3132">
        <w:t xml:space="preserve"> their views on possible topics for consideration at the research dialogue to be held at SBSTA 46 and beyond, taking into account the </w:t>
      </w:r>
      <w:r w:rsidR="003E4382">
        <w:t>t</w:t>
      </w:r>
      <w:r w:rsidR="003E4382" w:rsidRPr="00921154">
        <w:t xml:space="preserve">hemes and presentations </w:t>
      </w:r>
      <w:r w:rsidR="003E4382">
        <w:t xml:space="preserve">already addressed at </w:t>
      </w:r>
      <w:r w:rsidR="003E4382" w:rsidRPr="00921154">
        <w:t>previous research dialogue</w:t>
      </w:r>
      <w:r w:rsidR="003E4382">
        <w:t xml:space="preserve"> meeting</w:t>
      </w:r>
      <w:r w:rsidR="003E4382" w:rsidRPr="00921154">
        <w:t>s</w:t>
      </w:r>
      <w:r w:rsidR="003E4382">
        <w:t xml:space="preserve"> and the t</w:t>
      </w:r>
      <w:r w:rsidR="003E4382" w:rsidRPr="00921154">
        <w:t xml:space="preserve">hemes </w:t>
      </w:r>
      <w:r w:rsidR="003E4382" w:rsidRPr="00415C95">
        <w:t>suggested for future meetings, as identified in annex I to the information note referred to in paragraph 31 above, as well as the encouragement referred to in paragraph 34 above.</w:t>
      </w:r>
      <w:r w:rsidR="003E4382" w:rsidRPr="00415C95">
        <w:rPr>
          <w:rStyle w:val="FootnoteReference"/>
        </w:rPr>
        <w:footnoteReference w:id="28"/>
      </w:r>
    </w:p>
    <w:p w14:paraId="44100F04" w14:textId="33C661F6" w:rsidR="003E4382" w:rsidRPr="000F3132" w:rsidRDefault="00F83E99" w:rsidP="00F83E99">
      <w:pPr>
        <w:pStyle w:val="RegSingleTxtG"/>
        <w:numPr>
          <w:ilvl w:val="0"/>
          <w:numId w:val="0"/>
        </w:numPr>
        <w:tabs>
          <w:tab w:val="left" w:pos="2127"/>
        </w:tabs>
        <w:ind w:left="1134"/>
      </w:pPr>
      <w:bookmarkStart w:id="115" w:name="_Ref452990706"/>
      <w:r w:rsidRPr="000F3132">
        <w:t>36.</w:t>
      </w:r>
      <w:r w:rsidRPr="000F3132">
        <w:tab/>
      </w:r>
      <w:r w:rsidR="003E4382" w:rsidRPr="00415C95">
        <w:t>The SBSTA took note of the estimated budgetary implications of the activities to be undertaken by the secretariat referred to in paragraph 34 above. It requested that the actions of the secretariat called for in these conclusions be undertaken subject</w:t>
      </w:r>
      <w:r w:rsidR="003E4382" w:rsidRPr="000F3132">
        <w:t xml:space="preserve"> to the availability of financial resources.</w:t>
      </w:r>
      <w:bookmarkEnd w:id="115"/>
    </w:p>
    <w:p w14:paraId="371CDDD3" w14:textId="206DEA68" w:rsidR="003E4382" w:rsidRPr="00225477" w:rsidRDefault="00F83E99" w:rsidP="00F83E99">
      <w:pPr>
        <w:pStyle w:val="RegH1G"/>
        <w:numPr>
          <w:ilvl w:val="0"/>
          <w:numId w:val="0"/>
        </w:numPr>
        <w:tabs>
          <w:tab w:val="left" w:pos="1135"/>
        </w:tabs>
        <w:ind w:left="1135" w:hanging="454"/>
        <w:rPr>
          <w:rStyle w:val="SingleTxtGChar"/>
          <w:b w:val="0"/>
          <w:sz w:val="20"/>
        </w:rPr>
      </w:pPr>
      <w:bookmarkStart w:id="116" w:name="_Toc391892178"/>
      <w:bookmarkStart w:id="117" w:name="_Toc391892362"/>
      <w:bookmarkStart w:id="118" w:name="_Toc437266321"/>
      <w:bookmarkStart w:id="119" w:name="_Toc452991190"/>
      <w:bookmarkStart w:id="120" w:name="_Toc452994340"/>
      <w:bookmarkStart w:id="121" w:name="_Toc453077368"/>
      <w:r w:rsidRPr="00225477">
        <w:rPr>
          <w:rStyle w:val="SingleTxtGChar"/>
        </w:rPr>
        <w:lastRenderedPageBreak/>
        <w:t>B.</w:t>
      </w:r>
      <w:r w:rsidRPr="00225477">
        <w:rPr>
          <w:rStyle w:val="SingleTxtGChar"/>
        </w:rPr>
        <w:tab/>
      </w:r>
      <w:r w:rsidR="003E4382" w:rsidRPr="00451764">
        <w:t>Advice on how the assessments of the Intergovernmental Panel on Climate Change can inform the global stocktake referred to in Article 14 of the Paris Agreement</w:t>
      </w:r>
      <w:r w:rsidR="003E4382">
        <w:br/>
      </w:r>
      <w:r w:rsidR="003E4382" w:rsidRPr="00225477">
        <w:rPr>
          <w:rStyle w:val="SingleTxtGChar"/>
          <w:b w:val="0"/>
          <w:sz w:val="20"/>
        </w:rPr>
        <w:t>(Agenda sub-item 6(b))</w:t>
      </w:r>
      <w:bookmarkEnd w:id="116"/>
      <w:bookmarkEnd w:id="117"/>
      <w:bookmarkEnd w:id="118"/>
      <w:bookmarkEnd w:id="119"/>
      <w:bookmarkEnd w:id="120"/>
      <w:bookmarkEnd w:id="121"/>
    </w:p>
    <w:p w14:paraId="6976CB88" w14:textId="4740EA6B" w:rsidR="003E4382" w:rsidRPr="00C42590" w:rsidRDefault="00F83E99" w:rsidP="00F83E99">
      <w:pPr>
        <w:pStyle w:val="RegH23G"/>
        <w:numPr>
          <w:ilvl w:val="0"/>
          <w:numId w:val="0"/>
        </w:numPr>
        <w:tabs>
          <w:tab w:val="left" w:pos="1135"/>
        </w:tabs>
        <w:ind w:left="1135" w:hanging="454"/>
        <w:rPr>
          <w:b w:val="0"/>
        </w:rPr>
      </w:pPr>
      <w:r w:rsidRPr="00C42590">
        <w:rPr>
          <w:bCs/>
        </w:rPr>
        <w:t>1.</w:t>
      </w:r>
      <w:r w:rsidRPr="00C42590">
        <w:rPr>
          <w:bCs/>
        </w:rPr>
        <w:tab/>
      </w:r>
      <w:r w:rsidR="003E4382" w:rsidRPr="00C42590">
        <w:t>Proceedings</w:t>
      </w:r>
    </w:p>
    <w:p w14:paraId="0D6AFF1E" w14:textId="7132DC78" w:rsidR="003E4382" w:rsidRDefault="00F83E99" w:rsidP="00F83E99">
      <w:pPr>
        <w:pStyle w:val="RegSingleTxtG"/>
        <w:numPr>
          <w:ilvl w:val="0"/>
          <w:numId w:val="0"/>
        </w:numPr>
        <w:tabs>
          <w:tab w:val="left" w:pos="568"/>
        </w:tabs>
        <w:ind w:left="1135"/>
      </w:pPr>
      <w:bookmarkStart w:id="122" w:name="_Ref452990713"/>
      <w:r>
        <w:t>37.</w:t>
      </w:r>
      <w:r>
        <w:tab/>
      </w:r>
      <w:r w:rsidR="003E4382" w:rsidRPr="00865CD7">
        <w:t xml:space="preserve">The SBSTA considered this agenda </w:t>
      </w:r>
      <w:r w:rsidR="003E4382">
        <w:t>sub-</w:t>
      </w:r>
      <w:r w:rsidR="003E4382" w:rsidRPr="00865CD7">
        <w:t xml:space="preserve">item at </w:t>
      </w:r>
      <w:r w:rsidR="003E4382" w:rsidRPr="00491F5F">
        <w:t>its 1</w:t>
      </w:r>
      <w:r w:rsidR="003E4382" w:rsidRPr="00B41835">
        <w:rPr>
          <w:vertAlign w:val="superscript"/>
        </w:rPr>
        <w:t>st</w:t>
      </w:r>
      <w:r w:rsidR="003E4382">
        <w:t xml:space="preserve"> </w:t>
      </w:r>
      <w:r w:rsidR="003E4382" w:rsidRPr="002046CA">
        <w:t>and 2</w:t>
      </w:r>
      <w:r w:rsidR="003E4382" w:rsidRPr="00B41835">
        <w:rPr>
          <w:vertAlign w:val="superscript"/>
        </w:rPr>
        <w:t>nd</w:t>
      </w:r>
      <w:r w:rsidR="003E4382">
        <w:t xml:space="preserve"> </w:t>
      </w:r>
      <w:r w:rsidR="003E4382" w:rsidRPr="00491F5F">
        <w:t>meetings.</w:t>
      </w:r>
      <w:r w:rsidR="003E4382">
        <w:t xml:space="preserve"> </w:t>
      </w:r>
      <w:r w:rsidR="003E4382" w:rsidRPr="00865CD7">
        <w:rPr>
          <w:lang w:eastAsia="en-GB"/>
        </w:rPr>
        <w:t xml:space="preserve">At its </w:t>
      </w:r>
      <w:r w:rsidR="003E4382">
        <w:rPr>
          <w:lang w:eastAsia="en-GB"/>
        </w:rPr>
        <w:t>1</w:t>
      </w:r>
      <w:r w:rsidR="003E4382" w:rsidRPr="00B41835">
        <w:rPr>
          <w:vertAlign w:val="superscript"/>
          <w:lang w:eastAsia="en-GB"/>
        </w:rPr>
        <w:t>st</w:t>
      </w:r>
      <w:r w:rsidR="003E4382">
        <w:rPr>
          <w:lang w:eastAsia="en-GB"/>
        </w:rPr>
        <w:t xml:space="preserve"> </w:t>
      </w:r>
      <w:r w:rsidR="003E4382" w:rsidRPr="00865CD7">
        <w:rPr>
          <w:lang w:eastAsia="en-GB"/>
        </w:rPr>
        <w:t xml:space="preserve">meeting, the SBSTA </w:t>
      </w:r>
      <w:r w:rsidR="003E4382" w:rsidRPr="001B5FDC">
        <w:rPr>
          <w:lang w:eastAsia="en-GB"/>
        </w:rPr>
        <w:t xml:space="preserve">agreed to consider this agenda </w:t>
      </w:r>
      <w:r w:rsidR="003E4382">
        <w:rPr>
          <w:lang w:eastAsia="en-GB"/>
        </w:rPr>
        <w:t xml:space="preserve">in informal consultations co-facilitated by Mr. Nagmeldin </w:t>
      </w:r>
      <w:r w:rsidR="00E86F3F" w:rsidRPr="0059011E">
        <w:rPr>
          <w:lang w:eastAsia="en-GB"/>
        </w:rPr>
        <w:t xml:space="preserve">Goutbi </w:t>
      </w:r>
      <w:r w:rsidR="003E4382" w:rsidRPr="0059011E">
        <w:rPr>
          <w:lang w:eastAsia="en-GB"/>
        </w:rPr>
        <w:t xml:space="preserve">Elhassan </w:t>
      </w:r>
      <w:r w:rsidR="00E86F3F" w:rsidRPr="0059011E">
        <w:rPr>
          <w:lang w:eastAsia="en-GB"/>
        </w:rPr>
        <w:t xml:space="preserve">Mahmoud </w:t>
      </w:r>
      <w:r w:rsidR="003E4382" w:rsidRPr="0059011E">
        <w:rPr>
          <w:lang w:eastAsia="en-GB"/>
        </w:rPr>
        <w:t>(Sudan</w:t>
      </w:r>
      <w:r w:rsidR="003E4382">
        <w:rPr>
          <w:lang w:eastAsia="en-GB"/>
        </w:rPr>
        <w:t>) and Mr. Frank McGovern (Ireland)</w:t>
      </w:r>
      <w:r w:rsidR="003E4382" w:rsidRPr="001B5FDC">
        <w:rPr>
          <w:lang w:eastAsia="en-GB"/>
        </w:rPr>
        <w:t xml:space="preserve">. </w:t>
      </w:r>
      <w:r w:rsidR="003E4382">
        <w:rPr>
          <w:lang w:eastAsia="en-GB"/>
        </w:rPr>
        <w:t>At its 2</w:t>
      </w:r>
      <w:r w:rsidR="003E4382" w:rsidRPr="007F0864">
        <w:rPr>
          <w:vertAlign w:val="superscript"/>
          <w:lang w:eastAsia="en-GB"/>
        </w:rPr>
        <w:t>nd</w:t>
      </w:r>
      <w:r w:rsidR="003E4382">
        <w:rPr>
          <w:lang w:eastAsia="en-GB"/>
        </w:rPr>
        <w:t xml:space="preserve"> meeting, the SBSTA considered and adopted the conclusions below.</w:t>
      </w:r>
      <w:r w:rsidR="003E4382">
        <w:rPr>
          <w:rStyle w:val="FootnoteReference"/>
          <w:lang w:eastAsia="en-GB"/>
        </w:rPr>
        <w:footnoteReference w:id="29"/>
      </w:r>
      <w:bookmarkEnd w:id="122"/>
    </w:p>
    <w:p w14:paraId="5CC9EC27" w14:textId="609FE576"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49756E3B" w14:textId="7F61A911" w:rsidR="003E4382" w:rsidRPr="00415C95" w:rsidRDefault="00F83E99" w:rsidP="00F83E99">
      <w:pPr>
        <w:pStyle w:val="RegSingleTxtG"/>
        <w:numPr>
          <w:ilvl w:val="0"/>
          <w:numId w:val="0"/>
        </w:numPr>
        <w:tabs>
          <w:tab w:val="left" w:pos="568"/>
        </w:tabs>
        <w:ind w:left="1135"/>
      </w:pPr>
      <w:r w:rsidRPr="00415C95">
        <w:t>38.</w:t>
      </w:r>
      <w:r w:rsidRPr="00415C95">
        <w:tab/>
      </w:r>
      <w:r w:rsidR="003E4382" w:rsidRPr="006C3D21">
        <w:t xml:space="preserve">The </w:t>
      </w:r>
      <w:r w:rsidR="003E4382" w:rsidRPr="00415C95">
        <w:t>SBSTA, in response to the mandate from the COP at its twenty-first session (</w:t>
      </w:r>
      <w:r w:rsidR="003E4382" w:rsidRPr="00415C95">
        <w:rPr>
          <w:szCs w:val="18"/>
        </w:rPr>
        <w:t>decision 1/CP.21, para</w:t>
      </w:r>
      <w:r w:rsidR="00C4569C" w:rsidRPr="00415C95">
        <w:rPr>
          <w:szCs w:val="18"/>
        </w:rPr>
        <w:t>.</w:t>
      </w:r>
      <w:r w:rsidR="003E4382" w:rsidRPr="00415C95">
        <w:rPr>
          <w:szCs w:val="18"/>
        </w:rPr>
        <w:t xml:space="preserve"> 100),</w:t>
      </w:r>
      <w:r w:rsidR="003E4382" w:rsidRPr="00415C95">
        <w:t xml:space="preserve"> launched its consideration of advice on how the assessments of the IPCC can inform the global stocktake of the implementation of the Paris Agreement pursuant to its Article 14.</w:t>
      </w:r>
    </w:p>
    <w:p w14:paraId="3912B403" w14:textId="21BA33CB" w:rsidR="003E4382" w:rsidRDefault="00F83E99" w:rsidP="00F83E99">
      <w:pPr>
        <w:pStyle w:val="RegSingleTxtG"/>
        <w:numPr>
          <w:ilvl w:val="0"/>
          <w:numId w:val="0"/>
        </w:numPr>
        <w:tabs>
          <w:tab w:val="left" w:pos="568"/>
        </w:tabs>
        <w:ind w:left="1135"/>
      </w:pPr>
      <w:r>
        <w:t>39.</w:t>
      </w:r>
      <w:r>
        <w:tab/>
      </w:r>
      <w:r w:rsidR="003E4382" w:rsidRPr="00415C95">
        <w:t>The SBSTA welcomed the in-session SBSTA–IPCC special event on advice on how the assessments of the IPCC</w:t>
      </w:r>
      <w:r w:rsidR="003E4382" w:rsidRPr="006C3D21">
        <w:t xml:space="preserve"> can inform the global stocktake. It acknowledged the </w:t>
      </w:r>
      <w:r w:rsidR="003E4382">
        <w:t xml:space="preserve">rich </w:t>
      </w:r>
      <w:r w:rsidR="003E4382" w:rsidRPr="006C3D21">
        <w:t>exchange of information that took place</w:t>
      </w:r>
      <w:r w:rsidR="003E4382">
        <w:t>.</w:t>
      </w:r>
    </w:p>
    <w:p w14:paraId="1D90A41E" w14:textId="133635CA" w:rsidR="003E4382" w:rsidRPr="00831278" w:rsidRDefault="00F83E99" w:rsidP="00F83E99">
      <w:pPr>
        <w:pStyle w:val="RegSingleTxtG"/>
        <w:numPr>
          <w:ilvl w:val="0"/>
          <w:numId w:val="0"/>
        </w:numPr>
        <w:tabs>
          <w:tab w:val="left" w:pos="568"/>
        </w:tabs>
        <w:ind w:left="1135"/>
      </w:pPr>
      <w:r w:rsidRPr="00831278">
        <w:t>40.</w:t>
      </w:r>
      <w:r w:rsidRPr="00831278">
        <w:tab/>
      </w:r>
      <w:r w:rsidR="003E4382" w:rsidRPr="006C3D21">
        <w:rPr>
          <w:lang w:val="en-CA" w:eastAsia="en-GB"/>
        </w:rPr>
        <w:t xml:space="preserve">The SBSTA </w:t>
      </w:r>
      <w:r w:rsidR="00C4569C">
        <w:rPr>
          <w:lang w:val="en-CA" w:eastAsia="en-GB"/>
        </w:rPr>
        <w:t xml:space="preserve">also </w:t>
      </w:r>
      <w:r w:rsidR="003E4382" w:rsidRPr="006C3D21">
        <w:rPr>
          <w:lang w:val="en-CA" w:eastAsia="en-GB"/>
        </w:rPr>
        <w:t>acknowledged th</w:t>
      </w:r>
      <w:r w:rsidR="003E4382">
        <w:rPr>
          <w:lang w:val="en-CA" w:eastAsia="en-GB"/>
        </w:rPr>
        <w:t xml:space="preserve">e importance of the outputs </w:t>
      </w:r>
      <w:r w:rsidR="003E4382" w:rsidRPr="00376399">
        <w:rPr>
          <w:lang w:val="en-CA" w:eastAsia="en-GB"/>
        </w:rPr>
        <w:t>of IPCC assessment cycle</w:t>
      </w:r>
      <w:r w:rsidR="003E4382">
        <w:rPr>
          <w:lang w:val="en-CA" w:eastAsia="en-GB"/>
        </w:rPr>
        <w:t>s</w:t>
      </w:r>
      <w:r w:rsidR="003E4382" w:rsidRPr="00376399">
        <w:rPr>
          <w:lang w:val="en-CA" w:eastAsia="en-GB"/>
        </w:rPr>
        <w:t xml:space="preserve"> for the global stocktake,</w:t>
      </w:r>
      <w:r w:rsidR="003E4382">
        <w:rPr>
          <w:lang w:val="en-CA" w:eastAsia="en-GB"/>
        </w:rPr>
        <w:t xml:space="preserve"> which will contribute to the scientific integrity of the global stocktake. It </w:t>
      </w:r>
      <w:r w:rsidR="003E4382" w:rsidRPr="006C3D21">
        <w:rPr>
          <w:lang w:val="en-CA" w:eastAsia="en-GB"/>
        </w:rPr>
        <w:t xml:space="preserve">noted the importance of </w:t>
      </w:r>
      <w:r w:rsidR="003E4382">
        <w:rPr>
          <w:lang w:val="en-CA" w:eastAsia="en-GB"/>
        </w:rPr>
        <w:t xml:space="preserve">the </w:t>
      </w:r>
      <w:r w:rsidR="003E4382" w:rsidRPr="006C3D21">
        <w:rPr>
          <w:lang w:val="en-CA" w:eastAsia="en-GB"/>
        </w:rPr>
        <w:t xml:space="preserve">effective communication </w:t>
      </w:r>
      <w:r w:rsidR="003E4382">
        <w:rPr>
          <w:lang w:val="en-CA" w:eastAsia="en-GB"/>
        </w:rPr>
        <w:t xml:space="preserve">of the results of the work of the IPCC to the </w:t>
      </w:r>
      <w:r w:rsidR="003E4382" w:rsidRPr="00376399">
        <w:rPr>
          <w:lang w:val="en-CA" w:eastAsia="en-GB"/>
        </w:rPr>
        <w:t>UNFCCC, bearing in mind that the type, scope and timing of the IPCC reports is decided by the IPCC. It welcomed the decision of the IPCC to take the outcomes of COP 21 into account when determining the IPCC programme of work and products for the sixth IPCC assessment cycle.</w:t>
      </w:r>
      <w:r w:rsidR="003E4382" w:rsidRPr="00376399">
        <w:rPr>
          <w:rStyle w:val="FootnoteReference"/>
          <w:lang w:val="en-CA" w:eastAsia="en-GB"/>
        </w:rPr>
        <w:footnoteReference w:id="30"/>
      </w:r>
    </w:p>
    <w:p w14:paraId="50F4E23F" w14:textId="523D42BD" w:rsidR="003E4382" w:rsidRDefault="00F83E99" w:rsidP="00F83E99">
      <w:pPr>
        <w:pStyle w:val="RegSingleTxtG"/>
        <w:numPr>
          <w:ilvl w:val="0"/>
          <w:numId w:val="0"/>
        </w:numPr>
        <w:tabs>
          <w:tab w:val="left" w:pos="568"/>
        </w:tabs>
        <w:ind w:left="1135"/>
      </w:pPr>
      <w:r>
        <w:t>41.</w:t>
      </w:r>
      <w:r>
        <w:tab/>
      </w:r>
      <w:r w:rsidR="003E4382">
        <w:t xml:space="preserve">The SBSTA </w:t>
      </w:r>
      <w:r w:rsidR="00923584">
        <w:t xml:space="preserve">also </w:t>
      </w:r>
      <w:r w:rsidR="003E4382">
        <w:t>welcomed IPCC decisions IPCC/XLIII-</w:t>
      </w:r>
      <w:r w:rsidR="003E4382" w:rsidRPr="00311CCA">
        <w:t>6</w:t>
      </w:r>
      <w:r w:rsidR="003E4382">
        <w:t>,</w:t>
      </w:r>
      <w:r w:rsidR="003E4382" w:rsidRPr="004275EA">
        <w:t xml:space="preserve"> </w:t>
      </w:r>
      <w:r w:rsidR="003E4382">
        <w:t>IPCC/XLIII-7 and IPCC/XLIII-</w:t>
      </w:r>
      <w:r w:rsidR="003E4382" w:rsidRPr="00311CCA">
        <w:t>8</w:t>
      </w:r>
      <w:r w:rsidR="003E4382">
        <w:t>,</w:t>
      </w:r>
      <w:r w:rsidR="003E4382">
        <w:rPr>
          <w:rStyle w:val="FootnoteReference"/>
        </w:rPr>
        <w:footnoteReference w:id="31"/>
      </w:r>
      <w:r w:rsidR="003E4382">
        <w:t xml:space="preserve"> enumerating the forthcoming products of the sixth IPCC </w:t>
      </w:r>
      <w:r w:rsidR="003E4382" w:rsidRPr="00490AA2">
        <w:t>assessment</w:t>
      </w:r>
      <w:r w:rsidR="003E4382">
        <w:t xml:space="preserve"> cycle, including an IPCC Special Report to be produced in 2018 on the impacts of global warming of 1.5 °C above pre-industrial levels and related global GHG emission pathways, to be prepared in the context of strengthening the global response to the threat of climate change, sustainable development and efforts to eradicate poverty, which will have relevance to the first global stocktake.</w:t>
      </w:r>
    </w:p>
    <w:p w14:paraId="5D987270" w14:textId="5E50864E" w:rsidR="003E4382" w:rsidRPr="00376399" w:rsidRDefault="00F83E99" w:rsidP="00F83E99">
      <w:pPr>
        <w:pStyle w:val="RegSingleTxtG"/>
        <w:numPr>
          <w:ilvl w:val="0"/>
          <w:numId w:val="0"/>
        </w:numPr>
        <w:tabs>
          <w:tab w:val="left" w:pos="568"/>
        </w:tabs>
        <w:ind w:left="1135"/>
      </w:pPr>
      <w:r w:rsidRPr="00376399">
        <w:t>42.</w:t>
      </w:r>
      <w:r w:rsidRPr="00376399">
        <w:tab/>
      </w:r>
      <w:r w:rsidR="003E4382" w:rsidRPr="00376399">
        <w:t>The SBSTA noted that, in relation to</w:t>
      </w:r>
      <w:r w:rsidR="003E4382">
        <w:t xml:space="preserve"> advice on</w:t>
      </w:r>
      <w:r w:rsidR="003E4382" w:rsidRPr="00376399">
        <w:t xml:space="preserve"> how the IPCC assessments can inform the global stocktake, lessons can be learned from </w:t>
      </w:r>
      <w:r w:rsidR="003E4382" w:rsidRPr="00490AA2">
        <w:t>past</w:t>
      </w:r>
      <w:r w:rsidR="003E4382" w:rsidRPr="00376399">
        <w:t xml:space="preserve"> experience</w:t>
      </w:r>
      <w:r w:rsidR="003E4382">
        <w:t>.</w:t>
      </w:r>
      <w:r w:rsidR="003E4382">
        <w:rPr>
          <w:rStyle w:val="FootnoteReference"/>
        </w:rPr>
        <w:footnoteReference w:id="32"/>
      </w:r>
      <w:r w:rsidR="003E4382" w:rsidRPr="00376399">
        <w:t xml:space="preserve"> </w:t>
      </w:r>
      <w:r w:rsidR="003E4382">
        <w:t xml:space="preserve">It </w:t>
      </w:r>
      <w:r w:rsidR="003E4382" w:rsidRPr="00376399">
        <w:t>invited Parties and observer organizations, taking relevant experience into account, to submit</w:t>
      </w:r>
      <w:r w:rsidR="003E4382">
        <w:t>,</w:t>
      </w:r>
      <w:r w:rsidR="003E4382" w:rsidRPr="00376399">
        <w:t xml:space="preserve"> by </w:t>
      </w:r>
      <w:r w:rsidR="003E4382">
        <w:br/>
        <w:t>12 September</w:t>
      </w:r>
      <w:r w:rsidR="003E4382" w:rsidRPr="00376399">
        <w:t xml:space="preserve"> 2016</w:t>
      </w:r>
      <w:r w:rsidR="003E4382">
        <w:t>,</w:t>
      </w:r>
      <w:r w:rsidR="003E4382" w:rsidRPr="00376399">
        <w:t xml:space="preserve"> their views on</w:t>
      </w:r>
      <w:r w:rsidR="003E4382">
        <w:t xml:space="preserve"> advice on</w:t>
      </w:r>
      <w:r w:rsidR="003E4382" w:rsidRPr="00376399">
        <w:t xml:space="preserve"> how the assessments of the IPCC can inform the global stocktake, bearing in mind the time frame of the sixth IPCC assessment cycle.</w:t>
      </w:r>
      <w:r w:rsidR="003E4382" w:rsidRPr="00376399">
        <w:rPr>
          <w:rStyle w:val="FootnoteReference"/>
        </w:rPr>
        <w:footnoteReference w:id="33"/>
      </w:r>
    </w:p>
    <w:p w14:paraId="3C6B0D93" w14:textId="4C331244" w:rsidR="003E4382" w:rsidRDefault="00F83E99" w:rsidP="00F83E99">
      <w:pPr>
        <w:pStyle w:val="RegSingleTxtG"/>
        <w:numPr>
          <w:ilvl w:val="0"/>
          <w:numId w:val="0"/>
        </w:numPr>
        <w:tabs>
          <w:tab w:val="left" w:pos="568"/>
        </w:tabs>
        <w:ind w:left="1135"/>
      </w:pPr>
      <w:bookmarkStart w:id="123" w:name="_Ref452990718"/>
      <w:r>
        <w:lastRenderedPageBreak/>
        <w:t>43.</w:t>
      </w:r>
      <w:r>
        <w:tab/>
      </w:r>
      <w:r w:rsidR="003E4382" w:rsidRPr="006C3D21">
        <w:t xml:space="preserve">The SBSTA agreed to continue </w:t>
      </w:r>
      <w:r w:rsidR="003E4382">
        <w:t>its consideration of</w:t>
      </w:r>
      <w:r w:rsidR="003E4382" w:rsidRPr="006C3D21">
        <w:t xml:space="preserve"> </w:t>
      </w:r>
      <w:r w:rsidR="003E4382" w:rsidRPr="00490AA2">
        <w:t>this</w:t>
      </w:r>
      <w:r w:rsidR="003E4382" w:rsidRPr="006C3D21">
        <w:t xml:space="preserve"> matter at </w:t>
      </w:r>
      <w:r w:rsidR="003E4382">
        <w:t>SBSTA 45</w:t>
      </w:r>
      <w:r w:rsidR="003E4382" w:rsidRPr="006C3D21">
        <w:t>, bearing in mind th</w:t>
      </w:r>
      <w:r w:rsidR="003E4382">
        <w:t>e</w:t>
      </w:r>
      <w:r w:rsidR="003E4382" w:rsidRPr="006C3D21">
        <w:t xml:space="preserve"> relevant work </w:t>
      </w:r>
      <w:r w:rsidR="003E4382">
        <w:t>of the</w:t>
      </w:r>
      <w:r w:rsidR="003E4382" w:rsidRPr="006C3D21">
        <w:t xml:space="preserve"> </w:t>
      </w:r>
      <w:r w:rsidR="003E4382">
        <w:t>Ad Hoc Working Group on the Paris Agreement (APA) on the global stocktake</w:t>
      </w:r>
      <w:r w:rsidR="003E4382" w:rsidRPr="006C3D21">
        <w:t>.</w:t>
      </w:r>
      <w:bookmarkEnd w:id="123"/>
    </w:p>
    <w:p w14:paraId="71F4A6E7" w14:textId="56D1DDB3" w:rsidR="003E4382" w:rsidRDefault="00F83E99" w:rsidP="00F83E99">
      <w:pPr>
        <w:pStyle w:val="RegH1G"/>
        <w:numPr>
          <w:ilvl w:val="0"/>
          <w:numId w:val="0"/>
        </w:numPr>
        <w:tabs>
          <w:tab w:val="left" w:pos="1135"/>
        </w:tabs>
        <w:ind w:left="1135" w:hanging="454"/>
        <w:rPr>
          <w:rStyle w:val="SingleTxtGChar"/>
          <w:b w:val="0"/>
          <w:sz w:val="20"/>
        </w:rPr>
      </w:pPr>
      <w:bookmarkStart w:id="124" w:name="_Toc452991191"/>
      <w:bookmarkStart w:id="125" w:name="_Toc452994341"/>
      <w:bookmarkStart w:id="126" w:name="_Toc453077369"/>
      <w:r>
        <w:rPr>
          <w:rStyle w:val="SingleTxtGChar"/>
        </w:rPr>
        <w:t>C.</w:t>
      </w:r>
      <w:r>
        <w:rPr>
          <w:rStyle w:val="SingleTxtGChar"/>
        </w:rPr>
        <w:tab/>
      </w:r>
      <w:r w:rsidR="003E4382" w:rsidRPr="00451764">
        <w:t>The scope of the next periodic review of the long-term global goal under the Convention and of overall progress towards achieving it</w:t>
      </w:r>
      <w:r w:rsidR="003E4382">
        <w:br/>
      </w:r>
      <w:r w:rsidR="003E4382" w:rsidRPr="00225477">
        <w:rPr>
          <w:rStyle w:val="SingleTxtGChar"/>
          <w:b w:val="0"/>
          <w:sz w:val="20"/>
        </w:rPr>
        <w:t>(Agenda sub-item 6(</w:t>
      </w:r>
      <w:r w:rsidR="003E4382">
        <w:rPr>
          <w:rStyle w:val="SingleTxtGChar"/>
          <w:b w:val="0"/>
          <w:sz w:val="20"/>
        </w:rPr>
        <w:t>c</w:t>
      </w:r>
      <w:r w:rsidR="003E4382" w:rsidRPr="00225477">
        <w:rPr>
          <w:rStyle w:val="SingleTxtGChar"/>
          <w:b w:val="0"/>
          <w:sz w:val="20"/>
        </w:rPr>
        <w:t>))</w:t>
      </w:r>
      <w:bookmarkEnd w:id="124"/>
      <w:bookmarkEnd w:id="125"/>
      <w:bookmarkEnd w:id="126"/>
    </w:p>
    <w:p w14:paraId="51B3D857" w14:textId="0830E51A" w:rsidR="003E4382" w:rsidRDefault="00F83E99" w:rsidP="00F83E99">
      <w:pPr>
        <w:pStyle w:val="RegH23G"/>
        <w:numPr>
          <w:ilvl w:val="0"/>
          <w:numId w:val="0"/>
        </w:numPr>
        <w:tabs>
          <w:tab w:val="left" w:pos="1135"/>
        </w:tabs>
        <w:ind w:left="1135" w:hanging="454"/>
      </w:pPr>
      <w:r>
        <w:rPr>
          <w:bCs/>
        </w:rPr>
        <w:t>1.</w:t>
      </w:r>
      <w:r>
        <w:rPr>
          <w:bCs/>
        </w:rPr>
        <w:tab/>
      </w:r>
      <w:r w:rsidR="003E4382" w:rsidRPr="00E657BD">
        <w:t>Proceedings</w:t>
      </w:r>
    </w:p>
    <w:p w14:paraId="7B7F5526" w14:textId="1854CC5E" w:rsidR="003E4382" w:rsidRPr="005F5C31" w:rsidRDefault="00F83E99" w:rsidP="00F83E99">
      <w:pPr>
        <w:pStyle w:val="RegSingleTxtG"/>
        <w:numPr>
          <w:ilvl w:val="0"/>
          <w:numId w:val="0"/>
        </w:numPr>
        <w:tabs>
          <w:tab w:val="left" w:pos="2127"/>
        </w:tabs>
        <w:ind w:left="1134"/>
        <w:rPr>
          <w:lang w:eastAsia="en-US"/>
        </w:rPr>
      </w:pPr>
      <w:bookmarkStart w:id="127" w:name="_Ref452990724"/>
      <w:r w:rsidRPr="005F5C31">
        <w:rPr>
          <w:lang w:eastAsia="en-US"/>
        </w:rPr>
        <w:t>44.</w:t>
      </w:r>
      <w:r w:rsidRPr="005F5C31">
        <w:rPr>
          <w:lang w:eastAsia="en-US"/>
        </w:rPr>
        <w:tab/>
      </w:r>
      <w:r w:rsidR="003E4382" w:rsidRPr="00865CD7">
        <w:rPr>
          <w:lang w:eastAsia="en-GB"/>
        </w:rPr>
        <w:t xml:space="preserve">The SBSTA considered this agenda sub-item at its </w:t>
      </w:r>
      <w:r w:rsidR="003E4382" w:rsidRPr="00F617F6">
        <w:rPr>
          <w:lang w:eastAsia="en-GB"/>
        </w:rPr>
        <w:t>1</w:t>
      </w:r>
      <w:r w:rsidR="003E4382" w:rsidRPr="008D042E">
        <w:rPr>
          <w:vertAlign w:val="superscript"/>
          <w:lang w:eastAsia="en-GB"/>
        </w:rPr>
        <w:t>st</w:t>
      </w:r>
      <w:r w:rsidR="003E4382">
        <w:rPr>
          <w:lang w:eastAsia="en-GB"/>
        </w:rPr>
        <w:t xml:space="preserve"> and 2</w:t>
      </w:r>
      <w:r w:rsidR="003E4382" w:rsidRPr="008D042E">
        <w:rPr>
          <w:vertAlign w:val="superscript"/>
          <w:lang w:eastAsia="en-GB"/>
        </w:rPr>
        <w:t>nd</w:t>
      </w:r>
      <w:r w:rsidR="003E4382">
        <w:rPr>
          <w:lang w:eastAsia="en-GB"/>
        </w:rPr>
        <w:t xml:space="preserve"> </w:t>
      </w:r>
      <w:r w:rsidR="003E4382" w:rsidRPr="00F617F6">
        <w:rPr>
          <w:lang w:eastAsia="en-GB"/>
        </w:rPr>
        <w:t>meeting</w:t>
      </w:r>
      <w:r w:rsidR="003E4382">
        <w:rPr>
          <w:lang w:eastAsia="en-GB"/>
        </w:rPr>
        <w:t xml:space="preserve">s. </w:t>
      </w:r>
      <w:r w:rsidR="003E4382" w:rsidRPr="00865CD7">
        <w:rPr>
          <w:lang w:eastAsia="en-GB"/>
        </w:rPr>
        <w:t xml:space="preserve">At its </w:t>
      </w:r>
      <w:r w:rsidR="003E4382">
        <w:rPr>
          <w:lang w:eastAsia="en-GB"/>
        </w:rPr>
        <w:t>1</w:t>
      </w:r>
      <w:r w:rsidR="003E4382" w:rsidRPr="008D042E">
        <w:rPr>
          <w:vertAlign w:val="superscript"/>
          <w:lang w:eastAsia="en-GB"/>
        </w:rPr>
        <w:t>st</w:t>
      </w:r>
      <w:r w:rsidR="003E4382">
        <w:rPr>
          <w:lang w:eastAsia="en-GB"/>
        </w:rPr>
        <w:t xml:space="preserve"> </w:t>
      </w:r>
      <w:r w:rsidR="003E4382" w:rsidRPr="00865CD7">
        <w:rPr>
          <w:lang w:eastAsia="en-GB"/>
        </w:rPr>
        <w:t xml:space="preserve">meeting, the SBSTA agreed to consider this </w:t>
      </w:r>
      <w:r w:rsidR="003E4382" w:rsidRPr="00614F83">
        <w:rPr>
          <w:lang w:eastAsia="en-GB"/>
        </w:rPr>
        <w:t xml:space="preserve">agenda sub-item </w:t>
      </w:r>
      <w:r w:rsidR="003E4382" w:rsidRPr="00856DD3">
        <w:rPr>
          <w:lang w:eastAsia="en-GB"/>
        </w:rPr>
        <w:t>together</w:t>
      </w:r>
      <w:r w:rsidR="003E4382">
        <w:rPr>
          <w:lang w:eastAsia="en-GB"/>
        </w:rPr>
        <w:t xml:space="preserve"> </w:t>
      </w:r>
      <w:r w:rsidR="003E4382" w:rsidRPr="00614F83">
        <w:rPr>
          <w:lang w:eastAsia="en-GB"/>
        </w:rPr>
        <w:t xml:space="preserve">with </w:t>
      </w:r>
      <w:r w:rsidR="003E4382">
        <w:rPr>
          <w:lang w:eastAsia="en-GB"/>
        </w:rPr>
        <w:t xml:space="preserve">SBI </w:t>
      </w:r>
      <w:r w:rsidR="003E4382" w:rsidRPr="00614F83">
        <w:rPr>
          <w:lang w:eastAsia="en-GB"/>
        </w:rPr>
        <w:t xml:space="preserve">agenda item </w:t>
      </w:r>
      <w:r w:rsidR="003E4382">
        <w:rPr>
          <w:lang w:eastAsia="en-GB"/>
        </w:rPr>
        <w:t>15</w:t>
      </w:r>
      <w:r w:rsidR="003E4382" w:rsidRPr="00614F83">
        <w:rPr>
          <w:lang w:eastAsia="en-GB"/>
        </w:rPr>
        <w:t xml:space="preserve"> </w:t>
      </w:r>
      <w:r w:rsidR="003E4382" w:rsidRPr="005F5C31">
        <w:rPr>
          <w:lang w:eastAsia="en-GB"/>
        </w:rPr>
        <w:t>in a contact group co-chaired by</w:t>
      </w:r>
      <w:r w:rsidR="003E4382">
        <w:rPr>
          <w:lang w:eastAsia="en-GB"/>
        </w:rPr>
        <w:t xml:space="preserve"> Mr. Leon Charles (Grenada) and Ms. Gertraud Wollansk</w:t>
      </w:r>
      <w:r w:rsidR="00E024CF">
        <w:rPr>
          <w:lang w:eastAsia="en-GB"/>
        </w:rPr>
        <w:t>y</w:t>
      </w:r>
      <w:r w:rsidR="003E4382">
        <w:rPr>
          <w:lang w:eastAsia="en-GB"/>
        </w:rPr>
        <w:t xml:space="preserve"> (Austria)</w:t>
      </w:r>
      <w:r w:rsidR="003E4382" w:rsidRPr="005F5C31">
        <w:rPr>
          <w:lang w:eastAsia="en-GB"/>
        </w:rPr>
        <w:t xml:space="preserve">. </w:t>
      </w:r>
      <w:r w:rsidR="003E4382">
        <w:rPr>
          <w:lang w:eastAsia="en-GB"/>
        </w:rPr>
        <w:t>At its 2</w:t>
      </w:r>
      <w:r w:rsidR="003E4382" w:rsidRPr="008D042E">
        <w:rPr>
          <w:vertAlign w:val="superscript"/>
          <w:lang w:eastAsia="en-GB"/>
        </w:rPr>
        <w:t>nd</w:t>
      </w:r>
      <w:r w:rsidR="003E4382">
        <w:rPr>
          <w:lang w:eastAsia="en-GB"/>
        </w:rPr>
        <w:t xml:space="preserve"> meeting, the SBSTA considered and adopted the conclusions below.</w:t>
      </w:r>
      <w:r w:rsidR="003E4382">
        <w:rPr>
          <w:rStyle w:val="FootnoteReference"/>
          <w:lang w:eastAsia="en-GB"/>
        </w:rPr>
        <w:footnoteReference w:id="34"/>
      </w:r>
      <w:bookmarkEnd w:id="127"/>
    </w:p>
    <w:p w14:paraId="5EF280F3" w14:textId="1EB4C776" w:rsidR="003E4382" w:rsidRDefault="00F83E99" w:rsidP="00F83E99">
      <w:pPr>
        <w:pStyle w:val="RegH23G"/>
        <w:numPr>
          <w:ilvl w:val="0"/>
          <w:numId w:val="0"/>
        </w:numPr>
        <w:tabs>
          <w:tab w:val="left" w:pos="1135"/>
        </w:tabs>
        <w:ind w:left="1135" w:hanging="454"/>
        <w:rPr>
          <w:lang w:eastAsia="en-US"/>
        </w:rPr>
      </w:pPr>
      <w:r>
        <w:rPr>
          <w:bCs/>
          <w:lang w:eastAsia="en-US"/>
        </w:rPr>
        <w:t>2.</w:t>
      </w:r>
      <w:r>
        <w:rPr>
          <w:bCs/>
          <w:lang w:eastAsia="en-US"/>
        </w:rPr>
        <w:tab/>
      </w:r>
      <w:r w:rsidR="003E4382">
        <w:rPr>
          <w:lang w:eastAsia="en-US"/>
        </w:rPr>
        <w:t>Conclusions</w:t>
      </w:r>
    </w:p>
    <w:p w14:paraId="1849C492" w14:textId="6065066F" w:rsidR="003E4382" w:rsidRDefault="00F83E99" w:rsidP="00F83E99">
      <w:pPr>
        <w:pStyle w:val="RegSingleTxtG"/>
        <w:numPr>
          <w:ilvl w:val="0"/>
          <w:numId w:val="0"/>
        </w:numPr>
        <w:tabs>
          <w:tab w:val="left" w:pos="2127"/>
        </w:tabs>
        <w:ind w:left="1134"/>
      </w:pPr>
      <w:r>
        <w:t>45.</w:t>
      </w:r>
      <w:r>
        <w:tab/>
      </w:r>
      <w:r w:rsidR="003E4382" w:rsidRPr="0002726B">
        <w:t xml:space="preserve">The SBSTA and the </w:t>
      </w:r>
      <w:r w:rsidR="003E4382">
        <w:t>SB</w:t>
      </w:r>
      <w:r w:rsidR="003E4382" w:rsidRPr="0002726B">
        <w:t>I</w:t>
      </w:r>
      <w:r w:rsidR="003E4382">
        <w:t xml:space="preserve"> r</w:t>
      </w:r>
      <w:r w:rsidR="003E4382" w:rsidRPr="0002726B">
        <w:t>ecall</w:t>
      </w:r>
      <w:r w:rsidR="003E4382">
        <w:t>ed</w:t>
      </w:r>
      <w:r w:rsidR="003E4382" w:rsidRPr="0002726B">
        <w:t xml:space="preserve"> that </w:t>
      </w:r>
      <w:r w:rsidR="003E4382">
        <w:t xml:space="preserve">they had been </w:t>
      </w:r>
      <w:r w:rsidR="003E4382" w:rsidRPr="00547D29">
        <w:t xml:space="preserve">requested </w:t>
      </w:r>
      <w:r w:rsidR="003E4382">
        <w:t>at</w:t>
      </w:r>
      <w:r w:rsidR="003E4382" w:rsidRPr="00547D29">
        <w:t xml:space="preserve"> </w:t>
      </w:r>
      <w:r w:rsidR="003E4382">
        <w:t xml:space="preserve">COP 21 </w:t>
      </w:r>
      <w:r w:rsidR="003E4382" w:rsidRPr="00547D29">
        <w:t xml:space="preserve">to consider the scope of the next periodic review with a view to forwarding a recommendation for consideration by the </w:t>
      </w:r>
      <w:r w:rsidR="003E4382">
        <w:t xml:space="preserve">COP </w:t>
      </w:r>
      <w:r w:rsidR="003E4382" w:rsidRPr="00547D29">
        <w:t>by no later than 2018, as appropriate.</w:t>
      </w:r>
      <w:r w:rsidR="003E4382">
        <w:rPr>
          <w:rStyle w:val="FootnoteReference"/>
        </w:rPr>
        <w:footnoteReference w:id="35"/>
      </w:r>
    </w:p>
    <w:p w14:paraId="6106C3CB" w14:textId="2364783A" w:rsidR="003E4382" w:rsidRDefault="00F83E99" w:rsidP="00F83E99">
      <w:pPr>
        <w:pStyle w:val="RegSingleTxtG"/>
        <w:numPr>
          <w:ilvl w:val="0"/>
          <w:numId w:val="0"/>
        </w:numPr>
        <w:tabs>
          <w:tab w:val="left" w:pos="2127"/>
        </w:tabs>
        <w:ind w:left="1134"/>
      </w:pPr>
      <w:r>
        <w:t>46.</w:t>
      </w:r>
      <w:r>
        <w:tab/>
      </w:r>
      <w:r w:rsidR="003E4382">
        <w:t xml:space="preserve">They also recalled that the COP, at the same session, had agreed that the next periodic review should be conducted in an effective and efficient manner, avoid </w:t>
      </w:r>
      <w:r w:rsidR="003E4382">
        <w:rPr>
          <w:lang w:eastAsia="en-GB"/>
        </w:rPr>
        <w:t>duplication</w:t>
      </w:r>
      <w:r w:rsidR="003E4382">
        <w:t xml:space="preserve"> of work and take into account the results of relevant work conducted under the Convention and its Kyoto Protocol and the subsidiary bodies.</w:t>
      </w:r>
      <w:r w:rsidR="003E4382">
        <w:rPr>
          <w:rStyle w:val="FootnoteReference"/>
        </w:rPr>
        <w:footnoteReference w:id="36"/>
      </w:r>
      <w:r w:rsidR="003E4382">
        <w:t xml:space="preserve"> In that regard, the SBSTA and the SBI noted the relevant work on the global stocktake under the APA, the facilitative dialogue, which will take place in 2018, and the technical examination processes.</w:t>
      </w:r>
    </w:p>
    <w:p w14:paraId="5B9229C5" w14:textId="3432FEC4" w:rsidR="003E4382" w:rsidRPr="00415C95" w:rsidRDefault="00F83E99" w:rsidP="00F83E99">
      <w:pPr>
        <w:pStyle w:val="RegSingleTxtG"/>
        <w:numPr>
          <w:ilvl w:val="0"/>
          <w:numId w:val="0"/>
        </w:numPr>
        <w:tabs>
          <w:tab w:val="left" w:pos="2127"/>
        </w:tabs>
        <w:ind w:left="1134"/>
      </w:pPr>
      <w:r w:rsidRPr="00415C95">
        <w:t>47.</w:t>
      </w:r>
      <w:r w:rsidRPr="00415C95">
        <w:tab/>
      </w:r>
      <w:r w:rsidR="003E4382">
        <w:t xml:space="preserve">In the light of the mandate referred to in </w:t>
      </w:r>
      <w:r w:rsidR="003E4382" w:rsidRPr="00415C95">
        <w:t xml:space="preserve">paragraphs 45 and 46 above, the SBSTA and the SBI agreed to further consider the scope of the next periodic review at their forty-sixth sessions and </w:t>
      </w:r>
      <w:r w:rsidR="008B49DB">
        <w:t xml:space="preserve">to </w:t>
      </w:r>
      <w:r w:rsidR="003E4382" w:rsidRPr="00415C95">
        <w:t xml:space="preserve">refine it, taking into account relevant experiences with the </w:t>
      </w:r>
      <w:r w:rsidR="003E4382" w:rsidRPr="00415C95">
        <w:br/>
        <w:t>2013–2015 review.</w:t>
      </w:r>
    </w:p>
    <w:p w14:paraId="11596168" w14:textId="43A1E09F" w:rsidR="003E4382" w:rsidRDefault="00F83E99" w:rsidP="00F83E99">
      <w:pPr>
        <w:pStyle w:val="RegSingleTxtG"/>
        <w:numPr>
          <w:ilvl w:val="0"/>
          <w:numId w:val="0"/>
        </w:numPr>
        <w:tabs>
          <w:tab w:val="left" w:pos="2127"/>
        </w:tabs>
        <w:ind w:left="1134"/>
      </w:pPr>
      <w:bookmarkStart w:id="128" w:name="_Ref452990687"/>
      <w:r>
        <w:t>48.</w:t>
      </w:r>
      <w:r>
        <w:tab/>
      </w:r>
      <w:r w:rsidR="003E4382">
        <w:t>The SBSTA and the SBI noted that an in-session workshop</w:t>
      </w:r>
      <w:r w:rsidR="003E4382" w:rsidRPr="006126B7">
        <w:t xml:space="preserve"> </w:t>
      </w:r>
      <w:r w:rsidR="003E4382">
        <w:t>on the scope of the next periodic review could be useful and that they may consider the matter further at their forty-sixth sessions.</w:t>
      </w:r>
      <w:bookmarkEnd w:id="128"/>
    </w:p>
    <w:p w14:paraId="2CFA8968" w14:textId="11AD6254" w:rsidR="003E4382" w:rsidRPr="001C7747" w:rsidRDefault="00F83E99" w:rsidP="00F83E99">
      <w:pPr>
        <w:pStyle w:val="RegHChG"/>
        <w:numPr>
          <w:ilvl w:val="0"/>
          <w:numId w:val="0"/>
        </w:numPr>
        <w:tabs>
          <w:tab w:val="left" w:pos="1135"/>
        </w:tabs>
        <w:ind w:left="1135" w:hanging="454"/>
      </w:pPr>
      <w:bookmarkStart w:id="129" w:name="_Toc373495750"/>
      <w:bookmarkStart w:id="130" w:name="_Toc391892181"/>
      <w:bookmarkStart w:id="131" w:name="_Toc391892365"/>
      <w:bookmarkStart w:id="132" w:name="_Toc437266322"/>
      <w:bookmarkStart w:id="133" w:name="_Toc452991192"/>
      <w:bookmarkStart w:id="134" w:name="_Toc452994342"/>
      <w:bookmarkStart w:id="135" w:name="_Toc453077370"/>
      <w:bookmarkStart w:id="136" w:name="_Toc328480800"/>
      <w:bookmarkStart w:id="137" w:name="_Toc361321974"/>
      <w:r w:rsidRPr="001C7747">
        <w:t>VII.</w:t>
      </w:r>
      <w:r w:rsidRPr="001C7747">
        <w:tab/>
      </w:r>
      <w:r w:rsidR="003E4382" w:rsidRPr="00451764">
        <w:t>Impact of the implementation of response measures</w:t>
      </w:r>
      <w:r w:rsidR="003E4382" w:rsidRPr="001D0755">
        <w:t xml:space="preserve"> </w:t>
      </w:r>
      <w:r w:rsidR="003E4382">
        <w:br/>
      </w:r>
      <w:r w:rsidR="003E4382" w:rsidRPr="00E657BD">
        <w:rPr>
          <w:b w:val="0"/>
          <w:sz w:val="20"/>
        </w:rPr>
        <w:t>(Agenda item 7)</w:t>
      </w:r>
      <w:bookmarkEnd w:id="129"/>
      <w:bookmarkEnd w:id="130"/>
      <w:bookmarkEnd w:id="131"/>
      <w:bookmarkEnd w:id="132"/>
      <w:bookmarkEnd w:id="133"/>
      <w:bookmarkEnd w:id="134"/>
      <w:bookmarkEnd w:id="135"/>
    </w:p>
    <w:p w14:paraId="22761E38" w14:textId="10EDE66B" w:rsidR="003E4382" w:rsidRDefault="00F83E99" w:rsidP="00F83E99">
      <w:pPr>
        <w:pStyle w:val="RegH1G"/>
        <w:numPr>
          <w:ilvl w:val="0"/>
          <w:numId w:val="0"/>
        </w:numPr>
        <w:tabs>
          <w:tab w:val="left" w:pos="1135"/>
        </w:tabs>
        <w:ind w:left="1135" w:hanging="454"/>
        <w:rPr>
          <w:bCs/>
          <w:color w:val="000000"/>
          <w:sz w:val="20"/>
        </w:rPr>
      </w:pPr>
      <w:bookmarkStart w:id="138" w:name="_Toc373495751"/>
      <w:bookmarkStart w:id="139" w:name="_Toc391892182"/>
      <w:bookmarkStart w:id="140" w:name="_Toc391892366"/>
      <w:bookmarkStart w:id="141" w:name="_Toc437266323"/>
      <w:bookmarkStart w:id="142" w:name="_Toc452991193"/>
      <w:bookmarkStart w:id="143" w:name="_Toc452994343"/>
      <w:bookmarkStart w:id="144" w:name="_Toc453077371"/>
      <w:r>
        <w:rPr>
          <w:bCs/>
          <w:color w:val="000000"/>
        </w:rPr>
        <w:t>A.</w:t>
      </w:r>
      <w:r>
        <w:rPr>
          <w:bCs/>
          <w:color w:val="000000"/>
        </w:rPr>
        <w:tab/>
      </w:r>
      <w:r w:rsidR="003E4382" w:rsidRPr="00451764">
        <w:t>Improved forum and work programme</w:t>
      </w:r>
      <w:r w:rsidR="003E4382" w:rsidRPr="00865CD7">
        <w:rPr>
          <w:bCs/>
          <w:color w:val="000000"/>
        </w:rPr>
        <w:br/>
      </w:r>
      <w:r w:rsidR="003E4382" w:rsidRPr="007A5493">
        <w:rPr>
          <w:b w:val="0"/>
          <w:bCs/>
          <w:color w:val="000000"/>
          <w:sz w:val="20"/>
        </w:rPr>
        <w:t>(Agenda</w:t>
      </w:r>
      <w:r w:rsidR="003E4382">
        <w:rPr>
          <w:b w:val="0"/>
          <w:bCs/>
          <w:color w:val="000000"/>
          <w:sz w:val="20"/>
        </w:rPr>
        <w:t xml:space="preserve"> sub-item</w:t>
      </w:r>
      <w:r w:rsidR="003E4382" w:rsidRPr="007A5493">
        <w:rPr>
          <w:b w:val="0"/>
          <w:bCs/>
          <w:color w:val="000000"/>
          <w:sz w:val="20"/>
        </w:rPr>
        <w:t xml:space="preserve"> </w:t>
      </w:r>
      <w:r w:rsidR="003E4382">
        <w:rPr>
          <w:b w:val="0"/>
          <w:bCs/>
          <w:color w:val="000000"/>
          <w:sz w:val="20"/>
        </w:rPr>
        <w:t>7</w:t>
      </w:r>
      <w:r w:rsidR="003E4382" w:rsidRPr="007A5493">
        <w:rPr>
          <w:b w:val="0"/>
          <w:bCs/>
          <w:color w:val="000000"/>
          <w:sz w:val="20"/>
        </w:rPr>
        <w:t>(a))</w:t>
      </w:r>
      <w:bookmarkEnd w:id="138"/>
      <w:bookmarkEnd w:id="139"/>
      <w:bookmarkEnd w:id="140"/>
      <w:bookmarkEnd w:id="141"/>
      <w:bookmarkEnd w:id="142"/>
      <w:bookmarkEnd w:id="143"/>
      <w:bookmarkEnd w:id="144"/>
      <w:r w:rsidR="003E4382" w:rsidRPr="00865CD7">
        <w:rPr>
          <w:bCs/>
          <w:color w:val="000000"/>
          <w:sz w:val="20"/>
        </w:rPr>
        <w:t xml:space="preserve"> </w:t>
      </w:r>
    </w:p>
    <w:p w14:paraId="2872101B" w14:textId="7563CE4A" w:rsidR="003E4382" w:rsidRPr="005F5C31" w:rsidRDefault="00F83E99" w:rsidP="00F83E99">
      <w:pPr>
        <w:pStyle w:val="RegH23G"/>
        <w:numPr>
          <w:ilvl w:val="0"/>
          <w:numId w:val="0"/>
        </w:numPr>
        <w:tabs>
          <w:tab w:val="left" w:pos="1135"/>
        </w:tabs>
        <w:ind w:left="1135" w:hanging="454"/>
      </w:pPr>
      <w:r w:rsidRPr="005F5C31">
        <w:rPr>
          <w:bCs/>
        </w:rPr>
        <w:t>1.</w:t>
      </w:r>
      <w:r w:rsidRPr="005F5C31">
        <w:rPr>
          <w:bCs/>
        </w:rPr>
        <w:tab/>
      </w:r>
      <w:r w:rsidR="003E4382">
        <w:t>Proceedings</w:t>
      </w:r>
    </w:p>
    <w:p w14:paraId="3AE09368" w14:textId="3B7AE9B0" w:rsidR="003E4382" w:rsidRPr="005F5C31" w:rsidRDefault="00F83E99" w:rsidP="00F83E99">
      <w:pPr>
        <w:pStyle w:val="RegSingleTxtG"/>
        <w:numPr>
          <w:ilvl w:val="0"/>
          <w:numId w:val="0"/>
        </w:numPr>
        <w:tabs>
          <w:tab w:val="left" w:pos="2127"/>
        </w:tabs>
        <w:ind w:left="1134"/>
        <w:rPr>
          <w:lang w:eastAsia="en-US"/>
        </w:rPr>
      </w:pPr>
      <w:bookmarkStart w:id="145" w:name="_Ref374541045"/>
      <w:bookmarkStart w:id="146" w:name="_Ref392164248"/>
      <w:bookmarkStart w:id="147" w:name="_Ref452990738"/>
      <w:bookmarkStart w:id="148" w:name="_Toc373495752"/>
      <w:r w:rsidRPr="005F5C31">
        <w:rPr>
          <w:lang w:eastAsia="en-US"/>
        </w:rPr>
        <w:t>49.</w:t>
      </w:r>
      <w:r w:rsidRPr="005F5C31">
        <w:rPr>
          <w:lang w:eastAsia="en-US"/>
        </w:rPr>
        <w:tab/>
      </w:r>
      <w:r w:rsidR="003E4382" w:rsidRPr="00865CD7">
        <w:rPr>
          <w:lang w:eastAsia="en-GB"/>
        </w:rPr>
        <w:t xml:space="preserve">The SBSTA considered this agenda sub-item at its </w:t>
      </w:r>
      <w:r w:rsidR="003E4382" w:rsidRPr="00F617F6">
        <w:rPr>
          <w:lang w:eastAsia="en-GB"/>
        </w:rPr>
        <w:t>1</w:t>
      </w:r>
      <w:r w:rsidR="003E4382" w:rsidRPr="008D042E">
        <w:rPr>
          <w:vertAlign w:val="superscript"/>
          <w:lang w:eastAsia="en-GB"/>
        </w:rPr>
        <w:t>st</w:t>
      </w:r>
      <w:r w:rsidR="003E4382">
        <w:rPr>
          <w:lang w:eastAsia="en-GB"/>
        </w:rPr>
        <w:t xml:space="preserve"> meeting and at its 4</w:t>
      </w:r>
      <w:r w:rsidR="003E4382" w:rsidRPr="002F0495">
        <w:rPr>
          <w:vertAlign w:val="superscript"/>
          <w:lang w:eastAsia="en-GB"/>
        </w:rPr>
        <w:t>th</w:t>
      </w:r>
      <w:r w:rsidR="003E4382">
        <w:rPr>
          <w:lang w:eastAsia="en-GB"/>
        </w:rPr>
        <w:t xml:space="preserve"> </w:t>
      </w:r>
      <w:r w:rsidR="003E4382" w:rsidRPr="00F617F6">
        <w:rPr>
          <w:lang w:eastAsia="en-GB"/>
        </w:rPr>
        <w:t>meeting</w:t>
      </w:r>
      <w:bookmarkEnd w:id="145"/>
      <w:bookmarkEnd w:id="146"/>
      <w:r w:rsidR="003E4382">
        <w:rPr>
          <w:lang w:eastAsia="en-GB"/>
        </w:rPr>
        <w:t xml:space="preserve"> on 26 May. It had before it </w:t>
      </w:r>
      <w:r w:rsidR="003E4382" w:rsidRPr="00415C95">
        <w:rPr>
          <w:lang w:eastAsia="en-GB"/>
        </w:rPr>
        <w:t>documents FCCC/TP/2016/3 and FCCC/TP/2016/4. At its 1</w:t>
      </w:r>
      <w:r w:rsidR="003E4382" w:rsidRPr="00415C95">
        <w:rPr>
          <w:vertAlign w:val="superscript"/>
          <w:lang w:eastAsia="en-GB"/>
        </w:rPr>
        <w:t>st</w:t>
      </w:r>
      <w:r w:rsidR="003E4382" w:rsidRPr="00415C95">
        <w:rPr>
          <w:lang w:eastAsia="en-GB"/>
        </w:rPr>
        <w:t xml:space="preserve"> meeting, the SBSTA agreed to consider this</w:t>
      </w:r>
      <w:r w:rsidR="003E4382" w:rsidRPr="00865CD7">
        <w:rPr>
          <w:lang w:eastAsia="en-GB"/>
        </w:rPr>
        <w:t xml:space="preserve"> </w:t>
      </w:r>
      <w:r w:rsidR="003E4382" w:rsidRPr="00614F83">
        <w:rPr>
          <w:lang w:eastAsia="en-GB"/>
        </w:rPr>
        <w:t xml:space="preserve">agenda sub-item </w:t>
      </w:r>
      <w:r w:rsidR="003E4382" w:rsidRPr="00856DD3">
        <w:rPr>
          <w:lang w:eastAsia="en-GB"/>
        </w:rPr>
        <w:t>together</w:t>
      </w:r>
      <w:r w:rsidR="003E4382">
        <w:rPr>
          <w:lang w:eastAsia="en-GB"/>
        </w:rPr>
        <w:t xml:space="preserve"> </w:t>
      </w:r>
      <w:r w:rsidR="003E4382" w:rsidRPr="00614F83">
        <w:rPr>
          <w:lang w:eastAsia="en-GB"/>
        </w:rPr>
        <w:t xml:space="preserve">with </w:t>
      </w:r>
      <w:r w:rsidR="003E4382">
        <w:rPr>
          <w:lang w:eastAsia="en-GB"/>
        </w:rPr>
        <w:t xml:space="preserve">SBI </w:t>
      </w:r>
      <w:r w:rsidR="003E4382" w:rsidRPr="00614F83">
        <w:rPr>
          <w:lang w:eastAsia="en-GB"/>
        </w:rPr>
        <w:t>agenda sub-</w:t>
      </w:r>
      <w:r w:rsidR="003E4382" w:rsidRPr="00614F83">
        <w:rPr>
          <w:lang w:eastAsia="en-GB"/>
        </w:rPr>
        <w:lastRenderedPageBreak/>
        <w:t xml:space="preserve">item </w:t>
      </w:r>
      <w:r w:rsidR="003E4382" w:rsidRPr="000E6B6B">
        <w:rPr>
          <w:lang w:eastAsia="en-GB"/>
        </w:rPr>
        <w:t>14(a)</w:t>
      </w:r>
      <w:r w:rsidR="003E4382" w:rsidRPr="00614F83">
        <w:rPr>
          <w:lang w:eastAsia="en-GB"/>
        </w:rPr>
        <w:t xml:space="preserve"> </w:t>
      </w:r>
      <w:r w:rsidR="003E4382" w:rsidRPr="005F5C31">
        <w:rPr>
          <w:lang w:eastAsia="en-GB"/>
        </w:rPr>
        <w:t>in a contact group co-</w:t>
      </w:r>
      <w:r w:rsidR="003E4382" w:rsidRPr="000E6B6B">
        <w:rPr>
          <w:lang w:eastAsia="en-GB"/>
        </w:rPr>
        <w:t xml:space="preserve">chaired </w:t>
      </w:r>
      <w:r w:rsidR="003E4382" w:rsidRPr="00E024CF">
        <w:rPr>
          <w:lang w:eastAsia="en-GB"/>
        </w:rPr>
        <w:t xml:space="preserve">by </w:t>
      </w:r>
      <w:r w:rsidR="000E6B6B" w:rsidRPr="00E024CF">
        <w:rPr>
          <w:lang w:eastAsia="en-GB"/>
        </w:rPr>
        <w:t xml:space="preserve">the </w:t>
      </w:r>
      <w:r w:rsidR="000E6B6B" w:rsidRPr="00E024CF">
        <w:t xml:space="preserve">Chair of the SBSTA and the Chair of the SBI, Mr. Tomasz Chruszczow (Poland), </w:t>
      </w:r>
      <w:r w:rsidR="003E4382" w:rsidRPr="00E024CF">
        <w:rPr>
          <w:lang w:eastAsia="en-GB"/>
        </w:rPr>
        <w:t>assisted by Ms. Natalya Kushko (Ukraine) and Mr. Andrei Marcu (Panama). The SBSTA also agreed to consider this agenda sub-item at this session jointly with SBSTA agenda sub-item 7(c). At its 4</w:t>
      </w:r>
      <w:r w:rsidR="003E4382" w:rsidRPr="00E024CF">
        <w:rPr>
          <w:vertAlign w:val="superscript"/>
          <w:lang w:eastAsia="en-GB"/>
        </w:rPr>
        <w:t>th</w:t>
      </w:r>
      <w:r w:rsidR="003E4382" w:rsidRPr="00E024CF">
        <w:rPr>
          <w:lang w:eastAsia="en-GB"/>
        </w:rPr>
        <w:t xml:space="preserve"> meeting, the SBSTA considered and adopted the conclusions below.</w:t>
      </w:r>
      <w:r w:rsidR="003E4382" w:rsidRPr="00E024CF">
        <w:rPr>
          <w:rStyle w:val="FootnoteReference"/>
          <w:lang w:eastAsia="en-GB"/>
        </w:rPr>
        <w:footnoteReference w:id="37"/>
      </w:r>
      <w:bookmarkEnd w:id="147"/>
    </w:p>
    <w:p w14:paraId="5483CE14" w14:textId="7363171F" w:rsidR="003E4382" w:rsidRDefault="00F83E99" w:rsidP="00F83E99">
      <w:pPr>
        <w:pStyle w:val="RegH23G"/>
        <w:numPr>
          <w:ilvl w:val="0"/>
          <w:numId w:val="0"/>
        </w:numPr>
        <w:tabs>
          <w:tab w:val="left" w:pos="1135"/>
        </w:tabs>
        <w:ind w:left="1135" w:hanging="454"/>
        <w:rPr>
          <w:lang w:eastAsia="en-US"/>
        </w:rPr>
      </w:pPr>
      <w:r>
        <w:rPr>
          <w:bCs/>
          <w:lang w:eastAsia="en-US"/>
        </w:rPr>
        <w:t>2.</w:t>
      </w:r>
      <w:r>
        <w:rPr>
          <w:bCs/>
          <w:lang w:eastAsia="en-US"/>
        </w:rPr>
        <w:tab/>
      </w:r>
      <w:r w:rsidR="003E4382" w:rsidRPr="005F5C31">
        <w:rPr>
          <w:lang w:eastAsia="en-US"/>
        </w:rPr>
        <w:t>Conclusions</w:t>
      </w:r>
    </w:p>
    <w:p w14:paraId="5F85B22D" w14:textId="765343F5" w:rsidR="003E4382" w:rsidRDefault="00F83E99" w:rsidP="00F83E99">
      <w:pPr>
        <w:pStyle w:val="RegSingleTxtG"/>
        <w:numPr>
          <w:ilvl w:val="0"/>
          <w:numId w:val="0"/>
        </w:numPr>
        <w:tabs>
          <w:tab w:val="left" w:pos="2127"/>
        </w:tabs>
        <w:ind w:left="1134"/>
      </w:pPr>
      <w:r>
        <w:t>50.</w:t>
      </w:r>
      <w:r>
        <w:tab/>
      </w:r>
      <w:r w:rsidR="003E4382">
        <w:t>The SBI and the SBSTA considered the technical paper</w:t>
      </w:r>
      <w:r w:rsidR="003E4382">
        <w:rPr>
          <w:rStyle w:val="FootnoteReference"/>
        </w:rPr>
        <w:footnoteReference w:id="38"/>
      </w:r>
      <w:r w:rsidR="003E4382">
        <w:t xml:space="preserve"> prepared by the secretariat to assist developing country Parties in assessing the impact of the implementation of response measures, including the use of modelling tools, and the technical paper</w:t>
      </w:r>
      <w:r w:rsidR="003E4382">
        <w:rPr>
          <w:rStyle w:val="FootnoteReference"/>
        </w:rPr>
        <w:footnoteReference w:id="39"/>
      </w:r>
      <w:r w:rsidR="003E4382">
        <w:t xml:space="preserve"> to assist developing country Parties in their economic diversification initiatives. The SBI and the SBSTA </w:t>
      </w:r>
      <w:r w:rsidR="003E4382" w:rsidRPr="00A0495D">
        <w:t>encouraged developing countr</w:t>
      </w:r>
      <w:r w:rsidR="003E4382">
        <w:t xml:space="preserve">y Parties to use these technical papers as guidance in their assessment of the impact of the implementation of response measures and their economic diversification initiatives. The SBI and the SBSTA noted that Parties considered the information contained in these technical papers for the purposes of advancing </w:t>
      </w:r>
      <w:r w:rsidR="003E4382" w:rsidRPr="00A0495D">
        <w:t xml:space="preserve">their work on </w:t>
      </w:r>
      <w:r w:rsidR="003E4382">
        <w:t xml:space="preserve">the </w:t>
      </w:r>
      <w:r w:rsidR="003E4382" w:rsidRPr="00A0495D">
        <w:t xml:space="preserve">work programme </w:t>
      </w:r>
      <w:r w:rsidR="003E4382">
        <w:t>on the impact of the implementation of response measures.</w:t>
      </w:r>
    </w:p>
    <w:p w14:paraId="27114B2E" w14:textId="4799E782" w:rsidR="003E4382" w:rsidRDefault="00F83E99" w:rsidP="00F83E99">
      <w:pPr>
        <w:pStyle w:val="RegSingleTxtG"/>
        <w:numPr>
          <w:ilvl w:val="0"/>
          <w:numId w:val="0"/>
        </w:numPr>
        <w:tabs>
          <w:tab w:val="left" w:pos="2127"/>
        </w:tabs>
        <w:ind w:left="1134"/>
      </w:pPr>
      <w:r>
        <w:t>51.</w:t>
      </w:r>
      <w:r>
        <w:tab/>
      </w:r>
      <w:r w:rsidR="003E4382">
        <w:t xml:space="preserve">The SBI and the SBSTA welcomed the offer by a </w:t>
      </w:r>
      <w:r w:rsidR="003E4382" w:rsidRPr="004C1649">
        <w:t>Gulf Cooperation Council</w:t>
      </w:r>
      <w:r w:rsidR="003E4382">
        <w:t xml:space="preserve"> country to host a workshop to enhance work under the improved forum.</w:t>
      </w:r>
      <w:r w:rsidR="003E4382">
        <w:rPr>
          <w:rStyle w:val="FootnoteReference"/>
        </w:rPr>
        <w:footnoteReference w:id="40"/>
      </w:r>
    </w:p>
    <w:p w14:paraId="5D7DED97" w14:textId="797639F2" w:rsidR="003E4382" w:rsidRDefault="00F83E99" w:rsidP="00F83E99">
      <w:pPr>
        <w:pStyle w:val="RegSingleTxtG"/>
        <w:numPr>
          <w:ilvl w:val="0"/>
          <w:numId w:val="0"/>
        </w:numPr>
        <w:tabs>
          <w:tab w:val="left" w:pos="2127"/>
        </w:tabs>
        <w:ind w:left="1134"/>
      </w:pPr>
      <w:r>
        <w:t>52.</w:t>
      </w:r>
      <w:r>
        <w:tab/>
      </w:r>
      <w:r w:rsidR="003E4382">
        <w:t>The SBI and the SBSTA noted the interest of some Parties in a high-level event on economic diversification and sustainable development to be held at COP 22.</w:t>
      </w:r>
    </w:p>
    <w:p w14:paraId="43109771" w14:textId="10C8912E" w:rsidR="003E4382" w:rsidRPr="00E024CF" w:rsidRDefault="00F83E99" w:rsidP="00F83E99">
      <w:pPr>
        <w:pStyle w:val="RegSingleTxtG"/>
        <w:numPr>
          <w:ilvl w:val="0"/>
          <w:numId w:val="0"/>
        </w:numPr>
        <w:tabs>
          <w:tab w:val="left" w:pos="2127"/>
        </w:tabs>
        <w:ind w:left="1134"/>
      </w:pPr>
      <w:r w:rsidRPr="00E024CF">
        <w:t>53.</w:t>
      </w:r>
      <w:r w:rsidRPr="00E024CF">
        <w:tab/>
      </w:r>
      <w:r w:rsidR="003E4382">
        <w:t xml:space="preserve">The SBI and the SBSTA convened the first meeting of the improved forum on the impact of the implementation of response measures in accordance with decision </w:t>
      </w:r>
      <w:r w:rsidR="003E4382" w:rsidRPr="00000240">
        <w:t>11/CP.21</w:t>
      </w:r>
      <w:r w:rsidR="003E4382">
        <w:t xml:space="preserve"> and agreed to implement the </w:t>
      </w:r>
      <w:r w:rsidR="003E4382" w:rsidRPr="00E024CF">
        <w:t>work programme on the impact of the implementation of response measures as contained in annex I, under the guidance of the Chairs of the SBI and the SBSTA.</w:t>
      </w:r>
    </w:p>
    <w:p w14:paraId="6E8E9EDE" w14:textId="1CCA1D09" w:rsidR="003E4382" w:rsidRPr="00E024CF" w:rsidRDefault="00F83E99" w:rsidP="00F83E99">
      <w:pPr>
        <w:pStyle w:val="RegSingleTxtG"/>
        <w:numPr>
          <w:ilvl w:val="0"/>
          <w:numId w:val="0"/>
        </w:numPr>
        <w:tabs>
          <w:tab w:val="left" w:pos="2127"/>
        </w:tabs>
        <w:ind w:left="1134"/>
      </w:pPr>
      <w:r w:rsidRPr="00E024CF">
        <w:t>54.</w:t>
      </w:r>
      <w:r w:rsidRPr="00E024CF">
        <w:tab/>
      </w:r>
      <w:r w:rsidR="003E4382" w:rsidRPr="00E024CF">
        <w:t>The SBI and the SBSTA also agreed that in order to advance the work of the improved forum, the ad hoc technical expert groups</w:t>
      </w:r>
      <w:r w:rsidR="003E4382" w:rsidRPr="00E024CF">
        <w:rPr>
          <w:rStyle w:val="FootnoteReference"/>
        </w:rPr>
        <w:footnoteReference w:id="41"/>
      </w:r>
      <w:r w:rsidR="003E4382" w:rsidRPr="00E024CF">
        <w:t xml:space="preserve"> shall function in accordance with the terms of reference contained in annex II.</w:t>
      </w:r>
    </w:p>
    <w:p w14:paraId="70719C2A" w14:textId="1610C7B5" w:rsidR="003E4382" w:rsidRDefault="00F83E99" w:rsidP="00F83E99">
      <w:pPr>
        <w:pStyle w:val="RegSingleTxtG"/>
        <w:numPr>
          <w:ilvl w:val="0"/>
          <w:numId w:val="0"/>
        </w:numPr>
        <w:tabs>
          <w:tab w:val="left" w:pos="2127"/>
        </w:tabs>
        <w:ind w:left="1134"/>
        <w:rPr>
          <w:u w:val="single"/>
        </w:rPr>
      </w:pPr>
      <w:r>
        <w:t>55.</w:t>
      </w:r>
      <w:r>
        <w:tab/>
      </w:r>
      <w:r w:rsidR="003E4382">
        <w:t>The SBI and the SBSTA requested the secretariat to support, under the guidance of the Chairs of the SBI and the SBSTA, the implementation of the work programme, including the activities of the ad hoc technical expert groups.</w:t>
      </w:r>
    </w:p>
    <w:p w14:paraId="5180D84A" w14:textId="786A0362" w:rsidR="003E4382" w:rsidRDefault="00F83E99" w:rsidP="00F83E99">
      <w:pPr>
        <w:pStyle w:val="RegSingleTxtG"/>
        <w:numPr>
          <w:ilvl w:val="0"/>
          <w:numId w:val="0"/>
        </w:numPr>
        <w:tabs>
          <w:tab w:val="left" w:pos="2127"/>
        </w:tabs>
        <w:ind w:left="1134"/>
        <w:rPr>
          <w:u w:val="single"/>
        </w:rPr>
      </w:pPr>
      <w:r>
        <w:t>56.</w:t>
      </w:r>
      <w:r>
        <w:tab/>
      </w:r>
      <w:r w:rsidR="003E4382">
        <w:rPr>
          <w:iCs/>
        </w:rPr>
        <w:t xml:space="preserve">The SBI and the SBSTA took note </w:t>
      </w:r>
      <w:r w:rsidR="003E4382">
        <w:t xml:space="preserve">of the estimated budgetary implications of the actions to be undertaken by the secretariat referred to in </w:t>
      </w:r>
      <w:r w:rsidR="003E4382" w:rsidRPr="00415C95">
        <w:t>paragraphs 53–55 above</w:t>
      </w:r>
      <w:r w:rsidR="003E4382">
        <w:t>.</w:t>
      </w:r>
    </w:p>
    <w:p w14:paraId="56F6716A" w14:textId="4DE57FF0" w:rsidR="003E4382" w:rsidRDefault="00F83E99" w:rsidP="00F83E99">
      <w:pPr>
        <w:pStyle w:val="RegSingleTxtG"/>
        <w:numPr>
          <w:ilvl w:val="0"/>
          <w:numId w:val="0"/>
        </w:numPr>
        <w:tabs>
          <w:tab w:val="left" w:pos="2127"/>
        </w:tabs>
        <w:ind w:left="1134"/>
      </w:pPr>
      <w:bookmarkStart w:id="149" w:name="_Ref452990766"/>
      <w:r>
        <w:t>57.</w:t>
      </w:r>
      <w:r>
        <w:tab/>
      </w:r>
      <w:r w:rsidR="003E4382" w:rsidRPr="00552155">
        <w:t>The SBI and the SBSTA requested that the actions of the secretariat called for in these conclusions be undertaken subject to the availability of financial resources.</w:t>
      </w:r>
      <w:bookmarkEnd w:id="149"/>
    </w:p>
    <w:p w14:paraId="4769C3E0" w14:textId="6925100C" w:rsidR="003E4382" w:rsidRPr="001D0755" w:rsidRDefault="00F83E99" w:rsidP="00F83E99">
      <w:pPr>
        <w:pStyle w:val="RegH1G"/>
        <w:numPr>
          <w:ilvl w:val="0"/>
          <w:numId w:val="0"/>
        </w:numPr>
        <w:tabs>
          <w:tab w:val="left" w:pos="1135"/>
        </w:tabs>
        <w:ind w:left="1135" w:hanging="454"/>
        <w:rPr>
          <w:lang w:eastAsia="en-US"/>
        </w:rPr>
      </w:pPr>
      <w:bookmarkStart w:id="150" w:name="_Toc452991194"/>
      <w:bookmarkStart w:id="151" w:name="_Toc452994344"/>
      <w:bookmarkStart w:id="152" w:name="_Toc453077372"/>
      <w:r w:rsidRPr="001D0755">
        <w:rPr>
          <w:lang w:eastAsia="en-US"/>
        </w:rPr>
        <w:lastRenderedPageBreak/>
        <w:t>B.</w:t>
      </w:r>
      <w:r w:rsidRPr="001D0755">
        <w:rPr>
          <w:lang w:eastAsia="en-US"/>
        </w:rPr>
        <w:tab/>
      </w:r>
      <w:r w:rsidR="003E4382" w:rsidRPr="00451764">
        <w:rPr>
          <w:lang w:eastAsia="en-US"/>
        </w:rPr>
        <w:t>Modalities, work programme and functions under the Paris Agreement of the forum on the impact of the implementation of response measures</w:t>
      </w:r>
      <w:r w:rsidR="003E4382" w:rsidRPr="001D0755">
        <w:rPr>
          <w:lang w:eastAsia="en-US"/>
        </w:rPr>
        <w:t xml:space="preserve"> </w:t>
      </w:r>
      <w:r w:rsidR="003E4382">
        <w:rPr>
          <w:lang w:eastAsia="en-US"/>
        </w:rPr>
        <w:br/>
      </w:r>
      <w:r w:rsidR="003E4382" w:rsidRPr="00E657BD">
        <w:rPr>
          <w:b w:val="0"/>
          <w:bCs/>
          <w:color w:val="000000"/>
          <w:sz w:val="20"/>
        </w:rPr>
        <w:t>(Agenda item 7(b))</w:t>
      </w:r>
      <w:bookmarkEnd w:id="150"/>
      <w:bookmarkEnd w:id="151"/>
      <w:bookmarkEnd w:id="152"/>
    </w:p>
    <w:p w14:paraId="3F8C5672" w14:textId="4BB490D5" w:rsidR="003E4382" w:rsidRDefault="00F83E99" w:rsidP="00F83E99">
      <w:pPr>
        <w:pStyle w:val="RegH23G"/>
        <w:numPr>
          <w:ilvl w:val="0"/>
          <w:numId w:val="0"/>
        </w:numPr>
        <w:tabs>
          <w:tab w:val="left" w:pos="1135"/>
        </w:tabs>
        <w:ind w:left="1135" w:hanging="454"/>
        <w:rPr>
          <w:lang w:eastAsia="en-US"/>
        </w:rPr>
      </w:pPr>
      <w:r>
        <w:rPr>
          <w:bCs/>
          <w:lang w:eastAsia="en-US"/>
        </w:rPr>
        <w:t>1.</w:t>
      </w:r>
      <w:r>
        <w:rPr>
          <w:bCs/>
          <w:lang w:eastAsia="en-US"/>
        </w:rPr>
        <w:tab/>
      </w:r>
      <w:r w:rsidR="003E4382">
        <w:rPr>
          <w:lang w:eastAsia="en-US"/>
        </w:rPr>
        <w:t>Proceedings</w:t>
      </w:r>
    </w:p>
    <w:p w14:paraId="05DD26BD" w14:textId="07470C6E" w:rsidR="003E4382" w:rsidRDefault="00F83E99" w:rsidP="00F83E99">
      <w:pPr>
        <w:pStyle w:val="RegSingleTxtG"/>
        <w:numPr>
          <w:ilvl w:val="0"/>
          <w:numId w:val="0"/>
        </w:numPr>
        <w:tabs>
          <w:tab w:val="left" w:pos="2127"/>
        </w:tabs>
        <w:ind w:left="1134"/>
        <w:rPr>
          <w:lang w:eastAsia="en-US"/>
        </w:rPr>
      </w:pPr>
      <w:bookmarkStart w:id="153" w:name="_Ref452990774"/>
      <w:r>
        <w:rPr>
          <w:lang w:eastAsia="en-US"/>
        </w:rPr>
        <w:t>58.</w:t>
      </w:r>
      <w:r>
        <w:rPr>
          <w:lang w:eastAsia="en-US"/>
        </w:rPr>
        <w:tab/>
      </w:r>
      <w:r w:rsidR="003E4382" w:rsidRPr="00865CD7">
        <w:t xml:space="preserve">The SBSTA considered this agenda sub-item at </w:t>
      </w:r>
      <w:r w:rsidR="003E4382" w:rsidRPr="00491F5F">
        <w:t>its 1</w:t>
      </w:r>
      <w:r w:rsidR="003E4382" w:rsidRPr="00A341A7">
        <w:rPr>
          <w:vertAlign w:val="superscript"/>
        </w:rPr>
        <w:t>st</w:t>
      </w:r>
      <w:r w:rsidR="003E4382" w:rsidRPr="00491F5F">
        <w:t xml:space="preserve"> </w:t>
      </w:r>
      <w:r w:rsidR="003E4382" w:rsidRPr="00A341A7">
        <w:rPr>
          <w:snapToGrid w:val="0"/>
        </w:rPr>
        <w:t xml:space="preserve">and </w:t>
      </w:r>
      <w:r w:rsidR="003E4382" w:rsidRPr="000272A2">
        <w:rPr>
          <w:snapToGrid w:val="0"/>
        </w:rPr>
        <w:t>4</w:t>
      </w:r>
      <w:r w:rsidR="003E4382" w:rsidRPr="000272A2">
        <w:rPr>
          <w:snapToGrid w:val="0"/>
          <w:vertAlign w:val="superscript"/>
        </w:rPr>
        <w:t>th</w:t>
      </w:r>
      <w:r w:rsidR="003E4382" w:rsidRPr="000272A2">
        <w:rPr>
          <w:snapToGrid w:val="0"/>
        </w:rPr>
        <w:t xml:space="preserve"> meetings</w:t>
      </w:r>
      <w:r w:rsidR="003E4382" w:rsidRPr="000272A2">
        <w:t>. At its 1</w:t>
      </w:r>
      <w:r w:rsidR="003E4382" w:rsidRPr="000272A2">
        <w:rPr>
          <w:vertAlign w:val="superscript"/>
        </w:rPr>
        <w:t>st</w:t>
      </w:r>
      <w:r w:rsidR="003E4382" w:rsidRPr="000272A2">
        <w:t xml:space="preserve"> meeting, the SBSTA agreed to </w:t>
      </w:r>
      <w:r w:rsidR="003E4382" w:rsidRPr="000272A2">
        <w:rPr>
          <w:lang w:eastAsia="en-GB"/>
        </w:rPr>
        <w:t>consider this agenda sub-item together with SBSTA agenda sub-item 7(a) and SBI agenda sub-item 14(a) in a contact group. At</w:t>
      </w:r>
      <w:r w:rsidR="003E4382">
        <w:rPr>
          <w:lang w:eastAsia="en-GB"/>
        </w:rPr>
        <w:t xml:space="preserve"> its 4</w:t>
      </w:r>
      <w:r w:rsidR="003E4382" w:rsidRPr="008F2383">
        <w:rPr>
          <w:vertAlign w:val="superscript"/>
          <w:lang w:eastAsia="en-GB"/>
        </w:rPr>
        <w:t>th</w:t>
      </w:r>
      <w:r w:rsidR="003E4382">
        <w:rPr>
          <w:lang w:eastAsia="en-GB"/>
        </w:rPr>
        <w:t xml:space="preserve"> meeting, the SBSTA considered and adopted the conclusions below.</w:t>
      </w:r>
      <w:r w:rsidR="003E4382">
        <w:rPr>
          <w:rStyle w:val="FootnoteReference"/>
          <w:lang w:eastAsia="en-GB"/>
        </w:rPr>
        <w:footnoteReference w:id="42"/>
      </w:r>
      <w:bookmarkEnd w:id="153"/>
    </w:p>
    <w:p w14:paraId="1023D38A" w14:textId="45DB4085" w:rsidR="003E4382" w:rsidRDefault="00F83E99" w:rsidP="00F83E99">
      <w:pPr>
        <w:pStyle w:val="RegH23G"/>
        <w:numPr>
          <w:ilvl w:val="0"/>
          <w:numId w:val="0"/>
        </w:numPr>
        <w:tabs>
          <w:tab w:val="left" w:pos="1135"/>
        </w:tabs>
        <w:ind w:left="1135" w:hanging="454"/>
        <w:rPr>
          <w:lang w:eastAsia="en-US"/>
        </w:rPr>
      </w:pPr>
      <w:r>
        <w:rPr>
          <w:bCs/>
          <w:lang w:eastAsia="en-US"/>
        </w:rPr>
        <w:t>2.</w:t>
      </w:r>
      <w:r>
        <w:rPr>
          <w:bCs/>
          <w:lang w:eastAsia="en-US"/>
        </w:rPr>
        <w:tab/>
      </w:r>
      <w:r w:rsidR="003E4382">
        <w:rPr>
          <w:lang w:eastAsia="en-US"/>
        </w:rPr>
        <w:t>Conclusions</w:t>
      </w:r>
    </w:p>
    <w:p w14:paraId="4977156C" w14:textId="1C4CB57D" w:rsidR="003E4382" w:rsidRPr="00415C95" w:rsidRDefault="00F83E99" w:rsidP="00F83E99">
      <w:pPr>
        <w:pStyle w:val="RegSingleTxtG"/>
        <w:numPr>
          <w:ilvl w:val="0"/>
          <w:numId w:val="0"/>
        </w:numPr>
        <w:tabs>
          <w:tab w:val="left" w:pos="2127"/>
        </w:tabs>
        <w:ind w:left="1134"/>
      </w:pPr>
      <w:r w:rsidRPr="00415C95">
        <w:t>59.</w:t>
      </w:r>
      <w:r w:rsidRPr="00415C95">
        <w:tab/>
      </w:r>
      <w:r w:rsidR="003E4382" w:rsidRPr="002974C8">
        <w:t xml:space="preserve">The SBI and the SBSTA initiated their consideration of the modalities, work programme and functions under the Paris Agreement of the forum on the impact of the implementation of response measures, in accordance with </w:t>
      </w:r>
      <w:r w:rsidR="003E4382" w:rsidRPr="00415C95">
        <w:t xml:space="preserve">decision 1/CP.21, paragraph 34. </w:t>
      </w:r>
    </w:p>
    <w:p w14:paraId="787DA43A" w14:textId="54FA2AE7" w:rsidR="003E4382" w:rsidRPr="00415C95" w:rsidRDefault="00F83E99" w:rsidP="00F83E99">
      <w:pPr>
        <w:pStyle w:val="RegSingleTxtG"/>
        <w:numPr>
          <w:ilvl w:val="0"/>
          <w:numId w:val="0"/>
        </w:numPr>
        <w:tabs>
          <w:tab w:val="left" w:pos="2127"/>
        </w:tabs>
        <w:ind w:left="1134"/>
      </w:pPr>
      <w:r w:rsidRPr="00415C95">
        <w:t>60.</w:t>
      </w:r>
      <w:r w:rsidRPr="00415C95">
        <w:tab/>
      </w:r>
      <w:r w:rsidR="003E4382" w:rsidRPr="00415C95">
        <w:t>The SBI and the SBSTA invited Parties and observer organizations to submit, by 12 September 2016, their views on the modalities, work programme and functions under the Paris Agreement of the forum on the impact of the implementation of response measures.</w:t>
      </w:r>
      <w:r w:rsidR="003E4382" w:rsidRPr="00415C95">
        <w:rPr>
          <w:rStyle w:val="FootnoteReference"/>
          <w:color w:val="000000"/>
        </w:rPr>
        <w:footnoteReference w:id="43"/>
      </w:r>
    </w:p>
    <w:p w14:paraId="071236AA" w14:textId="62AE54DA" w:rsidR="003E4382" w:rsidRPr="002974C8" w:rsidRDefault="00F83E99" w:rsidP="00F83E99">
      <w:pPr>
        <w:pStyle w:val="RegSingleTxtG"/>
        <w:numPr>
          <w:ilvl w:val="0"/>
          <w:numId w:val="0"/>
        </w:numPr>
        <w:tabs>
          <w:tab w:val="left" w:pos="2127"/>
        </w:tabs>
        <w:ind w:left="1134"/>
      </w:pPr>
      <w:bookmarkStart w:id="154" w:name="_Ref452990778"/>
      <w:r w:rsidRPr="002974C8">
        <w:t>61.</w:t>
      </w:r>
      <w:r w:rsidRPr="002974C8">
        <w:tab/>
      </w:r>
      <w:r w:rsidR="003E4382" w:rsidRPr="00415C95">
        <w:t>They agreed to continue their consideration of this matter at their forty-fifth sessions taking into consideration the submissions referred to in paragraph 60 above</w:t>
      </w:r>
      <w:r w:rsidR="003E4382" w:rsidRPr="002974C8">
        <w:t>.</w:t>
      </w:r>
      <w:bookmarkEnd w:id="154"/>
    </w:p>
    <w:p w14:paraId="60C7D952" w14:textId="771E5BA2" w:rsidR="003E4382" w:rsidRPr="00865CD7" w:rsidRDefault="00F83E99" w:rsidP="00F83E99">
      <w:pPr>
        <w:pStyle w:val="RegH1G"/>
        <w:numPr>
          <w:ilvl w:val="0"/>
          <w:numId w:val="0"/>
        </w:numPr>
        <w:tabs>
          <w:tab w:val="left" w:pos="1135"/>
        </w:tabs>
        <w:ind w:left="1135" w:hanging="454"/>
        <w:rPr>
          <w:bCs/>
          <w:color w:val="000000"/>
        </w:rPr>
      </w:pPr>
      <w:bookmarkStart w:id="155" w:name="_Toc391892183"/>
      <w:bookmarkStart w:id="156" w:name="_Toc391892367"/>
      <w:bookmarkStart w:id="157" w:name="_Toc437266324"/>
      <w:bookmarkStart w:id="158" w:name="_Toc452991195"/>
      <w:bookmarkStart w:id="159" w:name="_Toc452994345"/>
      <w:bookmarkStart w:id="160" w:name="_Toc453077373"/>
      <w:r w:rsidRPr="00865CD7">
        <w:rPr>
          <w:bCs/>
          <w:color w:val="000000"/>
        </w:rPr>
        <w:t>C.</w:t>
      </w:r>
      <w:r w:rsidRPr="00865CD7">
        <w:rPr>
          <w:bCs/>
          <w:color w:val="000000"/>
        </w:rPr>
        <w:tab/>
      </w:r>
      <w:r w:rsidR="003E4382" w:rsidRPr="00451764">
        <w:t>Matters relating to Article 2, paragraph 3, of the Kyoto Protocol</w:t>
      </w:r>
      <w:r w:rsidR="003E4382" w:rsidRPr="00865CD7">
        <w:rPr>
          <w:bCs/>
          <w:color w:val="000000"/>
        </w:rPr>
        <w:br/>
      </w:r>
      <w:r w:rsidR="003E4382" w:rsidRPr="007A5493">
        <w:rPr>
          <w:b w:val="0"/>
          <w:bCs/>
          <w:color w:val="000000"/>
          <w:sz w:val="20"/>
        </w:rPr>
        <w:t>(Agenda</w:t>
      </w:r>
      <w:r w:rsidR="003E4382">
        <w:rPr>
          <w:b w:val="0"/>
          <w:bCs/>
          <w:color w:val="000000"/>
          <w:sz w:val="20"/>
        </w:rPr>
        <w:t xml:space="preserve"> sub-item</w:t>
      </w:r>
      <w:r w:rsidR="003E4382" w:rsidRPr="007A5493">
        <w:rPr>
          <w:b w:val="0"/>
          <w:bCs/>
          <w:color w:val="000000"/>
          <w:sz w:val="20"/>
        </w:rPr>
        <w:t xml:space="preserve"> </w:t>
      </w:r>
      <w:r w:rsidR="003E4382">
        <w:rPr>
          <w:b w:val="0"/>
          <w:bCs/>
          <w:color w:val="000000"/>
          <w:sz w:val="20"/>
        </w:rPr>
        <w:t>7</w:t>
      </w:r>
      <w:r w:rsidR="003E4382" w:rsidRPr="007A5493">
        <w:rPr>
          <w:b w:val="0"/>
          <w:bCs/>
          <w:color w:val="000000"/>
          <w:sz w:val="20"/>
        </w:rPr>
        <w:t>(</w:t>
      </w:r>
      <w:r w:rsidR="003E4382">
        <w:rPr>
          <w:b w:val="0"/>
          <w:bCs/>
          <w:color w:val="000000"/>
          <w:sz w:val="20"/>
        </w:rPr>
        <w:t>c</w:t>
      </w:r>
      <w:r w:rsidR="003E4382" w:rsidRPr="007A5493">
        <w:rPr>
          <w:b w:val="0"/>
          <w:bCs/>
          <w:color w:val="000000"/>
          <w:sz w:val="20"/>
        </w:rPr>
        <w:t>))</w:t>
      </w:r>
      <w:bookmarkEnd w:id="148"/>
      <w:bookmarkEnd w:id="155"/>
      <w:bookmarkEnd w:id="156"/>
      <w:bookmarkEnd w:id="157"/>
      <w:bookmarkEnd w:id="158"/>
      <w:bookmarkEnd w:id="159"/>
      <w:bookmarkEnd w:id="160"/>
      <w:r w:rsidR="003E4382" w:rsidRPr="00865CD7">
        <w:rPr>
          <w:bCs/>
          <w:color w:val="000000"/>
          <w:sz w:val="20"/>
        </w:rPr>
        <w:t xml:space="preserve"> </w:t>
      </w:r>
    </w:p>
    <w:p w14:paraId="6DE8F627" w14:textId="77777777" w:rsidR="003E4382" w:rsidRPr="00C42590" w:rsidRDefault="003E4382" w:rsidP="00F83E99">
      <w:pPr>
        <w:pStyle w:val="RegH23G"/>
        <w:numPr>
          <w:ilvl w:val="0"/>
          <w:numId w:val="0"/>
        </w:numPr>
        <w:ind w:left="851" w:hanging="454"/>
        <w:rPr>
          <w:b w:val="0"/>
        </w:rPr>
      </w:pPr>
      <w:bookmarkStart w:id="161" w:name="_Ref392164404"/>
      <w:bookmarkStart w:id="162" w:name="_Ref374541065"/>
      <w:r w:rsidRPr="00C42590">
        <w:rPr>
          <w:lang w:eastAsia="en-US"/>
        </w:rPr>
        <w:t>Proceedings</w:t>
      </w:r>
    </w:p>
    <w:p w14:paraId="1D382E6E" w14:textId="7202F92E" w:rsidR="003E4382" w:rsidRDefault="00F83E99" w:rsidP="00F83E99">
      <w:pPr>
        <w:pStyle w:val="RegSingleTxtG"/>
        <w:numPr>
          <w:ilvl w:val="0"/>
          <w:numId w:val="0"/>
        </w:numPr>
        <w:tabs>
          <w:tab w:val="left" w:pos="2127"/>
        </w:tabs>
        <w:ind w:left="1134"/>
      </w:pPr>
      <w:bookmarkStart w:id="163" w:name="_Ref452990746"/>
      <w:bookmarkStart w:id="164" w:name="_Ref454183585"/>
      <w:r>
        <w:t>62.</w:t>
      </w:r>
      <w:r>
        <w:tab/>
      </w:r>
      <w:r w:rsidR="003E4382" w:rsidRPr="00865CD7">
        <w:t xml:space="preserve">The SBSTA considered this agenda sub-item at </w:t>
      </w:r>
      <w:r w:rsidR="003E4382" w:rsidRPr="00491F5F">
        <w:t>its 1</w:t>
      </w:r>
      <w:r w:rsidR="003E4382" w:rsidRPr="00A341A7">
        <w:rPr>
          <w:vertAlign w:val="superscript"/>
        </w:rPr>
        <w:t>st</w:t>
      </w:r>
      <w:r w:rsidR="003E4382" w:rsidRPr="00491F5F">
        <w:t xml:space="preserve"> </w:t>
      </w:r>
      <w:r w:rsidR="003E4382" w:rsidRPr="00A341A7">
        <w:rPr>
          <w:snapToGrid w:val="0"/>
        </w:rPr>
        <w:t xml:space="preserve">and </w:t>
      </w:r>
      <w:r w:rsidR="003E4382">
        <w:rPr>
          <w:snapToGrid w:val="0"/>
        </w:rPr>
        <w:t>4</w:t>
      </w:r>
      <w:r w:rsidR="003E4382" w:rsidRPr="008F2383">
        <w:rPr>
          <w:snapToGrid w:val="0"/>
          <w:vertAlign w:val="superscript"/>
        </w:rPr>
        <w:t>th</w:t>
      </w:r>
      <w:r w:rsidR="003E4382" w:rsidRPr="00A341A7">
        <w:rPr>
          <w:snapToGrid w:val="0"/>
        </w:rPr>
        <w:t xml:space="preserve"> meetings</w:t>
      </w:r>
      <w:r w:rsidR="003E4382" w:rsidRPr="00491F5F">
        <w:t xml:space="preserve">. </w:t>
      </w:r>
      <w:bookmarkEnd w:id="161"/>
      <w:r w:rsidR="003E4382" w:rsidRPr="00491F5F">
        <w:t xml:space="preserve">At its </w:t>
      </w:r>
      <w:r w:rsidR="003E4382">
        <w:t>1</w:t>
      </w:r>
      <w:r w:rsidR="003E4382" w:rsidRPr="00A341A7">
        <w:rPr>
          <w:vertAlign w:val="superscript"/>
        </w:rPr>
        <w:t>st</w:t>
      </w:r>
      <w:r w:rsidR="003E4382">
        <w:t xml:space="preserve"> </w:t>
      </w:r>
      <w:r w:rsidR="003E4382" w:rsidRPr="00491F5F">
        <w:t xml:space="preserve">meeting, the </w:t>
      </w:r>
      <w:r w:rsidR="003E4382" w:rsidRPr="00F63B95">
        <w:t>SBSTA agreed to consider this agenda sub-item jointly with SBSTA agenda sub-item 7(a) and SBI agenda sub-item 14(a).</w:t>
      </w:r>
      <w:r w:rsidR="003E4382" w:rsidRPr="00A61D2F">
        <w:t xml:space="preserve"> At the same meeting, the SBSTA agreed that the Chair </w:t>
      </w:r>
      <w:r w:rsidR="003E4382">
        <w:t xml:space="preserve">of the SBSTA and the Chair of the SBI </w:t>
      </w:r>
      <w:r w:rsidR="003E4382" w:rsidRPr="00A61D2F">
        <w:t xml:space="preserve">would undertake consultations with interested Parties on how to take up this </w:t>
      </w:r>
      <w:r w:rsidR="003E4382">
        <w:t>agenda sub-item in future sessions of the SBSTA</w:t>
      </w:r>
      <w:r w:rsidR="003E4382" w:rsidRPr="00A61D2F">
        <w:t>.</w:t>
      </w:r>
      <w:bookmarkStart w:id="165" w:name="_Ref374541049"/>
      <w:bookmarkStart w:id="166" w:name="_Ref392164254"/>
      <w:bookmarkEnd w:id="162"/>
      <w:r w:rsidR="003E4382">
        <w:t xml:space="preserve"> </w:t>
      </w:r>
      <w:r w:rsidR="003E4382" w:rsidRPr="00A61D2F">
        <w:t xml:space="preserve">At its </w:t>
      </w:r>
      <w:r w:rsidR="003E4382">
        <w:t>4</w:t>
      </w:r>
      <w:r w:rsidR="003E4382" w:rsidRPr="008F2383">
        <w:rPr>
          <w:vertAlign w:val="superscript"/>
        </w:rPr>
        <w:t>th</w:t>
      </w:r>
      <w:r w:rsidR="003E4382" w:rsidRPr="00A61D2F">
        <w:t xml:space="preserve"> meeting, the SBSTA</w:t>
      </w:r>
      <w:r w:rsidR="003E4382">
        <w:t xml:space="preserve"> agreed to continue </w:t>
      </w:r>
      <w:r w:rsidR="003E4382" w:rsidRPr="00A61D2F">
        <w:t>cons</w:t>
      </w:r>
      <w:r w:rsidR="003E4382">
        <w:t>ideration of</w:t>
      </w:r>
      <w:r w:rsidR="003E4382" w:rsidRPr="00A61D2F">
        <w:t xml:space="preserve"> how to take up this agenda sub-item</w:t>
      </w:r>
      <w:bookmarkEnd w:id="165"/>
      <w:r w:rsidR="003E4382">
        <w:t xml:space="preserve"> at SBSTA 45</w:t>
      </w:r>
      <w:r w:rsidR="003E4382" w:rsidRPr="00A61D2F">
        <w:t>.</w:t>
      </w:r>
      <w:bookmarkEnd w:id="163"/>
      <w:bookmarkEnd w:id="166"/>
      <w:bookmarkEnd w:id="164"/>
    </w:p>
    <w:p w14:paraId="0F59F9F8" w14:textId="68933271" w:rsidR="003E4382" w:rsidRPr="00E71436" w:rsidRDefault="00F83E99" w:rsidP="00F83E99">
      <w:pPr>
        <w:pStyle w:val="RegHChG"/>
        <w:numPr>
          <w:ilvl w:val="0"/>
          <w:numId w:val="0"/>
        </w:numPr>
        <w:tabs>
          <w:tab w:val="left" w:pos="1135"/>
        </w:tabs>
        <w:ind w:left="1135" w:hanging="454"/>
        <w:rPr>
          <w:rStyle w:val="SingleTxtGChar"/>
          <w:bCs/>
        </w:rPr>
      </w:pPr>
      <w:bookmarkStart w:id="167" w:name="_Toc297037329"/>
      <w:bookmarkStart w:id="168" w:name="_Toc305764174"/>
      <w:bookmarkStart w:id="169" w:name="_Toc328480801"/>
      <w:bookmarkStart w:id="170" w:name="_Toc361321975"/>
      <w:bookmarkStart w:id="171" w:name="_Toc373495754"/>
      <w:bookmarkStart w:id="172" w:name="_Toc391892184"/>
      <w:bookmarkStart w:id="173" w:name="_Toc391892368"/>
      <w:bookmarkStart w:id="174" w:name="_Toc437266325"/>
      <w:bookmarkStart w:id="175" w:name="_Toc452991196"/>
      <w:bookmarkStart w:id="176" w:name="_Toc452994346"/>
      <w:bookmarkStart w:id="177" w:name="_Toc453077374"/>
      <w:bookmarkEnd w:id="136"/>
      <w:bookmarkEnd w:id="137"/>
      <w:r w:rsidRPr="00E71436">
        <w:rPr>
          <w:rStyle w:val="SingleTxtGChar"/>
          <w:bCs/>
        </w:rPr>
        <w:t>VIII.</w:t>
      </w:r>
      <w:r w:rsidRPr="00E71436">
        <w:rPr>
          <w:rStyle w:val="SingleTxtGChar"/>
          <w:bCs/>
        </w:rPr>
        <w:tab/>
      </w:r>
      <w:r w:rsidR="003E4382" w:rsidRPr="00E71436">
        <w:t>Methodological</w:t>
      </w:r>
      <w:r w:rsidR="003E4382" w:rsidRPr="00E71436">
        <w:rPr>
          <w:rStyle w:val="RegHChGCharChar"/>
        </w:rPr>
        <w:t xml:space="preserve"> </w:t>
      </w:r>
      <w:r w:rsidR="003E4382" w:rsidRPr="00E71436">
        <w:t>issues</w:t>
      </w:r>
      <w:r w:rsidR="003E4382" w:rsidRPr="00E71436">
        <w:rPr>
          <w:bCs/>
        </w:rPr>
        <w:t xml:space="preserve"> under the Convention </w:t>
      </w:r>
      <w:r w:rsidR="003E4382" w:rsidRPr="00E71436">
        <w:rPr>
          <w:bCs/>
        </w:rPr>
        <w:br/>
      </w:r>
      <w:r w:rsidR="003E4382">
        <w:rPr>
          <w:b w:val="0"/>
          <w:color w:val="000000"/>
          <w:sz w:val="20"/>
        </w:rPr>
        <w:t>(Agenda item 8</w:t>
      </w:r>
      <w:r w:rsidR="003E4382" w:rsidRPr="00E71436">
        <w:rPr>
          <w:b w:val="0"/>
          <w:color w:val="000000"/>
          <w:sz w:val="20"/>
        </w:rPr>
        <w:t>)</w:t>
      </w:r>
      <w:bookmarkEnd w:id="106"/>
      <w:bookmarkEnd w:id="111"/>
      <w:bookmarkEnd w:id="112"/>
      <w:bookmarkEnd w:id="113"/>
      <w:bookmarkEnd w:id="167"/>
      <w:bookmarkEnd w:id="168"/>
      <w:bookmarkEnd w:id="169"/>
      <w:bookmarkEnd w:id="170"/>
      <w:bookmarkEnd w:id="171"/>
      <w:bookmarkEnd w:id="172"/>
      <w:bookmarkEnd w:id="173"/>
      <w:bookmarkEnd w:id="174"/>
      <w:bookmarkEnd w:id="175"/>
      <w:bookmarkEnd w:id="176"/>
      <w:bookmarkEnd w:id="177"/>
    </w:p>
    <w:p w14:paraId="09D767ED" w14:textId="31CB8FB2" w:rsidR="003E4382" w:rsidRPr="00540504" w:rsidRDefault="00F83E99" w:rsidP="00F83E99">
      <w:pPr>
        <w:pStyle w:val="RegH1G"/>
        <w:numPr>
          <w:ilvl w:val="0"/>
          <w:numId w:val="0"/>
        </w:numPr>
        <w:tabs>
          <w:tab w:val="left" w:pos="1135"/>
        </w:tabs>
        <w:ind w:left="1135" w:hanging="454"/>
        <w:rPr>
          <w:rStyle w:val="SingleTxtGChar"/>
          <w:b w:val="0"/>
          <w:sz w:val="20"/>
        </w:rPr>
      </w:pPr>
      <w:bookmarkStart w:id="178" w:name="_Toc231126864"/>
      <w:bookmarkStart w:id="179" w:name="_Toc261965567"/>
      <w:bookmarkStart w:id="180" w:name="_Toc267320440"/>
      <w:bookmarkStart w:id="181" w:name="_Toc279431825"/>
      <w:bookmarkStart w:id="182" w:name="_Toc297037330"/>
      <w:bookmarkStart w:id="183" w:name="_Toc305764175"/>
      <w:bookmarkStart w:id="184" w:name="_Toc328480802"/>
      <w:bookmarkStart w:id="185" w:name="_Toc373495755"/>
      <w:bookmarkStart w:id="186" w:name="_Toc391892185"/>
      <w:bookmarkStart w:id="187" w:name="_Toc391892369"/>
      <w:bookmarkStart w:id="188" w:name="_Toc437266326"/>
      <w:bookmarkStart w:id="189" w:name="_Toc452991197"/>
      <w:bookmarkStart w:id="190" w:name="_Toc452994347"/>
      <w:bookmarkStart w:id="191" w:name="_Toc453077375"/>
      <w:r w:rsidRPr="00540504">
        <w:rPr>
          <w:rStyle w:val="SingleTxtGChar"/>
        </w:rPr>
        <w:t>A.</w:t>
      </w:r>
      <w:r w:rsidRPr="00540504">
        <w:rPr>
          <w:rStyle w:val="SingleTxtGChar"/>
        </w:rPr>
        <w:tab/>
      </w:r>
      <w:r w:rsidR="003E4382" w:rsidRPr="001D0755">
        <w:t>Greenhouse gas data interface</w:t>
      </w:r>
      <w:r w:rsidR="003E4382">
        <w:br/>
      </w:r>
      <w:r w:rsidR="003E4382" w:rsidRPr="00540504">
        <w:rPr>
          <w:rStyle w:val="SingleTxtGChar"/>
          <w:b w:val="0"/>
          <w:sz w:val="20"/>
        </w:rPr>
        <w:t>(Agenda sub-item</w:t>
      </w:r>
      <w:r w:rsidR="003E4382">
        <w:rPr>
          <w:rStyle w:val="SingleTxtGChar"/>
          <w:b w:val="0"/>
          <w:sz w:val="20"/>
        </w:rPr>
        <w:t xml:space="preserve"> 8</w:t>
      </w:r>
      <w:r w:rsidR="003E4382" w:rsidRPr="00540504">
        <w:rPr>
          <w:rStyle w:val="SingleTxtGChar"/>
          <w:b w:val="0"/>
          <w:sz w:val="20"/>
        </w:rPr>
        <w:t>(a))</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27BAB7DB" w14:textId="77777777" w:rsidR="003E4382" w:rsidRPr="00C42590" w:rsidRDefault="003E4382" w:rsidP="00F83E99">
      <w:pPr>
        <w:pStyle w:val="RegH23G"/>
        <w:numPr>
          <w:ilvl w:val="0"/>
          <w:numId w:val="0"/>
        </w:numPr>
        <w:ind w:left="851" w:hanging="454"/>
        <w:rPr>
          <w:b w:val="0"/>
        </w:rPr>
      </w:pPr>
      <w:bookmarkStart w:id="192" w:name="_Ref326931093"/>
      <w:bookmarkStart w:id="193" w:name="_Ref392164263"/>
      <w:bookmarkStart w:id="194" w:name="_Ref362356077"/>
      <w:bookmarkStart w:id="195" w:name="_Toc279431826"/>
      <w:bookmarkStart w:id="196" w:name="_Toc231126862"/>
      <w:bookmarkStart w:id="197" w:name="_Toc261965568"/>
      <w:bookmarkStart w:id="198" w:name="_Toc267320443"/>
      <w:bookmarkStart w:id="199" w:name="_Toc231126865"/>
      <w:r w:rsidRPr="00C42590">
        <w:rPr>
          <w:lang w:eastAsia="en-US"/>
        </w:rPr>
        <w:t>Proceedings</w:t>
      </w:r>
    </w:p>
    <w:p w14:paraId="412C0E59" w14:textId="6A844E84" w:rsidR="003E4382" w:rsidRDefault="00F83E99" w:rsidP="00F83E99">
      <w:pPr>
        <w:pStyle w:val="RegSingleTxtG"/>
        <w:numPr>
          <w:ilvl w:val="0"/>
          <w:numId w:val="0"/>
        </w:numPr>
        <w:tabs>
          <w:tab w:val="left" w:pos="2127"/>
        </w:tabs>
        <w:ind w:left="1134"/>
      </w:pPr>
      <w:bookmarkStart w:id="200" w:name="_Ref452990792"/>
      <w:r>
        <w:t>63.</w:t>
      </w:r>
      <w:r>
        <w:tab/>
      </w:r>
      <w:r w:rsidR="003E4382" w:rsidRPr="00E71436">
        <w:t>The SBSTA considered this agenda sub-item at its 1</w:t>
      </w:r>
      <w:r w:rsidR="003E4382" w:rsidRPr="00B41210">
        <w:rPr>
          <w:vertAlign w:val="superscript"/>
        </w:rPr>
        <w:t>st</w:t>
      </w:r>
      <w:r w:rsidR="003E4382" w:rsidRPr="00E71436">
        <w:t xml:space="preserve"> and 2</w:t>
      </w:r>
      <w:r w:rsidR="003E4382" w:rsidRPr="00B41210">
        <w:rPr>
          <w:vertAlign w:val="superscript"/>
        </w:rPr>
        <w:t>nd</w:t>
      </w:r>
      <w:r w:rsidR="003E4382" w:rsidRPr="00E71436">
        <w:t xml:space="preserve"> meetings.</w:t>
      </w:r>
      <w:bookmarkEnd w:id="192"/>
      <w:r w:rsidR="003E4382" w:rsidRPr="00E71436">
        <w:t xml:space="preserve"> </w:t>
      </w:r>
      <w:bookmarkEnd w:id="193"/>
      <w:bookmarkEnd w:id="194"/>
      <w:r w:rsidR="003E4382" w:rsidRPr="00E71436">
        <w:t>At its 1</w:t>
      </w:r>
      <w:r w:rsidR="003E4382" w:rsidRPr="00B41210">
        <w:rPr>
          <w:vertAlign w:val="superscript"/>
        </w:rPr>
        <w:t>st</w:t>
      </w:r>
      <w:r w:rsidR="003E4382" w:rsidRPr="00E71436">
        <w:t xml:space="preserve"> meeting, the SBSTA agreed to consider this agenda sub-item in </w:t>
      </w:r>
      <w:r w:rsidR="003E4382">
        <w:t>informal consultations</w:t>
      </w:r>
      <w:r w:rsidR="003E4382" w:rsidRPr="00E71436">
        <w:t xml:space="preserve"> </w:t>
      </w:r>
      <w:r w:rsidR="003E4382">
        <w:t>facilitated</w:t>
      </w:r>
      <w:r w:rsidR="003E4382" w:rsidRPr="00E71436">
        <w:t xml:space="preserve"> by </w:t>
      </w:r>
      <w:r w:rsidR="003E4382">
        <w:t>Ms</w:t>
      </w:r>
      <w:r w:rsidR="003E4382" w:rsidRPr="00E71436">
        <w:t xml:space="preserve">. </w:t>
      </w:r>
      <w:r w:rsidR="003E4382">
        <w:t>Elsa Hatanaka (Japan).</w:t>
      </w:r>
      <w:r w:rsidR="003E4382" w:rsidRPr="00E71436">
        <w:t xml:space="preserve"> </w:t>
      </w:r>
      <w:r w:rsidR="003E4382">
        <w:t>At its 2</w:t>
      </w:r>
      <w:r w:rsidR="003E4382" w:rsidRPr="008F2383">
        <w:rPr>
          <w:vertAlign w:val="superscript"/>
        </w:rPr>
        <w:t>nd</w:t>
      </w:r>
      <w:r w:rsidR="003E4382" w:rsidRPr="005A70ED">
        <w:t xml:space="preserve"> </w:t>
      </w:r>
      <w:r w:rsidR="003E4382">
        <w:t xml:space="preserve">meeting, the SBSTA noted that the issue </w:t>
      </w:r>
      <w:r w:rsidR="003E4382">
        <w:lastRenderedPageBreak/>
        <w:t>will be included on the agenda of its next session in accordance with Rule 16 of the draft rules of procedure being applied.</w:t>
      </w:r>
      <w:bookmarkEnd w:id="200"/>
      <w:r w:rsidR="003E4382">
        <w:t xml:space="preserve"> </w:t>
      </w:r>
    </w:p>
    <w:p w14:paraId="522F323D" w14:textId="3939692A" w:rsidR="003E4382" w:rsidRPr="00540504" w:rsidRDefault="00F83E99" w:rsidP="00F83E99">
      <w:pPr>
        <w:pStyle w:val="RegH1G"/>
        <w:numPr>
          <w:ilvl w:val="0"/>
          <w:numId w:val="0"/>
        </w:numPr>
        <w:tabs>
          <w:tab w:val="left" w:pos="1135"/>
        </w:tabs>
        <w:ind w:left="1135" w:hanging="454"/>
        <w:rPr>
          <w:rStyle w:val="SingleTxtGChar"/>
          <w:b w:val="0"/>
          <w:sz w:val="20"/>
        </w:rPr>
      </w:pPr>
      <w:bookmarkStart w:id="201" w:name="_Toc437266327"/>
      <w:bookmarkStart w:id="202" w:name="_Toc452991198"/>
      <w:bookmarkStart w:id="203" w:name="_Toc452994348"/>
      <w:bookmarkStart w:id="204" w:name="_Toc453077376"/>
      <w:r w:rsidRPr="00540504">
        <w:rPr>
          <w:rStyle w:val="SingleTxtGChar"/>
        </w:rPr>
        <w:t>B.</w:t>
      </w:r>
      <w:r w:rsidRPr="00540504">
        <w:rPr>
          <w:rStyle w:val="SingleTxtGChar"/>
        </w:rPr>
        <w:tab/>
      </w:r>
      <w:r w:rsidR="003E4382" w:rsidRPr="00451764">
        <w:t>Common metrics to calculate the carbon dioxide equivalence of greenhouse gases</w:t>
      </w:r>
      <w:r w:rsidR="003E4382">
        <w:br/>
      </w:r>
      <w:r w:rsidR="003E4382">
        <w:rPr>
          <w:rStyle w:val="SingleTxtGChar"/>
          <w:b w:val="0"/>
          <w:sz w:val="20"/>
        </w:rPr>
        <w:t>(Agenda sub-item 8</w:t>
      </w:r>
      <w:r w:rsidR="003E4382" w:rsidRPr="00540504">
        <w:rPr>
          <w:rStyle w:val="SingleTxtGChar"/>
          <w:b w:val="0"/>
          <w:sz w:val="20"/>
        </w:rPr>
        <w:t>(b))</w:t>
      </w:r>
      <w:bookmarkEnd w:id="201"/>
      <w:bookmarkEnd w:id="202"/>
      <w:bookmarkEnd w:id="203"/>
      <w:bookmarkEnd w:id="204"/>
    </w:p>
    <w:p w14:paraId="77A73A0E" w14:textId="4CD8EE43" w:rsidR="003E4382" w:rsidRPr="00C42590" w:rsidRDefault="00F83E99" w:rsidP="00F83E99">
      <w:pPr>
        <w:pStyle w:val="RegH23G"/>
        <w:numPr>
          <w:ilvl w:val="0"/>
          <w:numId w:val="0"/>
        </w:numPr>
        <w:tabs>
          <w:tab w:val="left" w:pos="1135"/>
        </w:tabs>
        <w:ind w:left="1135" w:hanging="454"/>
        <w:rPr>
          <w:b w:val="0"/>
        </w:rPr>
      </w:pPr>
      <w:r w:rsidRPr="00C42590">
        <w:rPr>
          <w:bCs/>
        </w:rPr>
        <w:t>1.</w:t>
      </w:r>
      <w:r w:rsidRPr="00C42590">
        <w:rPr>
          <w:bCs/>
        </w:rPr>
        <w:tab/>
      </w:r>
      <w:r w:rsidR="003E4382" w:rsidRPr="00C42590">
        <w:rPr>
          <w:lang w:eastAsia="en-US"/>
        </w:rPr>
        <w:t>Proceedings</w:t>
      </w:r>
    </w:p>
    <w:p w14:paraId="656B1A81" w14:textId="7828B5F2" w:rsidR="003E4382" w:rsidRDefault="00F83E99" w:rsidP="00F83E99">
      <w:pPr>
        <w:pStyle w:val="RegSingleTxtG"/>
        <w:numPr>
          <w:ilvl w:val="0"/>
          <w:numId w:val="0"/>
        </w:numPr>
        <w:tabs>
          <w:tab w:val="left" w:pos="2127"/>
        </w:tabs>
        <w:ind w:left="1134"/>
      </w:pPr>
      <w:bookmarkStart w:id="205" w:name="_Ref452990818"/>
      <w:r>
        <w:t>64.</w:t>
      </w:r>
      <w:r>
        <w:tab/>
      </w:r>
      <w:r w:rsidR="003E4382" w:rsidRPr="00E71436">
        <w:t>The SBSTA considered this agenda sub-item at its 1</w:t>
      </w:r>
      <w:r w:rsidR="003E4382" w:rsidRPr="00E71436">
        <w:rPr>
          <w:vertAlign w:val="superscript"/>
        </w:rPr>
        <w:t>st</w:t>
      </w:r>
      <w:r w:rsidR="003E4382" w:rsidRPr="00E71436">
        <w:t xml:space="preserve"> and 2</w:t>
      </w:r>
      <w:r w:rsidR="003E4382" w:rsidRPr="00E71436">
        <w:rPr>
          <w:vertAlign w:val="superscript"/>
        </w:rPr>
        <w:t>nd</w:t>
      </w:r>
      <w:r w:rsidR="003E4382" w:rsidRPr="00E71436">
        <w:t xml:space="preserve"> meetings. At its 1</w:t>
      </w:r>
      <w:r w:rsidR="003E4382" w:rsidRPr="00E71436">
        <w:rPr>
          <w:vertAlign w:val="superscript"/>
        </w:rPr>
        <w:t>st</w:t>
      </w:r>
      <w:r w:rsidR="003E4382" w:rsidRPr="00E71436">
        <w:t xml:space="preserve"> meeting, the SBSTA agreed to consider this agenda sub-item in </w:t>
      </w:r>
      <w:r w:rsidR="003E4382">
        <w:t>informal consultations</w:t>
      </w:r>
      <w:r w:rsidR="003E4382" w:rsidRPr="00E71436">
        <w:t xml:space="preserve"> co-</w:t>
      </w:r>
      <w:r w:rsidR="003E4382">
        <w:t>facilitated</w:t>
      </w:r>
      <w:r w:rsidR="003E4382" w:rsidRPr="00E71436">
        <w:t xml:space="preserve"> by </w:t>
      </w:r>
      <w:r w:rsidR="003E4382">
        <w:t>Mr. Takeshi Enoki (Japan) and Mr. Washington Zhakata (Zimbabwe)</w:t>
      </w:r>
      <w:r w:rsidR="003E4382" w:rsidRPr="00E71436">
        <w:t>. 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44"/>
      </w:r>
      <w:bookmarkEnd w:id="205"/>
    </w:p>
    <w:p w14:paraId="58E4A499" w14:textId="452D5BD4"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568B6456" w14:textId="763E0AB3" w:rsidR="003E4382" w:rsidRPr="00A04B05" w:rsidRDefault="00F83E99" w:rsidP="00F83E99">
      <w:pPr>
        <w:pStyle w:val="RegSingleTxtG"/>
        <w:numPr>
          <w:ilvl w:val="0"/>
          <w:numId w:val="0"/>
        </w:numPr>
        <w:tabs>
          <w:tab w:val="left" w:pos="2127"/>
        </w:tabs>
        <w:ind w:left="1134"/>
      </w:pPr>
      <w:r w:rsidRPr="00A04B05">
        <w:t>65.</w:t>
      </w:r>
      <w:r w:rsidRPr="00A04B05">
        <w:tab/>
      </w:r>
      <w:r w:rsidR="003E4382" w:rsidRPr="00D64DC8">
        <w:t xml:space="preserve">The SBSTA continued its consideration of the common metrics used to calculate the carbon dioxide equivalence of anthropogenic </w:t>
      </w:r>
      <w:r w:rsidR="003E4382">
        <w:t>GHG</w:t>
      </w:r>
      <w:r w:rsidR="003E4382" w:rsidRPr="00D64DC8">
        <w:t xml:space="preserve"> emissions by sources and removals by sinks (hereinafter referred to as </w:t>
      </w:r>
      <w:r w:rsidR="003E4382" w:rsidRPr="00A04B05">
        <w:t>common metrics) within the framework of methodological issues under the Convention.</w:t>
      </w:r>
    </w:p>
    <w:p w14:paraId="3C952084" w14:textId="3ED115CC" w:rsidR="003E4382" w:rsidRDefault="00F83E99" w:rsidP="00F83E99">
      <w:pPr>
        <w:pStyle w:val="RegSingleTxtG"/>
        <w:numPr>
          <w:ilvl w:val="0"/>
          <w:numId w:val="0"/>
        </w:numPr>
        <w:tabs>
          <w:tab w:val="left" w:pos="2127"/>
        </w:tabs>
        <w:ind w:left="1134"/>
      </w:pPr>
      <w:r>
        <w:t>66.</w:t>
      </w:r>
      <w:r>
        <w:tab/>
      </w:r>
      <w:r w:rsidR="003E4382" w:rsidRPr="00580E8F">
        <w:t>The SBSTA acknowledged the relevance of common metrics to climate change policy. It</w:t>
      </w:r>
      <w:r w:rsidR="003E4382" w:rsidRPr="00580E8F">
        <w:rPr>
          <w:rFonts w:eastAsiaTheme="minorEastAsia" w:hint="eastAsia"/>
          <w:lang w:eastAsia="ja-JP"/>
        </w:rPr>
        <w:t xml:space="preserve"> </w:t>
      </w:r>
      <w:r w:rsidR="003E4382" w:rsidRPr="001D1E0E">
        <w:rPr>
          <w:rFonts w:hint="eastAsia"/>
        </w:rPr>
        <w:t>noted</w:t>
      </w:r>
      <w:r w:rsidR="003E4382" w:rsidRPr="00580E8F">
        <w:rPr>
          <w:rFonts w:eastAsiaTheme="minorEastAsia" w:hint="eastAsia"/>
          <w:lang w:eastAsia="ja-JP"/>
        </w:rPr>
        <w:t xml:space="preserve"> that </w:t>
      </w:r>
      <w:r w:rsidR="003E4382" w:rsidRPr="00580E8F">
        <w:rPr>
          <w:rFonts w:eastAsiaTheme="minorEastAsia"/>
          <w:lang w:eastAsia="ja-JP"/>
        </w:rPr>
        <w:t xml:space="preserve">the </w:t>
      </w:r>
      <w:r w:rsidR="003E4382">
        <w:rPr>
          <w:rFonts w:eastAsiaTheme="minorEastAsia"/>
          <w:lang w:eastAsia="ja-JP"/>
        </w:rPr>
        <w:t>COP</w:t>
      </w:r>
      <w:r w:rsidR="003E4382" w:rsidRPr="00580E8F">
        <w:rPr>
          <w:rFonts w:eastAsiaTheme="minorEastAsia"/>
          <w:lang w:eastAsia="ja-JP"/>
        </w:rPr>
        <w:t xml:space="preserve"> requested </w:t>
      </w:r>
      <w:r w:rsidR="003E4382" w:rsidRPr="00580E8F">
        <w:rPr>
          <w:rFonts w:eastAsiaTheme="minorEastAsia" w:hint="eastAsia"/>
          <w:lang w:eastAsia="ja-JP"/>
        </w:rPr>
        <w:t xml:space="preserve">the </w:t>
      </w:r>
      <w:r w:rsidR="003E4382" w:rsidRPr="00580E8F">
        <w:rPr>
          <w:rFonts w:eastAsiaTheme="minorEastAsia"/>
          <w:lang w:eastAsia="ja-JP"/>
        </w:rPr>
        <w:t>APA to</w:t>
      </w:r>
      <w:r w:rsidR="003E4382" w:rsidRPr="00580E8F">
        <w:rPr>
          <w:rFonts w:eastAsiaTheme="minorEastAsia" w:hint="eastAsia"/>
          <w:lang w:eastAsia="ja-JP"/>
        </w:rPr>
        <w:t xml:space="preserve"> elaborate guidance for accounting for Parties</w:t>
      </w:r>
      <w:r w:rsidR="003E4382" w:rsidRPr="00580E8F">
        <w:rPr>
          <w:rFonts w:eastAsiaTheme="minorEastAsia"/>
          <w:lang w:eastAsia="ja-JP"/>
        </w:rPr>
        <w:t>’</w:t>
      </w:r>
      <w:r w:rsidR="003E4382" w:rsidRPr="00580E8F">
        <w:rPr>
          <w:rFonts w:eastAsiaTheme="minorEastAsia" w:hint="eastAsia"/>
          <w:lang w:eastAsia="ja-JP"/>
        </w:rPr>
        <w:t xml:space="preserve"> nationally determined contributions which </w:t>
      </w:r>
      <w:r w:rsidR="003E4382" w:rsidRPr="00580E8F">
        <w:rPr>
          <w:rFonts w:eastAsiaTheme="minorEastAsia"/>
          <w:lang w:eastAsia="ja-JP"/>
        </w:rPr>
        <w:t>ensures that accounting is in accordance with</w:t>
      </w:r>
      <w:r w:rsidR="003E4382" w:rsidRPr="00580E8F">
        <w:rPr>
          <w:rFonts w:eastAsiaTheme="minorEastAsia" w:hint="eastAsia"/>
          <w:lang w:eastAsia="ja-JP"/>
        </w:rPr>
        <w:t xml:space="preserve"> common metrics </w:t>
      </w:r>
      <w:r w:rsidR="003E4382" w:rsidRPr="00580E8F">
        <w:rPr>
          <w:rFonts w:eastAsiaTheme="minorEastAsia"/>
          <w:lang w:eastAsia="ja-JP"/>
        </w:rPr>
        <w:t xml:space="preserve">assessed by the </w:t>
      </w:r>
      <w:r w:rsidR="003E4382">
        <w:rPr>
          <w:rFonts w:eastAsiaTheme="minorEastAsia"/>
          <w:lang w:eastAsia="ja-JP"/>
        </w:rPr>
        <w:t>IPCC</w:t>
      </w:r>
      <w:r w:rsidR="003E4382" w:rsidRPr="00580E8F">
        <w:rPr>
          <w:rFonts w:eastAsiaTheme="minorEastAsia"/>
          <w:lang w:eastAsia="ja-JP"/>
        </w:rPr>
        <w:t>.</w:t>
      </w:r>
      <w:r w:rsidR="003E4382" w:rsidRPr="000655D8">
        <w:rPr>
          <w:rStyle w:val="FootnoteReference"/>
          <w:rFonts w:eastAsiaTheme="minorEastAsia"/>
          <w:lang w:eastAsia="ja-JP"/>
        </w:rPr>
        <w:footnoteReference w:id="45"/>
      </w:r>
      <w:r w:rsidR="003E4382" w:rsidRPr="00580E8F">
        <w:rPr>
          <w:rFonts w:eastAsiaTheme="minorEastAsia"/>
          <w:lang w:eastAsia="ja-JP"/>
        </w:rPr>
        <w:t xml:space="preserve"> </w:t>
      </w:r>
    </w:p>
    <w:p w14:paraId="400D49A9" w14:textId="7AAC4B48" w:rsidR="003E4382" w:rsidRPr="00415C95" w:rsidRDefault="00F83E99" w:rsidP="00F83E99">
      <w:pPr>
        <w:pStyle w:val="RegSingleTxtG"/>
        <w:numPr>
          <w:ilvl w:val="0"/>
          <w:numId w:val="0"/>
        </w:numPr>
        <w:tabs>
          <w:tab w:val="left" w:pos="2127"/>
        </w:tabs>
        <w:ind w:left="1134"/>
      </w:pPr>
      <w:bookmarkStart w:id="206" w:name="_Ref452990824"/>
      <w:r w:rsidRPr="00415C95">
        <w:t>67.</w:t>
      </w:r>
      <w:r w:rsidRPr="00415C95">
        <w:tab/>
      </w:r>
      <w:r w:rsidR="003E4382" w:rsidRPr="00580E8F">
        <w:t xml:space="preserve">Therefore, the SBSTA agreed to defer its consideration of common metrics to SBSTA 46 so as to </w:t>
      </w:r>
      <w:r w:rsidR="003E4382">
        <w:t xml:space="preserve">be </w:t>
      </w:r>
      <w:r w:rsidR="003E4382" w:rsidRPr="00415C95">
        <w:t>able to take into account deliberations under the APA on the guidance referred to in decision 1/CP.21, paragraph 31.</w:t>
      </w:r>
      <w:bookmarkEnd w:id="206"/>
      <w:r w:rsidR="003E4382" w:rsidRPr="00415C95">
        <w:tab/>
      </w:r>
    </w:p>
    <w:p w14:paraId="58CFACD6" w14:textId="769CDBE1" w:rsidR="003E4382" w:rsidRPr="00415C95" w:rsidRDefault="00F83E99" w:rsidP="00F83E99">
      <w:pPr>
        <w:pStyle w:val="RegH1G"/>
        <w:numPr>
          <w:ilvl w:val="0"/>
          <w:numId w:val="0"/>
        </w:numPr>
        <w:tabs>
          <w:tab w:val="left" w:pos="1135"/>
        </w:tabs>
        <w:ind w:left="1135" w:hanging="454"/>
        <w:rPr>
          <w:rStyle w:val="SingleTxtGChar"/>
          <w:b w:val="0"/>
          <w:szCs w:val="24"/>
        </w:rPr>
      </w:pPr>
      <w:bookmarkStart w:id="207" w:name="_Toc391892187"/>
      <w:bookmarkStart w:id="208" w:name="_Toc391892371"/>
      <w:bookmarkStart w:id="209" w:name="_Toc437266328"/>
      <w:bookmarkStart w:id="210" w:name="_Toc452991199"/>
      <w:bookmarkStart w:id="211" w:name="_Toc452994349"/>
      <w:bookmarkStart w:id="212" w:name="_Toc453077377"/>
      <w:bookmarkStart w:id="213" w:name="_Toc267320445"/>
      <w:bookmarkStart w:id="214" w:name="_Ref374541122"/>
      <w:bookmarkEnd w:id="195"/>
      <w:bookmarkEnd w:id="196"/>
      <w:bookmarkEnd w:id="197"/>
      <w:bookmarkEnd w:id="198"/>
      <w:r w:rsidRPr="00415C95">
        <w:rPr>
          <w:rStyle w:val="SingleTxtGChar"/>
          <w:szCs w:val="24"/>
        </w:rPr>
        <w:t>C.</w:t>
      </w:r>
      <w:r w:rsidRPr="00415C95">
        <w:rPr>
          <w:rStyle w:val="SingleTxtGChar"/>
          <w:szCs w:val="24"/>
        </w:rPr>
        <w:tab/>
      </w:r>
      <w:r w:rsidR="003E4382" w:rsidRPr="00415C95">
        <w:t>Emissions from fuel used for international aviation and maritime transport</w:t>
      </w:r>
      <w:r w:rsidR="003E4382" w:rsidRPr="00415C95">
        <w:br/>
      </w:r>
      <w:r w:rsidR="003E4382" w:rsidRPr="00415C95">
        <w:rPr>
          <w:b w:val="0"/>
          <w:sz w:val="20"/>
        </w:rPr>
        <w:t>(Agenda sub-item 8(c))</w:t>
      </w:r>
      <w:bookmarkEnd w:id="207"/>
      <w:bookmarkEnd w:id="208"/>
      <w:bookmarkEnd w:id="209"/>
      <w:bookmarkEnd w:id="210"/>
      <w:bookmarkEnd w:id="211"/>
      <w:bookmarkEnd w:id="212"/>
    </w:p>
    <w:p w14:paraId="322682C8" w14:textId="3F9C9F6D" w:rsidR="003E4382" w:rsidRPr="00415C95" w:rsidRDefault="00F83E99" w:rsidP="00F83E99">
      <w:pPr>
        <w:pStyle w:val="RegH23G"/>
        <w:numPr>
          <w:ilvl w:val="0"/>
          <w:numId w:val="0"/>
        </w:numPr>
        <w:tabs>
          <w:tab w:val="left" w:pos="1135"/>
        </w:tabs>
        <w:ind w:left="1135" w:hanging="454"/>
        <w:rPr>
          <w:b w:val="0"/>
        </w:rPr>
      </w:pPr>
      <w:r w:rsidRPr="00415C95">
        <w:rPr>
          <w:bCs/>
        </w:rPr>
        <w:t>1.</w:t>
      </w:r>
      <w:r w:rsidRPr="00415C95">
        <w:rPr>
          <w:bCs/>
        </w:rPr>
        <w:tab/>
      </w:r>
      <w:r w:rsidR="003E4382" w:rsidRPr="00415C95">
        <w:t>Proceedings</w:t>
      </w:r>
    </w:p>
    <w:p w14:paraId="0A7401DC" w14:textId="068BE353" w:rsidR="003E4382" w:rsidRPr="00F02A51" w:rsidRDefault="00F83E99" w:rsidP="00F83E99">
      <w:pPr>
        <w:pStyle w:val="RegSingleTxtG"/>
        <w:numPr>
          <w:ilvl w:val="0"/>
          <w:numId w:val="0"/>
        </w:numPr>
        <w:tabs>
          <w:tab w:val="left" w:pos="2127"/>
        </w:tabs>
        <w:ind w:left="1134"/>
      </w:pPr>
      <w:bookmarkStart w:id="215" w:name="_Ref452990831"/>
      <w:r w:rsidRPr="00F02A51">
        <w:t>68.</w:t>
      </w:r>
      <w:r w:rsidRPr="00F02A51">
        <w:tab/>
      </w:r>
      <w:r w:rsidR="003E4382" w:rsidRPr="00415C95">
        <w:t>The SBSTA considered this agenda sub-item at its 1</w:t>
      </w:r>
      <w:r w:rsidR="003E4382" w:rsidRPr="00415C95">
        <w:rPr>
          <w:vertAlign w:val="superscript"/>
        </w:rPr>
        <w:t>st</w:t>
      </w:r>
      <w:r w:rsidR="003E4382" w:rsidRPr="00415C95">
        <w:t xml:space="preserve"> and 2</w:t>
      </w:r>
      <w:r w:rsidR="003E4382" w:rsidRPr="00415C95">
        <w:rPr>
          <w:vertAlign w:val="superscript"/>
        </w:rPr>
        <w:t>nd</w:t>
      </w:r>
      <w:r w:rsidR="003E4382" w:rsidRPr="00415C95">
        <w:t xml:space="preserve"> meetings. It had before it document FCCC/SBSTA/2016/MISC.2.</w:t>
      </w:r>
      <w:r w:rsidR="003E4382" w:rsidRPr="00415C95">
        <w:rPr>
          <w:rStyle w:val="FootnoteReference"/>
        </w:rPr>
        <w:footnoteReference w:id="46"/>
      </w:r>
      <w:r w:rsidR="003E4382" w:rsidRPr="00415C95">
        <w:rPr>
          <w:sz w:val="12"/>
          <w:szCs w:val="12"/>
        </w:rPr>
        <w:t xml:space="preserve"> </w:t>
      </w:r>
      <w:r w:rsidR="003E4382" w:rsidRPr="00415C95">
        <w:t>At its 1</w:t>
      </w:r>
      <w:r w:rsidR="003E4382" w:rsidRPr="00415C95">
        <w:rPr>
          <w:vertAlign w:val="superscript"/>
        </w:rPr>
        <w:t xml:space="preserve">st </w:t>
      </w:r>
      <w:r w:rsidR="003E4382" w:rsidRPr="00415C95">
        <w:t>meeting, the SBSTA agreed that the Chair of the SBSTA would consult with interested</w:t>
      </w:r>
      <w:r w:rsidR="003E4382">
        <w:t xml:space="preserve"> Parties on this issue and present draft conclusions to the SBSTA at its 2</w:t>
      </w:r>
      <w:r w:rsidR="003E4382" w:rsidRPr="003D152A">
        <w:rPr>
          <w:vertAlign w:val="superscript"/>
        </w:rPr>
        <w:t>nd</w:t>
      </w:r>
      <w:r w:rsidR="003E4382">
        <w:t xml:space="preserve"> meeting, where the SBSTA considered and adopted the conclusions below.</w:t>
      </w:r>
      <w:r w:rsidR="003E4382">
        <w:rPr>
          <w:rStyle w:val="FootnoteReference"/>
        </w:rPr>
        <w:footnoteReference w:id="47"/>
      </w:r>
      <w:bookmarkEnd w:id="215"/>
    </w:p>
    <w:p w14:paraId="1F78082D" w14:textId="05361337" w:rsidR="003E4382" w:rsidRDefault="00F83E99" w:rsidP="00F83E99">
      <w:pPr>
        <w:pStyle w:val="RegH23G"/>
        <w:numPr>
          <w:ilvl w:val="0"/>
          <w:numId w:val="0"/>
        </w:numPr>
        <w:tabs>
          <w:tab w:val="left" w:pos="1135"/>
        </w:tabs>
        <w:ind w:left="1135" w:hanging="454"/>
      </w:pPr>
      <w:r>
        <w:rPr>
          <w:bCs/>
        </w:rPr>
        <w:t>2.</w:t>
      </w:r>
      <w:r>
        <w:rPr>
          <w:bCs/>
        </w:rPr>
        <w:tab/>
      </w:r>
      <w:r w:rsidR="003E4382" w:rsidRPr="00865CD7">
        <w:t>Conclusions</w:t>
      </w:r>
    </w:p>
    <w:p w14:paraId="5ADE631D" w14:textId="4D16F807" w:rsidR="003E4382" w:rsidRPr="00166F00" w:rsidRDefault="00F83E99" w:rsidP="00F83E99">
      <w:pPr>
        <w:pStyle w:val="RegSingleTxtG"/>
        <w:numPr>
          <w:ilvl w:val="0"/>
          <w:numId w:val="0"/>
        </w:numPr>
        <w:tabs>
          <w:tab w:val="left" w:pos="2127"/>
        </w:tabs>
        <w:ind w:left="1134"/>
      </w:pPr>
      <w:r w:rsidRPr="00166F00">
        <w:t>69.</w:t>
      </w:r>
      <w:r w:rsidRPr="00166F00">
        <w:tab/>
      </w:r>
      <w:r w:rsidR="003E4382" w:rsidRPr="00166F00">
        <w:t xml:space="preserve">The SBSTA took note of the information received from and progress reported by the secretariats of ICAO and IMO on their ongoing work on addressing emissions from fuel </w:t>
      </w:r>
      <w:r w:rsidR="003E4382" w:rsidRPr="00166F00">
        <w:lastRenderedPageBreak/>
        <w:t>used for international aviation and maritime transport,</w:t>
      </w:r>
      <w:r w:rsidR="003E4382" w:rsidRPr="00166F00">
        <w:rPr>
          <w:sz w:val="18"/>
          <w:vertAlign w:val="superscript"/>
        </w:rPr>
        <w:footnoteReference w:id="48"/>
      </w:r>
      <w:r w:rsidR="003E4382" w:rsidRPr="00166F00">
        <w:t xml:space="preserve"> and noted the views expressed by Parties on this information.</w:t>
      </w:r>
    </w:p>
    <w:p w14:paraId="208D354A" w14:textId="60558D34" w:rsidR="003E4382" w:rsidRPr="00166F00" w:rsidRDefault="00F83E99" w:rsidP="00F83E99">
      <w:pPr>
        <w:pStyle w:val="RegSingleTxtG"/>
        <w:numPr>
          <w:ilvl w:val="0"/>
          <w:numId w:val="0"/>
        </w:numPr>
        <w:tabs>
          <w:tab w:val="left" w:pos="2127"/>
        </w:tabs>
        <w:ind w:left="1134"/>
      </w:pPr>
      <w:bookmarkStart w:id="216" w:name="_Ref452990832"/>
      <w:r w:rsidRPr="00166F00">
        <w:t>70.</w:t>
      </w:r>
      <w:r w:rsidRPr="00166F00">
        <w:tab/>
      </w:r>
      <w:r w:rsidR="003E4382" w:rsidRPr="00166F00">
        <w:t>The SBSTA invited the secretariats of ICAO and IMO to continue to report, at future sessions of the SBSTA, on relevant work on this issue.</w:t>
      </w:r>
      <w:bookmarkEnd w:id="216"/>
    </w:p>
    <w:p w14:paraId="644224FB" w14:textId="0C84DE6C" w:rsidR="003E4382" w:rsidRPr="00F17393" w:rsidRDefault="00F83E99" w:rsidP="00F83E99">
      <w:pPr>
        <w:pStyle w:val="RegH1G"/>
        <w:numPr>
          <w:ilvl w:val="0"/>
          <w:numId w:val="0"/>
        </w:numPr>
        <w:tabs>
          <w:tab w:val="left" w:pos="1135"/>
        </w:tabs>
        <w:ind w:left="1135" w:hanging="454"/>
        <w:rPr>
          <w:rStyle w:val="SingleTxtGChar"/>
          <w:lang w:eastAsia="zh-CN"/>
        </w:rPr>
      </w:pPr>
      <w:bookmarkStart w:id="217" w:name="_Toc452991200"/>
      <w:bookmarkStart w:id="218" w:name="_Toc452994350"/>
      <w:bookmarkStart w:id="219" w:name="_Toc453077378"/>
      <w:r w:rsidRPr="00F17393">
        <w:rPr>
          <w:rStyle w:val="SingleTxtGChar"/>
          <w:lang w:eastAsia="zh-CN"/>
        </w:rPr>
        <w:t>D.</w:t>
      </w:r>
      <w:r w:rsidRPr="00F17393">
        <w:rPr>
          <w:rStyle w:val="SingleTxtGChar"/>
          <w:lang w:eastAsia="zh-CN"/>
        </w:rPr>
        <w:tab/>
      </w:r>
      <w:r w:rsidR="003E4382" w:rsidRPr="00451764">
        <w:t>Training programme for review experts for the technical review of greenhouse gas inventories of Parties included in Annex I to the Convention</w:t>
      </w:r>
      <w:r w:rsidR="003E4382">
        <w:br/>
      </w:r>
      <w:r w:rsidR="003E4382" w:rsidRPr="00F17393">
        <w:rPr>
          <w:rStyle w:val="SingleTxtGChar"/>
          <w:b w:val="0"/>
          <w:sz w:val="20"/>
        </w:rPr>
        <w:t>(Agenda sub-item 8(d))</w:t>
      </w:r>
      <w:bookmarkEnd w:id="217"/>
      <w:bookmarkEnd w:id="218"/>
      <w:bookmarkEnd w:id="219"/>
    </w:p>
    <w:p w14:paraId="5891ADDD" w14:textId="6C943367"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67C7DAB7" w14:textId="353C7D00" w:rsidR="003E4382" w:rsidRDefault="00F83E99" w:rsidP="00F83E99">
      <w:pPr>
        <w:pStyle w:val="RegSingleTxtG"/>
        <w:numPr>
          <w:ilvl w:val="0"/>
          <w:numId w:val="0"/>
        </w:numPr>
        <w:tabs>
          <w:tab w:val="left" w:pos="2127"/>
        </w:tabs>
        <w:ind w:left="1134"/>
      </w:pPr>
      <w:bookmarkStart w:id="220" w:name="_Ref452990839"/>
      <w:r>
        <w:t>71.</w:t>
      </w:r>
      <w:r>
        <w:tab/>
      </w:r>
      <w:r w:rsidR="003E4382" w:rsidRPr="00865CD7">
        <w:t xml:space="preserve">The SBSTA considered this agenda sub-item at </w:t>
      </w:r>
      <w:r w:rsidR="003E4382" w:rsidRPr="00280B3B">
        <w:t>its 1</w:t>
      </w:r>
      <w:r w:rsidR="003E4382" w:rsidRPr="00EC76AA">
        <w:rPr>
          <w:vertAlign w:val="superscript"/>
        </w:rPr>
        <w:t>st</w:t>
      </w:r>
      <w:r w:rsidR="003E4382" w:rsidRPr="00280B3B">
        <w:t xml:space="preserve"> and 2</w:t>
      </w:r>
      <w:r w:rsidR="003E4382" w:rsidRPr="00EC76AA">
        <w:rPr>
          <w:vertAlign w:val="superscript"/>
        </w:rPr>
        <w:t>nd</w:t>
      </w:r>
      <w:r w:rsidR="003E4382" w:rsidRPr="00280B3B">
        <w:t xml:space="preserve"> meetings</w:t>
      </w:r>
      <w:r w:rsidR="003E4382">
        <w:t>. At its 1</w:t>
      </w:r>
      <w:r w:rsidR="003E4382" w:rsidRPr="00C62231">
        <w:rPr>
          <w:vertAlign w:val="superscript"/>
        </w:rPr>
        <w:t xml:space="preserve">st </w:t>
      </w:r>
      <w:r w:rsidR="003E4382">
        <w:t>meeting, the SBSTA agreed that the Chair of the SBSTA would consult with interested Parties on this issue and present draft conclusions to the SBSTA at its 2</w:t>
      </w:r>
      <w:r w:rsidR="003E4382" w:rsidRPr="003D152A">
        <w:rPr>
          <w:vertAlign w:val="superscript"/>
        </w:rPr>
        <w:t>nd</w:t>
      </w:r>
      <w:r w:rsidR="003E4382">
        <w:t xml:space="preserve"> meeting, where the SBSTA considered and adopted the conclusions below.</w:t>
      </w:r>
      <w:r w:rsidR="003E4382">
        <w:rPr>
          <w:rStyle w:val="FootnoteReference"/>
        </w:rPr>
        <w:footnoteReference w:id="49"/>
      </w:r>
      <w:bookmarkEnd w:id="220"/>
    </w:p>
    <w:p w14:paraId="791E79BD" w14:textId="0E9640B1"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21315102" w14:textId="50E8D092" w:rsidR="003E4382" w:rsidRPr="00C76ABA" w:rsidRDefault="00F83E99" w:rsidP="00F83E99">
      <w:pPr>
        <w:pStyle w:val="RegSingleTxtG"/>
        <w:numPr>
          <w:ilvl w:val="0"/>
          <w:numId w:val="0"/>
        </w:numPr>
        <w:tabs>
          <w:tab w:val="left" w:pos="2127"/>
        </w:tabs>
        <w:ind w:left="1134"/>
      </w:pPr>
      <w:r w:rsidRPr="00C76ABA">
        <w:t>72.</w:t>
      </w:r>
      <w:r w:rsidRPr="00C76ABA">
        <w:tab/>
      </w:r>
      <w:r w:rsidR="003E4382" w:rsidRPr="00C56CB0">
        <w:t xml:space="preserve">The SBSTA </w:t>
      </w:r>
      <w:r w:rsidR="003E4382">
        <w:rPr>
          <w:lang w:val="en-US"/>
        </w:rPr>
        <w:t xml:space="preserve">initiated </w:t>
      </w:r>
      <w:r w:rsidR="003E4382" w:rsidRPr="00C56CB0">
        <w:t xml:space="preserve">its consideration </w:t>
      </w:r>
      <w:r w:rsidR="003E4382">
        <w:rPr>
          <w:lang w:val="en-US"/>
        </w:rPr>
        <w:t xml:space="preserve">of the results of the training programme for review experts for the technical </w:t>
      </w:r>
      <w:r w:rsidR="003E4382" w:rsidRPr="007F0E27">
        <w:t>review</w:t>
      </w:r>
      <w:r w:rsidR="003E4382">
        <w:rPr>
          <w:lang w:val="en-US"/>
        </w:rPr>
        <w:t xml:space="preserve"> of GHG inventories of Parties included in Annex I to the Convention (Annex I Parties), as agreed at SBSTA 41.</w:t>
      </w:r>
      <w:r w:rsidR="003E4382">
        <w:rPr>
          <w:rStyle w:val="FootnoteReference"/>
          <w:lang w:val="en-US"/>
        </w:rPr>
        <w:footnoteReference w:id="50"/>
      </w:r>
    </w:p>
    <w:p w14:paraId="7BFD6B40" w14:textId="6F1D44E4" w:rsidR="003E4382" w:rsidRPr="00811BCA" w:rsidRDefault="00F83E99" w:rsidP="00F83E99">
      <w:pPr>
        <w:pStyle w:val="RegSingleTxtG"/>
        <w:numPr>
          <w:ilvl w:val="0"/>
          <w:numId w:val="0"/>
        </w:numPr>
        <w:tabs>
          <w:tab w:val="left" w:pos="2127"/>
        </w:tabs>
        <w:ind w:left="1134"/>
      </w:pPr>
      <w:r w:rsidRPr="00811BCA">
        <w:t>73.</w:t>
      </w:r>
      <w:r w:rsidRPr="00811BCA">
        <w:tab/>
      </w:r>
      <w:r w:rsidR="003E4382" w:rsidRPr="00963A00">
        <w:rPr>
          <w:lang w:val="en-US"/>
        </w:rPr>
        <w:t>The SBSTA</w:t>
      </w:r>
      <w:r w:rsidR="003E4382" w:rsidRPr="007B40E9">
        <w:t xml:space="preserve"> </w:t>
      </w:r>
      <w:r w:rsidR="003E4382">
        <w:t xml:space="preserve">acknowledged </w:t>
      </w:r>
      <w:r w:rsidR="003E4382" w:rsidRPr="00FA2433">
        <w:t xml:space="preserve">the relevance </w:t>
      </w:r>
      <w:r w:rsidR="003E4382">
        <w:t xml:space="preserve">of </w:t>
      </w:r>
      <w:r w:rsidR="003E4382" w:rsidRPr="00963A00">
        <w:rPr>
          <w:lang w:val="en-US"/>
        </w:rPr>
        <w:t xml:space="preserve">the training programme in contributing to the quality and consistency of the technical reviews of </w:t>
      </w:r>
      <w:r w:rsidR="003E4382">
        <w:rPr>
          <w:lang w:val="en-US"/>
        </w:rPr>
        <w:t>GHG</w:t>
      </w:r>
      <w:r w:rsidR="003E4382" w:rsidRPr="00963A00">
        <w:rPr>
          <w:lang w:val="en-US"/>
        </w:rPr>
        <w:t xml:space="preserve"> inventories of Annex I Parties and recognized the </w:t>
      </w:r>
      <w:r w:rsidR="003E4382" w:rsidRPr="007F0E27">
        <w:t>importance</w:t>
      </w:r>
      <w:r w:rsidR="003E4382" w:rsidRPr="00963A00">
        <w:rPr>
          <w:lang w:val="en-US"/>
        </w:rPr>
        <w:t xml:space="preserve"> of further developing and enhanc</w:t>
      </w:r>
      <w:r w:rsidR="003E4382">
        <w:rPr>
          <w:lang w:val="en-US"/>
        </w:rPr>
        <w:t>ing</w:t>
      </w:r>
      <w:r w:rsidR="003E4382" w:rsidRPr="00963A00">
        <w:rPr>
          <w:lang w:val="en-US"/>
        </w:rPr>
        <w:t xml:space="preserve"> the training programme</w:t>
      </w:r>
      <w:r w:rsidR="003E4382">
        <w:rPr>
          <w:lang w:val="en-US"/>
        </w:rPr>
        <w:t xml:space="preserve">, taking into </w:t>
      </w:r>
      <w:r w:rsidR="003E4382" w:rsidRPr="00811BCA">
        <w:rPr>
          <w:lang w:val="en-US"/>
        </w:rPr>
        <w:t xml:space="preserve">account its </w:t>
      </w:r>
      <w:r w:rsidR="003E4382">
        <w:rPr>
          <w:lang w:val="en-US"/>
        </w:rPr>
        <w:t>importan</w:t>
      </w:r>
      <w:r w:rsidR="003E4382" w:rsidRPr="00811BCA">
        <w:rPr>
          <w:lang w:val="en-US"/>
        </w:rPr>
        <w:t>ce</w:t>
      </w:r>
      <w:r w:rsidR="003E4382" w:rsidRPr="00811BCA" w:rsidDel="00550434">
        <w:rPr>
          <w:lang w:val="en-US"/>
        </w:rPr>
        <w:t xml:space="preserve"> </w:t>
      </w:r>
      <w:r w:rsidR="003E4382">
        <w:rPr>
          <w:lang w:val="en-US"/>
        </w:rPr>
        <w:t>with respect to</w:t>
      </w:r>
      <w:r w:rsidR="003E4382" w:rsidRPr="00811BCA">
        <w:rPr>
          <w:lang w:val="en-US"/>
        </w:rPr>
        <w:t xml:space="preserve"> the future adoption of the common modalities, procedures and guidelines for the transparency of action and support under the Paris Agreement.</w:t>
      </w:r>
      <w:r w:rsidR="003E4382">
        <w:rPr>
          <w:rStyle w:val="FootnoteReference"/>
          <w:lang w:val="en-US"/>
        </w:rPr>
        <w:footnoteReference w:id="51"/>
      </w:r>
    </w:p>
    <w:p w14:paraId="440878ED" w14:textId="37AC7BFC" w:rsidR="003E4382" w:rsidRPr="00E82835" w:rsidRDefault="00F83E99" w:rsidP="00F83E99">
      <w:pPr>
        <w:pStyle w:val="RegSingleTxtG"/>
        <w:numPr>
          <w:ilvl w:val="0"/>
          <w:numId w:val="0"/>
        </w:numPr>
        <w:tabs>
          <w:tab w:val="left" w:pos="2127"/>
        </w:tabs>
        <w:ind w:left="1134"/>
      </w:pPr>
      <w:r w:rsidRPr="00E82835">
        <w:t>74.</w:t>
      </w:r>
      <w:r w:rsidRPr="00E82835">
        <w:tab/>
      </w:r>
      <w:r w:rsidR="003E4382" w:rsidRPr="00811BCA">
        <w:rPr>
          <w:lang w:val="en-US"/>
        </w:rPr>
        <w:t xml:space="preserve">The SBSTA noted that the </w:t>
      </w:r>
      <w:r w:rsidR="003E4382" w:rsidRPr="007F0E27">
        <w:t>implementation</w:t>
      </w:r>
      <w:r w:rsidR="003E4382">
        <w:rPr>
          <w:lang w:val="en-US"/>
        </w:rPr>
        <w:t xml:space="preserve"> of the training programme started in September </w:t>
      </w:r>
      <w:r w:rsidR="003E4382" w:rsidRPr="001B2341">
        <w:rPr>
          <w:lang w:val="en-US"/>
        </w:rPr>
        <w:t xml:space="preserve">2015 and that </w:t>
      </w:r>
      <w:r w:rsidR="003E4382">
        <w:rPr>
          <w:lang w:val="en-US"/>
        </w:rPr>
        <w:t>no</w:t>
      </w:r>
      <w:r w:rsidR="003E4382" w:rsidRPr="001B2341">
        <w:rPr>
          <w:lang w:val="en-US"/>
        </w:rPr>
        <w:t xml:space="preserve"> experience </w:t>
      </w:r>
      <w:r w:rsidR="003E4382">
        <w:rPr>
          <w:lang w:val="en-US"/>
        </w:rPr>
        <w:t xml:space="preserve">has yet been gained </w:t>
      </w:r>
      <w:r w:rsidR="003E4382" w:rsidRPr="001B2341">
        <w:rPr>
          <w:lang w:val="en-US"/>
        </w:rPr>
        <w:t>in technical reviews of GHG inventories of Annex I Parties using the “Guidelines for the technical review of information reported under the Convention related to greenhouse</w:t>
      </w:r>
      <w:r w:rsidR="003E4382">
        <w:rPr>
          <w:lang w:val="en-US"/>
        </w:rPr>
        <w:t xml:space="preserve"> gas</w:t>
      </w:r>
      <w:r w:rsidR="003E4382" w:rsidRPr="001B2341">
        <w:rPr>
          <w:lang w:val="en-US"/>
        </w:rPr>
        <w:t xml:space="preserve"> inventories, biennial reports and national communications by Parties included in Annex I to the Convention</w:t>
      </w:r>
      <w:r w:rsidR="003E4382">
        <w:rPr>
          <w:lang w:val="en-US"/>
        </w:rPr>
        <w:t>”</w:t>
      </w:r>
      <w:r w:rsidR="003E4382">
        <w:rPr>
          <w:rStyle w:val="FootnoteReference"/>
          <w:lang w:val="en-US"/>
        </w:rPr>
        <w:footnoteReference w:id="52"/>
      </w:r>
      <w:r w:rsidR="003E4382">
        <w:rPr>
          <w:lang w:val="en-US"/>
        </w:rPr>
        <w:t xml:space="preserve"> by experts</w:t>
      </w:r>
      <w:r w:rsidR="003E4382" w:rsidRPr="001B2341">
        <w:rPr>
          <w:lang w:val="en-US"/>
        </w:rPr>
        <w:t xml:space="preserve"> </w:t>
      </w:r>
      <w:r w:rsidR="003E4382">
        <w:rPr>
          <w:lang w:val="en-US"/>
        </w:rPr>
        <w:t>who undertook the training programme. Therefore, the SBSTA recognized that not enough information is yet available to enable it to assess the results in order to conduct a comprehensive and meaningful analysis with a view to further developing and enhancing the training programme.</w:t>
      </w:r>
    </w:p>
    <w:p w14:paraId="1413ED8C" w14:textId="71BE96CF" w:rsidR="003E4382" w:rsidRPr="00963A00" w:rsidRDefault="00F83E99" w:rsidP="00F83E99">
      <w:pPr>
        <w:pStyle w:val="RegSingleTxtG"/>
        <w:numPr>
          <w:ilvl w:val="0"/>
          <w:numId w:val="0"/>
        </w:numPr>
        <w:tabs>
          <w:tab w:val="left" w:pos="2127"/>
        </w:tabs>
        <w:ind w:left="1134"/>
      </w:pPr>
      <w:r w:rsidRPr="00963A00">
        <w:t>75.</w:t>
      </w:r>
      <w:r w:rsidRPr="00963A00">
        <w:tab/>
      </w:r>
      <w:r w:rsidR="003E4382">
        <w:rPr>
          <w:lang w:val="en-US"/>
        </w:rPr>
        <w:t xml:space="preserve">The SBSTA agreed to consider the assessment of the results of the training programme </w:t>
      </w:r>
      <w:r w:rsidR="003E4382" w:rsidRPr="005061D0">
        <w:rPr>
          <w:lang w:val="en-US"/>
        </w:rPr>
        <w:t xml:space="preserve">at </w:t>
      </w:r>
      <w:r w:rsidR="003E4382" w:rsidRPr="005061D0">
        <w:t xml:space="preserve">SBSTA 46 </w:t>
      </w:r>
      <w:r w:rsidR="003E4382" w:rsidRPr="005061D0">
        <w:rPr>
          <w:lang w:val="en-US"/>
        </w:rPr>
        <w:t>with</w:t>
      </w:r>
      <w:r w:rsidR="003E4382">
        <w:rPr>
          <w:lang w:val="en-US"/>
        </w:rPr>
        <w:t xml:space="preserve"> a view to making recommendations to COP 23 (November 2017) on the further development and enhancement of </w:t>
      </w:r>
      <w:r w:rsidR="003E4382" w:rsidRPr="00963A00">
        <w:rPr>
          <w:lang w:val="en-US"/>
        </w:rPr>
        <w:t>the training programme</w:t>
      </w:r>
      <w:r w:rsidR="003E4382">
        <w:rPr>
          <w:lang w:val="en-US"/>
        </w:rPr>
        <w:t>.</w:t>
      </w:r>
    </w:p>
    <w:p w14:paraId="5B8CD858" w14:textId="19B938A3" w:rsidR="003E4382" w:rsidRPr="007B40E9" w:rsidRDefault="00F83E99" w:rsidP="00F83E99">
      <w:pPr>
        <w:pStyle w:val="RegSingleTxtG"/>
        <w:numPr>
          <w:ilvl w:val="0"/>
          <w:numId w:val="0"/>
        </w:numPr>
        <w:tabs>
          <w:tab w:val="left" w:pos="2127"/>
        </w:tabs>
        <w:ind w:left="1134"/>
      </w:pPr>
      <w:bookmarkStart w:id="221" w:name="_Ref452990799"/>
      <w:r w:rsidRPr="007B40E9">
        <w:t>76.</w:t>
      </w:r>
      <w:r w:rsidRPr="007B40E9">
        <w:tab/>
      </w:r>
      <w:r w:rsidR="003E4382" w:rsidRPr="00963A00">
        <w:rPr>
          <w:lang w:val="en-US"/>
        </w:rPr>
        <w:t>The SBSTA further agreed to extend the implementation of the ongoing training programme to 2017.</w:t>
      </w:r>
      <w:bookmarkEnd w:id="221"/>
    </w:p>
    <w:p w14:paraId="4554828F" w14:textId="1BDC815B" w:rsidR="003E4382" w:rsidRPr="00E71436" w:rsidRDefault="00F83E99" w:rsidP="00F83E99">
      <w:pPr>
        <w:pStyle w:val="RegHChG"/>
        <w:numPr>
          <w:ilvl w:val="0"/>
          <w:numId w:val="0"/>
        </w:numPr>
        <w:tabs>
          <w:tab w:val="left" w:pos="1135"/>
        </w:tabs>
        <w:ind w:left="1135" w:hanging="454"/>
        <w:rPr>
          <w:rStyle w:val="SingleTxtGChar"/>
          <w:b w:val="0"/>
          <w:sz w:val="20"/>
        </w:rPr>
      </w:pPr>
      <w:bookmarkStart w:id="222" w:name="_Toc361321976"/>
      <w:bookmarkStart w:id="223" w:name="_Toc373495761"/>
      <w:bookmarkStart w:id="224" w:name="_Toc391892189"/>
      <w:bookmarkStart w:id="225" w:name="_Toc391892373"/>
      <w:bookmarkStart w:id="226" w:name="_Toc437266329"/>
      <w:bookmarkStart w:id="227" w:name="_Toc452991201"/>
      <w:bookmarkStart w:id="228" w:name="_Toc452994351"/>
      <w:bookmarkStart w:id="229" w:name="_Toc453077379"/>
      <w:bookmarkStart w:id="230" w:name="_Toc231126866"/>
      <w:bookmarkStart w:id="231" w:name="_Toc261965569"/>
      <w:bookmarkStart w:id="232" w:name="_Toc267320446"/>
      <w:bookmarkStart w:id="233" w:name="_Toc279431829"/>
      <w:bookmarkStart w:id="234" w:name="_Toc297037333"/>
      <w:bookmarkStart w:id="235" w:name="_Toc305764178"/>
      <w:bookmarkStart w:id="236" w:name="_Toc328480808"/>
      <w:bookmarkEnd w:id="199"/>
      <w:bookmarkEnd w:id="213"/>
      <w:bookmarkEnd w:id="214"/>
      <w:r w:rsidRPr="00E71436">
        <w:rPr>
          <w:rStyle w:val="SingleTxtGChar"/>
        </w:rPr>
        <w:lastRenderedPageBreak/>
        <w:t>IX.</w:t>
      </w:r>
      <w:r w:rsidRPr="00E71436">
        <w:rPr>
          <w:rStyle w:val="SingleTxtGChar"/>
        </w:rPr>
        <w:tab/>
      </w:r>
      <w:r w:rsidR="003E4382" w:rsidRPr="00D227B2">
        <w:t>Methodological</w:t>
      </w:r>
      <w:r w:rsidR="003E4382" w:rsidRPr="00314659">
        <w:rPr>
          <w:rStyle w:val="RegHChGCharChar"/>
          <w:bCs/>
        </w:rPr>
        <w:t xml:space="preserve"> </w:t>
      </w:r>
      <w:r w:rsidR="003E4382" w:rsidRPr="00314659">
        <w:t>issues</w:t>
      </w:r>
      <w:r w:rsidR="003E4382" w:rsidRPr="00314659">
        <w:rPr>
          <w:b w:val="0"/>
        </w:rPr>
        <w:t xml:space="preserve"> </w:t>
      </w:r>
      <w:r w:rsidR="003E4382" w:rsidRPr="00314659">
        <w:t>under</w:t>
      </w:r>
      <w:r w:rsidR="003E4382" w:rsidRPr="00314659">
        <w:rPr>
          <w:b w:val="0"/>
        </w:rPr>
        <w:t xml:space="preserve"> </w:t>
      </w:r>
      <w:r w:rsidR="003E4382" w:rsidRPr="00314659">
        <w:t>the</w:t>
      </w:r>
      <w:r w:rsidR="003E4382" w:rsidRPr="00314659">
        <w:rPr>
          <w:b w:val="0"/>
        </w:rPr>
        <w:t xml:space="preserve"> </w:t>
      </w:r>
      <w:r w:rsidR="003E4382" w:rsidRPr="00314659">
        <w:t>Kyoto</w:t>
      </w:r>
      <w:r w:rsidR="003E4382" w:rsidRPr="00314659">
        <w:rPr>
          <w:b w:val="0"/>
        </w:rPr>
        <w:t xml:space="preserve"> </w:t>
      </w:r>
      <w:r w:rsidR="003E4382" w:rsidRPr="00314659">
        <w:t>Protocol</w:t>
      </w:r>
      <w:r w:rsidR="003E4382" w:rsidRPr="00E71436">
        <w:t xml:space="preserve"> </w:t>
      </w:r>
      <w:r w:rsidR="003E4382" w:rsidRPr="00E71436">
        <w:br/>
      </w:r>
      <w:r w:rsidR="003E4382">
        <w:rPr>
          <w:rStyle w:val="SingleTxtGChar"/>
          <w:b w:val="0"/>
          <w:sz w:val="20"/>
        </w:rPr>
        <w:t>(Agenda item 9</w:t>
      </w:r>
      <w:r w:rsidR="003E4382" w:rsidRPr="00E71436">
        <w:rPr>
          <w:rStyle w:val="SingleTxtGChar"/>
          <w:b w:val="0"/>
          <w:sz w:val="20"/>
        </w:rPr>
        <w:t>)</w:t>
      </w:r>
      <w:bookmarkEnd w:id="222"/>
      <w:bookmarkEnd w:id="223"/>
      <w:bookmarkEnd w:id="224"/>
      <w:bookmarkEnd w:id="225"/>
      <w:bookmarkEnd w:id="226"/>
      <w:bookmarkEnd w:id="227"/>
      <w:bookmarkEnd w:id="228"/>
      <w:bookmarkEnd w:id="229"/>
    </w:p>
    <w:p w14:paraId="56217294" w14:textId="524428C2" w:rsidR="003E4382" w:rsidRPr="00231E5A" w:rsidRDefault="00F83E99" w:rsidP="00F83E99">
      <w:pPr>
        <w:pStyle w:val="RegH1G"/>
        <w:numPr>
          <w:ilvl w:val="0"/>
          <w:numId w:val="0"/>
        </w:numPr>
        <w:tabs>
          <w:tab w:val="left" w:pos="1135"/>
        </w:tabs>
        <w:ind w:left="1135" w:hanging="454"/>
        <w:rPr>
          <w:rStyle w:val="SingleTxtGChar"/>
          <w:b w:val="0"/>
        </w:rPr>
      </w:pPr>
      <w:bookmarkStart w:id="237" w:name="_Toc391892192"/>
      <w:bookmarkStart w:id="238" w:name="_Toc391892376"/>
      <w:bookmarkStart w:id="239" w:name="_Toc437266333"/>
      <w:bookmarkStart w:id="240" w:name="_Toc452991202"/>
      <w:bookmarkStart w:id="241" w:name="_Toc452994352"/>
      <w:bookmarkStart w:id="242" w:name="_Toc453077380"/>
      <w:r w:rsidRPr="00231E5A">
        <w:rPr>
          <w:rStyle w:val="SingleTxtGChar"/>
        </w:rPr>
        <w:t>A.</w:t>
      </w:r>
      <w:r w:rsidRPr="00231E5A">
        <w:rPr>
          <w:rStyle w:val="SingleTxtGChar"/>
        </w:rPr>
        <w:tab/>
      </w:r>
      <w:r w:rsidR="003E4382" w:rsidRPr="00451764">
        <w:t>Land use, land-use change and forestry under Article 3, paragraphs 3 and 4, of the Kyoto Protocol and under the clean development mechanism</w:t>
      </w:r>
      <w:r w:rsidR="003E4382" w:rsidRPr="00E71436">
        <w:br/>
      </w:r>
      <w:r w:rsidR="003E4382" w:rsidRPr="00E71436">
        <w:rPr>
          <w:rStyle w:val="SingleTxtGChar"/>
          <w:b w:val="0"/>
          <w:sz w:val="20"/>
        </w:rPr>
        <w:t>(Agenda sub-item</w:t>
      </w:r>
      <w:r w:rsidR="003E4382">
        <w:rPr>
          <w:rStyle w:val="SingleTxtGChar"/>
          <w:b w:val="0"/>
          <w:sz w:val="20"/>
        </w:rPr>
        <w:t xml:space="preserve"> 9(a</w:t>
      </w:r>
      <w:r w:rsidR="003E4382" w:rsidRPr="00231E5A">
        <w:rPr>
          <w:rStyle w:val="SingleTxtGChar"/>
          <w:b w:val="0"/>
          <w:sz w:val="20"/>
        </w:rPr>
        <w:t>))</w:t>
      </w:r>
      <w:bookmarkEnd w:id="237"/>
      <w:bookmarkEnd w:id="238"/>
      <w:bookmarkEnd w:id="239"/>
      <w:bookmarkEnd w:id="240"/>
      <w:bookmarkEnd w:id="241"/>
      <w:bookmarkEnd w:id="242"/>
    </w:p>
    <w:p w14:paraId="5C356E4E" w14:textId="03F7BE17" w:rsidR="003E4382" w:rsidRPr="00865CD7" w:rsidRDefault="00F83E99" w:rsidP="00F83E99">
      <w:pPr>
        <w:pStyle w:val="RegH23G"/>
        <w:numPr>
          <w:ilvl w:val="0"/>
          <w:numId w:val="0"/>
        </w:numPr>
        <w:tabs>
          <w:tab w:val="left" w:pos="1135"/>
        </w:tabs>
        <w:ind w:left="1135" w:hanging="454"/>
      </w:pPr>
      <w:r w:rsidRPr="00865CD7">
        <w:rPr>
          <w:bCs/>
        </w:rPr>
        <w:t>1.</w:t>
      </w:r>
      <w:r w:rsidRPr="00865CD7">
        <w:rPr>
          <w:bCs/>
        </w:rPr>
        <w:tab/>
      </w:r>
      <w:r w:rsidR="003E4382" w:rsidRPr="00865CD7">
        <w:t>Proceedings</w:t>
      </w:r>
    </w:p>
    <w:p w14:paraId="08D59EAD" w14:textId="0F59D2C6" w:rsidR="003E4382" w:rsidRDefault="00F83E99" w:rsidP="00F83E99">
      <w:pPr>
        <w:pStyle w:val="RegSingleTxtG"/>
        <w:numPr>
          <w:ilvl w:val="0"/>
          <w:numId w:val="0"/>
        </w:numPr>
        <w:tabs>
          <w:tab w:val="left" w:pos="2127"/>
        </w:tabs>
        <w:ind w:left="1134"/>
      </w:pPr>
      <w:bookmarkStart w:id="243" w:name="_Ref392164526"/>
      <w:bookmarkStart w:id="244" w:name="_Ref452990857"/>
      <w:r>
        <w:t>77.</w:t>
      </w:r>
      <w:r>
        <w:tab/>
      </w:r>
      <w:r w:rsidR="003E4382" w:rsidRPr="00865CD7">
        <w:t xml:space="preserve">The SBSTA considered this agenda sub-item </w:t>
      </w:r>
      <w:r w:rsidR="003E4382" w:rsidRPr="00280B3B">
        <w:t xml:space="preserve">at its </w:t>
      </w:r>
      <w:r w:rsidR="003E4382">
        <w:t xml:space="preserve">resumed </w:t>
      </w:r>
      <w:r w:rsidR="003E4382" w:rsidRPr="008A56D2">
        <w:t>1</w:t>
      </w:r>
      <w:r w:rsidR="003E4382" w:rsidRPr="008A56D2">
        <w:rPr>
          <w:vertAlign w:val="superscript"/>
        </w:rPr>
        <w:t>st</w:t>
      </w:r>
      <w:r w:rsidR="003E4382" w:rsidRPr="00280B3B">
        <w:t xml:space="preserve"> </w:t>
      </w:r>
      <w:r w:rsidR="003E4382">
        <w:t xml:space="preserve">meeting </w:t>
      </w:r>
      <w:r w:rsidR="003E4382" w:rsidRPr="00280B3B">
        <w:t xml:space="preserve">and </w:t>
      </w:r>
      <w:r w:rsidR="003E4382">
        <w:t xml:space="preserve">at its </w:t>
      </w:r>
      <w:r w:rsidR="003E4382" w:rsidRPr="008A56D2">
        <w:t>2</w:t>
      </w:r>
      <w:r w:rsidR="003E4382" w:rsidRPr="008A56D2">
        <w:rPr>
          <w:vertAlign w:val="superscript"/>
        </w:rPr>
        <w:t>nd</w:t>
      </w:r>
      <w:r w:rsidR="003E4382" w:rsidRPr="00280B3B">
        <w:t xml:space="preserve"> meeting</w:t>
      </w:r>
      <w:r w:rsidR="003E4382" w:rsidRPr="00865CD7">
        <w:t>.</w:t>
      </w:r>
      <w:r w:rsidR="003E4382">
        <w:t xml:space="preserve"> </w:t>
      </w:r>
      <w:bookmarkEnd w:id="243"/>
      <w:r w:rsidR="003E4382">
        <w:t>At its resumed 1</w:t>
      </w:r>
      <w:r w:rsidR="003E4382" w:rsidRPr="00945FEE">
        <w:rPr>
          <w:vertAlign w:val="superscript"/>
        </w:rPr>
        <w:t xml:space="preserve">st </w:t>
      </w:r>
      <w:r w:rsidR="003E4382">
        <w:t>meeting, the SBSTA agreed to take up this sub-item in informal consultations co-facilitated by Ms. Maya Hunt (New Zealand) and Mr. José Antonio Prado (Chile). At its 2</w:t>
      </w:r>
      <w:r w:rsidR="003E4382" w:rsidRPr="003D152A">
        <w:rPr>
          <w:vertAlign w:val="superscript"/>
        </w:rPr>
        <w:t>nd</w:t>
      </w:r>
      <w:r w:rsidR="003E4382">
        <w:t xml:space="preserve"> meeting, the SBSTA considered and adopted the conclusions below.</w:t>
      </w:r>
      <w:r w:rsidR="003E4382">
        <w:rPr>
          <w:rStyle w:val="FootnoteReference"/>
        </w:rPr>
        <w:footnoteReference w:id="53"/>
      </w:r>
      <w:bookmarkEnd w:id="244"/>
    </w:p>
    <w:p w14:paraId="0634FB63" w14:textId="72A7183D"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399CC2B5" w14:textId="1FE6C1D7" w:rsidR="003E4382" w:rsidRPr="00415C95" w:rsidRDefault="00F83E99" w:rsidP="00F83E99">
      <w:pPr>
        <w:pStyle w:val="RegSingleTxtG"/>
        <w:numPr>
          <w:ilvl w:val="0"/>
          <w:numId w:val="0"/>
        </w:numPr>
        <w:tabs>
          <w:tab w:val="left" w:pos="2127"/>
        </w:tabs>
        <w:ind w:left="1134"/>
      </w:pPr>
      <w:r w:rsidRPr="00415C95">
        <w:t>78.</w:t>
      </w:r>
      <w:r w:rsidRPr="00415C95">
        <w:tab/>
      </w:r>
      <w:r w:rsidR="003E4382">
        <w:t xml:space="preserve">The SBSTA continued its consideration of the work programmes referred to in </w:t>
      </w:r>
      <w:r w:rsidR="003E4382" w:rsidRPr="00415C95">
        <w:t>decision 2/CMP.7, paragraphs 5</w:t>
      </w:r>
      <w:r w:rsidR="00F65B7D" w:rsidRPr="00415C95">
        <w:t>–</w:t>
      </w:r>
      <w:r w:rsidR="003E4382" w:rsidRPr="00415C95">
        <w:t xml:space="preserve">7 and 10.  </w:t>
      </w:r>
    </w:p>
    <w:p w14:paraId="4DE66701" w14:textId="040A72E7" w:rsidR="003E4382" w:rsidRPr="00415C95" w:rsidRDefault="00F83E99" w:rsidP="00F83E99">
      <w:pPr>
        <w:pStyle w:val="RegSingleTxtG"/>
        <w:numPr>
          <w:ilvl w:val="0"/>
          <w:numId w:val="0"/>
        </w:numPr>
        <w:tabs>
          <w:tab w:val="left" w:pos="2127"/>
        </w:tabs>
        <w:ind w:left="1134"/>
      </w:pPr>
      <w:r w:rsidRPr="00415C95">
        <w:t>79.</w:t>
      </w:r>
      <w:r w:rsidRPr="00415C95">
        <w:tab/>
      </w:r>
      <w:r w:rsidR="003E4382" w:rsidRPr="00415C95">
        <w:t>The SBSTA acknowledged with appreciation the rich exchange of views by Parties that took place during the in-session workshop on revegetation activities and requested the secretariat to prepare a report on the workshop for consideration at SBSTA 45.</w:t>
      </w:r>
    </w:p>
    <w:p w14:paraId="1B0A759F" w14:textId="13F6F465" w:rsidR="003E4382" w:rsidRPr="00415C95" w:rsidRDefault="00F83E99" w:rsidP="00F83E99">
      <w:pPr>
        <w:pStyle w:val="RegSingleTxtG"/>
        <w:numPr>
          <w:ilvl w:val="0"/>
          <w:numId w:val="0"/>
        </w:numPr>
        <w:tabs>
          <w:tab w:val="left" w:pos="2127"/>
        </w:tabs>
        <w:ind w:left="1134"/>
      </w:pPr>
      <w:r w:rsidRPr="00415C95">
        <w:t>80.</w:t>
      </w:r>
      <w:r w:rsidRPr="00415C95">
        <w:tab/>
      </w:r>
      <w:r w:rsidR="003E4382" w:rsidRPr="00415C95">
        <w:t xml:space="preserve">The SBSTA agreed to continue its consideration of the work programme referred to in decision 2/CMP.7, paragraph 6, at SBSTA 45 with a view to recommending a draft decision on the matter for consideration and adoption by the Conference of the Parties serving as the meeting of the Parties to the Kyoto Protocol (CMP) at its twelfth session (November 2016), as reflected in document FCCC/SBSTA/2016/CRP.1. </w:t>
      </w:r>
    </w:p>
    <w:p w14:paraId="7B4F0995" w14:textId="03DB6D26" w:rsidR="003E4382" w:rsidRPr="00415C95" w:rsidRDefault="00F83E99" w:rsidP="00F83E99">
      <w:pPr>
        <w:pStyle w:val="RegSingleTxtG"/>
        <w:numPr>
          <w:ilvl w:val="0"/>
          <w:numId w:val="0"/>
        </w:numPr>
        <w:tabs>
          <w:tab w:val="left" w:pos="2127"/>
        </w:tabs>
        <w:ind w:left="1134"/>
      </w:pPr>
      <w:bookmarkStart w:id="245" w:name="_Ref452990874"/>
      <w:r w:rsidRPr="00415C95">
        <w:t>81.</w:t>
      </w:r>
      <w:r w:rsidRPr="00415C95">
        <w:tab/>
      </w:r>
      <w:r w:rsidR="003E4382" w:rsidRPr="00415C95">
        <w:t>The SBSTA also agreed to continue its consideration of the work programmes referred to in decision 2/CMP.7, paragraphs 5, 7 and 10, at SBSTA 45 with a view to recommending a draft decision or reporting on the outcomes, for consideration and, as appropriate, adoption at CMP 12.</w:t>
      </w:r>
      <w:bookmarkEnd w:id="245"/>
    </w:p>
    <w:p w14:paraId="222F9B82" w14:textId="3BA6AA2E" w:rsidR="003E4382" w:rsidRDefault="00F83E99" w:rsidP="00F83E99">
      <w:pPr>
        <w:pStyle w:val="RegH1G"/>
        <w:numPr>
          <w:ilvl w:val="0"/>
          <w:numId w:val="0"/>
        </w:numPr>
        <w:tabs>
          <w:tab w:val="left" w:pos="1135"/>
        </w:tabs>
        <w:ind w:left="1135" w:hanging="454"/>
        <w:rPr>
          <w:rStyle w:val="SingleTxtGChar"/>
          <w:b w:val="0"/>
          <w:sz w:val="20"/>
        </w:rPr>
      </w:pPr>
      <w:bookmarkStart w:id="246" w:name="_Toc452991203"/>
      <w:bookmarkStart w:id="247" w:name="_Toc452994353"/>
      <w:bookmarkStart w:id="248" w:name="_Toc453077381"/>
      <w:r>
        <w:rPr>
          <w:rStyle w:val="SingleTxtGChar"/>
        </w:rPr>
        <w:t>B.</w:t>
      </w:r>
      <w:r>
        <w:rPr>
          <w:rStyle w:val="SingleTxtGChar"/>
        </w:rPr>
        <w:tab/>
      </w:r>
      <w:r w:rsidR="003E4382" w:rsidRPr="00451764">
        <w:t>Implications of the choice of metrics used to calculate the carbon dioxide equivalence of greenhouse gases listed in Annex A to the Kyoto Protocol</w:t>
      </w:r>
      <w:r w:rsidR="003E4382" w:rsidRPr="001D0755">
        <w:t xml:space="preserve"> </w:t>
      </w:r>
      <w:r w:rsidR="003E4382">
        <w:br/>
      </w:r>
      <w:r w:rsidR="003E4382" w:rsidRPr="00647762">
        <w:rPr>
          <w:rStyle w:val="SingleTxtGChar"/>
          <w:b w:val="0"/>
          <w:sz w:val="20"/>
        </w:rPr>
        <w:t>(Agenda sub-item 9(b))</w:t>
      </w:r>
      <w:bookmarkEnd w:id="246"/>
      <w:bookmarkEnd w:id="247"/>
      <w:bookmarkEnd w:id="248"/>
    </w:p>
    <w:p w14:paraId="176D7FCE" w14:textId="32F3523D"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5ECCB071" w14:textId="06CE49D6" w:rsidR="003E4382" w:rsidRDefault="00F83E99" w:rsidP="00F83E99">
      <w:pPr>
        <w:pStyle w:val="RegSingleTxtG"/>
        <w:numPr>
          <w:ilvl w:val="0"/>
          <w:numId w:val="0"/>
        </w:numPr>
        <w:tabs>
          <w:tab w:val="left" w:pos="2127"/>
        </w:tabs>
        <w:ind w:left="1134"/>
      </w:pPr>
      <w:bookmarkStart w:id="249" w:name="_Ref452990882"/>
      <w:r>
        <w:t>82.</w:t>
      </w:r>
      <w:r>
        <w:tab/>
      </w:r>
      <w:r w:rsidR="003E4382" w:rsidRPr="00E71436">
        <w:t>The SBSTA considered this agenda sub-item at its 1</w:t>
      </w:r>
      <w:r w:rsidR="003E4382" w:rsidRPr="00E71436">
        <w:rPr>
          <w:vertAlign w:val="superscript"/>
        </w:rPr>
        <w:t>st</w:t>
      </w:r>
      <w:r w:rsidR="003E4382" w:rsidRPr="00E71436">
        <w:t xml:space="preserve"> and 2</w:t>
      </w:r>
      <w:r w:rsidR="003E4382" w:rsidRPr="00E71436">
        <w:rPr>
          <w:vertAlign w:val="superscript"/>
        </w:rPr>
        <w:t>nd</w:t>
      </w:r>
      <w:r w:rsidR="003E4382" w:rsidRPr="00E71436">
        <w:t xml:space="preserve"> meetings. At its 1</w:t>
      </w:r>
      <w:r w:rsidR="003E4382" w:rsidRPr="00E71436">
        <w:rPr>
          <w:vertAlign w:val="superscript"/>
        </w:rPr>
        <w:t>st</w:t>
      </w:r>
      <w:r w:rsidR="003E4382" w:rsidRPr="00E71436">
        <w:t xml:space="preserve"> meeting, the SBSTA agreed to consider this agenda sub-item in </w:t>
      </w:r>
      <w:r w:rsidR="003E4382">
        <w:t>informal consultations</w:t>
      </w:r>
      <w:r w:rsidR="003E4382" w:rsidRPr="00E71436">
        <w:t xml:space="preserve"> co-</w:t>
      </w:r>
      <w:r w:rsidR="003E4382">
        <w:t>facilitated</w:t>
      </w:r>
      <w:r w:rsidR="003E4382" w:rsidRPr="00E71436">
        <w:t xml:space="preserve"> by </w:t>
      </w:r>
      <w:r w:rsidR="003E4382">
        <w:t>Mr. Enoki and Mr. Zhakata</w:t>
      </w:r>
      <w:r w:rsidR="003E4382" w:rsidRPr="00E71436">
        <w:t>. 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54"/>
      </w:r>
      <w:bookmarkEnd w:id="249"/>
    </w:p>
    <w:p w14:paraId="6D99B823" w14:textId="116FBDBA" w:rsidR="003E4382" w:rsidRDefault="00F83E99" w:rsidP="00F83E99">
      <w:pPr>
        <w:pStyle w:val="RegH23G"/>
        <w:numPr>
          <w:ilvl w:val="0"/>
          <w:numId w:val="0"/>
        </w:numPr>
        <w:tabs>
          <w:tab w:val="left" w:pos="1135"/>
        </w:tabs>
        <w:ind w:left="1135" w:hanging="454"/>
      </w:pPr>
      <w:r>
        <w:rPr>
          <w:bCs/>
        </w:rPr>
        <w:lastRenderedPageBreak/>
        <w:t>2.</w:t>
      </w:r>
      <w:r>
        <w:rPr>
          <w:bCs/>
        </w:rPr>
        <w:tab/>
      </w:r>
      <w:r w:rsidR="003E4382">
        <w:t>Conclusions</w:t>
      </w:r>
    </w:p>
    <w:p w14:paraId="3D3A15CB" w14:textId="7A00F2CE" w:rsidR="003E4382" w:rsidRPr="00415C95" w:rsidRDefault="00F83E99" w:rsidP="00F83E99">
      <w:pPr>
        <w:pStyle w:val="RegSingleTxtG"/>
        <w:numPr>
          <w:ilvl w:val="0"/>
          <w:numId w:val="0"/>
        </w:numPr>
        <w:tabs>
          <w:tab w:val="left" w:pos="2127"/>
        </w:tabs>
        <w:ind w:left="1134"/>
      </w:pPr>
      <w:r w:rsidRPr="00415C95">
        <w:t>83.</w:t>
      </w:r>
      <w:r w:rsidRPr="00415C95">
        <w:tab/>
      </w:r>
      <w:r w:rsidR="003E4382" w:rsidRPr="00C56CB0">
        <w:t xml:space="preserve">The </w:t>
      </w:r>
      <w:r w:rsidR="003E4382">
        <w:t>SBSTA</w:t>
      </w:r>
      <w:r w:rsidR="003E4382" w:rsidRPr="00C56CB0">
        <w:t xml:space="preserve"> </w:t>
      </w:r>
      <w:r w:rsidR="003E4382" w:rsidRPr="004E3BC8">
        <w:t>continued</w:t>
      </w:r>
      <w:r w:rsidR="003E4382" w:rsidRPr="00C56CB0">
        <w:t xml:space="preserve"> its </w:t>
      </w:r>
      <w:r w:rsidR="003E4382">
        <w:rPr>
          <w:lang w:val="en-US"/>
        </w:rPr>
        <w:t>assessment</w:t>
      </w:r>
      <w:r w:rsidR="003E4382" w:rsidRPr="00C56CB0">
        <w:t xml:space="preserve"> </w:t>
      </w:r>
      <w:r w:rsidR="003E4382" w:rsidRPr="00941386">
        <w:t xml:space="preserve">of the implications of the choice of metrics used to calculate the carbon dioxide </w:t>
      </w:r>
      <w:r w:rsidR="003E4382" w:rsidRPr="00F902F5">
        <w:t>equivalence</w:t>
      </w:r>
      <w:r w:rsidR="003E4382" w:rsidRPr="00941386">
        <w:t xml:space="preserve"> of </w:t>
      </w:r>
      <w:r w:rsidR="003E4382">
        <w:t>anthropogenic emissions by sources and removals by sinks of the GHGs</w:t>
      </w:r>
      <w:r w:rsidR="003E4382" w:rsidRPr="00941386">
        <w:t xml:space="preserve"> listed in Annex A to the Kyoto Protocol for the third or subsequent </w:t>
      </w:r>
      <w:r w:rsidR="003E4382">
        <w:t>commitment periods</w:t>
      </w:r>
      <w:r w:rsidR="003E4382" w:rsidRPr="00775260">
        <w:rPr>
          <w:lang w:val="en-US"/>
        </w:rPr>
        <w:t xml:space="preserve">, as requested </w:t>
      </w:r>
      <w:r w:rsidR="003E4382" w:rsidRPr="00CC39A3">
        <w:rPr>
          <w:lang w:val="en-US"/>
        </w:rPr>
        <w:t xml:space="preserve">by </w:t>
      </w:r>
      <w:r w:rsidR="003E4382" w:rsidRPr="00415C95">
        <w:rPr>
          <w:lang w:val="en-US"/>
        </w:rPr>
        <w:t>decision 4/CMP.7, paragraphs 10 and 11</w:t>
      </w:r>
      <w:r w:rsidR="003E4382" w:rsidRPr="00415C95">
        <w:t>.</w:t>
      </w:r>
    </w:p>
    <w:p w14:paraId="7862E8FB" w14:textId="2E407623" w:rsidR="003E4382" w:rsidRPr="00415C95" w:rsidRDefault="00F83E99" w:rsidP="00F83E99">
      <w:pPr>
        <w:pStyle w:val="RegSingleTxtG"/>
        <w:numPr>
          <w:ilvl w:val="0"/>
          <w:numId w:val="0"/>
        </w:numPr>
        <w:tabs>
          <w:tab w:val="left" w:pos="2127"/>
        </w:tabs>
        <w:ind w:left="1134"/>
        <w:rPr>
          <w:lang w:val="en-US"/>
        </w:rPr>
      </w:pPr>
      <w:r w:rsidRPr="00415C95">
        <w:rPr>
          <w:lang w:val="en-US"/>
        </w:rPr>
        <w:t>84.</w:t>
      </w:r>
      <w:r w:rsidRPr="00415C95">
        <w:rPr>
          <w:lang w:val="en-US"/>
        </w:rPr>
        <w:tab/>
      </w:r>
      <w:r w:rsidR="003E4382" w:rsidRPr="00415C95">
        <w:rPr>
          <w:lang w:val="en-US"/>
        </w:rPr>
        <w:t xml:space="preserve">The SBSTA acknowledged that the assessment of the implications of the choice of metrics is an important process that is linked to and dependent on consideration by Parties of a third </w:t>
      </w:r>
      <w:r w:rsidR="003E4382" w:rsidRPr="00415C95">
        <w:t>commitment</w:t>
      </w:r>
      <w:r w:rsidR="003E4382" w:rsidRPr="00415C95">
        <w:rPr>
          <w:lang w:val="en-US"/>
        </w:rPr>
        <w:t xml:space="preserve"> period of the Kyoto Protocol.</w:t>
      </w:r>
    </w:p>
    <w:p w14:paraId="0590D608" w14:textId="0BC8B7D1" w:rsidR="003E4382" w:rsidRDefault="00F83E99" w:rsidP="00F83E99">
      <w:pPr>
        <w:pStyle w:val="RegSingleTxtG"/>
        <w:numPr>
          <w:ilvl w:val="0"/>
          <w:numId w:val="0"/>
        </w:numPr>
        <w:tabs>
          <w:tab w:val="left" w:pos="2127"/>
        </w:tabs>
        <w:ind w:left="1134"/>
        <w:rPr>
          <w:lang w:val="en-US"/>
        </w:rPr>
      </w:pPr>
      <w:bookmarkStart w:id="250" w:name="_Ref452990885"/>
      <w:r>
        <w:rPr>
          <w:lang w:val="en-US"/>
        </w:rPr>
        <w:t>85.</w:t>
      </w:r>
      <w:r>
        <w:rPr>
          <w:lang w:val="en-US"/>
        </w:rPr>
        <w:tab/>
      </w:r>
      <w:r w:rsidR="003E4382" w:rsidRPr="00CC39A3">
        <w:rPr>
          <w:lang w:val="en-US"/>
        </w:rPr>
        <w:t xml:space="preserve">The SBSTA agreed to defer its assessment of the matter and would only return to it if the </w:t>
      </w:r>
      <w:r w:rsidR="003E4382">
        <w:rPr>
          <w:lang w:val="en-US"/>
        </w:rPr>
        <w:t>CMP</w:t>
      </w:r>
      <w:r w:rsidR="003E4382" w:rsidRPr="00CC39A3">
        <w:rPr>
          <w:lang w:val="en-US"/>
        </w:rPr>
        <w:t xml:space="preserve"> initiates a consideration of a third commitment period of the Kyoto Protocol.</w:t>
      </w:r>
      <w:bookmarkEnd w:id="250"/>
    </w:p>
    <w:p w14:paraId="206F9327" w14:textId="0CAE0A2A" w:rsidR="003E4382" w:rsidRPr="00451764" w:rsidRDefault="00F83E99" w:rsidP="00F83E99">
      <w:pPr>
        <w:pStyle w:val="RegH1G"/>
        <w:numPr>
          <w:ilvl w:val="0"/>
          <w:numId w:val="0"/>
        </w:numPr>
        <w:tabs>
          <w:tab w:val="left" w:pos="1135"/>
        </w:tabs>
        <w:ind w:left="1135" w:hanging="454"/>
      </w:pPr>
      <w:bookmarkStart w:id="251" w:name="_Toc452991204"/>
      <w:bookmarkStart w:id="252" w:name="_Toc452994354"/>
      <w:bookmarkStart w:id="253" w:name="_Toc453077382"/>
      <w:r w:rsidRPr="00451764">
        <w:t>C.</w:t>
      </w:r>
      <w:r w:rsidRPr="00451764">
        <w:tab/>
      </w:r>
      <w:r w:rsidR="003E4382" w:rsidRPr="00451764">
        <w:t>Implications of the inclusion of reforestation of lands with forest in exhaustion as afforestation and reforestation clean development mechanism project activities</w:t>
      </w:r>
      <w:bookmarkEnd w:id="251"/>
      <w:bookmarkEnd w:id="252"/>
      <w:bookmarkEnd w:id="253"/>
    </w:p>
    <w:p w14:paraId="736CF304" w14:textId="75099BE1"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35B3D4F8" w14:textId="4FFB416C" w:rsidR="003E4382" w:rsidRDefault="00F83E99" w:rsidP="00F83E99">
      <w:pPr>
        <w:pStyle w:val="RegSingleTxtG"/>
        <w:numPr>
          <w:ilvl w:val="0"/>
          <w:numId w:val="0"/>
        </w:numPr>
        <w:tabs>
          <w:tab w:val="left" w:pos="2127"/>
        </w:tabs>
        <w:ind w:left="1134"/>
      </w:pPr>
      <w:bookmarkStart w:id="254" w:name="_Ref452990892"/>
      <w:r>
        <w:t>86.</w:t>
      </w:r>
      <w:r>
        <w:tab/>
      </w:r>
      <w:r w:rsidR="003E4382" w:rsidRPr="00E71436">
        <w:t>The SBSTA considered this agenda sub-item at its 1</w:t>
      </w:r>
      <w:r w:rsidR="003E4382" w:rsidRPr="00E71436">
        <w:rPr>
          <w:vertAlign w:val="superscript"/>
        </w:rPr>
        <w:t>st</w:t>
      </w:r>
      <w:r w:rsidR="003E4382" w:rsidRPr="00E71436">
        <w:t xml:space="preserve"> and 2</w:t>
      </w:r>
      <w:r w:rsidR="003E4382" w:rsidRPr="00E71436">
        <w:rPr>
          <w:vertAlign w:val="superscript"/>
        </w:rPr>
        <w:t>nd</w:t>
      </w:r>
      <w:r w:rsidR="003E4382" w:rsidRPr="00E71436">
        <w:t xml:space="preserve"> meetings. At its 1</w:t>
      </w:r>
      <w:r w:rsidR="003E4382" w:rsidRPr="00E71436">
        <w:rPr>
          <w:vertAlign w:val="superscript"/>
        </w:rPr>
        <w:t>st</w:t>
      </w:r>
      <w:r w:rsidR="003E4382" w:rsidRPr="00E71436">
        <w:t xml:space="preserve"> meeting, the SBSTA agreed to consider this agenda sub-item in </w:t>
      </w:r>
      <w:r w:rsidR="003E4382">
        <w:t>informal consultations</w:t>
      </w:r>
      <w:r w:rsidR="003E4382" w:rsidRPr="00E71436">
        <w:t xml:space="preserve"> </w:t>
      </w:r>
      <w:r w:rsidR="003E4382">
        <w:t>facilitated</w:t>
      </w:r>
      <w:r w:rsidR="003E4382" w:rsidRPr="00E71436">
        <w:t xml:space="preserve"> by </w:t>
      </w:r>
      <w:r w:rsidR="003E4382">
        <w:t>Mr. Eduardo Sanhueza (Chile)</w:t>
      </w:r>
      <w:r w:rsidR="003E4382" w:rsidRPr="00E71436">
        <w:t>. 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55"/>
      </w:r>
      <w:bookmarkEnd w:id="254"/>
    </w:p>
    <w:p w14:paraId="4EFDF2F4" w14:textId="1B1D5965"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7F5E51B4" w14:textId="6457E5F2" w:rsidR="003E4382" w:rsidRDefault="00F83E99" w:rsidP="00F83E99">
      <w:pPr>
        <w:pStyle w:val="RegSingleTxtG"/>
        <w:numPr>
          <w:ilvl w:val="0"/>
          <w:numId w:val="0"/>
        </w:numPr>
        <w:tabs>
          <w:tab w:val="left" w:pos="2127"/>
        </w:tabs>
        <w:ind w:left="1134"/>
      </w:pPr>
      <w:r>
        <w:t>87.</w:t>
      </w:r>
      <w:r>
        <w:tab/>
      </w:r>
      <w:r w:rsidR="003E4382" w:rsidRPr="00997044">
        <w:t xml:space="preserve">The SBSTA continued its </w:t>
      </w:r>
      <w:r w:rsidR="003E4382">
        <w:t xml:space="preserve">consideration of </w:t>
      </w:r>
      <w:r w:rsidR="003E4382" w:rsidRPr="00997044">
        <w:t>the implications of the inclusion of reforestation of lands with forest in exhaustion as afforestation and reforestation clean development mechanism project activities</w:t>
      </w:r>
      <w:r w:rsidR="003E4382">
        <w:t xml:space="preserve">. </w:t>
      </w:r>
    </w:p>
    <w:p w14:paraId="60716924" w14:textId="4D201F26" w:rsidR="003E4382" w:rsidRPr="00415C95" w:rsidRDefault="00F83E99" w:rsidP="00F83E99">
      <w:pPr>
        <w:pStyle w:val="RegSingleTxtG"/>
        <w:numPr>
          <w:ilvl w:val="0"/>
          <w:numId w:val="0"/>
        </w:numPr>
        <w:tabs>
          <w:tab w:val="left" w:pos="2127"/>
        </w:tabs>
        <w:ind w:left="1134"/>
      </w:pPr>
      <w:r w:rsidRPr="00415C95">
        <w:t>88.</w:t>
      </w:r>
      <w:r w:rsidRPr="00415C95">
        <w:tab/>
      </w:r>
      <w:r w:rsidR="003E4382">
        <w:t xml:space="preserve">The SBSTA noted the information collected through submissions from Parties in the course of the </w:t>
      </w:r>
      <w:r w:rsidR="003E4382" w:rsidRPr="00415C95">
        <w:t>consideration of this agenda sub-item, as contained in documents FCCC/SBSTA/2011/MISC.12, FCCC/SBSTA/2011/INF.15, FCCC/SBSTA/2012/MISC.10 and FCCC/SBSTA/2014/CRP.2.</w:t>
      </w:r>
    </w:p>
    <w:p w14:paraId="79DB6291" w14:textId="4784CFAE" w:rsidR="003E4382" w:rsidRDefault="00F83E99" w:rsidP="00F83E99">
      <w:pPr>
        <w:pStyle w:val="RegSingleTxtG"/>
        <w:numPr>
          <w:ilvl w:val="0"/>
          <w:numId w:val="0"/>
        </w:numPr>
        <w:tabs>
          <w:tab w:val="left" w:pos="2127"/>
        </w:tabs>
        <w:ind w:left="1134"/>
      </w:pPr>
      <w:bookmarkStart w:id="255" w:name="_Ref452990864"/>
      <w:r>
        <w:t>89.</w:t>
      </w:r>
      <w:r>
        <w:tab/>
      </w:r>
      <w:r w:rsidR="003E4382" w:rsidRPr="00415C95">
        <w:t xml:space="preserve">The SBSTA agreed </w:t>
      </w:r>
      <w:r w:rsidR="00170658" w:rsidRPr="00415C95">
        <w:t>that the</w:t>
      </w:r>
      <w:r w:rsidR="00170658">
        <w:t xml:space="preserve"> consideration </w:t>
      </w:r>
      <w:r w:rsidR="003E4382">
        <w:t xml:space="preserve">of this </w:t>
      </w:r>
      <w:r w:rsidR="00170658">
        <w:t>matter would continue</w:t>
      </w:r>
      <w:r w:rsidR="003E4382">
        <w:t xml:space="preserve"> at SBSTA 46.</w:t>
      </w:r>
      <w:bookmarkEnd w:id="255"/>
    </w:p>
    <w:p w14:paraId="7061425E" w14:textId="71904A71" w:rsidR="003E4382" w:rsidRPr="00E71436" w:rsidRDefault="00F83E99" w:rsidP="00F83E99">
      <w:pPr>
        <w:pStyle w:val="RegHChG"/>
        <w:numPr>
          <w:ilvl w:val="0"/>
          <w:numId w:val="0"/>
        </w:numPr>
        <w:tabs>
          <w:tab w:val="left" w:pos="1135"/>
        </w:tabs>
        <w:ind w:left="1135" w:hanging="454"/>
        <w:rPr>
          <w:rStyle w:val="SingleTxtGChar"/>
          <w:b w:val="0"/>
          <w:sz w:val="20"/>
        </w:rPr>
      </w:pPr>
      <w:bookmarkStart w:id="256" w:name="_Toc361321680"/>
      <w:bookmarkStart w:id="257" w:name="_Toc361321977"/>
      <w:bookmarkStart w:id="258" w:name="_Toc373495766"/>
      <w:bookmarkStart w:id="259" w:name="_Toc391892194"/>
      <w:bookmarkStart w:id="260" w:name="_Toc391892378"/>
      <w:bookmarkStart w:id="261" w:name="_Toc437266334"/>
      <w:bookmarkStart w:id="262" w:name="_Toc452991205"/>
      <w:bookmarkStart w:id="263" w:name="_Toc452994355"/>
      <w:bookmarkStart w:id="264" w:name="_Toc453077383"/>
      <w:r w:rsidRPr="00E71436">
        <w:rPr>
          <w:rStyle w:val="SingleTxtGChar"/>
        </w:rPr>
        <w:lastRenderedPageBreak/>
        <w:t>X.</w:t>
      </w:r>
      <w:r w:rsidRPr="00E71436">
        <w:rPr>
          <w:rStyle w:val="SingleTxtGChar"/>
        </w:rPr>
        <w:tab/>
      </w:r>
      <w:r w:rsidR="003E4382" w:rsidRPr="00C24F11">
        <w:t>Market</w:t>
      </w:r>
      <w:r w:rsidR="003E4382" w:rsidRPr="00C24F11">
        <w:rPr>
          <w:b w:val="0"/>
        </w:rPr>
        <w:t xml:space="preserve"> </w:t>
      </w:r>
      <w:r w:rsidR="003E4382" w:rsidRPr="00C24F11">
        <w:t>and</w:t>
      </w:r>
      <w:r w:rsidR="003E4382" w:rsidRPr="00C24F11">
        <w:rPr>
          <w:b w:val="0"/>
        </w:rPr>
        <w:t xml:space="preserve"> </w:t>
      </w:r>
      <w:r w:rsidR="003E4382" w:rsidRPr="00C24F11">
        <w:t>non</w:t>
      </w:r>
      <w:r w:rsidR="003E4382" w:rsidRPr="00C24F11">
        <w:rPr>
          <w:b w:val="0"/>
        </w:rPr>
        <w:t>-</w:t>
      </w:r>
      <w:r w:rsidR="003E4382" w:rsidRPr="00C24F11">
        <w:t>market</w:t>
      </w:r>
      <w:r w:rsidR="003E4382" w:rsidRPr="00C24F11">
        <w:rPr>
          <w:b w:val="0"/>
        </w:rPr>
        <w:t xml:space="preserve"> </w:t>
      </w:r>
      <w:r w:rsidR="003E4382" w:rsidRPr="00C24F11">
        <w:t>mechanisms</w:t>
      </w:r>
      <w:r w:rsidR="003E4382" w:rsidRPr="00C24F11">
        <w:rPr>
          <w:b w:val="0"/>
        </w:rPr>
        <w:t xml:space="preserve"> </w:t>
      </w:r>
      <w:r w:rsidR="003E4382" w:rsidRPr="00C24F11">
        <w:t>under</w:t>
      </w:r>
      <w:r w:rsidR="003E4382" w:rsidRPr="00C24F11">
        <w:rPr>
          <w:b w:val="0"/>
        </w:rPr>
        <w:t xml:space="preserve"> </w:t>
      </w:r>
      <w:r w:rsidR="003E4382" w:rsidRPr="00C24F11">
        <w:t>the</w:t>
      </w:r>
      <w:r w:rsidR="003E4382" w:rsidRPr="00C24F11">
        <w:rPr>
          <w:b w:val="0"/>
        </w:rPr>
        <w:t xml:space="preserve"> </w:t>
      </w:r>
      <w:r w:rsidR="003E4382" w:rsidRPr="00C24F11">
        <w:t>Convention</w:t>
      </w:r>
      <w:r w:rsidR="003E4382" w:rsidRPr="00E71436">
        <w:t xml:space="preserve"> </w:t>
      </w:r>
      <w:r w:rsidR="003E4382" w:rsidRPr="00E71436">
        <w:br/>
      </w:r>
      <w:r w:rsidR="003E4382" w:rsidRPr="00E71436">
        <w:rPr>
          <w:rStyle w:val="SingleTxtGChar"/>
          <w:b w:val="0"/>
          <w:sz w:val="20"/>
        </w:rPr>
        <w:t>(</w:t>
      </w:r>
      <w:r w:rsidR="003E4382" w:rsidRPr="00E71436">
        <w:rPr>
          <w:rStyle w:val="SingleTxtGChar"/>
          <w:b w:val="0"/>
          <w:sz w:val="20"/>
          <w:lang w:eastAsia="zh-CN"/>
        </w:rPr>
        <w:t>Agenda</w:t>
      </w:r>
      <w:r w:rsidR="003E4382">
        <w:rPr>
          <w:rStyle w:val="SingleTxtGChar"/>
          <w:b w:val="0"/>
          <w:sz w:val="20"/>
        </w:rPr>
        <w:t xml:space="preserve"> item 10</w:t>
      </w:r>
      <w:r w:rsidR="003E4382" w:rsidRPr="00E71436">
        <w:rPr>
          <w:rStyle w:val="SingleTxtGChar"/>
          <w:b w:val="0"/>
          <w:sz w:val="20"/>
        </w:rPr>
        <w:t>)</w:t>
      </w:r>
      <w:bookmarkEnd w:id="230"/>
      <w:bookmarkEnd w:id="231"/>
      <w:bookmarkEnd w:id="232"/>
      <w:bookmarkEnd w:id="233"/>
      <w:bookmarkEnd w:id="234"/>
      <w:bookmarkEnd w:id="235"/>
      <w:bookmarkEnd w:id="236"/>
      <w:bookmarkEnd w:id="256"/>
      <w:bookmarkEnd w:id="257"/>
      <w:bookmarkEnd w:id="258"/>
      <w:bookmarkEnd w:id="259"/>
      <w:bookmarkEnd w:id="260"/>
      <w:bookmarkEnd w:id="261"/>
      <w:bookmarkEnd w:id="262"/>
      <w:bookmarkEnd w:id="263"/>
      <w:bookmarkEnd w:id="264"/>
    </w:p>
    <w:p w14:paraId="5E3C0D5A" w14:textId="58F70F1B" w:rsidR="003E4382" w:rsidRPr="00E71436" w:rsidRDefault="00F83E99" w:rsidP="00F83E99">
      <w:pPr>
        <w:pStyle w:val="RegH1G"/>
        <w:numPr>
          <w:ilvl w:val="0"/>
          <w:numId w:val="0"/>
        </w:numPr>
        <w:tabs>
          <w:tab w:val="left" w:pos="1135"/>
        </w:tabs>
        <w:ind w:left="1135" w:hanging="454"/>
        <w:rPr>
          <w:b w:val="0"/>
          <w:sz w:val="20"/>
          <w:lang w:eastAsia="en-US"/>
        </w:rPr>
      </w:pPr>
      <w:bookmarkStart w:id="265" w:name="_Toc437266335"/>
      <w:bookmarkStart w:id="266" w:name="_Toc452991206"/>
      <w:bookmarkStart w:id="267" w:name="_Toc452994356"/>
      <w:bookmarkStart w:id="268" w:name="_Toc453077384"/>
      <w:bookmarkStart w:id="269" w:name="_Toc305764179"/>
      <w:bookmarkStart w:id="270" w:name="_Toc328480809"/>
      <w:bookmarkStart w:id="271" w:name="_Toc373495767"/>
      <w:bookmarkStart w:id="272" w:name="_Toc391892195"/>
      <w:bookmarkStart w:id="273" w:name="_Toc391892379"/>
      <w:bookmarkStart w:id="274" w:name="_Toc231126868"/>
      <w:bookmarkStart w:id="275" w:name="_Toc261965571"/>
      <w:bookmarkStart w:id="276" w:name="_Toc267320450"/>
      <w:bookmarkStart w:id="277" w:name="_Toc279431830"/>
      <w:bookmarkStart w:id="278" w:name="_Toc297037334"/>
      <w:r w:rsidRPr="00E71436">
        <w:rPr>
          <w:lang w:eastAsia="en-US"/>
        </w:rPr>
        <w:t>A.</w:t>
      </w:r>
      <w:r w:rsidRPr="00E71436">
        <w:rPr>
          <w:lang w:eastAsia="en-US"/>
        </w:rPr>
        <w:tab/>
      </w:r>
      <w:r w:rsidR="003E4382" w:rsidRPr="00E71436">
        <w:t xml:space="preserve">Framework for various approaches </w:t>
      </w:r>
      <w:r w:rsidR="003E4382" w:rsidRPr="00E71436">
        <w:br/>
      </w:r>
      <w:r w:rsidR="003E4382" w:rsidRPr="00E71436">
        <w:rPr>
          <w:b w:val="0"/>
          <w:sz w:val="20"/>
        </w:rPr>
        <w:t xml:space="preserve">(Agenda </w:t>
      </w:r>
      <w:r w:rsidR="003E4382">
        <w:rPr>
          <w:b w:val="0"/>
          <w:sz w:val="20"/>
        </w:rPr>
        <w:t>sub-</w:t>
      </w:r>
      <w:r w:rsidR="003E4382" w:rsidRPr="00E71436">
        <w:rPr>
          <w:b w:val="0"/>
          <w:sz w:val="20"/>
        </w:rPr>
        <w:t>item 1</w:t>
      </w:r>
      <w:r w:rsidR="003E4382">
        <w:rPr>
          <w:b w:val="0"/>
          <w:sz w:val="20"/>
        </w:rPr>
        <w:t>0</w:t>
      </w:r>
      <w:r w:rsidR="003E4382" w:rsidRPr="00E71436">
        <w:rPr>
          <w:b w:val="0"/>
          <w:sz w:val="20"/>
        </w:rPr>
        <w:t>(a))</w:t>
      </w:r>
      <w:bookmarkEnd w:id="265"/>
      <w:bookmarkEnd w:id="266"/>
      <w:bookmarkEnd w:id="267"/>
      <w:bookmarkEnd w:id="268"/>
    </w:p>
    <w:p w14:paraId="40D9239E" w14:textId="0F8413C4" w:rsidR="003E4382" w:rsidRPr="00E71436" w:rsidRDefault="00F83E99" w:rsidP="00F83E99">
      <w:pPr>
        <w:pStyle w:val="RegH1G"/>
        <w:numPr>
          <w:ilvl w:val="0"/>
          <w:numId w:val="0"/>
        </w:numPr>
        <w:tabs>
          <w:tab w:val="left" w:pos="1135"/>
        </w:tabs>
        <w:ind w:left="1135" w:hanging="454"/>
        <w:rPr>
          <w:b w:val="0"/>
          <w:sz w:val="20"/>
          <w:lang w:eastAsia="en-US"/>
        </w:rPr>
      </w:pPr>
      <w:bookmarkStart w:id="279" w:name="_Toc437266336"/>
      <w:bookmarkStart w:id="280" w:name="_Toc452991207"/>
      <w:bookmarkStart w:id="281" w:name="_Toc452994357"/>
      <w:bookmarkStart w:id="282" w:name="_Toc453077385"/>
      <w:r w:rsidRPr="00E71436">
        <w:rPr>
          <w:lang w:eastAsia="en-US"/>
        </w:rPr>
        <w:t>B.</w:t>
      </w:r>
      <w:r w:rsidRPr="00E71436">
        <w:rPr>
          <w:lang w:eastAsia="en-US"/>
        </w:rPr>
        <w:tab/>
      </w:r>
      <w:r w:rsidR="003E4382" w:rsidRPr="00E71436">
        <w:t>Non-market-based approaches</w:t>
      </w:r>
      <w:r w:rsidR="003E4382" w:rsidRPr="00E71436">
        <w:br/>
      </w:r>
      <w:r w:rsidR="003E4382" w:rsidRPr="00E71436">
        <w:rPr>
          <w:b w:val="0"/>
          <w:sz w:val="20"/>
        </w:rPr>
        <w:t xml:space="preserve">(Agenda </w:t>
      </w:r>
      <w:r w:rsidR="003E4382">
        <w:rPr>
          <w:b w:val="0"/>
          <w:sz w:val="20"/>
        </w:rPr>
        <w:t>sub-item 10</w:t>
      </w:r>
      <w:r w:rsidR="003E4382" w:rsidRPr="00E71436">
        <w:rPr>
          <w:b w:val="0"/>
          <w:sz w:val="20"/>
        </w:rPr>
        <w:t>(b))</w:t>
      </w:r>
      <w:bookmarkEnd w:id="279"/>
      <w:bookmarkEnd w:id="280"/>
      <w:bookmarkEnd w:id="281"/>
      <w:bookmarkEnd w:id="282"/>
    </w:p>
    <w:p w14:paraId="653829C8" w14:textId="6E13FAA9" w:rsidR="003E4382" w:rsidRDefault="00F83E99" w:rsidP="00F83E99">
      <w:pPr>
        <w:pStyle w:val="RegH1G"/>
        <w:numPr>
          <w:ilvl w:val="0"/>
          <w:numId w:val="0"/>
        </w:numPr>
        <w:tabs>
          <w:tab w:val="left" w:pos="1135"/>
        </w:tabs>
        <w:ind w:left="1135" w:hanging="454"/>
        <w:rPr>
          <w:rStyle w:val="SingleTxtGChar"/>
          <w:b w:val="0"/>
          <w:sz w:val="20"/>
        </w:rPr>
      </w:pPr>
      <w:bookmarkStart w:id="283" w:name="_Toc437266337"/>
      <w:bookmarkStart w:id="284" w:name="_Toc452991208"/>
      <w:bookmarkStart w:id="285" w:name="_Toc452994358"/>
      <w:bookmarkStart w:id="286" w:name="_Toc453077386"/>
      <w:r>
        <w:rPr>
          <w:rStyle w:val="SingleTxtGChar"/>
        </w:rPr>
        <w:t>C.</w:t>
      </w:r>
      <w:r>
        <w:rPr>
          <w:rStyle w:val="SingleTxtGChar"/>
        </w:rPr>
        <w:tab/>
      </w:r>
      <w:r w:rsidR="003E4382" w:rsidRPr="00E71436">
        <w:t>New market-based mechanism</w:t>
      </w:r>
      <w:r w:rsidR="003E4382" w:rsidRPr="00E71436">
        <w:br/>
      </w:r>
      <w:r w:rsidR="003E4382" w:rsidRPr="00E71436">
        <w:rPr>
          <w:rStyle w:val="SingleTxtGChar"/>
          <w:b w:val="0"/>
          <w:sz w:val="20"/>
        </w:rPr>
        <w:t xml:space="preserve">(Agenda sub-item </w:t>
      </w:r>
      <w:bookmarkEnd w:id="269"/>
      <w:bookmarkEnd w:id="270"/>
      <w:bookmarkEnd w:id="271"/>
      <w:bookmarkEnd w:id="272"/>
      <w:bookmarkEnd w:id="273"/>
      <w:r w:rsidR="003E4382">
        <w:rPr>
          <w:rStyle w:val="SingleTxtGChar"/>
          <w:b w:val="0"/>
          <w:sz w:val="20"/>
        </w:rPr>
        <w:t>10</w:t>
      </w:r>
      <w:r w:rsidR="003E4382" w:rsidRPr="00E71436">
        <w:rPr>
          <w:rStyle w:val="SingleTxtGChar"/>
          <w:b w:val="0"/>
          <w:sz w:val="20"/>
        </w:rPr>
        <w:t>(c))</w:t>
      </w:r>
      <w:bookmarkEnd w:id="283"/>
      <w:bookmarkEnd w:id="284"/>
      <w:bookmarkEnd w:id="285"/>
      <w:bookmarkEnd w:id="286"/>
    </w:p>
    <w:p w14:paraId="36A7BF24" w14:textId="27792883" w:rsidR="003E4382" w:rsidRDefault="00F83E99" w:rsidP="00F83E99">
      <w:pPr>
        <w:pStyle w:val="RegH23G"/>
        <w:numPr>
          <w:ilvl w:val="0"/>
          <w:numId w:val="0"/>
        </w:numPr>
        <w:tabs>
          <w:tab w:val="left" w:pos="1135"/>
        </w:tabs>
        <w:ind w:left="1135" w:hanging="454"/>
      </w:pPr>
      <w:bookmarkStart w:id="287" w:name="_Ref326931149"/>
      <w:bookmarkStart w:id="288" w:name="_Ref362356267"/>
      <w:r>
        <w:rPr>
          <w:bCs/>
        </w:rPr>
        <w:t>1.</w:t>
      </w:r>
      <w:r>
        <w:rPr>
          <w:bCs/>
        </w:rPr>
        <w:tab/>
      </w:r>
      <w:r w:rsidR="003E4382">
        <w:t>Proceedings</w:t>
      </w:r>
    </w:p>
    <w:p w14:paraId="5C5C879E" w14:textId="336E3F24" w:rsidR="003E4382" w:rsidRDefault="00F83E99" w:rsidP="00F83E99">
      <w:pPr>
        <w:pStyle w:val="RegSingleTxtG"/>
        <w:numPr>
          <w:ilvl w:val="0"/>
          <w:numId w:val="0"/>
        </w:numPr>
        <w:tabs>
          <w:tab w:val="left" w:pos="2127"/>
        </w:tabs>
        <w:ind w:left="1134"/>
      </w:pPr>
      <w:bookmarkStart w:id="289" w:name="_Ref452990906"/>
      <w:r>
        <w:t>90.</w:t>
      </w:r>
      <w:r>
        <w:tab/>
      </w:r>
      <w:r w:rsidR="003E4382">
        <w:t xml:space="preserve">The SBSTA considered </w:t>
      </w:r>
      <w:r w:rsidR="003E4382" w:rsidRPr="00865CD7">
        <w:t>agenda sub-item</w:t>
      </w:r>
      <w:r w:rsidR="003E4382">
        <w:t>s</w:t>
      </w:r>
      <w:r w:rsidR="003E4382" w:rsidRPr="00865CD7">
        <w:t xml:space="preserve"> </w:t>
      </w:r>
      <w:r w:rsidR="003E4382">
        <w:t xml:space="preserve">10(a–c) </w:t>
      </w:r>
      <w:r w:rsidR="003E4382" w:rsidRPr="00865CD7">
        <w:t xml:space="preserve">at </w:t>
      </w:r>
      <w:r w:rsidR="003E4382" w:rsidRPr="00491F5F">
        <w:t xml:space="preserve">its </w:t>
      </w:r>
      <w:r w:rsidR="003E4382">
        <w:t>resumed 1</w:t>
      </w:r>
      <w:r w:rsidR="003E4382" w:rsidRPr="00CD39EC">
        <w:rPr>
          <w:vertAlign w:val="superscript"/>
        </w:rPr>
        <w:t xml:space="preserve">st </w:t>
      </w:r>
      <w:r w:rsidR="003E4382">
        <w:t xml:space="preserve">meeting </w:t>
      </w:r>
      <w:r w:rsidR="003E4382" w:rsidRPr="00491F5F">
        <w:t xml:space="preserve">and </w:t>
      </w:r>
      <w:r w:rsidR="003E4382">
        <w:t>at its 2</w:t>
      </w:r>
      <w:r w:rsidR="003E4382" w:rsidRPr="00B34CA7">
        <w:rPr>
          <w:vertAlign w:val="superscript"/>
        </w:rPr>
        <w:t>nd</w:t>
      </w:r>
      <w:r w:rsidR="003E4382">
        <w:t xml:space="preserve"> </w:t>
      </w:r>
      <w:r w:rsidR="003E4382" w:rsidRPr="00491F5F">
        <w:t>meeting</w:t>
      </w:r>
      <w:r w:rsidR="003E4382" w:rsidRPr="00865CD7">
        <w:t>.</w:t>
      </w:r>
      <w:bookmarkEnd w:id="287"/>
      <w:bookmarkEnd w:id="288"/>
      <w:r w:rsidR="003E4382">
        <w:t xml:space="preserve"> </w:t>
      </w:r>
      <w:bookmarkStart w:id="290" w:name="_Toc305764180"/>
      <w:bookmarkStart w:id="291" w:name="_Toc328480810"/>
      <w:bookmarkStart w:id="292" w:name="_Toc373495768"/>
      <w:r w:rsidR="003E4382">
        <w:t>At its resumed 1</w:t>
      </w:r>
      <w:r w:rsidR="003E4382" w:rsidRPr="00C62231">
        <w:rPr>
          <w:vertAlign w:val="superscript"/>
        </w:rPr>
        <w:t xml:space="preserve">st </w:t>
      </w:r>
      <w:r w:rsidR="003E4382">
        <w:t>meeting, the SBSTA agreed that the Chair of the SBSTA would consult with interested Parties on this issue and present draft conclusions to the SBSTA at its 2</w:t>
      </w:r>
      <w:r w:rsidR="003E4382" w:rsidRPr="003D152A">
        <w:rPr>
          <w:vertAlign w:val="superscript"/>
        </w:rPr>
        <w:t>nd</w:t>
      </w:r>
      <w:r w:rsidR="003E4382">
        <w:t xml:space="preserve"> meeting, where the SBSTA considered and adopted the conclusions below.</w:t>
      </w:r>
      <w:r w:rsidR="003E4382">
        <w:rPr>
          <w:rStyle w:val="FootnoteReference"/>
        </w:rPr>
        <w:footnoteReference w:id="56"/>
      </w:r>
      <w:bookmarkEnd w:id="289"/>
    </w:p>
    <w:p w14:paraId="64CB936F" w14:textId="789CD397" w:rsidR="003E4382" w:rsidRPr="00415C95" w:rsidRDefault="00F83E99" w:rsidP="00F83E99">
      <w:pPr>
        <w:pStyle w:val="RegH23G"/>
        <w:numPr>
          <w:ilvl w:val="0"/>
          <w:numId w:val="0"/>
        </w:numPr>
        <w:tabs>
          <w:tab w:val="left" w:pos="1135"/>
        </w:tabs>
        <w:ind w:left="1135" w:hanging="454"/>
      </w:pPr>
      <w:r w:rsidRPr="00415C95">
        <w:rPr>
          <w:bCs/>
        </w:rPr>
        <w:t>2.</w:t>
      </w:r>
      <w:r w:rsidRPr="00415C95">
        <w:rPr>
          <w:bCs/>
        </w:rPr>
        <w:tab/>
      </w:r>
      <w:r w:rsidR="003E4382" w:rsidRPr="00415C95">
        <w:t>Conclusions</w:t>
      </w:r>
    </w:p>
    <w:p w14:paraId="70E3FDC3" w14:textId="0B633960" w:rsidR="003E4382" w:rsidRDefault="00F83E99" w:rsidP="00F83E99">
      <w:pPr>
        <w:pStyle w:val="RegSingleTxtG"/>
        <w:numPr>
          <w:ilvl w:val="0"/>
          <w:numId w:val="0"/>
        </w:numPr>
        <w:tabs>
          <w:tab w:val="left" w:pos="2127"/>
        </w:tabs>
        <w:ind w:left="1134"/>
      </w:pPr>
      <w:r>
        <w:t>91.</w:t>
      </w:r>
      <w:r>
        <w:tab/>
      </w:r>
      <w:r w:rsidR="003E4382" w:rsidRPr="00415C95">
        <w:t>The SBSTA took note of the work undertaken in response to the mandates arising from decision 1/CP.18, paragraphs 44, 47 and 50, including the information collected through submissions from Parties and the related technical</w:t>
      </w:r>
      <w:r w:rsidR="003E4382">
        <w:t xml:space="preserve"> papers</w:t>
      </w:r>
      <w:r w:rsidR="003E4382">
        <w:rPr>
          <w:vertAlign w:val="superscript"/>
        </w:rPr>
        <w:footnoteReference w:id="57"/>
      </w:r>
      <w:r w:rsidR="003E4382">
        <w:rPr>
          <w:vertAlign w:val="superscript"/>
        </w:rPr>
        <w:t xml:space="preserve"> </w:t>
      </w:r>
      <w:r w:rsidR="003E4382">
        <w:t>and workshop reports.</w:t>
      </w:r>
      <w:r w:rsidR="003E4382">
        <w:rPr>
          <w:vertAlign w:val="superscript"/>
        </w:rPr>
        <w:footnoteReference w:id="58"/>
      </w:r>
    </w:p>
    <w:p w14:paraId="758B0604" w14:textId="368AF199" w:rsidR="003E4382" w:rsidRDefault="00F83E99" w:rsidP="00F83E99">
      <w:pPr>
        <w:pStyle w:val="RegSingleTxtG"/>
        <w:numPr>
          <w:ilvl w:val="0"/>
          <w:numId w:val="0"/>
        </w:numPr>
        <w:tabs>
          <w:tab w:val="left" w:pos="2127"/>
        </w:tabs>
        <w:ind w:left="1134"/>
      </w:pPr>
      <w:bookmarkStart w:id="293" w:name="_Ref452990912"/>
      <w:r>
        <w:t>92.</w:t>
      </w:r>
      <w:r>
        <w:tab/>
      </w:r>
      <w:r w:rsidR="003E4382">
        <w:t>The SBSTA agreed to conduct its next consideration of these issues at SBSTA 50 (June 2019).</w:t>
      </w:r>
      <w:bookmarkEnd w:id="293"/>
    </w:p>
    <w:p w14:paraId="7172C21C" w14:textId="54680B6B" w:rsidR="003E4382" w:rsidRPr="00647762" w:rsidRDefault="00F83E99" w:rsidP="00F83E99">
      <w:pPr>
        <w:pStyle w:val="RegHChG"/>
        <w:numPr>
          <w:ilvl w:val="0"/>
          <w:numId w:val="0"/>
        </w:numPr>
        <w:tabs>
          <w:tab w:val="left" w:pos="1135"/>
        </w:tabs>
        <w:ind w:left="1135" w:hanging="454"/>
        <w:rPr>
          <w:b w:val="0"/>
          <w:sz w:val="20"/>
        </w:rPr>
      </w:pPr>
      <w:bookmarkStart w:id="294" w:name="_Toc452991209"/>
      <w:bookmarkStart w:id="295" w:name="_Toc452994359"/>
      <w:bookmarkStart w:id="296" w:name="_Ref453073207"/>
      <w:bookmarkStart w:id="297" w:name="_Toc453077387"/>
      <w:r w:rsidRPr="00647762">
        <w:t>XI.</w:t>
      </w:r>
      <w:r w:rsidRPr="00647762">
        <w:tab/>
      </w:r>
      <w:r w:rsidR="003E4382" w:rsidRPr="001D0755">
        <w:t xml:space="preserve">Matters relating to Article 6 of the Paris Agreement </w:t>
      </w:r>
      <w:r w:rsidR="003E4382">
        <w:br/>
      </w:r>
      <w:r w:rsidR="003E4382" w:rsidRPr="00647762">
        <w:rPr>
          <w:b w:val="0"/>
          <w:sz w:val="20"/>
        </w:rPr>
        <w:t>(Agenda item 11)</w:t>
      </w:r>
      <w:bookmarkEnd w:id="294"/>
      <w:bookmarkEnd w:id="295"/>
      <w:bookmarkEnd w:id="296"/>
      <w:bookmarkEnd w:id="297"/>
    </w:p>
    <w:p w14:paraId="5A8D9359" w14:textId="44BE524C" w:rsidR="003E4382" w:rsidRDefault="00F83E99" w:rsidP="00F83E99">
      <w:pPr>
        <w:pStyle w:val="RegH1G"/>
        <w:numPr>
          <w:ilvl w:val="0"/>
          <w:numId w:val="0"/>
        </w:numPr>
        <w:tabs>
          <w:tab w:val="left" w:pos="1135"/>
        </w:tabs>
        <w:ind w:left="1135" w:hanging="454"/>
        <w:rPr>
          <w:b w:val="0"/>
          <w:sz w:val="20"/>
        </w:rPr>
      </w:pPr>
      <w:bookmarkStart w:id="298" w:name="_Toc452991210"/>
      <w:bookmarkStart w:id="299" w:name="_Toc452994360"/>
      <w:bookmarkStart w:id="300" w:name="_Toc453077388"/>
      <w:r>
        <w:t>A.</w:t>
      </w:r>
      <w:r>
        <w:tab/>
      </w:r>
      <w:r w:rsidR="003E4382" w:rsidRPr="001D0755">
        <w:t>Guidance on cooperative approaches referred to in Article 6, paragraph 2, of the Paris Agreement</w:t>
      </w:r>
      <w:r w:rsidR="003E4382">
        <w:br/>
      </w:r>
      <w:r w:rsidR="003E4382" w:rsidRPr="00647762">
        <w:rPr>
          <w:b w:val="0"/>
          <w:sz w:val="20"/>
        </w:rPr>
        <w:t>(Agenda sub-item 11(a))</w:t>
      </w:r>
      <w:bookmarkEnd w:id="298"/>
      <w:bookmarkEnd w:id="299"/>
      <w:bookmarkEnd w:id="300"/>
    </w:p>
    <w:p w14:paraId="045A9BD2" w14:textId="2A34C034"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23187CA4" w14:textId="4058D01D" w:rsidR="003E4382" w:rsidRDefault="00F83E99" w:rsidP="00F83E99">
      <w:pPr>
        <w:pStyle w:val="RegSingleTxtG"/>
        <w:numPr>
          <w:ilvl w:val="0"/>
          <w:numId w:val="0"/>
        </w:numPr>
        <w:tabs>
          <w:tab w:val="left" w:pos="2127"/>
        </w:tabs>
        <w:ind w:left="1134"/>
      </w:pPr>
      <w:bookmarkStart w:id="301" w:name="_Ref452990998"/>
      <w:r>
        <w:t>93.</w:t>
      </w:r>
      <w:r>
        <w:tab/>
      </w:r>
      <w:r w:rsidR="003E4382" w:rsidRPr="00E71436">
        <w:t xml:space="preserve">The SBSTA considered this agenda sub-item at its </w:t>
      </w:r>
      <w:r w:rsidR="003E4382">
        <w:t>resumed</w:t>
      </w:r>
      <w:r w:rsidR="003E4382" w:rsidRPr="00E71436">
        <w:t xml:space="preserve"> 1</w:t>
      </w:r>
      <w:r w:rsidR="003E4382" w:rsidRPr="00E71436">
        <w:rPr>
          <w:vertAlign w:val="superscript"/>
        </w:rPr>
        <w:t>st</w:t>
      </w:r>
      <w:r w:rsidR="003E4382" w:rsidRPr="00E71436">
        <w:t xml:space="preserve"> </w:t>
      </w:r>
      <w:r w:rsidR="003E4382">
        <w:t xml:space="preserve">meeting </w:t>
      </w:r>
      <w:r w:rsidR="003E4382" w:rsidRPr="00E71436">
        <w:t>and</w:t>
      </w:r>
      <w:r w:rsidR="003E4382">
        <w:t xml:space="preserve"> at its</w:t>
      </w:r>
      <w:r w:rsidR="003E4382" w:rsidRPr="00E71436">
        <w:t xml:space="preserve"> 2</w:t>
      </w:r>
      <w:r w:rsidR="003E4382" w:rsidRPr="00E71436">
        <w:rPr>
          <w:vertAlign w:val="superscript"/>
        </w:rPr>
        <w:t>nd</w:t>
      </w:r>
      <w:r w:rsidR="003E4382" w:rsidRPr="00E71436">
        <w:t xml:space="preserve"> meeting. At its</w:t>
      </w:r>
      <w:r w:rsidR="003E4382">
        <w:t xml:space="preserve"> resumed</w:t>
      </w:r>
      <w:r w:rsidR="003E4382" w:rsidRPr="00E71436">
        <w:t xml:space="preserve"> 1</w:t>
      </w:r>
      <w:r w:rsidR="003E4382" w:rsidRPr="00E71436">
        <w:rPr>
          <w:vertAlign w:val="superscript"/>
        </w:rPr>
        <w:t>st</w:t>
      </w:r>
      <w:r w:rsidR="003E4382" w:rsidRPr="00E71436">
        <w:t xml:space="preserve"> meeting, the SBSTA agreed to consider this agenda sub-item in </w:t>
      </w:r>
      <w:r w:rsidR="003E4382">
        <w:t>informal consultations</w:t>
      </w:r>
      <w:r w:rsidR="003E4382" w:rsidRPr="00E71436">
        <w:t xml:space="preserve"> </w:t>
      </w:r>
      <w:r w:rsidR="003E4382">
        <w:t>co-facilitated</w:t>
      </w:r>
      <w:r w:rsidR="003E4382" w:rsidRPr="00E71436">
        <w:t xml:space="preserve"> by </w:t>
      </w:r>
      <w:r w:rsidR="003E4382">
        <w:t>Ms. Kelley Kizzier (EU) and Mr. Hugh Sealy (Maldives)</w:t>
      </w:r>
      <w:r w:rsidR="003E4382" w:rsidRPr="00E71436">
        <w:t>. 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59"/>
      </w:r>
      <w:bookmarkEnd w:id="301"/>
    </w:p>
    <w:p w14:paraId="7D725FA3" w14:textId="67EE69AC" w:rsidR="003E4382" w:rsidRDefault="00F83E99" w:rsidP="00F83E99">
      <w:pPr>
        <w:pStyle w:val="RegH23G"/>
        <w:numPr>
          <w:ilvl w:val="0"/>
          <w:numId w:val="0"/>
        </w:numPr>
        <w:tabs>
          <w:tab w:val="left" w:pos="1135"/>
        </w:tabs>
        <w:ind w:left="1135" w:hanging="454"/>
      </w:pPr>
      <w:r>
        <w:rPr>
          <w:bCs/>
        </w:rPr>
        <w:lastRenderedPageBreak/>
        <w:t>2.</w:t>
      </w:r>
      <w:r>
        <w:rPr>
          <w:bCs/>
        </w:rPr>
        <w:tab/>
      </w:r>
      <w:r w:rsidR="003E4382">
        <w:t>Conclusions</w:t>
      </w:r>
    </w:p>
    <w:p w14:paraId="27CBFC08" w14:textId="06B1A408" w:rsidR="003E4382" w:rsidRPr="00415C95" w:rsidRDefault="00F83E99" w:rsidP="00F83E99">
      <w:pPr>
        <w:pStyle w:val="RegSingleTxtG"/>
        <w:numPr>
          <w:ilvl w:val="0"/>
          <w:numId w:val="0"/>
        </w:numPr>
        <w:tabs>
          <w:tab w:val="left" w:pos="568"/>
        </w:tabs>
        <w:ind w:left="1135"/>
      </w:pPr>
      <w:r w:rsidRPr="00415C95">
        <w:t>94.</w:t>
      </w:r>
      <w:r w:rsidRPr="00415C95">
        <w:tab/>
      </w:r>
      <w:r w:rsidR="003E4382" w:rsidRPr="00CF196A">
        <w:rPr>
          <w:lang w:val="en-US"/>
        </w:rPr>
        <w:t xml:space="preserve">The </w:t>
      </w:r>
      <w:r w:rsidR="003E4382">
        <w:rPr>
          <w:lang w:val="en-US"/>
        </w:rPr>
        <w:t>SBSTA</w:t>
      </w:r>
      <w:r w:rsidR="003E4382" w:rsidRPr="00CF196A">
        <w:rPr>
          <w:lang w:val="en-US"/>
        </w:rPr>
        <w:t xml:space="preserve">, pursuant to </w:t>
      </w:r>
      <w:r w:rsidR="003E4382" w:rsidRPr="00415C95">
        <w:rPr>
          <w:lang w:val="en-US"/>
        </w:rPr>
        <w:t xml:space="preserve">decision 1/CP.21, paragraph 36, initiated the process related to the guidance referred to in Article 6, paragraph 2, of the Paris Agreement. </w:t>
      </w:r>
    </w:p>
    <w:p w14:paraId="5790967F" w14:textId="62C3A584" w:rsidR="003E4382" w:rsidRPr="00415C95" w:rsidRDefault="00F83E99" w:rsidP="00F83E99">
      <w:pPr>
        <w:pStyle w:val="RegSingleTxtG"/>
        <w:numPr>
          <w:ilvl w:val="0"/>
          <w:numId w:val="0"/>
        </w:numPr>
        <w:tabs>
          <w:tab w:val="left" w:pos="568"/>
        </w:tabs>
        <w:ind w:left="1135"/>
      </w:pPr>
      <w:r w:rsidRPr="00415C95">
        <w:t>95.</w:t>
      </w:r>
      <w:r w:rsidRPr="00415C95">
        <w:tab/>
      </w:r>
      <w:r w:rsidR="003E4382" w:rsidRPr="00415C95">
        <w:rPr>
          <w:lang w:val="en-US"/>
        </w:rPr>
        <w:t xml:space="preserve">The SBSTA noted that Parties engaged in a productive initial exchange of views on Article 6, paragraphs 2 and 3, of the Paris Agreement and decision 1/CP.21, paragraph 36, throughout this session and agreed to focus on establishing </w:t>
      </w:r>
      <w:r w:rsidR="00F65B7D" w:rsidRPr="00415C95">
        <w:rPr>
          <w:lang w:val="en-US"/>
        </w:rPr>
        <w:t xml:space="preserve">a </w:t>
      </w:r>
      <w:r w:rsidR="003E4382" w:rsidRPr="00415C95">
        <w:rPr>
          <w:lang w:val="en-US"/>
        </w:rPr>
        <w:t>common understanding at SBSTA 45 of the matters related to the guidance referred to in Article 6, paragraph 2, of the Paris Agreement</w:t>
      </w:r>
      <w:r w:rsidR="003E4382" w:rsidRPr="00415C95">
        <w:t>.</w:t>
      </w:r>
    </w:p>
    <w:p w14:paraId="60EA6CF0" w14:textId="77326117" w:rsidR="003E4382" w:rsidRPr="00415C95" w:rsidRDefault="00F83E99" w:rsidP="00F83E99">
      <w:pPr>
        <w:pStyle w:val="RegSingleTxtG"/>
        <w:numPr>
          <w:ilvl w:val="0"/>
          <w:numId w:val="0"/>
        </w:numPr>
        <w:tabs>
          <w:tab w:val="left" w:pos="568"/>
        </w:tabs>
        <w:ind w:left="1135"/>
      </w:pPr>
      <w:bookmarkStart w:id="302" w:name="_Ref452991006"/>
      <w:r w:rsidRPr="00415C95">
        <w:t>96.</w:t>
      </w:r>
      <w:r w:rsidRPr="00415C95">
        <w:tab/>
      </w:r>
      <w:r w:rsidR="003E4382" w:rsidRPr="00415C95">
        <w:t xml:space="preserve">The SBSTA invited Parties and observer organizations to submit, by 30 September </w:t>
      </w:r>
      <w:r w:rsidR="003E4382" w:rsidRPr="00415C95">
        <w:rPr>
          <w:lang w:val="en-US"/>
        </w:rPr>
        <w:t>2016,</w:t>
      </w:r>
      <w:r w:rsidR="003E4382" w:rsidRPr="00415C95">
        <w:t xml:space="preserve"> their views </w:t>
      </w:r>
      <w:r w:rsidR="003E4382" w:rsidRPr="00415C95">
        <w:rPr>
          <w:lang w:val="en-US"/>
        </w:rPr>
        <w:t>on the guidance referred to in paragraph 94 above.</w:t>
      </w:r>
      <w:r w:rsidR="003E4382" w:rsidRPr="00415C95">
        <w:rPr>
          <w:sz w:val="18"/>
          <w:vertAlign w:val="superscript"/>
        </w:rPr>
        <w:footnoteReference w:id="60"/>
      </w:r>
      <w:bookmarkEnd w:id="302"/>
    </w:p>
    <w:p w14:paraId="1C62151F" w14:textId="768C15EF" w:rsidR="003E4382" w:rsidRDefault="00F83E99" w:rsidP="00F83E99">
      <w:pPr>
        <w:pStyle w:val="RegH1G"/>
        <w:numPr>
          <w:ilvl w:val="0"/>
          <w:numId w:val="0"/>
        </w:numPr>
        <w:tabs>
          <w:tab w:val="left" w:pos="1135"/>
        </w:tabs>
        <w:ind w:left="1135" w:hanging="454"/>
        <w:rPr>
          <w:b w:val="0"/>
          <w:sz w:val="20"/>
        </w:rPr>
      </w:pPr>
      <w:bookmarkStart w:id="303" w:name="_Toc452991211"/>
      <w:bookmarkStart w:id="304" w:name="_Toc452994361"/>
      <w:bookmarkStart w:id="305" w:name="_Toc453077389"/>
      <w:r>
        <w:t>B.</w:t>
      </w:r>
      <w:r>
        <w:tab/>
      </w:r>
      <w:r w:rsidR="003E4382" w:rsidRPr="001D0755">
        <w:t xml:space="preserve">Rules, modalities and procedures for the mechanism established by Article 6, paragraph 4, of the Paris Agreement </w:t>
      </w:r>
      <w:r w:rsidR="003E4382">
        <w:br/>
      </w:r>
      <w:r w:rsidR="003E4382" w:rsidRPr="00BC599B">
        <w:rPr>
          <w:b w:val="0"/>
          <w:sz w:val="20"/>
        </w:rPr>
        <w:t>(Agenda sub-item 11(b))</w:t>
      </w:r>
      <w:bookmarkEnd w:id="303"/>
      <w:bookmarkEnd w:id="304"/>
      <w:bookmarkEnd w:id="305"/>
    </w:p>
    <w:p w14:paraId="79D1093F" w14:textId="17280D1F"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635C9E8F" w14:textId="01BBA7FC" w:rsidR="003E4382" w:rsidRDefault="00F83E99" w:rsidP="00F83E99">
      <w:pPr>
        <w:pStyle w:val="RegSingleTxtG"/>
        <w:numPr>
          <w:ilvl w:val="0"/>
          <w:numId w:val="0"/>
        </w:numPr>
        <w:tabs>
          <w:tab w:val="left" w:pos="2127"/>
        </w:tabs>
        <w:ind w:left="1134"/>
      </w:pPr>
      <w:bookmarkStart w:id="306" w:name="_Ref452991012"/>
      <w:r>
        <w:t>97.</w:t>
      </w:r>
      <w:r>
        <w:tab/>
      </w:r>
      <w:r w:rsidR="003E4382" w:rsidRPr="00E71436">
        <w:t xml:space="preserve">The SBSTA considered this agenda sub-item at its </w:t>
      </w:r>
      <w:r w:rsidR="003E4382">
        <w:t xml:space="preserve">resumed </w:t>
      </w:r>
      <w:r w:rsidR="003E4382" w:rsidRPr="00E71436">
        <w:t>1</w:t>
      </w:r>
      <w:r w:rsidR="003E4382" w:rsidRPr="00E71436">
        <w:rPr>
          <w:vertAlign w:val="superscript"/>
        </w:rPr>
        <w:t>st</w:t>
      </w:r>
      <w:r w:rsidR="003E4382" w:rsidRPr="00E71436">
        <w:t xml:space="preserve"> </w:t>
      </w:r>
      <w:r w:rsidR="003E4382">
        <w:t xml:space="preserve">meeting </w:t>
      </w:r>
      <w:r w:rsidR="003E4382" w:rsidRPr="00E71436">
        <w:t xml:space="preserve">and </w:t>
      </w:r>
      <w:r w:rsidR="003E4382">
        <w:t xml:space="preserve">at its </w:t>
      </w:r>
      <w:r w:rsidR="003E4382" w:rsidRPr="00E71436">
        <w:t>2</w:t>
      </w:r>
      <w:r w:rsidR="003E4382" w:rsidRPr="00E71436">
        <w:rPr>
          <w:vertAlign w:val="superscript"/>
        </w:rPr>
        <w:t>nd</w:t>
      </w:r>
      <w:r w:rsidR="003E4382" w:rsidRPr="00E71436">
        <w:t xml:space="preserve"> meeting. At its </w:t>
      </w:r>
      <w:r w:rsidR="003E4382">
        <w:t>resumed</w:t>
      </w:r>
      <w:r w:rsidR="003E4382" w:rsidRPr="00E71436">
        <w:t xml:space="preserve"> 1</w:t>
      </w:r>
      <w:r w:rsidR="003E4382" w:rsidRPr="00E71436">
        <w:rPr>
          <w:vertAlign w:val="superscript"/>
        </w:rPr>
        <w:t>st</w:t>
      </w:r>
      <w:r w:rsidR="003E4382" w:rsidRPr="00E71436">
        <w:t xml:space="preserve"> meeting, the SBSTA agreed to consider this agenda sub-item in </w:t>
      </w:r>
      <w:r w:rsidR="003E4382">
        <w:t>informal consultations</w:t>
      </w:r>
      <w:r w:rsidR="003E4382" w:rsidRPr="00E71436">
        <w:t xml:space="preserve"> </w:t>
      </w:r>
      <w:r w:rsidR="003E4382">
        <w:t>co-facilitated</w:t>
      </w:r>
      <w:r w:rsidR="003E4382" w:rsidRPr="00E71436">
        <w:t xml:space="preserve"> by </w:t>
      </w:r>
      <w:r w:rsidR="003E4382">
        <w:t>Ms. Kizzier and Mr. Sealy</w:t>
      </w:r>
      <w:r w:rsidR="003E4382" w:rsidRPr="00E71436">
        <w:t>. 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61"/>
      </w:r>
      <w:bookmarkEnd w:id="306"/>
    </w:p>
    <w:p w14:paraId="733BCAB5" w14:textId="2D0A5DC2"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57DC7E22" w14:textId="3ABE2E7E" w:rsidR="003E4382" w:rsidRPr="00415C95" w:rsidRDefault="00F83E99" w:rsidP="00F83E99">
      <w:pPr>
        <w:pStyle w:val="RegSingleTxtG"/>
        <w:numPr>
          <w:ilvl w:val="0"/>
          <w:numId w:val="0"/>
        </w:numPr>
        <w:tabs>
          <w:tab w:val="left" w:pos="568"/>
        </w:tabs>
        <w:ind w:left="1135"/>
      </w:pPr>
      <w:r w:rsidRPr="00415C95">
        <w:t>98.</w:t>
      </w:r>
      <w:r w:rsidRPr="00415C95">
        <w:tab/>
      </w:r>
      <w:r w:rsidR="003E4382" w:rsidRPr="00415C95">
        <w:rPr>
          <w:lang w:val="en-US"/>
        </w:rPr>
        <w:t>The SBSTA, pursuant to decision 1/CP.21, paragraphs 37 and 38, initiated the process related to the rules, modalities and procedures for the mechanism established by Article 6, paragraph 4, of the Paris Agreement.</w:t>
      </w:r>
    </w:p>
    <w:p w14:paraId="40DFCC46" w14:textId="09025D33" w:rsidR="003E4382" w:rsidRPr="00415C95" w:rsidRDefault="00F83E99" w:rsidP="00F83E99">
      <w:pPr>
        <w:pStyle w:val="RegSingleTxtG"/>
        <w:numPr>
          <w:ilvl w:val="0"/>
          <w:numId w:val="0"/>
        </w:numPr>
        <w:tabs>
          <w:tab w:val="left" w:pos="568"/>
        </w:tabs>
        <w:ind w:left="1135"/>
      </w:pPr>
      <w:r w:rsidRPr="00415C95">
        <w:t>99.</w:t>
      </w:r>
      <w:r w:rsidRPr="00415C95">
        <w:tab/>
      </w:r>
      <w:r w:rsidR="003E4382" w:rsidRPr="00415C95">
        <w:rPr>
          <w:lang w:val="en-US"/>
        </w:rPr>
        <w:t>The SBSTA noted that Parties engaged in a productive initial exchange of views on Article 6, paragraphs 4, 5, 6 and 7, of the Paris Agreement and decision 1/CP.21, paragraphs 37 and 38, throughout this session and agreed to focus on establishing common understanding at SBSTA 45 of the matters related to the rules, modalities and procedures for the mechanism established by Article 6, paragraph 4, of the Paris Agreement</w:t>
      </w:r>
      <w:r w:rsidR="003E4382" w:rsidRPr="00415C95">
        <w:t>.</w:t>
      </w:r>
    </w:p>
    <w:p w14:paraId="64AC5ED0" w14:textId="54B042E0" w:rsidR="003E4382" w:rsidRPr="00415C95" w:rsidRDefault="00F83E99" w:rsidP="00F83E99">
      <w:pPr>
        <w:pStyle w:val="RegSingleTxtG"/>
        <w:numPr>
          <w:ilvl w:val="0"/>
          <w:numId w:val="0"/>
        </w:numPr>
        <w:tabs>
          <w:tab w:val="left" w:pos="568"/>
        </w:tabs>
        <w:ind w:left="1135"/>
      </w:pPr>
      <w:bookmarkStart w:id="307" w:name="_Ref452991017"/>
      <w:r w:rsidRPr="00415C95">
        <w:t>100.</w:t>
      </w:r>
      <w:r w:rsidRPr="00415C95">
        <w:tab/>
      </w:r>
      <w:r w:rsidR="003E4382" w:rsidRPr="00415C95">
        <w:rPr>
          <w:lang w:val="en-US"/>
        </w:rPr>
        <w:t>The SBSTA invited Parties and observer organizations to submit, by 30 September 2016, their views on the rules, modalities and procedures for the mechanism referred to in paragraph 98 above.</w:t>
      </w:r>
      <w:r w:rsidR="003E4382" w:rsidRPr="00415C95">
        <w:rPr>
          <w:sz w:val="18"/>
          <w:vertAlign w:val="superscript"/>
          <w:lang w:val="en-US"/>
        </w:rPr>
        <w:footnoteReference w:id="62"/>
      </w:r>
      <w:bookmarkEnd w:id="307"/>
    </w:p>
    <w:p w14:paraId="43BE330B" w14:textId="3D4D2C7B" w:rsidR="003E4382" w:rsidRPr="00BC599B" w:rsidRDefault="00F83E99" w:rsidP="00F83E99">
      <w:pPr>
        <w:pStyle w:val="RegH1G"/>
        <w:numPr>
          <w:ilvl w:val="0"/>
          <w:numId w:val="0"/>
        </w:numPr>
        <w:tabs>
          <w:tab w:val="left" w:pos="1135"/>
        </w:tabs>
        <w:ind w:left="1135" w:hanging="454"/>
        <w:rPr>
          <w:b w:val="0"/>
          <w:sz w:val="20"/>
        </w:rPr>
      </w:pPr>
      <w:bookmarkStart w:id="308" w:name="_Toc452991212"/>
      <w:bookmarkStart w:id="309" w:name="_Toc452994362"/>
      <w:bookmarkStart w:id="310" w:name="_Toc453077390"/>
      <w:r w:rsidRPr="00BC599B">
        <w:t>C.</w:t>
      </w:r>
      <w:r w:rsidRPr="00BC599B">
        <w:tab/>
      </w:r>
      <w:r w:rsidR="003E4382" w:rsidRPr="001D0755">
        <w:t>Work programme under the framework for non-market approaches referred to in Article 6, paragraph 8, of the Paris Agreement</w:t>
      </w:r>
      <w:r w:rsidR="003E4382">
        <w:br/>
      </w:r>
      <w:r w:rsidR="003E4382" w:rsidRPr="00BC599B">
        <w:rPr>
          <w:b w:val="0"/>
          <w:sz w:val="20"/>
        </w:rPr>
        <w:t>(Agenda sub-item 11(c))</w:t>
      </w:r>
      <w:bookmarkEnd w:id="308"/>
      <w:bookmarkEnd w:id="309"/>
      <w:bookmarkEnd w:id="310"/>
    </w:p>
    <w:p w14:paraId="72B912E5" w14:textId="6D219B3C"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4116DC98" w14:textId="6139453A" w:rsidR="003E4382" w:rsidRDefault="00F83E99" w:rsidP="00F83E99">
      <w:pPr>
        <w:pStyle w:val="RegSingleTxtG"/>
        <w:numPr>
          <w:ilvl w:val="0"/>
          <w:numId w:val="0"/>
        </w:numPr>
        <w:tabs>
          <w:tab w:val="left" w:pos="2127"/>
        </w:tabs>
        <w:ind w:left="1134"/>
      </w:pPr>
      <w:bookmarkStart w:id="311" w:name="_Ref452991023"/>
      <w:r>
        <w:t>101.</w:t>
      </w:r>
      <w:r>
        <w:tab/>
      </w:r>
      <w:r w:rsidR="003E4382" w:rsidRPr="00E71436">
        <w:t xml:space="preserve">The SBSTA considered this agenda sub-item at its </w:t>
      </w:r>
      <w:r w:rsidR="003E4382">
        <w:t xml:space="preserve">resumed </w:t>
      </w:r>
      <w:r w:rsidR="003E4382" w:rsidRPr="00E71436">
        <w:t>1</w:t>
      </w:r>
      <w:r w:rsidR="003E4382" w:rsidRPr="00E71436">
        <w:rPr>
          <w:vertAlign w:val="superscript"/>
        </w:rPr>
        <w:t>st</w:t>
      </w:r>
      <w:r w:rsidR="003E4382" w:rsidRPr="00E71436">
        <w:t xml:space="preserve"> </w:t>
      </w:r>
      <w:r w:rsidR="003E4382">
        <w:t xml:space="preserve">meeting </w:t>
      </w:r>
      <w:r w:rsidR="003E4382" w:rsidRPr="00E71436">
        <w:t xml:space="preserve">and </w:t>
      </w:r>
      <w:r w:rsidR="003E4382">
        <w:t xml:space="preserve">at its </w:t>
      </w:r>
      <w:r w:rsidR="003E4382" w:rsidRPr="00E71436">
        <w:t>2</w:t>
      </w:r>
      <w:r w:rsidR="003E4382" w:rsidRPr="00E71436">
        <w:rPr>
          <w:vertAlign w:val="superscript"/>
        </w:rPr>
        <w:t>nd</w:t>
      </w:r>
      <w:r w:rsidR="003E4382" w:rsidRPr="00E71436">
        <w:t xml:space="preserve"> meeting. At its </w:t>
      </w:r>
      <w:r w:rsidR="003E4382">
        <w:t>resumed</w:t>
      </w:r>
      <w:r w:rsidR="003E4382" w:rsidRPr="00E71436">
        <w:t xml:space="preserve"> 1</w:t>
      </w:r>
      <w:r w:rsidR="003E4382" w:rsidRPr="00E71436">
        <w:rPr>
          <w:vertAlign w:val="superscript"/>
        </w:rPr>
        <w:t>st</w:t>
      </w:r>
      <w:r w:rsidR="003E4382" w:rsidRPr="00E71436">
        <w:t xml:space="preserve"> meeting, the SBSTA agreed to consider this agenda sub-item in </w:t>
      </w:r>
      <w:r w:rsidR="003E4382">
        <w:lastRenderedPageBreak/>
        <w:t>informal consultations</w:t>
      </w:r>
      <w:r w:rsidR="003E4382" w:rsidRPr="00E71436">
        <w:t xml:space="preserve"> </w:t>
      </w:r>
      <w:r w:rsidR="003E4382">
        <w:t>co-facilitated</w:t>
      </w:r>
      <w:r w:rsidR="003E4382" w:rsidRPr="00E71436">
        <w:t xml:space="preserve"> by </w:t>
      </w:r>
      <w:r w:rsidR="003E4382">
        <w:t>Ms. Kizzier and Mr. Sealy</w:t>
      </w:r>
      <w:r w:rsidR="003E4382" w:rsidRPr="00E71436">
        <w:t>. 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63"/>
      </w:r>
      <w:bookmarkEnd w:id="311"/>
    </w:p>
    <w:p w14:paraId="2519815F" w14:textId="389C5A19"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5E84DE4B" w14:textId="5478C7F8" w:rsidR="003E4382" w:rsidRPr="00415C95" w:rsidRDefault="00F83E99" w:rsidP="00F83E99">
      <w:pPr>
        <w:pStyle w:val="RegSingleTxtG"/>
        <w:numPr>
          <w:ilvl w:val="0"/>
          <w:numId w:val="0"/>
        </w:numPr>
        <w:tabs>
          <w:tab w:val="left" w:pos="568"/>
        </w:tabs>
        <w:ind w:left="1135"/>
      </w:pPr>
      <w:r w:rsidRPr="00415C95">
        <w:t>102.</w:t>
      </w:r>
      <w:r w:rsidRPr="00415C95">
        <w:tab/>
      </w:r>
      <w:r w:rsidR="003E4382" w:rsidRPr="006020DA">
        <w:rPr>
          <w:lang w:val="en-US"/>
        </w:rPr>
        <w:t xml:space="preserve">The </w:t>
      </w:r>
      <w:r w:rsidR="003E4382">
        <w:rPr>
          <w:lang w:val="en-US"/>
        </w:rPr>
        <w:t>SBSTA</w:t>
      </w:r>
      <w:r w:rsidR="003E4382" w:rsidRPr="006020DA" w:rsidDel="00182F30">
        <w:rPr>
          <w:lang w:val="en-US"/>
        </w:rPr>
        <w:t>,</w:t>
      </w:r>
      <w:r w:rsidR="003E4382" w:rsidRPr="006020DA" w:rsidDel="00567685">
        <w:rPr>
          <w:lang w:val="en-US"/>
        </w:rPr>
        <w:t xml:space="preserve"> </w:t>
      </w:r>
      <w:r w:rsidR="003E4382" w:rsidRPr="006020DA">
        <w:rPr>
          <w:lang w:val="en-US"/>
        </w:rPr>
        <w:t xml:space="preserve">pursuant to </w:t>
      </w:r>
      <w:r w:rsidR="003E4382" w:rsidRPr="00415C95">
        <w:rPr>
          <w:lang w:val="en-US"/>
        </w:rPr>
        <w:t>decision 1/CP.21, paragraphs 39 and 40, initiated the process related to the work programme under the framework for non-market approaches to sustainable development referred to in Article 6, paragraph 9, of the Paris Agreement.</w:t>
      </w:r>
    </w:p>
    <w:p w14:paraId="2A50D9B6" w14:textId="0F23336E" w:rsidR="003E4382" w:rsidRPr="00415C95" w:rsidRDefault="00F83E99" w:rsidP="00F83E99">
      <w:pPr>
        <w:pStyle w:val="RegSingleTxtG"/>
        <w:numPr>
          <w:ilvl w:val="0"/>
          <w:numId w:val="0"/>
        </w:numPr>
        <w:tabs>
          <w:tab w:val="left" w:pos="568"/>
        </w:tabs>
        <w:ind w:left="1135"/>
      </w:pPr>
      <w:r w:rsidRPr="00415C95">
        <w:t>103.</w:t>
      </w:r>
      <w:r w:rsidRPr="00415C95">
        <w:tab/>
      </w:r>
      <w:r w:rsidR="003E4382" w:rsidRPr="00415C95">
        <w:rPr>
          <w:lang w:val="en-US"/>
        </w:rPr>
        <w:t xml:space="preserve">The SBSTA noted that Parties engaged in a productive initial exchange of views on Article 6, paragraphs 8 and 9, of the Paris Agreement and decision 1.CP.21, paragraphs 39 and 40, throughout this session and agreed to focus on establishing </w:t>
      </w:r>
      <w:r w:rsidR="00BB43C2" w:rsidRPr="00415C95">
        <w:rPr>
          <w:lang w:val="en-US"/>
        </w:rPr>
        <w:t xml:space="preserve">a </w:t>
      </w:r>
      <w:r w:rsidR="003E4382" w:rsidRPr="00415C95">
        <w:rPr>
          <w:lang w:val="en-US"/>
        </w:rPr>
        <w:t>common understanding at SBSTA 45 of the matters related to the work programme referred to in decision 1/CP.21, paragraphs 39 and 40</w:t>
      </w:r>
      <w:r w:rsidR="003E4382" w:rsidRPr="00415C95">
        <w:t>.</w:t>
      </w:r>
    </w:p>
    <w:p w14:paraId="7ABCD542" w14:textId="60C20ABF" w:rsidR="003E4382" w:rsidRPr="006020DA" w:rsidRDefault="00F83E99" w:rsidP="00F83E99">
      <w:pPr>
        <w:pStyle w:val="RegSingleTxtG"/>
        <w:numPr>
          <w:ilvl w:val="0"/>
          <w:numId w:val="0"/>
        </w:numPr>
        <w:tabs>
          <w:tab w:val="left" w:pos="568"/>
        </w:tabs>
        <w:ind w:left="1135"/>
      </w:pPr>
      <w:bookmarkStart w:id="312" w:name="_Ref452990984"/>
      <w:r w:rsidRPr="006020DA">
        <w:t>104.</w:t>
      </w:r>
      <w:r w:rsidRPr="006020DA">
        <w:tab/>
      </w:r>
      <w:r w:rsidR="003E4382" w:rsidRPr="00415C95">
        <w:t>The SBSTA invited Parties and observer organizations to submit, by 30 September</w:t>
      </w:r>
      <w:r w:rsidR="003E4382" w:rsidRPr="006020DA">
        <w:rPr>
          <w:lang w:val="en-US"/>
        </w:rPr>
        <w:t xml:space="preserve"> 2016</w:t>
      </w:r>
      <w:r w:rsidR="003E4382">
        <w:rPr>
          <w:lang w:val="en-US"/>
        </w:rPr>
        <w:t>,</w:t>
      </w:r>
      <w:r w:rsidR="003E4382" w:rsidRPr="006020DA">
        <w:t xml:space="preserve"> their views </w:t>
      </w:r>
      <w:r w:rsidR="003E4382" w:rsidRPr="006020DA">
        <w:rPr>
          <w:lang w:val="en-US"/>
        </w:rPr>
        <w:t xml:space="preserve">on the work programme referred to in paragraph </w:t>
      </w:r>
      <w:r w:rsidR="003E4382" w:rsidRPr="00D95CB4">
        <w:rPr>
          <w:lang w:val="en-US"/>
        </w:rPr>
        <w:t>102</w:t>
      </w:r>
      <w:r w:rsidR="003E4382" w:rsidRPr="006020DA">
        <w:rPr>
          <w:lang w:val="en-US"/>
        </w:rPr>
        <w:t xml:space="preserve"> above.</w:t>
      </w:r>
      <w:r w:rsidR="003E4382" w:rsidRPr="00CD3CD8">
        <w:rPr>
          <w:sz w:val="18"/>
          <w:vertAlign w:val="superscript"/>
        </w:rPr>
        <w:footnoteReference w:id="64"/>
      </w:r>
      <w:bookmarkEnd w:id="312"/>
    </w:p>
    <w:p w14:paraId="394E4362" w14:textId="2C4EA94F" w:rsidR="003E4382" w:rsidRPr="00451764" w:rsidRDefault="00F83E99" w:rsidP="00F83E99">
      <w:pPr>
        <w:pStyle w:val="RegHChG"/>
        <w:numPr>
          <w:ilvl w:val="0"/>
          <w:numId w:val="0"/>
        </w:numPr>
        <w:tabs>
          <w:tab w:val="left" w:pos="1135"/>
        </w:tabs>
        <w:ind w:left="1135" w:hanging="454"/>
      </w:pPr>
      <w:bookmarkStart w:id="313" w:name="_Toc452991213"/>
      <w:bookmarkStart w:id="314" w:name="_Toc452994363"/>
      <w:bookmarkStart w:id="315" w:name="_Toc453077391"/>
      <w:r w:rsidRPr="00451764">
        <w:t>XII.</w:t>
      </w:r>
      <w:r w:rsidRPr="00451764">
        <w:tab/>
      </w:r>
      <w:r w:rsidR="003E4382" w:rsidRPr="00451764">
        <w:t>Modalities for the accounting of financial resources provided and mobilized through public interventions in accordance with Article 9, paragraph 7, of the Paris Agreement</w:t>
      </w:r>
      <w:r w:rsidR="003E4382" w:rsidRPr="00451764">
        <w:br/>
      </w:r>
      <w:r w:rsidR="003E4382" w:rsidRPr="00451764">
        <w:rPr>
          <w:b w:val="0"/>
          <w:sz w:val="20"/>
        </w:rPr>
        <w:t>(Agenda item 12)</w:t>
      </w:r>
      <w:bookmarkEnd w:id="313"/>
      <w:bookmarkEnd w:id="314"/>
      <w:bookmarkEnd w:id="315"/>
    </w:p>
    <w:p w14:paraId="0A7BCA91" w14:textId="45D2352C" w:rsidR="003E4382" w:rsidRDefault="00F83E99" w:rsidP="00F83E99">
      <w:pPr>
        <w:pStyle w:val="RegH23G"/>
        <w:numPr>
          <w:ilvl w:val="0"/>
          <w:numId w:val="0"/>
        </w:numPr>
        <w:tabs>
          <w:tab w:val="left" w:pos="1135"/>
        </w:tabs>
        <w:ind w:left="1135" w:hanging="454"/>
      </w:pPr>
      <w:bookmarkStart w:id="316" w:name="_Ref452991036"/>
      <w:r>
        <w:rPr>
          <w:bCs/>
        </w:rPr>
        <w:t>1.</w:t>
      </w:r>
      <w:r>
        <w:rPr>
          <w:bCs/>
        </w:rPr>
        <w:tab/>
      </w:r>
      <w:r w:rsidR="003E4382">
        <w:t>Proceedings</w:t>
      </w:r>
      <w:bookmarkEnd w:id="316"/>
    </w:p>
    <w:p w14:paraId="4A16C67C" w14:textId="2A7AD88C" w:rsidR="003E4382" w:rsidRDefault="00F83E99" w:rsidP="00F83E99">
      <w:pPr>
        <w:pStyle w:val="RegSingleTxtG"/>
        <w:numPr>
          <w:ilvl w:val="0"/>
          <w:numId w:val="0"/>
        </w:numPr>
        <w:tabs>
          <w:tab w:val="left" w:pos="2127"/>
        </w:tabs>
        <w:ind w:left="1134"/>
      </w:pPr>
      <w:bookmarkStart w:id="317" w:name="_Ref452991045"/>
      <w:r>
        <w:t>105.</w:t>
      </w:r>
      <w:r>
        <w:tab/>
      </w:r>
      <w:r w:rsidR="003E4382">
        <w:t xml:space="preserve">The SBSTA considered this agenda </w:t>
      </w:r>
      <w:r w:rsidR="003E4382" w:rsidRPr="00865CD7">
        <w:t xml:space="preserve">item at </w:t>
      </w:r>
      <w:r w:rsidR="003E4382" w:rsidRPr="00491F5F">
        <w:t xml:space="preserve">its </w:t>
      </w:r>
      <w:r w:rsidR="003E4382">
        <w:t>1</w:t>
      </w:r>
      <w:r w:rsidR="003E4382" w:rsidRPr="00CD39EC">
        <w:rPr>
          <w:vertAlign w:val="superscript"/>
        </w:rPr>
        <w:t xml:space="preserve">st </w:t>
      </w:r>
      <w:r w:rsidR="003E4382" w:rsidRPr="00491F5F">
        <w:t xml:space="preserve">and </w:t>
      </w:r>
      <w:r w:rsidR="003E4382">
        <w:t>2</w:t>
      </w:r>
      <w:r w:rsidR="003E4382" w:rsidRPr="00B34CA7">
        <w:rPr>
          <w:vertAlign w:val="superscript"/>
        </w:rPr>
        <w:t>nd</w:t>
      </w:r>
      <w:r w:rsidR="003E4382">
        <w:t xml:space="preserve"> </w:t>
      </w:r>
      <w:r w:rsidR="003E4382" w:rsidRPr="00491F5F">
        <w:t>meetings</w:t>
      </w:r>
      <w:r w:rsidR="003E4382" w:rsidRPr="00865CD7">
        <w:t>.</w:t>
      </w:r>
      <w:r w:rsidR="003E4382">
        <w:t xml:space="preserve"> At its 1</w:t>
      </w:r>
      <w:r w:rsidR="003E4382" w:rsidRPr="00CD39EC">
        <w:rPr>
          <w:vertAlign w:val="superscript"/>
        </w:rPr>
        <w:t xml:space="preserve">st </w:t>
      </w:r>
      <w:r w:rsidR="003E4382">
        <w:t xml:space="preserve">meeting, the SBSTA agreed to consider this item in a contact group co-chaired by Mr. Rafael Da Soler (Brazil) and Ms. Outi Honkatukia (Finland). </w:t>
      </w:r>
      <w:r w:rsidR="003E4382" w:rsidRPr="00E71436">
        <w:t>At its 2</w:t>
      </w:r>
      <w:r w:rsidR="003E4382" w:rsidRPr="00E71436">
        <w:rPr>
          <w:vertAlign w:val="superscript"/>
        </w:rPr>
        <w:t>nd</w:t>
      </w:r>
      <w:r w:rsidR="003E4382" w:rsidRPr="00E71436">
        <w:t xml:space="preserve"> meeting, the SBSTA </w:t>
      </w:r>
      <w:r w:rsidR="003E4382">
        <w:t>considered and adopted the conclusions below.</w:t>
      </w:r>
      <w:r w:rsidR="003E4382">
        <w:rPr>
          <w:rStyle w:val="FootnoteReference"/>
        </w:rPr>
        <w:footnoteReference w:id="65"/>
      </w:r>
      <w:bookmarkEnd w:id="317"/>
    </w:p>
    <w:p w14:paraId="66C96A85" w14:textId="1CA614DB" w:rsidR="003E4382" w:rsidRDefault="00F83E99" w:rsidP="00F83E99">
      <w:pPr>
        <w:pStyle w:val="RegH23G"/>
        <w:numPr>
          <w:ilvl w:val="0"/>
          <w:numId w:val="0"/>
        </w:numPr>
        <w:tabs>
          <w:tab w:val="left" w:pos="1135"/>
        </w:tabs>
        <w:ind w:left="1135" w:hanging="454"/>
      </w:pPr>
      <w:r>
        <w:rPr>
          <w:bCs/>
        </w:rPr>
        <w:t>2.</w:t>
      </w:r>
      <w:r>
        <w:rPr>
          <w:bCs/>
        </w:rPr>
        <w:tab/>
      </w:r>
      <w:r w:rsidR="003E4382">
        <w:t>Conclusions</w:t>
      </w:r>
    </w:p>
    <w:p w14:paraId="58086A99" w14:textId="0DFF77DD" w:rsidR="003E4382" w:rsidRPr="00415C95" w:rsidRDefault="00F83E99" w:rsidP="00F83E99">
      <w:pPr>
        <w:pStyle w:val="RegSingleTxtG"/>
        <w:numPr>
          <w:ilvl w:val="0"/>
          <w:numId w:val="0"/>
        </w:numPr>
        <w:tabs>
          <w:tab w:val="left" w:pos="568"/>
        </w:tabs>
        <w:ind w:left="1135"/>
      </w:pPr>
      <w:r w:rsidRPr="00415C95">
        <w:t>106.</w:t>
      </w:r>
      <w:r w:rsidRPr="00415C95">
        <w:tab/>
      </w:r>
      <w:r w:rsidR="003E4382" w:rsidRPr="00086383">
        <w:t xml:space="preserve">The SBSTA initiated its consideration of the development of modalities for the accounting of financial resources provided and mobilized through public interventions in accordance </w:t>
      </w:r>
      <w:r w:rsidR="003E4382" w:rsidRPr="00415C95">
        <w:t xml:space="preserve">with Article 9, paragraph 7, of the Paris Agreement, as requested </w:t>
      </w:r>
      <w:r w:rsidR="00734735" w:rsidRPr="00415C95">
        <w:t>at</w:t>
      </w:r>
      <w:r w:rsidR="003E4382" w:rsidRPr="00415C95">
        <w:t xml:space="preserve"> COP</w:t>
      </w:r>
      <w:r w:rsidR="00734735" w:rsidRPr="00415C95">
        <w:t xml:space="preserve"> 21</w:t>
      </w:r>
      <w:r w:rsidR="003E4382" w:rsidRPr="00415C95">
        <w:t>.</w:t>
      </w:r>
      <w:r w:rsidR="003E4382" w:rsidRPr="00415C95">
        <w:rPr>
          <w:rStyle w:val="FootnoteReference"/>
        </w:rPr>
        <w:footnoteReference w:id="66"/>
      </w:r>
      <w:r w:rsidR="003E4382" w:rsidRPr="00415C95" w:rsidDel="00820EE9">
        <w:rPr>
          <w:rStyle w:val="FootnoteReference"/>
        </w:rPr>
        <w:t xml:space="preserve"> </w:t>
      </w:r>
    </w:p>
    <w:p w14:paraId="55EE5A34" w14:textId="7E39E47C" w:rsidR="003E4382" w:rsidRPr="004A03C8" w:rsidRDefault="00F83E99" w:rsidP="00F83E99">
      <w:pPr>
        <w:pStyle w:val="RegSingleTxtG"/>
        <w:numPr>
          <w:ilvl w:val="0"/>
          <w:numId w:val="0"/>
        </w:numPr>
        <w:tabs>
          <w:tab w:val="left" w:pos="568"/>
        </w:tabs>
        <w:ind w:left="1135"/>
      </w:pPr>
      <w:r w:rsidRPr="004A03C8">
        <w:t>107.</w:t>
      </w:r>
      <w:r w:rsidRPr="004A03C8">
        <w:tab/>
      </w:r>
      <w:r w:rsidR="003E4382" w:rsidRPr="00415C95">
        <w:t>The SBSTA invited Parties and observer organizations to submit their views on the development of modalities</w:t>
      </w:r>
      <w:r w:rsidR="003E4382" w:rsidRPr="00F87007">
        <w:t xml:space="preserve"> for the accounting of financial resources provided and mobilized through public interventions in accordance with Article 9, paragraph 7, of the Paris Agreement by 29 August 2016</w:t>
      </w:r>
      <w:r w:rsidR="003E4382">
        <w:rPr>
          <w:rStyle w:val="FootnoteReference"/>
        </w:rPr>
        <w:footnoteReference w:id="67"/>
      </w:r>
      <w:r w:rsidR="003E4382" w:rsidRPr="00F87007">
        <w:t xml:space="preserve"> for compilation into a miscellaneous document. In doing so, Parties and observer organizations may wish to consider, inter alia:</w:t>
      </w:r>
      <w:r w:rsidR="003E4382" w:rsidRPr="004A03C8">
        <w:t xml:space="preserve"> </w:t>
      </w:r>
    </w:p>
    <w:p w14:paraId="340768F0" w14:textId="3C009AA8" w:rsidR="003E4382" w:rsidRPr="00086383" w:rsidRDefault="00F83E99" w:rsidP="00F83E99">
      <w:pPr>
        <w:pStyle w:val="RegSingleTxtG"/>
        <w:numPr>
          <w:ilvl w:val="0"/>
          <w:numId w:val="0"/>
        </w:numPr>
        <w:tabs>
          <w:tab w:val="left" w:pos="2269"/>
        </w:tabs>
        <w:ind w:left="1135" w:firstLine="567"/>
      </w:pPr>
      <w:r w:rsidRPr="00086383">
        <w:t>(a)</w:t>
      </w:r>
      <w:r w:rsidRPr="00086383">
        <w:tab/>
      </w:r>
      <w:r w:rsidR="003E4382" w:rsidRPr="00086383">
        <w:t xml:space="preserve">What are the existing modalities for </w:t>
      </w:r>
      <w:r w:rsidR="003E4382">
        <w:t xml:space="preserve">the </w:t>
      </w:r>
      <w:r w:rsidR="003E4382" w:rsidRPr="00086383">
        <w:t>accounting of financial resources provided and mobilized through public interventions, and what are the challenges and information gaps with respect to these existing modalities</w:t>
      </w:r>
      <w:r w:rsidR="003E4382">
        <w:t>;</w:t>
      </w:r>
    </w:p>
    <w:p w14:paraId="1B51962F" w14:textId="4DB88CDB" w:rsidR="003E4382" w:rsidRDefault="00F83E99" w:rsidP="00F83E99">
      <w:pPr>
        <w:pStyle w:val="RegSingleTxtG"/>
        <w:numPr>
          <w:ilvl w:val="0"/>
          <w:numId w:val="0"/>
        </w:numPr>
        <w:tabs>
          <w:tab w:val="left" w:pos="2269"/>
        </w:tabs>
        <w:ind w:left="1135" w:firstLine="567"/>
      </w:pPr>
      <w:r>
        <w:t>(b)</w:t>
      </w:r>
      <w:r>
        <w:tab/>
      </w:r>
      <w:r w:rsidR="003E4382" w:rsidRPr="00086383">
        <w:t>What accounting modalities need to be developed to serve the Paris Agreement, in accordance with Article 9, paragraph 7</w:t>
      </w:r>
      <w:r w:rsidR="003E4382">
        <w:t>,</w:t>
      </w:r>
      <w:r w:rsidR="003E4382" w:rsidRPr="00086383">
        <w:t xml:space="preserve"> of the Agreement</w:t>
      </w:r>
      <w:r w:rsidR="003E4382">
        <w:t>,</w:t>
      </w:r>
      <w:r w:rsidR="003E4382" w:rsidRPr="00C72FFE">
        <w:t xml:space="preserve"> </w:t>
      </w:r>
      <w:r w:rsidR="003E4382">
        <w:t>and w</w:t>
      </w:r>
      <w:r w:rsidR="003E4382" w:rsidRPr="00086383">
        <w:t xml:space="preserve">hat are the </w:t>
      </w:r>
      <w:r w:rsidR="003E4382" w:rsidRPr="00086383">
        <w:lastRenderedPageBreak/>
        <w:t xml:space="preserve">challenges to the development of </w:t>
      </w:r>
      <w:r w:rsidR="003E4382">
        <w:t xml:space="preserve">these </w:t>
      </w:r>
      <w:r w:rsidR="003E4382" w:rsidRPr="00086383">
        <w:t>accounting modalities</w:t>
      </w:r>
      <w:r w:rsidR="003E4382">
        <w:t xml:space="preserve"> and how can these be addressed;</w:t>
      </w:r>
    </w:p>
    <w:p w14:paraId="23FB3822" w14:textId="20573C7F" w:rsidR="003E4382" w:rsidRPr="004A03C8" w:rsidRDefault="00F83E99" w:rsidP="00F83E99">
      <w:pPr>
        <w:pStyle w:val="RegSingleTxtG"/>
        <w:numPr>
          <w:ilvl w:val="0"/>
          <w:numId w:val="0"/>
        </w:numPr>
        <w:tabs>
          <w:tab w:val="left" w:pos="2269"/>
        </w:tabs>
        <w:ind w:left="1135" w:firstLine="567"/>
      </w:pPr>
      <w:r w:rsidRPr="004A03C8">
        <w:t>(c)</w:t>
      </w:r>
      <w:r w:rsidRPr="004A03C8">
        <w:tab/>
      </w:r>
      <w:r w:rsidR="003E4382" w:rsidRPr="00086383">
        <w:t>How to ensure that accounting modalities are developed in time to be integrated into the transparency framework established under the Paris Agreement.</w:t>
      </w:r>
    </w:p>
    <w:p w14:paraId="77A52686" w14:textId="37750BEC" w:rsidR="003E4382" w:rsidRPr="00415C95" w:rsidRDefault="00F83E99" w:rsidP="00F83E99">
      <w:pPr>
        <w:pStyle w:val="RegSingleTxtG"/>
        <w:numPr>
          <w:ilvl w:val="0"/>
          <w:numId w:val="0"/>
        </w:numPr>
        <w:tabs>
          <w:tab w:val="left" w:pos="568"/>
        </w:tabs>
        <w:ind w:left="1135"/>
      </w:pPr>
      <w:r w:rsidRPr="00415C95">
        <w:t>108.</w:t>
      </w:r>
      <w:r w:rsidRPr="00415C95">
        <w:tab/>
      </w:r>
      <w:r w:rsidR="003E4382" w:rsidRPr="00086383">
        <w:t xml:space="preserve">The SBSTA requested the secretariat to organize an in-session workshop in conjunction with SBSTA 45 to inform the work of the SBSTA on this matter, drawing on the submissions </w:t>
      </w:r>
      <w:r w:rsidR="003E4382" w:rsidRPr="00415C95">
        <w:t xml:space="preserve">referred to in paragraph 107 above and on the relevant findings of bodies under the Convention. </w:t>
      </w:r>
    </w:p>
    <w:p w14:paraId="15C3C909" w14:textId="4935FE99" w:rsidR="003E4382" w:rsidRPr="00415C95" w:rsidRDefault="00F83E99" w:rsidP="00F83E99">
      <w:pPr>
        <w:pStyle w:val="RegSingleTxtG"/>
        <w:numPr>
          <w:ilvl w:val="0"/>
          <w:numId w:val="0"/>
        </w:numPr>
        <w:tabs>
          <w:tab w:val="left" w:pos="568"/>
        </w:tabs>
        <w:ind w:left="1135"/>
      </w:pPr>
      <w:r w:rsidRPr="00415C95">
        <w:t>109.</w:t>
      </w:r>
      <w:r w:rsidRPr="00415C95">
        <w:tab/>
      </w:r>
      <w:r w:rsidR="003E4382" w:rsidRPr="00415C95">
        <w:t xml:space="preserve">The SBSTA agreed to continue its consideration of this matter at SBSTA 45. </w:t>
      </w:r>
    </w:p>
    <w:p w14:paraId="13041665" w14:textId="20326AC0" w:rsidR="003E4382" w:rsidRPr="00415C95" w:rsidRDefault="00F83E99" w:rsidP="00F83E99">
      <w:pPr>
        <w:pStyle w:val="RegSingleTxtG"/>
        <w:numPr>
          <w:ilvl w:val="0"/>
          <w:numId w:val="0"/>
        </w:numPr>
        <w:tabs>
          <w:tab w:val="left" w:pos="568"/>
        </w:tabs>
        <w:ind w:left="1135"/>
      </w:pPr>
      <w:r w:rsidRPr="00415C95">
        <w:t>110.</w:t>
      </w:r>
      <w:r w:rsidRPr="00415C95">
        <w:tab/>
      </w:r>
      <w:r w:rsidR="003E4382" w:rsidRPr="00415C95">
        <w:t>The SBSTA also requested the secretariat to prepare a technical paper, prior to SBSTA 46, summarizing information from the in-session workshop referred to in paragraph 108 above and submissions</w:t>
      </w:r>
      <w:r w:rsidR="00D01892" w:rsidRPr="00415C95">
        <w:t>.</w:t>
      </w:r>
    </w:p>
    <w:p w14:paraId="1EDBD60B" w14:textId="162EE5CB" w:rsidR="003E4382" w:rsidRPr="00415C95" w:rsidRDefault="00F83E99" w:rsidP="00F83E99">
      <w:pPr>
        <w:pStyle w:val="RegSingleTxtG"/>
        <w:numPr>
          <w:ilvl w:val="0"/>
          <w:numId w:val="0"/>
        </w:numPr>
        <w:tabs>
          <w:tab w:val="left" w:pos="568"/>
        </w:tabs>
        <w:ind w:left="1135"/>
      </w:pPr>
      <w:bookmarkStart w:id="318" w:name="_Ref452991049"/>
      <w:r w:rsidRPr="00415C95">
        <w:t>111.</w:t>
      </w:r>
      <w:r w:rsidRPr="00415C95">
        <w:tab/>
      </w:r>
      <w:r w:rsidR="003E4382" w:rsidRPr="00415C95">
        <w:t>The SBSTA took note of the estimated budgetary implications of the activities to be undertaken by the secretariat referred to in paragraphs 108 and 110 above. It requested that the actions of the secretariat called for in these conclusions be undertaken subject to the availability of financial resources.</w:t>
      </w:r>
      <w:bookmarkEnd w:id="318"/>
    </w:p>
    <w:p w14:paraId="72AF240F" w14:textId="1E53F6C7" w:rsidR="003E4382" w:rsidRDefault="00F83E99" w:rsidP="00F83E99">
      <w:pPr>
        <w:pStyle w:val="RegHChG"/>
        <w:numPr>
          <w:ilvl w:val="0"/>
          <w:numId w:val="0"/>
        </w:numPr>
        <w:tabs>
          <w:tab w:val="left" w:pos="1135"/>
        </w:tabs>
        <w:ind w:left="1135" w:hanging="454"/>
        <w:rPr>
          <w:b w:val="0"/>
          <w:sz w:val="20"/>
        </w:rPr>
      </w:pPr>
      <w:bookmarkStart w:id="319" w:name="_Toc452991214"/>
      <w:bookmarkStart w:id="320" w:name="_Toc452994364"/>
      <w:bookmarkStart w:id="321" w:name="_Toc453077392"/>
      <w:r>
        <w:t>XIII.</w:t>
      </w:r>
      <w:r>
        <w:tab/>
      </w:r>
      <w:r w:rsidR="003E4382" w:rsidRPr="00415C95">
        <w:t>Cooperation with other international</w:t>
      </w:r>
      <w:r w:rsidR="003E4382" w:rsidRPr="00451764">
        <w:t xml:space="preserve"> organizations</w:t>
      </w:r>
      <w:r w:rsidR="003E4382" w:rsidRPr="001D0755">
        <w:t xml:space="preserve"> </w:t>
      </w:r>
      <w:r w:rsidR="003E4382">
        <w:br/>
      </w:r>
      <w:r w:rsidR="003E4382" w:rsidRPr="00D95788">
        <w:rPr>
          <w:b w:val="0"/>
          <w:sz w:val="20"/>
        </w:rPr>
        <w:t>(Agenda item 13)</w:t>
      </w:r>
      <w:bookmarkEnd w:id="319"/>
      <w:bookmarkEnd w:id="320"/>
      <w:bookmarkEnd w:id="321"/>
    </w:p>
    <w:p w14:paraId="440738E7" w14:textId="206002B1" w:rsidR="003E4382" w:rsidRDefault="00F83E99" w:rsidP="00F83E99">
      <w:pPr>
        <w:pStyle w:val="RegH23G"/>
        <w:numPr>
          <w:ilvl w:val="0"/>
          <w:numId w:val="0"/>
        </w:numPr>
        <w:tabs>
          <w:tab w:val="left" w:pos="1135"/>
        </w:tabs>
        <w:ind w:left="1135" w:hanging="454"/>
      </w:pPr>
      <w:r>
        <w:rPr>
          <w:bCs/>
        </w:rPr>
        <w:t>1.</w:t>
      </w:r>
      <w:r>
        <w:rPr>
          <w:bCs/>
        </w:rPr>
        <w:tab/>
      </w:r>
      <w:r w:rsidR="003E4382">
        <w:t>Proceedings</w:t>
      </w:r>
    </w:p>
    <w:p w14:paraId="641ECD82" w14:textId="78D1B6D5" w:rsidR="003E4382" w:rsidRDefault="00F83E99" w:rsidP="00F83E99">
      <w:pPr>
        <w:pStyle w:val="RegSingleTxtG"/>
        <w:numPr>
          <w:ilvl w:val="0"/>
          <w:numId w:val="0"/>
        </w:numPr>
        <w:tabs>
          <w:tab w:val="left" w:pos="2127"/>
        </w:tabs>
        <w:ind w:left="1134"/>
      </w:pPr>
      <w:bookmarkStart w:id="322" w:name="_Ref452991057"/>
      <w:r>
        <w:t>112.</w:t>
      </w:r>
      <w:r>
        <w:tab/>
      </w:r>
      <w:r w:rsidR="003E4382" w:rsidRPr="00865CD7">
        <w:t xml:space="preserve">The SBSTA considered this agenda item at </w:t>
      </w:r>
      <w:r w:rsidR="003E4382" w:rsidRPr="00280B3B">
        <w:t xml:space="preserve">its </w:t>
      </w:r>
      <w:r w:rsidR="003E4382">
        <w:t>resumed</w:t>
      </w:r>
      <w:r w:rsidR="003E4382" w:rsidRPr="00280B3B">
        <w:t xml:space="preserve"> 1</w:t>
      </w:r>
      <w:r w:rsidR="003E4382" w:rsidRPr="00EC76AA">
        <w:rPr>
          <w:vertAlign w:val="superscript"/>
        </w:rPr>
        <w:t>st</w:t>
      </w:r>
      <w:r w:rsidR="003E4382" w:rsidRPr="00280B3B">
        <w:t xml:space="preserve"> </w:t>
      </w:r>
      <w:r w:rsidR="003E4382">
        <w:t xml:space="preserve">meeting </w:t>
      </w:r>
      <w:r w:rsidR="003E4382" w:rsidRPr="00280B3B">
        <w:t xml:space="preserve">and </w:t>
      </w:r>
      <w:r w:rsidR="003E4382">
        <w:t xml:space="preserve">at its </w:t>
      </w:r>
      <w:r w:rsidR="003E4382" w:rsidRPr="00280B3B">
        <w:t>2</w:t>
      </w:r>
      <w:r w:rsidR="003E4382" w:rsidRPr="00EC76AA">
        <w:rPr>
          <w:vertAlign w:val="superscript"/>
        </w:rPr>
        <w:t>nd</w:t>
      </w:r>
      <w:r w:rsidR="003E4382" w:rsidRPr="00280B3B">
        <w:t xml:space="preserve"> meeting</w:t>
      </w:r>
      <w:r w:rsidR="003E4382">
        <w:t>. At its resumed 1</w:t>
      </w:r>
      <w:r w:rsidR="003E4382" w:rsidRPr="00C62231">
        <w:rPr>
          <w:vertAlign w:val="superscript"/>
        </w:rPr>
        <w:t xml:space="preserve">st </w:t>
      </w:r>
      <w:r w:rsidR="003E4382">
        <w:t>meeting, the SBSTA agreed that the Chair of the SBSTA would consult with interested Parties on this issue and present draft conclusions to the SBSTA at its 2</w:t>
      </w:r>
      <w:r w:rsidR="003E4382" w:rsidRPr="003D152A">
        <w:rPr>
          <w:vertAlign w:val="superscript"/>
        </w:rPr>
        <w:t>nd</w:t>
      </w:r>
      <w:r w:rsidR="003E4382">
        <w:t xml:space="preserve"> meeting, where the SBSTA considered and adopted the conclusion below.</w:t>
      </w:r>
      <w:r w:rsidR="003E4382">
        <w:rPr>
          <w:rStyle w:val="FootnoteReference"/>
        </w:rPr>
        <w:footnoteReference w:id="68"/>
      </w:r>
      <w:bookmarkEnd w:id="322"/>
    </w:p>
    <w:p w14:paraId="0CBEDB08" w14:textId="6F17A2E9" w:rsidR="003E4382" w:rsidRDefault="00F83E99" w:rsidP="00F83E99">
      <w:pPr>
        <w:pStyle w:val="RegH23G"/>
        <w:numPr>
          <w:ilvl w:val="0"/>
          <w:numId w:val="0"/>
        </w:numPr>
        <w:tabs>
          <w:tab w:val="left" w:pos="1135"/>
        </w:tabs>
        <w:ind w:left="1135" w:hanging="454"/>
      </w:pPr>
      <w:r>
        <w:rPr>
          <w:bCs/>
        </w:rPr>
        <w:t>2.</w:t>
      </w:r>
      <w:r>
        <w:rPr>
          <w:bCs/>
        </w:rPr>
        <w:tab/>
      </w:r>
      <w:r w:rsidR="003E4382">
        <w:t>Conclusion</w:t>
      </w:r>
    </w:p>
    <w:p w14:paraId="10E57D7A" w14:textId="69D36D5E" w:rsidR="003E4382" w:rsidRPr="00415C95" w:rsidRDefault="00F83E99" w:rsidP="00F83E99">
      <w:pPr>
        <w:pStyle w:val="RegSingleTxtG"/>
        <w:numPr>
          <w:ilvl w:val="0"/>
          <w:numId w:val="0"/>
        </w:numPr>
        <w:tabs>
          <w:tab w:val="left" w:pos="2127"/>
        </w:tabs>
        <w:ind w:left="1134"/>
      </w:pPr>
      <w:bookmarkStart w:id="323" w:name="_Ref452991060"/>
      <w:r w:rsidRPr="00415C95">
        <w:t>113.</w:t>
      </w:r>
      <w:r w:rsidRPr="00415C95">
        <w:tab/>
      </w:r>
      <w:r w:rsidR="003E4382">
        <w:t xml:space="preserve">The SBSTA </w:t>
      </w:r>
      <w:r w:rsidR="003E4382" w:rsidRPr="00F91E47">
        <w:t xml:space="preserve">took note of </w:t>
      </w:r>
      <w:r w:rsidR="003E4382" w:rsidRPr="00415C95">
        <w:t>document FCCC/SBSTA/2016/INF.3 containing the summary of the secretariat’s cooperative activities with other intergovernmental organizations.</w:t>
      </w:r>
      <w:bookmarkEnd w:id="323"/>
    </w:p>
    <w:p w14:paraId="4F0B744E" w14:textId="755CCCF9" w:rsidR="003E4382" w:rsidRPr="00415C95" w:rsidRDefault="00F83E99" w:rsidP="00F83E99">
      <w:pPr>
        <w:pStyle w:val="RegHChG"/>
        <w:numPr>
          <w:ilvl w:val="0"/>
          <w:numId w:val="0"/>
        </w:numPr>
        <w:tabs>
          <w:tab w:val="left" w:pos="1135"/>
        </w:tabs>
        <w:ind w:left="1135" w:hanging="454"/>
        <w:rPr>
          <w:rStyle w:val="SingleTxtGChar"/>
          <w:b w:val="0"/>
          <w:sz w:val="20"/>
        </w:rPr>
      </w:pPr>
      <w:bookmarkStart w:id="324" w:name="_Toc361321683"/>
      <w:bookmarkStart w:id="325" w:name="_Toc361321980"/>
      <w:bookmarkStart w:id="326" w:name="_Toc373495772"/>
      <w:bookmarkStart w:id="327" w:name="_Toc391892201"/>
      <w:bookmarkStart w:id="328" w:name="_Toc391892385"/>
      <w:bookmarkStart w:id="329" w:name="_Toc437266343"/>
      <w:bookmarkStart w:id="330" w:name="_Toc452991215"/>
      <w:bookmarkStart w:id="331" w:name="_Toc452994365"/>
      <w:bookmarkStart w:id="332" w:name="_Toc453077393"/>
      <w:bookmarkEnd w:id="274"/>
      <w:bookmarkEnd w:id="275"/>
      <w:bookmarkEnd w:id="276"/>
      <w:bookmarkEnd w:id="277"/>
      <w:bookmarkEnd w:id="278"/>
      <w:bookmarkEnd w:id="290"/>
      <w:bookmarkEnd w:id="291"/>
      <w:bookmarkEnd w:id="292"/>
      <w:r w:rsidRPr="00415C95">
        <w:rPr>
          <w:rStyle w:val="SingleTxtGChar"/>
        </w:rPr>
        <w:t>XIV.</w:t>
      </w:r>
      <w:r w:rsidRPr="00415C95">
        <w:rPr>
          <w:rStyle w:val="SingleTxtGChar"/>
        </w:rPr>
        <w:tab/>
      </w:r>
      <w:r w:rsidR="003E4382" w:rsidRPr="00415C95">
        <w:t>Other</w:t>
      </w:r>
      <w:r w:rsidR="003E4382" w:rsidRPr="00415C95">
        <w:rPr>
          <w:rStyle w:val="RegHChGCharChar"/>
        </w:rPr>
        <w:t xml:space="preserve"> </w:t>
      </w:r>
      <w:r w:rsidR="003E4382" w:rsidRPr="00415C95">
        <w:t xml:space="preserve">matters </w:t>
      </w:r>
      <w:r w:rsidR="003E4382" w:rsidRPr="00415C95">
        <w:br/>
      </w:r>
      <w:r w:rsidR="003E4382" w:rsidRPr="00415C95">
        <w:rPr>
          <w:rStyle w:val="SingleTxtGChar"/>
          <w:b w:val="0"/>
          <w:sz w:val="20"/>
        </w:rPr>
        <w:t>(Agenda item 14)</w:t>
      </w:r>
      <w:bookmarkEnd w:id="324"/>
      <w:bookmarkEnd w:id="325"/>
      <w:bookmarkEnd w:id="326"/>
      <w:bookmarkEnd w:id="327"/>
      <w:bookmarkEnd w:id="328"/>
      <w:bookmarkEnd w:id="329"/>
      <w:bookmarkEnd w:id="330"/>
      <w:bookmarkEnd w:id="331"/>
      <w:bookmarkEnd w:id="332"/>
    </w:p>
    <w:p w14:paraId="0579BD04" w14:textId="77777777" w:rsidR="003E4382" w:rsidRPr="00415C95" w:rsidRDefault="003E4382" w:rsidP="00F83E99">
      <w:pPr>
        <w:pStyle w:val="RegH23G"/>
        <w:numPr>
          <w:ilvl w:val="0"/>
          <w:numId w:val="0"/>
        </w:numPr>
        <w:ind w:left="851" w:hanging="454"/>
      </w:pPr>
      <w:bookmarkStart w:id="333" w:name="_Toc231126873"/>
      <w:bookmarkStart w:id="334" w:name="_Toc261965579"/>
      <w:bookmarkStart w:id="335" w:name="_Toc267320470"/>
      <w:bookmarkStart w:id="336" w:name="_Toc279431838"/>
      <w:bookmarkStart w:id="337" w:name="_Toc297037341"/>
      <w:bookmarkStart w:id="338" w:name="_Toc305764185"/>
      <w:bookmarkStart w:id="339" w:name="_Toc328480816"/>
      <w:bookmarkStart w:id="340" w:name="_Toc361321687"/>
      <w:bookmarkStart w:id="341" w:name="_Toc361321984"/>
      <w:bookmarkStart w:id="342" w:name="_Toc373495773"/>
      <w:r w:rsidRPr="00415C95">
        <w:t>Proceedings</w:t>
      </w:r>
    </w:p>
    <w:p w14:paraId="2A54EC6A" w14:textId="027085CF" w:rsidR="003E4382" w:rsidRPr="00415C95" w:rsidRDefault="00F83E99" w:rsidP="00F83E99">
      <w:pPr>
        <w:pStyle w:val="RegSingleTxtG"/>
        <w:numPr>
          <w:ilvl w:val="0"/>
          <w:numId w:val="0"/>
        </w:numPr>
        <w:tabs>
          <w:tab w:val="left" w:pos="2127"/>
        </w:tabs>
        <w:ind w:left="1134"/>
      </w:pPr>
      <w:bookmarkStart w:id="343" w:name="_Ref452991065"/>
      <w:r w:rsidRPr="00415C95">
        <w:t>114.</w:t>
      </w:r>
      <w:r w:rsidRPr="00415C95">
        <w:tab/>
      </w:r>
      <w:r w:rsidR="003E4382" w:rsidRPr="00415C95">
        <w:t>The SBSTA considered this agenda item at its resumed 1</w:t>
      </w:r>
      <w:r w:rsidR="003E4382" w:rsidRPr="00415C95">
        <w:rPr>
          <w:vertAlign w:val="superscript"/>
        </w:rPr>
        <w:t>st</w:t>
      </w:r>
      <w:r w:rsidR="003E4382" w:rsidRPr="00415C95">
        <w:t xml:space="preserve"> meeting.</w:t>
      </w:r>
      <w:bookmarkEnd w:id="343"/>
      <w:r w:rsidR="003E4382" w:rsidRPr="00415C95">
        <w:t xml:space="preserve"> </w:t>
      </w:r>
    </w:p>
    <w:p w14:paraId="16FE6D8F" w14:textId="408326B3" w:rsidR="003E4382" w:rsidRPr="00A60770" w:rsidRDefault="00F83E99" w:rsidP="00F83E99">
      <w:pPr>
        <w:pStyle w:val="RegSingleTxtG"/>
        <w:numPr>
          <w:ilvl w:val="0"/>
          <w:numId w:val="0"/>
        </w:numPr>
        <w:tabs>
          <w:tab w:val="left" w:pos="2127"/>
        </w:tabs>
        <w:ind w:left="1134"/>
      </w:pPr>
      <w:r w:rsidRPr="00A60770">
        <w:t>115.</w:t>
      </w:r>
      <w:r w:rsidRPr="00A60770">
        <w:tab/>
      </w:r>
      <w:r w:rsidR="00293849" w:rsidRPr="00415C95">
        <w:t>The SBSTA took note of a synthesis report</w:t>
      </w:r>
      <w:r w:rsidR="00293849" w:rsidRPr="00415C95">
        <w:rPr>
          <w:rStyle w:val="FootnoteReference"/>
        </w:rPr>
        <w:footnoteReference w:id="69"/>
      </w:r>
      <w:r w:rsidR="00293849" w:rsidRPr="00415C95">
        <w:t xml:space="preserve"> on the technical assessment process for proposed forest reference emission levels and/or</w:t>
      </w:r>
      <w:r w:rsidR="00293849" w:rsidRPr="00293849">
        <w:t xml:space="preserve"> forest reference levels submitted by developing country Parties</w:t>
      </w:r>
      <w:r w:rsidR="00293849">
        <w:rPr>
          <w:rStyle w:val="FootnoteReference"/>
        </w:rPr>
        <w:footnoteReference w:id="70"/>
      </w:r>
      <w:r w:rsidR="00293849" w:rsidRPr="00293849">
        <w:t xml:space="preserve"> prepared for the session, and the recommendations contained therein.</w:t>
      </w:r>
    </w:p>
    <w:p w14:paraId="39BDD2A1" w14:textId="62B47897" w:rsidR="003E4382" w:rsidRPr="00D037F4" w:rsidRDefault="00F83E99" w:rsidP="00F83E99">
      <w:pPr>
        <w:pStyle w:val="RegSingleTxtG"/>
        <w:numPr>
          <w:ilvl w:val="0"/>
          <w:numId w:val="0"/>
        </w:numPr>
        <w:tabs>
          <w:tab w:val="left" w:pos="2127"/>
        </w:tabs>
        <w:ind w:left="1134"/>
      </w:pPr>
      <w:bookmarkStart w:id="344" w:name="_Ref452991068"/>
      <w:bookmarkStart w:id="345" w:name="_Toc391892202"/>
      <w:bookmarkStart w:id="346" w:name="_Toc391892386"/>
      <w:bookmarkStart w:id="347" w:name="_Toc437266344"/>
      <w:r w:rsidRPr="00D037F4">
        <w:t>116.</w:t>
      </w:r>
      <w:r w:rsidRPr="00D037F4">
        <w:tab/>
      </w:r>
      <w:r w:rsidR="003E4382">
        <w:t>No other matters were raised under this agenda item.</w:t>
      </w:r>
      <w:bookmarkEnd w:id="344"/>
    </w:p>
    <w:p w14:paraId="42462F7F" w14:textId="33D08CC0" w:rsidR="003E4382" w:rsidRPr="00E71436" w:rsidRDefault="00F83E99" w:rsidP="00F83E99">
      <w:pPr>
        <w:pStyle w:val="RegHChG"/>
        <w:numPr>
          <w:ilvl w:val="0"/>
          <w:numId w:val="0"/>
        </w:numPr>
        <w:tabs>
          <w:tab w:val="left" w:pos="1135"/>
        </w:tabs>
        <w:ind w:left="1135" w:hanging="454"/>
        <w:rPr>
          <w:rStyle w:val="SingleTxtGChar"/>
          <w:b w:val="0"/>
          <w:sz w:val="20"/>
        </w:rPr>
      </w:pPr>
      <w:bookmarkStart w:id="348" w:name="_Toc452991216"/>
      <w:bookmarkStart w:id="349" w:name="_Toc452994366"/>
      <w:bookmarkStart w:id="350" w:name="_Toc453077394"/>
      <w:r w:rsidRPr="00E71436">
        <w:rPr>
          <w:rStyle w:val="SingleTxtGChar"/>
        </w:rPr>
        <w:lastRenderedPageBreak/>
        <w:t>XV.</w:t>
      </w:r>
      <w:r w:rsidRPr="00E71436">
        <w:rPr>
          <w:rStyle w:val="SingleTxtGChar"/>
        </w:rPr>
        <w:tab/>
      </w:r>
      <w:r w:rsidR="003E4382" w:rsidRPr="00E71436">
        <w:t>Closure of and report</w:t>
      </w:r>
      <w:r w:rsidR="003E4382" w:rsidRPr="00E71436">
        <w:rPr>
          <w:rStyle w:val="RegHChGCharChar"/>
          <w:bCs/>
        </w:rPr>
        <w:t xml:space="preserve"> </w:t>
      </w:r>
      <w:r w:rsidR="003E4382" w:rsidRPr="00E71436">
        <w:t>on</w:t>
      </w:r>
      <w:r w:rsidR="003E4382" w:rsidRPr="00E71436">
        <w:rPr>
          <w:rStyle w:val="RegHChGCharChar"/>
          <w:bCs/>
        </w:rPr>
        <w:t xml:space="preserve"> </w:t>
      </w:r>
      <w:r w:rsidR="003E4382" w:rsidRPr="00E71436">
        <w:t>the</w:t>
      </w:r>
      <w:r w:rsidR="003E4382" w:rsidRPr="00E71436">
        <w:rPr>
          <w:rStyle w:val="RegHChGCharChar"/>
          <w:bCs/>
        </w:rPr>
        <w:t xml:space="preserve"> </w:t>
      </w:r>
      <w:r w:rsidR="003E4382" w:rsidRPr="00E71436">
        <w:t xml:space="preserve">session </w:t>
      </w:r>
      <w:r w:rsidR="003E4382" w:rsidRPr="00E71436">
        <w:br/>
      </w:r>
      <w:r w:rsidR="003E4382">
        <w:rPr>
          <w:rStyle w:val="SingleTxtGChar"/>
          <w:b w:val="0"/>
          <w:sz w:val="20"/>
        </w:rPr>
        <w:t>(Agenda item 15</w:t>
      </w:r>
      <w:r w:rsidR="003E4382" w:rsidRPr="00E71436">
        <w:rPr>
          <w:rStyle w:val="SingleTxtGChar"/>
          <w:b w:val="0"/>
          <w:sz w:val="20"/>
        </w:rPr>
        <w:t>)</w:t>
      </w:r>
      <w:bookmarkEnd w:id="333"/>
      <w:bookmarkEnd w:id="334"/>
      <w:bookmarkEnd w:id="335"/>
      <w:bookmarkEnd w:id="336"/>
      <w:bookmarkEnd w:id="337"/>
      <w:bookmarkEnd w:id="338"/>
      <w:bookmarkEnd w:id="339"/>
      <w:bookmarkEnd w:id="340"/>
      <w:bookmarkEnd w:id="341"/>
      <w:bookmarkEnd w:id="342"/>
      <w:bookmarkEnd w:id="345"/>
      <w:bookmarkEnd w:id="346"/>
      <w:bookmarkEnd w:id="347"/>
      <w:bookmarkEnd w:id="348"/>
      <w:bookmarkEnd w:id="349"/>
      <w:bookmarkEnd w:id="350"/>
    </w:p>
    <w:p w14:paraId="19990025" w14:textId="1182D8D4" w:rsidR="003E4382" w:rsidRPr="00451764" w:rsidRDefault="00F83E99" w:rsidP="00F83E99">
      <w:pPr>
        <w:pStyle w:val="RegH23G"/>
        <w:numPr>
          <w:ilvl w:val="0"/>
          <w:numId w:val="0"/>
        </w:numPr>
        <w:tabs>
          <w:tab w:val="left" w:pos="1135"/>
        </w:tabs>
        <w:ind w:left="1135" w:hanging="454"/>
      </w:pPr>
      <w:bookmarkStart w:id="351" w:name="_Toc231126874"/>
      <w:bookmarkStart w:id="352" w:name="_Toc261965580"/>
      <w:bookmarkStart w:id="353" w:name="_Toc267320471"/>
      <w:bookmarkStart w:id="354" w:name="_Toc279431839"/>
      <w:bookmarkStart w:id="355" w:name="_Toc297037342"/>
      <w:bookmarkStart w:id="356" w:name="_Toc305764186"/>
      <w:bookmarkStart w:id="357" w:name="_Toc328480817"/>
      <w:bookmarkStart w:id="358" w:name="_Toc361321688"/>
      <w:bookmarkStart w:id="359" w:name="_Toc361321985"/>
      <w:bookmarkStart w:id="360" w:name="_Toc373495774"/>
      <w:bookmarkStart w:id="361" w:name="_Toc391892203"/>
      <w:bookmarkStart w:id="362" w:name="_Toc391892387"/>
      <w:r w:rsidRPr="00451764">
        <w:rPr>
          <w:bCs/>
        </w:rPr>
        <w:t>1.</w:t>
      </w:r>
      <w:r w:rsidRPr="00451764">
        <w:rPr>
          <w:bCs/>
        </w:rPr>
        <w:tab/>
      </w:r>
      <w:r w:rsidR="003E4382" w:rsidRPr="00451764">
        <w:t>Administrative and budgetary implications</w:t>
      </w:r>
    </w:p>
    <w:p w14:paraId="1DA7393A" w14:textId="519663E3" w:rsidR="003E4382" w:rsidRPr="00103AAF" w:rsidRDefault="00F83E99" w:rsidP="00F83E99">
      <w:pPr>
        <w:pStyle w:val="RegSingleTxtG"/>
        <w:numPr>
          <w:ilvl w:val="0"/>
          <w:numId w:val="0"/>
        </w:numPr>
        <w:tabs>
          <w:tab w:val="left" w:pos="2127"/>
        </w:tabs>
        <w:ind w:left="1134"/>
      </w:pPr>
      <w:bookmarkStart w:id="363" w:name="_Ref452991076"/>
      <w:r w:rsidRPr="00103AAF">
        <w:t>117.</w:t>
      </w:r>
      <w:r w:rsidRPr="00103AAF">
        <w:tab/>
      </w:r>
      <w:r w:rsidR="003E4382" w:rsidRPr="009055DC">
        <w:t xml:space="preserve">At the </w:t>
      </w:r>
      <w:r w:rsidR="003E4382">
        <w:t>2</w:t>
      </w:r>
      <w:r w:rsidR="003E4382" w:rsidRPr="00C913EA">
        <w:rPr>
          <w:vertAlign w:val="superscript"/>
        </w:rPr>
        <w:t>nd</w:t>
      </w:r>
      <w:r w:rsidR="003E4382">
        <w:t xml:space="preserve"> and 4</w:t>
      </w:r>
      <w:r w:rsidR="003E4382" w:rsidRPr="002362CB">
        <w:rPr>
          <w:vertAlign w:val="superscript"/>
        </w:rPr>
        <w:t>th</w:t>
      </w:r>
      <w:r w:rsidR="003E4382">
        <w:t xml:space="preserve"> </w:t>
      </w:r>
      <w:r w:rsidR="003E4382" w:rsidRPr="009055DC">
        <w:t>meeting</w:t>
      </w:r>
      <w:r w:rsidR="003E4382">
        <w:t>s of the SBSTA</w:t>
      </w:r>
      <w:r w:rsidR="003E4382" w:rsidRPr="009055DC">
        <w:t>,</w:t>
      </w:r>
      <w:r w:rsidR="003E4382">
        <w:t xml:space="preserve"> a representative of the secretariat</w:t>
      </w:r>
      <w:r w:rsidR="003E4382" w:rsidRPr="009055DC">
        <w:t xml:space="preserve"> provided a preliminary evaluation of the administrative and budgetary implications of </w:t>
      </w:r>
      <w:r w:rsidR="003E4382">
        <w:t xml:space="preserve">the </w:t>
      </w:r>
      <w:r w:rsidR="003E4382" w:rsidRPr="009055DC">
        <w:t>conclusions adopted during the session</w:t>
      </w:r>
      <w:r w:rsidR="003E4382">
        <w:t xml:space="preserve"> in </w:t>
      </w:r>
      <w:r w:rsidR="003E4382" w:rsidRPr="00583A65">
        <w:t xml:space="preserve">accordance with the provisions of </w:t>
      </w:r>
      <w:r w:rsidR="00934C2D">
        <w:t>R</w:t>
      </w:r>
      <w:r w:rsidR="003E4382" w:rsidRPr="00583A65">
        <w:t>ule 15 of the draft rules of procedure being applied</w:t>
      </w:r>
      <w:r w:rsidR="003E4382" w:rsidRPr="00103AAF">
        <w:t>.</w:t>
      </w:r>
      <w:bookmarkEnd w:id="363"/>
    </w:p>
    <w:p w14:paraId="334B18DF" w14:textId="13E84B1D" w:rsidR="003E4382" w:rsidRPr="007F2A3C" w:rsidRDefault="00F83E99" w:rsidP="00F83E99">
      <w:pPr>
        <w:pStyle w:val="RegSingleTxtG"/>
        <w:numPr>
          <w:ilvl w:val="0"/>
          <w:numId w:val="0"/>
        </w:numPr>
        <w:tabs>
          <w:tab w:val="left" w:pos="2127"/>
        </w:tabs>
        <w:ind w:left="1134"/>
      </w:pPr>
      <w:r w:rsidRPr="007F2A3C">
        <w:t>118.</w:t>
      </w:r>
      <w:r w:rsidRPr="007F2A3C">
        <w:tab/>
      </w:r>
      <w:r w:rsidR="003E4382">
        <w:t>She informed</w:t>
      </w:r>
      <w:r w:rsidR="003E4382" w:rsidRPr="007F2A3C">
        <w:t xml:space="preserve"> </w:t>
      </w:r>
      <w:r w:rsidR="003E4382">
        <w:t>the SBSTA</w:t>
      </w:r>
      <w:r w:rsidR="003E4382" w:rsidRPr="007F2A3C">
        <w:t xml:space="preserve"> that </w:t>
      </w:r>
      <w:r w:rsidR="00FA253D">
        <w:t>there were a number of</w:t>
      </w:r>
      <w:r w:rsidR="00FA253D" w:rsidRPr="007F2A3C">
        <w:t xml:space="preserve"> </w:t>
      </w:r>
      <w:r w:rsidR="003E4382" w:rsidRPr="007F2A3C">
        <w:t xml:space="preserve">activities </w:t>
      </w:r>
      <w:r w:rsidR="00FA253D">
        <w:t>coming out of</w:t>
      </w:r>
      <w:r w:rsidR="003E4382" w:rsidRPr="007F2A3C">
        <w:t xml:space="preserve"> negotiations at th</w:t>
      </w:r>
      <w:r w:rsidR="00C04CE5">
        <w:t>e</w:t>
      </w:r>
      <w:r w:rsidR="003E4382" w:rsidRPr="007F2A3C">
        <w:t xml:space="preserve"> session </w:t>
      </w:r>
      <w:r w:rsidR="00FA253D">
        <w:t xml:space="preserve">that </w:t>
      </w:r>
      <w:r w:rsidR="003E4382" w:rsidRPr="007F2A3C">
        <w:t xml:space="preserve">call for </w:t>
      </w:r>
      <w:r w:rsidR="00C04CE5">
        <w:t>more</w:t>
      </w:r>
      <w:r w:rsidR="003E4382" w:rsidRPr="007F2A3C">
        <w:t xml:space="preserve"> support by the secretariat and, therefore, require additional resources over and above the approved core budget for the biennium 2016</w:t>
      </w:r>
      <w:r w:rsidR="003E4382">
        <w:t>–</w:t>
      </w:r>
      <w:r w:rsidR="003E4382" w:rsidRPr="007F2A3C">
        <w:t>2017</w:t>
      </w:r>
      <w:r w:rsidR="00C04CE5">
        <w:t>. These comprise</w:t>
      </w:r>
      <w:r w:rsidR="003E4382" w:rsidRPr="007F2A3C">
        <w:t>:</w:t>
      </w:r>
    </w:p>
    <w:p w14:paraId="630602B1" w14:textId="778712C7" w:rsidR="003E4382" w:rsidRPr="007F2A3C" w:rsidRDefault="00F83E99" w:rsidP="00F83E99">
      <w:pPr>
        <w:pStyle w:val="RegSingleTxtG"/>
        <w:numPr>
          <w:ilvl w:val="0"/>
          <w:numId w:val="0"/>
        </w:numPr>
        <w:tabs>
          <w:tab w:val="left" w:pos="2269"/>
        </w:tabs>
        <w:ind w:left="1135" w:firstLine="567"/>
      </w:pPr>
      <w:r w:rsidRPr="007F2A3C">
        <w:t>(a)</w:t>
      </w:r>
      <w:r w:rsidRPr="007F2A3C">
        <w:tab/>
      </w:r>
      <w:r w:rsidR="003E4382" w:rsidRPr="007F2A3C">
        <w:t>Under agenda item 3</w:t>
      </w:r>
      <w:r w:rsidR="003E4382">
        <w:t>,</w:t>
      </w:r>
      <w:r w:rsidR="003E4382" w:rsidRPr="007F2A3C">
        <w:t xml:space="preserve"> “Nairobi work programme on impacts, vulnerability and adaptation to climate change”, funding in the amount of EUR 455,000 will b</w:t>
      </w:r>
      <w:r w:rsidR="003E4382">
        <w:t xml:space="preserve">e required </w:t>
      </w:r>
      <w:r w:rsidR="003E4382" w:rsidRPr="007F2A3C">
        <w:t xml:space="preserve">to cover the cost of supporting the implementation of the Nairobi </w:t>
      </w:r>
      <w:r w:rsidR="003E4382">
        <w:t>w</w:t>
      </w:r>
      <w:r w:rsidR="003E4382" w:rsidRPr="007F2A3C">
        <w:t xml:space="preserve">ork </w:t>
      </w:r>
      <w:r w:rsidR="003E4382">
        <w:t>p</w:t>
      </w:r>
      <w:r w:rsidR="003E4382" w:rsidRPr="007F2A3C">
        <w:t>rogramme</w:t>
      </w:r>
      <w:r w:rsidR="003E4382">
        <w:t>;</w:t>
      </w:r>
    </w:p>
    <w:p w14:paraId="78A23EC7" w14:textId="4DCAC8D3" w:rsidR="003E4382" w:rsidRPr="00004AA0" w:rsidRDefault="00F83E99" w:rsidP="00F83E99">
      <w:pPr>
        <w:pStyle w:val="RegSingleTxtG"/>
        <w:numPr>
          <w:ilvl w:val="0"/>
          <w:numId w:val="0"/>
        </w:numPr>
        <w:tabs>
          <w:tab w:val="left" w:pos="2269"/>
        </w:tabs>
        <w:ind w:left="1135" w:firstLine="567"/>
      </w:pPr>
      <w:r w:rsidRPr="00004AA0">
        <w:t>(b)</w:t>
      </w:r>
      <w:r w:rsidRPr="00004AA0">
        <w:tab/>
      </w:r>
      <w:r w:rsidR="003E4382" w:rsidRPr="00FC7099">
        <w:t xml:space="preserve">Under agenda item 6(a), “Research and systematic observation”, the activity of holding a poster session at the </w:t>
      </w:r>
      <w:r w:rsidR="006D2B5F" w:rsidRPr="00FC7099">
        <w:t>9</w:t>
      </w:r>
      <w:r w:rsidR="006D2B5F" w:rsidRPr="00FC7099">
        <w:rPr>
          <w:vertAlign w:val="superscript"/>
        </w:rPr>
        <w:t>th</w:t>
      </w:r>
      <w:r w:rsidR="006D2B5F" w:rsidRPr="00FC7099">
        <w:t xml:space="preserve"> </w:t>
      </w:r>
      <w:r w:rsidR="003E4382" w:rsidRPr="00FC7099">
        <w:t xml:space="preserve">meeting of the research dialogue has a financial </w:t>
      </w:r>
      <w:r w:rsidR="003E4382" w:rsidRPr="00004AA0">
        <w:t>implication but the cost will be absorbed by existing resources;</w:t>
      </w:r>
    </w:p>
    <w:p w14:paraId="034F4983" w14:textId="1C719E18" w:rsidR="003E4382" w:rsidRPr="00004AA0" w:rsidRDefault="00F83E99" w:rsidP="00F83E99">
      <w:pPr>
        <w:pStyle w:val="RegSingleTxtG"/>
        <w:numPr>
          <w:ilvl w:val="0"/>
          <w:numId w:val="0"/>
        </w:numPr>
        <w:tabs>
          <w:tab w:val="left" w:pos="2269"/>
        </w:tabs>
        <w:ind w:left="1135" w:firstLine="567"/>
      </w:pPr>
      <w:r w:rsidRPr="00004AA0">
        <w:t>(c)</w:t>
      </w:r>
      <w:r w:rsidRPr="00004AA0">
        <w:tab/>
      </w:r>
      <w:r w:rsidR="003E4382" w:rsidRPr="00004AA0">
        <w:t xml:space="preserve">Under agenda item 7(a), “Impact of the implementation of response measures: Improved forum and work programme”, funding in the amount of EUR 225,000 </w:t>
      </w:r>
      <w:r w:rsidR="00C04CE5" w:rsidRPr="00004AA0">
        <w:t xml:space="preserve">will be required </w:t>
      </w:r>
      <w:r w:rsidR="003E4382" w:rsidRPr="00004AA0">
        <w:t>to operationalize the work programme. Activities of this nature have been included in the recent call for contributions to the Trust Fund for Supplementary Activities. For the information of Parties, the same costs are also stated under SBI agenda item 14(a);</w:t>
      </w:r>
    </w:p>
    <w:p w14:paraId="13C3EBC0" w14:textId="0370E0ED" w:rsidR="003E4382" w:rsidRPr="007F2A3C" w:rsidRDefault="00F83E99" w:rsidP="00F83E99">
      <w:pPr>
        <w:pStyle w:val="RegSingleTxtG"/>
        <w:numPr>
          <w:ilvl w:val="0"/>
          <w:numId w:val="0"/>
        </w:numPr>
        <w:tabs>
          <w:tab w:val="left" w:pos="2269"/>
        </w:tabs>
        <w:ind w:left="1135" w:firstLine="567"/>
      </w:pPr>
      <w:r w:rsidRPr="007F2A3C">
        <w:t>(d)</w:t>
      </w:r>
      <w:r w:rsidRPr="007F2A3C">
        <w:tab/>
      </w:r>
      <w:r w:rsidR="003E4382" w:rsidRPr="007F2A3C">
        <w:t>Under agenda item 12</w:t>
      </w:r>
      <w:r w:rsidR="003E4382">
        <w:t>,</w:t>
      </w:r>
      <w:r w:rsidR="003E4382" w:rsidRPr="007F2A3C">
        <w:t xml:space="preserve"> “Modalities for the accounting of financial resources provided and mobilized through public interventions in accordance with Article 9, paragraph 7, of the Paris Agreement”</w:t>
      </w:r>
      <w:r w:rsidR="003E4382">
        <w:t>,</w:t>
      </w:r>
      <w:r w:rsidR="003E4382" w:rsidRPr="007F2A3C">
        <w:t xml:space="preserve"> the cost of five experts to support an in-session workshop in conjunction with SBSTA 45 will be absorbed by existing resources.</w:t>
      </w:r>
    </w:p>
    <w:p w14:paraId="5E37F154" w14:textId="36695F11" w:rsidR="003E4382" w:rsidRPr="007F2A3C" w:rsidRDefault="00F83E99" w:rsidP="00F83E99">
      <w:pPr>
        <w:pStyle w:val="RegSingleTxtG"/>
        <w:numPr>
          <w:ilvl w:val="0"/>
          <w:numId w:val="0"/>
        </w:numPr>
        <w:tabs>
          <w:tab w:val="left" w:pos="2127"/>
        </w:tabs>
        <w:ind w:left="1134"/>
      </w:pPr>
      <w:r w:rsidRPr="007F2A3C">
        <w:t>119.</w:t>
      </w:r>
      <w:r w:rsidRPr="007F2A3C">
        <w:tab/>
      </w:r>
      <w:r w:rsidR="003E4382">
        <w:t>She added that the above</w:t>
      </w:r>
      <w:r w:rsidR="003E4382" w:rsidRPr="007F2A3C">
        <w:t xml:space="preserve"> amounts </w:t>
      </w:r>
      <w:r w:rsidR="003E4382">
        <w:t>were</w:t>
      </w:r>
      <w:r w:rsidR="003E4382" w:rsidRPr="007F2A3C">
        <w:t xml:space="preserve"> preliminary and based on the </w:t>
      </w:r>
      <w:r w:rsidR="00C04CE5">
        <w:t xml:space="preserve">current </w:t>
      </w:r>
      <w:r w:rsidR="003E4382" w:rsidRPr="007F2A3C">
        <w:t xml:space="preserve">available information. </w:t>
      </w:r>
      <w:r w:rsidR="003E4382">
        <w:t>She noted that o</w:t>
      </w:r>
      <w:r w:rsidR="003E4382" w:rsidRPr="007F2A3C">
        <w:t xml:space="preserve">verall additional </w:t>
      </w:r>
      <w:r w:rsidR="00C04CE5">
        <w:t xml:space="preserve">supplementary </w:t>
      </w:r>
      <w:r w:rsidR="003E4382" w:rsidRPr="007F2A3C">
        <w:t>funds amount</w:t>
      </w:r>
      <w:r w:rsidR="00C04CE5">
        <w:t>ing to</w:t>
      </w:r>
      <w:r w:rsidR="003E4382" w:rsidRPr="007F2A3C">
        <w:t xml:space="preserve"> EUR 680,000 will </w:t>
      </w:r>
      <w:r w:rsidR="00C04CE5">
        <w:t xml:space="preserve">be </w:t>
      </w:r>
      <w:r w:rsidR="003E4382" w:rsidRPr="007F2A3C">
        <w:t>need</w:t>
      </w:r>
      <w:r w:rsidR="00C04CE5">
        <w:t>ed</w:t>
      </w:r>
      <w:r w:rsidR="003E4382" w:rsidRPr="007F2A3C">
        <w:t xml:space="preserve"> to cover the cost</w:t>
      </w:r>
      <w:r w:rsidR="003E4382">
        <w:t>s</w:t>
      </w:r>
      <w:r w:rsidR="003E4382" w:rsidRPr="007F2A3C">
        <w:t xml:space="preserve"> of the mandated </w:t>
      </w:r>
      <w:r w:rsidR="003E4382">
        <w:t xml:space="preserve">activities. </w:t>
      </w:r>
    </w:p>
    <w:p w14:paraId="2332066C" w14:textId="74889281" w:rsidR="003E4382" w:rsidRPr="007F2A3C" w:rsidRDefault="00F83E99" w:rsidP="00F83E99">
      <w:pPr>
        <w:pStyle w:val="RegSingleTxtG"/>
        <w:numPr>
          <w:ilvl w:val="0"/>
          <w:numId w:val="0"/>
        </w:numPr>
        <w:tabs>
          <w:tab w:val="left" w:pos="2127"/>
        </w:tabs>
        <w:ind w:left="1134"/>
      </w:pPr>
      <w:r w:rsidRPr="007F2A3C">
        <w:t>120.</w:t>
      </w:r>
      <w:r w:rsidRPr="007F2A3C">
        <w:tab/>
      </w:r>
      <w:r w:rsidR="003E4382">
        <w:t xml:space="preserve">She </w:t>
      </w:r>
      <w:r w:rsidR="00C04CE5">
        <w:t xml:space="preserve">also </w:t>
      </w:r>
      <w:r w:rsidR="003E4382">
        <w:t xml:space="preserve">noted </w:t>
      </w:r>
      <w:r w:rsidR="003E4382" w:rsidRPr="007F2A3C">
        <w:t xml:space="preserve">that some of the </w:t>
      </w:r>
      <w:r w:rsidR="003E4382">
        <w:t>conclusions</w:t>
      </w:r>
      <w:r w:rsidR="003E4382" w:rsidRPr="007F2A3C">
        <w:t xml:space="preserve"> adopted by the SBSTA at </w:t>
      </w:r>
      <w:r w:rsidR="00C04CE5">
        <w:t>its</w:t>
      </w:r>
      <w:r w:rsidR="003E4382" w:rsidRPr="007F2A3C">
        <w:t xml:space="preserve"> </w:t>
      </w:r>
      <w:r w:rsidR="00C04CE5">
        <w:t xml:space="preserve">current </w:t>
      </w:r>
      <w:r w:rsidR="003E4382" w:rsidRPr="007F2A3C">
        <w:t xml:space="preserve">session will have budgetary implications beyond 2017. </w:t>
      </w:r>
      <w:r w:rsidR="00C04CE5">
        <w:t>With regard to t</w:t>
      </w:r>
      <w:r w:rsidR="003E4382">
        <w:t>he</w:t>
      </w:r>
      <w:r w:rsidR="003E4382" w:rsidRPr="007F2A3C">
        <w:t xml:space="preserve"> resource requirements for 2018</w:t>
      </w:r>
      <w:r w:rsidR="003E4382">
        <w:t>–</w:t>
      </w:r>
      <w:r w:rsidR="003E4382" w:rsidRPr="007F2A3C">
        <w:t>2019</w:t>
      </w:r>
      <w:r w:rsidR="00C04CE5">
        <w:t>,</w:t>
      </w:r>
      <w:r w:rsidR="003E4382">
        <w:t xml:space="preserve"> </w:t>
      </w:r>
      <w:r w:rsidR="00C04CE5">
        <w:t xml:space="preserve">she informed the SBSTA that they </w:t>
      </w:r>
      <w:r w:rsidR="003E4382" w:rsidRPr="007F2A3C">
        <w:t>will be reviewed in the context of established budgetary procedures.</w:t>
      </w:r>
    </w:p>
    <w:p w14:paraId="512D2E15" w14:textId="29F9F068" w:rsidR="003E4382" w:rsidRPr="005D76B8" w:rsidRDefault="00F83E99" w:rsidP="00F83E99">
      <w:pPr>
        <w:pStyle w:val="RegH23G"/>
        <w:numPr>
          <w:ilvl w:val="0"/>
          <w:numId w:val="0"/>
        </w:numPr>
        <w:tabs>
          <w:tab w:val="left" w:pos="1135"/>
        </w:tabs>
        <w:ind w:left="1135" w:hanging="454"/>
      </w:pPr>
      <w:r w:rsidRPr="005D76B8">
        <w:rPr>
          <w:bCs/>
        </w:rPr>
        <w:t>2.</w:t>
      </w:r>
      <w:r w:rsidRPr="005D76B8">
        <w:rPr>
          <w:bCs/>
        </w:rPr>
        <w:tab/>
      </w:r>
      <w:r w:rsidR="003E4382" w:rsidRPr="005D76B8">
        <w:t>Closure of and report on the session</w:t>
      </w:r>
    </w:p>
    <w:p w14:paraId="4D4DB518" w14:textId="3D02A829" w:rsidR="003E4382" w:rsidRDefault="00F83E99" w:rsidP="00F83E99">
      <w:pPr>
        <w:pStyle w:val="RegSingleTxtG"/>
        <w:numPr>
          <w:ilvl w:val="0"/>
          <w:numId w:val="0"/>
        </w:numPr>
        <w:tabs>
          <w:tab w:val="left" w:pos="2127"/>
        </w:tabs>
        <w:ind w:left="1134"/>
      </w:pPr>
      <w:r>
        <w:t>121.</w:t>
      </w:r>
      <w:r>
        <w:tab/>
      </w:r>
      <w:r w:rsidR="003E4382">
        <w:t>At its 2</w:t>
      </w:r>
      <w:r w:rsidR="003E4382" w:rsidRPr="007A2872">
        <w:rPr>
          <w:vertAlign w:val="superscript"/>
        </w:rPr>
        <w:t>nd</w:t>
      </w:r>
      <w:r w:rsidR="003E4382">
        <w:t xml:space="preserve"> meeting, the SBSTA considered and adopted the draft report on the session</w:t>
      </w:r>
      <w:r w:rsidR="003E4382">
        <w:rPr>
          <w:rStyle w:val="FootnoteReference"/>
        </w:rPr>
        <w:footnoteReference w:id="71"/>
      </w:r>
      <w:r w:rsidR="003E4382">
        <w:t xml:space="preserve"> and authorized the Rapporteur, with the assistance of the secretariat and under the guidance of the Chair, to complete the report on the session and to make it available to all Parties. At the same meeting, closing statements were made by </w:t>
      </w:r>
      <w:r w:rsidR="003E4382" w:rsidRPr="005A18E4">
        <w:t xml:space="preserve">representatives of </w:t>
      </w:r>
      <w:r w:rsidR="003E4382">
        <w:t>seven</w:t>
      </w:r>
      <w:r w:rsidR="003E4382" w:rsidRPr="003E66E0">
        <w:t xml:space="preserve"> Parties, including on behalf of the </w:t>
      </w:r>
      <w:r w:rsidR="003E4382">
        <w:t>African Group</w:t>
      </w:r>
      <w:r w:rsidR="003E4382" w:rsidRPr="003E66E0">
        <w:t xml:space="preserve">, AOSIS, </w:t>
      </w:r>
      <w:r w:rsidR="003E4382">
        <w:t xml:space="preserve">EIG, </w:t>
      </w:r>
      <w:r w:rsidR="003E4382" w:rsidRPr="003E66E0">
        <w:t xml:space="preserve">the G77 and China, </w:t>
      </w:r>
      <w:r w:rsidR="003E4382">
        <w:t>AILAC, t</w:t>
      </w:r>
      <w:r w:rsidR="003E4382" w:rsidRPr="003E66E0">
        <w:t>he least developed countries</w:t>
      </w:r>
      <w:r w:rsidR="003E4382">
        <w:t xml:space="preserve"> </w:t>
      </w:r>
      <w:r w:rsidR="00DC7AEC">
        <w:t xml:space="preserve">(LDCs) </w:t>
      </w:r>
      <w:r w:rsidR="003E4382">
        <w:t>and</w:t>
      </w:r>
      <w:r w:rsidR="003E4382" w:rsidRPr="003E66E0">
        <w:t xml:space="preserve"> the Umbrella Group. Statements were also made by representatives of business and industry NGOs, </w:t>
      </w:r>
      <w:r w:rsidR="00D81D86">
        <w:t xml:space="preserve">environmental </w:t>
      </w:r>
      <w:r w:rsidR="003E4382" w:rsidRPr="003E66E0">
        <w:t xml:space="preserve">NGOs, </w:t>
      </w:r>
      <w:r w:rsidR="003E4382" w:rsidRPr="003E66E0">
        <w:lastRenderedPageBreak/>
        <w:t xml:space="preserve">farmers NGOs, </w:t>
      </w:r>
      <w:r w:rsidR="003E4382">
        <w:t xml:space="preserve">indigenous peoples organizations, </w:t>
      </w:r>
      <w:r w:rsidR="003E4382" w:rsidRPr="003E66E0">
        <w:t xml:space="preserve">women and gender NGOs and </w:t>
      </w:r>
      <w:r w:rsidR="003E4382">
        <w:t>youth NGOs</w:t>
      </w:r>
      <w:r w:rsidR="003E4382" w:rsidRPr="003E66E0">
        <w:t>.</w:t>
      </w:r>
      <w:r w:rsidR="003E4382">
        <w:rPr>
          <w:rStyle w:val="FootnoteReference"/>
        </w:rPr>
        <w:footnoteReference w:id="72"/>
      </w:r>
      <w:r w:rsidR="003E4382" w:rsidRPr="003E66E0">
        <w:t xml:space="preserve"> </w:t>
      </w:r>
    </w:p>
    <w:p w14:paraId="39292EEA" w14:textId="0E299C74" w:rsidR="003E4382" w:rsidRPr="0038087F" w:rsidRDefault="00F83E99" w:rsidP="00F83E99">
      <w:pPr>
        <w:pStyle w:val="RegSingleTxtG"/>
        <w:numPr>
          <w:ilvl w:val="0"/>
          <w:numId w:val="0"/>
        </w:numPr>
        <w:tabs>
          <w:tab w:val="left" w:pos="2127"/>
        </w:tabs>
        <w:ind w:left="1134"/>
      </w:pPr>
      <w:bookmarkStart w:id="364" w:name="_Ref452991093"/>
      <w:bookmarkEnd w:id="351"/>
      <w:bookmarkEnd w:id="352"/>
      <w:bookmarkEnd w:id="353"/>
      <w:bookmarkEnd w:id="354"/>
      <w:bookmarkEnd w:id="355"/>
      <w:bookmarkEnd w:id="356"/>
      <w:bookmarkEnd w:id="357"/>
      <w:bookmarkEnd w:id="358"/>
      <w:bookmarkEnd w:id="359"/>
      <w:bookmarkEnd w:id="360"/>
      <w:bookmarkEnd w:id="361"/>
      <w:bookmarkEnd w:id="362"/>
      <w:r w:rsidRPr="0038087F">
        <w:t>122.</w:t>
      </w:r>
      <w:r w:rsidRPr="0038087F">
        <w:tab/>
      </w:r>
      <w:r w:rsidR="003E4382">
        <w:t>At its 3</w:t>
      </w:r>
      <w:r w:rsidR="003E4382" w:rsidRPr="00F733B8">
        <w:rPr>
          <w:vertAlign w:val="superscript"/>
        </w:rPr>
        <w:t>rd</w:t>
      </w:r>
      <w:r w:rsidR="003E4382">
        <w:t xml:space="preserve"> meeting, o</w:t>
      </w:r>
      <w:r w:rsidR="003E4382" w:rsidRPr="0038087F">
        <w:t>n 26 May, the SB</w:t>
      </w:r>
      <w:r w:rsidR="003E4382">
        <w:t>STA</w:t>
      </w:r>
      <w:r w:rsidR="003E4382" w:rsidRPr="0038087F">
        <w:t xml:space="preserve"> convened a meeting jointly with the SB</w:t>
      </w:r>
      <w:r w:rsidR="003E4382">
        <w:t>I</w:t>
      </w:r>
      <w:r w:rsidR="003E4382" w:rsidRPr="0038087F">
        <w:t xml:space="preserve"> and the APA to bid farewell to Ms. Christiana Figueres, the outgoing Executive Secretary of the UNFCCC. </w:t>
      </w:r>
      <w:r w:rsidR="002A245A" w:rsidRPr="002A245A">
        <w:t>Representatives of t</w:t>
      </w:r>
      <w:r w:rsidR="002A245A">
        <w:t xml:space="preserve">he </w:t>
      </w:r>
      <w:r w:rsidR="003E4382" w:rsidRPr="0038087F">
        <w:t xml:space="preserve">current and incoming Presidencies of the COP, the presiding officers of the three subsidiary bodies as well as Ms. Patricia Espinosa, Executive Secretary </w:t>
      </w:r>
      <w:r w:rsidR="002B0997">
        <w:t>d</w:t>
      </w:r>
      <w:r w:rsidR="003E4382" w:rsidRPr="0038087F">
        <w:t xml:space="preserve">esignate, thanked her for the services provided during her time in office. </w:t>
      </w:r>
    </w:p>
    <w:p w14:paraId="5EC0E7B0" w14:textId="41F925BD" w:rsidR="00541ACD" w:rsidRDefault="00F83E99" w:rsidP="00F83E99">
      <w:pPr>
        <w:pStyle w:val="RegSingleTxtG"/>
        <w:numPr>
          <w:ilvl w:val="0"/>
          <w:numId w:val="0"/>
        </w:numPr>
        <w:tabs>
          <w:tab w:val="left" w:pos="2127"/>
        </w:tabs>
        <w:ind w:left="1134"/>
      </w:pPr>
      <w:r>
        <w:t>123.</w:t>
      </w:r>
      <w:r>
        <w:tab/>
      </w:r>
      <w:r w:rsidR="00541ACD" w:rsidRPr="0038087F">
        <w:t>Ms. Figueres recalled her first address to Parties in 2010, in which she invited all governments to rise to the challenge posed by the scale and urgency</w:t>
      </w:r>
      <w:r w:rsidR="00541ACD">
        <w:t xml:space="preserve"> of the threat of climate change, and the subsequent six years characterized by the tireless efforts Parties made to respond to climate change. She thanked Parties for their hard work, national aspirations, cooperation with </w:t>
      </w:r>
      <w:r w:rsidR="005457BD">
        <w:t>one another</w:t>
      </w:r>
      <w:r w:rsidR="00541ACD">
        <w:t xml:space="preserve"> and collective ambition. She underlined the crucial role played by non-Party actors and civil society, and thanked subnational governments, corporations, financial institutions and civil society at large for their support of the climate change process. Ms. Figueres further expressed her appreciation to the United Nations organizations and </w:t>
      </w:r>
      <w:r w:rsidR="002B0997" w:rsidRPr="002B0997">
        <w:rPr>
          <w:bCs/>
          <w:iCs/>
        </w:rPr>
        <w:t xml:space="preserve">extended her </w:t>
      </w:r>
      <w:r w:rsidR="00541ACD">
        <w:t>deep</w:t>
      </w:r>
      <w:r w:rsidR="00DC7AEC">
        <w:t>ly</w:t>
      </w:r>
      <w:r w:rsidR="00541ACD">
        <w:t xml:space="preserve"> felt gratitude to the staff of the UNFCCC secretariat for their unwavering commitment, tireless dedication and collective wisdom.</w:t>
      </w:r>
      <w:r w:rsidR="00541ACD">
        <w:rPr>
          <w:vertAlign w:val="superscript"/>
        </w:rPr>
        <w:footnoteReference w:id="73"/>
      </w:r>
      <w:r w:rsidR="00E11F6A">
        <w:rPr>
          <w:vertAlign w:val="superscript"/>
        </w:rPr>
        <w:t xml:space="preserve"> </w:t>
      </w:r>
      <w:r w:rsidR="00541ACD">
        <w:t xml:space="preserve"> </w:t>
      </w:r>
    </w:p>
    <w:p w14:paraId="5F84CF3E" w14:textId="116099CE" w:rsidR="00541ACD" w:rsidRDefault="00F83E99" w:rsidP="00F83E99">
      <w:pPr>
        <w:pStyle w:val="RegSingleTxtG"/>
        <w:numPr>
          <w:ilvl w:val="0"/>
          <w:numId w:val="0"/>
        </w:numPr>
        <w:tabs>
          <w:tab w:val="left" w:pos="2127"/>
        </w:tabs>
        <w:ind w:left="1134"/>
      </w:pPr>
      <w:r>
        <w:t>124.</w:t>
      </w:r>
      <w:r>
        <w:tab/>
      </w:r>
      <w:r w:rsidR="003E4382" w:rsidRPr="0038087F">
        <w:t xml:space="preserve">Fourteen Parties made statements, including on behalf of </w:t>
      </w:r>
      <w:r w:rsidR="00541ACD" w:rsidRPr="00326AAD">
        <w:t>the African Group</w:t>
      </w:r>
      <w:r w:rsidR="00541ACD">
        <w:t>,</w:t>
      </w:r>
      <w:r w:rsidR="00541ACD" w:rsidRPr="00326AAD">
        <w:t xml:space="preserve"> AILAC</w:t>
      </w:r>
      <w:r w:rsidR="00541ACD">
        <w:t>,</w:t>
      </w:r>
      <w:r w:rsidR="00541ACD" w:rsidRPr="00326AAD">
        <w:t xml:space="preserve"> AOSIS, </w:t>
      </w:r>
      <w:r w:rsidR="00F97C4D">
        <w:t>the Caribbean Community</w:t>
      </w:r>
      <w:r w:rsidR="00541ACD">
        <w:t>,</w:t>
      </w:r>
      <w:r w:rsidR="00541ACD" w:rsidRPr="00326AAD">
        <w:t xml:space="preserve"> the EIG</w:t>
      </w:r>
      <w:r w:rsidR="00541ACD">
        <w:t>,</w:t>
      </w:r>
      <w:r w:rsidR="00541ACD" w:rsidRPr="00326AAD">
        <w:t xml:space="preserve"> </w:t>
      </w:r>
      <w:r w:rsidR="003E4382" w:rsidRPr="0038087F">
        <w:t>the EU</w:t>
      </w:r>
      <w:r w:rsidR="003E4382" w:rsidRPr="00326AAD">
        <w:t xml:space="preserve">, </w:t>
      </w:r>
      <w:r w:rsidR="00541ACD" w:rsidRPr="0038087F">
        <w:t xml:space="preserve">the G77 and China, </w:t>
      </w:r>
      <w:r w:rsidR="00541ACD">
        <w:t>the LDCs and the</w:t>
      </w:r>
      <w:r w:rsidR="003E4382" w:rsidRPr="00326AAD">
        <w:t xml:space="preserve"> </w:t>
      </w:r>
      <w:r w:rsidR="00541ACD">
        <w:t>Umbrella Group</w:t>
      </w:r>
      <w:r w:rsidR="003E4382" w:rsidRPr="00326AAD">
        <w:t>.</w:t>
      </w:r>
      <w:r w:rsidR="00E11F6A">
        <w:t xml:space="preserve"> </w:t>
      </w:r>
    </w:p>
    <w:p w14:paraId="0AA488E6" w14:textId="1A7EE695" w:rsidR="003E4382" w:rsidRDefault="00F83E99" w:rsidP="00F83E99">
      <w:pPr>
        <w:pStyle w:val="RegSingleTxtG"/>
        <w:numPr>
          <w:ilvl w:val="0"/>
          <w:numId w:val="0"/>
        </w:numPr>
        <w:tabs>
          <w:tab w:val="left" w:pos="2127"/>
        </w:tabs>
        <w:ind w:left="1134"/>
      </w:pPr>
      <w:r>
        <w:t>125.</w:t>
      </w:r>
      <w:r>
        <w:tab/>
      </w:r>
      <w:r w:rsidR="003E4382" w:rsidRPr="00326AAD">
        <w:t>At its 4</w:t>
      </w:r>
      <w:r w:rsidR="003E4382" w:rsidRPr="00326AAD">
        <w:rPr>
          <w:vertAlign w:val="superscript"/>
        </w:rPr>
        <w:t>th</w:t>
      </w:r>
      <w:r w:rsidR="003E4382" w:rsidRPr="00326AAD">
        <w:t xml:space="preserve"> meeting, the SBSTA considered and adopted conclusions on agenda item</w:t>
      </w:r>
      <w:r w:rsidR="000F65C1">
        <w:t> </w:t>
      </w:r>
      <w:r w:rsidR="003E4382" w:rsidRPr="00326AAD">
        <w:t>7.</w:t>
      </w:r>
      <w:r w:rsidR="003E4382" w:rsidRPr="00326AAD">
        <w:rPr>
          <w:rStyle w:val="FootnoteReference"/>
        </w:rPr>
        <w:footnoteReference w:id="74"/>
      </w:r>
      <w:r w:rsidR="003E4382" w:rsidRPr="00326AAD">
        <w:t xml:space="preserve"> A statement was made by the representative of one Party.</w:t>
      </w:r>
      <w:r w:rsidR="003E4382" w:rsidRPr="00326AAD">
        <w:rPr>
          <w:rStyle w:val="FootnoteReference"/>
        </w:rPr>
        <w:footnoteReference w:id="75"/>
      </w:r>
      <w:r w:rsidR="003E4382" w:rsidRPr="00326AAD">
        <w:t xml:space="preserve"> Following this, the Chair </w:t>
      </w:r>
      <w:r w:rsidR="00D81D86">
        <w:t xml:space="preserve">thanked </w:t>
      </w:r>
      <w:r w:rsidR="003E4382">
        <w:t xml:space="preserve">all Parties, facilitators and the </w:t>
      </w:r>
      <w:r w:rsidR="00D81D86">
        <w:t xml:space="preserve">secretariat’s </w:t>
      </w:r>
      <w:r w:rsidR="003E4382">
        <w:t>SBSTA team for their support</w:t>
      </w:r>
      <w:r w:rsidR="00D81D86">
        <w:t xml:space="preserve"> and closed the session</w:t>
      </w:r>
      <w:r w:rsidR="003E4382">
        <w:t>.</w:t>
      </w:r>
      <w:bookmarkEnd w:id="364"/>
    </w:p>
    <w:p w14:paraId="6E3DAA29" w14:textId="1DC16F96" w:rsidR="00C04CE5" w:rsidRDefault="00C04CE5" w:rsidP="00A042CC">
      <w:pPr>
        <w:pStyle w:val="RegSingleTxtG"/>
        <w:numPr>
          <w:ilvl w:val="0"/>
          <w:numId w:val="0"/>
        </w:numPr>
        <w:ind w:left="1134"/>
      </w:pPr>
    </w:p>
    <w:p w14:paraId="6524A66F" w14:textId="77777777" w:rsidR="003E4382" w:rsidRDefault="003E4382" w:rsidP="003E4382">
      <w:pPr>
        <w:pStyle w:val="HChG"/>
        <w:spacing w:before="0"/>
        <w:rPr>
          <w:rFonts w:eastAsia="Times New Roman"/>
          <w:b w:val="0"/>
          <w:sz w:val="24"/>
          <w:szCs w:val="24"/>
          <w:u w:val="single"/>
          <w:lang w:eastAsia="en-US"/>
        </w:rPr>
        <w:sectPr w:rsidR="003E4382" w:rsidSect="00837C85">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6" w:h="16838" w:code="9"/>
          <w:pgMar w:top="1701" w:right="1134" w:bottom="2268" w:left="1134" w:header="1134" w:footer="1701" w:gutter="0"/>
          <w:cols w:space="708"/>
          <w:titlePg/>
          <w:docGrid w:linePitch="360"/>
        </w:sectPr>
      </w:pPr>
    </w:p>
    <w:p w14:paraId="1D055CD4" w14:textId="77777777" w:rsidR="00F63B95" w:rsidRDefault="00F63B95" w:rsidP="00F63B95">
      <w:pPr>
        <w:pStyle w:val="HChG"/>
        <w:rPr>
          <w:b w:val="0"/>
          <w:sz w:val="20"/>
        </w:rPr>
      </w:pPr>
      <w:r>
        <w:lastRenderedPageBreak/>
        <w:t>Annex I</w:t>
      </w:r>
      <w:r>
        <w:rPr>
          <w:b w:val="0"/>
          <w:sz w:val="20"/>
        </w:rPr>
        <w:t xml:space="preserve"> </w:t>
      </w:r>
    </w:p>
    <w:p w14:paraId="71C6E278" w14:textId="77777777" w:rsidR="00F63B95" w:rsidRDefault="00F63B95" w:rsidP="00F63B95">
      <w:pPr>
        <w:pStyle w:val="H1G"/>
        <w:ind w:firstLine="0"/>
      </w:pPr>
      <w:r>
        <w:t>Work programme</w:t>
      </w:r>
      <w:r>
        <w:rPr>
          <w:rStyle w:val="FootnoteReference"/>
          <w:b w:val="0"/>
          <w:szCs w:val="24"/>
        </w:rPr>
        <w:footnoteReference w:id="76"/>
      </w:r>
      <w:r>
        <w:rPr>
          <w:rStyle w:val="FootnoteReference"/>
          <w:szCs w:val="24"/>
        </w:rPr>
        <w:t xml:space="preserve"> </w:t>
      </w:r>
      <w:r>
        <w:t>on the improved forum on the impact of the implementation of response measures (June 2016 to November 2018)</w:t>
      </w:r>
    </w:p>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31"/>
        <w:gridCol w:w="3539"/>
      </w:tblGrid>
      <w:tr w:rsidR="00F63B95" w14:paraId="53B6470D" w14:textId="77777777" w:rsidTr="00E457CD">
        <w:trPr>
          <w:trHeight w:val="20"/>
          <w:tblHeader/>
        </w:trPr>
        <w:tc>
          <w:tcPr>
            <w:tcW w:w="7370" w:type="dxa"/>
            <w:gridSpan w:val="2"/>
            <w:tcBorders>
              <w:top w:val="single" w:sz="4" w:space="0" w:color="auto"/>
              <w:left w:val="nil"/>
              <w:bottom w:val="single" w:sz="4" w:space="0" w:color="auto"/>
              <w:right w:val="nil"/>
            </w:tcBorders>
            <w:vAlign w:val="bottom"/>
            <w:hideMark/>
          </w:tcPr>
          <w:p w14:paraId="75EB01F0" w14:textId="77777777" w:rsidR="00F63B95" w:rsidRDefault="00F63B95" w:rsidP="00E457CD">
            <w:pPr>
              <w:suppressAutoHyphens w:val="0"/>
              <w:spacing w:before="80" w:after="80" w:line="200" w:lineRule="exact"/>
              <w:rPr>
                <w:b/>
                <w:i/>
                <w:sz w:val="16"/>
              </w:rPr>
            </w:pPr>
            <w:r>
              <w:rPr>
                <w:b/>
                <w:i/>
                <w:sz w:val="16"/>
              </w:rPr>
              <w:t>Before/during SBI 45 and SBSTA 45 (November 2016)</w:t>
            </w:r>
          </w:p>
        </w:tc>
      </w:tr>
      <w:tr w:rsidR="00F63B95" w14:paraId="4C4DA75A" w14:textId="77777777" w:rsidTr="00E457CD">
        <w:trPr>
          <w:trHeight w:val="20"/>
          <w:tblHeader/>
        </w:trPr>
        <w:tc>
          <w:tcPr>
            <w:tcW w:w="3831" w:type="dxa"/>
            <w:tcBorders>
              <w:top w:val="single" w:sz="4" w:space="0" w:color="auto"/>
              <w:left w:val="nil"/>
              <w:bottom w:val="single" w:sz="12" w:space="0" w:color="auto"/>
              <w:right w:val="nil"/>
            </w:tcBorders>
            <w:hideMark/>
          </w:tcPr>
          <w:p w14:paraId="12D0A919" w14:textId="77777777" w:rsidR="00F63B95" w:rsidRDefault="00F63B95" w:rsidP="00E457CD">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69F3E2B8" w14:textId="77777777" w:rsidR="00F63B95" w:rsidRDefault="00F63B95" w:rsidP="00E457CD">
            <w:pPr>
              <w:suppressAutoHyphens w:val="0"/>
              <w:spacing w:before="80" w:after="80" w:line="200" w:lineRule="exact"/>
              <w:rPr>
                <w:i/>
                <w:sz w:val="16"/>
              </w:rPr>
            </w:pPr>
            <w:r>
              <w:rPr>
                <w:i/>
                <w:sz w:val="16"/>
              </w:rPr>
              <w:t>Estimated timeline/deliverable</w:t>
            </w:r>
          </w:p>
        </w:tc>
      </w:tr>
      <w:tr w:rsidR="00F63B95" w14:paraId="7C1E7973" w14:textId="77777777" w:rsidTr="00E457CD">
        <w:trPr>
          <w:trHeight w:val="20"/>
        </w:trPr>
        <w:tc>
          <w:tcPr>
            <w:tcW w:w="3831" w:type="dxa"/>
            <w:tcBorders>
              <w:top w:val="single" w:sz="12" w:space="0" w:color="auto"/>
              <w:left w:val="nil"/>
              <w:bottom w:val="nil"/>
              <w:right w:val="nil"/>
            </w:tcBorders>
            <w:hideMark/>
          </w:tcPr>
          <w:p w14:paraId="5A1A00DC" w14:textId="77777777" w:rsidR="00F63B95" w:rsidRDefault="00F63B95" w:rsidP="00E457CD">
            <w:pPr>
              <w:suppressAutoHyphens w:val="0"/>
              <w:spacing w:before="40" w:after="120" w:line="220" w:lineRule="exact"/>
            </w:pPr>
            <w:r>
              <w:t>Technical paper on just transition of the workforce, and the creation of decent work and quality jobs</w:t>
            </w:r>
          </w:p>
        </w:tc>
        <w:tc>
          <w:tcPr>
            <w:tcW w:w="3539" w:type="dxa"/>
            <w:tcBorders>
              <w:top w:val="single" w:sz="12" w:space="0" w:color="auto"/>
              <w:left w:val="nil"/>
              <w:bottom w:val="nil"/>
              <w:right w:val="nil"/>
            </w:tcBorders>
            <w:hideMark/>
          </w:tcPr>
          <w:p w14:paraId="329FD79B" w14:textId="77777777" w:rsidR="00F63B95" w:rsidRDefault="00F63B95" w:rsidP="00E457CD">
            <w:pPr>
              <w:suppressAutoHyphens w:val="0"/>
              <w:spacing w:before="40" w:after="120" w:line="220" w:lineRule="exact"/>
            </w:pPr>
            <w:r>
              <w:t>By SBI 45 and SBSTA 45</w:t>
            </w:r>
          </w:p>
          <w:p w14:paraId="391F2D6D" w14:textId="77777777" w:rsidR="00F63B95" w:rsidRDefault="00F63B95" w:rsidP="00E457CD">
            <w:pPr>
              <w:suppressAutoHyphens w:val="0"/>
              <w:spacing w:before="40" w:after="120" w:line="220" w:lineRule="exact"/>
            </w:pPr>
            <w:r>
              <w:t>Technical paper</w:t>
            </w:r>
          </w:p>
        </w:tc>
      </w:tr>
      <w:tr w:rsidR="00F63B95" w14:paraId="4E0E3F67" w14:textId="77777777" w:rsidTr="00E457CD">
        <w:trPr>
          <w:trHeight w:val="20"/>
        </w:trPr>
        <w:tc>
          <w:tcPr>
            <w:tcW w:w="3831" w:type="dxa"/>
            <w:tcBorders>
              <w:top w:val="nil"/>
              <w:left w:val="nil"/>
              <w:bottom w:val="nil"/>
              <w:right w:val="nil"/>
            </w:tcBorders>
            <w:hideMark/>
          </w:tcPr>
          <w:p w14:paraId="38261C3A" w14:textId="77777777" w:rsidR="00F63B95" w:rsidRDefault="00F63B95" w:rsidP="00E457CD">
            <w:pPr>
              <w:suppressAutoHyphens w:val="0"/>
              <w:spacing w:before="40" w:line="220" w:lineRule="exact"/>
            </w:pPr>
            <w:r w:rsidRPr="009274D5">
              <w:t>Views and experiences, including on case studies, taking into account decision 11/CP.21, paragraphs 1 and 6, in the context of sustainable development, in order to implement the work of the improved forum, on:</w:t>
            </w:r>
          </w:p>
          <w:p w14:paraId="2915A2AE" w14:textId="77777777" w:rsidR="00F63B95" w:rsidRDefault="00F63B95" w:rsidP="00E457CD">
            <w:pPr>
              <w:suppressAutoHyphens w:val="0"/>
              <w:spacing w:before="40" w:after="120" w:line="220" w:lineRule="exact"/>
            </w:pPr>
            <w:r>
              <w:t>(1) Economic diversification and transformation;</w:t>
            </w:r>
            <w:r>
              <w:br/>
              <w:t>(2) Just transition of the workforce, and the creation of decent work and quality jobs</w:t>
            </w:r>
          </w:p>
        </w:tc>
        <w:tc>
          <w:tcPr>
            <w:tcW w:w="3539" w:type="dxa"/>
            <w:tcBorders>
              <w:top w:val="nil"/>
              <w:left w:val="nil"/>
              <w:bottom w:val="nil"/>
              <w:right w:val="nil"/>
            </w:tcBorders>
            <w:hideMark/>
          </w:tcPr>
          <w:p w14:paraId="3E0EBD3C" w14:textId="77777777" w:rsidR="00F63B95" w:rsidRDefault="00F63B95" w:rsidP="00E457CD">
            <w:pPr>
              <w:suppressAutoHyphens w:val="0"/>
              <w:spacing w:before="40" w:after="120" w:line="220" w:lineRule="exact"/>
            </w:pPr>
            <w:r>
              <w:t>By SBI 45 and SBSTA 45</w:t>
            </w:r>
          </w:p>
          <w:p w14:paraId="567E8056" w14:textId="77777777" w:rsidR="00F63B95" w:rsidRDefault="00F63B95" w:rsidP="00E457CD">
            <w:pPr>
              <w:suppressAutoHyphens w:val="0"/>
              <w:spacing w:before="40" w:after="120" w:line="220" w:lineRule="exact"/>
            </w:pPr>
            <w:r>
              <w:t>Submissions from Parties and organizations</w:t>
            </w:r>
          </w:p>
        </w:tc>
      </w:tr>
      <w:tr w:rsidR="00F63B95" w14:paraId="3310E76B" w14:textId="77777777" w:rsidTr="00E457CD">
        <w:trPr>
          <w:trHeight w:val="20"/>
        </w:trPr>
        <w:tc>
          <w:tcPr>
            <w:tcW w:w="3831" w:type="dxa"/>
            <w:tcBorders>
              <w:top w:val="nil"/>
              <w:left w:val="nil"/>
              <w:bottom w:val="nil"/>
              <w:right w:val="nil"/>
            </w:tcBorders>
            <w:hideMark/>
          </w:tcPr>
          <w:p w14:paraId="13A33C4B" w14:textId="77777777" w:rsidR="00F63B95" w:rsidRPr="00DD6EC5" w:rsidRDefault="00F63B95" w:rsidP="00E457CD">
            <w:pPr>
              <w:suppressAutoHyphens w:val="0"/>
              <w:spacing w:before="40" w:after="120" w:line="220" w:lineRule="exact"/>
            </w:pPr>
            <w:r w:rsidRPr="00DD6EC5">
              <w:t>Workshop on views and experiences, including on case studies, taking into account decision 11/CP.21, paragraphs 1 and 6, in the context of sustainable development, in order to implement the work of the improved forum on:</w:t>
            </w:r>
          </w:p>
          <w:p w14:paraId="784CD5F8" w14:textId="77777777" w:rsidR="00F63B95" w:rsidRPr="00DD6EC5" w:rsidRDefault="00F63B95" w:rsidP="00E457CD">
            <w:pPr>
              <w:suppressAutoHyphens w:val="0"/>
              <w:spacing w:before="40" w:after="120" w:line="220" w:lineRule="exact"/>
            </w:pPr>
            <w:r w:rsidRPr="00DD6EC5">
              <w:t>(1) Economic diversification and transformation;</w:t>
            </w:r>
            <w:r w:rsidRPr="00DD6EC5">
              <w:br/>
              <w:t>(2) Just transition of the workforce and the creation of decent work and quality jobs</w:t>
            </w:r>
          </w:p>
        </w:tc>
        <w:tc>
          <w:tcPr>
            <w:tcW w:w="3539" w:type="dxa"/>
            <w:tcBorders>
              <w:top w:val="nil"/>
              <w:left w:val="nil"/>
              <w:bottom w:val="nil"/>
              <w:right w:val="nil"/>
            </w:tcBorders>
            <w:hideMark/>
          </w:tcPr>
          <w:p w14:paraId="36B98B4C" w14:textId="77777777" w:rsidR="00F63B95" w:rsidRPr="00DD6EC5" w:rsidRDefault="00F63B95" w:rsidP="00E457CD">
            <w:pPr>
              <w:suppressAutoHyphens w:val="0"/>
              <w:spacing w:before="40" w:after="120" w:line="220" w:lineRule="exact"/>
            </w:pPr>
            <w:r w:rsidRPr="00DD6EC5">
              <w:t>Before SBI 45 and SBSTA 45</w:t>
            </w:r>
          </w:p>
          <w:p w14:paraId="0721B45C" w14:textId="77777777" w:rsidR="00F63B95" w:rsidRPr="00DD6EC5" w:rsidRDefault="00F63B95" w:rsidP="00E457CD">
            <w:pPr>
              <w:suppressAutoHyphens w:val="0"/>
              <w:spacing w:before="40" w:after="120" w:line="220" w:lineRule="exact"/>
            </w:pPr>
            <w:r w:rsidRPr="00DD6EC5">
              <w:t>Report on the workshop</w:t>
            </w:r>
          </w:p>
        </w:tc>
      </w:tr>
      <w:tr w:rsidR="00F63B95" w14:paraId="7C01A592" w14:textId="77777777" w:rsidTr="00E457CD">
        <w:trPr>
          <w:trHeight w:val="20"/>
        </w:trPr>
        <w:tc>
          <w:tcPr>
            <w:tcW w:w="3831" w:type="dxa"/>
            <w:tcBorders>
              <w:top w:val="nil"/>
              <w:left w:val="nil"/>
              <w:bottom w:val="single" w:sz="12" w:space="0" w:color="auto"/>
              <w:right w:val="nil"/>
            </w:tcBorders>
            <w:hideMark/>
          </w:tcPr>
          <w:p w14:paraId="2A8ABDFA" w14:textId="77777777" w:rsidR="00F63B95" w:rsidRDefault="00F63B95" w:rsidP="00E457CD">
            <w:pPr>
              <w:suppressAutoHyphens w:val="0"/>
              <w:spacing w:before="40" w:after="120" w:line="220" w:lineRule="exact"/>
            </w:pPr>
            <w:r>
              <w:t>In-forum discussion on the workshop, including, as appropriate, to provide a venue for Parties to raise priority areas, and, as appropriate, constituting an ad hoc technical expert group</w:t>
            </w:r>
          </w:p>
        </w:tc>
        <w:tc>
          <w:tcPr>
            <w:tcW w:w="3539" w:type="dxa"/>
            <w:tcBorders>
              <w:top w:val="nil"/>
              <w:left w:val="nil"/>
              <w:bottom w:val="single" w:sz="12" w:space="0" w:color="auto"/>
              <w:right w:val="nil"/>
            </w:tcBorders>
            <w:hideMark/>
          </w:tcPr>
          <w:p w14:paraId="27A6EBF3" w14:textId="77777777" w:rsidR="00F63B95" w:rsidRDefault="00F63B95" w:rsidP="00E457CD">
            <w:pPr>
              <w:suppressAutoHyphens w:val="0"/>
              <w:spacing w:before="40" w:after="120" w:line="220" w:lineRule="exact"/>
            </w:pPr>
            <w:r>
              <w:t>During SBI 45 and SBSTA 45</w:t>
            </w:r>
          </w:p>
          <w:p w14:paraId="49B691BC" w14:textId="77777777" w:rsidR="00F63B95" w:rsidRDefault="00F63B95" w:rsidP="00E457CD">
            <w:pPr>
              <w:suppressAutoHyphens w:val="0"/>
              <w:spacing w:before="40" w:after="120" w:line="220" w:lineRule="exact"/>
            </w:pPr>
            <w:r>
              <w:t>Conclusions of the forum</w:t>
            </w:r>
          </w:p>
        </w:tc>
      </w:tr>
    </w:tbl>
    <w:p w14:paraId="6639CECB" w14:textId="2E646E37" w:rsidR="00DC6013" w:rsidRDefault="00DC6013" w:rsidP="00F63B95"/>
    <w:p w14:paraId="5DE4F7DD" w14:textId="77777777" w:rsidR="00DC6013" w:rsidRDefault="00DC6013">
      <w:pPr>
        <w:suppressAutoHyphens w:val="0"/>
        <w:spacing w:line="240" w:lineRule="auto"/>
      </w:pPr>
      <w:r>
        <w:br w:type="page"/>
      </w:r>
    </w:p>
    <w:p w14:paraId="6022B41C" w14:textId="77777777" w:rsidR="00F63B95" w:rsidRDefault="00F63B95" w:rsidP="00F63B95"/>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788"/>
        <w:gridCol w:w="43"/>
        <w:gridCol w:w="3539"/>
      </w:tblGrid>
      <w:tr w:rsidR="00F63B95" w14:paraId="0B103E75" w14:textId="77777777" w:rsidTr="00E457CD">
        <w:trPr>
          <w:trHeight w:val="20"/>
          <w:tblHeader/>
        </w:trPr>
        <w:tc>
          <w:tcPr>
            <w:tcW w:w="7370" w:type="dxa"/>
            <w:gridSpan w:val="3"/>
            <w:tcBorders>
              <w:top w:val="single" w:sz="4" w:space="0" w:color="auto"/>
              <w:left w:val="nil"/>
              <w:bottom w:val="single" w:sz="4" w:space="0" w:color="auto"/>
              <w:right w:val="nil"/>
            </w:tcBorders>
            <w:vAlign w:val="bottom"/>
            <w:hideMark/>
          </w:tcPr>
          <w:p w14:paraId="52BF2C38" w14:textId="77777777" w:rsidR="00F63B95" w:rsidRDefault="00F63B95" w:rsidP="00E457CD">
            <w:pPr>
              <w:suppressAutoHyphens w:val="0"/>
              <w:spacing w:before="80" w:after="80" w:line="200" w:lineRule="exact"/>
              <w:rPr>
                <w:i/>
                <w:sz w:val="16"/>
              </w:rPr>
            </w:pPr>
            <w:r>
              <w:rPr>
                <w:i/>
                <w:sz w:val="16"/>
              </w:rPr>
              <w:t>Before/during SBI 46 and SBSTA 46 (May 2017)</w:t>
            </w:r>
          </w:p>
        </w:tc>
      </w:tr>
      <w:tr w:rsidR="00F63B95" w14:paraId="1FADF214" w14:textId="77777777" w:rsidTr="00E457CD">
        <w:trPr>
          <w:trHeight w:val="20"/>
          <w:tblHeader/>
        </w:trPr>
        <w:tc>
          <w:tcPr>
            <w:tcW w:w="3831" w:type="dxa"/>
            <w:gridSpan w:val="2"/>
            <w:tcBorders>
              <w:top w:val="single" w:sz="4" w:space="0" w:color="auto"/>
              <w:left w:val="nil"/>
              <w:bottom w:val="single" w:sz="12" w:space="0" w:color="auto"/>
              <w:right w:val="nil"/>
            </w:tcBorders>
            <w:hideMark/>
          </w:tcPr>
          <w:p w14:paraId="0938C761" w14:textId="77777777" w:rsidR="00F63B95" w:rsidRDefault="00F63B95" w:rsidP="00E457CD">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6245828B" w14:textId="77777777" w:rsidR="00F63B95" w:rsidRDefault="00F63B95" w:rsidP="00E457CD">
            <w:pPr>
              <w:suppressAutoHyphens w:val="0"/>
              <w:spacing w:before="80" w:after="80" w:line="200" w:lineRule="exact"/>
              <w:rPr>
                <w:i/>
                <w:sz w:val="16"/>
              </w:rPr>
            </w:pPr>
            <w:r>
              <w:rPr>
                <w:i/>
                <w:sz w:val="16"/>
              </w:rPr>
              <w:t>Estimated timeline/deliverable</w:t>
            </w:r>
          </w:p>
        </w:tc>
      </w:tr>
      <w:tr w:rsidR="00F63B95" w14:paraId="1939D4C0" w14:textId="77777777" w:rsidTr="00E457CD">
        <w:trPr>
          <w:trHeight w:val="20"/>
          <w:tblHeader/>
        </w:trPr>
        <w:tc>
          <w:tcPr>
            <w:tcW w:w="3788" w:type="dxa"/>
            <w:tcBorders>
              <w:top w:val="nil"/>
              <w:left w:val="nil"/>
              <w:bottom w:val="nil"/>
              <w:right w:val="nil"/>
            </w:tcBorders>
            <w:hideMark/>
          </w:tcPr>
          <w:p w14:paraId="6F2CAC19" w14:textId="77777777" w:rsidR="00F63B95" w:rsidRDefault="00F63B95" w:rsidP="00E457CD">
            <w:pPr>
              <w:suppressAutoHyphens w:val="0"/>
              <w:spacing w:before="40" w:after="120" w:line="220" w:lineRule="exact"/>
            </w:pPr>
            <w:r>
              <w:t>Work of ad hoc technical expert group, as appropriate</w:t>
            </w:r>
          </w:p>
        </w:tc>
        <w:tc>
          <w:tcPr>
            <w:tcW w:w="3582" w:type="dxa"/>
            <w:gridSpan w:val="2"/>
            <w:tcBorders>
              <w:top w:val="nil"/>
              <w:left w:val="nil"/>
              <w:bottom w:val="nil"/>
              <w:right w:val="nil"/>
            </w:tcBorders>
            <w:hideMark/>
          </w:tcPr>
          <w:p w14:paraId="1FD33C30" w14:textId="77777777" w:rsidR="00F63B95" w:rsidRDefault="00F63B95" w:rsidP="00E457CD">
            <w:pPr>
              <w:suppressAutoHyphens w:val="0"/>
              <w:spacing w:before="40" w:after="120" w:line="220" w:lineRule="exact"/>
            </w:pPr>
            <w:r>
              <w:t>During SBI 46 and SBSTA 46</w:t>
            </w:r>
          </w:p>
          <w:p w14:paraId="05B8AFB8" w14:textId="77777777" w:rsidR="00F63B95" w:rsidRDefault="00F63B95" w:rsidP="00E457CD">
            <w:pPr>
              <w:suppressAutoHyphens w:val="0"/>
              <w:spacing w:before="40" w:after="120" w:line="220" w:lineRule="exact"/>
            </w:pPr>
            <w:r>
              <w:t>Report of the ad hoc technical expert group, as appropriate</w:t>
            </w:r>
          </w:p>
        </w:tc>
      </w:tr>
      <w:tr w:rsidR="00F63B95" w14:paraId="337D6DD6" w14:textId="77777777" w:rsidTr="00E457CD">
        <w:trPr>
          <w:trHeight w:val="20"/>
        </w:trPr>
        <w:tc>
          <w:tcPr>
            <w:tcW w:w="3788" w:type="dxa"/>
            <w:tcBorders>
              <w:top w:val="nil"/>
              <w:left w:val="nil"/>
              <w:bottom w:val="nil"/>
              <w:right w:val="nil"/>
            </w:tcBorders>
            <w:hideMark/>
          </w:tcPr>
          <w:p w14:paraId="5AA39859" w14:textId="77777777" w:rsidR="00F63B95" w:rsidRDefault="00F63B95" w:rsidP="00E457CD">
            <w:pPr>
              <w:suppressAutoHyphens w:val="0"/>
              <w:spacing w:before="40" w:after="120" w:line="220" w:lineRule="exact"/>
            </w:pPr>
            <w:r>
              <w:t>In-forum discussion on the meeting of the ad hoc technical expert group, as appropriate</w:t>
            </w:r>
          </w:p>
        </w:tc>
        <w:tc>
          <w:tcPr>
            <w:tcW w:w="3582" w:type="dxa"/>
            <w:gridSpan w:val="2"/>
            <w:tcBorders>
              <w:top w:val="nil"/>
              <w:left w:val="nil"/>
              <w:bottom w:val="nil"/>
              <w:right w:val="nil"/>
            </w:tcBorders>
            <w:hideMark/>
          </w:tcPr>
          <w:p w14:paraId="51187CED" w14:textId="77777777" w:rsidR="00F63B95" w:rsidRDefault="00F63B95" w:rsidP="00E457CD">
            <w:pPr>
              <w:suppressAutoHyphens w:val="0"/>
              <w:spacing w:before="40" w:after="120" w:line="220" w:lineRule="exact"/>
            </w:pPr>
            <w:r>
              <w:t>Not applicable</w:t>
            </w:r>
          </w:p>
        </w:tc>
      </w:tr>
      <w:tr w:rsidR="00F63B95" w14:paraId="0EB417E9" w14:textId="77777777" w:rsidTr="00E457CD">
        <w:trPr>
          <w:trHeight w:val="20"/>
        </w:trPr>
        <w:tc>
          <w:tcPr>
            <w:tcW w:w="3788" w:type="dxa"/>
            <w:tcBorders>
              <w:top w:val="nil"/>
              <w:left w:val="nil"/>
              <w:bottom w:val="single" w:sz="12" w:space="0" w:color="auto"/>
              <w:right w:val="nil"/>
            </w:tcBorders>
            <w:hideMark/>
          </w:tcPr>
          <w:p w14:paraId="6DEB6722" w14:textId="77777777" w:rsidR="00F63B95" w:rsidRDefault="00F63B95" w:rsidP="00E457CD">
            <w:pPr>
              <w:suppressAutoHyphens w:val="0"/>
              <w:spacing w:before="40" w:after="120" w:line="220" w:lineRule="exact"/>
            </w:pPr>
            <w:r>
              <w:t>Parties’ discussion of recommendation to COP 23 (November 2017)</w:t>
            </w:r>
          </w:p>
        </w:tc>
        <w:tc>
          <w:tcPr>
            <w:tcW w:w="3582" w:type="dxa"/>
            <w:gridSpan w:val="2"/>
            <w:tcBorders>
              <w:top w:val="nil"/>
              <w:left w:val="nil"/>
              <w:bottom w:val="single" w:sz="12" w:space="0" w:color="auto"/>
              <w:right w:val="nil"/>
            </w:tcBorders>
            <w:hideMark/>
          </w:tcPr>
          <w:p w14:paraId="7AE06C9F" w14:textId="77777777" w:rsidR="00F63B95" w:rsidRPr="00DD6EC5" w:rsidRDefault="00F63B95" w:rsidP="00E457CD">
            <w:pPr>
              <w:suppressAutoHyphens w:val="0"/>
              <w:spacing w:before="40" w:after="120" w:line="220" w:lineRule="exact"/>
            </w:pPr>
            <w:r w:rsidRPr="00DD6EC5">
              <w:t>Possible draft recommendation to be forwarded for consideration at COP 23</w:t>
            </w:r>
          </w:p>
        </w:tc>
      </w:tr>
    </w:tbl>
    <w:p w14:paraId="2E05FAC5" w14:textId="77777777" w:rsidR="00F63B95" w:rsidRDefault="00F63B95" w:rsidP="00F63B95"/>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25"/>
        <w:gridCol w:w="6"/>
        <w:gridCol w:w="3539"/>
      </w:tblGrid>
      <w:tr w:rsidR="00F63B95" w14:paraId="549F22CF" w14:textId="77777777" w:rsidTr="00E457CD">
        <w:trPr>
          <w:trHeight w:val="20"/>
          <w:tblHeader/>
        </w:trPr>
        <w:tc>
          <w:tcPr>
            <w:tcW w:w="7370" w:type="dxa"/>
            <w:gridSpan w:val="3"/>
            <w:tcBorders>
              <w:top w:val="single" w:sz="4" w:space="0" w:color="auto"/>
              <w:left w:val="nil"/>
              <w:bottom w:val="single" w:sz="4" w:space="0" w:color="auto"/>
              <w:right w:val="nil"/>
            </w:tcBorders>
            <w:vAlign w:val="bottom"/>
            <w:hideMark/>
          </w:tcPr>
          <w:p w14:paraId="36722917" w14:textId="77777777" w:rsidR="00F63B95" w:rsidRDefault="00F63B95" w:rsidP="00E457CD">
            <w:pPr>
              <w:suppressAutoHyphens w:val="0"/>
              <w:spacing w:before="80" w:after="80" w:line="200" w:lineRule="exact"/>
              <w:rPr>
                <w:i/>
                <w:sz w:val="16"/>
              </w:rPr>
            </w:pPr>
            <w:r>
              <w:rPr>
                <w:i/>
                <w:sz w:val="16"/>
              </w:rPr>
              <w:t>Before/during SBI 47 and SBSTA 47 (November 2017)</w:t>
            </w:r>
          </w:p>
        </w:tc>
      </w:tr>
      <w:tr w:rsidR="00F63B95" w14:paraId="46B21AB8" w14:textId="77777777" w:rsidTr="00E457CD">
        <w:trPr>
          <w:trHeight w:val="20"/>
          <w:tblHeader/>
        </w:trPr>
        <w:tc>
          <w:tcPr>
            <w:tcW w:w="3831" w:type="dxa"/>
            <w:gridSpan w:val="2"/>
            <w:tcBorders>
              <w:top w:val="single" w:sz="4" w:space="0" w:color="auto"/>
              <w:left w:val="nil"/>
              <w:bottom w:val="single" w:sz="12" w:space="0" w:color="auto"/>
              <w:right w:val="nil"/>
            </w:tcBorders>
            <w:hideMark/>
          </w:tcPr>
          <w:p w14:paraId="780735AA" w14:textId="77777777" w:rsidR="00F63B95" w:rsidRDefault="00F63B95" w:rsidP="00E457CD">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47A2AC20" w14:textId="77777777" w:rsidR="00F63B95" w:rsidRDefault="00F63B95" w:rsidP="00E457CD">
            <w:pPr>
              <w:suppressAutoHyphens w:val="0"/>
              <w:spacing w:before="80" w:after="80" w:line="200" w:lineRule="exact"/>
              <w:rPr>
                <w:i/>
                <w:sz w:val="16"/>
              </w:rPr>
            </w:pPr>
            <w:r>
              <w:rPr>
                <w:i/>
                <w:sz w:val="16"/>
              </w:rPr>
              <w:t>Estimated timeline/deliverable</w:t>
            </w:r>
          </w:p>
        </w:tc>
      </w:tr>
      <w:tr w:rsidR="00F63B95" w14:paraId="3FF06EF7" w14:textId="77777777" w:rsidTr="00E457CD">
        <w:trPr>
          <w:trHeight w:val="20"/>
        </w:trPr>
        <w:tc>
          <w:tcPr>
            <w:tcW w:w="3825" w:type="dxa"/>
            <w:tcBorders>
              <w:top w:val="nil"/>
              <w:left w:val="nil"/>
              <w:bottom w:val="single" w:sz="12" w:space="0" w:color="auto"/>
              <w:right w:val="nil"/>
            </w:tcBorders>
            <w:hideMark/>
          </w:tcPr>
          <w:p w14:paraId="39B7EF8B" w14:textId="77777777" w:rsidR="00F63B95" w:rsidRDefault="00F63B95" w:rsidP="00E457CD">
            <w:pPr>
              <w:suppressAutoHyphens w:val="0"/>
              <w:spacing w:before="40" w:after="120" w:line="220" w:lineRule="exact"/>
            </w:pPr>
            <w:r>
              <w:t>In-forum discussion on possible needs for modelling tools, including capacity-building opportunities, related to the work programme on the improved forum on the impact of the implementation of response measures</w:t>
            </w:r>
          </w:p>
          <w:p w14:paraId="606D7425" w14:textId="77777777" w:rsidR="00F63B95" w:rsidRDefault="00F63B95" w:rsidP="00E457CD">
            <w:pPr>
              <w:suppressAutoHyphens w:val="0"/>
              <w:spacing w:before="40" w:after="120" w:line="220" w:lineRule="exact"/>
            </w:pPr>
            <w:r>
              <w:t>In-forum discussion on the areas of the work programme</w:t>
            </w:r>
          </w:p>
        </w:tc>
        <w:tc>
          <w:tcPr>
            <w:tcW w:w="3545" w:type="dxa"/>
            <w:gridSpan w:val="2"/>
            <w:tcBorders>
              <w:top w:val="nil"/>
              <w:left w:val="nil"/>
              <w:bottom w:val="single" w:sz="12" w:space="0" w:color="auto"/>
              <w:right w:val="nil"/>
            </w:tcBorders>
          </w:tcPr>
          <w:p w14:paraId="620DA8AC" w14:textId="77777777" w:rsidR="00F63B95" w:rsidRDefault="00F63B95" w:rsidP="00E457CD">
            <w:pPr>
              <w:suppressAutoHyphens w:val="0"/>
              <w:spacing w:before="40" w:after="120" w:line="220" w:lineRule="exact"/>
            </w:pPr>
            <w:r>
              <w:t>During SBI 47 and SBSTA 47</w:t>
            </w:r>
          </w:p>
          <w:p w14:paraId="410CCAA4" w14:textId="77777777" w:rsidR="00F63B95" w:rsidRDefault="00F63B95" w:rsidP="00E457CD">
            <w:pPr>
              <w:suppressAutoHyphens w:val="0"/>
              <w:spacing w:before="40" w:after="120" w:line="220" w:lineRule="exact"/>
            </w:pPr>
          </w:p>
          <w:p w14:paraId="22C6CE98" w14:textId="77777777" w:rsidR="00F63B95" w:rsidRDefault="00F63B95" w:rsidP="00E457CD">
            <w:pPr>
              <w:suppressAutoHyphens w:val="0"/>
              <w:spacing w:before="40" w:after="120" w:line="220" w:lineRule="exact"/>
            </w:pPr>
            <w:r>
              <w:t>Conclusions of the forum</w:t>
            </w:r>
          </w:p>
        </w:tc>
      </w:tr>
    </w:tbl>
    <w:p w14:paraId="05DDDA18" w14:textId="77777777" w:rsidR="00F63B95" w:rsidRDefault="00F63B95" w:rsidP="00F63B95"/>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31"/>
        <w:gridCol w:w="3539"/>
      </w:tblGrid>
      <w:tr w:rsidR="00F63B95" w14:paraId="640E70FE" w14:textId="77777777" w:rsidTr="00E457CD">
        <w:trPr>
          <w:trHeight w:val="20"/>
          <w:tblHeader/>
        </w:trPr>
        <w:tc>
          <w:tcPr>
            <w:tcW w:w="7370" w:type="dxa"/>
            <w:gridSpan w:val="2"/>
            <w:tcBorders>
              <w:top w:val="single" w:sz="4" w:space="0" w:color="auto"/>
              <w:left w:val="nil"/>
              <w:bottom w:val="single" w:sz="4" w:space="0" w:color="auto"/>
              <w:right w:val="nil"/>
            </w:tcBorders>
            <w:vAlign w:val="bottom"/>
            <w:hideMark/>
          </w:tcPr>
          <w:p w14:paraId="2B046E76" w14:textId="77777777" w:rsidR="00F63B95" w:rsidRDefault="00F63B95" w:rsidP="00E457CD">
            <w:pPr>
              <w:suppressAutoHyphens w:val="0"/>
              <w:spacing w:before="80" w:after="80" w:line="200" w:lineRule="exact"/>
              <w:rPr>
                <w:i/>
                <w:sz w:val="16"/>
              </w:rPr>
            </w:pPr>
            <w:r>
              <w:rPr>
                <w:i/>
                <w:sz w:val="16"/>
              </w:rPr>
              <w:t>Before/during SBI 48 and SBSTA 48 (April–May 2018)</w:t>
            </w:r>
          </w:p>
        </w:tc>
      </w:tr>
      <w:tr w:rsidR="00F63B95" w14:paraId="2D14C808" w14:textId="77777777" w:rsidTr="00E457CD">
        <w:trPr>
          <w:trHeight w:val="20"/>
          <w:tblHeader/>
        </w:trPr>
        <w:tc>
          <w:tcPr>
            <w:tcW w:w="3831" w:type="dxa"/>
            <w:tcBorders>
              <w:top w:val="single" w:sz="4" w:space="0" w:color="auto"/>
              <w:left w:val="nil"/>
              <w:bottom w:val="single" w:sz="12" w:space="0" w:color="auto"/>
              <w:right w:val="nil"/>
            </w:tcBorders>
            <w:hideMark/>
          </w:tcPr>
          <w:p w14:paraId="1911AF18" w14:textId="77777777" w:rsidR="00F63B95" w:rsidRDefault="00F63B95" w:rsidP="00E457CD">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5676F7FF" w14:textId="77777777" w:rsidR="00F63B95" w:rsidRDefault="00F63B95" w:rsidP="00E457CD">
            <w:pPr>
              <w:suppressAutoHyphens w:val="0"/>
              <w:spacing w:before="80" w:after="80" w:line="200" w:lineRule="exact"/>
              <w:rPr>
                <w:i/>
                <w:sz w:val="16"/>
              </w:rPr>
            </w:pPr>
            <w:r>
              <w:rPr>
                <w:i/>
                <w:sz w:val="16"/>
              </w:rPr>
              <w:t>Estimated timeline/deliverable</w:t>
            </w:r>
          </w:p>
        </w:tc>
      </w:tr>
      <w:tr w:rsidR="00F63B95" w14:paraId="4C641BA8" w14:textId="77777777" w:rsidTr="00E457CD">
        <w:trPr>
          <w:trHeight w:val="20"/>
        </w:trPr>
        <w:tc>
          <w:tcPr>
            <w:tcW w:w="3831" w:type="dxa"/>
            <w:tcBorders>
              <w:top w:val="nil"/>
              <w:left w:val="nil"/>
              <w:bottom w:val="single" w:sz="12" w:space="0" w:color="auto"/>
              <w:right w:val="nil"/>
            </w:tcBorders>
            <w:hideMark/>
          </w:tcPr>
          <w:p w14:paraId="114A9EF2" w14:textId="77777777" w:rsidR="00F63B95" w:rsidRDefault="00F63B95" w:rsidP="00E457CD">
            <w:pPr>
              <w:suppressAutoHyphens w:val="0"/>
              <w:spacing w:before="40" w:after="120" w:line="220" w:lineRule="exact"/>
            </w:pPr>
            <w:r>
              <w:t>In-forum training workshop on use of economic modelling tools related to the work programme on the improved forum on the impact of the implementation of response measures</w:t>
            </w:r>
          </w:p>
        </w:tc>
        <w:tc>
          <w:tcPr>
            <w:tcW w:w="3539" w:type="dxa"/>
            <w:tcBorders>
              <w:top w:val="nil"/>
              <w:left w:val="nil"/>
              <w:bottom w:val="single" w:sz="12" w:space="0" w:color="auto"/>
              <w:right w:val="nil"/>
            </w:tcBorders>
            <w:hideMark/>
          </w:tcPr>
          <w:p w14:paraId="76C05AB0" w14:textId="77777777" w:rsidR="00F63B95" w:rsidRDefault="00F63B95" w:rsidP="00E457CD">
            <w:pPr>
              <w:suppressAutoHyphens w:val="0"/>
              <w:spacing w:before="40" w:after="120" w:line="220" w:lineRule="exact"/>
            </w:pPr>
            <w:r>
              <w:t>Report on the in-forum training workshop</w:t>
            </w:r>
          </w:p>
        </w:tc>
      </w:tr>
    </w:tbl>
    <w:p w14:paraId="3785D054" w14:textId="77777777" w:rsidR="00F63B95" w:rsidRDefault="00F63B95" w:rsidP="00F63B95"/>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31"/>
        <w:gridCol w:w="3539"/>
      </w:tblGrid>
      <w:tr w:rsidR="00F63B95" w14:paraId="48D5800E" w14:textId="77777777" w:rsidTr="00E457CD">
        <w:trPr>
          <w:trHeight w:val="20"/>
          <w:tblHeader/>
        </w:trPr>
        <w:tc>
          <w:tcPr>
            <w:tcW w:w="7370" w:type="dxa"/>
            <w:gridSpan w:val="2"/>
            <w:tcBorders>
              <w:top w:val="single" w:sz="4" w:space="0" w:color="auto"/>
              <w:left w:val="nil"/>
              <w:bottom w:val="single" w:sz="4" w:space="0" w:color="auto"/>
              <w:right w:val="nil"/>
            </w:tcBorders>
            <w:vAlign w:val="bottom"/>
            <w:hideMark/>
          </w:tcPr>
          <w:p w14:paraId="2395E741" w14:textId="77777777" w:rsidR="00F63B95" w:rsidRDefault="00F63B95" w:rsidP="00E457CD">
            <w:pPr>
              <w:suppressAutoHyphens w:val="0"/>
              <w:spacing w:before="80" w:after="80" w:line="200" w:lineRule="exact"/>
              <w:rPr>
                <w:i/>
                <w:sz w:val="16"/>
              </w:rPr>
            </w:pPr>
            <w:r>
              <w:rPr>
                <w:i/>
                <w:sz w:val="16"/>
              </w:rPr>
              <w:t>Before/during SBI 49 and SBSTA 49 (November 2018)</w:t>
            </w:r>
          </w:p>
        </w:tc>
      </w:tr>
      <w:tr w:rsidR="00F63B95" w14:paraId="1C556161" w14:textId="77777777" w:rsidTr="00E457CD">
        <w:trPr>
          <w:trHeight w:val="20"/>
          <w:tblHeader/>
        </w:trPr>
        <w:tc>
          <w:tcPr>
            <w:tcW w:w="3831" w:type="dxa"/>
            <w:tcBorders>
              <w:top w:val="single" w:sz="4" w:space="0" w:color="auto"/>
              <w:left w:val="nil"/>
              <w:bottom w:val="single" w:sz="12" w:space="0" w:color="auto"/>
              <w:right w:val="nil"/>
            </w:tcBorders>
            <w:hideMark/>
          </w:tcPr>
          <w:p w14:paraId="419E71F3" w14:textId="77777777" w:rsidR="00F63B95" w:rsidRDefault="00F63B95" w:rsidP="00E457CD">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76866173" w14:textId="77777777" w:rsidR="00F63B95" w:rsidRDefault="00F63B95" w:rsidP="00E457CD">
            <w:pPr>
              <w:suppressAutoHyphens w:val="0"/>
              <w:spacing w:before="80" w:after="80" w:line="200" w:lineRule="exact"/>
              <w:rPr>
                <w:i/>
                <w:sz w:val="16"/>
              </w:rPr>
            </w:pPr>
            <w:r>
              <w:rPr>
                <w:i/>
                <w:sz w:val="16"/>
              </w:rPr>
              <w:t>Estimated timeline/deliverable</w:t>
            </w:r>
          </w:p>
        </w:tc>
      </w:tr>
      <w:tr w:rsidR="00F63B95" w14:paraId="165700A2" w14:textId="77777777" w:rsidTr="00E457CD">
        <w:trPr>
          <w:trHeight w:val="20"/>
        </w:trPr>
        <w:tc>
          <w:tcPr>
            <w:tcW w:w="3831" w:type="dxa"/>
            <w:tcBorders>
              <w:top w:val="nil"/>
              <w:left w:val="nil"/>
              <w:bottom w:val="single" w:sz="12" w:space="0" w:color="auto"/>
              <w:right w:val="nil"/>
            </w:tcBorders>
            <w:hideMark/>
          </w:tcPr>
          <w:p w14:paraId="12858F99" w14:textId="77777777" w:rsidR="00F63B95" w:rsidRDefault="00F63B95" w:rsidP="00E457CD">
            <w:pPr>
              <w:suppressAutoHyphens w:val="0"/>
              <w:spacing w:before="40" w:after="120" w:line="220" w:lineRule="exact"/>
            </w:pPr>
            <w:r>
              <w:t>Review of the work of the improved forum</w:t>
            </w:r>
          </w:p>
        </w:tc>
        <w:tc>
          <w:tcPr>
            <w:tcW w:w="3539" w:type="dxa"/>
            <w:tcBorders>
              <w:top w:val="nil"/>
              <w:left w:val="nil"/>
              <w:bottom w:val="single" w:sz="12" w:space="0" w:color="auto"/>
              <w:right w:val="nil"/>
            </w:tcBorders>
            <w:hideMark/>
          </w:tcPr>
          <w:p w14:paraId="28E28D64" w14:textId="77777777" w:rsidR="00F63B95" w:rsidRDefault="00F63B95" w:rsidP="00E457CD">
            <w:pPr>
              <w:suppressAutoHyphens w:val="0"/>
              <w:spacing w:before="40" w:after="120" w:line="220" w:lineRule="exact"/>
            </w:pPr>
            <w:r>
              <w:t>Draft conclusions/decisions</w:t>
            </w:r>
          </w:p>
        </w:tc>
      </w:tr>
    </w:tbl>
    <w:p w14:paraId="22C00F62" w14:textId="73CEBDFB" w:rsidR="00F63B95" w:rsidRDefault="00F63B95" w:rsidP="00536C6B">
      <w:pPr>
        <w:pStyle w:val="Heading1"/>
        <w:spacing w:before="120"/>
        <w:ind w:firstLine="170"/>
        <w:rPr>
          <w:sz w:val="18"/>
          <w:szCs w:val="18"/>
        </w:rPr>
      </w:pPr>
      <w:r>
        <w:rPr>
          <w:i/>
          <w:sz w:val="18"/>
          <w:szCs w:val="18"/>
        </w:rPr>
        <w:t>Abbreviations</w:t>
      </w:r>
      <w:r>
        <w:rPr>
          <w:sz w:val="18"/>
          <w:szCs w:val="18"/>
        </w:rPr>
        <w:t xml:space="preserve">: COP = Conference of the Parties, SBI </w:t>
      </w:r>
      <w:r w:rsidR="008C6DAB">
        <w:rPr>
          <w:sz w:val="18"/>
          <w:szCs w:val="18"/>
        </w:rPr>
        <w:t>=</w:t>
      </w:r>
      <w:r>
        <w:rPr>
          <w:sz w:val="18"/>
          <w:szCs w:val="18"/>
        </w:rPr>
        <w:t xml:space="preserve"> Subsidiary Body for Implementation,</w:t>
      </w:r>
      <w:r w:rsidR="008C6DAB">
        <w:rPr>
          <w:sz w:val="18"/>
          <w:szCs w:val="18"/>
        </w:rPr>
        <w:br/>
      </w:r>
      <w:r>
        <w:rPr>
          <w:sz w:val="18"/>
          <w:szCs w:val="18"/>
        </w:rPr>
        <w:t xml:space="preserve">SBSTA = Subsidiary Body for Scientific and Technological Advice. </w:t>
      </w:r>
    </w:p>
    <w:p w14:paraId="3D1AF5D9" w14:textId="77777777" w:rsidR="00F63B95" w:rsidRDefault="00F63B95" w:rsidP="00F63B95">
      <w:pPr>
        <w:suppressAutoHyphens w:val="0"/>
        <w:spacing w:line="256" w:lineRule="auto"/>
        <w:sectPr w:rsidR="00F63B95">
          <w:footnotePr>
            <w:numRestart w:val="eachSect"/>
          </w:footnotePr>
          <w:pgSz w:w="11906" w:h="16838"/>
          <w:pgMar w:top="1701" w:right="1134" w:bottom="2268" w:left="1134" w:header="1134" w:footer="1701" w:gutter="0"/>
          <w:cols w:space="720"/>
        </w:sectPr>
      </w:pPr>
    </w:p>
    <w:p w14:paraId="4E56581A" w14:textId="77777777" w:rsidR="00F63B95" w:rsidRDefault="00F63B95" w:rsidP="00F63B95">
      <w:pPr>
        <w:pStyle w:val="HChG"/>
        <w:spacing w:before="0"/>
      </w:pPr>
      <w:r>
        <w:lastRenderedPageBreak/>
        <w:t>Annex II</w:t>
      </w:r>
    </w:p>
    <w:p w14:paraId="617EC837" w14:textId="77777777" w:rsidR="00F63B95" w:rsidRDefault="00F63B95" w:rsidP="00F63B95">
      <w:pPr>
        <w:pStyle w:val="H1G"/>
        <w:ind w:firstLine="0"/>
      </w:pPr>
      <w:r>
        <w:t>Terms of reference of the ad hoc technical expert groups on the impact of the implementation of response measures</w:t>
      </w:r>
    </w:p>
    <w:p w14:paraId="57D3DFF6" w14:textId="049689DA" w:rsidR="00F63B95" w:rsidRPr="009274D5" w:rsidRDefault="00F83E99" w:rsidP="00F83E99">
      <w:pPr>
        <w:pStyle w:val="RegSingleTxtG"/>
        <w:numPr>
          <w:ilvl w:val="0"/>
          <w:numId w:val="0"/>
        </w:numPr>
        <w:tabs>
          <w:tab w:val="left" w:pos="567"/>
        </w:tabs>
        <w:ind w:left="1134"/>
      </w:pPr>
      <w:r w:rsidRPr="009274D5">
        <w:t>1.</w:t>
      </w:r>
      <w:r w:rsidRPr="009274D5">
        <w:tab/>
      </w:r>
      <w:r w:rsidR="00F63B95" w:rsidRPr="009274D5">
        <w:t>Pursuant to decision 11/CP.21, paragraph 4, the subsidiary bodies may constitute ad hoc technical expert groups (TEGs) to elaborate on the technical work under the improved forum on the impact of the implementation of response measures. A TEG is to make findings that will assist the improved forum in making recommendations.</w:t>
      </w:r>
    </w:p>
    <w:p w14:paraId="7643D57A" w14:textId="25ECB2DD" w:rsidR="00F63B95" w:rsidRPr="009274D5" w:rsidRDefault="00F83E99" w:rsidP="00F83E99">
      <w:pPr>
        <w:pStyle w:val="RegSingleTxtG"/>
        <w:numPr>
          <w:ilvl w:val="0"/>
          <w:numId w:val="0"/>
        </w:numPr>
        <w:tabs>
          <w:tab w:val="left" w:pos="567"/>
        </w:tabs>
        <w:ind w:left="1134"/>
      </w:pPr>
      <w:r w:rsidRPr="009274D5">
        <w:t>2.</w:t>
      </w:r>
      <w:r w:rsidRPr="009274D5">
        <w:tab/>
      </w:r>
      <w:r w:rsidR="00F63B95" w:rsidRPr="009274D5">
        <w:t>A TEG shall have regional balance in line with decision 11/CP.21, paragraph 4, and will take into account the goal of gender balance in line with decision 23/CP.18.</w:t>
      </w:r>
    </w:p>
    <w:p w14:paraId="2361A5DA" w14:textId="4EA18809" w:rsidR="00F63B95" w:rsidRDefault="00F83E99" w:rsidP="00F83E99">
      <w:pPr>
        <w:pStyle w:val="RegSingleTxtG"/>
        <w:numPr>
          <w:ilvl w:val="0"/>
          <w:numId w:val="0"/>
        </w:numPr>
        <w:tabs>
          <w:tab w:val="left" w:pos="567"/>
        </w:tabs>
        <w:ind w:left="1134"/>
      </w:pPr>
      <w:r>
        <w:t>3.</w:t>
      </w:r>
      <w:r>
        <w:tab/>
      </w:r>
      <w:r w:rsidR="00F63B95">
        <w:t>A TEG shall be composed of:</w:t>
      </w:r>
    </w:p>
    <w:p w14:paraId="742471B0" w14:textId="0B68CD88" w:rsidR="00F63B95" w:rsidRDefault="00F83E99" w:rsidP="00F83E99">
      <w:pPr>
        <w:pStyle w:val="RegSingleTxtG"/>
        <w:numPr>
          <w:ilvl w:val="0"/>
          <w:numId w:val="0"/>
        </w:numPr>
        <w:tabs>
          <w:tab w:val="left" w:pos="2269"/>
        </w:tabs>
        <w:ind w:left="1135" w:firstLine="567"/>
        <w:rPr>
          <w:iCs/>
        </w:rPr>
      </w:pPr>
      <w:r>
        <w:rPr>
          <w:iCs/>
        </w:rPr>
        <w:t>(a)</w:t>
      </w:r>
      <w:r>
        <w:rPr>
          <w:iCs/>
        </w:rPr>
        <w:tab/>
      </w:r>
      <w:r w:rsidR="00F63B95">
        <w:rPr>
          <w:iCs/>
        </w:rPr>
        <w:t>Twelve experts with two members from each of the five regional groups of the United Nations, and one member each from the small island developing States and the least developed countries;</w:t>
      </w:r>
    </w:p>
    <w:p w14:paraId="352A5071" w14:textId="69235460" w:rsidR="00F63B95" w:rsidRDefault="00F83E99" w:rsidP="00F83E99">
      <w:pPr>
        <w:pStyle w:val="RegSingleTxtG"/>
        <w:numPr>
          <w:ilvl w:val="0"/>
          <w:numId w:val="0"/>
        </w:numPr>
        <w:tabs>
          <w:tab w:val="left" w:pos="2269"/>
        </w:tabs>
        <w:ind w:left="1135" w:firstLine="567"/>
        <w:rPr>
          <w:iCs/>
        </w:rPr>
      </w:pPr>
      <w:r>
        <w:rPr>
          <w:iCs/>
        </w:rPr>
        <w:t>(b)</w:t>
      </w:r>
      <w:r>
        <w:rPr>
          <w:iCs/>
        </w:rPr>
        <w:tab/>
      </w:r>
      <w:r w:rsidR="00F63B95">
        <w:rPr>
          <w:iCs/>
        </w:rPr>
        <w:t>Two experts from intergovernmental organizations with experience in the relevant technical area.</w:t>
      </w:r>
    </w:p>
    <w:p w14:paraId="335CE148" w14:textId="36940F7F" w:rsidR="00F63B95" w:rsidRDefault="00F83E99" w:rsidP="00F83E99">
      <w:pPr>
        <w:pStyle w:val="RegSingleTxtG"/>
        <w:numPr>
          <w:ilvl w:val="0"/>
          <w:numId w:val="0"/>
        </w:numPr>
        <w:tabs>
          <w:tab w:val="left" w:pos="567"/>
        </w:tabs>
        <w:ind w:left="1134"/>
      </w:pPr>
      <w:r>
        <w:t>4.</w:t>
      </w:r>
      <w:r>
        <w:tab/>
      </w:r>
      <w:r w:rsidR="00F63B95">
        <w:t>The participating experts shall serve in their independent expert capacity.</w:t>
      </w:r>
    </w:p>
    <w:p w14:paraId="0D3B6605" w14:textId="6EC27F21" w:rsidR="00F63B95" w:rsidRDefault="00F83E99" w:rsidP="00F83E99">
      <w:pPr>
        <w:pStyle w:val="RegSingleTxtG"/>
        <w:numPr>
          <w:ilvl w:val="0"/>
          <w:numId w:val="0"/>
        </w:numPr>
        <w:tabs>
          <w:tab w:val="left" w:pos="567"/>
        </w:tabs>
        <w:ind w:left="1134"/>
      </w:pPr>
      <w:r>
        <w:t>5.</w:t>
      </w:r>
      <w:r>
        <w:tab/>
      </w:r>
      <w:r w:rsidR="00F63B95">
        <w:t>An ad hoc TEG meets in session in conjunction with the meetings of the forum, unless otherwise decided by Parties.</w:t>
      </w:r>
    </w:p>
    <w:p w14:paraId="3AC57FA5" w14:textId="0CDBFE96" w:rsidR="00F63B95" w:rsidRDefault="00F83E99" w:rsidP="00F83E99">
      <w:pPr>
        <w:pStyle w:val="RegSingleTxtG"/>
        <w:numPr>
          <w:ilvl w:val="0"/>
          <w:numId w:val="0"/>
        </w:numPr>
        <w:tabs>
          <w:tab w:val="left" w:pos="567"/>
        </w:tabs>
        <w:ind w:left="1134"/>
      </w:pPr>
      <w:r>
        <w:t>6.</w:t>
      </w:r>
      <w:r>
        <w:tab/>
      </w:r>
      <w:r w:rsidR="00F63B95">
        <w:t>Technical experts will need to have relevant qualifications and expertise in scientific, technical and socioeconomic fields related to the areas of the work programme on the improved forum on the impact of the implementation of response measures. Parties will determine what expertise is required for a TEG.</w:t>
      </w:r>
    </w:p>
    <w:p w14:paraId="45BEAEC3" w14:textId="133900AF" w:rsidR="00F63B95" w:rsidRDefault="00F83E99" w:rsidP="00F83E99">
      <w:pPr>
        <w:pStyle w:val="RegSingleTxtG"/>
        <w:numPr>
          <w:ilvl w:val="0"/>
          <w:numId w:val="0"/>
        </w:numPr>
        <w:tabs>
          <w:tab w:val="left" w:pos="567"/>
        </w:tabs>
        <w:ind w:left="1134"/>
      </w:pPr>
      <w:r>
        <w:t>7.</w:t>
      </w:r>
      <w:r>
        <w:tab/>
      </w:r>
      <w:r w:rsidR="00F63B95">
        <w:t>The members of a TEG shall be nominated and approved by Parties.</w:t>
      </w:r>
    </w:p>
    <w:p w14:paraId="3F43562B" w14:textId="14F196F5" w:rsidR="00F63B95" w:rsidRDefault="00F83E99" w:rsidP="00F83E99">
      <w:pPr>
        <w:pStyle w:val="RegSingleTxtG"/>
        <w:numPr>
          <w:ilvl w:val="0"/>
          <w:numId w:val="0"/>
        </w:numPr>
        <w:tabs>
          <w:tab w:val="left" w:pos="567"/>
        </w:tabs>
        <w:ind w:left="1134"/>
      </w:pPr>
      <w:r>
        <w:t>8.</w:t>
      </w:r>
      <w:r>
        <w:tab/>
      </w:r>
      <w:r w:rsidR="00F63B95">
        <w:t>The co-chairs of a TEG shall be nominated and approved by Parties with one co-chair nominated by developing country Parties and one co-chair nominated by developed country Parties.</w:t>
      </w:r>
    </w:p>
    <w:p w14:paraId="154D759B" w14:textId="136E9909" w:rsidR="00F63B95" w:rsidRDefault="00F83E99" w:rsidP="00F83E99">
      <w:pPr>
        <w:pStyle w:val="RegSingleTxtG"/>
        <w:numPr>
          <w:ilvl w:val="0"/>
          <w:numId w:val="0"/>
        </w:numPr>
        <w:tabs>
          <w:tab w:val="left" w:pos="567"/>
        </w:tabs>
        <w:ind w:left="1134"/>
      </w:pPr>
      <w:r>
        <w:t>9.</w:t>
      </w:r>
      <w:r>
        <w:tab/>
      </w:r>
      <w:r w:rsidR="00F63B95">
        <w:t>Meetings are open to attendance by accredited observer organizations and observers from Parties.</w:t>
      </w:r>
    </w:p>
    <w:p w14:paraId="57A587CF" w14:textId="6F9A745A" w:rsidR="00F63B95" w:rsidRDefault="00F83E99" w:rsidP="00F83E99">
      <w:pPr>
        <w:pStyle w:val="RegSingleTxtG"/>
        <w:numPr>
          <w:ilvl w:val="0"/>
          <w:numId w:val="0"/>
        </w:numPr>
        <w:tabs>
          <w:tab w:val="left" w:pos="567"/>
        </w:tabs>
        <w:ind w:left="1134"/>
      </w:pPr>
      <w:r>
        <w:t>10.</w:t>
      </w:r>
      <w:r>
        <w:tab/>
      </w:r>
      <w:r w:rsidR="00F63B95">
        <w:t>The secretariat shall support the activities of a TEG, including facilitating the organization of meetings and preparing background materials and workshop/meeting reports, as requested by the TEG, and as appropriate.</w:t>
      </w:r>
    </w:p>
    <w:p w14:paraId="0457FB80" w14:textId="77777777" w:rsidR="00F63B95" w:rsidRDefault="00F63B95" w:rsidP="00F63B95">
      <w:pPr>
        <w:spacing w:before="240"/>
        <w:ind w:left="1134" w:right="1134"/>
        <w:jc w:val="center"/>
        <w:rPr>
          <w:u w:val="single"/>
        </w:rPr>
      </w:pPr>
      <w:r>
        <w:rPr>
          <w:sz w:val="24"/>
          <w:u w:val="single"/>
        </w:rPr>
        <w:tab/>
      </w:r>
      <w:r>
        <w:rPr>
          <w:sz w:val="24"/>
          <w:u w:val="single"/>
        </w:rPr>
        <w:tab/>
      </w:r>
      <w:r>
        <w:rPr>
          <w:sz w:val="24"/>
          <w:u w:val="single"/>
        </w:rPr>
        <w:tab/>
      </w:r>
    </w:p>
    <w:p w14:paraId="3E58152C" w14:textId="77777777" w:rsidR="00F63B95" w:rsidRDefault="00F63B95" w:rsidP="00F63B95"/>
    <w:p w14:paraId="54311140" w14:textId="77777777" w:rsidR="00F63B95" w:rsidRPr="00811AEC" w:rsidRDefault="00F63B95" w:rsidP="00F63B95"/>
    <w:p w14:paraId="796F9D09" w14:textId="77777777" w:rsidR="00F63B95" w:rsidRPr="00C8510F" w:rsidRDefault="00F63B95" w:rsidP="00F63B95"/>
    <w:p w14:paraId="09785F0C" w14:textId="77777777" w:rsidR="00E75D67" w:rsidRPr="003E4382" w:rsidRDefault="00E75D67" w:rsidP="00F63B95">
      <w:pPr>
        <w:pStyle w:val="H1G"/>
        <w:ind w:left="0" w:firstLine="0"/>
      </w:pPr>
    </w:p>
    <w:sectPr w:rsidR="00E75D67" w:rsidRPr="003E4382" w:rsidSect="00E457CD">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C808C" w14:textId="77777777" w:rsidR="005457BD" w:rsidRDefault="005457BD">
      <w:r>
        <w:separator/>
      </w:r>
    </w:p>
  </w:endnote>
  <w:endnote w:type="continuationSeparator" w:id="0">
    <w:p w14:paraId="00F8E53A" w14:textId="77777777" w:rsidR="005457BD" w:rsidRDefault="005457BD">
      <w:r>
        <w:continuationSeparator/>
      </w:r>
    </w:p>
  </w:endnote>
  <w:endnote w:type="continuationNotice" w:id="1">
    <w:p w14:paraId="7FBD1C33" w14:textId="77777777" w:rsidR="005457BD" w:rsidRDefault="005457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971259"/>
      <w:docPartObj>
        <w:docPartGallery w:val="Page Numbers (Bottom of Page)"/>
        <w:docPartUnique/>
      </w:docPartObj>
    </w:sdtPr>
    <w:sdtEndPr>
      <w:rPr>
        <w:b/>
        <w:noProof/>
      </w:rPr>
    </w:sdtEndPr>
    <w:sdtContent>
      <w:p w14:paraId="7F95AB1D" w14:textId="6DF5AB50" w:rsidR="005457BD" w:rsidRPr="00630FF3" w:rsidRDefault="005457BD" w:rsidP="006D3A9F">
        <w:pPr>
          <w:pStyle w:val="Footer"/>
          <w:rPr>
            <w:b/>
          </w:rPr>
        </w:pPr>
        <w:r w:rsidRPr="00630FF3">
          <w:rPr>
            <w:b/>
          </w:rPr>
          <w:fldChar w:fldCharType="begin"/>
        </w:r>
        <w:r w:rsidRPr="00630FF3">
          <w:rPr>
            <w:b/>
          </w:rPr>
          <w:instrText xml:space="preserve"> PAGE   \* MERGEFORMAT </w:instrText>
        </w:r>
        <w:r w:rsidRPr="00630FF3">
          <w:rPr>
            <w:b/>
          </w:rPr>
          <w:fldChar w:fldCharType="separate"/>
        </w:r>
        <w:r w:rsidR="00F83E99">
          <w:rPr>
            <w:b/>
            <w:noProof/>
          </w:rPr>
          <w:t>2</w:t>
        </w:r>
        <w:r w:rsidRPr="00630FF3">
          <w:rPr>
            <w:b/>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671838"/>
      <w:docPartObj>
        <w:docPartGallery w:val="Page Numbers (Bottom of Page)"/>
        <w:docPartUnique/>
      </w:docPartObj>
    </w:sdtPr>
    <w:sdtEndPr>
      <w:rPr>
        <w:b/>
        <w:noProof/>
      </w:rPr>
    </w:sdtEndPr>
    <w:sdtContent>
      <w:p w14:paraId="44457F76" w14:textId="2E14DF49" w:rsidR="005457BD" w:rsidRPr="00630FF3" w:rsidRDefault="005457BD" w:rsidP="006D3A9F">
        <w:pPr>
          <w:pStyle w:val="Footer"/>
          <w:jc w:val="right"/>
          <w:rPr>
            <w:b/>
          </w:rPr>
        </w:pPr>
        <w:r w:rsidRPr="00630FF3">
          <w:rPr>
            <w:b/>
          </w:rPr>
          <w:fldChar w:fldCharType="begin"/>
        </w:r>
        <w:r w:rsidRPr="00630FF3">
          <w:rPr>
            <w:b/>
          </w:rPr>
          <w:instrText xml:space="preserve"> PAGE   \* MERGEFORMAT </w:instrText>
        </w:r>
        <w:r w:rsidRPr="00630FF3">
          <w:rPr>
            <w:b/>
          </w:rPr>
          <w:fldChar w:fldCharType="separate"/>
        </w:r>
        <w:r w:rsidR="00F83E99">
          <w:rPr>
            <w:b/>
            <w:noProof/>
          </w:rPr>
          <w:t>21</w:t>
        </w:r>
        <w:r w:rsidRPr="00630FF3">
          <w:rPr>
            <w:b/>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6898C" w14:textId="6BCFE6C7" w:rsidR="005457BD" w:rsidRPr="007D57D8" w:rsidRDefault="005457BD" w:rsidP="00902CB7">
    <w:pPr>
      <w:pStyle w:val="Footer"/>
      <w:jc w:val="right"/>
      <w:rPr>
        <w:b/>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A654" w14:textId="77777777" w:rsidR="005457BD" w:rsidRPr="00887A81" w:rsidRDefault="005457BD" w:rsidP="00E457CD">
    <w:pPr>
      <w:pStyle w:val="Footer"/>
      <w:tabs>
        <w:tab w:val="right" w:pos="9638"/>
      </w:tabs>
    </w:pPr>
    <w:r w:rsidRPr="00887A81">
      <w:rPr>
        <w:b/>
        <w:sz w:val="18"/>
      </w:rPr>
      <w:fldChar w:fldCharType="begin"/>
    </w:r>
    <w:r w:rsidRPr="00887A81">
      <w:rPr>
        <w:b/>
        <w:sz w:val="18"/>
      </w:rPr>
      <w:instrText xml:space="preserve"> PAGE  \* MERGEFORMAT </w:instrText>
    </w:r>
    <w:r w:rsidRPr="00887A81">
      <w:rPr>
        <w:b/>
        <w:sz w:val="18"/>
      </w:rPr>
      <w:fldChar w:fldCharType="separate"/>
    </w:r>
    <w:r>
      <w:rPr>
        <w:b/>
        <w:noProof/>
        <w:sz w:val="18"/>
      </w:rPr>
      <w:t>3</w:t>
    </w:r>
    <w:r w:rsidRPr="00887A81">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07B8" w14:textId="34324112" w:rsidR="005457BD" w:rsidRPr="00887A81" w:rsidRDefault="005457BD" w:rsidP="00E457CD">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F83E99">
      <w:rPr>
        <w:b/>
        <w:noProof/>
        <w:sz w:val="18"/>
      </w:rPr>
      <w:t>29</w:t>
    </w:r>
    <w:r w:rsidRPr="00887A81">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6E7F" w14:textId="77777777" w:rsidR="005457BD" w:rsidRPr="00887A81" w:rsidRDefault="005457BD" w:rsidP="00E457CD">
    <w:pPr>
      <w:pStyle w:val="Footer"/>
      <w:rPr>
        <w:sz w:val="20"/>
      </w:rPr>
    </w:pPr>
    <w:r>
      <w:rPr>
        <w:sz w:val="20"/>
      </w:rPr>
      <w:t>GE.16-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AE9A7" w14:textId="77777777" w:rsidR="005457BD" w:rsidRDefault="005457BD">
      <w:r>
        <w:separator/>
      </w:r>
    </w:p>
  </w:footnote>
  <w:footnote w:type="continuationSeparator" w:id="0">
    <w:p w14:paraId="4C82DE28" w14:textId="77777777" w:rsidR="005457BD" w:rsidRDefault="005457BD">
      <w:r>
        <w:continuationSeparator/>
      </w:r>
    </w:p>
  </w:footnote>
  <w:footnote w:type="continuationNotice" w:id="1">
    <w:p w14:paraId="10D4C6BD" w14:textId="77777777" w:rsidR="005457BD" w:rsidRDefault="005457BD">
      <w:pPr>
        <w:spacing w:line="240" w:lineRule="auto"/>
      </w:pPr>
    </w:p>
  </w:footnote>
  <w:footnote w:id="2">
    <w:p w14:paraId="33236E84" w14:textId="77777777" w:rsidR="005457BD" w:rsidRDefault="005457BD" w:rsidP="003E4382">
      <w:pPr>
        <w:pStyle w:val="FootnoteText"/>
        <w:rPr>
          <w:szCs w:val="16"/>
        </w:rPr>
      </w:pPr>
      <w:r>
        <w:rPr>
          <w:szCs w:val="16"/>
        </w:rPr>
        <w:tab/>
      </w:r>
      <w:r w:rsidRPr="00FB11AC">
        <w:rPr>
          <w:rStyle w:val="FootnoteReference"/>
          <w:szCs w:val="16"/>
        </w:rPr>
        <w:footnoteRef/>
      </w:r>
      <w:r w:rsidRPr="00FB11AC">
        <w:rPr>
          <w:szCs w:val="16"/>
        </w:rPr>
        <w:tab/>
        <w:t>The text of the statement is available on the submission portal at &lt;</w:t>
      </w:r>
      <w:r w:rsidRPr="00FB11AC">
        <w:rPr>
          <w:color w:val="000000" w:themeColor="text1"/>
          <w:szCs w:val="16"/>
        </w:rPr>
        <w:t>www.unfccc.int/5900</w:t>
      </w:r>
      <w:r w:rsidRPr="00FB11AC">
        <w:rPr>
          <w:szCs w:val="16"/>
        </w:rPr>
        <w:t>&gt; (click on “Submissions from Parties” under the SB</w:t>
      </w:r>
      <w:r>
        <w:rPr>
          <w:szCs w:val="16"/>
        </w:rPr>
        <w:t>STA</w:t>
      </w:r>
      <w:r w:rsidRPr="00FB11AC">
        <w:rPr>
          <w:szCs w:val="16"/>
        </w:rPr>
        <w:t xml:space="preserve"> header, then select “SB</w:t>
      </w:r>
      <w:r>
        <w:rPr>
          <w:szCs w:val="16"/>
        </w:rPr>
        <w:t>STA</w:t>
      </w:r>
      <w:r w:rsidRPr="00FB11AC">
        <w:rPr>
          <w:szCs w:val="16"/>
        </w:rPr>
        <w:t xml:space="preserve"> 44”).</w:t>
      </w:r>
    </w:p>
  </w:footnote>
  <w:footnote w:id="3">
    <w:p w14:paraId="71537C71" w14:textId="0A85FE0E" w:rsidR="005457BD" w:rsidRPr="00415C95" w:rsidRDefault="005457BD" w:rsidP="003E4382">
      <w:pPr>
        <w:pStyle w:val="FootnoteText"/>
        <w:rPr>
          <w:lang w:val="en-US"/>
        </w:rPr>
      </w:pPr>
      <w:r>
        <w:tab/>
      </w:r>
      <w:r>
        <w:rPr>
          <w:rStyle w:val="FootnoteReference"/>
        </w:rPr>
        <w:footnoteRef/>
      </w:r>
      <w:r>
        <w:tab/>
      </w:r>
      <w:r>
        <w:rPr>
          <w:szCs w:val="16"/>
        </w:rPr>
        <w:t>The texts of the statements, including those that were not delivered during the plenary meeting, are available on the submission portal at &lt;</w:t>
      </w:r>
      <w:r>
        <w:t>www.unfccc.int/5900</w:t>
      </w:r>
      <w:r>
        <w:rPr>
          <w:szCs w:val="16"/>
        </w:rPr>
        <w:t xml:space="preserve">&gt; (click on “Submissions from Parties” under the </w:t>
      </w:r>
      <w:r w:rsidRPr="00415C95">
        <w:rPr>
          <w:szCs w:val="16"/>
        </w:rPr>
        <w:t>SBSTA header to be directed to the submission portal, select “SBSTA 44”, then search for</w:t>
      </w:r>
      <w:r w:rsidRPr="00415C95">
        <w:t xml:space="preserve"> “statements”</w:t>
      </w:r>
      <w:r w:rsidRPr="00415C95">
        <w:rPr>
          <w:szCs w:val="16"/>
        </w:rPr>
        <w:t>)</w:t>
      </w:r>
      <w:r w:rsidRPr="00415C95">
        <w:t>.</w:t>
      </w:r>
    </w:p>
  </w:footnote>
  <w:footnote w:id="4">
    <w:p w14:paraId="2AD9E7A0" w14:textId="77777777" w:rsidR="005457BD" w:rsidRPr="00415C95" w:rsidRDefault="005457BD" w:rsidP="003E4382">
      <w:pPr>
        <w:pStyle w:val="FootnoteText"/>
        <w:rPr>
          <w:lang w:val="en-US"/>
        </w:rPr>
      </w:pPr>
      <w:r w:rsidRPr="00415C95">
        <w:tab/>
      </w:r>
      <w:r w:rsidRPr="00415C95">
        <w:rPr>
          <w:rStyle w:val="FootnoteReference"/>
        </w:rPr>
        <w:footnoteRef/>
      </w:r>
      <w:r w:rsidRPr="00415C95">
        <w:tab/>
        <w:t>&lt;www.unfccc.int/9393&gt;.</w:t>
      </w:r>
    </w:p>
  </w:footnote>
  <w:footnote w:id="5">
    <w:p w14:paraId="0497A03F" w14:textId="51701B8D" w:rsidR="005457BD" w:rsidRPr="00415C95" w:rsidRDefault="005457BD" w:rsidP="003E4382">
      <w:pPr>
        <w:pStyle w:val="FootnoteText"/>
        <w:rPr>
          <w:lang w:val="en-US"/>
        </w:rPr>
      </w:pPr>
      <w:r w:rsidRPr="00415C95">
        <w:tab/>
      </w:r>
      <w:r w:rsidRPr="00415C95">
        <w:rPr>
          <w:rStyle w:val="FootnoteReference"/>
        </w:rPr>
        <w:footnoteRef/>
      </w:r>
      <w:r w:rsidRPr="00415C95">
        <w:tab/>
      </w:r>
      <w:r w:rsidRPr="00415C95">
        <w:rPr>
          <w:lang w:val="en-US"/>
        </w:rPr>
        <w:t>FCCC/SBI/2014/8, paragraphs 213 and 218–221.</w:t>
      </w:r>
    </w:p>
  </w:footnote>
  <w:footnote w:id="6">
    <w:p w14:paraId="47EB506D" w14:textId="4AF508B7" w:rsidR="005457BD" w:rsidRPr="006D2B5F" w:rsidRDefault="005457BD" w:rsidP="003E4382">
      <w:pPr>
        <w:pStyle w:val="FootnoteText"/>
        <w:rPr>
          <w:lang w:val="en-IE"/>
        </w:rPr>
      </w:pPr>
      <w:r w:rsidRPr="00415C95">
        <w:tab/>
      </w:r>
      <w:r w:rsidRPr="00415C95">
        <w:rPr>
          <w:rStyle w:val="FootnoteReference"/>
        </w:rPr>
        <w:footnoteRef/>
      </w:r>
      <w:r w:rsidRPr="00415C95">
        <w:rPr>
          <w:lang w:val="en-IE"/>
        </w:rPr>
        <w:tab/>
      </w:r>
      <w:r w:rsidRPr="00415C95">
        <w:t xml:space="preserve">Draft conclusions presented in document </w:t>
      </w:r>
      <w:r w:rsidRPr="00415C95">
        <w:rPr>
          <w:lang w:val="en-IE"/>
        </w:rPr>
        <w:t>FCCC/SBSTA/2016/L.9.</w:t>
      </w:r>
    </w:p>
  </w:footnote>
  <w:footnote w:id="7">
    <w:p w14:paraId="297940A3" w14:textId="77777777" w:rsidR="005457BD" w:rsidRPr="00415C95" w:rsidRDefault="005457BD" w:rsidP="003E4382">
      <w:pPr>
        <w:pStyle w:val="FootnoteText"/>
        <w:widowControl w:val="0"/>
        <w:tabs>
          <w:tab w:val="clear" w:pos="1021"/>
          <w:tab w:val="right" w:pos="1020"/>
        </w:tabs>
        <w:rPr>
          <w:lang w:val="es-ES_tradnl"/>
        </w:rPr>
      </w:pPr>
      <w:r w:rsidRPr="00E024CF">
        <w:rPr>
          <w:lang w:val="en-IE"/>
        </w:rPr>
        <w:tab/>
      </w:r>
      <w:r>
        <w:rPr>
          <w:rStyle w:val="FootnoteReference"/>
        </w:rPr>
        <w:footnoteRef/>
      </w:r>
      <w:r w:rsidRPr="002D188E">
        <w:rPr>
          <w:lang w:val="es-ES_tradnl"/>
        </w:rPr>
        <w:tab/>
      </w:r>
      <w:r w:rsidRPr="00415C95">
        <w:rPr>
          <w:lang w:val="es-ES_tradnl"/>
        </w:rPr>
        <w:t>FCCC/SBSTA/2016/INF.4.</w:t>
      </w:r>
    </w:p>
  </w:footnote>
  <w:footnote w:id="8">
    <w:p w14:paraId="2BB17B4B" w14:textId="77777777" w:rsidR="005457BD" w:rsidRPr="00415C95" w:rsidRDefault="005457BD" w:rsidP="003E4382">
      <w:pPr>
        <w:pStyle w:val="FootnoteText"/>
        <w:widowControl w:val="0"/>
        <w:tabs>
          <w:tab w:val="clear" w:pos="1021"/>
          <w:tab w:val="right" w:pos="1020"/>
        </w:tabs>
        <w:rPr>
          <w:lang w:val="en-US"/>
        </w:rPr>
      </w:pPr>
      <w:r w:rsidRPr="00415C95">
        <w:rPr>
          <w:lang w:val="es-ES_tradnl"/>
        </w:rPr>
        <w:tab/>
      </w:r>
      <w:r w:rsidRPr="00415C95">
        <w:rPr>
          <w:rStyle w:val="FootnoteReference"/>
        </w:rPr>
        <w:footnoteRef/>
      </w:r>
      <w:r w:rsidRPr="00415C95">
        <w:rPr>
          <w:lang w:val="en-US"/>
        </w:rPr>
        <w:tab/>
        <w:t>FCCC/SBSTA/2016/INF.1.</w:t>
      </w:r>
    </w:p>
  </w:footnote>
  <w:footnote w:id="9">
    <w:p w14:paraId="52D3AA10" w14:textId="77777777" w:rsidR="005457BD" w:rsidRPr="00415C95" w:rsidRDefault="005457BD" w:rsidP="003E4382">
      <w:pPr>
        <w:pStyle w:val="FootnoteText"/>
        <w:widowControl w:val="0"/>
        <w:tabs>
          <w:tab w:val="clear" w:pos="1021"/>
          <w:tab w:val="right" w:pos="1020"/>
        </w:tabs>
        <w:rPr>
          <w:lang w:val="en-US"/>
        </w:rPr>
      </w:pPr>
      <w:r w:rsidRPr="00415C95">
        <w:rPr>
          <w:lang w:val="en-US"/>
        </w:rPr>
        <w:tab/>
      </w:r>
      <w:r w:rsidRPr="00415C95">
        <w:rPr>
          <w:rStyle w:val="FootnoteReference"/>
        </w:rPr>
        <w:footnoteRef/>
      </w:r>
      <w:r w:rsidRPr="00415C95">
        <w:rPr>
          <w:lang w:val="en-US"/>
        </w:rPr>
        <w:tab/>
        <w:t>Available at &lt;</w:t>
      </w:r>
      <w:hyperlink r:id="rId1" w:history="1">
        <w:r w:rsidRPr="00415C95">
          <w:t>http://www4.unfccc.int/sites/NWP/Pages/LITKP-page.aspx</w:t>
        </w:r>
      </w:hyperlink>
      <w:r w:rsidRPr="00415C95">
        <w:rPr>
          <w:color w:val="1F497D"/>
        </w:rPr>
        <w:t>&gt;</w:t>
      </w:r>
      <w:r w:rsidRPr="00415C95">
        <w:rPr>
          <w:lang w:val="en-US"/>
        </w:rPr>
        <w:t>.</w:t>
      </w:r>
    </w:p>
  </w:footnote>
  <w:footnote w:id="10">
    <w:p w14:paraId="1D2FFC09" w14:textId="779F1F75" w:rsidR="005457BD" w:rsidRPr="00415C95" w:rsidRDefault="005457BD" w:rsidP="003E4382">
      <w:pPr>
        <w:pStyle w:val="FootnoteText"/>
        <w:widowControl w:val="0"/>
        <w:shd w:val="clear" w:color="auto" w:fill="FFFFFF" w:themeFill="background1"/>
        <w:tabs>
          <w:tab w:val="clear" w:pos="1021"/>
          <w:tab w:val="right" w:pos="1020"/>
        </w:tabs>
        <w:rPr>
          <w:lang w:val="en-US"/>
        </w:rPr>
      </w:pPr>
      <w:r w:rsidRPr="00415C95">
        <w:rPr>
          <w:szCs w:val="18"/>
          <w:lang w:val="en-US"/>
        </w:rPr>
        <w:tab/>
      </w:r>
      <w:r w:rsidRPr="00415C95">
        <w:rPr>
          <w:rStyle w:val="FootnoteReference"/>
          <w:szCs w:val="18"/>
        </w:rPr>
        <w:footnoteRef/>
      </w:r>
      <w:r w:rsidRPr="00415C95">
        <w:rPr>
          <w:szCs w:val="18"/>
          <w:lang w:val="en-US"/>
        </w:rPr>
        <w:tab/>
        <w:t>Reports on the regional activities are available at &lt;</w:t>
      </w:r>
      <w:r w:rsidRPr="00415C95">
        <w:t>http://unfccc.int/9557.php</w:t>
      </w:r>
      <w:r w:rsidRPr="00415C95">
        <w:rPr>
          <w:szCs w:val="18"/>
          <w:lang w:val="en-US"/>
        </w:rPr>
        <w:t>&gt;.</w:t>
      </w:r>
    </w:p>
  </w:footnote>
  <w:footnote w:id="11">
    <w:p w14:paraId="54E49F0A" w14:textId="77777777" w:rsidR="005457BD" w:rsidRPr="004D414D"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r>
      <w:r w:rsidRPr="00415C95">
        <w:rPr>
          <w:lang w:val="en-US"/>
        </w:rPr>
        <w:t>Decision 17/CP.19, paragraph 13(b).</w:t>
      </w:r>
    </w:p>
  </w:footnote>
  <w:footnote w:id="12">
    <w:p w14:paraId="61B61E32" w14:textId="77777777" w:rsidR="005457BD" w:rsidRPr="00415C95" w:rsidRDefault="005457BD" w:rsidP="003E4382">
      <w:pPr>
        <w:pStyle w:val="FootnoteText"/>
        <w:widowControl w:val="0"/>
        <w:tabs>
          <w:tab w:val="clear" w:pos="1021"/>
          <w:tab w:val="right" w:pos="1020"/>
        </w:tabs>
        <w:rPr>
          <w:lang w:val="en-US"/>
        </w:rPr>
      </w:pPr>
      <w:r>
        <w:tab/>
      </w:r>
      <w:r>
        <w:rPr>
          <w:rStyle w:val="FootnoteReference"/>
        </w:rPr>
        <w:footnoteRef/>
      </w:r>
      <w:r>
        <w:tab/>
      </w:r>
      <w:r w:rsidRPr="00131831">
        <w:t xml:space="preserve">Parties </w:t>
      </w:r>
      <w:r w:rsidRPr="00415C95">
        <w:t>should submit their views via the submission portal at &lt;http://www.unfccc.int/5900&gt;. Organizations should e-mail their submissions to &lt;secretariat@unfccc.int&gt;.</w:t>
      </w:r>
    </w:p>
  </w:footnote>
  <w:footnote w:id="13">
    <w:p w14:paraId="22B13CA8" w14:textId="77777777" w:rsidR="005457BD" w:rsidRPr="004D414D"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As footnote 11 above.</w:t>
      </w:r>
    </w:p>
  </w:footnote>
  <w:footnote w:id="14">
    <w:p w14:paraId="0470C05E" w14:textId="77777777" w:rsidR="005457BD" w:rsidRPr="00415C95" w:rsidRDefault="005457BD" w:rsidP="003E4382">
      <w:pPr>
        <w:pStyle w:val="FootnoteText"/>
        <w:widowControl w:val="0"/>
        <w:tabs>
          <w:tab w:val="clear" w:pos="1021"/>
          <w:tab w:val="right" w:pos="1020"/>
        </w:tabs>
        <w:rPr>
          <w:lang w:val="en-US"/>
        </w:rPr>
      </w:pPr>
      <w:r>
        <w:tab/>
      </w:r>
      <w:r>
        <w:rPr>
          <w:rStyle w:val="FootnoteReference"/>
        </w:rPr>
        <w:footnoteRef/>
      </w:r>
      <w:r>
        <w:tab/>
        <w:t xml:space="preserve">As </w:t>
      </w:r>
      <w:r w:rsidRPr="00415C95">
        <w:t>footnote 11 above.</w:t>
      </w:r>
    </w:p>
  </w:footnote>
  <w:footnote w:id="15">
    <w:p w14:paraId="749086A0" w14:textId="77777777" w:rsidR="005457BD" w:rsidRPr="00415C95"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As footnote 11 above.</w:t>
      </w:r>
    </w:p>
  </w:footnote>
  <w:footnote w:id="16">
    <w:p w14:paraId="678995F8" w14:textId="77777777" w:rsidR="005457BD" w:rsidRPr="00415C95"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r>
      <w:r w:rsidRPr="00415C95">
        <w:rPr>
          <w:lang w:val="en-US"/>
        </w:rPr>
        <w:t>FCCC/SBSTA/2016/INF.4, paragraphs 30–34.</w:t>
      </w:r>
    </w:p>
  </w:footnote>
  <w:footnote w:id="17">
    <w:p w14:paraId="244B2FE0" w14:textId="77777777" w:rsidR="005457BD" w:rsidRPr="00415C95"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As footnote 11 above.</w:t>
      </w:r>
    </w:p>
  </w:footnote>
  <w:footnote w:id="18">
    <w:p w14:paraId="7378639D" w14:textId="77777777" w:rsidR="005457BD" w:rsidRPr="003F1B1D"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 xml:space="preserve">See the annex to document </w:t>
      </w:r>
      <w:r w:rsidRPr="00415C95">
        <w:rPr>
          <w:bCs/>
          <w:szCs w:val="18"/>
        </w:rPr>
        <w:t>FCCC/SB/2015/2.</w:t>
      </w:r>
    </w:p>
  </w:footnote>
  <w:footnote w:id="19">
    <w:p w14:paraId="6C926390" w14:textId="328312C8" w:rsidR="005457BD" w:rsidRPr="003D663F" w:rsidRDefault="005457BD" w:rsidP="003E4382">
      <w:pPr>
        <w:pStyle w:val="FootnoteText"/>
        <w:rPr>
          <w:lang w:val="en-US"/>
        </w:rPr>
      </w:pPr>
      <w:r>
        <w:tab/>
      </w:r>
      <w:r>
        <w:rPr>
          <w:rStyle w:val="FootnoteReference"/>
        </w:rPr>
        <w:footnoteRef/>
      </w:r>
      <w:r>
        <w:tab/>
      </w:r>
      <w:r w:rsidRPr="008F2D4F">
        <w:t xml:space="preserve">Draft conclusions presented in </w:t>
      </w:r>
      <w:r w:rsidRPr="00415C95">
        <w:t xml:space="preserve">document </w:t>
      </w:r>
      <w:r w:rsidRPr="00415C95">
        <w:rPr>
          <w:lang w:val="en-US"/>
        </w:rPr>
        <w:t>FCCC/SBSTA/2016/L.8.</w:t>
      </w:r>
    </w:p>
  </w:footnote>
  <w:footnote w:id="20">
    <w:p w14:paraId="430EE0D0" w14:textId="16AA0F2F" w:rsidR="005457BD" w:rsidRPr="00415C95" w:rsidRDefault="005457BD" w:rsidP="000E6B6B">
      <w:pPr>
        <w:pStyle w:val="FootnoteText"/>
        <w:rPr>
          <w:lang w:val="en-US"/>
        </w:rPr>
      </w:pPr>
      <w:r>
        <w:tab/>
      </w:r>
      <w:r w:rsidRPr="00E024CF">
        <w:rPr>
          <w:rStyle w:val="FootnoteReference"/>
        </w:rPr>
        <w:footnoteRef/>
      </w:r>
      <w:r w:rsidRPr="00E024CF">
        <w:tab/>
      </w:r>
      <w:r w:rsidRPr="00E024CF">
        <w:rPr>
          <w:lang w:val="en-US"/>
        </w:rPr>
        <w:t xml:space="preserve">A compilation of these initial </w:t>
      </w:r>
      <w:r w:rsidRPr="00415C95">
        <w:rPr>
          <w:lang w:val="en-US"/>
        </w:rPr>
        <w:t>views is contained in the annex to document FCCC/SBSTA/L.8.</w:t>
      </w:r>
    </w:p>
  </w:footnote>
  <w:footnote w:id="21">
    <w:p w14:paraId="470269F2" w14:textId="77777777" w:rsidR="005457BD" w:rsidRPr="00415C95"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r>
      <w:r w:rsidRPr="00415C95">
        <w:rPr>
          <w:rFonts w:eastAsia="Arial Unicode MS" w:cs="Arial Unicode MS"/>
          <w:szCs w:val="18"/>
        </w:rPr>
        <w:t>Parties should submit their views via the submission portal at &lt;http://www.unfccc.int/5900&gt;</w:t>
      </w:r>
      <w:r w:rsidRPr="00415C95">
        <w:t>.</w:t>
      </w:r>
    </w:p>
  </w:footnote>
  <w:footnote w:id="22">
    <w:p w14:paraId="42A752A3" w14:textId="17661428" w:rsidR="005457BD" w:rsidRPr="001C0201" w:rsidRDefault="005457BD" w:rsidP="003E4382">
      <w:pPr>
        <w:pStyle w:val="FootnoteText"/>
        <w:rPr>
          <w:lang w:val="en-US"/>
        </w:rPr>
      </w:pPr>
      <w:r w:rsidRPr="00415C95">
        <w:tab/>
      </w:r>
      <w:r w:rsidRPr="00415C95">
        <w:rPr>
          <w:rStyle w:val="FootnoteReference"/>
        </w:rPr>
        <w:footnoteRef/>
      </w:r>
      <w:r w:rsidRPr="00415C95">
        <w:tab/>
        <w:t xml:space="preserve">Draft conclusions presented in document </w:t>
      </w:r>
      <w:r w:rsidRPr="00415C95">
        <w:rPr>
          <w:lang w:val="en-US"/>
        </w:rPr>
        <w:t>FCCC/SBSTA/2016/L.17.</w:t>
      </w:r>
    </w:p>
  </w:footnote>
  <w:footnote w:id="23">
    <w:p w14:paraId="281A1C5F" w14:textId="77777777" w:rsidR="005457BD" w:rsidRPr="00415C95" w:rsidRDefault="005457BD" w:rsidP="003E4382">
      <w:pPr>
        <w:pStyle w:val="FootnoteText"/>
      </w:pPr>
      <w:r w:rsidRPr="000F3132">
        <w:tab/>
      </w:r>
      <w:r w:rsidRPr="000F3132">
        <w:rPr>
          <w:rStyle w:val="FootnoteReference"/>
        </w:rPr>
        <w:footnoteRef/>
      </w:r>
      <w:r w:rsidRPr="000F3132">
        <w:tab/>
        <w:t xml:space="preserve">Available </w:t>
      </w:r>
      <w:r w:rsidRPr="00415C95">
        <w:t>at &lt;http://unfccc.int/5900&gt;.</w:t>
      </w:r>
    </w:p>
  </w:footnote>
  <w:footnote w:id="24">
    <w:p w14:paraId="0CBF243C" w14:textId="77777777" w:rsidR="005457BD" w:rsidRPr="00415C95" w:rsidRDefault="005457BD" w:rsidP="003E4382">
      <w:pPr>
        <w:pStyle w:val="FootnoteText"/>
      </w:pPr>
      <w:r w:rsidRPr="00415C95">
        <w:tab/>
      </w:r>
      <w:r w:rsidRPr="00415C95">
        <w:rPr>
          <w:rStyle w:val="FootnoteReference"/>
        </w:rPr>
        <w:footnoteRef/>
      </w:r>
      <w:r w:rsidRPr="00415C95">
        <w:tab/>
        <w:t>Information on the research dialogue is available at &lt;http://unfccc.int/6793&gt;.</w:t>
      </w:r>
    </w:p>
  </w:footnote>
  <w:footnote w:id="25">
    <w:p w14:paraId="1BDDBC5C" w14:textId="77777777" w:rsidR="005457BD" w:rsidRPr="00415C95" w:rsidRDefault="005457BD" w:rsidP="003E4382">
      <w:pPr>
        <w:pStyle w:val="FootnoteText"/>
        <w:rPr>
          <w:lang w:val="en-US"/>
        </w:rPr>
      </w:pPr>
      <w:r w:rsidRPr="00415C95">
        <w:tab/>
      </w:r>
      <w:r w:rsidRPr="00415C95">
        <w:rPr>
          <w:rStyle w:val="FootnoteReference"/>
        </w:rPr>
        <w:footnoteRef/>
      </w:r>
      <w:r w:rsidRPr="00415C95">
        <w:tab/>
        <w:t xml:space="preserve">See </w:t>
      </w:r>
      <w:r w:rsidRPr="00415C95">
        <w:rPr>
          <w:lang w:val="en-US"/>
        </w:rPr>
        <w:t>&lt;</w:t>
      </w:r>
      <w:r w:rsidRPr="00415C95">
        <w:t>http://unfccc.int/files/science/workstreams/research/application/pdf/researchdialogue.2016.1.</w:t>
      </w:r>
      <w:r w:rsidRPr="00415C95">
        <w:br/>
        <w:t>informationnote.pdf</w:t>
      </w:r>
      <w:r w:rsidRPr="00415C95">
        <w:rPr>
          <w:lang w:val="en-US"/>
        </w:rPr>
        <w:t>&gt;.</w:t>
      </w:r>
    </w:p>
  </w:footnote>
  <w:footnote w:id="26">
    <w:p w14:paraId="248FCF7E" w14:textId="77777777" w:rsidR="005457BD" w:rsidRPr="00415C95" w:rsidRDefault="005457BD" w:rsidP="003E4382">
      <w:pPr>
        <w:pStyle w:val="FootnoteText"/>
        <w:rPr>
          <w:lang w:val="en-US"/>
        </w:rPr>
      </w:pPr>
      <w:r w:rsidRPr="00415C95">
        <w:tab/>
      </w:r>
      <w:r w:rsidRPr="00415C95">
        <w:rPr>
          <w:rStyle w:val="FootnoteReference"/>
        </w:rPr>
        <w:footnoteRef/>
      </w:r>
      <w:r w:rsidRPr="00415C95">
        <w:tab/>
        <w:t>See &lt;http://unfccc.int/files/adaptation/groups_committees/loss_and_damage_executive_committee/</w:t>
      </w:r>
      <w:r w:rsidRPr="00415C95">
        <w:br/>
        <w:t>application/pdf/excom_letter_to_sbsta_chair_on_researchdialogue.pdf&gt;.</w:t>
      </w:r>
    </w:p>
  </w:footnote>
  <w:footnote w:id="27">
    <w:p w14:paraId="3C17E5D9" w14:textId="77777777" w:rsidR="005457BD" w:rsidRPr="00415C95" w:rsidRDefault="005457BD" w:rsidP="003E4382">
      <w:pPr>
        <w:pStyle w:val="FootnoteText"/>
        <w:rPr>
          <w:lang w:val="en-US"/>
        </w:rPr>
      </w:pPr>
      <w:r w:rsidRPr="00415C95">
        <w:tab/>
      </w:r>
      <w:r w:rsidRPr="00415C95">
        <w:rPr>
          <w:rStyle w:val="FootnoteReference"/>
        </w:rPr>
        <w:footnoteRef/>
      </w:r>
      <w:r w:rsidRPr="00415C95">
        <w:tab/>
      </w:r>
      <w:r w:rsidRPr="00415C95">
        <w:rPr>
          <w:lang w:val="en-US"/>
        </w:rPr>
        <w:t>Decision 1/CP.21, paragraph 21.</w:t>
      </w:r>
    </w:p>
  </w:footnote>
  <w:footnote w:id="28">
    <w:p w14:paraId="7BD97DD6" w14:textId="77777777" w:rsidR="005457BD" w:rsidRPr="00794505" w:rsidRDefault="005457BD" w:rsidP="003E4382">
      <w:pPr>
        <w:pStyle w:val="FootnoteText"/>
        <w:rPr>
          <w:lang w:val="en-US"/>
        </w:rPr>
      </w:pPr>
      <w:r w:rsidRPr="00415C95">
        <w:tab/>
      </w:r>
      <w:r w:rsidRPr="00415C95">
        <w:rPr>
          <w:rStyle w:val="FootnoteReference"/>
        </w:rPr>
        <w:footnoteRef/>
      </w:r>
      <w:r w:rsidRPr="00415C95">
        <w:tab/>
        <w:t>Parties should submit their views via</w:t>
      </w:r>
      <w:r w:rsidRPr="000F3132">
        <w:t xml:space="preserve"> the submission portal at </w:t>
      </w:r>
      <w:r w:rsidRPr="000F3132">
        <w:rPr>
          <w:lang w:val="en-US"/>
        </w:rPr>
        <w:t>&lt;http://www.unfccc.int/5900&gt;.</w:t>
      </w:r>
    </w:p>
  </w:footnote>
  <w:footnote w:id="29">
    <w:p w14:paraId="61BD69EF" w14:textId="5CED40A1" w:rsidR="005457BD" w:rsidRPr="00415C95" w:rsidRDefault="005457BD" w:rsidP="003E4382">
      <w:pPr>
        <w:pStyle w:val="FootnoteText"/>
        <w:rPr>
          <w:lang w:val="en-US"/>
        </w:rPr>
      </w:pPr>
      <w:r>
        <w:rPr>
          <w:lang w:val="en-US"/>
        </w:rPr>
        <w:tab/>
      </w:r>
      <w:r>
        <w:rPr>
          <w:rStyle w:val="FootnoteReference"/>
        </w:rPr>
        <w:footnoteRef/>
      </w:r>
      <w:r>
        <w:rPr>
          <w:lang w:val="en-US"/>
        </w:rPr>
        <w:tab/>
      </w:r>
      <w:r w:rsidRPr="008F2D4F">
        <w:t>Draft conclusio</w:t>
      </w:r>
      <w:r w:rsidRPr="00415C95">
        <w:t xml:space="preserve">ns presented in document </w:t>
      </w:r>
      <w:r w:rsidRPr="00415C95">
        <w:rPr>
          <w:lang w:val="en-US"/>
        </w:rPr>
        <w:t>FCCC/SBSTA/2016/L.16.</w:t>
      </w:r>
    </w:p>
  </w:footnote>
  <w:footnote w:id="30">
    <w:p w14:paraId="3A95E4F2" w14:textId="77777777" w:rsidR="005457BD" w:rsidRPr="00415C95" w:rsidRDefault="005457BD" w:rsidP="003E4382">
      <w:pPr>
        <w:pStyle w:val="FootnoteText"/>
        <w:rPr>
          <w:lang w:val="en-US"/>
        </w:rPr>
      </w:pPr>
      <w:r w:rsidRPr="00415C95">
        <w:tab/>
      </w:r>
      <w:r w:rsidRPr="00415C95">
        <w:rPr>
          <w:rStyle w:val="FootnoteReference"/>
        </w:rPr>
        <w:footnoteRef/>
      </w:r>
      <w:r w:rsidRPr="00415C95">
        <w:tab/>
        <w:t>IPCC decision IPCC/XLIII-5. Available at &lt;http://ipcc.ch/meetings/session43/p43_decisions.pdf&gt;.</w:t>
      </w:r>
    </w:p>
  </w:footnote>
  <w:footnote w:id="31">
    <w:p w14:paraId="237CD9B4" w14:textId="77777777" w:rsidR="005457BD" w:rsidRPr="00415C95" w:rsidRDefault="005457BD" w:rsidP="003E4382">
      <w:pPr>
        <w:pStyle w:val="FootnoteText"/>
        <w:rPr>
          <w:lang w:val="en-US"/>
        </w:rPr>
      </w:pPr>
      <w:r w:rsidRPr="00415C95">
        <w:tab/>
      </w:r>
      <w:r w:rsidRPr="00415C95">
        <w:rPr>
          <w:rStyle w:val="FootnoteReference"/>
        </w:rPr>
        <w:footnoteRef/>
      </w:r>
      <w:r w:rsidRPr="00415C95">
        <w:tab/>
        <w:t>Entitled “Sixth Assessment Report. Products. Special Reports”; “Sixth Assessment Report. Products. Strategic Planning”; and “Update of Methodologies on National Greenhouse Gas Inventories”, respectively. Available at &lt;http://ipcc.ch/meetings/session43/p43_decisions.pdf&gt;.</w:t>
      </w:r>
    </w:p>
  </w:footnote>
  <w:footnote w:id="32">
    <w:p w14:paraId="07B8944D" w14:textId="77777777" w:rsidR="005457BD" w:rsidRPr="00311CCA" w:rsidRDefault="005457BD" w:rsidP="003E4382">
      <w:pPr>
        <w:pStyle w:val="FootnoteText"/>
        <w:rPr>
          <w:lang w:val="en-US"/>
        </w:rPr>
      </w:pPr>
      <w:r w:rsidRPr="00415C95">
        <w:tab/>
      </w:r>
      <w:r w:rsidRPr="00415C95">
        <w:rPr>
          <w:rStyle w:val="FootnoteReference"/>
        </w:rPr>
        <w:footnoteRef/>
      </w:r>
      <w:r w:rsidRPr="00415C95">
        <w:tab/>
        <w:t>In particular the activities relating to the 2013–2015 review, taking into account successes</w:t>
      </w:r>
      <w:r w:rsidRPr="00311CCA">
        <w:t xml:space="preserve"> and shortcomings.</w:t>
      </w:r>
    </w:p>
  </w:footnote>
  <w:footnote w:id="33">
    <w:p w14:paraId="4F1E1381" w14:textId="77777777" w:rsidR="005457BD" w:rsidRPr="00EF1F51" w:rsidRDefault="005457BD" w:rsidP="003E4382">
      <w:pPr>
        <w:pStyle w:val="FootnoteText"/>
        <w:rPr>
          <w:lang w:val="en-US"/>
        </w:rPr>
      </w:pPr>
      <w:r w:rsidRPr="00B83326">
        <w:tab/>
      </w:r>
      <w:r w:rsidRPr="00B83326">
        <w:rPr>
          <w:rStyle w:val="FootnoteReference"/>
        </w:rPr>
        <w:footnoteRef/>
      </w:r>
      <w:r w:rsidRPr="00B83326">
        <w:tab/>
        <w:t>Parties should submit their views via the submission portal at &lt;http://www.unfccc.int/5900&gt;. Observer organizations should e-mail their submissions to &lt;secretariat@unfccc.int&gt;.</w:t>
      </w:r>
    </w:p>
  </w:footnote>
  <w:footnote w:id="34">
    <w:p w14:paraId="4FDF2B48" w14:textId="05228442" w:rsidR="005457BD" w:rsidRPr="00415C95" w:rsidRDefault="005457BD" w:rsidP="003E4382">
      <w:pPr>
        <w:pStyle w:val="FootnoteText"/>
        <w:rPr>
          <w:lang w:val="en-US"/>
        </w:rPr>
      </w:pPr>
      <w:r>
        <w:tab/>
      </w:r>
      <w:r>
        <w:rPr>
          <w:rStyle w:val="FootnoteReference"/>
        </w:rPr>
        <w:footnoteRef/>
      </w:r>
      <w:r>
        <w:tab/>
      </w:r>
      <w:r w:rsidRPr="008F2D4F">
        <w:t xml:space="preserve">Draft conclusions presented in </w:t>
      </w:r>
      <w:r w:rsidRPr="00415C95">
        <w:t xml:space="preserve">document </w:t>
      </w:r>
      <w:r w:rsidRPr="00415C95">
        <w:rPr>
          <w:lang w:val="en-US"/>
        </w:rPr>
        <w:t>FCCC/SB/2016/L.1.</w:t>
      </w:r>
    </w:p>
  </w:footnote>
  <w:footnote w:id="35">
    <w:p w14:paraId="3F8C46D1" w14:textId="77777777" w:rsidR="005457BD" w:rsidRPr="00415C95"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Decision 10/CP.21, paragraph 10.</w:t>
      </w:r>
    </w:p>
  </w:footnote>
  <w:footnote w:id="36">
    <w:p w14:paraId="03859BB8" w14:textId="77777777" w:rsidR="005457BD" w:rsidRPr="0002726B" w:rsidRDefault="005457BD" w:rsidP="003E4382">
      <w:pPr>
        <w:pStyle w:val="FootnoteText"/>
        <w:rPr>
          <w:lang w:val="en-US"/>
        </w:rPr>
      </w:pPr>
      <w:r w:rsidRPr="00415C95">
        <w:rPr>
          <w:lang w:val="en-US"/>
        </w:rPr>
        <w:tab/>
      </w:r>
      <w:r w:rsidRPr="00415C95">
        <w:rPr>
          <w:rStyle w:val="FootnoteReference"/>
        </w:rPr>
        <w:footnoteRef/>
      </w:r>
      <w:r w:rsidRPr="00415C95">
        <w:rPr>
          <w:lang w:val="en-US"/>
        </w:rPr>
        <w:tab/>
        <w:t>Decision 10/CP.21, paragraph 9.</w:t>
      </w:r>
    </w:p>
  </w:footnote>
  <w:footnote w:id="37">
    <w:p w14:paraId="37B38283" w14:textId="7ACD3DD8" w:rsidR="005457BD" w:rsidRPr="00415C95" w:rsidRDefault="005457BD" w:rsidP="003E4382">
      <w:pPr>
        <w:pStyle w:val="FootnoteText"/>
        <w:rPr>
          <w:lang w:val="en-US"/>
        </w:rPr>
      </w:pPr>
      <w:r>
        <w:tab/>
      </w:r>
      <w:r>
        <w:rPr>
          <w:rStyle w:val="FootnoteReference"/>
        </w:rPr>
        <w:footnoteRef/>
      </w:r>
      <w:r>
        <w:tab/>
        <w:t xml:space="preserve">Draft conclusions presented in </w:t>
      </w:r>
      <w:r w:rsidRPr="00415C95">
        <w:t xml:space="preserve">document </w:t>
      </w:r>
      <w:r w:rsidRPr="00415C95">
        <w:rPr>
          <w:lang w:val="en-US"/>
        </w:rPr>
        <w:t xml:space="preserve">FCCC/SB/2016/L.2/Rev.1. </w:t>
      </w:r>
      <w:r w:rsidRPr="00415C95">
        <w:t>Annexes I and II to that document have been reproduced in annexes I and II, respectively, to this report.</w:t>
      </w:r>
    </w:p>
  </w:footnote>
  <w:footnote w:id="38">
    <w:p w14:paraId="7CA2BCEB" w14:textId="77777777" w:rsidR="005457BD" w:rsidRPr="00415C95" w:rsidRDefault="005457BD" w:rsidP="003E4382">
      <w:pPr>
        <w:pStyle w:val="FootnoteText"/>
        <w:widowControl w:val="0"/>
        <w:rPr>
          <w:lang w:val="en-US"/>
        </w:rPr>
      </w:pPr>
      <w:r w:rsidRPr="00415C95">
        <w:tab/>
      </w:r>
      <w:r w:rsidRPr="00415C95">
        <w:rPr>
          <w:rStyle w:val="FootnoteReference"/>
        </w:rPr>
        <w:footnoteRef/>
      </w:r>
      <w:r w:rsidRPr="00415C95">
        <w:tab/>
        <w:t>FCCC/TP/2016/4.</w:t>
      </w:r>
    </w:p>
  </w:footnote>
  <w:footnote w:id="39">
    <w:p w14:paraId="0A3681B4" w14:textId="77777777" w:rsidR="005457BD" w:rsidRPr="00415C95" w:rsidRDefault="005457BD" w:rsidP="003E4382">
      <w:pPr>
        <w:pStyle w:val="FootnoteText"/>
        <w:widowControl w:val="0"/>
        <w:rPr>
          <w:lang w:val="en-US"/>
        </w:rPr>
      </w:pPr>
      <w:r w:rsidRPr="00415C95">
        <w:tab/>
      </w:r>
      <w:r w:rsidRPr="00415C95">
        <w:rPr>
          <w:rStyle w:val="FootnoteReference"/>
        </w:rPr>
        <w:footnoteRef/>
      </w:r>
      <w:r w:rsidRPr="00415C95">
        <w:tab/>
        <w:t>FCCC/TP/2016/3.</w:t>
      </w:r>
    </w:p>
  </w:footnote>
  <w:footnote w:id="40">
    <w:p w14:paraId="681A934E" w14:textId="77777777" w:rsidR="005457BD" w:rsidRPr="00415C95" w:rsidRDefault="005457BD" w:rsidP="003E4382">
      <w:pPr>
        <w:pStyle w:val="FootnoteText"/>
        <w:rPr>
          <w:lang w:val="en-US"/>
        </w:rPr>
      </w:pPr>
      <w:r w:rsidRPr="00415C95">
        <w:tab/>
      </w:r>
      <w:r w:rsidRPr="00415C95">
        <w:rPr>
          <w:rStyle w:val="FootnoteReference"/>
        </w:rPr>
        <w:footnoteRef/>
      </w:r>
      <w:r w:rsidRPr="00415C95">
        <w:t xml:space="preserve"> </w:t>
      </w:r>
      <w:r w:rsidRPr="00415C95">
        <w:rPr>
          <w:lang w:val="en-US"/>
        </w:rPr>
        <w:tab/>
        <w:t>The statement of one Party that requested that its statement be reflected in the report on the session is available on the submission portal at &lt;http://unfccc.int/5900&gt;.</w:t>
      </w:r>
    </w:p>
  </w:footnote>
  <w:footnote w:id="41">
    <w:p w14:paraId="5E920B06" w14:textId="77777777" w:rsidR="005457BD" w:rsidRPr="00E07205"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See decision 11/CP.21, paragraph 4.</w:t>
      </w:r>
    </w:p>
  </w:footnote>
  <w:footnote w:id="42">
    <w:p w14:paraId="23BDD067" w14:textId="752EF7A1" w:rsidR="005457BD" w:rsidRPr="00415C95" w:rsidRDefault="005457BD" w:rsidP="003E4382">
      <w:pPr>
        <w:pStyle w:val="FootnoteText"/>
        <w:rPr>
          <w:lang w:val="en-US"/>
        </w:rPr>
      </w:pPr>
      <w:r>
        <w:tab/>
      </w:r>
      <w:r>
        <w:rPr>
          <w:rStyle w:val="FootnoteReference"/>
        </w:rPr>
        <w:footnoteRef/>
      </w:r>
      <w:r>
        <w:tab/>
      </w:r>
      <w:r w:rsidRPr="008F2D4F">
        <w:t xml:space="preserve">Draft conclusions presented in </w:t>
      </w:r>
      <w:r w:rsidRPr="00415C95">
        <w:t xml:space="preserve">document </w:t>
      </w:r>
      <w:r w:rsidRPr="00415C95">
        <w:rPr>
          <w:lang w:val="en-US"/>
        </w:rPr>
        <w:t>FCCC/SB/2016/L.3.</w:t>
      </w:r>
    </w:p>
  </w:footnote>
  <w:footnote w:id="43">
    <w:p w14:paraId="43F0D67C" w14:textId="77777777" w:rsidR="005457BD" w:rsidRPr="005B265B" w:rsidRDefault="005457BD" w:rsidP="003E4382">
      <w:pPr>
        <w:pStyle w:val="FootnoteText"/>
        <w:widowControl w:val="0"/>
        <w:tabs>
          <w:tab w:val="clear" w:pos="1021"/>
          <w:tab w:val="right" w:pos="1020"/>
        </w:tabs>
        <w:rPr>
          <w:lang w:val="en-US"/>
        </w:rPr>
      </w:pPr>
      <w:r w:rsidRPr="00415C95">
        <w:tab/>
      </w:r>
      <w:r w:rsidRPr="00415C95">
        <w:rPr>
          <w:rStyle w:val="FootnoteReference"/>
        </w:rPr>
        <w:footnoteRef/>
      </w:r>
      <w:r w:rsidRPr="00415C95">
        <w:tab/>
        <w:t>Parties should submit their views via the submission portal at &lt;http</w:t>
      </w:r>
      <w:r>
        <w:t>://www.unfccc.int/5900&gt;. Observer organizations should e-mail their submissions to &lt;secretariat@unfccc.int&gt;.</w:t>
      </w:r>
    </w:p>
  </w:footnote>
  <w:footnote w:id="44">
    <w:p w14:paraId="09612F70" w14:textId="0AB65BDD" w:rsidR="005457BD" w:rsidRPr="00415C95" w:rsidRDefault="005457BD" w:rsidP="003E4382">
      <w:pPr>
        <w:pStyle w:val="FootnoteText"/>
      </w:pPr>
      <w:r>
        <w:tab/>
      </w:r>
      <w:r w:rsidRPr="00AB1334">
        <w:rPr>
          <w:rStyle w:val="FootnoteReference"/>
        </w:rPr>
        <w:footnoteRef/>
      </w:r>
      <w:r w:rsidRPr="00BE66B1">
        <w:tab/>
      </w:r>
      <w:r w:rsidRPr="008F2D4F">
        <w:t xml:space="preserve">Draft conclusions presented in </w:t>
      </w:r>
      <w:r w:rsidRPr="00415C95">
        <w:t>document FCCC/SBSTA/2016/L.3.</w:t>
      </w:r>
    </w:p>
  </w:footnote>
  <w:footnote w:id="45">
    <w:p w14:paraId="70658DBD" w14:textId="77777777" w:rsidR="005457BD" w:rsidRPr="00415C95" w:rsidRDefault="005457BD" w:rsidP="003E4382">
      <w:pPr>
        <w:pStyle w:val="FootnoteText"/>
      </w:pPr>
      <w:r w:rsidRPr="00415C95">
        <w:tab/>
      </w:r>
      <w:r w:rsidRPr="00415C95">
        <w:rPr>
          <w:rStyle w:val="FootnoteReference"/>
        </w:rPr>
        <w:footnoteRef/>
      </w:r>
      <w:r w:rsidRPr="00415C95">
        <w:tab/>
        <w:t>Decision 1/CP.21, paragraph 31.</w:t>
      </w:r>
    </w:p>
  </w:footnote>
  <w:footnote w:id="46">
    <w:p w14:paraId="02FB7264" w14:textId="618F6C40" w:rsidR="005457BD" w:rsidRPr="00415C95" w:rsidRDefault="005457BD" w:rsidP="003E4382">
      <w:pPr>
        <w:pStyle w:val="FootnoteText"/>
        <w:rPr>
          <w:lang w:val="en-US"/>
        </w:rPr>
      </w:pPr>
      <w:r w:rsidRPr="00415C95">
        <w:tab/>
      </w:r>
      <w:r w:rsidRPr="00415C95">
        <w:rPr>
          <w:rStyle w:val="FootnoteReference"/>
        </w:rPr>
        <w:footnoteRef/>
      </w:r>
      <w:r w:rsidRPr="00415C95">
        <w:t xml:space="preserve"> </w:t>
      </w:r>
      <w:r w:rsidRPr="00415C95">
        <w:rPr>
          <w:lang w:val="en-US"/>
        </w:rPr>
        <w:tab/>
        <w:t>The opening and closing statements, including those by ICAO, IMO and one group of Parties that requested that its statement be reflected in the report on the session, are available on the submission portal at &lt;http://unfccc.int/5900&gt;.</w:t>
      </w:r>
    </w:p>
  </w:footnote>
  <w:footnote w:id="47">
    <w:p w14:paraId="03601B02" w14:textId="276254D4" w:rsidR="005457BD" w:rsidRPr="00844367" w:rsidRDefault="005457BD" w:rsidP="003E4382">
      <w:pPr>
        <w:pStyle w:val="FootnoteText"/>
        <w:rPr>
          <w:lang w:val="es-ES_tradnl"/>
        </w:rPr>
      </w:pPr>
      <w:r w:rsidRPr="00415C95">
        <w:tab/>
      </w:r>
      <w:r w:rsidRPr="00415C95">
        <w:rPr>
          <w:rStyle w:val="FootnoteReference"/>
        </w:rPr>
        <w:footnoteRef/>
      </w:r>
      <w:r w:rsidRPr="00415C95">
        <w:rPr>
          <w:lang w:val="es-ES_tradnl"/>
        </w:rPr>
        <w:tab/>
      </w:r>
      <w:r w:rsidRPr="00415C95">
        <w:t xml:space="preserve">Draft conclusions presented in document </w:t>
      </w:r>
      <w:r w:rsidRPr="00415C95">
        <w:rPr>
          <w:lang w:val="es-ES_tradnl"/>
        </w:rPr>
        <w:t>FCCC/SBSTA/2016/L.7.</w:t>
      </w:r>
    </w:p>
  </w:footnote>
  <w:footnote w:id="48">
    <w:p w14:paraId="18F8C372" w14:textId="77777777" w:rsidR="005457BD" w:rsidRPr="00415C95" w:rsidRDefault="005457BD" w:rsidP="003E4382">
      <w:pPr>
        <w:pStyle w:val="FootnoteText"/>
        <w:rPr>
          <w:lang w:val="es-ES_tradnl"/>
        </w:rPr>
      </w:pPr>
      <w:r w:rsidRPr="00844367">
        <w:rPr>
          <w:lang w:val="es-ES_tradnl"/>
        </w:rPr>
        <w:tab/>
      </w:r>
      <w:r>
        <w:rPr>
          <w:rStyle w:val="FootnoteReference"/>
        </w:rPr>
        <w:footnoteRef/>
      </w:r>
      <w:r w:rsidRPr="00844367">
        <w:rPr>
          <w:lang w:val="es-ES_tradnl"/>
        </w:rPr>
        <w:tab/>
      </w:r>
      <w:r w:rsidRPr="00415C95">
        <w:rPr>
          <w:lang w:val="es-ES_tradnl"/>
        </w:rPr>
        <w:t>FCCC/SBSTA/2016/MISC.2.</w:t>
      </w:r>
    </w:p>
  </w:footnote>
  <w:footnote w:id="49">
    <w:p w14:paraId="1A6E9ADE" w14:textId="10182A6A" w:rsidR="005457BD" w:rsidRPr="00415C95" w:rsidRDefault="005457BD" w:rsidP="003E4382">
      <w:pPr>
        <w:pStyle w:val="FootnoteText"/>
        <w:rPr>
          <w:lang w:val="es-ES_tradnl"/>
        </w:rPr>
      </w:pPr>
      <w:r w:rsidRPr="00415C95">
        <w:rPr>
          <w:lang w:val="es-ES_tradnl"/>
        </w:rPr>
        <w:tab/>
      </w:r>
      <w:r w:rsidRPr="00415C95">
        <w:rPr>
          <w:rStyle w:val="FootnoteReference"/>
        </w:rPr>
        <w:footnoteRef/>
      </w:r>
      <w:r w:rsidRPr="00415C95">
        <w:rPr>
          <w:lang w:val="es-ES_tradnl"/>
        </w:rPr>
        <w:tab/>
      </w:r>
      <w:r w:rsidRPr="00415C95">
        <w:t xml:space="preserve">Draft conclusions presented in document </w:t>
      </w:r>
      <w:r w:rsidRPr="00415C95">
        <w:rPr>
          <w:lang w:val="es-ES_tradnl"/>
        </w:rPr>
        <w:t>FCCC/SBSTA/2016/L.6.</w:t>
      </w:r>
    </w:p>
  </w:footnote>
  <w:footnote w:id="50">
    <w:p w14:paraId="2037FA2E" w14:textId="77777777" w:rsidR="005457BD" w:rsidRPr="00415C95" w:rsidRDefault="005457BD" w:rsidP="003E4382">
      <w:pPr>
        <w:pStyle w:val="FootnoteText"/>
        <w:rPr>
          <w:lang w:val="es-ES_tradnl"/>
        </w:rPr>
      </w:pPr>
      <w:r w:rsidRPr="00415C95">
        <w:rPr>
          <w:lang w:val="es-ES_tradnl"/>
        </w:rPr>
        <w:tab/>
      </w:r>
      <w:r w:rsidRPr="00415C95">
        <w:rPr>
          <w:rStyle w:val="FootnoteReference"/>
        </w:rPr>
        <w:footnoteRef/>
      </w:r>
      <w:r w:rsidRPr="00415C95">
        <w:rPr>
          <w:lang w:val="es-ES_tradnl"/>
        </w:rPr>
        <w:tab/>
        <w:t>FCCC/SBSTA/2014/5, paragraph 73.</w:t>
      </w:r>
    </w:p>
  </w:footnote>
  <w:footnote w:id="51">
    <w:p w14:paraId="1E857B97" w14:textId="77777777" w:rsidR="005457BD" w:rsidRPr="00415C95" w:rsidRDefault="005457BD" w:rsidP="003E4382">
      <w:pPr>
        <w:pStyle w:val="FootnoteText"/>
        <w:rPr>
          <w:lang w:val="en-US"/>
        </w:rPr>
      </w:pPr>
      <w:r w:rsidRPr="00415C95">
        <w:rPr>
          <w:lang w:val="es-ES_tradnl"/>
        </w:rPr>
        <w:tab/>
      </w:r>
      <w:r w:rsidRPr="00415C95">
        <w:rPr>
          <w:rStyle w:val="FootnoteReference"/>
        </w:rPr>
        <w:footnoteRef/>
      </w:r>
      <w:r w:rsidRPr="00415C95">
        <w:tab/>
        <w:t>Article</w:t>
      </w:r>
      <w:r w:rsidRPr="00415C95">
        <w:rPr>
          <w:lang w:val="en-US"/>
        </w:rPr>
        <w:t xml:space="preserve"> 13, paragraph 13, of the Paris Agreement.</w:t>
      </w:r>
    </w:p>
  </w:footnote>
  <w:footnote w:id="52">
    <w:p w14:paraId="01E31F19" w14:textId="77777777" w:rsidR="005457BD" w:rsidRDefault="005457BD" w:rsidP="003E4382">
      <w:pPr>
        <w:pStyle w:val="FootnoteText"/>
      </w:pPr>
      <w:r w:rsidRPr="00415C95">
        <w:tab/>
      </w:r>
      <w:r w:rsidRPr="00415C95">
        <w:rPr>
          <w:rStyle w:val="FootnoteReference"/>
        </w:rPr>
        <w:footnoteRef/>
      </w:r>
      <w:r w:rsidRPr="00415C95">
        <w:t xml:space="preserve"> </w:t>
      </w:r>
      <w:r w:rsidRPr="00415C95">
        <w:tab/>
        <w:t>Annex to decision 13/CP.20.</w:t>
      </w:r>
    </w:p>
  </w:footnote>
  <w:footnote w:id="53">
    <w:p w14:paraId="012CA5A4" w14:textId="1272D0E4" w:rsidR="005457BD" w:rsidRPr="00415C95" w:rsidRDefault="005457BD" w:rsidP="003E4382">
      <w:pPr>
        <w:pStyle w:val="FootnoteText"/>
        <w:rPr>
          <w:lang w:val="en-US"/>
        </w:rPr>
      </w:pPr>
      <w:r>
        <w:tab/>
      </w:r>
      <w:r>
        <w:rPr>
          <w:rStyle w:val="FootnoteReference"/>
        </w:rPr>
        <w:footnoteRef/>
      </w:r>
      <w:r>
        <w:tab/>
      </w:r>
      <w:r w:rsidRPr="008F2D4F">
        <w:t xml:space="preserve">Draft conclusions presented in document </w:t>
      </w:r>
      <w:r w:rsidRPr="00415C95">
        <w:rPr>
          <w:lang w:val="en-US"/>
        </w:rPr>
        <w:t>FCCC/SBSTA/2016/L.15.</w:t>
      </w:r>
    </w:p>
  </w:footnote>
  <w:footnote w:id="54">
    <w:p w14:paraId="28DB2C1B" w14:textId="42CB9D9C" w:rsidR="005457BD" w:rsidRPr="00844367" w:rsidRDefault="005457BD" w:rsidP="003E4382">
      <w:pPr>
        <w:pStyle w:val="FootnoteText"/>
        <w:rPr>
          <w:lang w:val="es-ES_tradnl"/>
        </w:rPr>
      </w:pPr>
      <w:r w:rsidRPr="00415C95">
        <w:tab/>
      </w:r>
      <w:r w:rsidRPr="00415C95">
        <w:rPr>
          <w:rStyle w:val="FootnoteReference"/>
        </w:rPr>
        <w:footnoteRef/>
      </w:r>
      <w:r w:rsidRPr="00415C95">
        <w:rPr>
          <w:lang w:val="es-ES_tradnl"/>
        </w:rPr>
        <w:tab/>
      </w:r>
      <w:r w:rsidRPr="00415C95">
        <w:t xml:space="preserve">Draft conclusions presented in document </w:t>
      </w:r>
      <w:r w:rsidRPr="00415C95">
        <w:rPr>
          <w:lang w:val="es-ES_tradnl"/>
        </w:rPr>
        <w:t>FCCC/SBSTA/2016/L.2.</w:t>
      </w:r>
    </w:p>
  </w:footnote>
  <w:footnote w:id="55">
    <w:p w14:paraId="7B37DE61" w14:textId="2470CB15" w:rsidR="005457BD" w:rsidRPr="00844367" w:rsidRDefault="005457BD" w:rsidP="003E4382">
      <w:pPr>
        <w:pStyle w:val="FootnoteText"/>
        <w:rPr>
          <w:lang w:val="es-ES_tradnl"/>
        </w:rPr>
      </w:pPr>
      <w:r w:rsidRPr="00844367">
        <w:rPr>
          <w:lang w:val="es-ES_tradnl"/>
        </w:rPr>
        <w:tab/>
      </w:r>
      <w:r>
        <w:rPr>
          <w:rStyle w:val="FootnoteReference"/>
        </w:rPr>
        <w:footnoteRef/>
      </w:r>
      <w:r w:rsidRPr="00844367">
        <w:rPr>
          <w:lang w:val="es-ES_tradnl"/>
        </w:rPr>
        <w:tab/>
      </w:r>
      <w:r w:rsidRPr="008F2D4F">
        <w:t xml:space="preserve">Draft conclusions presented in </w:t>
      </w:r>
      <w:r w:rsidRPr="00415C95">
        <w:t xml:space="preserve">document </w:t>
      </w:r>
      <w:r w:rsidRPr="00415C95">
        <w:rPr>
          <w:lang w:val="es-ES_tradnl"/>
        </w:rPr>
        <w:t>FCCC/SBSTA/2016/L.4.</w:t>
      </w:r>
    </w:p>
  </w:footnote>
  <w:footnote w:id="56">
    <w:p w14:paraId="295B2B22" w14:textId="4E579190" w:rsidR="005457BD" w:rsidRPr="00415C95" w:rsidRDefault="005457BD" w:rsidP="003E4382">
      <w:pPr>
        <w:pStyle w:val="FootnoteText"/>
        <w:rPr>
          <w:lang w:val="en-US"/>
        </w:rPr>
      </w:pPr>
      <w:r w:rsidRPr="00844367">
        <w:rPr>
          <w:lang w:val="es-ES_tradnl"/>
        </w:rPr>
        <w:tab/>
      </w:r>
      <w:r>
        <w:rPr>
          <w:rStyle w:val="FootnoteReference"/>
        </w:rPr>
        <w:footnoteRef/>
      </w:r>
      <w:r>
        <w:tab/>
      </w:r>
      <w:r w:rsidRPr="008F2D4F">
        <w:t xml:space="preserve">Draft conclusions </w:t>
      </w:r>
      <w:r w:rsidRPr="00415C95">
        <w:t xml:space="preserve">presented in document </w:t>
      </w:r>
      <w:r w:rsidRPr="00415C95">
        <w:rPr>
          <w:lang w:val="en-US"/>
        </w:rPr>
        <w:t>FCCC/SBSTA/2016/L.10.</w:t>
      </w:r>
    </w:p>
  </w:footnote>
  <w:footnote w:id="57">
    <w:p w14:paraId="29928B33" w14:textId="77777777" w:rsidR="005457BD" w:rsidRPr="00415C95" w:rsidRDefault="005457BD" w:rsidP="003E4382">
      <w:pPr>
        <w:pStyle w:val="FootnoteText"/>
      </w:pPr>
      <w:r w:rsidRPr="00415C95">
        <w:tab/>
      </w:r>
      <w:r w:rsidRPr="00415C95">
        <w:rPr>
          <w:rStyle w:val="FootnoteReference"/>
        </w:rPr>
        <w:footnoteRef/>
      </w:r>
      <w:r w:rsidRPr="00415C95">
        <w:t xml:space="preserve"> </w:t>
      </w:r>
      <w:r w:rsidRPr="00415C95">
        <w:tab/>
        <w:t>FCCC/TP/2013/5, FCCC/TP/2013/6, FCCC/TP/2014/9, FCCC/TP/2014/10 and FCCC/TP/2014/11 and Corr.1.</w:t>
      </w:r>
    </w:p>
  </w:footnote>
  <w:footnote w:id="58">
    <w:p w14:paraId="75F2E0D1" w14:textId="77777777" w:rsidR="005457BD" w:rsidRPr="00415C95" w:rsidRDefault="005457BD" w:rsidP="003E4382">
      <w:pPr>
        <w:pStyle w:val="FootnoteText"/>
        <w:rPr>
          <w:lang w:val="en-US"/>
        </w:rPr>
      </w:pPr>
      <w:r w:rsidRPr="00415C95">
        <w:tab/>
      </w:r>
      <w:r w:rsidRPr="00415C95">
        <w:rPr>
          <w:rStyle w:val="FootnoteReference"/>
        </w:rPr>
        <w:footnoteRef/>
      </w:r>
      <w:r w:rsidRPr="00415C95">
        <w:t xml:space="preserve"> </w:t>
      </w:r>
      <w:r w:rsidRPr="00415C95">
        <w:tab/>
        <w:t>FCCC/SBSTA/2013/INF.11, FCCC/SBSTA/2013/INF.12 and FCCC/SBSTA/2013/INF.13.</w:t>
      </w:r>
    </w:p>
  </w:footnote>
  <w:footnote w:id="59">
    <w:p w14:paraId="01A7A219" w14:textId="48DB452F" w:rsidR="005457BD" w:rsidRPr="00DE4AF0" w:rsidRDefault="005457BD" w:rsidP="003E4382">
      <w:pPr>
        <w:pStyle w:val="FootnoteText"/>
        <w:rPr>
          <w:lang w:val="en-US"/>
        </w:rPr>
      </w:pPr>
      <w:r w:rsidRPr="00415C95">
        <w:tab/>
      </w:r>
      <w:r w:rsidRPr="00415C95">
        <w:rPr>
          <w:rStyle w:val="FootnoteReference"/>
        </w:rPr>
        <w:footnoteRef/>
      </w:r>
      <w:r w:rsidRPr="00415C95">
        <w:tab/>
        <w:t xml:space="preserve">Draft conclusions presented in document </w:t>
      </w:r>
      <w:r w:rsidRPr="00415C95">
        <w:rPr>
          <w:lang w:val="en-US"/>
        </w:rPr>
        <w:t>FCCC/SBSTA/2016/L.11.</w:t>
      </w:r>
    </w:p>
  </w:footnote>
  <w:footnote w:id="60">
    <w:p w14:paraId="1702496A" w14:textId="3FD0569A" w:rsidR="005457BD" w:rsidRPr="00415C95" w:rsidRDefault="005457BD" w:rsidP="003E4382">
      <w:pPr>
        <w:pStyle w:val="FootnoteText"/>
        <w:rPr>
          <w:lang w:val="en-US"/>
        </w:rPr>
      </w:pPr>
      <w:r>
        <w:tab/>
      </w:r>
      <w:r>
        <w:rPr>
          <w:rStyle w:val="FootnoteReference"/>
        </w:rPr>
        <w:footnoteRef/>
      </w:r>
      <w:r>
        <w:tab/>
        <w:t xml:space="preserve">As </w:t>
      </w:r>
      <w:r w:rsidRPr="00415C95">
        <w:t>footnote 11 above.</w:t>
      </w:r>
    </w:p>
  </w:footnote>
  <w:footnote w:id="61">
    <w:p w14:paraId="4DC7210E" w14:textId="3FEF97CC" w:rsidR="005457BD" w:rsidRPr="00415C95" w:rsidRDefault="005457BD" w:rsidP="003E4382">
      <w:pPr>
        <w:pStyle w:val="FootnoteText"/>
        <w:rPr>
          <w:lang w:val="en-US"/>
        </w:rPr>
      </w:pPr>
      <w:r w:rsidRPr="00415C95">
        <w:tab/>
      </w:r>
      <w:r w:rsidRPr="00415C95">
        <w:rPr>
          <w:rStyle w:val="FootnoteReference"/>
        </w:rPr>
        <w:footnoteRef/>
      </w:r>
      <w:r w:rsidRPr="00415C95">
        <w:tab/>
        <w:t xml:space="preserve">Draft conclusions presented in document </w:t>
      </w:r>
      <w:r w:rsidRPr="00415C95">
        <w:rPr>
          <w:lang w:val="en-US"/>
        </w:rPr>
        <w:t>FCCC/SBSTA/2016/L.12.</w:t>
      </w:r>
    </w:p>
  </w:footnote>
  <w:footnote w:id="62">
    <w:p w14:paraId="6B4BE83E" w14:textId="048DD16F" w:rsidR="005457BD" w:rsidRPr="00D95DD3" w:rsidRDefault="005457BD" w:rsidP="003E4382">
      <w:pPr>
        <w:pStyle w:val="FootnoteText"/>
        <w:widowControl w:val="0"/>
        <w:spacing w:line="240" w:lineRule="auto"/>
        <w:rPr>
          <w:lang w:val="en-US"/>
        </w:rPr>
      </w:pPr>
      <w:r w:rsidRPr="00415C95">
        <w:tab/>
      </w:r>
      <w:r w:rsidRPr="00415C95">
        <w:rPr>
          <w:vertAlign w:val="superscript"/>
        </w:rPr>
        <w:footnoteRef/>
      </w:r>
      <w:r w:rsidRPr="00415C95">
        <w:tab/>
        <w:t>As footnote 11 above.</w:t>
      </w:r>
    </w:p>
  </w:footnote>
  <w:footnote w:id="63">
    <w:p w14:paraId="5A198610" w14:textId="6A0DBFEA" w:rsidR="005457BD" w:rsidRPr="00415C95" w:rsidRDefault="005457BD" w:rsidP="003E4382">
      <w:pPr>
        <w:pStyle w:val="FootnoteText"/>
        <w:rPr>
          <w:lang w:val="en-US"/>
        </w:rPr>
      </w:pPr>
      <w:r>
        <w:tab/>
      </w:r>
      <w:r>
        <w:rPr>
          <w:rStyle w:val="FootnoteReference"/>
        </w:rPr>
        <w:footnoteRef/>
      </w:r>
      <w:r>
        <w:tab/>
      </w:r>
      <w:r w:rsidRPr="008F2D4F">
        <w:t>Draft co</w:t>
      </w:r>
      <w:r w:rsidRPr="00415C95">
        <w:t xml:space="preserve">nclusions presented in document </w:t>
      </w:r>
      <w:r w:rsidRPr="00415C95">
        <w:rPr>
          <w:lang w:val="en-US"/>
        </w:rPr>
        <w:t>FCCC/SBSTA/2016/L.13.</w:t>
      </w:r>
    </w:p>
  </w:footnote>
  <w:footnote w:id="64">
    <w:p w14:paraId="2038F11A" w14:textId="6EFFEADA" w:rsidR="005457BD" w:rsidRPr="00415C95" w:rsidRDefault="005457BD" w:rsidP="003E4382">
      <w:pPr>
        <w:pStyle w:val="FootnoteText"/>
        <w:widowControl w:val="0"/>
        <w:spacing w:line="240" w:lineRule="auto"/>
        <w:rPr>
          <w:lang w:val="en-US"/>
        </w:rPr>
      </w:pPr>
      <w:r w:rsidRPr="00415C95">
        <w:tab/>
      </w:r>
      <w:r w:rsidRPr="00415C95">
        <w:rPr>
          <w:rStyle w:val="FootnoteReference"/>
        </w:rPr>
        <w:footnoteRef/>
      </w:r>
      <w:r w:rsidRPr="00415C95">
        <w:tab/>
        <w:t>As footnote 11 above.</w:t>
      </w:r>
    </w:p>
  </w:footnote>
  <w:footnote w:id="65">
    <w:p w14:paraId="43862B64" w14:textId="7DF79BC4" w:rsidR="005457BD" w:rsidRPr="00415C95" w:rsidRDefault="005457BD" w:rsidP="003E4382">
      <w:pPr>
        <w:pStyle w:val="FootnoteText"/>
        <w:rPr>
          <w:lang w:val="en-US"/>
        </w:rPr>
      </w:pPr>
      <w:r w:rsidRPr="00415C95">
        <w:tab/>
      </w:r>
      <w:r w:rsidRPr="00415C95">
        <w:rPr>
          <w:rStyle w:val="FootnoteReference"/>
        </w:rPr>
        <w:footnoteRef/>
      </w:r>
      <w:r w:rsidRPr="00415C95">
        <w:tab/>
        <w:t xml:space="preserve">Draft conclusions presented in document </w:t>
      </w:r>
      <w:r w:rsidRPr="00415C95">
        <w:rPr>
          <w:lang w:val="en-US"/>
        </w:rPr>
        <w:t>FCCC/SBSTA/2016/L.5.</w:t>
      </w:r>
    </w:p>
  </w:footnote>
  <w:footnote w:id="66">
    <w:p w14:paraId="0D3B76F8" w14:textId="77777777" w:rsidR="005457BD" w:rsidRPr="00415C95" w:rsidRDefault="005457BD" w:rsidP="003E4382">
      <w:pPr>
        <w:pStyle w:val="FootnoteText"/>
        <w:rPr>
          <w:lang w:val="en-US"/>
        </w:rPr>
      </w:pPr>
      <w:r w:rsidRPr="00415C95">
        <w:tab/>
      </w:r>
      <w:r w:rsidRPr="00415C95">
        <w:rPr>
          <w:rStyle w:val="FootnoteReference"/>
        </w:rPr>
        <w:footnoteRef/>
      </w:r>
      <w:r w:rsidRPr="00415C95">
        <w:t xml:space="preserve"> </w:t>
      </w:r>
      <w:r w:rsidRPr="00415C95">
        <w:tab/>
        <w:t>Decision 1/CP.21, paragraph 57.</w:t>
      </w:r>
    </w:p>
  </w:footnote>
  <w:footnote w:id="67">
    <w:p w14:paraId="3D4FC131" w14:textId="2BAE3582" w:rsidR="005457BD" w:rsidRPr="00585096" w:rsidRDefault="005457BD" w:rsidP="003E4382">
      <w:pPr>
        <w:pStyle w:val="FootnoteText"/>
        <w:rPr>
          <w:lang w:val="en-US"/>
        </w:rPr>
      </w:pPr>
      <w:r w:rsidRPr="00415C95">
        <w:tab/>
      </w:r>
      <w:r w:rsidRPr="00415C95">
        <w:rPr>
          <w:rStyle w:val="FootnoteReference"/>
        </w:rPr>
        <w:footnoteRef/>
      </w:r>
      <w:r w:rsidRPr="00415C95">
        <w:t xml:space="preserve"> </w:t>
      </w:r>
      <w:r w:rsidRPr="00415C95">
        <w:tab/>
        <w:t>As footnote 11 above.</w:t>
      </w:r>
    </w:p>
  </w:footnote>
  <w:footnote w:id="68">
    <w:p w14:paraId="37B33803" w14:textId="77777777" w:rsidR="005457BD" w:rsidRPr="00415C95" w:rsidRDefault="005457BD" w:rsidP="003E4382">
      <w:pPr>
        <w:pStyle w:val="FootnoteText"/>
        <w:rPr>
          <w:lang w:val="es-ES_tradnl"/>
        </w:rPr>
      </w:pPr>
      <w:r>
        <w:tab/>
      </w:r>
      <w:r>
        <w:rPr>
          <w:rStyle w:val="FootnoteReference"/>
        </w:rPr>
        <w:footnoteRef/>
      </w:r>
      <w:r w:rsidRPr="00333E0A">
        <w:rPr>
          <w:lang w:val="es-ES_tradnl"/>
        </w:rPr>
        <w:tab/>
      </w:r>
      <w:r w:rsidRPr="00415C95">
        <w:rPr>
          <w:lang w:val="es-ES_tradnl"/>
        </w:rPr>
        <w:t>FCCC/SBSTA/2016/L.14.</w:t>
      </w:r>
    </w:p>
  </w:footnote>
  <w:footnote w:id="69">
    <w:p w14:paraId="2E009B45" w14:textId="701F3504" w:rsidR="005457BD" w:rsidRPr="00415C95" w:rsidRDefault="005457BD" w:rsidP="00293849">
      <w:pPr>
        <w:pStyle w:val="FootnoteText"/>
        <w:rPr>
          <w:lang w:val="es-ES_tradnl"/>
        </w:rPr>
      </w:pPr>
      <w:r w:rsidRPr="00415C95">
        <w:rPr>
          <w:lang w:val="es-ES_tradnl"/>
        </w:rPr>
        <w:tab/>
      </w:r>
      <w:r w:rsidRPr="00415C95">
        <w:rPr>
          <w:rStyle w:val="FootnoteReference"/>
        </w:rPr>
        <w:footnoteRef/>
      </w:r>
      <w:r w:rsidRPr="00415C95">
        <w:rPr>
          <w:lang w:val="es-ES_tradnl"/>
        </w:rPr>
        <w:tab/>
        <w:t>Mandated by decision 13/CP.19, paragraph 4.</w:t>
      </w:r>
    </w:p>
  </w:footnote>
  <w:footnote w:id="70">
    <w:p w14:paraId="542AB5C0" w14:textId="23B695B2" w:rsidR="005457BD" w:rsidRPr="00333E0A" w:rsidRDefault="005457BD" w:rsidP="00293849">
      <w:pPr>
        <w:pStyle w:val="FootnoteText"/>
        <w:rPr>
          <w:lang w:val="es-ES_tradnl"/>
        </w:rPr>
      </w:pPr>
      <w:r w:rsidRPr="00415C95">
        <w:rPr>
          <w:lang w:val="es-ES_tradnl"/>
        </w:rPr>
        <w:tab/>
      </w:r>
      <w:r w:rsidRPr="00415C95">
        <w:rPr>
          <w:rStyle w:val="FootnoteReference"/>
        </w:rPr>
        <w:footnoteRef/>
      </w:r>
      <w:r w:rsidRPr="00415C95">
        <w:rPr>
          <w:lang w:val="es-ES_tradnl"/>
        </w:rPr>
        <w:tab/>
        <w:t>FCCC/SBSTA/2016/INF.2.</w:t>
      </w:r>
    </w:p>
  </w:footnote>
  <w:footnote w:id="71">
    <w:p w14:paraId="7178A24E" w14:textId="77777777" w:rsidR="005457BD" w:rsidRPr="0039324C" w:rsidRDefault="005457BD" w:rsidP="003E4382">
      <w:pPr>
        <w:pStyle w:val="FootnoteText"/>
        <w:rPr>
          <w:lang w:val="en-US"/>
        </w:rPr>
      </w:pPr>
      <w:r w:rsidRPr="00333E0A">
        <w:rPr>
          <w:lang w:val="es-ES_tradnl"/>
        </w:rPr>
        <w:tab/>
      </w:r>
      <w:r>
        <w:rPr>
          <w:rStyle w:val="FootnoteReference"/>
        </w:rPr>
        <w:footnoteRef/>
      </w:r>
      <w:r>
        <w:tab/>
      </w:r>
      <w:r w:rsidRPr="00A042CC">
        <w:rPr>
          <w:lang w:val="en-US"/>
        </w:rPr>
        <w:t>FCCC/SBSTA/2016/L.1.</w:t>
      </w:r>
    </w:p>
  </w:footnote>
  <w:footnote w:id="72">
    <w:p w14:paraId="3BF774A9" w14:textId="42858E73" w:rsidR="005457BD" w:rsidRPr="00CE585E" w:rsidRDefault="005457BD" w:rsidP="00A042CC">
      <w:pPr>
        <w:pStyle w:val="FootnoteText"/>
        <w:rPr>
          <w:lang w:val="en-US"/>
        </w:rPr>
      </w:pPr>
      <w:r>
        <w:tab/>
      </w:r>
      <w:r w:rsidRPr="00A042CC">
        <w:rPr>
          <w:rStyle w:val="FootnoteReference"/>
        </w:rPr>
        <w:footnoteRef/>
      </w:r>
      <w:r>
        <w:tab/>
      </w:r>
      <w:r w:rsidRPr="00A042CC">
        <w:rPr>
          <w:lang w:val="en-US"/>
        </w:rPr>
        <w:t>See footnote 1.</w:t>
      </w:r>
    </w:p>
  </w:footnote>
  <w:footnote w:id="73">
    <w:p w14:paraId="29852F31" w14:textId="5F2718D9" w:rsidR="005457BD" w:rsidRDefault="005457BD" w:rsidP="004C1EF1">
      <w:pPr>
        <w:pStyle w:val="FootnoteText"/>
        <w:rPr>
          <w:lang w:val="en-US"/>
        </w:rPr>
      </w:pPr>
      <w:r>
        <w:tab/>
      </w:r>
      <w:r w:rsidRPr="0038087F">
        <w:rPr>
          <w:rStyle w:val="FootnoteReference"/>
        </w:rPr>
        <w:footnoteRef/>
      </w:r>
      <w:r w:rsidRPr="0038087F">
        <w:tab/>
      </w:r>
      <w:r>
        <w:t xml:space="preserve">See </w:t>
      </w:r>
      <w:r w:rsidRPr="0038087F">
        <w:t>&lt;http://newsroom.unfccc.int/unfccc-newsroom/christiana-figueres-farewell-address-to-delegates/</w:t>
      </w:r>
      <w:r w:rsidRPr="0038087F">
        <w:rPr>
          <w:color w:val="1F497D"/>
        </w:rPr>
        <w:t>&gt;.</w:t>
      </w:r>
    </w:p>
  </w:footnote>
  <w:footnote w:id="74">
    <w:p w14:paraId="73204D05" w14:textId="1F80F5F7" w:rsidR="005457BD" w:rsidRPr="00415C95" w:rsidRDefault="005457BD" w:rsidP="003E4382">
      <w:pPr>
        <w:pStyle w:val="FootnoteText"/>
        <w:rPr>
          <w:lang w:val="en-US"/>
        </w:rPr>
      </w:pPr>
      <w:r>
        <w:tab/>
      </w:r>
      <w:r w:rsidRPr="00415C95">
        <w:rPr>
          <w:rStyle w:val="FootnoteReference"/>
        </w:rPr>
        <w:footnoteRef/>
      </w:r>
      <w:r w:rsidRPr="00415C95">
        <w:tab/>
      </w:r>
      <w:r w:rsidRPr="00415C95">
        <w:rPr>
          <w:lang w:val="en-US"/>
        </w:rPr>
        <w:t>See footnotes 36 and 41, and paragraph 62 above.</w:t>
      </w:r>
    </w:p>
  </w:footnote>
  <w:footnote w:id="75">
    <w:p w14:paraId="3937AEFB" w14:textId="17EA4E3B" w:rsidR="005457BD" w:rsidRPr="00CE585E" w:rsidRDefault="005457BD" w:rsidP="003E4382">
      <w:pPr>
        <w:pStyle w:val="FootnoteText"/>
        <w:rPr>
          <w:lang w:val="en-US"/>
        </w:rPr>
      </w:pPr>
      <w:r w:rsidRPr="00415C95">
        <w:tab/>
      </w:r>
      <w:r w:rsidRPr="00415C95">
        <w:rPr>
          <w:rStyle w:val="FootnoteReference"/>
        </w:rPr>
        <w:footnoteRef/>
      </w:r>
      <w:r w:rsidRPr="00415C95">
        <w:tab/>
      </w:r>
      <w:r w:rsidRPr="00415C95">
        <w:rPr>
          <w:lang w:val="en-US"/>
        </w:rPr>
        <w:t>See footnote 39 above.</w:t>
      </w:r>
    </w:p>
  </w:footnote>
  <w:footnote w:id="76">
    <w:p w14:paraId="49E86BD6" w14:textId="77777777" w:rsidR="005457BD" w:rsidRDefault="005457BD" w:rsidP="00F63B95">
      <w:pPr>
        <w:tabs>
          <w:tab w:val="right" w:pos="993"/>
        </w:tabs>
        <w:suppressAutoHyphens w:val="0"/>
        <w:autoSpaceDE w:val="0"/>
        <w:autoSpaceDN w:val="0"/>
        <w:adjustRightInd w:val="0"/>
        <w:spacing w:line="240" w:lineRule="auto"/>
        <w:ind w:left="1134" w:right="1133" w:hanging="567"/>
        <w:rPr>
          <w:lang w:val="en-US"/>
        </w:rPr>
      </w:pPr>
      <w:r>
        <w:tab/>
      </w:r>
      <w:r w:rsidRPr="00DD6EC5">
        <w:rPr>
          <w:rStyle w:val="FootnoteReference"/>
        </w:rPr>
        <w:footnoteRef/>
      </w:r>
      <w:r w:rsidRPr="00DD6EC5">
        <w:tab/>
      </w:r>
      <w:r w:rsidRPr="00DD6EC5">
        <w:rPr>
          <w:sz w:val="18"/>
        </w:rPr>
        <w:t>Decision 11/CP. 21, paragraphs 5 and 6, reads: “</w:t>
      </w:r>
      <w:r w:rsidRPr="00DD6EC5">
        <w:rPr>
          <w:rFonts w:eastAsiaTheme="minorHAnsi"/>
          <w:iCs/>
          <w:sz w:val="18"/>
          <w:lang w:val="en-US" w:eastAsia="en-US"/>
        </w:rPr>
        <w:t xml:space="preserve">Adopts </w:t>
      </w:r>
      <w:r w:rsidRPr="00DD6EC5">
        <w:rPr>
          <w:rFonts w:eastAsiaTheme="minorHAnsi"/>
          <w:sz w:val="18"/>
          <w:lang w:val="en-US" w:eastAsia="en-US"/>
        </w:rPr>
        <w:t xml:space="preserve">the work programme comprising the following areas: (a) Economic diversification and transformation; (b) Just transition of the workforce, and the creation of decent work and quality jobs; </w:t>
      </w:r>
      <w:r w:rsidRPr="00DD6EC5">
        <w:rPr>
          <w:rFonts w:eastAsiaTheme="minorHAnsi"/>
          <w:iCs/>
          <w:sz w:val="18"/>
          <w:lang w:val="en-US" w:eastAsia="en-US"/>
        </w:rPr>
        <w:t>Decides</w:t>
      </w:r>
      <w:r w:rsidRPr="00DD6EC5">
        <w:rPr>
          <w:rFonts w:eastAsiaTheme="minorHAnsi"/>
          <w:i/>
          <w:iCs/>
          <w:sz w:val="18"/>
          <w:lang w:val="en-US" w:eastAsia="en-US"/>
        </w:rPr>
        <w:t xml:space="preserve"> </w:t>
      </w:r>
      <w:r w:rsidRPr="00DD6EC5">
        <w:rPr>
          <w:rFonts w:eastAsiaTheme="minorHAnsi"/>
          <w:sz w:val="18"/>
          <w:lang w:val="en-US" w:eastAsia="en-US"/>
        </w:rPr>
        <w:t>that the implementation of the work programme shall address the needs of all Parties, in particular developing country Parties, and shall be informed, inter alia, by the assessment and analysis of impacts, including the use and development of economic modelling, taking into account all relevant policy issues of concern”</w:t>
      </w:r>
      <w:r w:rsidRPr="00DD6EC5">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EBCA8" w14:textId="77777777" w:rsidR="005457BD" w:rsidRDefault="005457BD">
    <w:pPr>
      <w:pStyle w:val="Header"/>
    </w:pPr>
    <w:r>
      <w:t>FCCC/SBSTA/2016/2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8C6E" w14:textId="77777777" w:rsidR="005457BD" w:rsidRDefault="005457BD" w:rsidP="0053031D">
    <w:pPr>
      <w:pStyle w:val="Header"/>
      <w:jc w:val="right"/>
    </w:pPr>
    <w:r>
      <w:t>FCCC/SBSTA/2016/2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FEA17" w14:textId="77777777" w:rsidR="005457BD" w:rsidRDefault="005457BD" w:rsidP="00902CB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DDD76" w14:textId="77777777" w:rsidR="005457BD" w:rsidRPr="00887A81" w:rsidRDefault="005457BD" w:rsidP="00E457CD">
    <w:pPr>
      <w:pStyle w:val="Header"/>
    </w:pPr>
    <w:r>
      <w:t>FCCC/SBI/2016/L.7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CC00D" w14:textId="77777777" w:rsidR="005457BD" w:rsidRDefault="005457BD" w:rsidP="004C1EF1">
    <w:pPr>
      <w:pStyle w:val="Header"/>
      <w:jc w:val="right"/>
    </w:pPr>
    <w:r>
      <w:t>FCCC/SBSTA/2016/2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4192F" w14:textId="77777777" w:rsidR="005457BD" w:rsidRDefault="005457BD" w:rsidP="00E457C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F89"/>
    <w:multiLevelType w:val="hybridMultilevel"/>
    <w:tmpl w:val="46604760"/>
    <w:lvl w:ilvl="0" w:tplc="82381BA6">
      <w:start w:val="1"/>
      <w:numFmt w:val="decimal"/>
      <w:pStyle w:val="Tabletitle"/>
      <w:lvlText w:val="Table %1."/>
      <w:lvlJc w:val="left"/>
      <w:pPr>
        <w:tabs>
          <w:tab w:val="num" w:pos="108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0A7F6925"/>
    <w:multiLevelType w:val="hybridMultilevel"/>
    <w:tmpl w:val="FAB6E46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23354E"/>
    <w:multiLevelType w:val="multilevel"/>
    <w:tmpl w:val="B5AAB432"/>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1135"/>
        </w:tabs>
        <w:ind w:left="1702"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sz w:val="20"/>
        <w:szCs w:val="2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 w15:restartNumberingAfterBreak="0">
    <w:nsid w:val="103B58A1"/>
    <w:multiLevelType w:val="hybridMultilevel"/>
    <w:tmpl w:val="D124D9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C4888"/>
    <w:multiLevelType w:val="hybridMultilevel"/>
    <w:tmpl w:val="8382A26A"/>
    <w:lvl w:ilvl="0" w:tplc="FFFFFFFF">
      <w:start w:val="1"/>
      <w:numFmt w:val="lowerLetter"/>
      <w:pStyle w:val="AnnoHead3"/>
      <w:lvlText w:val="%1"/>
      <w:lvlJc w:val="left"/>
      <w:pPr>
        <w:tabs>
          <w:tab w:val="num" w:pos="360"/>
        </w:tabs>
        <w:ind w:left="113" w:hanging="113"/>
      </w:pPr>
      <w:rPr>
        <w:rFonts w:cs="Times New Roman" w:hint="default"/>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7"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8" w15:restartNumberingAfterBreak="0">
    <w:nsid w:val="1CE47B41"/>
    <w:multiLevelType w:val="hybridMultilevel"/>
    <w:tmpl w:val="A1E690F2"/>
    <w:lvl w:ilvl="0" w:tplc="FFFFFFFF">
      <w:start w:val="1"/>
      <w:numFmt w:val="decimal"/>
      <w:pStyle w:val="Figuretitle"/>
      <w:lvlText w:val="Figure %1."/>
      <w:lvlJc w:val="left"/>
      <w:pPr>
        <w:tabs>
          <w:tab w:val="num" w:pos="1080"/>
        </w:tabs>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b w:val="0"/>
        <w:sz w:val="22"/>
        <w:szCs w:val="22"/>
        <w:lang w:val="en-US"/>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9"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0" w15:restartNumberingAfterBreak="0">
    <w:nsid w:val="248F4941"/>
    <w:multiLevelType w:val="hybridMultilevel"/>
    <w:tmpl w:val="3BDCD7A0"/>
    <w:name w:val="Reg5"/>
    <w:lvl w:ilvl="0" w:tplc="0409000F">
      <w:start w:val="1"/>
      <w:numFmt w:val="decimal"/>
      <w:lvlText w:val="%1."/>
      <w:lvlJc w:val="left"/>
      <w:pPr>
        <w:tabs>
          <w:tab w:val="num" w:pos="1070"/>
        </w:tabs>
        <w:ind w:left="1070" w:hanging="360"/>
      </w:pPr>
    </w:lvl>
    <w:lvl w:ilvl="1" w:tplc="06A09354">
      <w:start w:val="1"/>
      <w:numFmt w:val="lowerLetter"/>
      <w:lvlText w:val="(%2)"/>
      <w:lvlJc w:val="left"/>
      <w:pPr>
        <w:tabs>
          <w:tab w:val="num" w:pos="1440"/>
        </w:tabs>
        <w:ind w:left="1440" w:hanging="360"/>
      </w:pPr>
      <w:rPr>
        <w:rFonts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8D3BB7"/>
    <w:multiLevelType w:val="hybridMultilevel"/>
    <w:tmpl w:val="301E4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715BE5"/>
    <w:multiLevelType w:val="multilevel"/>
    <w:tmpl w:val="FD203EAE"/>
    <w:name w:val="Reg8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428120B6"/>
    <w:multiLevelType w:val="multilevel"/>
    <w:tmpl w:val="23DC3AAA"/>
    <w:lvl w:ilvl="0">
      <w:start w:val="1"/>
      <w:numFmt w:val="upperRoman"/>
      <w:pStyle w:val="MainTitle"/>
      <w:suff w:val="space"/>
      <w:lvlText w:val="%1. "/>
      <w:lvlJc w:val="right"/>
      <w:pPr>
        <w:ind w:firstLine="244"/>
      </w:pPr>
      <w:rPr>
        <w:rFonts w:cs="Times New Roman"/>
        <w:sz w:val="28"/>
        <w:szCs w:val="28"/>
      </w:rPr>
    </w:lvl>
    <w:lvl w:ilvl="1">
      <w:start w:val="1"/>
      <w:numFmt w:val="decimal"/>
      <w:suff w:val="space"/>
      <w:lvlText w:val="%2. "/>
      <w:lvlJc w:val="left"/>
      <w:rPr>
        <w:rFonts w:cs="Times New Roman"/>
        <w:b/>
        <w:bCs/>
        <w:sz w:val="22"/>
        <w:szCs w:val="22"/>
        <w:u w:val="none"/>
      </w:rPr>
    </w:lvl>
    <w:lvl w:ilvl="2">
      <w:start w:val="1"/>
      <w:numFmt w:val="lowerLetter"/>
      <w:lvlText w:val="(%3)"/>
      <w:lvlJc w:val="left"/>
      <w:pPr>
        <w:tabs>
          <w:tab w:val="num" w:pos="720"/>
        </w:tabs>
        <w:ind w:left="720" w:hanging="720"/>
      </w:pPr>
      <w:rPr>
        <w:rFonts w:cs="Times New Roman"/>
        <w:b w:val="0"/>
        <w:bCs w:val="0"/>
        <w:sz w:val="22"/>
        <w:szCs w:val="22"/>
        <w:u w:val="none"/>
      </w:rPr>
    </w:lvl>
    <w:lvl w:ilvl="3">
      <w:start w:val="1"/>
      <w:numFmt w:val="lowerRoman"/>
      <w:lvlText w:val="(%4)"/>
      <w:lvlJc w:val="right"/>
      <w:pPr>
        <w:tabs>
          <w:tab w:val="num" w:pos="1440"/>
        </w:tabs>
        <w:ind w:left="1440" w:hanging="533"/>
      </w:pPr>
      <w:rPr>
        <w:rFonts w:ascii="Times New Roman" w:hAnsi="Times New Roman" w:cs="Times New Roman"/>
        <w:b w:val="0"/>
        <w:bCs w:val="0"/>
        <w:sz w:val="22"/>
        <w:szCs w:val="22"/>
        <w:u w:val="none"/>
      </w:rPr>
    </w:lvl>
    <w:lvl w:ilvl="4">
      <w:start w:val="1"/>
      <w:numFmt w:val="decimal"/>
      <w:lvlText w:val="%5."/>
      <w:lvlJc w:val="left"/>
      <w:pPr>
        <w:tabs>
          <w:tab w:val="num" w:pos="720"/>
        </w:tabs>
        <w:ind w:left="720" w:hanging="720"/>
      </w:pPr>
      <w:rPr>
        <w:rFonts w:ascii="Times New Roman" w:hAnsi="Times New Roman" w:cs="Times New Roman"/>
        <w:b w:val="0"/>
        <w:bCs w:val="0"/>
        <w:sz w:val="22"/>
        <w:szCs w:val="22"/>
        <w:u w:val="none"/>
      </w:rPr>
    </w:lvl>
    <w:lvl w:ilvl="5">
      <w:start w:val="1"/>
      <w:numFmt w:val="lowerLetter"/>
      <w:lvlText w:val="(%6)"/>
      <w:lvlJc w:val="left"/>
      <w:pPr>
        <w:tabs>
          <w:tab w:val="num" w:pos="1440"/>
        </w:tabs>
        <w:ind w:left="1440" w:hanging="720"/>
      </w:pPr>
      <w:rPr>
        <w:rFonts w:cs="Times New Roman"/>
        <w:sz w:val="22"/>
        <w:szCs w:val="22"/>
        <w:u w:val="none"/>
      </w:rPr>
    </w:lvl>
    <w:lvl w:ilvl="6">
      <w:start w:val="1"/>
      <w:numFmt w:val="decimal"/>
      <w:lvlText w:val="%7."/>
      <w:lvlJc w:val="left"/>
      <w:pPr>
        <w:tabs>
          <w:tab w:val="num" w:pos="1440"/>
        </w:tabs>
        <w:ind w:left="1440" w:hanging="720"/>
      </w:pPr>
      <w:rPr>
        <w:rFonts w:ascii="Symbol" w:hAnsi="Symbol" w:cs="Symbol" w:hint="default"/>
        <w:sz w:val="22"/>
        <w:szCs w:val="22"/>
        <w:u w:val="none"/>
      </w:rPr>
    </w:lvl>
    <w:lvl w:ilvl="7">
      <w:start w:val="1"/>
      <w:numFmt w:val="lowerLetter"/>
      <w:lvlText w:val="(%8)"/>
      <w:lvlJc w:val="left"/>
      <w:pPr>
        <w:tabs>
          <w:tab w:val="num" w:pos="2160"/>
        </w:tabs>
        <w:ind w:left="2160" w:hanging="720"/>
      </w:pPr>
      <w:rPr>
        <w:rFonts w:cs="Times New Roman"/>
        <w:sz w:val="22"/>
        <w:szCs w:val="22"/>
        <w:u w:val="none"/>
      </w:rPr>
    </w:lvl>
    <w:lvl w:ilvl="8">
      <w:start w:val="1"/>
      <w:numFmt w:val="lowerLetter"/>
      <w:lvlText w:val=""/>
      <w:lvlJc w:val="left"/>
      <w:pPr>
        <w:tabs>
          <w:tab w:val="num" w:pos="2880"/>
        </w:tabs>
        <w:ind w:left="2880" w:hanging="720"/>
      </w:pPr>
      <w:rPr>
        <w:rFonts w:ascii="Symbol" w:hAnsi="Symbol" w:cs="Symbol" w:hint="default"/>
        <w:u w:val="none"/>
      </w:rPr>
    </w:lvl>
  </w:abstractNum>
  <w:abstractNum w:abstractNumId="14" w15:restartNumberingAfterBreak="0">
    <w:nsid w:val="42C9489F"/>
    <w:multiLevelType w:val="multilevel"/>
    <w:tmpl w:val="E18C40EE"/>
    <w:name w:val="Reg35"/>
    <w:lvl w:ilvl="0">
      <w:start w:val="1"/>
      <w:numFmt w:val="upperRoman"/>
      <w:lvlText w:val="%1."/>
      <w:lvlJc w:val="right"/>
      <w:pPr>
        <w:tabs>
          <w:tab w:val="num" w:pos="720"/>
        </w:tabs>
        <w:ind w:left="720" w:hanging="720"/>
      </w:pPr>
      <w:rPr>
        <w:rFonts w:cs="Times New Roman" w:hint="default"/>
        <w:b w:val="0"/>
        <w:caps/>
        <w:smallCaps w:val="0"/>
        <w:sz w:val="22"/>
      </w:rPr>
    </w:lvl>
    <w:lvl w:ilvl="1">
      <w:start w:val="1"/>
      <w:numFmt w:val="decimal"/>
      <w:lvlText w:val="%2. "/>
      <w:lvlJc w:val="left"/>
      <w:pPr>
        <w:tabs>
          <w:tab w:val="num" w:pos="1440"/>
        </w:tabs>
        <w:ind w:left="1440" w:hanging="720"/>
      </w:pPr>
      <w:rPr>
        <w:rFonts w:cs="Times New Roman" w:hint="default"/>
        <w:b/>
        <w:i w:val="0"/>
        <w:sz w:val="22"/>
        <w:u w:val="none"/>
      </w:rPr>
    </w:lvl>
    <w:lvl w:ilvl="2">
      <w:start w:val="1"/>
      <w:numFmt w:val="decimal"/>
      <w:lvlText w:val="%3."/>
      <w:lvlJc w:val="left"/>
      <w:pPr>
        <w:tabs>
          <w:tab w:val="num" w:pos="2160"/>
        </w:tabs>
        <w:ind w:left="2160" w:hanging="720"/>
      </w:pPr>
      <w:rPr>
        <w:rFonts w:cs="Times New Roman" w:hint="default"/>
        <w:b w:val="0"/>
        <w:sz w:val="22"/>
        <w:u w:val="none"/>
      </w:rPr>
    </w:lvl>
    <w:lvl w:ilvl="3">
      <w:start w:val="1"/>
      <w:numFmt w:val="decimal"/>
      <w:lvlText w:val=""/>
      <w:lvlJc w:val="left"/>
      <w:pPr>
        <w:tabs>
          <w:tab w:val="num" w:pos="1440"/>
        </w:tabs>
        <w:ind w:left="1440"/>
      </w:pPr>
      <w:rPr>
        <w:rFonts w:cs="Times New Roman" w:hint="default"/>
        <w:b w:val="0"/>
        <w:sz w:val="22"/>
      </w:rPr>
    </w:lvl>
    <w:lvl w:ilvl="4">
      <w:start w:val="1"/>
      <w:numFmt w:val="lowerLetter"/>
      <w:lvlText w:val="(%5)"/>
      <w:lvlJc w:val="left"/>
      <w:pPr>
        <w:tabs>
          <w:tab w:val="num" w:pos="1800"/>
        </w:tabs>
        <w:ind w:left="1800" w:hanging="360"/>
      </w:pPr>
      <w:rPr>
        <w:rFonts w:cs="Times New Roman" w:hint="default"/>
        <w:b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42C966C7"/>
    <w:multiLevelType w:val="multilevel"/>
    <w:tmpl w:val="07DCDBF2"/>
    <w:lvl w:ilvl="0">
      <w:start w:val="1"/>
      <w:numFmt w:val="decimal"/>
      <w:lvlText w:val="%1. "/>
      <w:lvlJc w:val="left"/>
      <w:pPr>
        <w:tabs>
          <w:tab w:val="num" w:pos="840"/>
        </w:tabs>
        <w:ind w:firstLine="720"/>
      </w:pPr>
      <w:rPr>
        <w:rFonts w:cs="Times New Roman" w:hint="default"/>
      </w:rPr>
    </w:lvl>
    <w:lvl w:ilvl="1">
      <w:start w:val="1"/>
      <w:numFmt w:val="lowerLetter"/>
      <w:lvlText w:val="(%2)"/>
      <w:lvlJc w:val="left"/>
      <w:pPr>
        <w:tabs>
          <w:tab w:val="num" w:pos="840"/>
        </w:tabs>
        <w:ind w:firstLine="720"/>
      </w:pPr>
      <w:rPr>
        <w:rFonts w:cs="Times New Roman" w:hint="default"/>
        <w:b w:val="0"/>
        <w:bCs w:val="0"/>
      </w:rPr>
    </w:lvl>
    <w:lvl w:ilvl="2">
      <w:start w:val="1"/>
      <w:numFmt w:val="lowerLetter"/>
      <w:pStyle w:val="AnnoHead2"/>
      <w:lvlText w:val="(%3)"/>
      <w:lvlJc w:val="left"/>
      <w:pPr>
        <w:tabs>
          <w:tab w:val="num" w:pos="1560"/>
        </w:tabs>
        <w:ind w:left="1560" w:hanging="720"/>
      </w:pPr>
      <w:rPr>
        <w:rFonts w:cs="Times New Roman" w:hint="default"/>
        <w:b w:val="0"/>
        <w:bCs w:val="0"/>
      </w:rPr>
    </w:lvl>
    <w:lvl w:ilvl="3">
      <w:start w:val="1"/>
      <w:numFmt w:val="decimal"/>
      <w:lvlText w:val="[%4."/>
      <w:lvlJc w:val="left"/>
      <w:pPr>
        <w:tabs>
          <w:tab w:val="num" w:pos="840"/>
        </w:tabs>
        <w:ind w:firstLine="720"/>
      </w:pPr>
      <w:rPr>
        <w:rFonts w:cs="Times New Roman" w:hint="default"/>
      </w:rPr>
    </w:lvl>
    <w:lvl w:ilvl="4">
      <w:start w:val="1"/>
      <w:numFmt w:val="lowerLetter"/>
      <w:lvlText w:val="[(%5)"/>
      <w:lvlJc w:val="left"/>
      <w:pPr>
        <w:tabs>
          <w:tab w:val="num" w:pos="840"/>
        </w:tabs>
        <w:ind w:firstLine="720"/>
      </w:pPr>
      <w:rPr>
        <w:rFonts w:cs="Times New Roman" w:hint="default"/>
      </w:rPr>
    </w:lvl>
    <w:lvl w:ilvl="5">
      <w:start w:val="1"/>
      <w:numFmt w:val="lowerLetter"/>
      <w:lvlText w:val="[(%6)"/>
      <w:lvlJc w:val="left"/>
      <w:pPr>
        <w:tabs>
          <w:tab w:val="num" w:pos="1560"/>
        </w:tabs>
        <w:ind w:left="1560" w:hanging="720"/>
      </w:pPr>
      <w:rPr>
        <w:rFonts w:cs="Times New Roman" w:hint="default"/>
      </w:rPr>
    </w:lvl>
    <w:lvl w:ilvl="6">
      <w:start w:val="1"/>
      <w:numFmt w:val="none"/>
      <w:lvlText w:val=""/>
      <w:lvlJc w:val="left"/>
      <w:pPr>
        <w:tabs>
          <w:tab w:val="num" w:pos="-600"/>
        </w:tabs>
      </w:pPr>
      <w:rPr>
        <w:rFonts w:cs="Times New Roman" w:hint="default"/>
      </w:rPr>
    </w:lvl>
    <w:lvl w:ilvl="7">
      <w:start w:val="1"/>
      <w:numFmt w:val="none"/>
      <w:lvlText w:val=""/>
      <w:lvlJc w:val="left"/>
      <w:pPr>
        <w:tabs>
          <w:tab w:val="num" w:pos="-600"/>
        </w:tabs>
      </w:pPr>
      <w:rPr>
        <w:rFonts w:cs="Times New Roman" w:hint="default"/>
      </w:rPr>
    </w:lvl>
    <w:lvl w:ilvl="8">
      <w:start w:val="1"/>
      <w:numFmt w:val="none"/>
      <w:lvlText w:val=""/>
      <w:lvlJc w:val="left"/>
      <w:pPr>
        <w:tabs>
          <w:tab w:val="num" w:pos="-600"/>
        </w:tabs>
      </w:pPr>
      <w:rPr>
        <w:rFonts w:cs="Times New Roman" w:hint="default"/>
      </w:rPr>
    </w:lvl>
  </w:abstractNum>
  <w:abstractNum w:abstractNumId="16"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C22C22"/>
    <w:multiLevelType w:val="multilevel"/>
    <w:tmpl w:val="6AAE194C"/>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8" w15:restartNumberingAfterBreak="0">
    <w:nsid w:val="791C0224"/>
    <w:multiLevelType w:val="hybridMultilevel"/>
    <w:tmpl w:val="D6341764"/>
    <w:lvl w:ilvl="0" w:tplc="C18A487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6"/>
  </w:num>
  <w:num w:numId="3">
    <w:abstractNumId w:val="9"/>
  </w:num>
  <w:num w:numId="4">
    <w:abstractNumId w:val="4"/>
  </w:num>
  <w:num w:numId="5">
    <w:abstractNumId w:val="10"/>
  </w:num>
  <w:num w:numId="6">
    <w:abstractNumId w:val="2"/>
  </w:num>
  <w:num w:numId="7">
    <w:abstractNumId w:val="15"/>
  </w:num>
  <w:num w:numId="8">
    <w:abstractNumId w:val="6"/>
  </w:num>
  <w:num w:numId="9">
    <w:abstractNumId w:val="13"/>
  </w:num>
  <w:num w:numId="10">
    <w:abstractNumId w:val="8"/>
  </w:num>
  <w:num w:numId="11">
    <w:abstractNumId w:val="0"/>
  </w:num>
  <w:num w:numId="12">
    <w:abstractNumId w:val="5"/>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6">
    <w:abstractNumId w:val="7"/>
  </w:num>
  <w:num w:numId="17">
    <w:abstractNumId w:val="4"/>
  </w:num>
  <w:num w:numId="18">
    <w:abstractNumId w:val="4"/>
  </w:num>
  <w:num w:numId="19">
    <w:abstractNumId w:val="4"/>
  </w:num>
  <w:num w:numId="20">
    <w:abstractNumId w:val="4"/>
  </w:num>
  <w:num w:numId="21">
    <w:abstractNumId w:val="3"/>
  </w:num>
  <w:num w:numId="22">
    <w:abstractNumId w:val="18"/>
  </w:num>
  <w:num w:numId="23">
    <w:abstractNumId w:val="4"/>
  </w:num>
  <w:num w:numId="24">
    <w:abstractNumId w:val="4"/>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147457"/>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14"/>
    <w:rsid w:val="00004A30"/>
    <w:rsid w:val="00004AA0"/>
    <w:rsid w:val="00004E5D"/>
    <w:rsid w:val="00004F5B"/>
    <w:rsid w:val="000058B4"/>
    <w:rsid w:val="00005CCD"/>
    <w:rsid w:val="000146D8"/>
    <w:rsid w:val="00014BD9"/>
    <w:rsid w:val="00015DCB"/>
    <w:rsid w:val="00016722"/>
    <w:rsid w:val="000175B8"/>
    <w:rsid w:val="00017DF9"/>
    <w:rsid w:val="00021BB6"/>
    <w:rsid w:val="000221A8"/>
    <w:rsid w:val="00024FE8"/>
    <w:rsid w:val="000252E3"/>
    <w:rsid w:val="00025C7E"/>
    <w:rsid w:val="0002634C"/>
    <w:rsid w:val="00026403"/>
    <w:rsid w:val="0002643C"/>
    <w:rsid w:val="00026994"/>
    <w:rsid w:val="000272A2"/>
    <w:rsid w:val="00034D4D"/>
    <w:rsid w:val="0003573F"/>
    <w:rsid w:val="000379F9"/>
    <w:rsid w:val="00041716"/>
    <w:rsid w:val="000423A6"/>
    <w:rsid w:val="000424BC"/>
    <w:rsid w:val="00043BB1"/>
    <w:rsid w:val="00043CB6"/>
    <w:rsid w:val="00045B6D"/>
    <w:rsid w:val="00050593"/>
    <w:rsid w:val="000519ED"/>
    <w:rsid w:val="00051EF1"/>
    <w:rsid w:val="000555B3"/>
    <w:rsid w:val="000561BD"/>
    <w:rsid w:val="00057C1A"/>
    <w:rsid w:val="00061EF6"/>
    <w:rsid w:val="00064081"/>
    <w:rsid w:val="000642AE"/>
    <w:rsid w:val="00066274"/>
    <w:rsid w:val="00071358"/>
    <w:rsid w:val="000713B0"/>
    <w:rsid w:val="00071A50"/>
    <w:rsid w:val="0007242E"/>
    <w:rsid w:val="000737C1"/>
    <w:rsid w:val="00074855"/>
    <w:rsid w:val="00076113"/>
    <w:rsid w:val="0007732A"/>
    <w:rsid w:val="00077770"/>
    <w:rsid w:val="00082E24"/>
    <w:rsid w:val="00082EC6"/>
    <w:rsid w:val="0008386C"/>
    <w:rsid w:val="000854BE"/>
    <w:rsid w:val="00087D7D"/>
    <w:rsid w:val="000913E6"/>
    <w:rsid w:val="0009256D"/>
    <w:rsid w:val="00093044"/>
    <w:rsid w:val="0009486D"/>
    <w:rsid w:val="00094D5C"/>
    <w:rsid w:val="0009553F"/>
    <w:rsid w:val="000977E9"/>
    <w:rsid w:val="000A0AB5"/>
    <w:rsid w:val="000A399F"/>
    <w:rsid w:val="000A433E"/>
    <w:rsid w:val="000A566F"/>
    <w:rsid w:val="000A5DFF"/>
    <w:rsid w:val="000A7247"/>
    <w:rsid w:val="000B026B"/>
    <w:rsid w:val="000B1794"/>
    <w:rsid w:val="000B1ECD"/>
    <w:rsid w:val="000B1FD0"/>
    <w:rsid w:val="000B3B23"/>
    <w:rsid w:val="000B3D48"/>
    <w:rsid w:val="000B6EBC"/>
    <w:rsid w:val="000C056C"/>
    <w:rsid w:val="000C0625"/>
    <w:rsid w:val="000C24E3"/>
    <w:rsid w:val="000C4CAA"/>
    <w:rsid w:val="000C5173"/>
    <w:rsid w:val="000C6468"/>
    <w:rsid w:val="000D4B8F"/>
    <w:rsid w:val="000D5DED"/>
    <w:rsid w:val="000D6858"/>
    <w:rsid w:val="000D6D4A"/>
    <w:rsid w:val="000D7734"/>
    <w:rsid w:val="000E1038"/>
    <w:rsid w:val="000E114A"/>
    <w:rsid w:val="000E14A8"/>
    <w:rsid w:val="000E1621"/>
    <w:rsid w:val="000E5A58"/>
    <w:rsid w:val="000E6B6B"/>
    <w:rsid w:val="000F0422"/>
    <w:rsid w:val="000F1E9B"/>
    <w:rsid w:val="000F3F24"/>
    <w:rsid w:val="000F42A5"/>
    <w:rsid w:val="000F5470"/>
    <w:rsid w:val="000F65C1"/>
    <w:rsid w:val="000F74B8"/>
    <w:rsid w:val="000F75FE"/>
    <w:rsid w:val="001007C9"/>
    <w:rsid w:val="001008D9"/>
    <w:rsid w:val="00101D6A"/>
    <w:rsid w:val="001037F1"/>
    <w:rsid w:val="00104660"/>
    <w:rsid w:val="001059D4"/>
    <w:rsid w:val="00105E3D"/>
    <w:rsid w:val="00106384"/>
    <w:rsid w:val="00106EDC"/>
    <w:rsid w:val="00107510"/>
    <w:rsid w:val="001120A4"/>
    <w:rsid w:val="001123AC"/>
    <w:rsid w:val="001134FC"/>
    <w:rsid w:val="00115C4E"/>
    <w:rsid w:val="001161D6"/>
    <w:rsid w:val="00116237"/>
    <w:rsid w:val="00116585"/>
    <w:rsid w:val="0011781E"/>
    <w:rsid w:val="001206C1"/>
    <w:rsid w:val="001206FD"/>
    <w:rsid w:val="00120A95"/>
    <w:rsid w:val="00120E84"/>
    <w:rsid w:val="00122561"/>
    <w:rsid w:val="0012291C"/>
    <w:rsid w:val="00123C52"/>
    <w:rsid w:val="001240BB"/>
    <w:rsid w:val="00127311"/>
    <w:rsid w:val="001328F9"/>
    <w:rsid w:val="00132ABE"/>
    <w:rsid w:val="0013458D"/>
    <w:rsid w:val="00134B21"/>
    <w:rsid w:val="001356FF"/>
    <w:rsid w:val="00135E5C"/>
    <w:rsid w:val="00136F4D"/>
    <w:rsid w:val="001379D0"/>
    <w:rsid w:val="00140724"/>
    <w:rsid w:val="00140F9D"/>
    <w:rsid w:val="001428B0"/>
    <w:rsid w:val="00146B78"/>
    <w:rsid w:val="001502F6"/>
    <w:rsid w:val="00150E54"/>
    <w:rsid w:val="00152669"/>
    <w:rsid w:val="00152A6E"/>
    <w:rsid w:val="001531C7"/>
    <w:rsid w:val="001538CF"/>
    <w:rsid w:val="0015463A"/>
    <w:rsid w:val="00156874"/>
    <w:rsid w:val="001572A1"/>
    <w:rsid w:val="001600D9"/>
    <w:rsid w:val="00161C6D"/>
    <w:rsid w:val="00162755"/>
    <w:rsid w:val="0016400E"/>
    <w:rsid w:val="0016540C"/>
    <w:rsid w:val="0016649B"/>
    <w:rsid w:val="00170658"/>
    <w:rsid w:val="00172CDC"/>
    <w:rsid w:val="00172CF0"/>
    <w:rsid w:val="001738F1"/>
    <w:rsid w:val="00174014"/>
    <w:rsid w:val="00174A05"/>
    <w:rsid w:val="00177074"/>
    <w:rsid w:val="00181806"/>
    <w:rsid w:val="001823C8"/>
    <w:rsid w:val="00183A36"/>
    <w:rsid w:val="00184AE3"/>
    <w:rsid w:val="00184C03"/>
    <w:rsid w:val="00186A4F"/>
    <w:rsid w:val="001906D0"/>
    <w:rsid w:val="0019094F"/>
    <w:rsid w:val="0019124C"/>
    <w:rsid w:val="00191DE1"/>
    <w:rsid w:val="001923A5"/>
    <w:rsid w:val="0019394F"/>
    <w:rsid w:val="0019430F"/>
    <w:rsid w:val="001945C7"/>
    <w:rsid w:val="00194CF5"/>
    <w:rsid w:val="00195CF8"/>
    <w:rsid w:val="0019656B"/>
    <w:rsid w:val="001A0026"/>
    <w:rsid w:val="001A1C7F"/>
    <w:rsid w:val="001A31D6"/>
    <w:rsid w:val="001A344C"/>
    <w:rsid w:val="001A67C6"/>
    <w:rsid w:val="001B085A"/>
    <w:rsid w:val="001B1218"/>
    <w:rsid w:val="001B1483"/>
    <w:rsid w:val="001B2EA9"/>
    <w:rsid w:val="001B5789"/>
    <w:rsid w:val="001B5FDC"/>
    <w:rsid w:val="001B6F2F"/>
    <w:rsid w:val="001C0039"/>
    <w:rsid w:val="001C0201"/>
    <w:rsid w:val="001C268A"/>
    <w:rsid w:val="001C309C"/>
    <w:rsid w:val="001C32C4"/>
    <w:rsid w:val="001C38D6"/>
    <w:rsid w:val="001C3BA9"/>
    <w:rsid w:val="001C409D"/>
    <w:rsid w:val="001C59E9"/>
    <w:rsid w:val="001C5E16"/>
    <w:rsid w:val="001C7747"/>
    <w:rsid w:val="001D096A"/>
    <w:rsid w:val="001D1E0E"/>
    <w:rsid w:val="001D37F2"/>
    <w:rsid w:val="001D6F11"/>
    <w:rsid w:val="001E3C7F"/>
    <w:rsid w:val="001E4B89"/>
    <w:rsid w:val="001E5845"/>
    <w:rsid w:val="001E60D6"/>
    <w:rsid w:val="001E65B6"/>
    <w:rsid w:val="001F1C87"/>
    <w:rsid w:val="001F409E"/>
    <w:rsid w:val="001F5259"/>
    <w:rsid w:val="001F5C80"/>
    <w:rsid w:val="002025E1"/>
    <w:rsid w:val="00202D89"/>
    <w:rsid w:val="0020302E"/>
    <w:rsid w:val="00203ABF"/>
    <w:rsid w:val="002046CA"/>
    <w:rsid w:val="002058C5"/>
    <w:rsid w:val="0021003F"/>
    <w:rsid w:val="00212334"/>
    <w:rsid w:val="002129DD"/>
    <w:rsid w:val="00213D49"/>
    <w:rsid w:val="00214D00"/>
    <w:rsid w:val="00216C5B"/>
    <w:rsid w:val="00220F28"/>
    <w:rsid w:val="002217FD"/>
    <w:rsid w:val="00223453"/>
    <w:rsid w:val="00224DB3"/>
    <w:rsid w:val="00225477"/>
    <w:rsid w:val="00230D0F"/>
    <w:rsid w:val="00231CAA"/>
    <w:rsid w:val="00231E5A"/>
    <w:rsid w:val="00231FB5"/>
    <w:rsid w:val="00232479"/>
    <w:rsid w:val="00232545"/>
    <w:rsid w:val="00232AA7"/>
    <w:rsid w:val="00232EA5"/>
    <w:rsid w:val="00234DDF"/>
    <w:rsid w:val="002362CB"/>
    <w:rsid w:val="00237780"/>
    <w:rsid w:val="002422D0"/>
    <w:rsid w:val="00243203"/>
    <w:rsid w:val="0024447B"/>
    <w:rsid w:val="002467BA"/>
    <w:rsid w:val="00246888"/>
    <w:rsid w:val="00250037"/>
    <w:rsid w:val="002510AE"/>
    <w:rsid w:val="0025187D"/>
    <w:rsid w:val="00251967"/>
    <w:rsid w:val="00251FF9"/>
    <w:rsid w:val="002523DD"/>
    <w:rsid w:val="00254059"/>
    <w:rsid w:val="00256CFB"/>
    <w:rsid w:val="00257AA3"/>
    <w:rsid w:val="0026023A"/>
    <w:rsid w:val="0026060A"/>
    <w:rsid w:val="0026066B"/>
    <w:rsid w:val="00260E77"/>
    <w:rsid w:val="00264F17"/>
    <w:rsid w:val="00266232"/>
    <w:rsid w:val="00266FC7"/>
    <w:rsid w:val="00267841"/>
    <w:rsid w:val="00273E8E"/>
    <w:rsid w:val="00275328"/>
    <w:rsid w:val="002768EA"/>
    <w:rsid w:val="00276A17"/>
    <w:rsid w:val="00276F6D"/>
    <w:rsid w:val="00277476"/>
    <w:rsid w:val="002779EB"/>
    <w:rsid w:val="00280B3B"/>
    <w:rsid w:val="00283A71"/>
    <w:rsid w:val="00283CCA"/>
    <w:rsid w:val="002859C9"/>
    <w:rsid w:val="0029007C"/>
    <w:rsid w:val="00292DC3"/>
    <w:rsid w:val="00293849"/>
    <w:rsid w:val="00293F16"/>
    <w:rsid w:val="00293F2D"/>
    <w:rsid w:val="002947C9"/>
    <w:rsid w:val="00295062"/>
    <w:rsid w:val="00295866"/>
    <w:rsid w:val="00296D7D"/>
    <w:rsid w:val="00297004"/>
    <w:rsid w:val="002972DE"/>
    <w:rsid w:val="0029733B"/>
    <w:rsid w:val="00297C1E"/>
    <w:rsid w:val="002A0366"/>
    <w:rsid w:val="002A245A"/>
    <w:rsid w:val="002A2E62"/>
    <w:rsid w:val="002A4ABC"/>
    <w:rsid w:val="002A59C0"/>
    <w:rsid w:val="002A6347"/>
    <w:rsid w:val="002A744B"/>
    <w:rsid w:val="002A7D79"/>
    <w:rsid w:val="002B0283"/>
    <w:rsid w:val="002B0997"/>
    <w:rsid w:val="002B09A9"/>
    <w:rsid w:val="002B09BC"/>
    <w:rsid w:val="002B2C80"/>
    <w:rsid w:val="002B4253"/>
    <w:rsid w:val="002B446B"/>
    <w:rsid w:val="002B4AD3"/>
    <w:rsid w:val="002B72CE"/>
    <w:rsid w:val="002B7532"/>
    <w:rsid w:val="002C051E"/>
    <w:rsid w:val="002C11F7"/>
    <w:rsid w:val="002C2830"/>
    <w:rsid w:val="002C29FB"/>
    <w:rsid w:val="002C32CD"/>
    <w:rsid w:val="002C37A3"/>
    <w:rsid w:val="002C3FBD"/>
    <w:rsid w:val="002C52A6"/>
    <w:rsid w:val="002C63CA"/>
    <w:rsid w:val="002C7EB6"/>
    <w:rsid w:val="002D107A"/>
    <w:rsid w:val="002D120E"/>
    <w:rsid w:val="002D14F8"/>
    <w:rsid w:val="002D5DA6"/>
    <w:rsid w:val="002D5F71"/>
    <w:rsid w:val="002D7200"/>
    <w:rsid w:val="002E0459"/>
    <w:rsid w:val="002E06E5"/>
    <w:rsid w:val="002E17B2"/>
    <w:rsid w:val="002E1F34"/>
    <w:rsid w:val="002E2767"/>
    <w:rsid w:val="002E2ED9"/>
    <w:rsid w:val="002E44C3"/>
    <w:rsid w:val="002E4BE7"/>
    <w:rsid w:val="002E559D"/>
    <w:rsid w:val="002E5739"/>
    <w:rsid w:val="002E6911"/>
    <w:rsid w:val="002F0495"/>
    <w:rsid w:val="002F0BD9"/>
    <w:rsid w:val="002F19B9"/>
    <w:rsid w:val="002F24FA"/>
    <w:rsid w:val="002F304A"/>
    <w:rsid w:val="002F60E8"/>
    <w:rsid w:val="00300CFD"/>
    <w:rsid w:val="003012AF"/>
    <w:rsid w:val="00303D34"/>
    <w:rsid w:val="003040E9"/>
    <w:rsid w:val="0030465B"/>
    <w:rsid w:val="00304894"/>
    <w:rsid w:val="00304F7B"/>
    <w:rsid w:val="00306423"/>
    <w:rsid w:val="00311F59"/>
    <w:rsid w:val="00314659"/>
    <w:rsid w:val="00314766"/>
    <w:rsid w:val="003147E4"/>
    <w:rsid w:val="00315CC9"/>
    <w:rsid w:val="00316CED"/>
    <w:rsid w:val="0031733F"/>
    <w:rsid w:val="00317440"/>
    <w:rsid w:val="00321626"/>
    <w:rsid w:val="00322680"/>
    <w:rsid w:val="003270E4"/>
    <w:rsid w:val="00327575"/>
    <w:rsid w:val="00327B89"/>
    <w:rsid w:val="00331418"/>
    <w:rsid w:val="00333E0A"/>
    <w:rsid w:val="0033619E"/>
    <w:rsid w:val="00336DC3"/>
    <w:rsid w:val="003407D3"/>
    <w:rsid w:val="00340A08"/>
    <w:rsid w:val="003415A2"/>
    <w:rsid w:val="0034291B"/>
    <w:rsid w:val="00342DBD"/>
    <w:rsid w:val="00344067"/>
    <w:rsid w:val="00344AD3"/>
    <w:rsid w:val="003455DC"/>
    <w:rsid w:val="0035062C"/>
    <w:rsid w:val="00350BB1"/>
    <w:rsid w:val="003539A0"/>
    <w:rsid w:val="003540CA"/>
    <w:rsid w:val="00355F7A"/>
    <w:rsid w:val="00360694"/>
    <w:rsid w:val="00361821"/>
    <w:rsid w:val="00361B71"/>
    <w:rsid w:val="003628C6"/>
    <w:rsid w:val="00364B85"/>
    <w:rsid w:val="00364BC9"/>
    <w:rsid w:val="00365B37"/>
    <w:rsid w:val="00365B57"/>
    <w:rsid w:val="00365E38"/>
    <w:rsid w:val="00366B34"/>
    <w:rsid w:val="00367CF3"/>
    <w:rsid w:val="003701F1"/>
    <w:rsid w:val="00370D70"/>
    <w:rsid w:val="0037261D"/>
    <w:rsid w:val="00373AA5"/>
    <w:rsid w:val="00374412"/>
    <w:rsid w:val="003754D0"/>
    <w:rsid w:val="00375F53"/>
    <w:rsid w:val="00377BD6"/>
    <w:rsid w:val="0038047C"/>
    <w:rsid w:val="00381632"/>
    <w:rsid w:val="00383494"/>
    <w:rsid w:val="0038407A"/>
    <w:rsid w:val="003851D6"/>
    <w:rsid w:val="00386D69"/>
    <w:rsid w:val="003914CE"/>
    <w:rsid w:val="003921AE"/>
    <w:rsid w:val="0039324C"/>
    <w:rsid w:val="0039613A"/>
    <w:rsid w:val="00396320"/>
    <w:rsid w:val="00397DBB"/>
    <w:rsid w:val="003A20A5"/>
    <w:rsid w:val="003A2E53"/>
    <w:rsid w:val="003A4936"/>
    <w:rsid w:val="003A5714"/>
    <w:rsid w:val="003A7513"/>
    <w:rsid w:val="003B10DB"/>
    <w:rsid w:val="003B13CB"/>
    <w:rsid w:val="003B225A"/>
    <w:rsid w:val="003B2633"/>
    <w:rsid w:val="003B2C11"/>
    <w:rsid w:val="003C0307"/>
    <w:rsid w:val="003C1C02"/>
    <w:rsid w:val="003C3854"/>
    <w:rsid w:val="003C6C08"/>
    <w:rsid w:val="003C70C2"/>
    <w:rsid w:val="003C75B9"/>
    <w:rsid w:val="003D08C2"/>
    <w:rsid w:val="003D152A"/>
    <w:rsid w:val="003D1A53"/>
    <w:rsid w:val="003D1F6F"/>
    <w:rsid w:val="003D25CD"/>
    <w:rsid w:val="003D3327"/>
    <w:rsid w:val="003D5414"/>
    <w:rsid w:val="003D663F"/>
    <w:rsid w:val="003D6B47"/>
    <w:rsid w:val="003E01E8"/>
    <w:rsid w:val="003E1E40"/>
    <w:rsid w:val="003E4382"/>
    <w:rsid w:val="003E66E0"/>
    <w:rsid w:val="003E78BE"/>
    <w:rsid w:val="003F245F"/>
    <w:rsid w:val="003F25BE"/>
    <w:rsid w:val="003F2762"/>
    <w:rsid w:val="003F2D0D"/>
    <w:rsid w:val="003F3787"/>
    <w:rsid w:val="003F50DB"/>
    <w:rsid w:val="003F6D8B"/>
    <w:rsid w:val="003F6FA3"/>
    <w:rsid w:val="003F7301"/>
    <w:rsid w:val="004019C5"/>
    <w:rsid w:val="00401AF1"/>
    <w:rsid w:val="0040291B"/>
    <w:rsid w:val="0040442D"/>
    <w:rsid w:val="00404855"/>
    <w:rsid w:val="00405104"/>
    <w:rsid w:val="004061BF"/>
    <w:rsid w:val="004069B6"/>
    <w:rsid w:val="00406B3E"/>
    <w:rsid w:val="0040717A"/>
    <w:rsid w:val="00410508"/>
    <w:rsid w:val="004144E9"/>
    <w:rsid w:val="00415C95"/>
    <w:rsid w:val="00417292"/>
    <w:rsid w:val="004175FC"/>
    <w:rsid w:val="00422A55"/>
    <w:rsid w:val="00422C76"/>
    <w:rsid w:val="004270BE"/>
    <w:rsid w:val="00427DA2"/>
    <w:rsid w:val="0043016D"/>
    <w:rsid w:val="004307DE"/>
    <w:rsid w:val="00431F90"/>
    <w:rsid w:val="0043305A"/>
    <w:rsid w:val="00433351"/>
    <w:rsid w:val="00434380"/>
    <w:rsid w:val="00436109"/>
    <w:rsid w:val="0043729E"/>
    <w:rsid w:val="00443651"/>
    <w:rsid w:val="00444FA4"/>
    <w:rsid w:val="00450855"/>
    <w:rsid w:val="0045142E"/>
    <w:rsid w:val="00451764"/>
    <w:rsid w:val="004537BC"/>
    <w:rsid w:val="004539F4"/>
    <w:rsid w:val="00454605"/>
    <w:rsid w:val="004578AD"/>
    <w:rsid w:val="00461F73"/>
    <w:rsid w:val="004621BC"/>
    <w:rsid w:val="004678E4"/>
    <w:rsid w:val="00471DA1"/>
    <w:rsid w:val="00473CD9"/>
    <w:rsid w:val="00473E25"/>
    <w:rsid w:val="00474A4A"/>
    <w:rsid w:val="004812E6"/>
    <w:rsid w:val="00483113"/>
    <w:rsid w:val="0048523B"/>
    <w:rsid w:val="00485971"/>
    <w:rsid w:val="00487A8E"/>
    <w:rsid w:val="00487DED"/>
    <w:rsid w:val="00491372"/>
    <w:rsid w:val="00491F5F"/>
    <w:rsid w:val="00492986"/>
    <w:rsid w:val="004954AB"/>
    <w:rsid w:val="004977C3"/>
    <w:rsid w:val="004A148F"/>
    <w:rsid w:val="004A3B42"/>
    <w:rsid w:val="004A47C8"/>
    <w:rsid w:val="004A5C61"/>
    <w:rsid w:val="004A65BD"/>
    <w:rsid w:val="004A6729"/>
    <w:rsid w:val="004A67DD"/>
    <w:rsid w:val="004B0BAA"/>
    <w:rsid w:val="004B2869"/>
    <w:rsid w:val="004B2E9F"/>
    <w:rsid w:val="004B344F"/>
    <w:rsid w:val="004B3454"/>
    <w:rsid w:val="004B501A"/>
    <w:rsid w:val="004B510A"/>
    <w:rsid w:val="004B5ACF"/>
    <w:rsid w:val="004B5B04"/>
    <w:rsid w:val="004B608B"/>
    <w:rsid w:val="004B6403"/>
    <w:rsid w:val="004B683C"/>
    <w:rsid w:val="004C0B71"/>
    <w:rsid w:val="004C1EF1"/>
    <w:rsid w:val="004C3254"/>
    <w:rsid w:val="004C41FD"/>
    <w:rsid w:val="004C62F4"/>
    <w:rsid w:val="004D1DEB"/>
    <w:rsid w:val="004D1E69"/>
    <w:rsid w:val="004D42F5"/>
    <w:rsid w:val="004D587A"/>
    <w:rsid w:val="004D6784"/>
    <w:rsid w:val="004D7023"/>
    <w:rsid w:val="004D72AF"/>
    <w:rsid w:val="004D7AB0"/>
    <w:rsid w:val="004E04E4"/>
    <w:rsid w:val="004E1342"/>
    <w:rsid w:val="004E1B85"/>
    <w:rsid w:val="004E2287"/>
    <w:rsid w:val="004E3BC8"/>
    <w:rsid w:val="004E40C3"/>
    <w:rsid w:val="004E5C58"/>
    <w:rsid w:val="004E5D99"/>
    <w:rsid w:val="004E630A"/>
    <w:rsid w:val="004F0D45"/>
    <w:rsid w:val="004F3B5D"/>
    <w:rsid w:val="004F606D"/>
    <w:rsid w:val="004F615A"/>
    <w:rsid w:val="004F6624"/>
    <w:rsid w:val="0050216C"/>
    <w:rsid w:val="005030B1"/>
    <w:rsid w:val="00503373"/>
    <w:rsid w:val="005043DA"/>
    <w:rsid w:val="00504621"/>
    <w:rsid w:val="0050570C"/>
    <w:rsid w:val="005070B5"/>
    <w:rsid w:val="00511EA0"/>
    <w:rsid w:val="00513611"/>
    <w:rsid w:val="00515A74"/>
    <w:rsid w:val="00516070"/>
    <w:rsid w:val="0051681C"/>
    <w:rsid w:val="0051694F"/>
    <w:rsid w:val="00516BEA"/>
    <w:rsid w:val="00516DA4"/>
    <w:rsid w:val="00517246"/>
    <w:rsid w:val="00517811"/>
    <w:rsid w:val="0052002C"/>
    <w:rsid w:val="00523EC5"/>
    <w:rsid w:val="00524582"/>
    <w:rsid w:val="00524859"/>
    <w:rsid w:val="00525151"/>
    <w:rsid w:val="0052553A"/>
    <w:rsid w:val="005255F0"/>
    <w:rsid w:val="0053012B"/>
    <w:rsid w:val="0053031D"/>
    <w:rsid w:val="00531541"/>
    <w:rsid w:val="0053359A"/>
    <w:rsid w:val="00533C40"/>
    <w:rsid w:val="00536C6B"/>
    <w:rsid w:val="00537176"/>
    <w:rsid w:val="00537748"/>
    <w:rsid w:val="00537B3E"/>
    <w:rsid w:val="00540504"/>
    <w:rsid w:val="00540FD1"/>
    <w:rsid w:val="005416D2"/>
    <w:rsid w:val="00541ACD"/>
    <w:rsid w:val="00541BEC"/>
    <w:rsid w:val="0054219E"/>
    <w:rsid w:val="005457BD"/>
    <w:rsid w:val="00545E57"/>
    <w:rsid w:val="005464AA"/>
    <w:rsid w:val="00546735"/>
    <w:rsid w:val="005474C8"/>
    <w:rsid w:val="005507D0"/>
    <w:rsid w:val="00553322"/>
    <w:rsid w:val="00553E73"/>
    <w:rsid w:val="005549B8"/>
    <w:rsid w:val="00557991"/>
    <w:rsid w:val="00557A3A"/>
    <w:rsid w:val="00557C1A"/>
    <w:rsid w:val="00560D4A"/>
    <w:rsid w:val="0056229B"/>
    <w:rsid w:val="0056252E"/>
    <w:rsid w:val="005627AB"/>
    <w:rsid w:val="005646B5"/>
    <w:rsid w:val="005657D6"/>
    <w:rsid w:val="00565AF2"/>
    <w:rsid w:val="00566853"/>
    <w:rsid w:val="00573130"/>
    <w:rsid w:val="00576132"/>
    <w:rsid w:val="00576AEB"/>
    <w:rsid w:val="00576F19"/>
    <w:rsid w:val="00577C17"/>
    <w:rsid w:val="00582007"/>
    <w:rsid w:val="00582A51"/>
    <w:rsid w:val="00582DF4"/>
    <w:rsid w:val="0058480B"/>
    <w:rsid w:val="00584C9E"/>
    <w:rsid w:val="0058577E"/>
    <w:rsid w:val="0059011E"/>
    <w:rsid w:val="00592405"/>
    <w:rsid w:val="0059337A"/>
    <w:rsid w:val="00595C19"/>
    <w:rsid w:val="005A0171"/>
    <w:rsid w:val="005A0777"/>
    <w:rsid w:val="005A1844"/>
    <w:rsid w:val="005A18E4"/>
    <w:rsid w:val="005A2DAC"/>
    <w:rsid w:val="005A4266"/>
    <w:rsid w:val="005A70ED"/>
    <w:rsid w:val="005A75BE"/>
    <w:rsid w:val="005B0CBA"/>
    <w:rsid w:val="005B18A8"/>
    <w:rsid w:val="005B2FA1"/>
    <w:rsid w:val="005B4B58"/>
    <w:rsid w:val="005B6515"/>
    <w:rsid w:val="005B6FCB"/>
    <w:rsid w:val="005C072C"/>
    <w:rsid w:val="005C08EC"/>
    <w:rsid w:val="005C0996"/>
    <w:rsid w:val="005C13A9"/>
    <w:rsid w:val="005C23B6"/>
    <w:rsid w:val="005C450B"/>
    <w:rsid w:val="005C5F86"/>
    <w:rsid w:val="005C610A"/>
    <w:rsid w:val="005C772A"/>
    <w:rsid w:val="005C77E4"/>
    <w:rsid w:val="005D0DEA"/>
    <w:rsid w:val="005D23BD"/>
    <w:rsid w:val="005D2517"/>
    <w:rsid w:val="005D3E27"/>
    <w:rsid w:val="005D4419"/>
    <w:rsid w:val="005D5302"/>
    <w:rsid w:val="005D6379"/>
    <w:rsid w:val="005D6AD8"/>
    <w:rsid w:val="005D6B7B"/>
    <w:rsid w:val="005E0502"/>
    <w:rsid w:val="005E0567"/>
    <w:rsid w:val="005E1BFF"/>
    <w:rsid w:val="005E2BE4"/>
    <w:rsid w:val="005E3129"/>
    <w:rsid w:val="005E5213"/>
    <w:rsid w:val="005E61E5"/>
    <w:rsid w:val="005E65AC"/>
    <w:rsid w:val="005F0AC8"/>
    <w:rsid w:val="005F0B0C"/>
    <w:rsid w:val="005F1AA2"/>
    <w:rsid w:val="005F2B42"/>
    <w:rsid w:val="005F2C61"/>
    <w:rsid w:val="005F5C31"/>
    <w:rsid w:val="006002E5"/>
    <w:rsid w:val="00601526"/>
    <w:rsid w:val="006018E0"/>
    <w:rsid w:val="00602764"/>
    <w:rsid w:val="00603D73"/>
    <w:rsid w:val="0060551E"/>
    <w:rsid w:val="00605D39"/>
    <w:rsid w:val="00605E76"/>
    <w:rsid w:val="006061E5"/>
    <w:rsid w:val="00606C3C"/>
    <w:rsid w:val="006101BB"/>
    <w:rsid w:val="00610A32"/>
    <w:rsid w:val="0061111B"/>
    <w:rsid w:val="0061162B"/>
    <w:rsid w:val="00611795"/>
    <w:rsid w:val="00611E89"/>
    <w:rsid w:val="00614B7B"/>
    <w:rsid w:val="00614F83"/>
    <w:rsid w:val="00617B57"/>
    <w:rsid w:val="00617FBE"/>
    <w:rsid w:val="00620329"/>
    <w:rsid w:val="006204D0"/>
    <w:rsid w:val="00620725"/>
    <w:rsid w:val="006227E4"/>
    <w:rsid w:val="0062367F"/>
    <w:rsid w:val="00623A1F"/>
    <w:rsid w:val="00630C65"/>
    <w:rsid w:val="00630FF3"/>
    <w:rsid w:val="00631B8F"/>
    <w:rsid w:val="00631EE2"/>
    <w:rsid w:val="00633491"/>
    <w:rsid w:val="00633BF3"/>
    <w:rsid w:val="006345BC"/>
    <w:rsid w:val="00634FA2"/>
    <w:rsid w:val="00635E07"/>
    <w:rsid w:val="0063667C"/>
    <w:rsid w:val="0063687B"/>
    <w:rsid w:val="006379C7"/>
    <w:rsid w:val="00640255"/>
    <w:rsid w:val="006411BA"/>
    <w:rsid w:val="00641F29"/>
    <w:rsid w:val="006441D3"/>
    <w:rsid w:val="00647762"/>
    <w:rsid w:val="00651017"/>
    <w:rsid w:val="00655893"/>
    <w:rsid w:val="00655F79"/>
    <w:rsid w:val="0066159F"/>
    <w:rsid w:val="00661A88"/>
    <w:rsid w:val="00663F14"/>
    <w:rsid w:val="00671BA0"/>
    <w:rsid w:val="00671D62"/>
    <w:rsid w:val="006745C1"/>
    <w:rsid w:val="00674C06"/>
    <w:rsid w:val="0067541C"/>
    <w:rsid w:val="006810D8"/>
    <w:rsid w:val="00681680"/>
    <w:rsid w:val="0068196E"/>
    <w:rsid w:val="00681E75"/>
    <w:rsid w:val="00682753"/>
    <w:rsid w:val="0068486F"/>
    <w:rsid w:val="006869C5"/>
    <w:rsid w:val="00687740"/>
    <w:rsid w:val="00690E9D"/>
    <w:rsid w:val="00692EFE"/>
    <w:rsid w:val="00693901"/>
    <w:rsid w:val="00695F65"/>
    <w:rsid w:val="006973FA"/>
    <w:rsid w:val="006A218E"/>
    <w:rsid w:val="006A2A74"/>
    <w:rsid w:val="006A3385"/>
    <w:rsid w:val="006A4832"/>
    <w:rsid w:val="006A4B40"/>
    <w:rsid w:val="006A4FC4"/>
    <w:rsid w:val="006A63F7"/>
    <w:rsid w:val="006B06DB"/>
    <w:rsid w:val="006B13CC"/>
    <w:rsid w:val="006B1E0C"/>
    <w:rsid w:val="006B2D17"/>
    <w:rsid w:val="006B62F2"/>
    <w:rsid w:val="006B6D3A"/>
    <w:rsid w:val="006B7101"/>
    <w:rsid w:val="006C0FD1"/>
    <w:rsid w:val="006C3606"/>
    <w:rsid w:val="006C4D09"/>
    <w:rsid w:val="006C5710"/>
    <w:rsid w:val="006C5C9F"/>
    <w:rsid w:val="006C60C8"/>
    <w:rsid w:val="006C6136"/>
    <w:rsid w:val="006D0BDC"/>
    <w:rsid w:val="006D10D3"/>
    <w:rsid w:val="006D208E"/>
    <w:rsid w:val="006D2B5F"/>
    <w:rsid w:val="006D2FA7"/>
    <w:rsid w:val="006D3A9F"/>
    <w:rsid w:val="006D4571"/>
    <w:rsid w:val="006D48B5"/>
    <w:rsid w:val="006D6E19"/>
    <w:rsid w:val="006E19BB"/>
    <w:rsid w:val="006E2336"/>
    <w:rsid w:val="006E2FF6"/>
    <w:rsid w:val="006E4557"/>
    <w:rsid w:val="006E5A54"/>
    <w:rsid w:val="006E6852"/>
    <w:rsid w:val="006F1BFA"/>
    <w:rsid w:val="006F1C82"/>
    <w:rsid w:val="006F2099"/>
    <w:rsid w:val="006F2373"/>
    <w:rsid w:val="006F249B"/>
    <w:rsid w:val="006F3B22"/>
    <w:rsid w:val="006F4C09"/>
    <w:rsid w:val="006F635A"/>
    <w:rsid w:val="006F67A6"/>
    <w:rsid w:val="00700EEF"/>
    <w:rsid w:val="00702F6D"/>
    <w:rsid w:val="00705FB2"/>
    <w:rsid w:val="00706ACC"/>
    <w:rsid w:val="007112BE"/>
    <w:rsid w:val="0071428F"/>
    <w:rsid w:val="00714504"/>
    <w:rsid w:val="00714734"/>
    <w:rsid w:val="00715D8F"/>
    <w:rsid w:val="00716DA7"/>
    <w:rsid w:val="00717BC5"/>
    <w:rsid w:val="00720193"/>
    <w:rsid w:val="00720610"/>
    <w:rsid w:val="007217D6"/>
    <w:rsid w:val="00722138"/>
    <w:rsid w:val="00722519"/>
    <w:rsid w:val="00724A86"/>
    <w:rsid w:val="00725DA5"/>
    <w:rsid w:val="00725E99"/>
    <w:rsid w:val="0072650A"/>
    <w:rsid w:val="00726562"/>
    <w:rsid w:val="007269A8"/>
    <w:rsid w:val="0072708F"/>
    <w:rsid w:val="0073048C"/>
    <w:rsid w:val="00730606"/>
    <w:rsid w:val="0073154D"/>
    <w:rsid w:val="00732F3B"/>
    <w:rsid w:val="00733436"/>
    <w:rsid w:val="007334B2"/>
    <w:rsid w:val="007334C8"/>
    <w:rsid w:val="00733560"/>
    <w:rsid w:val="00734054"/>
    <w:rsid w:val="00734735"/>
    <w:rsid w:val="0073583C"/>
    <w:rsid w:val="00740EA8"/>
    <w:rsid w:val="00741FEC"/>
    <w:rsid w:val="007420C9"/>
    <w:rsid w:val="00742F78"/>
    <w:rsid w:val="00743AAE"/>
    <w:rsid w:val="00743DE7"/>
    <w:rsid w:val="00745AE4"/>
    <w:rsid w:val="00747769"/>
    <w:rsid w:val="00750AE3"/>
    <w:rsid w:val="00750D81"/>
    <w:rsid w:val="00752275"/>
    <w:rsid w:val="00752FEF"/>
    <w:rsid w:val="00753A7F"/>
    <w:rsid w:val="00754145"/>
    <w:rsid w:val="0075469A"/>
    <w:rsid w:val="00757398"/>
    <w:rsid w:val="007610B9"/>
    <w:rsid w:val="007619D5"/>
    <w:rsid w:val="007626E6"/>
    <w:rsid w:val="00762B1E"/>
    <w:rsid w:val="007658FD"/>
    <w:rsid w:val="007662FB"/>
    <w:rsid w:val="00767F77"/>
    <w:rsid w:val="007712B0"/>
    <w:rsid w:val="007719B7"/>
    <w:rsid w:val="00772595"/>
    <w:rsid w:val="00772C4F"/>
    <w:rsid w:val="00774809"/>
    <w:rsid w:val="007760E2"/>
    <w:rsid w:val="00776DD9"/>
    <w:rsid w:val="00780E58"/>
    <w:rsid w:val="00781B68"/>
    <w:rsid w:val="00783B23"/>
    <w:rsid w:val="007843F8"/>
    <w:rsid w:val="00786A69"/>
    <w:rsid w:val="007877C1"/>
    <w:rsid w:val="0079031A"/>
    <w:rsid w:val="00790640"/>
    <w:rsid w:val="007909BF"/>
    <w:rsid w:val="007911B0"/>
    <w:rsid w:val="00791779"/>
    <w:rsid w:val="00793790"/>
    <w:rsid w:val="007943A0"/>
    <w:rsid w:val="00795065"/>
    <w:rsid w:val="00796440"/>
    <w:rsid w:val="00797706"/>
    <w:rsid w:val="007A0B8A"/>
    <w:rsid w:val="007A2872"/>
    <w:rsid w:val="007A4624"/>
    <w:rsid w:val="007A6C53"/>
    <w:rsid w:val="007A6EBC"/>
    <w:rsid w:val="007B0DFC"/>
    <w:rsid w:val="007B282F"/>
    <w:rsid w:val="007B3DA8"/>
    <w:rsid w:val="007B4324"/>
    <w:rsid w:val="007B5605"/>
    <w:rsid w:val="007B699D"/>
    <w:rsid w:val="007C03AB"/>
    <w:rsid w:val="007C07CE"/>
    <w:rsid w:val="007C1863"/>
    <w:rsid w:val="007C4282"/>
    <w:rsid w:val="007C43B0"/>
    <w:rsid w:val="007C572A"/>
    <w:rsid w:val="007C6570"/>
    <w:rsid w:val="007C6C19"/>
    <w:rsid w:val="007D0DEF"/>
    <w:rsid w:val="007D15A1"/>
    <w:rsid w:val="007D219A"/>
    <w:rsid w:val="007D23C7"/>
    <w:rsid w:val="007D38D8"/>
    <w:rsid w:val="007D3A77"/>
    <w:rsid w:val="007D3BA3"/>
    <w:rsid w:val="007D46D9"/>
    <w:rsid w:val="007D6052"/>
    <w:rsid w:val="007D6699"/>
    <w:rsid w:val="007D718B"/>
    <w:rsid w:val="007E0DB6"/>
    <w:rsid w:val="007E164B"/>
    <w:rsid w:val="007E1786"/>
    <w:rsid w:val="007E178F"/>
    <w:rsid w:val="007E2A04"/>
    <w:rsid w:val="007E3E9C"/>
    <w:rsid w:val="007E5010"/>
    <w:rsid w:val="007E553F"/>
    <w:rsid w:val="007E5A0D"/>
    <w:rsid w:val="007E5BFE"/>
    <w:rsid w:val="007F0046"/>
    <w:rsid w:val="007F0845"/>
    <w:rsid w:val="007F0864"/>
    <w:rsid w:val="007F0AF1"/>
    <w:rsid w:val="007F0E27"/>
    <w:rsid w:val="007F11A7"/>
    <w:rsid w:val="007F2A3C"/>
    <w:rsid w:val="007F3850"/>
    <w:rsid w:val="007F3D63"/>
    <w:rsid w:val="007F452E"/>
    <w:rsid w:val="007F5855"/>
    <w:rsid w:val="007F6C8A"/>
    <w:rsid w:val="007F7443"/>
    <w:rsid w:val="007F7599"/>
    <w:rsid w:val="007F782B"/>
    <w:rsid w:val="00801C61"/>
    <w:rsid w:val="00802646"/>
    <w:rsid w:val="00804275"/>
    <w:rsid w:val="00805529"/>
    <w:rsid w:val="00807134"/>
    <w:rsid w:val="008071D5"/>
    <w:rsid w:val="00807D78"/>
    <w:rsid w:val="008101EA"/>
    <w:rsid w:val="00810726"/>
    <w:rsid w:val="00812B40"/>
    <w:rsid w:val="00812CF8"/>
    <w:rsid w:val="00812D14"/>
    <w:rsid w:val="00816CC0"/>
    <w:rsid w:val="0081743A"/>
    <w:rsid w:val="008206FA"/>
    <w:rsid w:val="00821927"/>
    <w:rsid w:val="00822406"/>
    <w:rsid w:val="00824785"/>
    <w:rsid w:val="00825E81"/>
    <w:rsid w:val="008263F2"/>
    <w:rsid w:val="00826595"/>
    <w:rsid w:val="008271DD"/>
    <w:rsid w:val="00830C6B"/>
    <w:rsid w:val="0083172F"/>
    <w:rsid w:val="008337A8"/>
    <w:rsid w:val="00836754"/>
    <w:rsid w:val="00836B92"/>
    <w:rsid w:val="00836E37"/>
    <w:rsid w:val="008370E0"/>
    <w:rsid w:val="00837C85"/>
    <w:rsid w:val="00837FCD"/>
    <w:rsid w:val="0084026C"/>
    <w:rsid w:val="00840C03"/>
    <w:rsid w:val="008419FD"/>
    <w:rsid w:val="00841F6A"/>
    <w:rsid w:val="00841FE7"/>
    <w:rsid w:val="00842D2A"/>
    <w:rsid w:val="00843B0B"/>
    <w:rsid w:val="00844072"/>
    <w:rsid w:val="00844367"/>
    <w:rsid w:val="00847A56"/>
    <w:rsid w:val="008506AF"/>
    <w:rsid w:val="00850A4F"/>
    <w:rsid w:val="00850BA0"/>
    <w:rsid w:val="00854277"/>
    <w:rsid w:val="00854F81"/>
    <w:rsid w:val="00855437"/>
    <w:rsid w:val="00856DD3"/>
    <w:rsid w:val="00857A55"/>
    <w:rsid w:val="0086015C"/>
    <w:rsid w:val="00860DCA"/>
    <w:rsid w:val="00861C71"/>
    <w:rsid w:val="00863182"/>
    <w:rsid w:val="008631E0"/>
    <w:rsid w:val="0086382D"/>
    <w:rsid w:val="008646D6"/>
    <w:rsid w:val="00866CE2"/>
    <w:rsid w:val="00867354"/>
    <w:rsid w:val="008714B1"/>
    <w:rsid w:val="00873FF2"/>
    <w:rsid w:val="008751FE"/>
    <w:rsid w:val="00881574"/>
    <w:rsid w:val="00885849"/>
    <w:rsid w:val="00885BDE"/>
    <w:rsid w:val="00885D45"/>
    <w:rsid w:val="00885EE0"/>
    <w:rsid w:val="00886A75"/>
    <w:rsid w:val="008903A8"/>
    <w:rsid w:val="008927A8"/>
    <w:rsid w:val="00895C82"/>
    <w:rsid w:val="00895D28"/>
    <w:rsid w:val="008A1C2B"/>
    <w:rsid w:val="008A2DE6"/>
    <w:rsid w:val="008A323C"/>
    <w:rsid w:val="008A3980"/>
    <w:rsid w:val="008A3A69"/>
    <w:rsid w:val="008A3ABF"/>
    <w:rsid w:val="008A40C1"/>
    <w:rsid w:val="008A519E"/>
    <w:rsid w:val="008A55D7"/>
    <w:rsid w:val="008A56D2"/>
    <w:rsid w:val="008A58AC"/>
    <w:rsid w:val="008A6125"/>
    <w:rsid w:val="008A688F"/>
    <w:rsid w:val="008A7864"/>
    <w:rsid w:val="008B0BDE"/>
    <w:rsid w:val="008B13E2"/>
    <w:rsid w:val="008B17FB"/>
    <w:rsid w:val="008B1FAC"/>
    <w:rsid w:val="008B2230"/>
    <w:rsid w:val="008B323E"/>
    <w:rsid w:val="008B4372"/>
    <w:rsid w:val="008B43FB"/>
    <w:rsid w:val="008B49DB"/>
    <w:rsid w:val="008B7C82"/>
    <w:rsid w:val="008C0003"/>
    <w:rsid w:val="008C0858"/>
    <w:rsid w:val="008C24B2"/>
    <w:rsid w:val="008C3312"/>
    <w:rsid w:val="008C42B4"/>
    <w:rsid w:val="008C5BC0"/>
    <w:rsid w:val="008C6BA7"/>
    <w:rsid w:val="008C6C43"/>
    <w:rsid w:val="008C6DAB"/>
    <w:rsid w:val="008C7112"/>
    <w:rsid w:val="008D042E"/>
    <w:rsid w:val="008D2CDD"/>
    <w:rsid w:val="008D3B82"/>
    <w:rsid w:val="008D3EE8"/>
    <w:rsid w:val="008D502B"/>
    <w:rsid w:val="008D5E74"/>
    <w:rsid w:val="008D7CC1"/>
    <w:rsid w:val="008D7DB0"/>
    <w:rsid w:val="008E3325"/>
    <w:rsid w:val="008E36AD"/>
    <w:rsid w:val="008E4889"/>
    <w:rsid w:val="008E4AAA"/>
    <w:rsid w:val="008E4EF3"/>
    <w:rsid w:val="008E507B"/>
    <w:rsid w:val="008E6053"/>
    <w:rsid w:val="008E6581"/>
    <w:rsid w:val="008E70EF"/>
    <w:rsid w:val="008F0AA7"/>
    <w:rsid w:val="008F1290"/>
    <w:rsid w:val="008F2383"/>
    <w:rsid w:val="008F4C57"/>
    <w:rsid w:val="008F6651"/>
    <w:rsid w:val="008F6F00"/>
    <w:rsid w:val="008F7B36"/>
    <w:rsid w:val="00900C3C"/>
    <w:rsid w:val="00901FBD"/>
    <w:rsid w:val="00902CB7"/>
    <w:rsid w:val="00903336"/>
    <w:rsid w:val="009034BB"/>
    <w:rsid w:val="009040E4"/>
    <w:rsid w:val="00905608"/>
    <w:rsid w:val="00906A8B"/>
    <w:rsid w:val="00906BE5"/>
    <w:rsid w:val="00910988"/>
    <w:rsid w:val="00910CB9"/>
    <w:rsid w:val="0091113E"/>
    <w:rsid w:val="00911411"/>
    <w:rsid w:val="009137D2"/>
    <w:rsid w:val="009142ED"/>
    <w:rsid w:val="00914830"/>
    <w:rsid w:val="009157AD"/>
    <w:rsid w:val="009170EC"/>
    <w:rsid w:val="00917213"/>
    <w:rsid w:val="0092035C"/>
    <w:rsid w:val="00921944"/>
    <w:rsid w:val="00921DB5"/>
    <w:rsid w:val="00921EC8"/>
    <w:rsid w:val="00922D42"/>
    <w:rsid w:val="009230A8"/>
    <w:rsid w:val="00923584"/>
    <w:rsid w:val="009239A3"/>
    <w:rsid w:val="009240F0"/>
    <w:rsid w:val="009257F7"/>
    <w:rsid w:val="009258BF"/>
    <w:rsid w:val="0092593F"/>
    <w:rsid w:val="00925ACE"/>
    <w:rsid w:val="0092625A"/>
    <w:rsid w:val="009262DB"/>
    <w:rsid w:val="00927E65"/>
    <w:rsid w:val="009309BE"/>
    <w:rsid w:val="009309EF"/>
    <w:rsid w:val="00933228"/>
    <w:rsid w:val="00934C2D"/>
    <w:rsid w:val="009352DC"/>
    <w:rsid w:val="00941E36"/>
    <w:rsid w:val="0094259E"/>
    <w:rsid w:val="0094334C"/>
    <w:rsid w:val="009443F2"/>
    <w:rsid w:val="00945158"/>
    <w:rsid w:val="0094579A"/>
    <w:rsid w:val="009457B4"/>
    <w:rsid w:val="00945FEE"/>
    <w:rsid w:val="009502F5"/>
    <w:rsid w:val="00951730"/>
    <w:rsid w:val="00952E1C"/>
    <w:rsid w:val="00952F00"/>
    <w:rsid w:val="00953451"/>
    <w:rsid w:val="00955721"/>
    <w:rsid w:val="00955C66"/>
    <w:rsid w:val="00960298"/>
    <w:rsid w:val="009612D0"/>
    <w:rsid w:val="009617EB"/>
    <w:rsid w:val="00962853"/>
    <w:rsid w:val="009630B7"/>
    <w:rsid w:val="00963690"/>
    <w:rsid w:val="009638B8"/>
    <w:rsid w:val="009644C4"/>
    <w:rsid w:val="00965737"/>
    <w:rsid w:val="00970F53"/>
    <w:rsid w:val="0098055C"/>
    <w:rsid w:val="00980E44"/>
    <w:rsid w:val="00981A8B"/>
    <w:rsid w:val="00981B47"/>
    <w:rsid w:val="0098366B"/>
    <w:rsid w:val="00983B75"/>
    <w:rsid w:val="00983DF2"/>
    <w:rsid w:val="009856E6"/>
    <w:rsid w:val="00985EE5"/>
    <w:rsid w:val="00990185"/>
    <w:rsid w:val="00991B51"/>
    <w:rsid w:val="00991C5F"/>
    <w:rsid w:val="009929D4"/>
    <w:rsid w:val="0099360B"/>
    <w:rsid w:val="009942A1"/>
    <w:rsid w:val="00995471"/>
    <w:rsid w:val="00996312"/>
    <w:rsid w:val="0099639D"/>
    <w:rsid w:val="00996670"/>
    <w:rsid w:val="00996F73"/>
    <w:rsid w:val="009979A7"/>
    <w:rsid w:val="009A10E2"/>
    <w:rsid w:val="009A150C"/>
    <w:rsid w:val="009A180C"/>
    <w:rsid w:val="009A1C2C"/>
    <w:rsid w:val="009A1C73"/>
    <w:rsid w:val="009A1EFD"/>
    <w:rsid w:val="009A1FF2"/>
    <w:rsid w:val="009A2813"/>
    <w:rsid w:val="009A38FD"/>
    <w:rsid w:val="009A4969"/>
    <w:rsid w:val="009A52CB"/>
    <w:rsid w:val="009A53F6"/>
    <w:rsid w:val="009A71AA"/>
    <w:rsid w:val="009B04C1"/>
    <w:rsid w:val="009B064C"/>
    <w:rsid w:val="009B0D52"/>
    <w:rsid w:val="009B1CB9"/>
    <w:rsid w:val="009B5241"/>
    <w:rsid w:val="009B61B6"/>
    <w:rsid w:val="009B6549"/>
    <w:rsid w:val="009B7308"/>
    <w:rsid w:val="009B7E04"/>
    <w:rsid w:val="009C0712"/>
    <w:rsid w:val="009C08A8"/>
    <w:rsid w:val="009C0E79"/>
    <w:rsid w:val="009C1354"/>
    <w:rsid w:val="009C1B3A"/>
    <w:rsid w:val="009C2090"/>
    <w:rsid w:val="009C5F6B"/>
    <w:rsid w:val="009C6F24"/>
    <w:rsid w:val="009D01CE"/>
    <w:rsid w:val="009D186B"/>
    <w:rsid w:val="009D283A"/>
    <w:rsid w:val="009D32A9"/>
    <w:rsid w:val="009D4C01"/>
    <w:rsid w:val="009D7644"/>
    <w:rsid w:val="009E134C"/>
    <w:rsid w:val="009E44C6"/>
    <w:rsid w:val="009E66D6"/>
    <w:rsid w:val="009E6838"/>
    <w:rsid w:val="009E75C9"/>
    <w:rsid w:val="009E7DFD"/>
    <w:rsid w:val="009F10D5"/>
    <w:rsid w:val="009F3514"/>
    <w:rsid w:val="009F3A00"/>
    <w:rsid w:val="009F3A3D"/>
    <w:rsid w:val="009F525F"/>
    <w:rsid w:val="009F65C0"/>
    <w:rsid w:val="009F7619"/>
    <w:rsid w:val="009F7FBC"/>
    <w:rsid w:val="00A02583"/>
    <w:rsid w:val="00A02E12"/>
    <w:rsid w:val="00A03B36"/>
    <w:rsid w:val="00A03D1A"/>
    <w:rsid w:val="00A042CC"/>
    <w:rsid w:val="00A04502"/>
    <w:rsid w:val="00A071AA"/>
    <w:rsid w:val="00A0753F"/>
    <w:rsid w:val="00A078E1"/>
    <w:rsid w:val="00A0792F"/>
    <w:rsid w:val="00A10FFD"/>
    <w:rsid w:val="00A11347"/>
    <w:rsid w:val="00A129A5"/>
    <w:rsid w:val="00A140D0"/>
    <w:rsid w:val="00A20921"/>
    <w:rsid w:val="00A22F64"/>
    <w:rsid w:val="00A24986"/>
    <w:rsid w:val="00A258DA"/>
    <w:rsid w:val="00A26385"/>
    <w:rsid w:val="00A27CFF"/>
    <w:rsid w:val="00A31896"/>
    <w:rsid w:val="00A32408"/>
    <w:rsid w:val="00A32B44"/>
    <w:rsid w:val="00A341A7"/>
    <w:rsid w:val="00A344C0"/>
    <w:rsid w:val="00A3616C"/>
    <w:rsid w:val="00A36D37"/>
    <w:rsid w:val="00A36E13"/>
    <w:rsid w:val="00A41451"/>
    <w:rsid w:val="00A41DC6"/>
    <w:rsid w:val="00A437F7"/>
    <w:rsid w:val="00A455D3"/>
    <w:rsid w:val="00A46476"/>
    <w:rsid w:val="00A4724C"/>
    <w:rsid w:val="00A4792B"/>
    <w:rsid w:val="00A47D2D"/>
    <w:rsid w:val="00A50326"/>
    <w:rsid w:val="00A518DD"/>
    <w:rsid w:val="00A51AD1"/>
    <w:rsid w:val="00A52A16"/>
    <w:rsid w:val="00A531DA"/>
    <w:rsid w:val="00A5332E"/>
    <w:rsid w:val="00A54962"/>
    <w:rsid w:val="00A54AA2"/>
    <w:rsid w:val="00A550D4"/>
    <w:rsid w:val="00A55AAA"/>
    <w:rsid w:val="00A57B81"/>
    <w:rsid w:val="00A57CC1"/>
    <w:rsid w:val="00A60770"/>
    <w:rsid w:val="00A617E5"/>
    <w:rsid w:val="00A61D2F"/>
    <w:rsid w:val="00A62426"/>
    <w:rsid w:val="00A6304F"/>
    <w:rsid w:val="00A63C00"/>
    <w:rsid w:val="00A6485F"/>
    <w:rsid w:val="00A65812"/>
    <w:rsid w:val="00A659E1"/>
    <w:rsid w:val="00A66864"/>
    <w:rsid w:val="00A66CE5"/>
    <w:rsid w:val="00A70FF3"/>
    <w:rsid w:val="00A71AF4"/>
    <w:rsid w:val="00A71C36"/>
    <w:rsid w:val="00A72AC5"/>
    <w:rsid w:val="00A72B5C"/>
    <w:rsid w:val="00A73A09"/>
    <w:rsid w:val="00A76791"/>
    <w:rsid w:val="00A7768C"/>
    <w:rsid w:val="00A77BFF"/>
    <w:rsid w:val="00A800EB"/>
    <w:rsid w:val="00A833F2"/>
    <w:rsid w:val="00A84E97"/>
    <w:rsid w:val="00A85038"/>
    <w:rsid w:val="00A866D7"/>
    <w:rsid w:val="00A9001C"/>
    <w:rsid w:val="00A90838"/>
    <w:rsid w:val="00A9402E"/>
    <w:rsid w:val="00A9500C"/>
    <w:rsid w:val="00A950E6"/>
    <w:rsid w:val="00A951C5"/>
    <w:rsid w:val="00A9584F"/>
    <w:rsid w:val="00AA14D5"/>
    <w:rsid w:val="00AA5369"/>
    <w:rsid w:val="00AA58FA"/>
    <w:rsid w:val="00AA79D8"/>
    <w:rsid w:val="00AA7D82"/>
    <w:rsid w:val="00AA7E7E"/>
    <w:rsid w:val="00AB0EE1"/>
    <w:rsid w:val="00AB1334"/>
    <w:rsid w:val="00AB1658"/>
    <w:rsid w:val="00AB2C09"/>
    <w:rsid w:val="00AB2E3D"/>
    <w:rsid w:val="00AB39C2"/>
    <w:rsid w:val="00AB7418"/>
    <w:rsid w:val="00AB7A4D"/>
    <w:rsid w:val="00AC03C6"/>
    <w:rsid w:val="00AC1674"/>
    <w:rsid w:val="00AC1F45"/>
    <w:rsid w:val="00AC255A"/>
    <w:rsid w:val="00AC37C5"/>
    <w:rsid w:val="00AC3DA2"/>
    <w:rsid w:val="00AC6CFA"/>
    <w:rsid w:val="00AC72BC"/>
    <w:rsid w:val="00AC75E9"/>
    <w:rsid w:val="00AC7F73"/>
    <w:rsid w:val="00AD1460"/>
    <w:rsid w:val="00AD16B9"/>
    <w:rsid w:val="00AD18C6"/>
    <w:rsid w:val="00AD3A37"/>
    <w:rsid w:val="00AD40C4"/>
    <w:rsid w:val="00AD4D69"/>
    <w:rsid w:val="00AD54EE"/>
    <w:rsid w:val="00AD5B23"/>
    <w:rsid w:val="00AD610A"/>
    <w:rsid w:val="00AD759A"/>
    <w:rsid w:val="00AD7978"/>
    <w:rsid w:val="00AE03E0"/>
    <w:rsid w:val="00AE0632"/>
    <w:rsid w:val="00AE134F"/>
    <w:rsid w:val="00AE4199"/>
    <w:rsid w:val="00AE475A"/>
    <w:rsid w:val="00AF0A9A"/>
    <w:rsid w:val="00AF0C18"/>
    <w:rsid w:val="00AF4258"/>
    <w:rsid w:val="00AF45B0"/>
    <w:rsid w:val="00AF46B0"/>
    <w:rsid w:val="00AF52CC"/>
    <w:rsid w:val="00AF6B23"/>
    <w:rsid w:val="00B007E9"/>
    <w:rsid w:val="00B00DB3"/>
    <w:rsid w:val="00B00F15"/>
    <w:rsid w:val="00B0242A"/>
    <w:rsid w:val="00B04B25"/>
    <w:rsid w:val="00B05F82"/>
    <w:rsid w:val="00B11236"/>
    <w:rsid w:val="00B11B48"/>
    <w:rsid w:val="00B11CBD"/>
    <w:rsid w:val="00B12B29"/>
    <w:rsid w:val="00B12D9A"/>
    <w:rsid w:val="00B13218"/>
    <w:rsid w:val="00B13944"/>
    <w:rsid w:val="00B13F2E"/>
    <w:rsid w:val="00B15850"/>
    <w:rsid w:val="00B205CA"/>
    <w:rsid w:val="00B217B4"/>
    <w:rsid w:val="00B218B6"/>
    <w:rsid w:val="00B21DBB"/>
    <w:rsid w:val="00B22530"/>
    <w:rsid w:val="00B242C9"/>
    <w:rsid w:val="00B25892"/>
    <w:rsid w:val="00B26D82"/>
    <w:rsid w:val="00B27393"/>
    <w:rsid w:val="00B27CD6"/>
    <w:rsid w:val="00B27F33"/>
    <w:rsid w:val="00B312AA"/>
    <w:rsid w:val="00B33E91"/>
    <w:rsid w:val="00B34CA7"/>
    <w:rsid w:val="00B360FA"/>
    <w:rsid w:val="00B37C98"/>
    <w:rsid w:val="00B41210"/>
    <w:rsid w:val="00B4159A"/>
    <w:rsid w:val="00B41835"/>
    <w:rsid w:val="00B42545"/>
    <w:rsid w:val="00B429EF"/>
    <w:rsid w:val="00B42D75"/>
    <w:rsid w:val="00B4301C"/>
    <w:rsid w:val="00B459A1"/>
    <w:rsid w:val="00B459BA"/>
    <w:rsid w:val="00B461DA"/>
    <w:rsid w:val="00B465AB"/>
    <w:rsid w:val="00B468E0"/>
    <w:rsid w:val="00B47C16"/>
    <w:rsid w:val="00B50A36"/>
    <w:rsid w:val="00B52711"/>
    <w:rsid w:val="00B53D8B"/>
    <w:rsid w:val="00B5414F"/>
    <w:rsid w:val="00B56F93"/>
    <w:rsid w:val="00B61F13"/>
    <w:rsid w:val="00B62A21"/>
    <w:rsid w:val="00B63060"/>
    <w:rsid w:val="00B64997"/>
    <w:rsid w:val="00B64FBF"/>
    <w:rsid w:val="00B650DC"/>
    <w:rsid w:val="00B66043"/>
    <w:rsid w:val="00B66580"/>
    <w:rsid w:val="00B70481"/>
    <w:rsid w:val="00B71FF7"/>
    <w:rsid w:val="00B73ACE"/>
    <w:rsid w:val="00B73CE1"/>
    <w:rsid w:val="00B74AD4"/>
    <w:rsid w:val="00B76F47"/>
    <w:rsid w:val="00B77828"/>
    <w:rsid w:val="00B779D6"/>
    <w:rsid w:val="00B82BB6"/>
    <w:rsid w:val="00B8614F"/>
    <w:rsid w:val="00B86744"/>
    <w:rsid w:val="00B906B7"/>
    <w:rsid w:val="00B9273A"/>
    <w:rsid w:val="00B93545"/>
    <w:rsid w:val="00B946F3"/>
    <w:rsid w:val="00B961E8"/>
    <w:rsid w:val="00B969D3"/>
    <w:rsid w:val="00BA0BF9"/>
    <w:rsid w:val="00BA2B3E"/>
    <w:rsid w:val="00BA43AB"/>
    <w:rsid w:val="00BA4FE0"/>
    <w:rsid w:val="00BA5892"/>
    <w:rsid w:val="00BA5F8A"/>
    <w:rsid w:val="00BA6349"/>
    <w:rsid w:val="00BA68B7"/>
    <w:rsid w:val="00BA707B"/>
    <w:rsid w:val="00BB0505"/>
    <w:rsid w:val="00BB0A6D"/>
    <w:rsid w:val="00BB43C2"/>
    <w:rsid w:val="00BB485F"/>
    <w:rsid w:val="00BB4988"/>
    <w:rsid w:val="00BB501B"/>
    <w:rsid w:val="00BB6A16"/>
    <w:rsid w:val="00BB7CEE"/>
    <w:rsid w:val="00BC125F"/>
    <w:rsid w:val="00BC185A"/>
    <w:rsid w:val="00BC3805"/>
    <w:rsid w:val="00BC43C0"/>
    <w:rsid w:val="00BC599B"/>
    <w:rsid w:val="00BC764E"/>
    <w:rsid w:val="00BC786F"/>
    <w:rsid w:val="00BD18D9"/>
    <w:rsid w:val="00BD4007"/>
    <w:rsid w:val="00BD421A"/>
    <w:rsid w:val="00BD4436"/>
    <w:rsid w:val="00BD445C"/>
    <w:rsid w:val="00BD4769"/>
    <w:rsid w:val="00BD7715"/>
    <w:rsid w:val="00BE0EAC"/>
    <w:rsid w:val="00BE1F45"/>
    <w:rsid w:val="00BE44B2"/>
    <w:rsid w:val="00BE66B1"/>
    <w:rsid w:val="00BE6757"/>
    <w:rsid w:val="00BE7505"/>
    <w:rsid w:val="00BE7865"/>
    <w:rsid w:val="00BF0511"/>
    <w:rsid w:val="00BF0EE6"/>
    <w:rsid w:val="00BF225B"/>
    <w:rsid w:val="00BF3ABC"/>
    <w:rsid w:val="00C0105B"/>
    <w:rsid w:val="00C02624"/>
    <w:rsid w:val="00C03F68"/>
    <w:rsid w:val="00C04CE5"/>
    <w:rsid w:val="00C051C8"/>
    <w:rsid w:val="00C059CC"/>
    <w:rsid w:val="00C06EE9"/>
    <w:rsid w:val="00C10D0E"/>
    <w:rsid w:val="00C113D5"/>
    <w:rsid w:val="00C11605"/>
    <w:rsid w:val="00C11FB4"/>
    <w:rsid w:val="00C12D57"/>
    <w:rsid w:val="00C13B05"/>
    <w:rsid w:val="00C140EC"/>
    <w:rsid w:val="00C14F7C"/>
    <w:rsid w:val="00C15A65"/>
    <w:rsid w:val="00C16257"/>
    <w:rsid w:val="00C179EC"/>
    <w:rsid w:val="00C200A6"/>
    <w:rsid w:val="00C203A2"/>
    <w:rsid w:val="00C20DA0"/>
    <w:rsid w:val="00C214B1"/>
    <w:rsid w:val="00C238D6"/>
    <w:rsid w:val="00C240B9"/>
    <w:rsid w:val="00C24427"/>
    <w:rsid w:val="00C24F11"/>
    <w:rsid w:val="00C251F3"/>
    <w:rsid w:val="00C27C71"/>
    <w:rsid w:val="00C3075C"/>
    <w:rsid w:val="00C33E96"/>
    <w:rsid w:val="00C33F5B"/>
    <w:rsid w:val="00C34D9C"/>
    <w:rsid w:val="00C36897"/>
    <w:rsid w:val="00C36F8B"/>
    <w:rsid w:val="00C37486"/>
    <w:rsid w:val="00C40CFA"/>
    <w:rsid w:val="00C42103"/>
    <w:rsid w:val="00C421B5"/>
    <w:rsid w:val="00C4344C"/>
    <w:rsid w:val="00C4569C"/>
    <w:rsid w:val="00C47A1D"/>
    <w:rsid w:val="00C47DA3"/>
    <w:rsid w:val="00C5322E"/>
    <w:rsid w:val="00C53477"/>
    <w:rsid w:val="00C53F8D"/>
    <w:rsid w:val="00C54200"/>
    <w:rsid w:val="00C569C6"/>
    <w:rsid w:val="00C61372"/>
    <w:rsid w:val="00C616BF"/>
    <w:rsid w:val="00C61835"/>
    <w:rsid w:val="00C62231"/>
    <w:rsid w:val="00C65931"/>
    <w:rsid w:val="00C67050"/>
    <w:rsid w:val="00C703A0"/>
    <w:rsid w:val="00C71D6D"/>
    <w:rsid w:val="00C71ED7"/>
    <w:rsid w:val="00C72ADC"/>
    <w:rsid w:val="00C72C22"/>
    <w:rsid w:val="00C76119"/>
    <w:rsid w:val="00C77A2E"/>
    <w:rsid w:val="00C80E9D"/>
    <w:rsid w:val="00C83474"/>
    <w:rsid w:val="00C83D3C"/>
    <w:rsid w:val="00C83DFC"/>
    <w:rsid w:val="00C8515A"/>
    <w:rsid w:val="00C85705"/>
    <w:rsid w:val="00C90B48"/>
    <w:rsid w:val="00C913EA"/>
    <w:rsid w:val="00C927D5"/>
    <w:rsid w:val="00C93331"/>
    <w:rsid w:val="00C93D5F"/>
    <w:rsid w:val="00C93F7C"/>
    <w:rsid w:val="00C943B9"/>
    <w:rsid w:val="00C958E0"/>
    <w:rsid w:val="00C9675A"/>
    <w:rsid w:val="00C96E8B"/>
    <w:rsid w:val="00C97AB8"/>
    <w:rsid w:val="00CA1A28"/>
    <w:rsid w:val="00CA2539"/>
    <w:rsid w:val="00CA4589"/>
    <w:rsid w:val="00CA64BF"/>
    <w:rsid w:val="00CA6D39"/>
    <w:rsid w:val="00CA6DE8"/>
    <w:rsid w:val="00CB0472"/>
    <w:rsid w:val="00CB2AD2"/>
    <w:rsid w:val="00CB43F3"/>
    <w:rsid w:val="00CB4635"/>
    <w:rsid w:val="00CB5ECE"/>
    <w:rsid w:val="00CB6A6E"/>
    <w:rsid w:val="00CB7BD9"/>
    <w:rsid w:val="00CB7F61"/>
    <w:rsid w:val="00CC439C"/>
    <w:rsid w:val="00CC66DD"/>
    <w:rsid w:val="00CC7923"/>
    <w:rsid w:val="00CD19C6"/>
    <w:rsid w:val="00CD1CFF"/>
    <w:rsid w:val="00CD2376"/>
    <w:rsid w:val="00CD2C8E"/>
    <w:rsid w:val="00CD39EC"/>
    <w:rsid w:val="00CD41F3"/>
    <w:rsid w:val="00CD62A9"/>
    <w:rsid w:val="00CE003C"/>
    <w:rsid w:val="00CE056F"/>
    <w:rsid w:val="00CE2E02"/>
    <w:rsid w:val="00CE3682"/>
    <w:rsid w:val="00CE585E"/>
    <w:rsid w:val="00CE5BEB"/>
    <w:rsid w:val="00CE6062"/>
    <w:rsid w:val="00CE6944"/>
    <w:rsid w:val="00CF07AB"/>
    <w:rsid w:val="00CF07DD"/>
    <w:rsid w:val="00CF0A1D"/>
    <w:rsid w:val="00CF170E"/>
    <w:rsid w:val="00CF3297"/>
    <w:rsid w:val="00CF3733"/>
    <w:rsid w:val="00CF3FC1"/>
    <w:rsid w:val="00CF590D"/>
    <w:rsid w:val="00CF6396"/>
    <w:rsid w:val="00CF7948"/>
    <w:rsid w:val="00D0171F"/>
    <w:rsid w:val="00D01892"/>
    <w:rsid w:val="00D01EC6"/>
    <w:rsid w:val="00D02580"/>
    <w:rsid w:val="00D02E98"/>
    <w:rsid w:val="00D037F4"/>
    <w:rsid w:val="00D13BA7"/>
    <w:rsid w:val="00D21910"/>
    <w:rsid w:val="00D220C3"/>
    <w:rsid w:val="00D227B2"/>
    <w:rsid w:val="00D25C26"/>
    <w:rsid w:val="00D267CF"/>
    <w:rsid w:val="00D31335"/>
    <w:rsid w:val="00D33395"/>
    <w:rsid w:val="00D3426A"/>
    <w:rsid w:val="00D34ABA"/>
    <w:rsid w:val="00D37B84"/>
    <w:rsid w:val="00D4022A"/>
    <w:rsid w:val="00D41489"/>
    <w:rsid w:val="00D4184A"/>
    <w:rsid w:val="00D43E33"/>
    <w:rsid w:val="00D44671"/>
    <w:rsid w:val="00D44A37"/>
    <w:rsid w:val="00D4600A"/>
    <w:rsid w:val="00D47F1C"/>
    <w:rsid w:val="00D50E2F"/>
    <w:rsid w:val="00D53A50"/>
    <w:rsid w:val="00D5454C"/>
    <w:rsid w:val="00D55B47"/>
    <w:rsid w:val="00D56153"/>
    <w:rsid w:val="00D565E8"/>
    <w:rsid w:val="00D57623"/>
    <w:rsid w:val="00D6037D"/>
    <w:rsid w:val="00D605F0"/>
    <w:rsid w:val="00D61765"/>
    <w:rsid w:val="00D63251"/>
    <w:rsid w:val="00D660CC"/>
    <w:rsid w:val="00D7034E"/>
    <w:rsid w:val="00D71FC0"/>
    <w:rsid w:val="00D7240D"/>
    <w:rsid w:val="00D73203"/>
    <w:rsid w:val="00D74B4C"/>
    <w:rsid w:val="00D7598E"/>
    <w:rsid w:val="00D80011"/>
    <w:rsid w:val="00D8046C"/>
    <w:rsid w:val="00D81D86"/>
    <w:rsid w:val="00D829B9"/>
    <w:rsid w:val="00D83BB3"/>
    <w:rsid w:val="00D845AE"/>
    <w:rsid w:val="00D85EA8"/>
    <w:rsid w:val="00D8674C"/>
    <w:rsid w:val="00D867E4"/>
    <w:rsid w:val="00D869CB"/>
    <w:rsid w:val="00D87C8B"/>
    <w:rsid w:val="00D90307"/>
    <w:rsid w:val="00D90DC4"/>
    <w:rsid w:val="00D938B1"/>
    <w:rsid w:val="00D94413"/>
    <w:rsid w:val="00D94CD8"/>
    <w:rsid w:val="00D95788"/>
    <w:rsid w:val="00D95CB4"/>
    <w:rsid w:val="00D96426"/>
    <w:rsid w:val="00D97990"/>
    <w:rsid w:val="00DA0633"/>
    <w:rsid w:val="00DA13B2"/>
    <w:rsid w:val="00DA2490"/>
    <w:rsid w:val="00DA2A2F"/>
    <w:rsid w:val="00DA2A5C"/>
    <w:rsid w:val="00DA2D84"/>
    <w:rsid w:val="00DA31E9"/>
    <w:rsid w:val="00DA51B4"/>
    <w:rsid w:val="00DA5A75"/>
    <w:rsid w:val="00DA68B1"/>
    <w:rsid w:val="00DB03D2"/>
    <w:rsid w:val="00DB0F43"/>
    <w:rsid w:val="00DB1E81"/>
    <w:rsid w:val="00DB26D8"/>
    <w:rsid w:val="00DB3143"/>
    <w:rsid w:val="00DB35FD"/>
    <w:rsid w:val="00DB41D1"/>
    <w:rsid w:val="00DB62BE"/>
    <w:rsid w:val="00DB62F7"/>
    <w:rsid w:val="00DB6B98"/>
    <w:rsid w:val="00DB7EA6"/>
    <w:rsid w:val="00DC0945"/>
    <w:rsid w:val="00DC3712"/>
    <w:rsid w:val="00DC385B"/>
    <w:rsid w:val="00DC4C08"/>
    <w:rsid w:val="00DC5E7F"/>
    <w:rsid w:val="00DC6013"/>
    <w:rsid w:val="00DC6A43"/>
    <w:rsid w:val="00DC7AEC"/>
    <w:rsid w:val="00DD03DB"/>
    <w:rsid w:val="00DD1768"/>
    <w:rsid w:val="00DD5620"/>
    <w:rsid w:val="00DD68A3"/>
    <w:rsid w:val="00DD6EFC"/>
    <w:rsid w:val="00DE0375"/>
    <w:rsid w:val="00DE0F91"/>
    <w:rsid w:val="00DE1038"/>
    <w:rsid w:val="00DE1BD9"/>
    <w:rsid w:val="00DE222E"/>
    <w:rsid w:val="00DE39CF"/>
    <w:rsid w:val="00DE465B"/>
    <w:rsid w:val="00DE4AF0"/>
    <w:rsid w:val="00DE5D12"/>
    <w:rsid w:val="00DE6C2B"/>
    <w:rsid w:val="00DF6B35"/>
    <w:rsid w:val="00E00D49"/>
    <w:rsid w:val="00E012F8"/>
    <w:rsid w:val="00E024CF"/>
    <w:rsid w:val="00E02EE8"/>
    <w:rsid w:val="00E04FCA"/>
    <w:rsid w:val="00E05F85"/>
    <w:rsid w:val="00E070F1"/>
    <w:rsid w:val="00E10600"/>
    <w:rsid w:val="00E108B9"/>
    <w:rsid w:val="00E10A1A"/>
    <w:rsid w:val="00E10B0A"/>
    <w:rsid w:val="00E11F6A"/>
    <w:rsid w:val="00E15627"/>
    <w:rsid w:val="00E15ABA"/>
    <w:rsid w:val="00E15FAA"/>
    <w:rsid w:val="00E20371"/>
    <w:rsid w:val="00E21A8F"/>
    <w:rsid w:val="00E21DBF"/>
    <w:rsid w:val="00E22017"/>
    <w:rsid w:val="00E22532"/>
    <w:rsid w:val="00E22D48"/>
    <w:rsid w:val="00E23A5A"/>
    <w:rsid w:val="00E24EA7"/>
    <w:rsid w:val="00E24FD3"/>
    <w:rsid w:val="00E26BE6"/>
    <w:rsid w:val="00E31E4E"/>
    <w:rsid w:val="00E322B3"/>
    <w:rsid w:val="00E33C6F"/>
    <w:rsid w:val="00E34EE4"/>
    <w:rsid w:val="00E36000"/>
    <w:rsid w:val="00E37BEE"/>
    <w:rsid w:val="00E37CB8"/>
    <w:rsid w:val="00E41F5D"/>
    <w:rsid w:val="00E424F0"/>
    <w:rsid w:val="00E42EA9"/>
    <w:rsid w:val="00E43076"/>
    <w:rsid w:val="00E457CD"/>
    <w:rsid w:val="00E45B52"/>
    <w:rsid w:val="00E466BB"/>
    <w:rsid w:val="00E50F67"/>
    <w:rsid w:val="00E52115"/>
    <w:rsid w:val="00E52313"/>
    <w:rsid w:val="00E52D5A"/>
    <w:rsid w:val="00E5357B"/>
    <w:rsid w:val="00E54741"/>
    <w:rsid w:val="00E56347"/>
    <w:rsid w:val="00E56780"/>
    <w:rsid w:val="00E567B0"/>
    <w:rsid w:val="00E57566"/>
    <w:rsid w:val="00E57B62"/>
    <w:rsid w:val="00E60E54"/>
    <w:rsid w:val="00E6114E"/>
    <w:rsid w:val="00E615D9"/>
    <w:rsid w:val="00E623F0"/>
    <w:rsid w:val="00E62482"/>
    <w:rsid w:val="00E6392A"/>
    <w:rsid w:val="00E6514D"/>
    <w:rsid w:val="00E654D7"/>
    <w:rsid w:val="00E657BD"/>
    <w:rsid w:val="00E66077"/>
    <w:rsid w:val="00E666E3"/>
    <w:rsid w:val="00E66CA1"/>
    <w:rsid w:val="00E66FE8"/>
    <w:rsid w:val="00E6745D"/>
    <w:rsid w:val="00E702C1"/>
    <w:rsid w:val="00E70E11"/>
    <w:rsid w:val="00E71436"/>
    <w:rsid w:val="00E731A7"/>
    <w:rsid w:val="00E749B9"/>
    <w:rsid w:val="00E757F3"/>
    <w:rsid w:val="00E75989"/>
    <w:rsid w:val="00E75D67"/>
    <w:rsid w:val="00E77329"/>
    <w:rsid w:val="00E77B43"/>
    <w:rsid w:val="00E80675"/>
    <w:rsid w:val="00E814EA"/>
    <w:rsid w:val="00E81F67"/>
    <w:rsid w:val="00E82ECA"/>
    <w:rsid w:val="00E836A0"/>
    <w:rsid w:val="00E83807"/>
    <w:rsid w:val="00E8410C"/>
    <w:rsid w:val="00E847EA"/>
    <w:rsid w:val="00E8505E"/>
    <w:rsid w:val="00E85D4E"/>
    <w:rsid w:val="00E86004"/>
    <w:rsid w:val="00E86F3F"/>
    <w:rsid w:val="00E87FC3"/>
    <w:rsid w:val="00E9052F"/>
    <w:rsid w:val="00E91C52"/>
    <w:rsid w:val="00E9462D"/>
    <w:rsid w:val="00E95CCB"/>
    <w:rsid w:val="00E967CB"/>
    <w:rsid w:val="00E978EC"/>
    <w:rsid w:val="00E97FA8"/>
    <w:rsid w:val="00EA2B14"/>
    <w:rsid w:val="00EA3D09"/>
    <w:rsid w:val="00EA51C3"/>
    <w:rsid w:val="00EB21EF"/>
    <w:rsid w:val="00EB2AE4"/>
    <w:rsid w:val="00EB6A42"/>
    <w:rsid w:val="00EC166B"/>
    <w:rsid w:val="00EC1959"/>
    <w:rsid w:val="00EC1E2B"/>
    <w:rsid w:val="00EC368A"/>
    <w:rsid w:val="00EC36C2"/>
    <w:rsid w:val="00EC3A3D"/>
    <w:rsid w:val="00EC3BBD"/>
    <w:rsid w:val="00EC4CB4"/>
    <w:rsid w:val="00EC56FB"/>
    <w:rsid w:val="00EC5955"/>
    <w:rsid w:val="00EC5D15"/>
    <w:rsid w:val="00EC63A8"/>
    <w:rsid w:val="00EC76AA"/>
    <w:rsid w:val="00ED2460"/>
    <w:rsid w:val="00ED2F8E"/>
    <w:rsid w:val="00ED7563"/>
    <w:rsid w:val="00ED78C2"/>
    <w:rsid w:val="00EE3180"/>
    <w:rsid w:val="00EE5800"/>
    <w:rsid w:val="00EE62CD"/>
    <w:rsid w:val="00EE7958"/>
    <w:rsid w:val="00EF0254"/>
    <w:rsid w:val="00EF0C87"/>
    <w:rsid w:val="00EF21EE"/>
    <w:rsid w:val="00EF279C"/>
    <w:rsid w:val="00EF28C1"/>
    <w:rsid w:val="00EF2A7F"/>
    <w:rsid w:val="00EF2C74"/>
    <w:rsid w:val="00EF4742"/>
    <w:rsid w:val="00EF5036"/>
    <w:rsid w:val="00EF5A8A"/>
    <w:rsid w:val="00EF6532"/>
    <w:rsid w:val="00EF6F93"/>
    <w:rsid w:val="00EF7EF9"/>
    <w:rsid w:val="00F00764"/>
    <w:rsid w:val="00F02471"/>
    <w:rsid w:val="00F02A51"/>
    <w:rsid w:val="00F034DF"/>
    <w:rsid w:val="00F03595"/>
    <w:rsid w:val="00F0487F"/>
    <w:rsid w:val="00F07DEA"/>
    <w:rsid w:val="00F1205D"/>
    <w:rsid w:val="00F130DA"/>
    <w:rsid w:val="00F16272"/>
    <w:rsid w:val="00F17393"/>
    <w:rsid w:val="00F204A2"/>
    <w:rsid w:val="00F24355"/>
    <w:rsid w:val="00F24C94"/>
    <w:rsid w:val="00F31110"/>
    <w:rsid w:val="00F3178A"/>
    <w:rsid w:val="00F32AFB"/>
    <w:rsid w:val="00F3393A"/>
    <w:rsid w:val="00F3698A"/>
    <w:rsid w:val="00F37E28"/>
    <w:rsid w:val="00F4295C"/>
    <w:rsid w:val="00F44A2D"/>
    <w:rsid w:val="00F44C6A"/>
    <w:rsid w:val="00F45BA4"/>
    <w:rsid w:val="00F45C7F"/>
    <w:rsid w:val="00F4606B"/>
    <w:rsid w:val="00F47AE9"/>
    <w:rsid w:val="00F47D65"/>
    <w:rsid w:val="00F51990"/>
    <w:rsid w:val="00F51F79"/>
    <w:rsid w:val="00F54973"/>
    <w:rsid w:val="00F5595C"/>
    <w:rsid w:val="00F55F4D"/>
    <w:rsid w:val="00F61804"/>
    <w:rsid w:val="00F62419"/>
    <w:rsid w:val="00F63B95"/>
    <w:rsid w:val="00F63E8B"/>
    <w:rsid w:val="00F650DD"/>
    <w:rsid w:val="00F6546F"/>
    <w:rsid w:val="00F65B7D"/>
    <w:rsid w:val="00F71D7E"/>
    <w:rsid w:val="00F71FB8"/>
    <w:rsid w:val="00F7299F"/>
    <w:rsid w:val="00F73B1E"/>
    <w:rsid w:val="00F74E04"/>
    <w:rsid w:val="00F82445"/>
    <w:rsid w:val="00F83E99"/>
    <w:rsid w:val="00F84C30"/>
    <w:rsid w:val="00F863EC"/>
    <w:rsid w:val="00F87B82"/>
    <w:rsid w:val="00F902F5"/>
    <w:rsid w:val="00F9085E"/>
    <w:rsid w:val="00F919F8"/>
    <w:rsid w:val="00F92FDA"/>
    <w:rsid w:val="00F93E30"/>
    <w:rsid w:val="00F941E9"/>
    <w:rsid w:val="00F956E0"/>
    <w:rsid w:val="00F95919"/>
    <w:rsid w:val="00F95D0F"/>
    <w:rsid w:val="00F9629C"/>
    <w:rsid w:val="00F9773B"/>
    <w:rsid w:val="00F97C4D"/>
    <w:rsid w:val="00FA253D"/>
    <w:rsid w:val="00FA3787"/>
    <w:rsid w:val="00FA4306"/>
    <w:rsid w:val="00FA6519"/>
    <w:rsid w:val="00FB072A"/>
    <w:rsid w:val="00FB0A2B"/>
    <w:rsid w:val="00FB0DAD"/>
    <w:rsid w:val="00FB1A02"/>
    <w:rsid w:val="00FB6DE1"/>
    <w:rsid w:val="00FB71F0"/>
    <w:rsid w:val="00FB7CB8"/>
    <w:rsid w:val="00FB7E84"/>
    <w:rsid w:val="00FC23E8"/>
    <w:rsid w:val="00FC2917"/>
    <w:rsid w:val="00FC3507"/>
    <w:rsid w:val="00FC42CD"/>
    <w:rsid w:val="00FC550E"/>
    <w:rsid w:val="00FC7099"/>
    <w:rsid w:val="00FC7B0B"/>
    <w:rsid w:val="00FD05D7"/>
    <w:rsid w:val="00FD0BC3"/>
    <w:rsid w:val="00FD1D7B"/>
    <w:rsid w:val="00FD3B5A"/>
    <w:rsid w:val="00FD4BA4"/>
    <w:rsid w:val="00FD5936"/>
    <w:rsid w:val="00FD5A08"/>
    <w:rsid w:val="00FD5E26"/>
    <w:rsid w:val="00FD65FA"/>
    <w:rsid w:val="00FE11D1"/>
    <w:rsid w:val="00FE12DB"/>
    <w:rsid w:val="00FE3706"/>
    <w:rsid w:val="00FE447E"/>
    <w:rsid w:val="00FE6CEE"/>
    <w:rsid w:val="00FE7456"/>
    <w:rsid w:val="00FE746E"/>
    <w:rsid w:val="00FE7F10"/>
    <w:rsid w:val="00FF0FFC"/>
    <w:rsid w:val="00FF1EED"/>
    <w:rsid w:val="00FF21B8"/>
    <w:rsid w:val="00FF2D2B"/>
    <w:rsid w:val="00FF4C87"/>
    <w:rsid w:val="00FF4FD7"/>
    <w:rsid w:val="00FF588A"/>
    <w:rsid w:val="00FF630D"/>
    <w:rsid w:val="00FF6C1E"/>
    <w:rsid w:val="00FF7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14:docId w14:val="09785E45"/>
  <w15:docId w15:val="{AF8EDF4F-51B6-4C7F-9EC3-B1EEC8AB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E4382"/>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C214B1"/>
    <w:pPr>
      <w:tabs>
        <w:tab w:val="left" w:pos="720"/>
      </w:tabs>
      <w:suppressAutoHyphens w:val="0"/>
      <w:spacing w:after="240" w:line="240" w:lineRule="auto"/>
      <w:outlineLvl w:val="2"/>
    </w:pPr>
    <w:rPr>
      <w:rFonts w:eastAsia="Times New Roman"/>
      <w:sz w:val="22"/>
      <w:szCs w:val="22"/>
      <w:u w:val="dotDotDash"/>
      <w:lang w:eastAsia="de-DE"/>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C214B1"/>
    <w:pPr>
      <w:suppressAutoHyphens w:val="0"/>
      <w:spacing w:before="240" w:after="60" w:line="240" w:lineRule="auto"/>
      <w:outlineLvl w:val="5"/>
    </w:pPr>
    <w:rPr>
      <w:rFonts w:eastAsia="Times New Roman"/>
      <w:i/>
      <w:iCs/>
      <w:sz w:val="22"/>
      <w:szCs w:val="22"/>
      <w:u w:val="dotDotDash"/>
      <w:lang w:eastAsia="de-DE"/>
    </w:rPr>
  </w:style>
  <w:style w:type="paragraph" w:styleId="Heading7">
    <w:name w:val="heading 7"/>
    <w:basedOn w:val="Normal"/>
    <w:next w:val="Normal"/>
    <w:link w:val="Heading7Char"/>
    <w:qFormat/>
    <w:rsid w:val="00C214B1"/>
    <w:pPr>
      <w:suppressAutoHyphens w:val="0"/>
      <w:spacing w:before="240" w:after="60" w:line="240" w:lineRule="auto"/>
      <w:outlineLvl w:val="6"/>
    </w:pPr>
    <w:rPr>
      <w:rFonts w:ascii="Arial" w:eastAsia="Times New Roman" w:hAnsi="Arial" w:cs="Arial"/>
      <w:u w:val="dotDotDash"/>
      <w:lang w:eastAsia="de-DE"/>
    </w:rPr>
  </w:style>
  <w:style w:type="paragraph" w:styleId="Heading8">
    <w:name w:val="heading 8"/>
    <w:basedOn w:val="Normal"/>
    <w:next w:val="Normal"/>
    <w:link w:val="Heading8Char"/>
    <w:qFormat/>
    <w:rsid w:val="00C214B1"/>
    <w:pPr>
      <w:suppressAutoHyphens w:val="0"/>
      <w:spacing w:before="240" w:after="60" w:line="240" w:lineRule="auto"/>
      <w:outlineLvl w:val="7"/>
    </w:pPr>
    <w:rPr>
      <w:rFonts w:ascii="Arial" w:eastAsia="Times New Roman" w:hAnsi="Arial" w:cs="Arial"/>
      <w:i/>
      <w:iCs/>
      <w:u w:val="dotDotDash"/>
      <w:lang w:eastAsia="de-DE"/>
    </w:rPr>
  </w:style>
  <w:style w:type="paragraph" w:styleId="Heading9">
    <w:name w:val="heading 9"/>
    <w:basedOn w:val="Normal"/>
    <w:next w:val="Normal"/>
    <w:link w:val="Heading9Char"/>
    <w:qFormat/>
    <w:rsid w:val="00C214B1"/>
    <w:pPr>
      <w:suppressAutoHyphens w:val="0"/>
      <w:spacing w:before="240" w:after="60" w:line="240" w:lineRule="auto"/>
      <w:outlineLvl w:val="8"/>
    </w:pPr>
    <w:rPr>
      <w:rFonts w:ascii="Arial" w:eastAsia="Times New Roman" w:hAnsi="Arial" w:cs="Arial"/>
      <w:b/>
      <w:bCs/>
      <w:i/>
      <w:iCs/>
      <w:sz w:val="18"/>
      <w:szCs w:val="18"/>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H23G">
    <w:name w:val="Anno_ H_2/3_G"/>
    <w:basedOn w:val="Normal"/>
    <w:next w:val="AnnoSingleTxtG"/>
    <w:link w:val="AnnoH23GChar"/>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C12D57"/>
    <w:pPr>
      <w:numPr>
        <w:ilvl w:val="3"/>
        <w:numId w:val="3"/>
      </w:numPr>
      <w:spacing w:after="120"/>
      <w:ind w:left="1134" w:right="1134" w:firstLine="0"/>
      <w:jc w:val="both"/>
    </w:pPr>
  </w:style>
  <w:style w:type="character" w:customStyle="1" w:styleId="AnnoSingleTxtGChar">
    <w:name w:val="Anno_ Single Txt_G Char"/>
    <w:link w:val="AnnoSingleTxtG"/>
    <w:rsid w:val="00C214B1"/>
    <w:rPr>
      <w:rFonts w:eastAsia="SimSun"/>
      <w:lang w:val="en-GB" w:eastAsia="zh-CN"/>
    </w:rPr>
  </w:style>
  <w:style w:type="character" w:customStyle="1" w:styleId="Heading1Char">
    <w:name w:val="Heading 1 Char"/>
    <w:aliases w:val="Table_G Char"/>
    <w:link w:val="Heading1"/>
    <w:locked/>
    <w:rsid w:val="00C214B1"/>
    <w:rPr>
      <w:rFonts w:eastAsia="SimSun"/>
      <w:lang w:val="en-GB" w:eastAsia="zh-CN"/>
    </w:r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3Char">
    <w:name w:val="Heading 3 Char"/>
    <w:basedOn w:val="DefaultParagraphFont"/>
    <w:link w:val="Heading3"/>
    <w:rsid w:val="00C214B1"/>
    <w:rPr>
      <w:sz w:val="22"/>
      <w:szCs w:val="22"/>
      <w:u w:val="dotDotDash"/>
      <w:lang w:val="en-GB" w:eastAsia="de-DE"/>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character" w:customStyle="1" w:styleId="Heading6Char">
    <w:name w:val="Heading 6 Char"/>
    <w:basedOn w:val="DefaultParagraphFont"/>
    <w:link w:val="Heading6"/>
    <w:rsid w:val="00C214B1"/>
    <w:rPr>
      <w:i/>
      <w:iCs/>
      <w:sz w:val="22"/>
      <w:szCs w:val="22"/>
      <w:u w:val="dotDotDash"/>
      <w:lang w:val="en-GB" w:eastAsia="de-DE"/>
    </w:rPr>
  </w:style>
  <w:style w:type="character" w:customStyle="1" w:styleId="Heading7Char">
    <w:name w:val="Heading 7 Char"/>
    <w:basedOn w:val="DefaultParagraphFont"/>
    <w:link w:val="Heading7"/>
    <w:rsid w:val="00C214B1"/>
    <w:rPr>
      <w:rFonts w:ascii="Arial" w:hAnsi="Arial" w:cs="Arial"/>
      <w:u w:val="dotDotDash"/>
      <w:lang w:val="en-GB" w:eastAsia="de-DE"/>
    </w:rPr>
  </w:style>
  <w:style w:type="character" w:customStyle="1" w:styleId="Heading8Char">
    <w:name w:val="Heading 8 Char"/>
    <w:basedOn w:val="DefaultParagraphFont"/>
    <w:link w:val="Heading8"/>
    <w:rsid w:val="00C214B1"/>
    <w:rPr>
      <w:rFonts w:ascii="Arial" w:hAnsi="Arial" w:cs="Arial"/>
      <w:i/>
      <w:iCs/>
      <w:u w:val="dotDotDash"/>
      <w:lang w:val="en-GB" w:eastAsia="de-DE"/>
    </w:rPr>
  </w:style>
  <w:style w:type="character" w:customStyle="1" w:styleId="Heading9Char">
    <w:name w:val="Heading 9 Char"/>
    <w:basedOn w:val="DefaultParagraphFont"/>
    <w:link w:val="Heading9"/>
    <w:rsid w:val="00C214B1"/>
    <w:rPr>
      <w:rFonts w:ascii="Arial" w:hAnsi="Arial" w:cs="Arial"/>
      <w:b/>
      <w:bCs/>
      <w:i/>
      <w:iCs/>
      <w:sz w:val="18"/>
      <w:szCs w:val="18"/>
      <w:u w:val="dotDotDash"/>
      <w:lang w:val="en-GB" w:eastAsia="de-DE"/>
    </w:rPr>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character" w:customStyle="1" w:styleId="HChGChar">
    <w:name w:val="_ H _Ch_G Char"/>
    <w:link w:val="HChG"/>
    <w:rsid w:val="003D5414"/>
    <w:rPr>
      <w:rFonts w:eastAsia="SimSun"/>
      <w:b/>
      <w:sz w:val="28"/>
      <w:lang w:eastAsia="zh-CN"/>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character" w:customStyle="1" w:styleId="H1GChar">
    <w:name w:val="_ H_1_G Char"/>
    <w:link w:val="H1G"/>
    <w:rsid w:val="003D5414"/>
    <w:rPr>
      <w:rFonts w:eastAsia="SimSun"/>
      <w:b/>
      <w:sz w:val="24"/>
      <w:lang w:eastAsia="zh-CN"/>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963690"/>
    <w:pPr>
      <w:spacing w:after="120"/>
      <w:ind w:left="1134" w:right="1134"/>
      <w:jc w:val="both"/>
    </w:pPr>
    <w:rPr>
      <w:rFonts w:eastAsia="Times New Roman"/>
      <w:lang w:eastAsia="en-US"/>
    </w:rPr>
  </w:style>
  <w:style w:type="character" w:customStyle="1" w:styleId="SingleTxtGChar">
    <w:name w:val="_ Single Txt_G Char"/>
    <w:link w:val="SingleTxtG"/>
    <w:rsid w:val="003D5414"/>
    <w:rPr>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2947C9"/>
    <w:rPr>
      <w:rFonts w:eastAsia="SimSun"/>
      <w:sz w:val="18"/>
      <w:lang w:eastAsia="zh-CN"/>
    </w:rPr>
  </w:style>
  <w:style w:type="paragraph" w:styleId="Footer">
    <w:name w:val="footer"/>
    <w:aliases w:val="3_G"/>
    <w:basedOn w:val="Normal"/>
    <w:link w:val="FooterChar"/>
    <w:rsid w:val="00963690"/>
    <w:rPr>
      <w:sz w:val="16"/>
    </w:rPr>
  </w:style>
  <w:style w:type="character" w:customStyle="1" w:styleId="FooterChar">
    <w:name w:val="Footer Char"/>
    <w:aliases w:val="3_G Char"/>
    <w:link w:val="Footer"/>
    <w:locked/>
    <w:rsid w:val="00C214B1"/>
    <w:rPr>
      <w:rFonts w:eastAsia="SimSun"/>
      <w:sz w:val="16"/>
      <w:lang w:val="en-GB" w:eastAsia="zh-CN"/>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customStyle="1" w:styleId="HeaderChar">
    <w:name w:val="Header Char"/>
    <w:aliases w:val="6_G Char"/>
    <w:link w:val="Header"/>
    <w:locked/>
    <w:rsid w:val="00C214B1"/>
    <w:rPr>
      <w:rFonts w:eastAsia="SimSun"/>
      <w:b/>
      <w:sz w:val="18"/>
      <w:lang w:val="en-GB" w:eastAsia="zh-CN"/>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link w:val="RegHChGCharChar"/>
    <w:rsid w:val="00963690"/>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4"/>
      </w:numPr>
      <w:tabs>
        <w:tab w:val="clear" w:pos="1135"/>
        <w:tab w:val="left" w:pos="1701"/>
        <w:tab w:val="num" w:pos="2127"/>
      </w:tabs>
      <w:spacing w:after="120"/>
      <w:ind w:left="2694" w:right="1134"/>
      <w:jc w:val="both"/>
    </w:pPr>
  </w:style>
  <w:style w:type="character" w:customStyle="1" w:styleId="RegSingleTxtGChar">
    <w:name w:val="Reg_Single Txt_G Char"/>
    <w:link w:val="RegSingleTxtG"/>
    <w:locked/>
    <w:rsid w:val="00E52115"/>
    <w:rPr>
      <w:rFonts w:eastAsia="SimSun"/>
      <w:lang w:val="en-GB" w:eastAsia="zh-CN"/>
    </w:rPr>
  </w:style>
  <w:style w:type="character" w:customStyle="1" w:styleId="RegHChGCharChar">
    <w:name w:val="Reg_H__Ch_G Char Char"/>
    <w:link w:val="RegHChG"/>
    <w:rsid w:val="003D5414"/>
    <w:rPr>
      <w:rFonts w:eastAsia="SimSun"/>
      <w:b/>
      <w:sz w:val="28"/>
      <w:lang w:val="en-GB" w:eastAsia="zh-CN"/>
    </w:rPr>
  </w:style>
  <w:style w:type="paragraph" w:styleId="TOC1">
    <w:name w:val="toc 1"/>
    <w:basedOn w:val="Normal"/>
    <w:next w:val="Normal"/>
    <w:autoRedefine/>
    <w:uiPriority w:val="39"/>
    <w:rsid w:val="00BB0505"/>
    <w:pPr>
      <w:tabs>
        <w:tab w:val="right" w:pos="1418"/>
        <w:tab w:val="left" w:pos="1560"/>
        <w:tab w:val="left" w:pos="1985"/>
        <w:tab w:val="left" w:leader="dot" w:pos="7655"/>
        <w:tab w:val="right" w:pos="8931"/>
        <w:tab w:val="right" w:pos="9639"/>
      </w:tabs>
      <w:spacing w:after="120"/>
    </w:pPr>
  </w:style>
  <w:style w:type="paragraph" w:styleId="TOC2">
    <w:name w:val="toc 2"/>
    <w:basedOn w:val="Normal"/>
    <w:next w:val="Normal"/>
    <w:autoRedefine/>
    <w:uiPriority w:val="39"/>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aliases w:val="Rec para,List Paragraph1,Recommendation,List Paragraph11"/>
    <w:basedOn w:val="Normal"/>
    <w:link w:val="ListParagraphChar"/>
    <w:uiPriority w:val="34"/>
    <w:qFormat/>
    <w:rsid w:val="00963690"/>
    <w:pPr>
      <w:ind w:left="720"/>
      <w:contextualSpacing/>
    </w:pPr>
  </w:style>
  <w:style w:type="character" w:customStyle="1" w:styleId="ListParagraphChar">
    <w:name w:val="List Paragraph Char"/>
    <w:aliases w:val="Rec para Char,List Paragraph1 Char,Recommendation Char,List Paragraph11 Char"/>
    <w:link w:val="ListParagraph"/>
    <w:uiPriority w:val="34"/>
    <w:rsid w:val="00C214B1"/>
    <w:rPr>
      <w:rFonts w:eastAsia="SimSun"/>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Default">
    <w:name w:val="Default"/>
    <w:rsid w:val="00FB6DE1"/>
    <w:pPr>
      <w:autoSpaceDE w:val="0"/>
      <w:autoSpaceDN w:val="0"/>
      <w:adjustRightInd w:val="0"/>
    </w:pPr>
    <w:rPr>
      <w:color w:val="000000"/>
      <w:sz w:val="24"/>
      <w:szCs w:val="24"/>
      <w:lang w:eastAsia="en-GB"/>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rsid w:val="00F37E28"/>
    <w:pPr>
      <w:spacing w:line="240" w:lineRule="auto"/>
    </w:pPr>
  </w:style>
  <w:style w:type="character" w:customStyle="1" w:styleId="CommentTextChar">
    <w:name w:val="Comment Text Char"/>
    <w:link w:val="CommentText"/>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6"/>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link w:val="RegHead2Char"/>
    <w:rsid w:val="001240BB"/>
    <w:pPr>
      <w:keepNext/>
      <w:numPr>
        <w:ilvl w:val="1"/>
        <w:numId w:val="6"/>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6"/>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1"/>
    <w:rsid w:val="001240BB"/>
    <w:pPr>
      <w:numPr>
        <w:ilvl w:val="3"/>
        <w:numId w:val="6"/>
      </w:numPr>
      <w:suppressAutoHyphens w:val="0"/>
      <w:spacing w:before="180" w:line="240" w:lineRule="auto"/>
    </w:pPr>
    <w:rPr>
      <w:rFonts w:eastAsia="Times New Roman"/>
      <w:sz w:val="22"/>
      <w:lang w:eastAsia="de-DE"/>
    </w:rPr>
  </w:style>
  <w:style w:type="character" w:customStyle="1" w:styleId="RegParaChar1">
    <w:name w:val="RegPara Char1"/>
    <w:link w:val="RegPara"/>
    <w:locked/>
    <w:rsid w:val="00C214B1"/>
    <w:rPr>
      <w:sz w:val="22"/>
      <w:lang w:val="en-GB" w:eastAsia="de-DE"/>
    </w:rPr>
  </w:style>
  <w:style w:type="character" w:customStyle="1" w:styleId="RegHead2Char">
    <w:name w:val="RegHead2 Char"/>
    <w:link w:val="RegHead2"/>
    <w:locked/>
    <w:rsid w:val="00C214B1"/>
    <w:rPr>
      <w:b/>
      <w:sz w:val="22"/>
      <w:lang w:val="en-GB"/>
    </w:rPr>
  </w:style>
  <w:style w:type="character" w:styleId="FollowedHyperlink">
    <w:name w:val="FollowedHyperlink"/>
    <w:rsid w:val="00B42D75"/>
    <w:rPr>
      <w:color w:val="800080"/>
      <w:u w:val="single"/>
    </w:rPr>
  </w:style>
  <w:style w:type="paragraph" w:styleId="Title">
    <w:name w:val="Title"/>
    <w:basedOn w:val="Normal"/>
    <w:link w:val="TitleChar"/>
    <w:qFormat/>
    <w:rsid w:val="00730606"/>
    <w:pPr>
      <w:suppressAutoHyphens w:val="0"/>
      <w:spacing w:line="240" w:lineRule="auto"/>
      <w:jc w:val="center"/>
    </w:pPr>
    <w:rPr>
      <w:rFonts w:eastAsia="Times New Roman"/>
      <w:b/>
      <w:bCs/>
      <w:sz w:val="24"/>
      <w:szCs w:val="24"/>
      <w:lang w:eastAsia="en-US"/>
    </w:rPr>
  </w:style>
  <w:style w:type="character" w:customStyle="1" w:styleId="TitleChar">
    <w:name w:val="Title Char"/>
    <w:basedOn w:val="DefaultParagraphFont"/>
    <w:link w:val="Title"/>
    <w:rsid w:val="00730606"/>
    <w:rPr>
      <w:b/>
      <w:bCs/>
      <w:sz w:val="24"/>
      <w:szCs w:val="24"/>
      <w:lang w:val="en-GB"/>
    </w:rPr>
  </w:style>
  <w:style w:type="paragraph" w:styleId="Subtitle">
    <w:name w:val="Subtitle"/>
    <w:basedOn w:val="Normal"/>
    <w:link w:val="SubtitleChar"/>
    <w:qFormat/>
    <w:rsid w:val="00730606"/>
    <w:pPr>
      <w:suppressAutoHyphens w:val="0"/>
      <w:spacing w:line="240" w:lineRule="auto"/>
      <w:jc w:val="center"/>
    </w:pPr>
    <w:rPr>
      <w:rFonts w:eastAsia="Times New Roman"/>
      <w:b/>
      <w:bCs/>
      <w:sz w:val="24"/>
      <w:szCs w:val="24"/>
      <w:lang w:eastAsia="en-US"/>
    </w:rPr>
  </w:style>
  <w:style w:type="character" w:customStyle="1" w:styleId="SubtitleChar">
    <w:name w:val="Subtitle Char"/>
    <w:basedOn w:val="DefaultParagraphFont"/>
    <w:link w:val="Subtitle"/>
    <w:rsid w:val="00730606"/>
    <w:rPr>
      <w:b/>
      <w:bCs/>
      <w:sz w:val="24"/>
      <w:szCs w:val="24"/>
      <w:lang w:val="en-GB"/>
    </w:rPr>
  </w:style>
  <w:style w:type="character" w:styleId="Strong">
    <w:name w:val="Strong"/>
    <w:basedOn w:val="DefaultParagraphFont"/>
    <w:uiPriority w:val="22"/>
    <w:qFormat/>
    <w:rsid w:val="00386D69"/>
    <w:rPr>
      <w:b/>
      <w:bCs/>
    </w:rPr>
  </w:style>
  <w:style w:type="paragraph" w:customStyle="1" w:styleId="AtxtHdgs">
    <w:name w:val="Atxt_Hdgs"/>
    <w:basedOn w:val="Normal"/>
    <w:rsid w:val="00C214B1"/>
    <w:pPr>
      <w:suppressAutoHyphens w:val="0"/>
      <w:spacing w:line="240" w:lineRule="auto"/>
      <w:jc w:val="center"/>
    </w:pPr>
    <w:rPr>
      <w:rFonts w:eastAsia="Times New Roman"/>
      <w:sz w:val="24"/>
      <w:lang w:eastAsia="en-US"/>
    </w:rPr>
  </w:style>
  <w:style w:type="paragraph" w:customStyle="1" w:styleId="FootnoteTable0">
    <w:name w:val="FootnoteTable"/>
    <w:rsid w:val="00C214B1"/>
    <w:pPr>
      <w:tabs>
        <w:tab w:val="num" w:pos="1135"/>
      </w:tabs>
      <w:ind w:left="1135" w:hanging="284"/>
    </w:pPr>
    <w:rPr>
      <w:sz w:val="16"/>
      <w:szCs w:val="16"/>
      <w:lang w:val="en-GB"/>
    </w:rPr>
  </w:style>
  <w:style w:type="paragraph" w:customStyle="1" w:styleId="Briefhead1">
    <w:name w:val="Brief_head1"/>
    <w:basedOn w:val="Normal"/>
    <w:rsid w:val="00C214B1"/>
    <w:pPr>
      <w:keepNext/>
      <w:shd w:val="clear" w:color="auto" w:fill="FFFF00"/>
      <w:tabs>
        <w:tab w:val="num" w:pos="1135"/>
      </w:tabs>
      <w:suppressAutoHyphens w:val="0"/>
      <w:spacing w:before="180" w:line="240" w:lineRule="auto"/>
      <w:ind w:left="1135" w:hanging="284"/>
      <w:jc w:val="center"/>
    </w:pPr>
    <w:rPr>
      <w:rFonts w:eastAsia="Times New Roman"/>
      <w:b/>
      <w:bCs/>
      <w:sz w:val="22"/>
      <w:szCs w:val="22"/>
      <w:lang w:eastAsia="en-US"/>
    </w:rPr>
  </w:style>
  <w:style w:type="paragraph" w:customStyle="1" w:styleId="AnnoPara">
    <w:name w:val="AnnoPara"/>
    <w:basedOn w:val="Normal"/>
    <w:rsid w:val="00C214B1"/>
    <w:pPr>
      <w:tabs>
        <w:tab w:val="num" w:pos="840"/>
      </w:tabs>
      <w:suppressAutoHyphens w:val="0"/>
      <w:spacing w:before="180" w:line="240" w:lineRule="auto"/>
    </w:pPr>
    <w:rPr>
      <w:rFonts w:eastAsia="Times New Roman"/>
      <w:sz w:val="22"/>
      <w:szCs w:val="22"/>
      <w:lang w:eastAsia="de-DE"/>
    </w:rPr>
  </w:style>
  <w:style w:type="paragraph" w:customStyle="1" w:styleId="DecPara">
    <w:name w:val="DecPara"/>
    <w:basedOn w:val="Normal"/>
    <w:rsid w:val="00C214B1"/>
    <w:pPr>
      <w:tabs>
        <w:tab w:val="num" w:pos="1701"/>
      </w:tabs>
      <w:suppressAutoHyphens w:val="0"/>
      <w:spacing w:before="180" w:line="240" w:lineRule="auto"/>
      <w:ind w:left="1701" w:hanging="170"/>
    </w:pPr>
    <w:rPr>
      <w:rFonts w:eastAsia="Times New Roman"/>
      <w:sz w:val="22"/>
      <w:szCs w:val="22"/>
      <w:lang w:eastAsia="de-DE"/>
    </w:rPr>
  </w:style>
  <w:style w:type="paragraph" w:customStyle="1" w:styleId="CUB">
    <w:name w:val="CUB"/>
    <w:basedOn w:val="Normal"/>
    <w:rsid w:val="00C214B1"/>
    <w:pPr>
      <w:suppressAutoHyphens w:val="0"/>
      <w:spacing w:line="240" w:lineRule="auto"/>
      <w:jc w:val="center"/>
    </w:pPr>
    <w:rPr>
      <w:rFonts w:eastAsia="Times New Roman"/>
      <w:b/>
      <w:bCs/>
      <w:sz w:val="22"/>
      <w:szCs w:val="22"/>
      <w:u w:val="single"/>
      <w:lang w:eastAsia="de-DE"/>
    </w:rPr>
  </w:style>
  <w:style w:type="paragraph" w:customStyle="1" w:styleId="HeadLevel3">
    <w:name w:val="HeadLevel3"/>
    <w:basedOn w:val="Normal"/>
    <w:autoRedefine/>
    <w:rsid w:val="00C214B1"/>
    <w:pPr>
      <w:tabs>
        <w:tab w:val="center" w:pos="9072"/>
      </w:tabs>
      <w:suppressAutoHyphens w:val="0"/>
      <w:spacing w:before="180" w:line="240" w:lineRule="auto"/>
    </w:pPr>
    <w:rPr>
      <w:rFonts w:eastAsia="Times New Roman"/>
      <w:sz w:val="22"/>
      <w:szCs w:val="22"/>
      <w:lang w:eastAsia="de-DE"/>
    </w:rPr>
  </w:style>
  <w:style w:type="paragraph" w:customStyle="1" w:styleId="AgendaItem">
    <w:name w:val="AgendaItem"/>
    <w:basedOn w:val="Normal"/>
    <w:autoRedefine/>
    <w:rsid w:val="00C214B1"/>
    <w:pPr>
      <w:suppressAutoHyphens w:val="0"/>
      <w:spacing w:line="240" w:lineRule="auto"/>
    </w:pPr>
    <w:rPr>
      <w:rFonts w:eastAsia="Times New Roman"/>
      <w:b/>
      <w:bCs/>
      <w:lang w:eastAsia="de-DE"/>
    </w:rPr>
  </w:style>
  <w:style w:type="paragraph" w:customStyle="1" w:styleId="MainTitle">
    <w:name w:val="MainTitle"/>
    <w:basedOn w:val="Normal"/>
    <w:rsid w:val="00C214B1"/>
    <w:pPr>
      <w:numPr>
        <w:numId w:val="9"/>
      </w:numPr>
      <w:suppressAutoHyphens w:val="0"/>
      <w:spacing w:line="240" w:lineRule="auto"/>
      <w:ind w:firstLine="0"/>
      <w:jc w:val="center"/>
    </w:pPr>
    <w:rPr>
      <w:rFonts w:eastAsia="Times New Roman"/>
      <w:b/>
      <w:bCs/>
      <w:sz w:val="28"/>
      <w:szCs w:val="28"/>
      <w:lang w:eastAsia="de-DE"/>
    </w:rPr>
  </w:style>
  <w:style w:type="paragraph" w:customStyle="1" w:styleId="NoteSecretariat">
    <w:name w:val="NoteSecretariat"/>
    <w:basedOn w:val="Normal"/>
    <w:rsid w:val="00C214B1"/>
    <w:pPr>
      <w:suppressAutoHyphens w:val="0"/>
      <w:spacing w:line="240" w:lineRule="auto"/>
      <w:jc w:val="center"/>
    </w:pPr>
    <w:rPr>
      <w:rFonts w:eastAsia="Times New Roman"/>
      <w:b/>
      <w:bCs/>
      <w:sz w:val="22"/>
      <w:szCs w:val="22"/>
      <w:lang w:eastAsia="de-DE"/>
    </w:rPr>
  </w:style>
  <w:style w:type="paragraph" w:customStyle="1" w:styleId="AnnoHead1">
    <w:name w:val="AnnoHead1"/>
    <w:basedOn w:val="Normal"/>
    <w:next w:val="AnnoHead2"/>
    <w:rsid w:val="00C214B1"/>
    <w:pPr>
      <w:suppressAutoHyphens w:val="0"/>
      <w:spacing w:before="180" w:line="240" w:lineRule="auto"/>
      <w:ind w:firstLine="244"/>
      <w:jc w:val="center"/>
    </w:pPr>
    <w:rPr>
      <w:rFonts w:eastAsia="Times New Roman"/>
      <w:b/>
      <w:bCs/>
      <w:sz w:val="28"/>
      <w:szCs w:val="28"/>
      <w:lang w:eastAsia="de-DE"/>
    </w:rPr>
  </w:style>
  <w:style w:type="paragraph" w:customStyle="1" w:styleId="AnnoHead2">
    <w:name w:val="AnnoHead2"/>
    <w:basedOn w:val="Normal"/>
    <w:next w:val="AnnoHead3"/>
    <w:rsid w:val="00C214B1"/>
    <w:pPr>
      <w:numPr>
        <w:ilvl w:val="2"/>
        <w:numId w:val="7"/>
      </w:numPr>
      <w:suppressAutoHyphens w:val="0"/>
      <w:spacing w:before="180" w:line="240" w:lineRule="auto"/>
      <w:ind w:left="0" w:firstLine="0"/>
      <w:jc w:val="center"/>
    </w:pPr>
    <w:rPr>
      <w:rFonts w:eastAsia="Times New Roman"/>
      <w:b/>
      <w:bCs/>
      <w:sz w:val="22"/>
      <w:szCs w:val="22"/>
      <w:lang w:eastAsia="de-DE"/>
    </w:rPr>
  </w:style>
  <w:style w:type="paragraph" w:customStyle="1" w:styleId="AnnoHead3">
    <w:name w:val="AnnoHead3"/>
    <w:basedOn w:val="Normal"/>
    <w:next w:val="AnnoPara"/>
    <w:rsid w:val="00C214B1"/>
    <w:pPr>
      <w:numPr>
        <w:numId w:val="8"/>
      </w:numPr>
      <w:tabs>
        <w:tab w:val="clear" w:pos="360"/>
        <w:tab w:val="num" w:pos="1135"/>
      </w:tabs>
      <w:suppressAutoHyphens w:val="0"/>
      <w:spacing w:before="180" w:line="240" w:lineRule="auto"/>
      <w:ind w:left="1135" w:hanging="284"/>
    </w:pPr>
    <w:rPr>
      <w:rFonts w:eastAsia="Times New Roman"/>
      <w:sz w:val="22"/>
      <w:szCs w:val="22"/>
      <w:u w:val="single"/>
      <w:lang w:eastAsia="de-DE"/>
    </w:rPr>
  </w:style>
  <w:style w:type="paragraph" w:customStyle="1" w:styleId="ProvHead1">
    <w:name w:val="ProvHead1"/>
    <w:basedOn w:val="Normal"/>
    <w:next w:val="ProvHead2"/>
    <w:rsid w:val="00C214B1"/>
    <w:pPr>
      <w:suppressAutoHyphens w:val="0"/>
      <w:spacing w:before="180" w:line="240" w:lineRule="auto"/>
      <w:jc w:val="center"/>
    </w:pPr>
    <w:rPr>
      <w:rFonts w:eastAsia="Times New Roman"/>
      <w:b/>
      <w:bCs/>
      <w:caps/>
      <w:sz w:val="22"/>
      <w:szCs w:val="22"/>
      <w:lang w:eastAsia="en-US"/>
    </w:rPr>
  </w:style>
  <w:style w:type="paragraph" w:customStyle="1" w:styleId="ProvHead2">
    <w:name w:val="ProvHead2"/>
    <w:basedOn w:val="Normal"/>
    <w:next w:val="ProvHead3"/>
    <w:rsid w:val="00C214B1"/>
    <w:pPr>
      <w:suppressAutoHyphens w:val="0"/>
      <w:spacing w:before="180" w:line="240" w:lineRule="auto"/>
      <w:jc w:val="center"/>
    </w:pPr>
    <w:rPr>
      <w:rFonts w:eastAsia="Times New Roman"/>
      <w:b/>
      <w:bCs/>
      <w:sz w:val="22"/>
      <w:szCs w:val="22"/>
      <w:u w:val="single"/>
      <w:lang w:eastAsia="en-US"/>
    </w:rPr>
  </w:style>
  <w:style w:type="paragraph" w:customStyle="1" w:styleId="ProvHead3">
    <w:name w:val="ProvHead3"/>
    <w:basedOn w:val="Normal"/>
    <w:next w:val="ProvPara"/>
    <w:rsid w:val="00C214B1"/>
    <w:pPr>
      <w:suppressAutoHyphens w:val="0"/>
      <w:spacing w:before="180" w:line="240" w:lineRule="auto"/>
    </w:pPr>
    <w:rPr>
      <w:rFonts w:eastAsia="Times New Roman"/>
      <w:b/>
      <w:bCs/>
      <w:sz w:val="22"/>
      <w:szCs w:val="22"/>
      <w:u w:val="single"/>
      <w:lang w:eastAsia="en-US"/>
    </w:rPr>
  </w:style>
  <w:style w:type="paragraph" w:customStyle="1" w:styleId="ProvPara">
    <w:name w:val="ProvPara"/>
    <w:basedOn w:val="Normal"/>
    <w:rsid w:val="00C214B1"/>
    <w:pPr>
      <w:suppressAutoHyphens w:val="0"/>
      <w:spacing w:before="180" w:line="240" w:lineRule="auto"/>
    </w:pPr>
    <w:rPr>
      <w:rFonts w:eastAsia="Times New Roman"/>
      <w:sz w:val="22"/>
      <w:szCs w:val="22"/>
      <w:lang w:eastAsia="en-US"/>
    </w:rPr>
  </w:style>
  <w:style w:type="paragraph" w:styleId="BodyTextIndent">
    <w:name w:val="Body Text Indent"/>
    <w:basedOn w:val="Normal"/>
    <w:link w:val="BodyTextIndentChar"/>
    <w:rsid w:val="00C214B1"/>
    <w:pPr>
      <w:suppressAutoHyphens w:val="0"/>
      <w:spacing w:line="240" w:lineRule="auto"/>
    </w:pPr>
    <w:rPr>
      <w:rFonts w:eastAsia="Times New Roman"/>
      <w:b/>
      <w:bCs/>
      <w:i/>
      <w:iCs/>
      <w:sz w:val="24"/>
      <w:szCs w:val="24"/>
      <w:lang w:eastAsia="en-US"/>
    </w:rPr>
  </w:style>
  <w:style w:type="character" w:customStyle="1" w:styleId="BodyTextIndentChar">
    <w:name w:val="Body Text Indent Char"/>
    <w:basedOn w:val="DefaultParagraphFont"/>
    <w:link w:val="BodyTextIndent"/>
    <w:rsid w:val="00C214B1"/>
    <w:rPr>
      <w:b/>
      <w:bCs/>
      <w:i/>
      <w:iCs/>
      <w:sz w:val="24"/>
      <w:szCs w:val="24"/>
      <w:lang w:val="en-GB"/>
    </w:rPr>
  </w:style>
  <w:style w:type="paragraph" w:customStyle="1" w:styleId="AtxtChemicals">
    <w:name w:val="Atxt_Chemicals"/>
    <w:basedOn w:val="Normal"/>
    <w:rsid w:val="00C214B1"/>
    <w:pPr>
      <w:suppressAutoHyphens w:val="0"/>
      <w:spacing w:line="240" w:lineRule="auto"/>
    </w:pPr>
    <w:rPr>
      <w:rFonts w:eastAsia="Times New Roman"/>
      <w:sz w:val="24"/>
      <w:szCs w:val="24"/>
      <w:lang w:eastAsia="de-DE"/>
    </w:rPr>
  </w:style>
  <w:style w:type="character" w:customStyle="1" w:styleId="RegParaChar">
    <w:name w:val="RegPara Char"/>
    <w:rsid w:val="00C214B1"/>
    <w:rPr>
      <w:rFonts w:cs="Times New Roman"/>
      <w:sz w:val="22"/>
      <w:szCs w:val="22"/>
      <w:lang w:val="en-GB" w:eastAsia="en-US"/>
    </w:rPr>
  </w:style>
  <w:style w:type="paragraph" w:customStyle="1" w:styleId="Figuretitle">
    <w:name w:val="Figure title"/>
    <w:basedOn w:val="Normal"/>
    <w:rsid w:val="00C214B1"/>
    <w:pPr>
      <w:keepNext/>
      <w:numPr>
        <w:numId w:val="10"/>
      </w:numPr>
      <w:suppressAutoHyphens w:val="0"/>
      <w:spacing w:before="120" w:after="60" w:line="240" w:lineRule="auto"/>
      <w:jc w:val="center"/>
    </w:pPr>
    <w:rPr>
      <w:rFonts w:eastAsia="Times New Roman"/>
      <w:b/>
      <w:bCs/>
      <w:sz w:val="22"/>
      <w:szCs w:val="22"/>
      <w:lang w:val="en-US" w:eastAsia="en-US"/>
    </w:rPr>
  </w:style>
  <w:style w:type="paragraph" w:customStyle="1" w:styleId="Figure">
    <w:name w:val="Figure"/>
    <w:basedOn w:val="Normal"/>
    <w:rsid w:val="00C214B1"/>
    <w:pPr>
      <w:keepNext/>
      <w:suppressAutoHyphens w:val="0"/>
      <w:spacing w:before="60" w:line="240" w:lineRule="auto"/>
      <w:jc w:val="center"/>
    </w:pPr>
    <w:rPr>
      <w:rFonts w:eastAsia="Times New Roman"/>
      <w:sz w:val="22"/>
      <w:szCs w:val="22"/>
      <w:lang w:val="en-US" w:eastAsia="en-US"/>
    </w:rPr>
  </w:style>
  <w:style w:type="paragraph" w:customStyle="1" w:styleId="Brieffootnote">
    <w:name w:val="Brief_footnote"/>
    <w:basedOn w:val="FootnoteText"/>
    <w:rsid w:val="00C214B1"/>
    <w:pPr>
      <w:tabs>
        <w:tab w:val="clear" w:pos="1021"/>
        <w:tab w:val="left" w:pos="227"/>
      </w:tabs>
      <w:suppressAutoHyphens w:val="0"/>
      <w:spacing w:line="240" w:lineRule="auto"/>
      <w:ind w:left="0" w:right="0" w:firstLine="0"/>
    </w:pPr>
    <w:rPr>
      <w:rFonts w:eastAsia="Times New Roman"/>
      <w:sz w:val="16"/>
      <w:szCs w:val="16"/>
      <w:lang w:eastAsia="de-DE"/>
    </w:rPr>
  </w:style>
  <w:style w:type="paragraph" w:customStyle="1" w:styleId="Brieffiguretitle">
    <w:name w:val="Brief figure title"/>
    <w:basedOn w:val="Figuretitle"/>
    <w:rsid w:val="00C214B1"/>
  </w:style>
  <w:style w:type="paragraph" w:customStyle="1" w:styleId="Tabletitle">
    <w:name w:val="Table title"/>
    <w:basedOn w:val="Normal"/>
    <w:rsid w:val="00C214B1"/>
    <w:pPr>
      <w:keepNext/>
      <w:numPr>
        <w:numId w:val="11"/>
      </w:numPr>
      <w:suppressAutoHyphens w:val="0"/>
      <w:spacing w:before="120" w:after="60" w:line="240" w:lineRule="auto"/>
      <w:jc w:val="center"/>
    </w:pPr>
    <w:rPr>
      <w:rFonts w:eastAsia="Times New Roman"/>
      <w:b/>
      <w:bCs/>
      <w:sz w:val="22"/>
      <w:szCs w:val="22"/>
      <w:lang w:val="en-US" w:eastAsia="en-US"/>
    </w:rPr>
  </w:style>
  <w:style w:type="paragraph" w:customStyle="1" w:styleId="Brieftable">
    <w:name w:val="Brief_table"/>
    <w:basedOn w:val="Normal"/>
    <w:rsid w:val="00C214B1"/>
    <w:pPr>
      <w:suppressAutoHyphens w:val="0"/>
      <w:spacing w:before="40" w:after="20" w:line="240" w:lineRule="auto"/>
    </w:pPr>
    <w:rPr>
      <w:rFonts w:ascii="Arial" w:eastAsia="Times New Roman" w:hAnsi="Arial" w:cs="Arial"/>
      <w:sz w:val="18"/>
      <w:szCs w:val="18"/>
      <w:lang w:eastAsia="en-US"/>
    </w:rPr>
  </w:style>
  <w:style w:type="paragraph" w:customStyle="1" w:styleId="Brieftableindented">
    <w:name w:val="Brief table indented"/>
    <w:basedOn w:val="Normal"/>
    <w:rsid w:val="00C214B1"/>
    <w:pPr>
      <w:suppressAutoHyphens w:val="0"/>
      <w:autoSpaceDE w:val="0"/>
      <w:autoSpaceDN w:val="0"/>
      <w:adjustRightInd w:val="0"/>
      <w:spacing w:line="240" w:lineRule="auto"/>
      <w:ind w:left="284"/>
    </w:pPr>
    <w:rPr>
      <w:rFonts w:ascii="Arial" w:eastAsia="Times New Roman" w:hAnsi="Arial" w:cs="Arial"/>
      <w:sz w:val="16"/>
      <w:szCs w:val="16"/>
      <w:lang w:val="en-US" w:eastAsia="en-US"/>
    </w:rPr>
  </w:style>
  <w:style w:type="paragraph" w:styleId="BodyText">
    <w:name w:val="Body Text"/>
    <w:basedOn w:val="Normal"/>
    <w:link w:val="BodyTextChar"/>
    <w:rsid w:val="00C214B1"/>
    <w:pPr>
      <w:suppressAutoHyphens w:val="0"/>
      <w:autoSpaceDE w:val="0"/>
      <w:autoSpaceDN w:val="0"/>
      <w:adjustRightInd w:val="0"/>
      <w:spacing w:line="240" w:lineRule="auto"/>
      <w:jc w:val="center"/>
    </w:pPr>
    <w:rPr>
      <w:rFonts w:ascii="Arial" w:eastAsia="Times New Roman" w:hAnsi="Arial" w:cs="Arial"/>
      <w:b/>
      <w:bCs/>
      <w:sz w:val="16"/>
      <w:szCs w:val="16"/>
      <w:lang w:eastAsia="de-DE"/>
    </w:rPr>
  </w:style>
  <w:style w:type="character" w:customStyle="1" w:styleId="BodyTextChar">
    <w:name w:val="Body Text Char"/>
    <w:basedOn w:val="DefaultParagraphFont"/>
    <w:link w:val="BodyText"/>
    <w:rsid w:val="00C214B1"/>
    <w:rPr>
      <w:rFonts w:ascii="Arial" w:hAnsi="Arial" w:cs="Arial"/>
      <w:b/>
      <w:bCs/>
      <w:sz w:val="16"/>
      <w:szCs w:val="16"/>
      <w:lang w:val="en-GB" w:eastAsia="de-DE"/>
    </w:rPr>
  </w:style>
  <w:style w:type="paragraph" w:customStyle="1" w:styleId="Brieftable8">
    <w:name w:val="Brief_table8"/>
    <w:basedOn w:val="Normal"/>
    <w:rsid w:val="00C214B1"/>
    <w:pPr>
      <w:suppressAutoHyphens w:val="0"/>
      <w:spacing w:line="240" w:lineRule="auto"/>
    </w:pPr>
    <w:rPr>
      <w:rFonts w:ascii="Arial" w:eastAsia="Times New Roman" w:hAnsi="Arial" w:cs="Arial"/>
      <w:sz w:val="16"/>
      <w:szCs w:val="16"/>
      <w:lang w:eastAsia="en-US"/>
    </w:rPr>
  </w:style>
  <w:style w:type="paragraph" w:customStyle="1" w:styleId="Brieftabletitle">
    <w:name w:val="Brief table title"/>
    <w:basedOn w:val="Tabletitle"/>
    <w:rsid w:val="00C214B1"/>
  </w:style>
  <w:style w:type="paragraph" w:customStyle="1" w:styleId="Text">
    <w:name w:val="Text"/>
    <w:basedOn w:val="Normal"/>
    <w:rsid w:val="00C214B1"/>
    <w:pPr>
      <w:suppressAutoHyphens w:val="0"/>
      <w:spacing w:line="240" w:lineRule="auto"/>
    </w:pPr>
    <w:rPr>
      <w:rFonts w:ascii="Arial" w:eastAsia="Times New Roman" w:hAnsi="Arial" w:cs="Arial"/>
      <w:lang w:eastAsia="de-DE"/>
    </w:rPr>
  </w:style>
  <w:style w:type="paragraph" w:styleId="NormalWeb">
    <w:name w:val="Normal (Web)"/>
    <w:basedOn w:val="Normal"/>
    <w:rsid w:val="00C214B1"/>
    <w:pPr>
      <w:suppressAutoHyphens w:val="0"/>
      <w:spacing w:line="240" w:lineRule="auto"/>
    </w:pPr>
    <w:rPr>
      <w:rFonts w:eastAsia="Times New Roman"/>
      <w:sz w:val="24"/>
      <w:szCs w:val="24"/>
      <w:lang w:eastAsia="de-DE"/>
    </w:rPr>
  </w:style>
  <w:style w:type="paragraph" w:customStyle="1" w:styleId="AnnexHead1">
    <w:name w:val="AnnexHead1"/>
    <w:basedOn w:val="Normal"/>
    <w:next w:val="Normal"/>
    <w:rsid w:val="00C214B1"/>
    <w:pPr>
      <w:suppressAutoHyphens w:val="0"/>
      <w:spacing w:before="180" w:line="240" w:lineRule="auto"/>
      <w:jc w:val="center"/>
    </w:pPr>
    <w:rPr>
      <w:rFonts w:eastAsia="Times New Roman"/>
      <w:sz w:val="22"/>
      <w:szCs w:val="22"/>
      <w:u w:val="single"/>
      <w:lang w:eastAsia="de-DE"/>
    </w:rPr>
  </w:style>
  <w:style w:type="paragraph" w:customStyle="1" w:styleId="TableandFigure">
    <w:name w:val="Table and Figure"/>
    <w:next w:val="Normal"/>
    <w:rsid w:val="00C214B1"/>
    <w:pPr>
      <w:spacing w:before="180" w:after="120"/>
      <w:jc w:val="center"/>
    </w:pPr>
    <w:rPr>
      <w:b/>
      <w:sz w:val="22"/>
      <w:szCs w:val="22"/>
      <w:lang w:val="en-GB" w:eastAsia="de-DE"/>
    </w:rPr>
  </w:style>
  <w:style w:type="paragraph" w:customStyle="1" w:styleId="CM2">
    <w:name w:val="CM2"/>
    <w:basedOn w:val="Default"/>
    <w:next w:val="Default"/>
    <w:uiPriority w:val="99"/>
    <w:rsid w:val="00C214B1"/>
    <w:pPr>
      <w:spacing w:line="266" w:lineRule="atLeast"/>
    </w:pPr>
    <w:rPr>
      <w:color w:val="auto"/>
      <w:lang w:val="en-GB"/>
    </w:rPr>
  </w:style>
  <w:style w:type="paragraph" w:customStyle="1" w:styleId="CM18">
    <w:name w:val="CM18"/>
    <w:basedOn w:val="Default"/>
    <w:next w:val="Default"/>
    <w:uiPriority w:val="99"/>
    <w:rsid w:val="00C214B1"/>
    <w:pPr>
      <w:spacing w:after="115"/>
    </w:pPr>
    <w:rPr>
      <w:color w:val="auto"/>
      <w:lang w:val="en-GB"/>
    </w:rPr>
  </w:style>
  <w:style w:type="paragraph" w:customStyle="1" w:styleId="CM19">
    <w:name w:val="CM19"/>
    <w:basedOn w:val="Default"/>
    <w:next w:val="Default"/>
    <w:uiPriority w:val="99"/>
    <w:rsid w:val="00C214B1"/>
    <w:pPr>
      <w:spacing w:after="343"/>
    </w:pPr>
    <w:rPr>
      <w:color w:val="auto"/>
      <w:lang w:val="en-GB"/>
    </w:rPr>
  </w:style>
  <w:style w:type="paragraph" w:styleId="NoSpacing">
    <w:name w:val="No Spacing"/>
    <w:uiPriority w:val="1"/>
    <w:qFormat/>
    <w:rsid w:val="00C214B1"/>
    <w:rPr>
      <w:rFonts w:ascii="Calibri" w:eastAsia="Calibri" w:hAnsi="Calibri"/>
      <w:sz w:val="22"/>
      <w:szCs w:val="22"/>
      <w:lang w:val="en-NZ"/>
    </w:rPr>
  </w:style>
  <w:style w:type="paragraph" w:customStyle="1" w:styleId="Style20">
    <w:name w:val="Style20"/>
    <w:basedOn w:val="Normal"/>
    <w:uiPriority w:val="99"/>
    <w:rsid w:val="00C214B1"/>
    <w:pPr>
      <w:widowControl w:val="0"/>
      <w:suppressAutoHyphens w:val="0"/>
      <w:autoSpaceDE w:val="0"/>
      <w:autoSpaceDN w:val="0"/>
      <w:adjustRightInd w:val="0"/>
      <w:spacing w:after="120" w:line="254" w:lineRule="exact"/>
      <w:ind w:hanging="706"/>
    </w:pPr>
    <w:rPr>
      <w:rFonts w:ascii="Calibri" w:eastAsia="Arial Unicode MS" w:hAnsi="Calibri" w:cs="Calibri"/>
      <w:sz w:val="22"/>
      <w:szCs w:val="22"/>
      <w:lang w:eastAsia="en-GB"/>
    </w:rPr>
  </w:style>
  <w:style w:type="character" w:customStyle="1" w:styleId="FontStyle116">
    <w:name w:val="Font Style116"/>
    <w:uiPriority w:val="99"/>
    <w:rsid w:val="00C214B1"/>
    <w:rPr>
      <w:rFonts w:ascii="Times New Roman" w:hAnsi="Times New Roman" w:cs="Times New Roman"/>
      <w:color w:val="000000"/>
      <w:sz w:val="20"/>
      <w:szCs w:val="20"/>
    </w:rPr>
  </w:style>
  <w:style w:type="paragraph" w:customStyle="1" w:styleId="Style33">
    <w:name w:val="Style33"/>
    <w:basedOn w:val="Normal"/>
    <w:uiPriority w:val="99"/>
    <w:rsid w:val="00C214B1"/>
    <w:pPr>
      <w:widowControl w:val="0"/>
      <w:suppressAutoHyphens w:val="0"/>
      <w:autoSpaceDE w:val="0"/>
      <w:autoSpaceDN w:val="0"/>
      <w:adjustRightInd w:val="0"/>
      <w:spacing w:after="120" w:line="258" w:lineRule="exact"/>
    </w:pPr>
    <w:rPr>
      <w:rFonts w:ascii="Calibri" w:eastAsia="Arial Unicode MS" w:hAnsi="Calibri" w:cs="Calibri"/>
      <w:sz w:val="22"/>
      <w:szCs w:val="22"/>
      <w:lang w:eastAsia="en-GB"/>
    </w:rPr>
  </w:style>
  <w:style w:type="paragraph" w:customStyle="1" w:styleId="Style29">
    <w:name w:val="Style29"/>
    <w:basedOn w:val="Normal"/>
    <w:uiPriority w:val="99"/>
    <w:rsid w:val="00C214B1"/>
    <w:pPr>
      <w:widowControl w:val="0"/>
      <w:suppressAutoHyphens w:val="0"/>
      <w:autoSpaceDE w:val="0"/>
      <w:autoSpaceDN w:val="0"/>
      <w:adjustRightInd w:val="0"/>
      <w:spacing w:after="120" w:line="240" w:lineRule="auto"/>
    </w:pPr>
    <w:rPr>
      <w:rFonts w:ascii="Calibri" w:eastAsia="Arial Unicode MS" w:hAnsi="Calibri" w:cs="Calibri"/>
      <w:sz w:val="22"/>
      <w:szCs w:val="22"/>
      <w:lang w:eastAsia="en-GB"/>
    </w:rPr>
  </w:style>
  <w:style w:type="character" w:customStyle="1" w:styleId="FontStyle115">
    <w:name w:val="Font Style115"/>
    <w:uiPriority w:val="99"/>
    <w:rsid w:val="00C214B1"/>
    <w:rPr>
      <w:rFonts w:ascii="Times New Roman" w:hAnsi="Times New Roman" w:cs="Times New Roman"/>
      <w:color w:val="000000"/>
      <w:sz w:val="20"/>
      <w:szCs w:val="20"/>
    </w:rPr>
  </w:style>
  <w:style w:type="character" w:customStyle="1" w:styleId="FontStyle118">
    <w:name w:val="Font Style118"/>
    <w:uiPriority w:val="99"/>
    <w:rsid w:val="00C214B1"/>
    <w:rPr>
      <w:rFonts w:ascii="Times New Roman" w:hAnsi="Times New Roman" w:cs="Times New Roman"/>
      <w:i/>
      <w:iCs/>
      <w:color w:val="000000"/>
      <w:sz w:val="20"/>
      <w:szCs w:val="20"/>
    </w:rPr>
  </w:style>
  <w:style w:type="paragraph" w:customStyle="1" w:styleId="Style31">
    <w:name w:val="Style31"/>
    <w:basedOn w:val="Normal"/>
    <w:uiPriority w:val="99"/>
    <w:rsid w:val="00C214B1"/>
    <w:pPr>
      <w:widowControl w:val="0"/>
      <w:suppressAutoHyphens w:val="0"/>
      <w:autoSpaceDE w:val="0"/>
      <w:autoSpaceDN w:val="0"/>
      <w:adjustRightInd w:val="0"/>
      <w:spacing w:after="120" w:line="259" w:lineRule="exact"/>
      <w:ind w:hanging="902"/>
    </w:pPr>
    <w:rPr>
      <w:rFonts w:ascii="Calibri" w:eastAsia="Arial Unicode MS" w:hAnsi="Calibri" w:cs="Calibri"/>
      <w:sz w:val="22"/>
      <w:szCs w:val="22"/>
      <w:lang w:eastAsia="en-GB"/>
    </w:rPr>
  </w:style>
  <w:style w:type="paragraph" w:customStyle="1" w:styleId="ParaDecision">
    <w:name w:val="ParaDecision"/>
    <w:basedOn w:val="Normal"/>
    <w:qFormat/>
    <w:rsid w:val="008A323C"/>
    <w:pPr>
      <w:suppressAutoHyphens w:val="0"/>
      <w:spacing w:after="100" w:afterAutospacing="1" w:line="240" w:lineRule="auto"/>
      <w:jc w:val="both"/>
    </w:pPr>
    <w:rPr>
      <w:rFonts w:eastAsia="Times New Roman"/>
      <w:sz w:val="24"/>
      <w:szCs w:val="24"/>
      <w:lang w:val="en-US" w:eastAsia="en-US"/>
    </w:rPr>
  </w:style>
  <w:style w:type="character" w:customStyle="1" w:styleId="EndnoteTextChar">
    <w:name w:val="Endnote Text Char"/>
    <w:aliases w:val="2_G Char"/>
    <w:basedOn w:val="DefaultParagraphFont"/>
    <w:link w:val="EndnoteText"/>
    <w:rsid w:val="008A323C"/>
    <w:rPr>
      <w:rFonts w:eastAsia="SimSun"/>
      <w:sz w:val="18"/>
      <w:lang w:val="en-GB" w:eastAsia="zh-CN"/>
    </w:rPr>
  </w:style>
  <w:style w:type="paragraph" w:styleId="Revision">
    <w:name w:val="Revision"/>
    <w:hidden/>
    <w:uiPriority w:val="99"/>
    <w:semiHidden/>
    <w:rsid w:val="008A323C"/>
    <w:rPr>
      <w:sz w:val="24"/>
      <w:szCs w:val="24"/>
    </w:rPr>
  </w:style>
  <w:style w:type="character" w:customStyle="1" w:styleId="left">
    <w:name w:val="left"/>
    <w:basedOn w:val="DefaultParagraphFont"/>
    <w:rsid w:val="008A323C"/>
  </w:style>
  <w:style w:type="paragraph" w:customStyle="1" w:styleId="Level1">
    <w:name w:val="Level 1"/>
    <w:basedOn w:val="Normal"/>
    <w:rsid w:val="007A4624"/>
    <w:pPr>
      <w:widowControl w:val="0"/>
      <w:suppressAutoHyphens w:val="0"/>
      <w:spacing w:line="240" w:lineRule="auto"/>
      <w:ind w:left="720" w:hanging="720"/>
    </w:pPr>
    <w:rPr>
      <w:rFonts w:eastAsia="Times New Roman"/>
      <w:snapToGrid w:val="0"/>
      <w:sz w:val="24"/>
      <w:lang w:val="en-US" w:eastAsia="en-US"/>
    </w:rPr>
  </w:style>
  <w:style w:type="character" w:customStyle="1" w:styleId="AnnoH23GChar">
    <w:name w:val="Anno_ H_2/3_G Char"/>
    <w:link w:val="AnnoH23G"/>
    <w:rsid w:val="00225477"/>
    <w:rPr>
      <w:rFonts w:eastAsia="SimSun"/>
      <w:u w:val="single"/>
      <w:lang w:val="en-GB" w:eastAsia="zh-CN"/>
    </w:rPr>
  </w:style>
  <w:style w:type="table" w:styleId="TableGrid">
    <w:name w:val="Table Grid"/>
    <w:basedOn w:val="TableNormal"/>
    <w:rsid w:val="0053031D"/>
    <w:pPr>
      <w:suppressAutoHyphens/>
      <w:spacing w:line="240" w:lineRule="atLeast"/>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106194566">
      <w:bodyDiv w:val="1"/>
      <w:marLeft w:val="0"/>
      <w:marRight w:val="0"/>
      <w:marTop w:val="0"/>
      <w:marBottom w:val="0"/>
      <w:divBdr>
        <w:top w:val="none" w:sz="0" w:space="0" w:color="auto"/>
        <w:left w:val="none" w:sz="0" w:space="0" w:color="auto"/>
        <w:bottom w:val="none" w:sz="0" w:space="0" w:color="auto"/>
        <w:right w:val="none" w:sz="0" w:space="0" w:color="auto"/>
      </w:divBdr>
    </w:div>
    <w:div w:id="148911303">
      <w:bodyDiv w:val="1"/>
      <w:marLeft w:val="0"/>
      <w:marRight w:val="0"/>
      <w:marTop w:val="0"/>
      <w:marBottom w:val="0"/>
      <w:divBdr>
        <w:top w:val="none" w:sz="0" w:space="0" w:color="auto"/>
        <w:left w:val="none" w:sz="0" w:space="0" w:color="auto"/>
        <w:bottom w:val="none" w:sz="0" w:space="0" w:color="auto"/>
        <w:right w:val="none" w:sz="0" w:space="0" w:color="auto"/>
      </w:divBdr>
    </w:div>
    <w:div w:id="160004109">
      <w:bodyDiv w:val="1"/>
      <w:marLeft w:val="0"/>
      <w:marRight w:val="0"/>
      <w:marTop w:val="0"/>
      <w:marBottom w:val="0"/>
      <w:divBdr>
        <w:top w:val="none" w:sz="0" w:space="0" w:color="auto"/>
        <w:left w:val="none" w:sz="0" w:space="0" w:color="auto"/>
        <w:bottom w:val="none" w:sz="0" w:space="0" w:color="auto"/>
        <w:right w:val="none" w:sz="0" w:space="0" w:color="auto"/>
      </w:divBdr>
    </w:div>
    <w:div w:id="195041451">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343240443">
      <w:bodyDiv w:val="1"/>
      <w:marLeft w:val="0"/>
      <w:marRight w:val="0"/>
      <w:marTop w:val="0"/>
      <w:marBottom w:val="0"/>
      <w:divBdr>
        <w:top w:val="none" w:sz="0" w:space="0" w:color="auto"/>
        <w:left w:val="none" w:sz="0" w:space="0" w:color="auto"/>
        <w:bottom w:val="none" w:sz="0" w:space="0" w:color="auto"/>
        <w:right w:val="none" w:sz="0" w:space="0" w:color="auto"/>
      </w:divBdr>
    </w:div>
    <w:div w:id="360127698">
      <w:bodyDiv w:val="1"/>
      <w:marLeft w:val="0"/>
      <w:marRight w:val="0"/>
      <w:marTop w:val="0"/>
      <w:marBottom w:val="0"/>
      <w:divBdr>
        <w:top w:val="none" w:sz="0" w:space="0" w:color="auto"/>
        <w:left w:val="none" w:sz="0" w:space="0" w:color="auto"/>
        <w:bottom w:val="none" w:sz="0" w:space="0" w:color="auto"/>
        <w:right w:val="none" w:sz="0" w:space="0" w:color="auto"/>
      </w:divBdr>
    </w:div>
    <w:div w:id="372384527">
      <w:bodyDiv w:val="1"/>
      <w:marLeft w:val="0"/>
      <w:marRight w:val="0"/>
      <w:marTop w:val="0"/>
      <w:marBottom w:val="0"/>
      <w:divBdr>
        <w:top w:val="none" w:sz="0" w:space="0" w:color="auto"/>
        <w:left w:val="none" w:sz="0" w:space="0" w:color="auto"/>
        <w:bottom w:val="none" w:sz="0" w:space="0" w:color="auto"/>
        <w:right w:val="none" w:sz="0" w:space="0" w:color="auto"/>
      </w:divBdr>
    </w:div>
    <w:div w:id="377320771">
      <w:bodyDiv w:val="1"/>
      <w:marLeft w:val="0"/>
      <w:marRight w:val="0"/>
      <w:marTop w:val="0"/>
      <w:marBottom w:val="0"/>
      <w:divBdr>
        <w:top w:val="none" w:sz="0" w:space="0" w:color="auto"/>
        <w:left w:val="none" w:sz="0" w:space="0" w:color="auto"/>
        <w:bottom w:val="none" w:sz="0" w:space="0" w:color="auto"/>
        <w:right w:val="none" w:sz="0" w:space="0" w:color="auto"/>
      </w:divBdr>
      <w:divsChild>
        <w:div w:id="1543591348">
          <w:marLeft w:val="0"/>
          <w:marRight w:val="0"/>
          <w:marTop w:val="0"/>
          <w:marBottom w:val="0"/>
          <w:divBdr>
            <w:top w:val="none" w:sz="0" w:space="0" w:color="auto"/>
            <w:left w:val="none" w:sz="0" w:space="0" w:color="auto"/>
            <w:bottom w:val="none" w:sz="0" w:space="0" w:color="auto"/>
            <w:right w:val="none" w:sz="0" w:space="0" w:color="auto"/>
          </w:divBdr>
        </w:div>
      </w:divsChild>
    </w:div>
    <w:div w:id="495269226">
      <w:bodyDiv w:val="1"/>
      <w:marLeft w:val="0"/>
      <w:marRight w:val="0"/>
      <w:marTop w:val="0"/>
      <w:marBottom w:val="0"/>
      <w:divBdr>
        <w:top w:val="none" w:sz="0" w:space="0" w:color="auto"/>
        <w:left w:val="none" w:sz="0" w:space="0" w:color="auto"/>
        <w:bottom w:val="none" w:sz="0" w:space="0" w:color="auto"/>
        <w:right w:val="none" w:sz="0" w:space="0" w:color="auto"/>
      </w:divBdr>
    </w:div>
    <w:div w:id="565459332">
      <w:bodyDiv w:val="1"/>
      <w:marLeft w:val="0"/>
      <w:marRight w:val="0"/>
      <w:marTop w:val="0"/>
      <w:marBottom w:val="0"/>
      <w:divBdr>
        <w:top w:val="none" w:sz="0" w:space="0" w:color="auto"/>
        <w:left w:val="none" w:sz="0" w:space="0" w:color="auto"/>
        <w:bottom w:val="none" w:sz="0" w:space="0" w:color="auto"/>
        <w:right w:val="none" w:sz="0" w:space="0" w:color="auto"/>
      </w:divBdr>
    </w:div>
    <w:div w:id="610358805">
      <w:bodyDiv w:val="1"/>
      <w:marLeft w:val="0"/>
      <w:marRight w:val="0"/>
      <w:marTop w:val="0"/>
      <w:marBottom w:val="0"/>
      <w:divBdr>
        <w:top w:val="none" w:sz="0" w:space="0" w:color="auto"/>
        <w:left w:val="none" w:sz="0" w:space="0" w:color="auto"/>
        <w:bottom w:val="none" w:sz="0" w:space="0" w:color="auto"/>
        <w:right w:val="none" w:sz="0" w:space="0" w:color="auto"/>
      </w:divBdr>
    </w:div>
    <w:div w:id="808671646">
      <w:bodyDiv w:val="1"/>
      <w:marLeft w:val="0"/>
      <w:marRight w:val="0"/>
      <w:marTop w:val="0"/>
      <w:marBottom w:val="0"/>
      <w:divBdr>
        <w:top w:val="none" w:sz="0" w:space="0" w:color="auto"/>
        <w:left w:val="none" w:sz="0" w:space="0" w:color="auto"/>
        <w:bottom w:val="none" w:sz="0" w:space="0" w:color="auto"/>
        <w:right w:val="none" w:sz="0" w:space="0" w:color="auto"/>
      </w:divBdr>
    </w:div>
    <w:div w:id="845633490">
      <w:bodyDiv w:val="1"/>
      <w:marLeft w:val="0"/>
      <w:marRight w:val="0"/>
      <w:marTop w:val="0"/>
      <w:marBottom w:val="0"/>
      <w:divBdr>
        <w:top w:val="none" w:sz="0" w:space="0" w:color="auto"/>
        <w:left w:val="none" w:sz="0" w:space="0" w:color="auto"/>
        <w:bottom w:val="none" w:sz="0" w:space="0" w:color="auto"/>
        <w:right w:val="none" w:sz="0" w:space="0" w:color="auto"/>
      </w:divBdr>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 w:id="1201551829">
      <w:bodyDiv w:val="1"/>
      <w:marLeft w:val="0"/>
      <w:marRight w:val="0"/>
      <w:marTop w:val="0"/>
      <w:marBottom w:val="0"/>
      <w:divBdr>
        <w:top w:val="none" w:sz="0" w:space="0" w:color="auto"/>
        <w:left w:val="none" w:sz="0" w:space="0" w:color="auto"/>
        <w:bottom w:val="none" w:sz="0" w:space="0" w:color="auto"/>
        <w:right w:val="none" w:sz="0" w:space="0" w:color="auto"/>
      </w:divBdr>
    </w:div>
    <w:div w:id="1237980484">
      <w:bodyDiv w:val="1"/>
      <w:marLeft w:val="0"/>
      <w:marRight w:val="0"/>
      <w:marTop w:val="0"/>
      <w:marBottom w:val="0"/>
      <w:divBdr>
        <w:top w:val="none" w:sz="0" w:space="0" w:color="auto"/>
        <w:left w:val="none" w:sz="0" w:space="0" w:color="auto"/>
        <w:bottom w:val="none" w:sz="0" w:space="0" w:color="auto"/>
        <w:right w:val="none" w:sz="0" w:space="0" w:color="auto"/>
      </w:divBdr>
      <w:divsChild>
        <w:div w:id="1638682088">
          <w:marLeft w:val="0"/>
          <w:marRight w:val="0"/>
          <w:marTop w:val="0"/>
          <w:marBottom w:val="0"/>
          <w:divBdr>
            <w:top w:val="none" w:sz="0" w:space="0" w:color="auto"/>
            <w:left w:val="none" w:sz="0" w:space="0" w:color="auto"/>
            <w:bottom w:val="none" w:sz="0" w:space="0" w:color="auto"/>
            <w:right w:val="none" w:sz="0" w:space="0" w:color="auto"/>
          </w:divBdr>
          <w:divsChild>
            <w:div w:id="258292519">
              <w:marLeft w:val="0"/>
              <w:marRight w:val="0"/>
              <w:marTop w:val="0"/>
              <w:marBottom w:val="0"/>
              <w:divBdr>
                <w:top w:val="none" w:sz="0" w:space="0" w:color="auto"/>
                <w:left w:val="none" w:sz="0" w:space="0" w:color="auto"/>
                <w:bottom w:val="none" w:sz="0" w:space="0" w:color="auto"/>
                <w:right w:val="none" w:sz="0" w:space="0" w:color="auto"/>
              </w:divBdr>
              <w:divsChild>
                <w:div w:id="893006054">
                  <w:marLeft w:val="0"/>
                  <w:marRight w:val="0"/>
                  <w:marTop w:val="0"/>
                  <w:marBottom w:val="0"/>
                  <w:divBdr>
                    <w:top w:val="none" w:sz="0" w:space="0" w:color="auto"/>
                    <w:left w:val="none" w:sz="0" w:space="0" w:color="auto"/>
                    <w:bottom w:val="none" w:sz="0" w:space="0" w:color="auto"/>
                    <w:right w:val="none" w:sz="0" w:space="0" w:color="auto"/>
                  </w:divBdr>
                  <w:divsChild>
                    <w:div w:id="1637031736">
                      <w:marLeft w:val="0"/>
                      <w:marRight w:val="0"/>
                      <w:marTop w:val="0"/>
                      <w:marBottom w:val="0"/>
                      <w:divBdr>
                        <w:top w:val="none" w:sz="0" w:space="0" w:color="auto"/>
                        <w:left w:val="none" w:sz="0" w:space="0" w:color="auto"/>
                        <w:bottom w:val="none" w:sz="0" w:space="0" w:color="auto"/>
                        <w:right w:val="none" w:sz="0" w:space="0" w:color="auto"/>
                      </w:divBdr>
                      <w:divsChild>
                        <w:div w:id="21136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99398">
      <w:bodyDiv w:val="1"/>
      <w:marLeft w:val="0"/>
      <w:marRight w:val="0"/>
      <w:marTop w:val="0"/>
      <w:marBottom w:val="0"/>
      <w:divBdr>
        <w:top w:val="none" w:sz="0" w:space="0" w:color="auto"/>
        <w:left w:val="none" w:sz="0" w:space="0" w:color="auto"/>
        <w:bottom w:val="none" w:sz="0" w:space="0" w:color="auto"/>
        <w:right w:val="none" w:sz="0" w:space="0" w:color="auto"/>
      </w:divBdr>
    </w:div>
    <w:div w:id="1365670399">
      <w:bodyDiv w:val="1"/>
      <w:marLeft w:val="0"/>
      <w:marRight w:val="0"/>
      <w:marTop w:val="0"/>
      <w:marBottom w:val="0"/>
      <w:divBdr>
        <w:top w:val="none" w:sz="0" w:space="0" w:color="auto"/>
        <w:left w:val="none" w:sz="0" w:space="0" w:color="auto"/>
        <w:bottom w:val="none" w:sz="0" w:space="0" w:color="auto"/>
        <w:right w:val="none" w:sz="0" w:space="0" w:color="auto"/>
      </w:divBdr>
    </w:div>
    <w:div w:id="1369717162">
      <w:bodyDiv w:val="1"/>
      <w:marLeft w:val="0"/>
      <w:marRight w:val="0"/>
      <w:marTop w:val="0"/>
      <w:marBottom w:val="0"/>
      <w:divBdr>
        <w:top w:val="none" w:sz="0" w:space="0" w:color="auto"/>
        <w:left w:val="none" w:sz="0" w:space="0" w:color="auto"/>
        <w:bottom w:val="none" w:sz="0" w:space="0" w:color="auto"/>
        <w:right w:val="none" w:sz="0" w:space="0" w:color="auto"/>
      </w:divBdr>
    </w:div>
    <w:div w:id="1466192348">
      <w:bodyDiv w:val="1"/>
      <w:marLeft w:val="0"/>
      <w:marRight w:val="0"/>
      <w:marTop w:val="0"/>
      <w:marBottom w:val="0"/>
      <w:divBdr>
        <w:top w:val="none" w:sz="0" w:space="0" w:color="auto"/>
        <w:left w:val="none" w:sz="0" w:space="0" w:color="auto"/>
        <w:bottom w:val="none" w:sz="0" w:space="0" w:color="auto"/>
        <w:right w:val="none" w:sz="0" w:space="0" w:color="auto"/>
      </w:divBdr>
    </w:div>
    <w:div w:id="1554460831">
      <w:bodyDiv w:val="1"/>
      <w:marLeft w:val="0"/>
      <w:marRight w:val="0"/>
      <w:marTop w:val="0"/>
      <w:marBottom w:val="0"/>
      <w:divBdr>
        <w:top w:val="none" w:sz="0" w:space="0" w:color="auto"/>
        <w:left w:val="none" w:sz="0" w:space="0" w:color="auto"/>
        <w:bottom w:val="none" w:sz="0" w:space="0" w:color="auto"/>
        <w:right w:val="none" w:sz="0" w:space="0" w:color="auto"/>
      </w:divBdr>
    </w:div>
    <w:div w:id="1773086892">
      <w:bodyDiv w:val="1"/>
      <w:marLeft w:val="0"/>
      <w:marRight w:val="0"/>
      <w:marTop w:val="0"/>
      <w:marBottom w:val="0"/>
      <w:divBdr>
        <w:top w:val="none" w:sz="0" w:space="0" w:color="auto"/>
        <w:left w:val="none" w:sz="0" w:space="0" w:color="auto"/>
        <w:bottom w:val="none" w:sz="0" w:space="0" w:color="auto"/>
        <w:right w:val="none" w:sz="0" w:space="0" w:color="auto"/>
      </w:divBdr>
    </w:div>
    <w:div w:id="19884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1" Type="http://schemas.openxmlformats.org/officeDocument/2006/relationships/hyperlink" Target="http://www4.unfccc.int/sites/NWP/Pages/LITKP-pag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C4B7E3C6-7390-4974-B43A-B3796A8A52A0}">
  <ds:schemaRefs>
    <ds:schemaRef ds:uri="http://schemas.microsoft.com/sharepoint/v3/contenttype/forms"/>
  </ds:schemaRefs>
</ds:datastoreItem>
</file>

<file path=customXml/itemProps2.xml><?xml version="1.0" encoding="utf-8"?>
<ds:datastoreItem xmlns:ds="http://schemas.openxmlformats.org/officeDocument/2006/customXml" ds:itemID="{01CC36CD-B567-40CC-9F50-A4A2A0BD5BB5}">
  <ds:schemaRefs>
    <ds:schemaRef ds:uri="67dad47e-2fca-4711-b9e4-b0642648f99b"/>
    <ds:schemaRef ds:uri="http://purl.org/dc/terms/"/>
    <ds:schemaRef ds:uri="http://purl.org/dc/dcmitype/"/>
    <ds:schemaRef ds:uri="67b048bb-386e-4de4-b6b1-3446c5a62014"/>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AC42E679-C832-4755-9F78-D7359B4360B0}"/>
</file>

<file path=customXml/itemProps4.xml><?xml version="1.0" encoding="utf-8"?>
<ds:datastoreItem xmlns:ds="http://schemas.openxmlformats.org/officeDocument/2006/customXml" ds:itemID="{A9BA29DE-AAD7-4DF5-8795-AB990AC5A6E9}">
  <ds:schemaRefs>
    <ds:schemaRef ds:uri="http://schemas.openxmlformats.org/officeDocument/2006/bibliography"/>
  </ds:schemaRefs>
</ds:datastoreItem>
</file>

<file path=customXml/itemProps5.xml><?xml version="1.0" encoding="utf-8"?>
<ds:datastoreItem xmlns:ds="http://schemas.openxmlformats.org/officeDocument/2006/customXml" ds:itemID="{C42A6B22-3A31-481D-AFAA-B44F14DCB007}"/>
</file>

<file path=docProps/app.xml><?xml version="1.0" encoding="utf-8"?>
<Properties xmlns="http://schemas.openxmlformats.org/officeDocument/2006/extended-properties" xmlns:vt="http://schemas.openxmlformats.org/officeDocument/2006/docPropsVTypes">
  <Template>FCCC.dotm</Template>
  <TotalTime>6298</TotalTime>
  <Pages>29</Pages>
  <Words>9655</Words>
  <Characters>55035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Report of the Subsidiary Body for Scientifc and Technological Advice on its forty-fourth session, held in Bonn from 16 to 26 May 2016</vt:lpstr>
    </vt:vector>
  </TitlesOfParts>
  <Company>UNFCCC</Company>
  <LinksUpToDate>false</LinksUpToDate>
  <CharactersWithSpaces>64561</CharactersWithSpaces>
  <SharedDoc>false</SharedDoc>
  <HLinks>
    <vt:vector size="18" baseType="variant">
      <vt:variant>
        <vt:i4>1310760</vt:i4>
      </vt:variant>
      <vt:variant>
        <vt:i4>327</vt:i4>
      </vt:variant>
      <vt:variant>
        <vt:i4>0</vt:i4>
      </vt:variant>
      <vt:variant>
        <vt:i4>5</vt:i4>
      </vt:variant>
      <vt:variant>
        <vt:lpwstr>http://maindb.unfccc.int/db/view_item.pl?type=people&amp;id=4226</vt:lpwstr>
      </vt:variant>
      <vt:variant>
        <vt:lpwstr/>
      </vt: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Scientifc and Technological Advice on its forty-fourth session, held in Bonn from 16 to 26 May 2016</dc:title>
  <dc:creator>w7</dc:creator>
  <cp:lastModifiedBy>Corinne Loeschner</cp:lastModifiedBy>
  <cp:revision>105</cp:revision>
  <cp:lastPrinted>2016-07-20T13:22:00Z</cp:lastPrinted>
  <dcterms:created xsi:type="dcterms:W3CDTF">2016-06-07T15:19:00Z</dcterms:created>
  <dcterms:modified xsi:type="dcterms:W3CDTF">2017-07-25T11:55:00Z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y fmtid="{D5CDD505-2E9C-101B-9397-08002B2CF9AE}" pid="4" name="ContentTypeId">
    <vt:lpwstr>0x0101002BEBFA4AD3D067488A4F8AE22F38BF68</vt:lpwstr>
  </property>
  <property fmtid="{D5CDD505-2E9C-101B-9397-08002B2CF9AE}" pid="5" name="Order">
    <vt:r8>6600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y fmtid="{D5CDD505-2E9C-101B-9397-08002B2CF9AE}" pid="9" name="Meeting">
    <vt:lpwstr>16</vt:lpwstr>
  </property>
  <property fmtid="{D5CDD505-2E9C-101B-9397-08002B2CF9AE}" pid="10" name="RequestedPublicationUNOG">
    <vt:filetime>2016-07-07T22:00:00Z</vt:filetime>
  </property>
</Properties>
</file>