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400" w:line="240"/>
      </w:pPr>
      <w:r>
        <w:drawing>
          <wp:inline distT="0" distB="0" distL="0" distR="0">
            <wp:extent cx="6096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b/>
          <w:bCs/>
          <w:color w:val="2F2450"/>
          <w:sz w:val="40"/>
          <w:szCs w:val="40"/>
        </w:rPr>
        <w:t xml:space="preserve">  Cognizone</w:t>
      </w:r>
    </w:p>
    <w:p>
      <w:pPr>
        <w:spacing w:after="240" w:line="240"/>
      </w:pPr>
      <w:r>
        <w:rPr>
          <w:rFonts w:ascii="Roboto Mono" w:cs="Roboto Mono" w:eastAsia="Roboto Mono" w:hAnsi="Roboto Mono"/>
          <w:color w:val="C85A8A"/>
          <w:spacing w:val="60"/>
          <w:sz w:val="18"/>
          <w:szCs w:val="18"/>
        </w:rPr>
        <w:t xml:space="preserve">COGNIZONE / SPEC</w:t>
      </w:r>
    </w:p>
    <w:p>
      <w:pPr>
        <w:spacing w:after="0" w:line="264"/>
      </w:pPr>
      <w:r>
        <w:rPr>
          <w:rFonts w:ascii="Calistoga" w:cs="Calistoga" w:eastAsia="Calistoga" w:hAnsi="Calistoga"/>
          <w:color w:val="2F2450"/>
          <w:sz w:val="64"/>
          <w:szCs w:val="64"/>
        </w:rPr>
        <w:t xml:space="preserve">Test Document: All Formatting Features</w:t>
      </w:r>
    </w:p>
    <w:p>
      <w:pPr>
        <w:spacing w:after="400" w:line="264"/>
      </w:pPr>
      <w:r>
        <w:rPr>
          <w:rFonts w:ascii="Calistoga" w:cs="Calistoga" w:eastAsia="Calistoga" w:hAnsi="Calistoga"/>
          <w:color w:val="C85A8A"/>
          <w:sz w:val="64"/>
          <w:szCs w:val="64"/>
        </w:rPr>
        <w:t xml:space="preserve">Second title line</w:t>
      </w:r>
    </w:p>
    <w:p>
      <w:pPr>
        <w:spacing w:after="600" w:line="320"/>
      </w:pPr>
      <w:r>
        <w:rPr>
          <w:rFonts w:ascii="Roboto" w:cs="Roboto" w:eastAsia="Roboto" w:hAnsi="Roboto"/>
          <w:color w:val="4A3A78"/>
          <w:sz w:val="24"/>
          <w:szCs w:val="24"/>
        </w:rPr>
        <w:t xml:space="preserve">Cover summary paragraph.</w:t>
      </w:r>
    </w:p>
    <w:tbl>
      <w:tblPr>
        <w:tblW w:type="dxa" w:w="5782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  <w:tblLayout w:type="fixed"/>
      </w:tblPr>
      <w:tblGrid>
        <w:gridCol w:w="1927"/>
        <w:gridCol w:w="3855"/>
      </w:tblGrid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TEST-001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TYPE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spec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STATUS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VERSION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DATE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2026-03-12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AUTHOR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Cognizone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CLIENT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ERA — European Union Agency for Railways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PROJECT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REG+</w:t>
            </w:r>
          </w:p>
        </w:tc>
      </w:tr>
    </w:tbl>
    <w:p>
      <w:pPr>
        <w:framePr w:w="9637" w:h="0" w:hAnchor="margin" w:vAnchor="margin" w:hRule="auto" w:xAlign="left" w:yAlign="bottom"/>
        <w:spacing w:after="60" w:before="0" w:line="240"/>
      </w:pPr>
      <w:r>
        <w:rPr>
          <w:rFonts w:ascii="Roboto" w:cs="Roboto" w:eastAsia="Roboto" w:hAnsi="Roboto"/>
          <w:color w:val="6B6185"/>
          <w:sz w:val="17"/>
          <w:szCs w:val="17"/>
        </w:rPr>
        <w:t xml:space="preserve">Cognizone BV · Avenue Arnaud Fraiteur 15-23, 1050 Ixelles, Belgium · BE 0634.615.174</w:t>
      </w:r>
    </w:p>
    <w:p>
      <w:pPr>
        <w:framePr w:w="9637" w:h="0" w:hAnchor="margin" w:vAnchor="margin" w:hRule="auto" w:xAlign="left" w:yAlign="bottom"/>
        <w:spacing w:after="0" w:before="0" w:line="240"/>
      </w:pPr>
      <w:r>
        <w:rPr>
          <w:rFonts w:ascii="Roboto Mono" w:cs="Roboto Mono" w:eastAsia="Roboto Mono" w:hAnsi="Roboto Mono"/>
          <w:color w:val="6B6185"/>
          <w:sz w:val="16"/>
          <w:szCs w:val="16"/>
        </w:rPr>
        <w:t xml:space="preserve">2026-03-12 · Confidential</w:t>
      </w:r>
    </w:p>
    <w:p>
      <w:pPr>
        <w:sectPr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spacing w:after="200" w:line="240"/>
      </w:pPr>
      <w:r>
        <w:rPr>
          <w:rFonts w:ascii="Roboto Mono" w:cs="Roboto Mono" w:eastAsia="Roboto Mono" w:hAnsi="Roboto Mono"/>
          <w:b/>
          <w:bCs/>
          <w:color w:val="C85A8A"/>
          <w:spacing w:val="60"/>
          <w:sz w:val="17"/>
          <w:szCs w:val="17"/>
        </w:rPr>
        <w:t xml:space="preserve">CONTENTS</w:t>
      </w:r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r>
        <w:fldChar w:fldCharType="begin"/>
      </w:r>
      <w:r>
        <w:instrText xml:space="preserve"> TOC \o "2-4" \h \z </w:instrText>
      </w:r>
      <w:r>
        <w:fldChar w:fldCharType="separate"/>
      </w:r>
      <w:hyperlink w:history="1" w:anchor="_toc_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Status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Simple Paragraphs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03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Code Blocks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4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04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Tables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Simple Table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Table With Inline Formatting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05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8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Unordered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Mixed Nesting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06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Blockquotes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07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Images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08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Mermaid Diagrams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Flowchart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Sequence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Sized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09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Horizontal Rules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8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10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Headings Hierarchy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Third-Level Heading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834"/>
      </w:pPr>
      <w:hyperlink w:history="1" w:anchor="_toc_2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10.1.1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Fourth-Level Heading H4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1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Another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Edge Cases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3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Empty Table Cells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Long Content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Adjacent 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11.4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Special Characters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2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Summary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  <w:r>
        <w:fldChar w:fldCharType="end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01</w:t>
      </w:r>
    </w:p>
    <w:p>
      <w:pPr>
        <w:pStyle w:val="Heading2"/>
        <w:keepNext/>
        <w:keepLines/>
      </w:pPr>
      <w:bookmarkStart w:name="_toc_1" w:id="1"/>
      <w:r>
        <w:t xml:space="preserve">Status</w:t>
      </w:r>
      <w:bookmarkEnd w:id="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Draft — created to verify all rendering features across PDF and DOCX output.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02</w:t>
      </w:r>
    </w:p>
    <w:p>
      <w:pPr>
        <w:pStyle w:val="Heading2"/>
        <w:keepNext/>
        <w:keepLines/>
      </w:pPr>
      <w:bookmarkStart w:name="_toc_2" w:id="2"/>
      <w:r>
        <w:t xml:space="preserve">Simple Paragraphs</w:t>
      </w:r>
      <w:bookmarkEnd w:id="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is a regular paragraph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2B2340"/>
          <w:sz w:val="19"/>
          <w:szCs w:val="19"/>
        </w:rPr>
        <w:t xml:space="preserve">bold 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combined. It also includes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inline code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and a </w:t>
      </w:r>
      <w:hyperlink w:history="1" r:id="rId1_pwodvwfenezt1ndfvlr">
        <w:r>
          <w:rPr>
            <w:rFonts w:ascii="Roboto" w:cs="Roboto" w:eastAsia="Roboto" w:hAnsi="Roboto"/>
            <w:color w:val="3D6BB8"/>
            <w:sz w:val="19"/>
            <w:szCs w:val="19"/>
          </w:rPr>
          <w:t xml:space="preserve">hyperlink</w:t>
        </w:r>
      </w:hyperlink>
      <w:r>
        <w:rPr>
          <w:rFonts w:ascii="Roboto" w:cs="Roboto" w:eastAsia="Roboto" w:hAnsi="Roboto"/>
          <w:color w:val="2B2340"/>
          <w:sz w:val="19"/>
          <w:szCs w:val="19"/>
        </w:rPr>
        <w:t xml:space="preserve"> to verify inline formatting.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LongCodeSpanThatMightBeInteresting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test inline code styling.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03</w:t>
      </w:r>
    </w:p>
    <w:p>
      <w:pPr>
        <w:pStyle w:val="Heading2"/>
        <w:keepNext/>
        <w:keepLines/>
      </w:pPr>
      <w:bookmarkStart w:name="_toc_3" w:id="3"/>
      <w:r>
        <w:t xml:space="preserve">Code Blocks</w:t>
      </w:r>
      <w:bookmarkEnd w:id="3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function greet(name) {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const message = `Hello, ${name}!`;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console.log(message);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return message;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}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// Call it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No language specified here.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Just plain preformatted text.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Code with angle brackets and ampersands (must not be dropped as HTML):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PREFIX eurio: &lt;http://data.europa.eu/s66#&gt;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SELECT ?s WHERE { ?s a &lt;http://ex/#Thing&gt; . FILTER(?a &gt; 1 &amp;&amp; ?b &lt; 2) }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Inline code with brackets: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&lt;html&gt;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&amp;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a &lt; b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04</w:t>
      </w:r>
    </w:p>
    <w:p>
      <w:pPr>
        <w:pStyle w:val="Heading2"/>
        <w:keepNext/>
        <w:keepLines/>
      </w:pPr>
      <w:bookmarkStart w:name="_toc_4" w:id="4"/>
      <w:r>
        <w:t xml:space="preserve">Tables</w:t>
      </w:r>
      <w:bookmarkEnd w:id="4"/>
    </w:p>
    <w:p>
      <w:pPr>
        <w:pStyle w:val="Heading3"/>
        <w:keepNext/>
        <w:keepLines/>
      </w:pPr>
      <w:bookmarkStart w:name="_toc_5" w:id="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4.1 </w:t>
      </w:r>
      <w:r>
        <w:t xml:space="preserve">Simple Table</w:t>
      </w:r>
      <w:bookmarkEnd w:id="5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6" w:id="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4.2 </w:t>
      </w:r>
      <w:r>
        <w:t xml:space="preserve">Table With Inline Formatting</w:t>
      </w:r>
      <w:bookmarkEnd w:id="6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 header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Uses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 note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Links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See </w:t>
            </w:r>
            <w:hyperlink w:history="1" r:id="rIdhm6iaism7aoujvfdawt97">
              <w:r>
                <w:rPr>
                  <w:rFonts w:ascii="Roboto" w:cs="Roboto" w:eastAsia="Roboto" w:hAnsi="Roboto"/>
                  <w:color w:val="3D6BB8"/>
                  <w:sz w:val="17"/>
                  <w:szCs w:val="17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Mixed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pending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and </w:t>
            </w: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05</w:t>
      </w:r>
    </w:p>
    <w:p>
      <w:pPr>
        <w:pStyle w:val="Heading2"/>
        <w:keepNext/>
        <w:keepLines/>
      </w:pPr>
      <w:bookmarkStart w:name="_toc_7" w:id="7"/>
      <w:r>
        <w:t xml:space="preserve">Lists</w:t>
      </w:r>
      <w:bookmarkEnd w:id="7"/>
    </w:p>
    <w:p>
      <w:pPr>
        <w:pStyle w:val="Heading3"/>
        <w:keepNext/>
        <w:keepLines/>
      </w:pPr>
      <w:bookmarkStart w:name="_toc_8" w:id="8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5.1 </w:t>
      </w:r>
      <w:r>
        <w:t xml:space="preserve">Unordered List</w:t>
      </w:r>
      <w:bookmarkEnd w:id="8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item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item with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item</w:t>
      </w:r>
    </w:p>
    <w:p>
      <w:pPr>
        <w:pStyle w:val="Heading3"/>
        <w:keepNext/>
        <w:keepLines/>
      </w:pPr>
      <w:bookmarkStart w:name="_toc_9" w:id="9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5.2 </w:t>
      </w:r>
      <w:r>
        <w:t xml:space="preserve">Ordered List</w:t>
      </w:r>
      <w:bookmarkEnd w:id="9"/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step with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step</w:t>
      </w:r>
    </w:p>
    <w:p>
      <w:pPr>
        <w:pStyle w:val="Heading3"/>
        <w:keepNext/>
        <w:keepLines/>
      </w:pPr>
      <w:bookmarkStart w:name="_toc_10" w:id="10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5.3 </w:t>
      </w:r>
      <w:r>
        <w:t xml:space="preserve">Mixed Nesting</w:t>
      </w:r>
      <w:bookmarkEnd w:id="10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grandchild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06</w:t>
      </w:r>
    </w:p>
    <w:p>
      <w:pPr>
        <w:pStyle w:val="Heading2"/>
        <w:keepNext/>
        <w:keepLines/>
      </w:pPr>
      <w:bookmarkStart w:name="_toc_11" w:id="11"/>
      <w:r>
        <w:t xml:space="preserve">Blockquotes</w:t>
      </w:r>
      <w:bookmarkEnd w:id="11"/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This is a simple blockquote to verify italic styling and the green left border.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Multi-line blockquote that spans more than one line to verify that longer
content wraps properly and maintains consistent styling throughout.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b/>
                <w:bCs/>
                <w:i/>
                <w:iCs/>
                <w:color w:val="4A3A78"/>
                <w:sz w:val="19"/>
                <w:szCs w:val="19"/>
              </w:rPr>
              <w:t xml:space="preserve">Sources: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two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07</w:t>
      </w:r>
    </w:p>
    <w:p>
      <w:pPr>
        <w:pStyle w:val="Heading2"/>
        <w:keepNext/>
        <w:keepLines/>
      </w:pPr>
      <w:bookmarkStart w:name="_toc_12" w:id="12"/>
      <w:r>
        <w:t xml:space="preserve">Images</w:t>
      </w:r>
      <w:bookmarkEnd w:id="1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 inline image reference:</w:t>
      </w:r>
    </w:p>
    <w:p>
      <w:pPr>
        <w:spacing w:after="120" w:line="288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08</w:t>
      </w:r>
    </w:p>
    <w:p>
      <w:pPr>
        <w:pStyle w:val="Heading2"/>
        <w:keepNext/>
        <w:keepLines/>
      </w:pPr>
      <w:bookmarkStart w:name="_toc_13" w:id="13"/>
      <w:r>
        <w:t xml:space="preserve">Mermaid Diagrams</w:t>
      </w:r>
      <w:bookmarkEnd w:id="13"/>
    </w:p>
    <w:p>
      <w:pPr>
        <w:pStyle w:val="Heading3"/>
        <w:keepNext/>
        <w:keepLines/>
      </w:pPr>
      <w:bookmarkStart w:name="_toc_14" w:id="14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8.1 </w:t>
      </w:r>
      <w:r>
        <w:t xml:space="preserve">Flowchart</w:t>
      </w:r>
      <w:bookmarkEnd w:id="14"/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5" w:id="1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8.2 </w:t>
      </w:r>
      <w:r>
        <w:t xml:space="preserve">Sequence Diagram</w:t>
      </w:r>
      <w:bookmarkEnd w:id="15"/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6" w:id="1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8.3 </w:t>
      </w:r>
      <w:r>
        <w:t xml:space="preserve">Sized Diagram</w:t>
      </w:r>
      <w:bookmarkEnd w:id="16"/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09</w:t>
      </w:r>
    </w:p>
    <w:p>
      <w:pPr>
        <w:pStyle w:val="Heading2"/>
        <w:keepNext/>
        <w:keepLines/>
      </w:pPr>
      <w:bookmarkStart w:name="_toc_17" w:id="17"/>
      <w:r>
        <w:t xml:space="preserve">Horizontal Rules</w:t>
      </w:r>
      <w:bookmarkEnd w:id="1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above the rule.</w:t>
      </w:r>
    </w:p>
    <w:p>
      <w:pPr>
        <w:pBdr>
          <w:bottom w:val="single" w:color="E2D8CB" w:sz="4"/>
        </w:pBdr>
        <w:spacing w:after="200" w:before="20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below the rule.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10</w:t>
      </w:r>
    </w:p>
    <w:p>
      <w:pPr>
        <w:pStyle w:val="Heading2"/>
        <w:keepNext/>
        <w:keepLines/>
      </w:pPr>
      <w:bookmarkStart w:name="_toc_18" w:id="18"/>
      <w:r>
        <w:t xml:space="preserve">Headings Hierarchy</w:t>
      </w:r>
      <w:bookmarkEnd w:id="18"/>
    </w:p>
    <w:p>
      <w:pPr>
        <w:pStyle w:val="Heading3"/>
        <w:keepNext/>
        <w:keepLines/>
      </w:pPr>
      <w:bookmarkStart w:name="_toc_19" w:id="19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10.1 </w:t>
      </w:r>
      <w:r>
        <w:t xml:space="preserve">Third-Level Heading (H3)</w:t>
      </w:r>
      <w:bookmarkEnd w:id="19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H3 to verify green color and section numbering.</w:t>
      </w:r>
    </w:p>
    <w:p>
      <w:pPr>
        <w:pStyle w:val="Heading4"/>
        <w:keepNext/>
        <w:keepLines/>
      </w:pPr>
      <w:bookmarkStart w:name="_toc_20" w:id="20"/>
      <w:r>
        <w:rPr>
          <w:rFonts w:ascii="Roboto Mono" w:cs="Roboto Mono" w:eastAsia="Roboto Mono" w:hAnsi="Roboto Mono"/>
          <w:color w:val="C85A8A"/>
          <w:sz w:val="18"/>
          <w:szCs w:val="18"/>
        </w:rPr>
        <w:t xml:space="preserve">10.1.1 </w:t>
      </w:r>
      <w:r>
        <w:t xml:space="preserve">Fourth-Level Heading (H4)</w:t>
      </w:r>
      <w:bookmarkEnd w:id="20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H4 to verify dark2 color and deeper numbering (e.g. 7.1.1).</w:t>
      </w:r>
    </w:p>
    <w:p>
      <w:pPr>
        <w:pStyle w:val="Heading3"/>
        <w:keepNext/>
        <w:keepLines/>
      </w:pPr>
      <w:bookmarkStart w:name="_toc_21" w:id="21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10.2 </w:t>
      </w:r>
      <w:r>
        <w:t xml:space="preserve">Another H3</w:t>
      </w:r>
      <w:bookmarkEnd w:id="2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Back to H3 to verify counter resets properly.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11</w:t>
      </w:r>
    </w:p>
    <w:p>
      <w:pPr>
        <w:pStyle w:val="Heading2"/>
        <w:keepNext/>
        <w:keepLines/>
      </w:pPr>
      <w:bookmarkStart w:name="_toc_22" w:id="22"/>
      <w:r>
        <w:t xml:space="preserve">Edge Cases</w:t>
      </w:r>
      <w:bookmarkEnd w:id="22"/>
    </w:p>
    <w:p>
      <w:pPr>
        <w:pStyle w:val="Heading3"/>
        <w:keepNext/>
        <w:keepLines/>
      </w:pPr>
      <w:bookmarkStart w:name="_toc_23" w:id="23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11.1 </w:t>
      </w:r>
      <w:r>
        <w:t xml:space="preserve">Empty Table Cells</w:t>
      </w:r>
      <w:bookmarkEnd w:id="23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Has Content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Empty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Also Empty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24" w:id="24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11.2 </w:t>
      </w:r>
      <w:r>
        <w:t xml:space="preserve">Long Content</w:t>
      </w:r>
      <w:bookmarkEnd w:id="24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verify how both renderers handle overflow.</w:t>
      </w:r>
    </w:p>
    <w:p>
      <w:pPr>
        <w:pStyle w:val="Heading3"/>
        <w:keepNext/>
        <w:keepLines/>
      </w:pPr>
      <w:bookmarkStart w:name="_toc_25" w:id="2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11.3 </w:t>
      </w:r>
      <w:r>
        <w:t xml:space="preserve">Adjacent Lists</w:t>
      </w:r>
      <w:bookmarkEnd w:id="25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Beta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Delta</w:t>
      </w:r>
    </w:p>
    <w:p>
      <w:pPr>
        <w:pStyle w:val="Heading3"/>
        <w:keepNext/>
        <w:keepLines/>
      </w:pPr>
      <w:bookmarkStart w:name="_toc_26" w:id="2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11.4 </w:t>
      </w:r>
      <w:r>
        <w:t xml:space="preserve">Special Characters</w:t>
      </w:r>
      <w:bookmarkEnd w:id="26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Ampersand &amp; angle brackets &lt; &gt; and quotes "double" 'single' plus an em dash — and ellipsis... should all render correctly.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12</w:t>
      </w:r>
    </w:p>
    <w:p>
      <w:pPr>
        <w:pStyle w:val="Heading2"/>
        <w:keepNext/>
        <w:keepLines/>
      </w:pPr>
      <w:bookmarkStart w:name="_toc_27" w:id="27"/>
      <w:r>
        <w:t xml:space="preserve">Summary</w:t>
      </w:r>
      <w:bookmarkEnd w:id="2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52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b/>
        <w:bCs/>
        <w:color w:val="2F2450"/>
        <w:sz w:val="17"/>
        <w:szCs w:val="17"/>
      </w:rPr>
      <w:t xml:space="preserve"> 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52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b/>
        <w:bCs/>
        <w:color w:val="2F2450"/>
        <w:sz w:val="17"/>
        <w:szCs w:val="17"/>
      </w:rPr>
      <w:t xml:space="preserve"> 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85A8A"/>
      </w:rPr>
    </w:lvl>
    <w:lvl w:ilvl="1" w15:tentative="1">
      <w:start w:val="1"/>
      <w:numFmt w:val="bullet"/>
      <w:lvlText w:val="◦"/>
      <w:lvlJc w:val="left"/>
      <w:pPr>
        <w:ind w:left="720" w:hanging="240"/>
      </w:pPr>
      <w:rPr>
        <w:color w:val="C85A8A"/>
      </w:rPr>
    </w:lvl>
    <w:lvl w:ilvl="2" w15:tentative="1">
      <w:start w:val="1"/>
      <w:numFmt w:val="bullet"/>
      <w:lvlText w:val="–"/>
      <w:lvlJc w:val="left"/>
      <w:pPr>
        <w:ind w:left="1080" w:hanging="240"/>
      </w:pPr>
      <w:rPr>
        <w:color w:val="C85A8A"/>
      </w:rPr>
    </w:lvl>
    <w:lvl w:ilvl="3" w15:tentative="1">
      <w:start w:val="1"/>
      <w:numFmt w:val="bullet"/>
      <w:lvlText w:val="•"/>
      <w:lvlJc w:val="left"/>
      <w:pPr>
        <w:ind w:left="1440" w:hanging="240"/>
      </w:pPr>
      <w:rPr>
        <w:color w:val="C85A8A"/>
      </w:rPr>
    </w:lvl>
    <w:lvl w:ilvl="4" w15:tentative="1">
      <w:start w:val="1"/>
      <w:numFmt w:val="bullet"/>
      <w:lvlText w:val="◦"/>
      <w:lvlJc w:val="left"/>
      <w:pPr>
        <w:ind w:left="1800" w:hanging="240"/>
      </w:pPr>
      <w:rPr>
        <w:color w:val="C85A8A"/>
      </w:rPr>
    </w:lvl>
    <w:lvl w:ilvl="5" w15:tentative="1">
      <w:start w:val="1"/>
      <w:numFmt w:val="bullet"/>
      <w:lvlText w:val="–"/>
      <w:lvlJc w:val="left"/>
      <w:pPr>
        <w:ind w:left="2160" w:hanging="240"/>
      </w:pPr>
      <w:rPr>
        <w:color w:val="C85A8A"/>
      </w:rPr>
    </w:lvl>
    <w:lvl w:ilvl="6" w15:tentative="1">
      <w:start w:val="1"/>
      <w:numFmt w:val="bullet"/>
      <w:lvlText w:val="•"/>
      <w:lvlJc w:val="left"/>
      <w:pPr>
        <w:ind w:left="2520" w:hanging="240"/>
      </w:pPr>
      <w:rPr>
        <w:color w:val="C85A8A"/>
      </w:rPr>
    </w:lvl>
    <w:lvl w:ilvl="7" w15:tentative="1">
      <w:start w:val="1"/>
      <w:numFmt w:val="bullet"/>
      <w:lvlText w:val="◦"/>
      <w:lvlJc w:val="left"/>
      <w:pPr>
        <w:ind w:left="2880" w:hanging="240"/>
      </w:pPr>
      <w:rPr>
        <w:color w:val="C85A8A"/>
      </w:rPr>
    </w:lvl>
    <w:lvl w:ilvl="8" w15:tentative="1">
      <w:start w:val="1"/>
      <w:numFmt w:val="bullet"/>
      <w:lvlText w:val="–"/>
      <w:lvlJc w:val="left"/>
      <w:pPr>
        <w:ind w:left="3240" w:hanging="240"/>
      </w:pPr>
      <w:rPr>
        <w:color w:val="C85A8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2B2340"/>
        <w:sz w:val="19"/>
        <w:szCs w:val="19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240" w:before="0" w:line="264"/>
      <w:outlineLvl w:val="1"/>
    </w:pPr>
    <w:rPr>
      <w:rFonts w:ascii="Calistoga" w:cs="Calistoga" w:eastAsia="Calistoga" w:hAnsi="Calistoga"/>
      <w:b w:val="false"/>
      <w:bCs w:val="false"/>
      <w:i w:val="false"/>
      <w:iCs w:val="false"/>
      <w:color w:val="2F2450"/>
      <w:sz w:val="40"/>
      <w:szCs w:val="40"/>
    </w:rPr>
  </w:style>
  <w:style w:type="paragraph" w:styleId="Heading3">
    <w:name w:val="Heading 3"/>
    <w:basedOn w:val="Normal"/>
    <w:next w:val="Normal"/>
    <w:qFormat/>
    <w:pPr>
      <w:keepNext/>
      <w:pBdr>
        <w:bottom w:val="single" w:color="E17B9E" w:sz="6" w:space="3"/>
      </w:pBdr>
      <w:spacing w:after="120" w:before="280" w:line="264"/>
      <w:outlineLvl w:val="2"/>
    </w:pPr>
    <w:rPr>
      <w:rFonts w:ascii="Roboto" w:cs="Roboto" w:eastAsia="Roboto" w:hAnsi="Roboto"/>
      <w:b/>
      <w:bCs/>
      <w:i w:val="false"/>
      <w:iCs w:val="false"/>
      <w:color w:val="2F245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 w:line="264"/>
      <w:outlineLvl w:val="3"/>
    </w:pPr>
    <w:rPr>
      <w:rFonts w:ascii="Roboto" w:cs="Roboto" w:eastAsia="Roboto" w:hAnsi="Roboto"/>
      <w:b/>
      <w:bCs/>
      <w:i w:val="false"/>
      <w:iCs w:val="false"/>
      <w:color w:val="4A3A78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88"/>
    </w:pPr>
    <w:rPr>
      <w:rFonts w:ascii="Roboto" w:cs="Roboto" w:eastAsia="Roboto" w:hAnsi="Roboto"/>
      <w:color w:val="2B2340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_pwodvwfenezt1ndfvlr" Type="http://schemas.openxmlformats.org/officeDocument/2006/relationships/hyperlink" Target="https://cogni.zone" TargetMode="External"/><Relationship Id="rIdhm6iaism7aoujvfdawt97" Type="http://schemas.openxmlformats.org/officeDocument/2006/relationships/hyperlink" Target="https://cogni.zone" TargetMode="External"/><Relationship Id="rId11" Type="http://schemas.openxmlformats.org/officeDocument/2006/relationships/image" Target="media/0e001c46d9ff1aa510d7f4b5a297a9376ade0c9e.png"/><Relationship Id="rId12" Type="http://schemas.openxmlformats.org/officeDocument/2006/relationships/image" Target="media/40f9040c24a96f91857436824ab38e1c292025c7.png"/><Relationship Id="rId13" Type="http://schemas.openxmlformats.org/officeDocument/2006/relationships/image" Target="media/6763c4d0613a17de958868dd6f5da611d4a04701.png"/><Relationship Id="rId14" Type="http://schemas.openxmlformats.org/officeDocument/2006/relationships/image" Target="media/496ca95f941acd8e9849a8d5aa0262da155a04d3.png"/><Relationship Id="rId15" Type="http://schemas.openxmlformats.org/officeDocument/2006/relationships/image" Target="media/75f56a602a59cd62589cd4e0cdcecfe6db0de1d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001c46d9ff1aa510d7f4b5a297a9376ade0c9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0e001c46d9ff1aa510d7f4b5a297a9376ade0c9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2026-10-28T13:06:29.520Z</dcterms:created>
  <dcterms:modified xsi:type="dcterms:W3CDTF">2026-10-28T13:06:29.520Z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