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7"/>
        </w:tabs>
        <w:spacing w:after="0"/>
      </w:pPr>
      <w:r>
        <w:drawing>
          <wp:inline distT="0" distB="0" distL="0" distR="0">
            <wp:extent cx="1238250" cy="2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sz w:val="18"/>
          <w:szCs w:val="18"/>
        </w:rPr>
        <w:t xml:space="preserve">	</w:t>
      </w:r>
      <w:hyperlink w:history="1" r:id="rIdbnijrryz78m1xpdfawh_2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info@cogni.zone</w:t>
        </w:r>
      </w:hyperlink>
    </w:p>
    <w:p>
      <w:pPr>
        <w:spacing w:after="400"/>
        <w:jc w:val="right"/>
      </w:pPr>
      <w:hyperlink w:history="1" r:id="rIdx7vb6xy0scpi1wm44cyaj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cogni.zone</w:t>
        </w:r>
      </w:hyperlink>
    </w:p>
    <w:p>
      <w:pPr>
        <w:spacing w:after="80"/>
      </w:pPr>
      <w:r>
        <w:rPr>
          <w:rFonts w:ascii="Roboto" w:cs="Roboto" w:eastAsia="Roboto" w:hAnsi="Roboto"/>
          <w:b/>
          <w:bCs/>
          <w:color w:val="058775"/>
          <w:spacing w:val="50"/>
          <w:sz w:val="26"/>
          <w:szCs w:val="26"/>
        </w:rPr>
        <w:t xml:space="preserve">TEST-001</w:t>
      </w:r>
    </w:p>
    <w:p>
      <w:pPr>
        <w:spacing w:after="480"/>
      </w:pPr>
      <w:r>
        <w:rPr>
          <w:rFonts w:ascii="Roboto" w:cs="Roboto" w:eastAsia="Roboto" w:hAnsi="Roboto"/>
          <w:b/>
          <w:bCs/>
          <w:color w:val="353744"/>
          <w:sz w:val="44"/>
          <w:szCs w:val="44"/>
        </w:rPr>
        <w:t xml:space="preserve">Test Document: All Formatting Features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ID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TEST-001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Document title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 Document: All Formatting Features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Type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2026-03-12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Cognizone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Client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ERA — European Union Agency for Railways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Project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REG+</w:t>
            </w:r>
          </w:p>
        </w:tc>
      </w:tr>
    </w:tbl>
    <w:p>
      <w:pPr>
        <w:sectPr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20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"2-4"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Status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Draft — created to verify all rendering features across PDF and DOCX output.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Simple Paragraphs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is a regular paragraph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353744"/>
          <w:sz w:val="20"/>
          <w:szCs w:val="20"/>
        </w:rPr>
        <w:t xml:space="preserve">bold 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combined. It also includes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inline code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and a </w:t>
      </w:r>
      <w:hyperlink w:history="1" r:id="rIdkizexuwhklg1gv2siekhq">
        <w:r>
          <w:rPr>
            <w:rFonts w:ascii="Roboto" w:cs="Roboto" w:eastAsia="Roboto" w:hAnsi="Roboto"/>
            <w:b w:val="false"/>
            <w:bCs w:val="false"/>
            <w:i w:val="false"/>
            <w:iCs w:val="false"/>
            <w:color w:val="058775"/>
            <w:sz w:val="20"/>
            <w:szCs w:val="20"/>
          </w:rPr>
          <w:t xml:space="preserve">hyperlink</w:t>
        </w:r>
      </w:hyperlink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inline formatting.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LongCodeSpanThatMightBeInteresting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test inline code styling.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3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Code Blocks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function greet(name) {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const message = `Hello, ${name}!`;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console.log(message);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return message;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}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// Call it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No language specified here.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Just plain preformatted text.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Code with angle brackets and ampersands (must not be dropped as HTML):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PREFIX eurio: &lt;http://data.europa.eu/s66#&gt;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SELECT ?s WHERE { ?s a &lt;http://ex/#Thing&gt; . FILTER(?a &gt; 1 &amp;&amp; ?b &lt; 2) }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Inline code with brackets: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&lt;html&gt;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&amp;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a &lt; b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4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Tables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Simple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Table With Inline Formatting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 header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Uses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 note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Links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See </w:t>
            </w:r>
            <w:hyperlink w:history="1" r:id="rIdyfmqkqpm3ydcvtkbsxxfg">
              <w:r>
                <w:rPr>
                  <w:rFonts w:ascii="Roboto" w:cs="Roboto" w:eastAsia="Roboto" w:hAnsi="Roboto"/>
                  <w:b w:val="false"/>
                  <w:bCs w:val="false"/>
                  <w:i w:val="false"/>
                  <w:iCs w:val="false"/>
                  <w:color w:val="058775"/>
                  <w:sz w:val="20"/>
                  <w:szCs w:val="20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Mixed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pending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and </w:t>
            </w: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5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Lists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Unordered List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item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item with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item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Ordered List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step with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step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Mixed Nesting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grandchild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6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Blockquotes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This is a simple blockquote to verify italic styling and the green left border.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Multi-line blockquote that spans more than one line to verify that longer
content wraps properly and maintains consistent styling throughout.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7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Images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 inline image reference:</w:t>
      </w:r>
    </w:p>
    <w:p>
      <w:pPr>
        <w:spacing w:after="120" w:line="360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8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Mermaid Diagrams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Flowchart</w:t>
      </w:r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Sequence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Sized Diagram</w:t>
      </w:r>
    </w:p>
    <w:p>
      <w:pPr>
        <w:spacing w:after="120" w:before="120"/>
        <w:jc w:val="left"/>
      </w:pPr>
      <w:r>
        <w:drawing>
          <wp:inline distT="0" distB="0" distL="0" distR="0">
            <wp:extent cx="19050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9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Horizontal Rules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above the rule.</w:t>
      </w:r>
    </w:p>
    <w:p>
      <w:pPr>
        <w:pBdr>
          <w:bottom w:val="single" w:color="BFBFBF" w:sz="4"/>
        </w:pBdr>
        <w:spacing w:after="200" w:before="20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below the rule.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10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Headings Hierarchy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Third-Level Heading (H3)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H3 to verify green color and section numbering.</w:t>
      </w:r>
    </w:p>
    <w:p>
      <w:pPr>
        <w:pStyle w:val="Heading4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272727"/>
          <w:sz w:val="22"/>
          <w:szCs w:val="22"/>
        </w:rPr>
        <w:t xml:space="preserve">10.1.1 </w:t>
      </w:r>
      <w:r>
        <w:rPr>
          <w:rFonts w:ascii="Roboto" w:cs="Roboto" w:eastAsia="Roboto" w:hAnsi="Roboto"/>
          <w:b/>
          <w:bCs/>
          <w:i w:val="false"/>
          <w:iCs w:val="false"/>
          <w:color w:val="272727"/>
          <w:sz w:val="22"/>
          <w:szCs w:val="22"/>
        </w:rPr>
        <w:t xml:space="preserve">Fourth-Level Heading (H4)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H4 to verify dark2 color and deeper numbering (e.g. 7.1.1).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Another H3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Back to H3 to verify counter resets properly.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Edge Cases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Empty Table Cells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Has Content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Empty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Also Empty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Long Content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how both renderers handle overflow.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Adjacent Lists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Beta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Delta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11.4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Special Characters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Ampersand &amp; angle brackets &lt; &gt; and quotes "double" 'single' plus an em dash — and ellipsis... should all render correctly.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Summary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41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3" w:hanging="170"/>
      </w:pPr>
    </w:lvl>
    <w:lvl w:ilvl="1" w15:tentative="1">
      <w:start w:val="1"/>
      <w:numFmt w:val="bullet"/>
      <w:lvlText w:val="◦"/>
      <w:lvlJc w:val="left"/>
      <w:pPr>
        <w:ind w:left="566" w:hanging="170"/>
      </w:pPr>
    </w:lvl>
    <w:lvl w:ilvl="2" w15:tentative="1">
      <w:start w:val="1"/>
      <w:numFmt w:val="bullet"/>
      <w:lvlText w:val="–"/>
      <w:lvlJc w:val="left"/>
      <w:pPr>
        <w:ind w:left="850" w:hanging="170"/>
      </w:pPr>
    </w:lvl>
    <w:lvl w:ilvl="3" w15:tentative="1">
      <w:start w:val="1"/>
      <w:numFmt w:val="bullet"/>
      <w:lvlText w:val="•"/>
      <w:lvlJc w:val="left"/>
      <w:pPr>
        <w:ind w:left="1133" w:hanging="170"/>
      </w:pPr>
    </w:lvl>
    <w:lvl w:ilvl="4" w15:tentative="1">
      <w:start w:val="1"/>
      <w:numFmt w:val="bullet"/>
      <w:lvlText w:val="◦"/>
      <w:lvlJc w:val="left"/>
      <w:pPr>
        <w:ind w:left="1417" w:hanging="170"/>
      </w:pPr>
    </w:lvl>
    <w:lvl w:ilvl="5" w15:tentative="1">
      <w:start w:val="1"/>
      <w:numFmt w:val="bullet"/>
      <w:lvlText w:val="–"/>
      <w:lvlJc w:val="left"/>
      <w:pPr>
        <w:ind w:left="1700" w:hanging="170"/>
      </w:pPr>
    </w:lvl>
    <w:lvl w:ilvl="6" w15:tentative="1">
      <w:start w:val="1"/>
      <w:numFmt w:val="bullet"/>
      <w:lvlText w:val="•"/>
      <w:lvlJc w:val="left"/>
      <w:pPr>
        <w:ind w:left="1984" w:hanging="170"/>
      </w:pPr>
    </w:lvl>
    <w:lvl w:ilvl="7" w15:tentative="1">
      <w:start w:val="1"/>
      <w:numFmt w:val="bullet"/>
      <w:lvlText w:val="◦"/>
      <w:lvlJc w:val="left"/>
      <w:pPr>
        <w:ind w:left="2267" w:hanging="170"/>
      </w:pPr>
    </w:lvl>
    <w:lvl w:ilvl="8" w15:tentative="1">
      <w:start w:val="1"/>
      <w:numFmt w:val="bullet"/>
      <w:lvlText w:val="–"/>
      <w:lvlJc w:val="left"/>
      <w:pPr>
        <w:ind w:left="2551" w:hanging="1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353744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360"/>
    </w:pPr>
    <w:rPr>
      <w:rFonts w:ascii="Roboto" w:cs="Roboto" w:eastAsia="Roboto" w:hAnsi="Roboto"/>
      <w:color w:val="353744"/>
      <w:sz w:val="20"/>
      <w:szCs w:val="20"/>
    </w:rPr>
  </w:style>
  <w:style w:type="paragraph" w:styleId="Heading2">
    <w:name w:val="Heading 2"/>
    <w:basedOn w:val="Normal"/>
    <w:next w:val="Normal"/>
    <w:pPr>
      <w:spacing w:after="120" w:before="320"/>
    </w:pPr>
    <w:rPr>
      <w:rFonts w:ascii="Roboto" w:cs="Roboto" w:eastAsia="Roboto" w:hAnsi="Roboto"/>
      <w:b/>
      <w:bCs/>
      <w:color w:val="353744"/>
      <w:sz w:val="26"/>
      <w:szCs w:val="26"/>
    </w:rPr>
  </w:style>
  <w:style w:type="paragraph" w:styleId="Heading3">
    <w:name w:val="Heading 3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058775"/>
      <w:sz w:val="24"/>
      <w:szCs w:val="24"/>
    </w:rPr>
  </w:style>
  <w:style w:type="paragraph" w:styleId="Heading4">
    <w:name w:val="Heading 4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27272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bnijrryz78m1xpdfawh_2" Type="http://schemas.openxmlformats.org/officeDocument/2006/relationships/hyperlink" Target="mailto:info@cogni.zone" TargetMode="External"/><Relationship Id="rIdx7vb6xy0scpi1wm44cyaj" Type="http://schemas.openxmlformats.org/officeDocument/2006/relationships/hyperlink" Target="https://cogni.zone" TargetMode="External"/><Relationship Id="rIdkizexuwhklg1gv2siekhq" Type="http://schemas.openxmlformats.org/officeDocument/2006/relationships/hyperlink" Target="https://cogni.zone" TargetMode="External"/><Relationship Id="rIdyfmqkqpm3ydcvtkbsxxfg" Type="http://schemas.openxmlformats.org/officeDocument/2006/relationships/hyperlink" Target="https://cogni.zone" TargetMode="External"/><Relationship Id="rId11" Type="http://schemas.openxmlformats.org/officeDocument/2006/relationships/image" Target="media/40f9040c24a96f91857436824ab38e1c292025c7.png"/><Relationship Id="rId12" Type="http://schemas.openxmlformats.org/officeDocument/2006/relationships/image" Target="media/6763c4d0613a17de958868dd6f5da611d4a04701.png"/><Relationship Id="rId13" Type="http://schemas.openxmlformats.org/officeDocument/2006/relationships/image" Target="media/496ca95f941acd8e9849a8d5aa0262da155a04d3.png"/><Relationship Id="rId14" Type="http://schemas.openxmlformats.org/officeDocument/2006/relationships/image" Target="media/75f56a602a59cd62589cd4e0cdcecfe6db0de1d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2026-07-09T12:48:18.490Z</dcterms:created>
  <dcterms:modified xsi:type="dcterms:W3CDTF">2026-07-09T12:48:18.490Z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