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637"/>
        </w:tabs>
        <w:spacing w:after="0"/>
      </w:pPr>
      <w:r>
        <w:drawing>
          <wp:inline distT="0" distB="0" distL="0" distR="0">
            <wp:extent cx="1238250" cy="2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cs="Roboto" w:eastAsia="Roboto" w:hAnsi="Roboto"/>
          <w:sz w:val="18"/>
          <w:szCs w:val="18"/>
        </w:rPr>
        <w:t xml:space="preserve">	</w:t>
      </w:r>
      <w:hyperlink w:history="1" r:id="rIdn2g6c_lpifzio1ezqa4ay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info@cogni.zone</w:t>
        </w:r>
      </w:hyperlink>
    </w:p>
    <w:p>
      <w:pPr>
        <w:spacing w:after="400"/>
        <w:jc w:val="right"/>
      </w:pPr>
      <w:hyperlink w:history="1" r:id="rId1qycni47rcla0fzwh6ro7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cogni.zone</w:t>
        </w:r>
      </w:hyperlink>
    </w:p>
    <w:p>
      <w:pPr>
        <w:spacing w:after="80"/>
      </w:pPr>
      <w:r>
        <w:rPr>
          <w:rFonts w:ascii="Roboto" w:cs="Roboto" w:eastAsia="Roboto" w:hAnsi="Roboto"/>
          <w:b/>
          <w:bCs/>
          <w:color w:val="058775"/>
          <w:spacing w:val="50"/>
          <w:sz w:val="26"/>
          <w:szCs w:val="26"/>
        </w:rPr>
        <w:t xml:space="preserve">TEST-001</w:t>
      </w:r>
    </w:p>
    <w:p>
      <w:pPr>
        <w:spacing w:after="480"/>
      </w:pPr>
      <w:r>
        <w:rPr>
          <w:rFonts w:ascii="Roboto" w:cs="Roboto" w:eastAsia="Roboto" w:hAnsi="Roboto"/>
          <w:b/>
          <w:bCs/>
          <w:color w:val="353744"/>
          <w:sz w:val="44"/>
          <w:szCs w:val="44"/>
        </w:rPr>
        <w:t xml:space="preserve">Test Document: All Formatting Features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ID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TEST-001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Document title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 Document: All Formatting Features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Type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2026-03-12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Cognizone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Client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ERA — European Union Agency for Railways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Project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REG+</w:t>
            </w:r>
          </w:p>
        </w:tc>
      </w:tr>
    </w:tbl>
    <w:p>
      <w:pPr>
        <w:sectPr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pBdr>
          <w:bottom w:val="single" w:color="353744" w:sz="4"/>
        </w:pBdr>
        <w:spacing w:after="20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"2-4"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Status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Draft — created to verify all rendering features across PDF and DOCX output.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2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Simple Paragraphs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is a regular paragraph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and </w:t>
      </w:r>
      <w:r>
        <w:rPr>
          <w:rFonts w:ascii="Roboto" w:cs="Roboto" w:eastAsia="Roboto" w:hAnsi="Roboto"/>
          <w:b/>
          <w:bCs/>
          <w:i/>
          <w:iCs/>
          <w:color w:val="353744"/>
          <w:sz w:val="20"/>
          <w:szCs w:val="20"/>
        </w:rPr>
        <w:t xml:space="preserve">bold 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combined. It also includes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inline code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and a </w:t>
      </w:r>
      <w:hyperlink w:history="1" r:id="rIdmbevadsnihb9ztlp7eqyl">
        <w:r>
          <w:rPr>
            <w:rFonts w:ascii="Roboto" w:cs="Roboto" w:eastAsia="Roboto" w:hAnsi="Roboto"/>
            <w:b w:val="false"/>
            <w:bCs w:val="false"/>
            <w:i w:val="false"/>
            <w:iCs w:val="false"/>
            <w:color w:val="058775"/>
            <w:sz w:val="20"/>
            <w:szCs w:val="20"/>
          </w:rPr>
          <w:t xml:space="preserve">hyperlink</w:t>
        </w:r>
      </w:hyperlink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inline formatting.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Here is a second paragraph to verify spacing between paragraphs. It contains a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LongCodeSpanThatMightBeInteresting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test inline code styling.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3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Code Blocks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 a language tag: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function greet(name) {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const message = `Hello, ${name}!`;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console.log(message);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return message;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}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// Call it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greet('Cognizone');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without a language: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No language specified here.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Just plain preformatted text.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With some indentation.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4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Tables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Simple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C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Table With Inline Formatting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 header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Uses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 note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Links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See </w:t>
            </w:r>
            <w:hyperlink w:history="1" r:id="rIdbgyaq7w5se_mghujdr2tj">
              <w:r>
                <w:rPr>
                  <w:rFonts w:ascii="Roboto" w:cs="Roboto" w:eastAsia="Roboto" w:hAnsi="Roboto"/>
                  <w:b w:val="false"/>
                  <w:bCs w:val="false"/>
                  <w:i w:val="false"/>
                  <w:iCs w:val="false"/>
                  <w:color w:val="058775"/>
                  <w:sz w:val="20"/>
                  <w:szCs w:val="20"/>
                </w:rPr>
                <w:t xml:space="preserve">cogni.zone</w:t>
              </w:r>
            </w:hyperlink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Mixed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pending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Has </w:t>
            </w: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and </w:t>
            </w: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code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5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Lists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Unordered List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item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item with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code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one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two</w:t>
      </w:r>
    </w:p>
    <w:p>
      <w:pPr>
        <w:pStyle w:val="ListParagraph"/>
        <w:numPr>
          <w:ilvl w:val="2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Deeply nested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item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Ordered List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step with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emphasis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step</w:t>
      </w:r>
    </w:p>
    <w:p>
      <w:pPr>
        <w:pStyle w:val="ListParagraph"/>
        <w:numPr>
          <w:ilvl w:val="1"/>
          <w:numId w:val="4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A</w:t>
      </w:r>
    </w:p>
    <w:p>
      <w:pPr>
        <w:pStyle w:val="ListParagraph"/>
        <w:numPr>
          <w:ilvl w:val="1"/>
          <w:numId w:val="4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B</w:t>
      </w:r>
    </w:p>
    <w:p>
      <w:pPr>
        <w:pStyle w:val="ListParagraph"/>
        <w:numPr>
          <w:ilvl w:val="2"/>
          <w:numId w:val="5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Sub-sub-step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step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Mixed Nesting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Unordered parent</w:t>
      </w:r>
    </w:p>
    <w:p>
      <w:pPr>
        <w:pStyle w:val="ListParagraph"/>
        <w:numPr>
          <w:ilvl w:val="1"/>
          <w:numId w:val="6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one</w:t>
      </w:r>
    </w:p>
    <w:p>
      <w:pPr>
        <w:pStyle w:val="ListParagraph"/>
        <w:numPr>
          <w:ilvl w:val="1"/>
          <w:numId w:val="6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two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Another unordered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Bullet child</w:t>
      </w:r>
    </w:p>
    <w:p>
      <w:pPr>
        <w:pStyle w:val="ListParagraph"/>
        <w:numPr>
          <w:ilvl w:val="2"/>
          <w:numId w:val="7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grandchild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6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Blockquotes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This is a simple blockquote to verify italic styling and the green left border.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Multi-line blockquote that spans more than one line to verify that longer
content wraps properly and maintains consistent styling throughout.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7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Images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 inline image reference:</w:t>
      </w:r>
    </w:p>
    <w:p>
      <w:pPr>
        <w:spacing w:after="120" w:line="360"/>
      </w:pPr>
      <w:r>
        <w:drawing>
          <wp:inline distT="0" distB="0" distL="0" distR="0">
            <wp:extent cx="22098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Resized via HTML tag (100x21):</w:t>
      </w:r>
    </w:p>
    <w:p>
      <w:pPr>
        <w:spacing w:after="120"/>
      </w:pPr>
      <w:r>
        <w:drawing>
          <wp:inline distT="0" distB="0" distL="0" distR="0">
            <wp:extent cx="952500" cy="200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8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Mermaid Diagrams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Flowchart</w:t>
      </w:r>
    </w:p>
    <w:p>
      <w:pPr>
        <w:spacing w:after="120" w:before="120"/>
        <w:jc w:val="center"/>
      </w:pPr>
      <w:r>
        <w:drawing>
          <wp:inline distT="0" distB="0" distL="0" distR="0">
            <wp:extent cx="306705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Sequence Diagram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9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Horizontal Rules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above the rule.</w:t>
      </w:r>
    </w:p>
    <w:p>
      <w:pPr>
        <w:pBdr>
          <w:bottom w:val="single" w:color="BFBFBF" w:sz="4"/>
        </w:pBdr>
        <w:spacing w:after="200" w:before="20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below the rule.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10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Headings Hierarchy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Third-Level Heading (H3)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H3 to verify green color and section numbering.</w:t>
      </w:r>
    </w:p>
    <w:p>
      <w:pPr>
        <w:pStyle w:val="Heading4"/>
        <w:spacing w:after="120" w:before="200"/>
      </w:pPr>
      <w:r>
        <w:rPr>
          <w:rFonts w:ascii="Roboto" w:cs="Roboto" w:eastAsia="Roboto" w:hAnsi="Roboto"/>
          <w:b/>
          <w:bCs/>
          <w:color w:val="272727"/>
          <w:sz w:val="22"/>
          <w:szCs w:val="22"/>
        </w:rPr>
        <w:t xml:space="preserve">10.1.1 </w:t>
      </w:r>
      <w:r>
        <w:rPr>
          <w:rFonts w:ascii="Roboto" w:cs="Roboto" w:eastAsia="Roboto" w:hAnsi="Roboto"/>
          <w:b/>
          <w:bCs/>
          <w:i w:val="false"/>
          <w:iCs w:val="false"/>
          <w:color w:val="272727"/>
          <w:sz w:val="22"/>
          <w:szCs w:val="22"/>
        </w:rPr>
        <w:t xml:space="preserve">Fourth-Level Heading (H4)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H4 to verify dark2 color and deeper numbering (e.g. 7.1.1).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Another H3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Back to H3 to verify counter resets properly.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Edge Cases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Empty Table Cells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Has Content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Empty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Also Empty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Long Content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paragraph contains a very long inline code span: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this-is-a-really-long-code-span-that-might-cause-wrapping-issues-in-both-pdf-and-docx-output-formats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how both renderers handle overflow.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Adjacent Lists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list: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Alpha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Beta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list immediately after: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Gamma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Delta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11.4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Special Characters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Ampersand &amp; angle brackets &lt; &gt; and quotes "double" 'single' plus an em dash — and ellipsis... should all render correctly.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12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Summary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document exercises: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All heading levels (H2, H3, H4)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Section numbering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Paragraphs with inline formatting (bold, italic, bold+italic, code, links)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blocks (with and without language)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Tables (simple, with formatting, with empty cells)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Lists (ordered, unordered, nested, mixed)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Blockquotes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Horizontal rules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Special characters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Cover page with all frontmatter fields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 of contents generation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Headers and footers</w:t>
      </w:r>
    </w:p>
    <w:sectPr>
      <w:headerReference w:type="default" r:id="rId9"/>
      <w:footerReference w:type="default" r:id="rId10"/>
      <w:type w:val="nextPage"/>
      <w:pgSz w:w="11906" w:h="16838" w:orient="portrait"/>
      <w:pgMar w:top="1417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3" w:hanging="170"/>
      </w:pPr>
    </w:lvl>
    <w:lvl w:ilvl="1" w15:tentative="1">
      <w:start w:val="1"/>
      <w:numFmt w:val="bullet"/>
      <w:lvlText w:val="◦"/>
      <w:lvlJc w:val="left"/>
      <w:pPr>
        <w:ind w:left="566" w:hanging="170"/>
      </w:pPr>
    </w:lvl>
    <w:lvl w:ilvl="2" w15:tentative="1">
      <w:start w:val="1"/>
      <w:numFmt w:val="bullet"/>
      <w:lvlText w:val="–"/>
      <w:lvlJc w:val="left"/>
      <w:pPr>
        <w:ind w:left="850" w:hanging="170"/>
      </w:pPr>
    </w:lvl>
    <w:lvl w:ilvl="3" w15:tentative="1">
      <w:start w:val="1"/>
      <w:numFmt w:val="bullet"/>
      <w:lvlText w:val="•"/>
      <w:lvlJc w:val="left"/>
      <w:pPr>
        <w:ind w:left="1133" w:hanging="170"/>
      </w:pPr>
    </w:lvl>
    <w:lvl w:ilvl="4" w15:tentative="1">
      <w:start w:val="1"/>
      <w:numFmt w:val="bullet"/>
      <w:lvlText w:val="◦"/>
      <w:lvlJc w:val="left"/>
      <w:pPr>
        <w:ind w:left="1417" w:hanging="170"/>
      </w:pPr>
    </w:lvl>
    <w:lvl w:ilvl="5" w15:tentative="1">
      <w:start w:val="1"/>
      <w:numFmt w:val="bullet"/>
      <w:lvlText w:val="–"/>
      <w:lvlJc w:val="left"/>
      <w:pPr>
        <w:ind w:left="1700" w:hanging="170"/>
      </w:pPr>
    </w:lvl>
    <w:lvl w:ilvl="6" w15:tentative="1">
      <w:start w:val="1"/>
      <w:numFmt w:val="bullet"/>
      <w:lvlText w:val="•"/>
      <w:lvlJc w:val="left"/>
      <w:pPr>
        <w:ind w:left="1984" w:hanging="170"/>
      </w:pPr>
    </w:lvl>
    <w:lvl w:ilvl="7" w15:tentative="1">
      <w:start w:val="1"/>
      <w:numFmt w:val="bullet"/>
      <w:lvlText w:val="◦"/>
      <w:lvlJc w:val="left"/>
      <w:pPr>
        <w:ind w:left="2267" w:hanging="170"/>
      </w:pPr>
    </w:lvl>
    <w:lvl w:ilvl="8" w15:tentative="1">
      <w:start w:val="1"/>
      <w:numFmt w:val="bullet"/>
      <w:lvlText w:val="–"/>
      <w:lvlJc w:val="left"/>
      <w:pPr>
        <w:ind w:left="2551" w:hanging="1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353744"/>
        <w:sz w:val="20"/>
        <w:szCs w:val="20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360"/>
    </w:pPr>
    <w:rPr>
      <w:rFonts w:ascii="Roboto" w:cs="Roboto" w:eastAsia="Roboto" w:hAnsi="Roboto"/>
      <w:color w:val="353744"/>
      <w:sz w:val="20"/>
      <w:szCs w:val="20"/>
    </w:rPr>
  </w:style>
  <w:style w:type="paragraph" w:styleId="Heading2">
    <w:name w:val="Heading 2"/>
    <w:basedOn w:val="Normal"/>
    <w:next w:val="Normal"/>
    <w:pPr>
      <w:spacing w:after="120" w:before="320"/>
    </w:pPr>
    <w:rPr>
      <w:rFonts w:ascii="Roboto" w:cs="Roboto" w:eastAsia="Roboto" w:hAnsi="Roboto"/>
      <w:b/>
      <w:bCs/>
      <w:color w:val="353744"/>
      <w:sz w:val="26"/>
      <w:szCs w:val="26"/>
    </w:rPr>
  </w:style>
  <w:style w:type="paragraph" w:styleId="Heading3">
    <w:name w:val="Heading 3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058775"/>
      <w:sz w:val="24"/>
      <w:szCs w:val="24"/>
    </w:rPr>
  </w:style>
  <w:style w:type="paragraph" w:styleId="Heading4">
    <w:name w:val="Heading 4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27272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n2g6c_lpifzio1ezqa4ay" Type="http://schemas.openxmlformats.org/officeDocument/2006/relationships/hyperlink" Target="mailto:info@cogni.zone" TargetMode="External"/><Relationship Id="rId1qycni47rcla0fzwh6ro7" Type="http://schemas.openxmlformats.org/officeDocument/2006/relationships/hyperlink" Target="https://cogni.zone" TargetMode="External"/><Relationship Id="rIdmbevadsnihb9ztlp7eqyl" Type="http://schemas.openxmlformats.org/officeDocument/2006/relationships/hyperlink" Target="https://cogni.zone" TargetMode="External"/><Relationship Id="rIdbgyaq7w5se_mghujdr2tj" Type="http://schemas.openxmlformats.org/officeDocument/2006/relationships/hyperlink" Target="https://cogni.zone" TargetMode="External"/><Relationship Id="rId11" Type="http://schemas.openxmlformats.org/officeDocument/2006/relationships/image" Target="media/40f9040c24a96f91857436824ab38e1c292025c7.png"/><Relationship Id="rId12" Type="http://schemas.openxmlformats.org/officeDocument/2006/relationships/image" Target="media/6763c4d0613a17de958868dd6f5da611d4a04701.png"/><Relationship Id="rId13" Type="http://schemas.openxmlformats.org/officeDocument/2006/relationships/image" Target="media/496ca95f941acd8e9849a8d5aa0262da155a04d3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2026-03-19T13:07:38.074Z</dcterms:created>
  <dcterms:modified xsi:type="dcterms:W3CDTF">2026-03-19T13:07:38.074Z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