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637"/>
        </w:tabs>
        <w:spacing w:after="0"/>
      </w:pPr>
      <w:r>
        <w:drawing>
          <wp:inline distT="0" distB="0" distL="0" distR="0">
            <wp:extent cx="1238250" cy="2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cs="Roboto" w:eastAsia="Roboto" w:hAnsi="Roboto"/>
          <w:sz w:val="18"/>
          <w:szCs w:val="18"/>
        </w:rPr>
        <w:t xml:space="preserve">	</w:t>
      </w:r>
      <w:hyperlink w:history="1" r:id="rIdkjkpmgzxj5mhlba1bingl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info@cogni.zone</w:t>
        </w:r>
      </w:hyperlink>
    </w:p>
    <w:p>
      <w:pPr>
        <w:spacing w:after="400"/>
        <w:jc w:val="right"/>
      </w:pPr>
      <w:hyperlink w:history="1" r:id="rIddaayv9e3dobh2dtpqspq0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cogni.zone</w:t>
        </w:r>
      </w:hyperlink>
    </w:p>
    <w:p>
      <w:pPr>
        <w:spacing w:after="80"/>
      </w:pPr>
      <w:r>
        <w:rPr>
          <w:rFonts w:ascii="Roboto" w:cs="Roboto" w:eastAsia="Roboto" w:hAnsi="Roboto"/>
          <w:b/>
          <w:bCs/>
          <w:color w:val="058775"/>
          <w:spacing w:val="50"/>
          <w:sz w:val="26"/>
          <w:szCs w:val="26"/>
        </w:rPr>
        <w:t xml:space="preserve">TEST-001</w:t>
      </w:r>
    </w:p>
    <w:p>
      <w:pPr>
        <w:spacing w:after="480"/>
      </w:pPr>
      <w:r>
        <w:rPr>
          <w:rFonts w:ascii="Roboto" w:cs="Roboto" w:eastAsia="Roboto" w:hAnsi="Roboto"/>
          <w:b/>
          <w:bCs/>
          <w:color w:val="353744"/>
          <w:sz w:val="44"/>
          <w:szCs w:val="44"/>
        </w:rPr>
        <w:t xml:space="preserve">Test Document: All Formatting Features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ID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TEST-001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Document title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 Document: All Formatting Features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Type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2026-03-12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Cognizone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Client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ERA — European Union Agency for Railways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Project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REG+</w:t>
            </w:r>
          </w:p>
        </w:tc>
      </w:tr>
    </w:tbl>
    <w:p>
      <w:pPr>
        <w:sectPr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pBdr>
          <w:bottom w:val="single" w:color="353744" w:sz="4"/>
        </w:pBdr>
        <w:spacing w:after="20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"2-4"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Status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Draft — created to verify all rendering features across PDF and DOCX output.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Simple Paragraphs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is a regular paragraph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and </w:t>
      </w:r>
      <w:r>
        <w:rPr>
          <w:rFonts w:ascii="Roboto" w:cs="Roboto" w:eastAsia="Roboto" w:hAnsi="Roboto"/>
          <w:b/>
          <w:bCs/>
          <w:i/>
          <w:iCs/>
          <w:color w:val="353744"/>
          <w:sz w:val="20"/>
          <w:szCs w:val="20"/>
        </w:rPr>
        <w:t xml:space="preserve">bold 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combined. It also includes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inline code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and a </w:t>
      </w:r>
      <w:hyperlink w:history="1" r:id="rIdqlf8kr2zta9ur-th4ntio">
        <w:r>
          <w:rPr>
            <w:rFonts w:ascii="Roboto" w:cs="Roboto" w:eastAsia="Roboto" w:hAnsi="Roboto"/>
            <w:b w:val="false"/>
            <w:bCs w:val="false"/>
            <w:i w:val="false"/>
            <w:iCs w:val="false"/>
            <w:color w:val="058775"/>
            <w:sz w:val="20"/>
            <w:szCs w:val="20"/>
          </w:rPr>
          <w:t xml:space="preserve">hyperlink</w:t>
        </w:r>
      </w:hyperlink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inline formatting.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Here is a second paragraph to verify spacing between paragraphs. It contains a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LongCodeSpanThatMightBeInteresting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test inline code styling.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3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Code Blocks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 a language tag: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function greet(name) {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const message = `Hello, ${name}!`;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console.log(message);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return message;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}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// Call it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greet('Cognizone');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without a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No language specified here.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Just plain preformatted text.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With some indentation.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4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Tables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Simple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C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Table With Inline Formatting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 header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Uses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 note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Links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See </w:t>
            </w:r>
            <w:hyperlink w:history="1" r:id="rIdcadlxp6utefdrcybflntk">
              <w:r>
                <w:rPr>
                  <w:rFonts w:ascii="Roboto" w:cs="Roboto" w:eastAsia="Roboto" w:hAnsi="Roboto"/>
                  <w:b w:val="false"/>
                  <w:bCs w:val="false"/>
                  <w:i w:val="false"/>
                  <w:iCs w:val="false"/>
                  <w:color w:val="058775"/>
                  <w:sz w:val="20"/>
                  <w:szCs w:val="20"/>
                </w:rPr>
                <w:t xml:space="preserve">cogni.zone</w:t>
              </w:r>
            </w:hyperlink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Mixed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pending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Has </w:t>
            </w: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and </w:t>
            </w: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code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5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Lists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Unordered List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item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item with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code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one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two</w:t>
      </w:r>
    </w:p>
    <w:p>
      <w:pPr>
        <w:pStyle w:val="ListParagraph"/>
        <w:numPr>
          <w:ilvl w:val="2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Deeply nested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item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Ordered List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step with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emphasis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step</w:t>
      </w:r>
    </w:p>
    <w:p>
      <w:pPr>
        <w:pStyle w:val="ListParagraph"/>
        <w:numPr>
          <w:ilvl w:val="1"/>
          <w:numId w:val="4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A</w:t>
      </w:r>
    </w:p>
    <w:p>
      <w:pPr>
        <w:pStyle w:val="ListParagraph"/>
        <w:numPr>
          <w:ilvl w:val="1"/>
          <w:numId w:val="4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B</w:t>
      </w:r>
    </w:p>
    <w:p>
      <w:pPr>
        <w:pStyle w:val="ListParagraph"/>
        <w:numPr>
          <w:ilvl w:val="2"/>
          <w:numId w:val="5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Sub-sub-step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step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Mixed Nesting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Unordered parent</w:t>
      </w:r>
    </w:p>
    <w:p>
      <w:pPr>
        <w:pStyle w:val="ListParagraph"/>
        <w:numPr>
          <w:ilvl w:val="1"/>
          <w:numId w:val="6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one</w:t>
      </w:r>
    </w:p>
    <w:p>
      <w:pPr>
        <w:pStyle w:val="ListParagraph"/>
        <w:numPr>
          <w:ilvl w:val="1"/>
          <w:numId w:val="6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two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Another unordered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Bullet child</w:t>
      </w:r>
    </w:p>
    <w:p>
      <w:pPr>
        <w:pStyle w:val="ListParagraph"/>
        <w:numPr>
          <w:ilvl w:val="2"/>
          <w:numId w:val="7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grandchild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6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Blockquotes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This is a simple blockquote to verify italic styling and the green left border.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Multi-line blockquote that spans more than one line to verify that longer
content wraps properly and maintains consistent styling throughout.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7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Images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 inline image reference:</w:t>
      </w:r>
    </w:p>
    <w:p>
      <w:pPr>
        <w:spacing w:after="120" w:line="360"/>
      </w:pPr>
      <w:r>
        <w:drawing>
          <wp:inline distT="0" distB="0" distL="0" distR="0">
            <wp:extent cx="22098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Resized via HTML tag (100x21):</w:t>
      </w:r>
    </w:p>
    <w:p>
      <w:pPr>
        <w:spacing w:after="120"/>
      </w:pPr>
      <w:r>
        <w:drawing>
          <wp:inline distT="0" distB="0" distL="0" distR="0">
            <wp:extent cx="952500" cy="20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8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Mermaid Diagrams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Flowchart</w:t>
      </w:r>
    </w:p>
    <w:p>
      <w:pPr>
        <w:spacing w:after="120" w:before="120"/>
        <w:jc w:val="center"/>
      </w:pPr>
      <w:r>
        <w:drawing>
          <wp:inline distT="0" distB="0" distL="0" distR="0">
            <wp:extent cx="306705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Sequence Diagram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Sized Diagram</w:t>
      </w:r>
    </w:p>
    <w:p>
      <w:pPr>
        <w:spacing w:after="120" w:before="120"/>
        <w:jc w:val="left"/>
      </w:pPr>
      <w:r>
        <w:drawing>
          <wp:inline distT="0" distB="0" distL="0" distR="0">
            <wp:extent cx="1905000" cy="65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9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Horizontal Rules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above the rule.</w:t>
      </w:r>
    </w:p>
    <w:p>
      <w:pPr>
        <w:pBdr>
          <w:bottom w:val="single" w:color="BFBFBF" w:sz="4"/>
        </w:pBdr>
        <w:spacing w:after="200" w:before="20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below the rule.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10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Headings Hierarchy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Third-Level Heading (H3)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H3 to verify green color and section numbering.</w:t>
      </w:r>
    </w:p>
    <w:p>
      <w:pPr>
        <w:pStyle w:val="Heading4"/>
        <w:spacing w:after="120" w:before="200"/>
      </w:pPr>
      <w:r>
        <w:rPr>
          <w:rFonts w:ascii="Roboto" w:cs="Roboto" w:eastAsia="Roboto" w:hAnsi="Roboto"/>
          <w:b/>
          <w:bCs/>
          <w:color w:val="272727"/>
          <w:sz w:val="22"/>
          <w:szCs w:val="22"/>
        </w:rPr>
        <w:t xml:space="preserve">10.1.1 </w:t>
      </w:r>
      <w:r>
        <w:rPr>
          <w:rFonts w:ascii="Roboto" w:cs="Roboto" w:eastAsia="Roboto" w:hAnsi="Roboto"/>
          <w:b/>
          <w:bCs/>
          <w:i w:val="false"/>
          <w:iCs w:val="false"/>
          <w:color w:val="272727"/>
          <w:sz w:val="22"/>
          <w:szCs w:val="22"/>
        </w:rPr>
        <w:t xml:space="preserve">Fourth-Level Heading (H4)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H4 to verify dark2 color and deeper numbering (e.g. 7.1.1).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Another H3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Back to H3 to verify counter resets properly.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Edge Cases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Empty Table Cells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Has Content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Empty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Also Empty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Long Content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paragraph contains a very long inline code span: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this-is-a-really-long-code-span-that-might-cause-wrapping-issues-in-both-pdf-and-docx-output-formats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how both renderers handle overflow.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Adjacent Lists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list: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Alpha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Beta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list immediately after: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Gamma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Delta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11.4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Special Characters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Ampersand &amp; angle brackets &lt; &gt; and quotes "double" 'single' plus an em dash — and ellipsis... should all render correctly.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Summary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document exercises: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All heading levels (H2, H3, H4)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Section numbering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Paragraphs with inline formatting (bold, italic, bold+italic, code, links)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blocks (with and without language)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Tables (simple, with formatting, with empty cells)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Lists (ordered, unordered, nested, mixed)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Blockquotes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Horizontal rules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Special characters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Cover page with all frontmatter fields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 of contents generation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Headers and footers</w:t>
      </w:r>
    </w:p>
    <w:sectPr>
      <w:headerReference w:type="default" r:id="rId9"/>
      <w:footerReference w:type="default" r:id="rId10"/>
      <w:type w:val="nextPage"/>
      <w:pgSz w:w="11906" w:h="16838" w:orient="portrait"/>
      <w:pgMar w:top="1417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3" w:hanging="170"/>
      </w:pPr>
    </w:lvl>
    <w:lvl w:ilvl="1" w15:tentative="1">
      <w:start w:val="1"/>
      <w:numFmt w:val="bullet"/>
      <w:lvlText w:val="◦"/>
      <w:lvlJc w:val="left"/>
      <w:pPr>
        <w:ind w:left="566" w:hanging="170"/>
      </w:pPr>
    </w:lvl>
    <w:lvl w:ilvl="2" w15:tentative="1">
      <w:start w:val="1"/>
      <w:numFmt w:val="bullet"/>
      <w:lvlText w:val="–"/>
      <w:lvlJc w:val="left"/>
      <w:pPr>
        <w:ind w:left="850" w:hanging="170"/>
      </w:pPr>
    </w:lvl>
    <w:lvl w:ilvl="3" w15:tentative="1">
      <w:start w:val="1"/>
      <w:numFmt w:val="bullet"/>
      <w:lvlText w:val="•"/>
      <w:lvlJc w:val="left"/>
      <w:pPr>
        <w:ind w:left="1133" w:hanging="170"/>
      </w:pPr>
    </w:lvl>
    <w:lvl w:ilvl="4" w15:tentative="1">
      <w:start w:val="1"/>
      <w:numFmt w:val="bullet"/>
      <w:lvlText w:val="◦"/>
      <w:lvlJc w:val="left"/>
      <w:pPr>
        <w:ind w:left="1417" w:hanging="170"/>
      </w:pPr>
    </w:lvl>
    <w:lvl w:ilvl="5" w15:tentative="1">
      <w:start w:val="1"/>
      <w:numFmt w:val="bullet"/>
      <w:lvlText w:val="–"/>
      <w:lvlJc w:val="left"/>
      <w:pPr>
        <w:ind w:left="1700" w:hanging="170"/>
      </w:pPr>
    </w:lvl>
    <w:lvl w:ilvl="6" w15:tentative="1">
      <w:start w:val="1"/>
      <w:numFmt w:val="bullet"/>
      <w:lvlText w:val="•"/>
      <w:lvlJc w:val="left"/>
      <w:pPr>
        <w:ind w:left="1984" w:hanging="170"/>
      </w:pPr>
    </w:lvl>
    <w:lvl w:ilvl="7" w15:tentative="1">
      <w:start w:val="1"/>
      <w:numFmt w:val="bullet"/>
      <w:lvlText w:val="◦"/>
      <w:lvlJc w:val="left"/>
      <w:pPr>
        <w:ind w:left="2267" w:hanging="170"/>
      </w:pPr>
    </w:lvl>
    <w:lvl w:ilvl="8" w15:tentative="1">
      <w:start w:val="1"/>
      <w:numFmt w:val="bullet"/>
      <w:lvlText w:val="–"/>
      <w:lvlJc w:val="left"/>
      <w:pPr>
        <w:ind w:left="2551" w:hanging="1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353744"/>
        <w:sz w:val="20"/>
        <w:szCs w:val="20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360"/>
    </w:pPr>
    <w:rPr>
      <w:rFonts w:ascii="Roboto" w:cs="Roboto" w:eastAsia="Roboto" w:hAnsi="Roboto"/>
      <w:color w:val="353744"/>
      <w:sz w:val="20"/>
      <w:szCs w:val="20"/>
    </w:rPr>
  </w:style>
  <w:style w:type="paragraph" w:styleId="Heading2">
    <w:name w:val="Heading 2"/>
    <w:basedOn w:val="Normal"/>
    <w:next w:val="Normal"/>
    <w:pPr>
      <w:spacing w:after="120" w:before="320"/>
    </w:pPr>
    <w:rPr>
      <w:rFonts w:ascii="Roboto" w:cs="Roboto" w:eastAsia="Roboto" w:hAnsi="Roboto"/>
      <w:b/>
      <w:bCs/>
      <w:color w:val="353744"/>
      <w:sz w:val="26"/>
      <w:szCs w:val="26"/>
    </w:rPr>
  </w:style>
  <w:style w:type="paragraph" w:styleId="Heading3">
    <w:name w:val="Heading 3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058775"/>
      <w:sz w:val="24"/>
      <w:szCs w:val="24"/>
    </w:rPr>
  </w:style>
  <w:style w:type="paragraph" w:styleId="Heading4">
    <w:name w:val="Heading 4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27272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kjkpmgzxj5mhlba1bingl" Type="http://schemas.openxmlformats.org/officeDocument/2006/relationships/hyperlink" Target="mailto:info@cogni.zone" TargetMode="External"/><Relationship Id="rIddaayv9e3dobh2dtpqspq0" Type="http://schemas.openxmlformats.org/officeDocument/2006/relationships/hyperlink" Target="https://cogni.zone" TargetMode="External"/><Relationship Id="rIdqlf8kr2zta9ur-th4ntio" Type="http://schemas.openxmlformats.org/officeDocument/2006/relationships/hyperlink" Target="https://cogni.zone" TargetMode="External"/><Relationship Id="rIdcadlxp6utefdrcybflntk" Type="http://schemas.openxmlformats.org/officeDocument/2006/relationships/hyperlink" Target="https://cogni.zone" TargetMode="External"/><Relationship Id="rId11" Type="http://schemas.openxmlformats.org/officeDocument/2006/relationships/image" Target="media/40f9040c24a96f91857436824ab38e1c292025c7.png"/><Relationship Id="rId12" Type="http://schemas.openxmlformats.org/officeDocument/2006/relationships/image" Target="media/6763c4d0613a17de958868dd6f5da611d4a04701.png"/><Relationship Id="rId13" Type="http://schemas.openxmlformats.org/officeDocument/2006/relationships/image" Target="media/496ca95f941acd8e9849a8d5aa0262da155a04d3.png"/><Relationship Id="rId14" Type="http://schemas.openxmlformats.org/officeDocument/2006/relationships/image" Target="media/75f56a602a59cd62589cd4e0cdcecfe6db0de1d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2026-04-17T09:45:33.162Z</dcterms:created>
  <dcterms:modified xsi:type="dcterms:W3CDTF">2026-04-17T09:45:33.162Z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