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400" w:line="240"/>
      </w:pPr>
      <w:r>
        <w:drawing>
          <wp:inline distT="0" distB="0" distL="0" distR="0">
            <wp:extent cx="6096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b/>
          <w:bCs/>
          <w:color w:val="2F2450"/>
          <w:sz w:val="40"/>
          <w:szCs w:val="40"/>
        </w:rPr>
        <w:t xml:space="preserve">  Cognizone</w:t>
      </w:r>
    </w:p>
    <w:p>
      <w:pPr>
        <w:spacing w:after="240" w:line="240"/>
      </w:pPr>
      <w:r>
        <w:rPr>
          <w:rFonts w:ascii="Roboto Mono" w:cs="Roboto Mono" w:eastAsia="Roboto Mono" w:hAnsi="Roboto Mono"/>
          <w:color w:val="C85A8A"/>
          <w:spacing w:val="60"/>
          <w:sz w:val="18"/>
          <w:szCs w:val="18"/>
        </w:rPr>
        <w:t xml:space="preserve">COGNIZONE / SPEC</w:t>
      </w:r>
    </w:p>
    <w:p>
      <w:pPr>
        <w:spacing w:after="0" w:line="264"/>
      </w:pPr>
      <w:r>
        <w:rPr>
          <w:rFonts w:ascii="Calistoga" w:cs="Calistoga" w:eastAsia="Calistoga" w:hAnsi="Calistoga"/>
          <w:color w:val="2F2450"/>
          <w:sz w:val="64"/>
          <w:szCs w:val="64"/>
        </w:rPr>
        <w:t xml:space="preserve">Test Document: All Formatting Features</w:t>
      </w:r>
    </w:p>
    <w:p>
      <w:pPr>
        <w:spacing w:after="400" w:line="264"/>
      </w:pPr>
      <w:r>
        <w:rPr>
          <w:rFonts w:ascii="Calistoga" w:cs="Calistoga" w:eastAsia="Calistoga" w:hAnsi="Calistoga"/>
          <w:color w:val="C85A8A"/>
          <w:sz w:val="64"/>
          <w:szCs w:val="64"/>
        </w:rPr>
        <w:t xml:space="preserve">Second title line</w:t>
      </w:r>
    </w:p>
    <w:p>
      <w:pPr>
        <w:spacing w:after="600" w:line="320"/>
      </w:pPr>
      <w:r>
        <w:rPr>
          <w:rFonts w:ascii="Roboto" w:cs="Roboto" w:eastAsia="Roboto" w:hAnsi="Roboto"/>
          <w:color w:val="4A3A78"/>
          <w:sz w:val="24"/>
          <w:szCs w:val="24"/>
        </w:rPr>
        <w:t xml:space="preserve">Cover summary paragraph.</w:t>
      </w:r>
    </w:p>
    <w:tbl>
      <w:tblPr>
        <w:tblW w:type="dxa" w:w="5782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  <w:tblLayout w:type="fixed"/>
      </w:tblPr>
      <w:tblGrid>
        <w:gridCol w:w="1927"/>
        <w:gridCol w:w="3855"/>
      </w:tblGrid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TEST-001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TYPE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spec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STATUS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draft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VERSION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DATE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2026-03-12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AUTHOR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Cognizone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CLIENT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ERA — European Union Agency for Railways</w:t>
            </w:r>
          </w:p>
        </w:tc>
      </w:tr>
      <w:tr>
        <w:tc>
          <w:tcPr>
            <w:tcW w:type="dxa" w:w="1927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3EBDE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 Mono" w:cs="Roboto Mono" w:eastAsia="Roboto Mono" w:hAnsi="Roboto Mono"/>
                <w:color w:val="6B6185"/>
                <w:spacing w:val="20"/>
                <w:sz w:val="15"/>
                <w:szCs w:val="15"/>
              </w:rPr>
              <w:t xml:space="preserve">PROJECT</w:t>
            </w:r>
          </w:p>
        </w:tc>
        <w:tc>
          <w:tcPr>
            <w:tcW w:type="dxa" w:w="3855"/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2B2340"/>
                <w:sz w:val="19"/>
                <w:szCs w:val="19"/>
              </w:rPr>
              <w:t xml:space="preserve">REG+</w:t>
            </w:r>
          </w:p>
        </w:tc>
      </w:tr>
    </w:tbl>
    <w:p>
      <w:pPr>
        <w:framePr w:w="9637" w:h="0" w:hAnchor="margin" w:vAnchor="margin" w:hRule="auto" w:xAlign="left" w:yAlign="bottom"/>
        <w:spacing w:after="60" w:before="0" w:line="240"/>
      </w:pPr>
      <w:r>
        <w:rPr>
          <w:rFonts w:ascii="Roboto" w:cs="Roboto" w:eastAsia="Roboto" w:hAnsi="Roboto"/>
          <w:color w:val="6B6185"/>
          <w:sz w:val="17"/>
          <w:szCs w:val="17"/>
        </w:rPr>
        <w:t xml:space="preserve">Cognizone BV · Avenue Arnaud Fraiteur 15-23, 1050 Ixelles, Belgium · BE 0634.615.174</w:t>
      </w:r>
    </w:p>
    <w:p>
      <w:pPr>
        <w:framePr w:w="9637" w:h="0" w:hAnchor="margin" w:vAnchor="margin" w:hRule="auto" w:xAlign="left" w:yAlign="bottom"/>
        <w:spacing w:after="0" w:before="0" w:line="240"/>
      </w:pPr>
      <w:r>
        <w:rPr>
          <w:rFonts w:ascii="Roboto Mono" w:cs="Roboto Mono" w:eastAsia="Roboto Mono" w:hAnsi="Roboto Mono"/>
          <w:color w:val="6B6185"/>
          <w:sz w:val="16"/>
          <w:szCs w:val="16"/>
        </w:rPr>
        <w:t xml:space="preserve">2026-03-12 · Confidential</w:t>
      </w:r>
    </w:p>
    <w:p>
      <w:pPr>
        <w:sectPr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spacing w:after="200" w:line="240"/>
      </w:pPr>
      <w:r>
        <w:rPr>
          <w:rFonts w:ascii="Roboto Mono" w:cs="Roboto Mono" w:eastAsia="Roboto Mono" w:hAnsi="Roboto Mono"/>
          <w:b/>
          <w:bCs/>
          <w:color w:val="C85A8A"/>
          <w:spacing w:val="60"/>
          <w:sz w:val="17"/>
          <w:szCs w:val="17"/>
        </w:rPr>
        <w:t xml:space="preserve">CONTENTS</w:t>
      </w:r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Status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Simple Paragraphs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03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Code Blocks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4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04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Tables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Simple Table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4.2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Table With Inline Formatting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05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8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Unordered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Ordered List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5.3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Mixed Nesting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1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06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Blockquotes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07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Images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3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08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Mermaid Diagrams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Flowchart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Sequence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8.3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Sized Diagram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1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09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Horizontal Rules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18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10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Headings Hierarchy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_toc_18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19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Third-Level Heading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_toc_19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834"/>
      </w:pPr>
      <w:hyperlink w:history="1" w:anchor="_toc_20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10.1.1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Fourth-Level Heading H4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_toc_20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1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10.2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Another H3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_toc_21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5" w:hanging="1475"/>
      </w:pPr>
      <w:hyperlink w:history="1" w:anchor="_toc_22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11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Edge Cases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_toc_22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3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11.1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Empty Table Cells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_toc_23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4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11.2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Long Content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_toc_24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5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11.3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Adjacent Lists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_toc_25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tabs>
          <w:tab w:val="right" w:pos="9637"/>
        </w:tabs>
        <w:spacing w:after="0" w:before="60" w:line="240"/>
        <w:ind w:left="1474"/>
      </w:pPr>
      <w:hyperlink w:history="1" w:anchor="_toc_26">
        <w:r>
          <w:rPr>
            <w:rFonts w:ascii="Roboto Mono" w:cs="Roboto Mono" w:eastAsia="Roboto Mono" w:hAnsi="Roboto Mono"/>
            <w:color w:val="6B6185"/>
            <w:sz w:val="15"/>
            <w:szCs w:val="15"/>
          </w:rPr>
          <w:t xml:space="preserve">11.4 </w:t>
        </w:r>
        <w:r>
          <w:rPr>
            <w:rFonts w:ascii="Roboto" w:cs="Roboto" w:eastAsia="Roboto" w:hAnsi="Roboto"/>
            <w:color w:val="2B2340"/>
            <w:sz w:val="19"/>
            <w:szCs w:val="19"/>
          </w:rPr>
          <w:t xml:space="preserve">Special Characters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_toc_26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pBdr>
          <w:bottom w:val="single" w:color="E2D8CB" w:sz="2" w:space="3"/>
          <w:between w:val="single" w:color="E2D8CB" w:sz="2" w:space="3"/>
        </w:pBdr>
        <w:tabs>
          <w:tab w:val="left" w:pos="1474"/>
          <w:tab w:val="right" w:pos="9637"/>
        </w:tabs>
        <w:spacing w:after="0" w:before="200" w:line="240"/>
        <w:ind w:left="1474" w:hanging="1474"/>
      </w:pPr>
      <w:hyperlink w:history="1" w:anchor="_toc_27">
        <w:r>
          <w:rPr>
            <w:rFonts w:ascii="Roboto Mono" w:cs="Roboto Mono" w:eastAsia="Roboto Mono" w:hAnsi="Roboto Mono"/>
            <w:b/>
            <w:bCs/>
            <w:color w:val="C85A8A"/>
            <w:sz w:val="16"/>
            <w:szCs w:val="16"/>
          </w:rPr>
          <w:t xml:space="preserve">CHAPTER 12</w:t>
        </w:r>
        <w:r>
          <w:t xml:space="preserve">	</w:t>
        </w:r>
        <w:r>
          <w:rPr>
            <w:rFonts w:ascii="Roboto" w:cs="Roboto" w:eastAsia="Roboto" w:hAnsi="Roboto"/>
            <w:color w:val="2F2450"/>
            <w:sz w:val="21"/>
            <w:szCs w:val="21"/>
          </w:rPr>
          <w:t xml:space="preserve">Summary</w:t>
        </w:r>
        <w:r>
          <w:t xml:space="preserve">	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begin" w:dirty="tru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instrText xml:space="preserve"> PAGEREF _toc_27 \h </w:instrTex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separate"/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t xml:space="preserve">–</w:t>
        </w:r>
        <w:r>
          <w:rPr>
            <w:rFonts w:ascii="Roboto Mono" w:cs="Roboto Mono" w:eastAsia="Roboto Mono" w:hAnsi="Roboto Mono"/>
            <w:color w:val="6B6185"/>
            <w:sz w:val="16"/>
            <w:szCs w:val="16"/>
          </w:rPr>
          <w:fldChar w:fldCharType="end"/>
        </w:r>
      </w:hyperlink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133" w:right="1133" w:bottom="1133" w:left="1133" w:header="708" w:footer="708" w:gutter="0"/>
          <w:pgNumType/>
          <w:docGrid w:linePitch="360"/>
        </w:sectPr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01</w:t>
      </w:r>
    </w:p>
    <w:p>
      <w:pPr>
        <w:pStyle w:val="Heading2"/>
        <w:keepNext/>
        <w:keepLines/>
      </w:pPr>
      <w:bookmarkStart w:name="_toc_1" w:id="1"/>
      <w:r>
        <w:t xml:space="preserve">Status</w:t>
      </w:r>
      <w:bookmarkEnd w:id="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Draft — created to verify all rendering features across PDF and DOCX output.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02</w:t>
      </w:r>
    </w:p>
    <w:p>
      <w:pPr>
        <w:pStyle w:val="Heading2"/>
        <w:keepNext/>
        <w:keepLines/>
      </w:pPr>
      <w:bookmarkStart w:name="_toc_2" w:id="2"/>
      <w:r>
        <w:t xml:space="preserve">Simple Paragraphs</w:t>
      </w:r>
      <w:bookmarkEnd w:id="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is a regular paragraph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2B2340"/>
          <w:sz w:val="19"/>
          <w:szCs w:val="19"/>
        </w:rPr>
        <w:t xml:space="preserve">bold italic text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combined. It also includes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inline code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and a </w:t>
      </w:r>
      <w:hyperlink w:history="1" r:id="rId7ljqa3adijwyqlxrklgrn">
        <w:r>
          <w:rPr>
            <w:rFonts w:ascii="Roboto" w:cs="Roboto" w:eastAsia="Roboto" w:hAnsi="Roboto"/>
            <w:color w:val="3D6BB8"/>
            <w:sz w:val="19"/>
            <w:szCs w:val="19"/>
          </w:rPr>
          <w:t xml:space="preserve">hyperlink</w:t>
        </w:r>
      </w:hyperlink>
      <w:r>
        <w:rPr>
          <w:rFonts w:ascii="Roboto" w:cs="Roboto" w:eastAsia="Roboto" w:hAnsi="Roboto"/>
          <w:color w:val="2B2340"/>
          <w:sz w:val="19"/>
          <w:szCs w:val="19"/>
        </w:rPr>
        <w:t xml:space="preserve"> to verify inline formatting.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LongCodeSpanThatMightBeInteresting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test inline code styling.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03</w:t>
      </w:r>
    </w:p>
    <w:p>
      <w:pPr>
        <w:pStyle w:val="Heading2"/>
        <w:keepNext/>
        <w:keepLines/>
      </w:pPr>
      <w:bookmarkStart w:name="_toc_3" w:id="3"/>
      <w:r>
        <w:t xml:space="preserve">Code Blocks</w:t>
      </w:r>
      <w:bookmarkEnd w:id="3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function greet(name) {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const message = `Hello, ${name}!`;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console.log(message);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return message;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}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// Call it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No language specified here.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Just plain preformatted text.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Code with angle brackets and ampersands (must not be dropped as HTML):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D8CB" w:sz="4"/>
              <w:left w:val="single" w:color="2F2450" w:sz="24"/>
              <w:bottom w:val="single" w:color="E2D8CB" w:sz="4"/>
              <w:right w:val="single" w:color="E2D8CB" w:sz="4"/>
            </w:tcBorders>
            <w:shd w:fill="FBF6F1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PREFIX eurio: &lt;http://data.europa.eu/s66#&gt;</w:t>
            </w:r>
          </w:p>
          <w:p>
            <w:pPr>
              <w:spacing w:after="0" w:before="0" w:line="264"/>
            </w:pPr>
            <w:r>
              <w:rPr>
                <w:rFonts w:ascii="Roboto Mono" w:cs="Roboto Mono" w:eastAsia="Roboto Mono" w:hAnsi="Roboto Mono"/>
                <w:color w:val="2F2450"/>
                <w:sz w:val="16"/>
                <w:szCs w:val="16"/>
              </w:rPr>
              <w:t xml:space="preserve">SELECT ?s WHERE { ?s a &lt;http://ex/#Thing&gt; . FILTER(?a &gt; 1 &amp;&amp; ?b &lt; 2) }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Inline code with brackets: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&lt;html&gt;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&amp;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a &lt; b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04</w:t>
      </w:r>
    </w:p>
    <w:p>
      <w:pPr>
        <w:pStyle w:val="Heading2"/>
        <w:keepNext/>
        <w:keepLines/>
      </w:pPr>
      <w:bookmarkStart w:name="_toc_4" w:id="4"/>
      <w:r>
        <w:t xml:space="preserve">Tables</w:t>
      </w:r>
      <w:bookmarkEnd w:id="4"/>
    </w:p>
    <w:p>
      <w:pPr>
        <w:pStyle w:val="Heading3"/>
        <w:keepNext/>
        <w:keepLines/>
      </w:pPr>
      <w:bookmarkStart w:name="_toc_5" w:id="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4.1 </w:t>
      </w:r>
      <w:r>
        <w:t xml:space="preserve">Simple Table</w:t>
      </w:r>
      <w:bookmarkEnd w:id="5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Column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1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2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3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4 C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A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B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6" w:id="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4.2 </w:t>
      </w:r>
      <w:r>
        <w:t xml:space="preserve">Table With Inline Formatting</w:t>
      </w:r>
      <w:bookmarkEnd w:id="6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Feature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 header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Uses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 note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Links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done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See </w:t>
            </w:r>
            <w:hyperlink w:history="1" r:id="rId5sy6hywf-sobfuzsspvdk">
              <w:r>
                <w:rPr>
                  <w:rFonts w:ascii="Roboto" w:cs="Roboto" w:eastAsia="Roboto" w:hAnsi="Roboto"/>
                  <w:color w:val="3D6BB8"/>
                  <w:sz w:val="17"/>
                  <w:szCs w:val="17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Mixed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  <w:jc w:val="center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pending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color w:val="2B2340"/>
                <w:sz w:val="17"/>
                <w:szCs w:val="17"/>
              </w:rPr>
              <w:t xml:space="preserve">bold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</w:t>
            </w:r>
            <w:r>
              <w:rPr>
                <w:rFonts w:ascii="Roboto" w:cs="Roboto" w:eastAsia="Roboto" w:hAnsi="Roboto"/>
                <w:i/>
                <w:iCs/>
                <w:color w:val="2B2340"/>
                <w:sz w:val="17"/>
                <w:szCs w:val="17"/>
              </w:rPr>
              <w:t xml:space="preserve">italic</w:t>
            </w: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, and </w:t>
            </w:r>
            <w:r>
              <w:rPr>
                <w:rFonts w:ascii="Roboto Mono" w:cs="Roboto Mono" w:eastAsia="Roboto Mono" w:hAnsi="Roboto Mono"/>
                <w:color w:val="C85A8A"/>
                <w:sz w:val="17"/>
                <w:szCs w:val="17"/>
                <w:shd w:fill="F3EBDE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05</w:t>
      </w:r>
    </w:p>
    <w:p>
      <w:pPr>
        <w:pStyle w:val="Heading2"/>
        <w:keepNext/>
        <w:keepLines/>
      </w:pPr>
      <w:bookmarkStart w:name="_toc_7" w:id="7"/>
      <w:r>
        <w:t xml:space="preserve">Lists</w:t>
      </w:r>
      <w:bookmarkEnd w:id="7"/>
    </w:p>
    <w:p>
      <w:pPr>
        <w:pStyle w:val="Heading3"/>
        <w:keepNext/>
        <w:keepLines/>
      </w:pPr>
      <w:bookmarkStart w:name="_toc_8" w:id="8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5.1 </w:t>
      </w:r>
      <w:r>
        <w:t xml:space="preserve">Unordered List</w:t>
      </w:r>
      <w:bookmarkEnd w:id="8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item with </w:t>
      </w:r>
      <w:r>
        <w:rPr>
          <w:rFonts w:ascii="Roboto" w:cs="Roboto" w:eastAsia="Roboto" w:hAnsi="Roboto"/>
          <w:b/>
          <w:bCs/>
          <w:color w:val="2B2340"/>
          <w:sz w:val="19"/>
          <w:szCs w:val="19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item with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item</w:t>
      </w:r>
    </w:p>
    <w:p>
      <w:pPr>
        <w:pStyle w:val="Heading3"/>
        <w:keepNext/>
        <w:keepLines/>
      </w:pPr>
      <w:bookmarkStart w:name="_toc_9" w:id="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5.2 </w:t>
      </w:r>
      <w:r>
        <w:t xml:space="preserve">Ordered List</w:t>
      </w:r>
      <w:bookmarkEnd w:id="9"/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step with </w:t>
      </w:r>
      <w:r>
        <w:rPr>
          <w:rFonts w:ascii="Roboto" w:cs="Roboto" w:eastAsia="Roboto" w:hAnsi="Roboto"/>
          <w:i/>
          <w:iCs/>
          <w:color w:val="2B2340"/>
          <w:sz w:val="19"/>
          <w:szCs w:val="19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Fourth step</w:t>
      </w:r>
    </w:p>
    <w:p>
      <w:pPr>
        <w:pStyle w:val="Heading3"/>
        <w:keepNext/>
        <w:keepLines/>
      </w:pPr>
      <w:bookmarkStart w:name="_toc_10" w:id="10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5.3 </w:t>
      </w:r>
      <w:r>
        <w:t xml:space="preserve">Mixed Nesting</w:t>
      </w:r>
      <w:bookmarkEnd w:id="10"/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Ordered grandchild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06</w:t>
      </w:r>
    </w:p>
    <w:p>
      <w:pPr>
        <w:pStyle w:val="Heading2"/>
        <w:keepNext/>
        <w:keepLines/>
      </w:pPr>
      <w:bookmarkStart w:name="_toc_11" w:id="11"/>
      <w:r>
        <w:t xml:space="preserve">Blockquotes</w:t>
      </w:r>
      <w:bookmarkEnd w:id="11"/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This is a simple blockquote to verify italic styling and the green left border.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Multi-line blockquote that spans more than one line to verify that longer
content wraps properly and maintains consistent styling throughout.</w:t>
            </w:r>
          </w:p>
        </w:tc>
      </w:tr>
    </w:tbl>
    <w:p>
      <w:pPr>
        <w:spacing w:after="120"/>
      </w:pPr>
    </w:p>
    <w:tbl>
      <w:tblPr>
        <w:tblW w:type="dxa" w:w="9637"/>
        <w:tblBorders>
          <w:top w:val="none" w:color="auto" w:sz="0"/>
          <w:left w:val="single" w:color="C85A8A" w:sz="24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7"/>
      </w:tblGrid>
      <w:tr>
        <w:tc>
          <w:tcPr>
            <w:tcW w:type="dxa" w:w="9637"/>
            <w:tcBorders>
              <w:top w:val="none" w:color="auto" w:sz="0"/>
              <w:left w:val="single" w:color="C85A8A" w:sz="24"/>
              <w:bottom w:val="none" w:color="auto" w:sz="0"/>
              <w:right w:val="none" w:color="auto" w:sz="0"/>
            </w:tcBorders>
            <w:shd w:fill="F3EBDE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after="120" w:line="288"/>
            </w:pPr>
            <w:r>
              <w:rPr>
                <w:rFonts w:ascii="Roboto" w:cs="Roboto" w:eastAsia="Roboto" w:hAnsi="Roboto"/>
                <w:b/>
                <w:bCs/>
                <w:i/>
                <w:iCs/>
                <w:color w:val="4A3A78"/>
                <w:sz w:val="19"/>
                <w:szCs w:val="19"/>
              </w:rPr>
              <w:t xml:space="preserve">Sources: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88"/>
            </w:pPr>
            <w:r>
              <w:rPr>
                <w:rFonts w:ascii="Roboto" w:cs="Roboto" w:eastAsia="Roboto" w:hAnsi="Roboto"/>
                <w:i/>
                <w:iCs/>
                <w:color w:val="4A3A78"/>
                <w:sz w:val="19"/>
                <w:szCs w:val="19"/>
              </w:rPr>
              <w:t xml:space="preserve">Quoted list item two</w:t>
            </w:r>
          </w:p>
        </w:tc>
      </w:tr>
    </w:tbl>
    <w:p>
      <w:pPr>
        <w:spacing w:after="120"/>
      </w:pP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07</w:t>
      </w:r>
    </w:p>
    <w:p>
      <w:pPr>
        <w:pStyle w:val="Heading2"/>
        <w:keepNext/>
        <w:keepLines/>
      </w:pPr>
      <w:bookmarkStart w:name="_toc_12" w:id="12"/>
      <w:r>
        <w:t xml:space="preserve">Images</w:t>
      </w:r>
      <w:bookmarkEnd w:id="12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An inline image reference:</w:t>
      </w:r>
    </w:p>
    <w:p>
      <w:pPr>
        <w:spacing w:after="120" w:line="288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08</w:t>
      </w:r>
    </w:p>
    <w:p>
      <w:pPr>
        <w:pStyle w:val="Heading2"/>
        <w:keepNext/>
        <w:keepLines/>
      </w:pPr>
      <w:bookmarkStart w:name="_toc_13" w:id="13"/>
      <w:r>
        <w:t xml:space="preserve">Mermaid Diagrams</w:t>
      </w:r>
      <w:bookmarkEnd w:id="13"/>
    </w:p>
    <w:p>
      <w:pPr>
        <w:pStyle w:val="Heading3"/>
        <w:keepNext/>
        <w:keepLines/>
      </w:pPr>
      <w:bookmarkStart w:name="_toc_14" w:id="1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8.1 </w:t>
      </w:r>
      <w:r>
        <w:t xml:space="preserve">Flowchart</w:t>
      </w:r>
      <w:bookmarkEnd w:id="14"/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5" w:id="1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8.2 </w:t>
      </w:r>
      <w:r>
        <w:t xml:space="preserve">Sequence Diagram</w:t>
      </w:r>
      <w:bookmarkEnd w:id="15"/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</w:pPr>
      <w:bookmarkStart w:name="_toc_16" w:id="1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8.3 </w:t>
      </w:r>
      <w:r>
        <w:t xml:space="preserve">Sized Diagram</w:t>
      </w:r>
      <w:bookmarkEnd w:id="16"/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09</w:t>
      </w:r>
    </w:p>
    <w:p>
      <w:pPr>
        <w:pStyle w:val="Heading2"/>
        <w:keepNext/>
        <w:keepLines/>
      </w:pPr>
      <w:bookmarkStart w:name="_toc_17" w:id="17"/>
      <w:r>
        <w:t xml:space="preserve">Horizontal Rules</w:t>
      </w:r>
      <w:bookmarkEnd w:id="1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above the rule.</w:t>
      </w:r>
    </w:p>
    <w:p>
      <w:pPr>
        <w:pBdr>
          <w:bottom w:val="single" w:color="E2D8CB" w:sz="4"/>
        </w:pBdr>
        <w:spacing w:after="200" w:before="200"/>
      </w:pP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below the rule.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10</w:t>
      </w:r>
    </w:p>
    <w:p>
      <w:pPr>
        <w:pStyle w:val="Heading2"/>
        <w:keepNext/>
        <w:keepLines/>
      </w:pPr>
      <w:bookmarkStart w:name="_toc_18" w:id="18"/>
      <w:r>
        <w:t xml:space="preserve">Headings Hierarchy</w:t>
      </w:r>
      <w:bookmarkEnd w:id="18"/>
    </w:p>
    <w:p>
      <w:pPr>
        <w:pStyle w:val="Heading3"/>
        <w:keepNext/>
        <w:keepLines/>
      </w:pPr>
      <w:bookmarkStart w:name="_toc_19" w:id="19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10.1 </w:t>
      </w:r>
      <w:r>
        <w:t xml:space="preserve">Third-Level Heading (H3)</w:t>
      </w:r>
      <w:bookmarkEnd w:id="19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H3 to verify green color and section numbering.</w:t>
      </w:r>
    </w:p>
    <w:p>
      <w:pPr>
        <w:pStyle w:val="Heading4"/>
        <w:keepNext/>
        <w:keepLines/>
      </w:pPr>
      <w:bookmarkStart w:name="_toc_20" w:id="20"/>
      <w:r>
        <w:rPr>
          <w:rFonts w:ascii="Roboto Mono" w:cs="Roboto Mono" w:eastAsia="Roboto Mono" w:hAnsi="Roboto Mono"/>
          <w:color w:val="C85A8A"/>
          <w:sz w:val="18"/>
          <w:szCs w:val="18"/>
        </w:rPr>
        <w:t xml:space="preserve">10.1.1 </w:t>
      </w:r>
      <w:r>
        <w:t xml:space="preserve">Fourth-Level Heading (H4)</w:t>
      </w:r>
      <w:bookmarkEnd w:id="20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Content under H4 to verify dark2 color and deeper numbering (e.g. 7.1.1).</w:t>
      </w:r>
    </w:p>
    <w:p>
      <w:pPr>
        <w:pStyle w:val="Heading3"/>
        <w:keepNext/>
        <w:keepLines/>
      </w:pPr>
      <w:bookmarkStart w:name="_toc_21" w:id="21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10.2 </w:t>
      </w:r>
      <w:r>
        <w:t xml:space="preserve">Another H3</w:t>
      </w:r>
      <w:bookmarkEnd w:id="21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Back to H3 to verify counter resets properly.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11</w:t>
      </w:r>
    </w:p>
    <w:p>
      <w:pPr>
        <w:pStyle w:val="Heading2"/>
        <w:keepNext/>
        <w:keepLines/>
      </w:pPr>
      <w:bookmarkStart w:name="_toc_22" w:id="22"/>
      <w:r>
        <w:t xml:space="preserve">Edge Cases</w:t>
      </w:r>
      <w:bookmarkEnd w:id="22"/>
    </w:p>
    <w:p>
      <w:pPr>
        <w:pStyle w:val="Heading3"/>
        <w:keepNext/>
        <w:keepLines/>
      </w:pPr>
      <w:bookmarkStart w:name="_toc_23" w:id="23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11.1 </w:t>
      </w:r>
      <w:r>
        <w:t xml:space="preserve">Empty Table Cells</w:t>
      </w:r>
      <w:bookmarkEnd w:id="23"/>
    </w:p>
    <w:tbl>
      <w:tblPr>
        <w:tblW w:type="pct" w:w="100%"/>
        <w:tblBorders>
          <w:top w:val="single" w:color="E2D8CB" w:sz="4"/>
          <w:left w:val="none" w:color="auto" w:sz="0"/>
          <w:bottom w:val="single" w:color="E2D8CB" w:sz="4"/>
          <w:right w:val="none" w:color="auto" w:sz="0"/>
          <w:insideH w:val="single" w:color="E2D8CB" w:sz="4"/>
          <w:insideV w:val="none" w:color="auto" w:sz="0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Has Content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Empty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2F245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7"/>
                <w:szCs w:val="17"/>
              </w:rPr>
              <w:t xml:space="preserve">Also Empty</w:t>
            </w: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  <w:tr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Roboto" w:cs="Roboto" w:eastAsia="Roboto" w:hAnsi="Roboto"/>
                <w:color w:val="2B2340"/>
                <w:sz w:val="17"/>
                <w:szCs w:val="17"/>
              </w:rPr>
              <w:t xml:space="preserve">Yes</w:t>
            </w:r>
          </w:p>
        </w:tc>
        <w:tc>
          <w:tcPr>
            <w:tcBorders>
              <w:top w:val="single" w:color="E2D8CB" w:sz="4"/>
              <w:left w:val="none" w:color="auto" w:sz="0"/>
              <w:bottom w:val="single" w:color="E2D8CB" w:sz="4"/>
              <w:right w:val="none" w:color="auto" w:sz="0"/>
            </w:tcBorders>
            <w:shd w:fill="FBF6F1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52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</w:pPr>
      <w:bookmarkStart w:name="_toc_24" w:id="24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11.2 </w:t>
      </w:r>
      <w:r>
        <w:t xml:space="preserve">Long Content</w:t>
      </w:r>
      <w:bookmarkEnd w:id="24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color w:val="C85A8A"/>
          <w:sz w:val="17"/>
          <w:szCs w:val="17"/>
          <w:shd w:fill="F3EBDE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color w:val="2B2340"/>
          <w:sz w:val="19"/>
          <w:szCs w:val="19"/>
        </w:rPr>
        <w:t xml:space="preserve"> to verify how both renderers handle overflow.</w:t>
      </w:r>
    </w:p>
    <w:p>
      <w:pPr>
        <w:pStyle w:val="Heading3"/>
        <w:keepNext/>
        <w:keepLines/>
      </w:pPr>
      <w:bookmarkStart w:name="_toc_25" w:id="25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11.3 </w:t>
      </w:r>
      <w:r>
        <w:t xml:space="preserve">Adjacent Lists</w:t>
      </w:r>
      <w:bookmarkEnd w:id="25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Beta</w:t>
      </w:r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Delta</w:t>
      </w:r>
    </w:p>
    <w:p>
      <w:pPr>
        <w:pStyle w:val="Heading3"/>
        <w:keepNext/>
        <w:keepLines/>
      </w:pPr>
      <w:bookmarkStart w:name="_toc_26" w:id="26"/>
      <w:r>
        <w:rPr>
          <w:rFonts w:ascii="Roboto Mono" w:cs="Roboto Mono" w:eastAsia="Roboto Mono" w:hAnsi="Roboto Mono"/>
          <w:color w:val="C85A8A"/>
          <w:sz w:val="20"/>
          <w:szCs w:val="20"/>
        </w:rPr>
        <w:t xml:space="preserve">11.4 </w:t>
      </w:r>
      <w:r>
        <w:t xml:space="preserve">Special Characters</w:t>
      </w:r>
      <w:bookmarkEnd w:id="26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Ampersand &amp; angle brackets &lt; &gt; and quotes "double" 'single' plus an em dash — and ellipsis... should all render correctly.</w:t>
      </w:r>
    </w:p>
    <w:p>
      <w:pPr>
        <w:keepNext/>
        <w:keepLines/>
        <w:spacing w:after="40" w:before="480" w:line="240"/>
      </w:pPr>
      <w:r>
        <w:rPr>
          <w:rFonts w:ascii="Roboto Mono" w:cs="Roboto Mono" w:eastAsia="Roboto Mono" w:hAnsi="Roboto Mono"/>
          <w:b/>
          <w:bCs/>
          <w:color w:val="C85A8A"/>
          <w:spacing w:val="20"/>
          <w:sz w:val="17"/>
          <w:szCs w:val="17"/>
        </w:rPr>
        <w:t xml:space="preserve">CHAPTER 12</w:t>
      </w:r>
    </w:p>
    <w:p>
      <w:pPr>
        <w:pStyle w:val="Heading2"/>
        <w:keepNext/>
        <w:keepLines/>
      </w:pPr>
      <w:bookmarkStart w:name="_toc_27" w:id="27"/>
      <w:r>
        <w:t xml:space="preserve">Summary</w:t>
      </w:r>
      <w:bookmarkEnd w:id="27"/>
    </w:p>
    <w:p>
      <w:pPr>
        <w:spacing w:after="12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Roboto" w:cs="Roboto" w:eastAsia="Roboto" w:hAnsi="Roboto"/>
          <w:color w:val="2B2340"/>
          <w:sz w:val="19"/>
          <w:szCs w:val="19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7"/>
      </w:tabs>
      <w:spacing w:after="0" w:before="0" w:line="240"/>
    </w:pPr>
    <w:r>
      <w:rPr>
        <w:rFonts w:ascii="Roboto Mono" w:cs="Roboto Mono" w:eastAsia="Roboto Mono" w:hAnsi="Roboto Mono"/>
        <w:color w:val="6B6185"/>
        <w:sz w:val="14"/>
        <w:szCs w:val="14"/>
      </w:rPr>
      <w:t xml:space="preserve">Confidential · ERA — European Union Agency for Railways · REG+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2F245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b/>
        <w:bCs/>
        <w:color w:val="2F2450"/>
        <w:sz w:val="17"/>
        <w:szCs w:val="17"/>
      </w:rPr>
      <w:t xml:space="preserve"> 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D8CB" w:sz="4" w:space="6"/>
      </w:pBdr>
      <w:tabs>
        <w:tab w:val="right" w:pos="9637"/>
      </w:tabs>
      <w:spacing w:after="0" w:before="0" w:line="240"/>
    </w:pPr>
    <w:r>
      <w:drawing>
        <wp:inline distT="0" distB="0" distL="0" distR="0">
          <wp:extent cx="152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b/>
        <w:bCs/>
        <w:color w:val="2F2450"/>
        <w:sz w:val="17"/>
        <w:szCs w:val="17"/>
      </w:rPr>
      <w:t xml:space="preserve"> Cognizone</w:t>
    </w:r>
    <w:r>
      <w:rPr>
        <w:rFonts w:ascii="Roboto Mono" w:cs="Roboto Mono" w:eastAsia="Roboto Mono" w:hAnsi="Roboto Mono"/>
        <w:sz w:val="14"/>
        <w:szCs w:val="14"/>
      </w:rPr>
      <w:t xml:space="preserve">	</w:t>
    </w:r>
    <w:r>
      <w:rPr>
        <w:rFonts w:ascii="Roboto Mono" w:cs="Roboto Mono" w:eastAsia="Roboto Mono" w:hAnsi="Roboto Mono"/>
        <w:color w:val="6B6185"/>
        <w:sz w:val="14"/>
        <w:szCs w:val="14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C85A8A"/>
      </w:rPr>
    </w:lvl>
    <w:lvl w:ilvl="1" w15:tentative="1">
      <w:start w:val="1"/>
      <w:numFmt w:val="bullet"/>
      <w:lvlText w:val="◦"/>
      <w:lvlJc w:val="left"/>
      <w:pPr>
        <w:ind w:left="720" w:hanging="240"/>
      </w:pPr>
      <w:rPr>
        <w:color w:val="C85A8A"/>
      </w:rPr>
    </w:lvl>
    <w:lvl w:ilvl="2" w15:tentative="1">
      <w:start w:val="1"/>
      <w:numFmt w:val="bullet"/>
      <w:lvlText w:val="–"/>
      <w:lvlJc w:val="left"/>
      <w:pPr>
        <w:ind w:left="1080" w:hanging="240"/>
      </w:pPr>
      <w:rPr>
        <w:color w:val="C85A8A"/>
      </w:rPr>
    </w:lvl>
    <w:lvl w:ilvl="3" w15:tentative="1">
      <w:start w:val="1"/>
      <w:numFmt w:val="bullet"/>
      <w:lvlText w:val="•"/>
      <w:lvlJc w:val="left"/>
      <w:pPr>
        <w:ind w:left="1440" w:hanging="240"/>
      </w:pPr>
      <w:rPr>
        <w:color w:val="C85A8A"/>
      </w:rPr>
    </w:lvl>
    <w:lvl w:ilvl="4" w15:tentative="1">
      <w:start w:val="1"/>
      <w:numFmt w:val="bullet"/>
      <w:lvlText w:val="◦"/>
      <w:lvlJc w:val="left"/>
      <w:pPr>
        <w:ind w:left="1800" w:hanging="240"/>
      </w:pPr>
      <w:rPr>
        <w:color w:val="C85A8A"/>
      </w:rPr>
    </w:lvl>
    <w:lvl w:ilvl="5" w15:tentative="1">
      <w:start w:val="1"/>
      <w:numFmt w:val="bullet"/>
      <w:lvlText w:val="–"/>
      <w:lvlJc w:val="left"/>
      <w:pPr>
        <w:ind w:left="2160" w:hanging="240"/>
      </w:pPr>
      <w:rPr>
        <w:color w:val="C85A8A"/>
      </w:rPr>
    </w:lvl>
    <w:lvl w:ilvl="6" w15:tentative="1">
      <w:start w:val="1"/>
      <w:numFmt w:val="bullet"/>
      <w:lvlText w:val="•"/>
      <w:lvlJc w:val="left"/>
      <w:pPr>
        <w:ind w:left="2520" w:hanging="240"/>
      </w:pPr>
      <w:rPr>
        <w:color w:val="C85A8A"/>
      </w:rPr>
    </w:lvl>
    <w:lvl w:ilvl="7" w15:tentative="1">
      <w:start w:val="1"/>
      <w:numFmt w:val="bullet"/>
      <w:lvlText w:val="◦"/>
      <w:lvlJc w:val="left"/>
      <w:pPr>
        <w:ind w:left="2880" w:hanging="240"/>
      </w:pPr>
      <w:rPr>
        <w:color w:val="C85A8A"/>
      </w:rPr>
    </w:lvl>
    <w:lvl w:ilvl="8" w15:tentative="1">
      <w:start w:val="1"/>
      <w:numFmt w:val="bullet"/>
      <w:lvlText w:val="–"/>
      <w:lvlJc w:val="left"/>
      <w:pPr>
        <w:ind w:left="3240" w:hanging="240"/>
      </w:pPr>
      <w:rPr>
        <w:color w:val="C85A8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  <w:rPr>
        <w:color w:val="C85A8A"/>
      </w:rPr>
    </w:lvl>
    <w:lvl w:ilvl="1" w15:tentative="1">
      <w:start w:val="1"/>
      <w:numFmt w:val="lowerLetter"/>
      <w:lvlText w:val="%2."/>
      <w:lvlJc w:val="left"/>
      <w:pPr>
        <w:ind w:left="720" w:hanging="240"/>
      </w:pPr>
      <w:rPr>
        <w:color w:val="C85A8A"/>
      </w:rPr>
    </w:lvl>
    <w:lvl w:ilvl="2" w15:tentative="1">
      <w:start w:val="1"/>
      <w:numFmt w:val="lowerRoman"/>
      <w:lvlText w:val="%3."/>
      <w:lvlJc w:val="left"/>
      <w:pPr>
        <w:ind w:left="1080" w:hanging="240"/>
      </w:pPr>
      <w:rPr>
        <w:color w:val="C85A8A"/>
      </w:rPr>
    </w:lvl>
    <w:lvl w:ilvl="3" w15:tentative="1">
      <w:start w:val="1"/>
      <w:numFmt w:val="decimal"/>
      <w:lvlText w:val="%4."/>
      <w:lvlJc w:val="left"/>
      <w:pPr>
        <w:ind w:left="1440" w:hanging="240"/>
      </w:pPr>
      <w:rPr>
        <w:color w:val="C85A8A"/>
      </w:rPr>
    </w:lvl>
    <w:lvl w:ilvl="4" w15:tentative="1">
      <w:start w:val="1"/>
      <w:numFmt w:val="lowerLetter"/>
      <w:lvlText w:val="%5."/>
      <w:lvlJc w:val="left"/>
      <w:pPr>
        <w:ind w:left="1800" w:hanging="240"/>
      </w:pPr>
      <w:rPr>
        <w:color w:val="C85A8A"/>
      </w:rPr>
    </w:lvl>
    <w:lvl w:ilvl="5" w15:tentative="1">
      <w:start w:val="1"/>
      <w:numFmt w:val="lowerRoman"/>
      <w:lvlText w:val="%6."/>
      <w:lvlJc w:val="left"/>
      <w:pPr>
        <w:ind w:left="2160" w:hanging="240"/>
      </w:pPr>
      <w:rPr>
        <w:color w:val="C85A8A"/>
      </w:rPr>
    </w:lvl>
    <w:lvl w:ilvl="6" w15:tentative="1">
      <w:start w:val="1"/>
      <w:numFmt w:val="decimal"/>
      <w:lvlText w:val="%7."/>
      <w:lvlJc w:val="left"/>
      <w:pPr>
        <w:ind w:left="2520" w:hanging="240"/>
      </w:pPr>
      <w:rPr>
        <w:color w:val="C85A8A"/>
      </w:rPr>
    </w:lvl>
    <w:lvl w:ilvl="7" w15:tentative="1">
      <w:start w:val="1"/>
      <w:numFmt w:val="lowerLetter"/>
      <w:lvlText w:val="%8."/>
      <w:lvlJc w:val="left"/>
      <w:pPr>
        <w:ind w:left="2880" w:hanging="240"/>
      </w:pPr>
      <w:rPr>
        <w:color w:val="C85A8A"/>
      </w:rPr>
    </w:lvl>
    <w:lvl w:ilvl="8" w15:tentative="1">
      <w:start w:val="1"/>
      <w:numFmt w:val="lowerRoman"/>
      <w:lvlText w:val="%9."/>
      <w:lvlJc w:val="left"/>
      <w:pPr>
        <w:ind w:left="3240" w:hanging="240"/>
      </w:pPr>
      <w:rPr>
        <w:color w:val="C85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2B2340"/>
        <w:sz w:val="19"/>
        <w:szCs w:val="19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240" w:before="0" w:line="264"/>
      <w:outlineLvl w:val="1"/>
    </w:pPr>
    <w:rPr>
      <w:rFonts w:ascii="Calistoga" w:cs="Calistoga" w:eastAsia="Calistoga" w:hAnsi="Calistoga"/>
      <w:b w:val="false"/>
      <w:bCs w:val="false"/>
      <w:i w:val="false"/>
      <w:iCs w:val="false"/>
      <w:color w:val="2F2450"/>
      <w:sz w:val="40"/>
      <w:szCs w:val="40"/>
    </w:rPr>
  </w:style>
  <w:style w:type="paragraph" w:styleId="Heading3">
    <w:name w:val="Heading 3"/>
    <w:basedOn w:val="Normal"/>
    <w:next w:val="Normal"/>
    <w:qFormat/>
    <w:pPr>
      <w:keepNext/>
      <w:pBdr>
        <w:bottom w:val="single" w:color="E17B9E" w:sz="6" w:space="3"/>
      </w:pBdr>
      <w:spacing w:after="120" w:before="280" w:line="264"/>
      <w:outlineLvl w:val="2"/>
    </w:pPr>
    <w:rPr>
      <w:rFonts w:ascii="Roboto" w:cs="Roboto" w:eastAsia="Roboto" w:hAnsi="Roboto"/>
      <w:b/>
      <w:bCs/>
      <w:i w:val="false"/>
      <w:iCs w:val="false"/>
      <w:color w:val="2F245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 w:line="264"/>
      <w:outlineLvl w:val="3"/>
    </w:pPr>
    <w:rPr>
      <w:rFonts w:ascii="Roboto" w:cs="Roboto" w:eastAsia="Roboto" w:hAnsi="Roboto"/>
      <w:b/>
      <w:bCs/>
      <w:i w:val="false"/>
      <w:iCs w:val="false"/>
      <w:color w:val="4A3A78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88"/>
    </w:pPr>
    <w:rPr>
      <w:rFonts w:ascii="Roboto" w:cs="Roboto" w:eastAsia="Roboto" w:hAnsi="Roboto"/>
      <w:color w:val="2B2340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7ljqa3adijwyqlxrklgrn" Type="http://schemas.openxmlformats.org/officeDocument/2006/relationships/hyperlink" Target="https://cogni.zone" TargetMode="External"/><Relationship Id="rId5sy6hywf-sobfuzsspvdk" Type="http://schemas.openxmlformats.org/officeDocument/2006/relationships/hyperlink" Target="https://cogni.zone" TargetMode="External"/><Relationship Id="rId11" Type="http://schemas.openxmlformats.org/officeDocument/2006/relationships/image" Target="media/0e001c46d9ff1aa510d7f4b5a297a9376ade0c9e.png"/><Relationship Id="rId12" Type="http://schemas.openxmlformats.org/officeDocument/2006/relationships/image" Target="media/40f9040c24a96f91857436824ab38e1c292025c7.png"/><Relationship Id="rId13" Type="http://schemas.openxmlformats.org/officeDocument/2006/relationships/image" Target="media/6763c4d0613a17de958868dd6f5da611d4a04701.png"/><Relationship Id="rId14" Type="http://schemas.openxmlformats.org/officeDocument/2006/relationships/image" Target="media/496ca95f941acd8e9849a8d5aa0262da155a04d3.png"/><Relationship Id="rId15" Type="http://schemas.openxmlformats.org/officeDocument/2006/relationships/image" Target="media/75f56a602a59cd62589cd4e0cdcecfe6db0de1d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e001c46d9ff1aa510d7f4b5a297a9376ade0c9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0e001c46d9ff1aa510d7f4b5a297a9376ade0c9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2026-10-28T09:46:56.682Z</dcterms:created>
  <dcterms:modified xsi:type="dcterms:W3CDTF">2026-10-28T09:46:56.682Z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