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400" w:line="240"/>
      </w:pPr>
      <w:r>
        <w:drawing>
          <wp:inline distT="0" distB="0" distL="0" distR="0">
            <wp:extent cx="415011" cy="48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11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pacing w:val="286"/>
          <w:sz w:val="40"/>
          <w:szCs w:val="40"/>
        </w:rPr>
        <w:t xml:space="preserve"> </w:t>
      </w:r>
      <w:r>
        <w:rPr>
          <w:rFonts w:ascii="Roboto" w:cs="Roboto" w:eastAsia="Roboto" w:hAnsi="Roboto"/>
          <w:b/>
          <w:bCs/>
          <w:color w:val="2F2450"/>
          <w:position w:val="24"/>
          <w:sz w:val="40"/>
          <w:szCs w:val="40"/>
        </w:rPr>
        <w:t xml:space="preserve">Cognizone</w:t>
      </w:r>
    </w:p>
    <w:p>
      <w:pPr>
        <w:spacing w:after="240" w:line="240"/>
      </w:pPr>
      <w:r>
        <w:rPr>
          <w:rFonts w:ascii="Roboto Mono" w:cs="Roboto Mono" w:eastAsia="Roboto Mono" w:hAnsi="Roboto Mono"/>
          <w:color w:val="C85A8A"/>
          <w:spacing w:val="60"/>
          <w:sz w:val="18"/>
          <w:szCs w:val="18"/>
        </w:rPr>
        <w:t xml:space="preserve">COGNIZONE / SPEC</w:t>
      </w:r>
    </w:p>
    <w:p>
      <w:pPr>
        <w:spacing w:after="0" w:line="264"/>
      </w:pPr>
      <w:r>
        <w:rPr>
          <w:rFonts w:ascii="Calistoga" w:cs="Calistoga" w:eastAsia="Calistoga" w:hAnsi="Calistoga"/>
          <w:color w:val="2F2450"/>
          <w:sz w:val="64"/>
          <w:szCs w:val="64"/>
        </w:rPr>
        <w:t xml:space="preserve">Test Document: All Formatting Features</w:t>
      </w:r>
    </w:p>
    <w:p>
      <w:pPr>
        <w:spacing w:after="400" w:line="264"/>
      </w:pPr>
      <w:r>
        <w:rPr>
          <w:rFonts w:ascii="Calistoga" w:cs="Calistoga" w:eastAsia="Calistoga" w:hAnsi="Calistoga"/>
          <w:color w:val="C85A8A"/>
          <w:sz w:val="64"/>
          <w:szCs w:val="64"/>
        </w:rPr>
        <w:t xml:space="preserve">Second title line</w:t>
      </w:r>
    </w:p>
    <w:p>
      <w:pPr>
        <w:spacing w:after="600" w:line="320"/>
      </w:pPr>
      <w:r>
        <w:rPr>
          <w:rFonts w:ascii="Roboto" w:cs="Roboto" w:eastAsia="Roboto" w:hAnsi="Roboto"/>
          <w:color w:val="4A3A78"/>
          <w:sz w:val="24"/>
          <w:szCs w:val="24"/>
        </w:rPr>
        <w:t xml:space="preserve">Cover summary paragraph.</w:t>
      </w:r>
    </w:p>
    <w:tbl>
      <w:tblPr>
        <w:tblW w:type="dxa" w:w="5782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  <w:tblLayout w:type="fixed"/>
      </w:tblPr>
      <w:tblGrid>
        <w:gridCol w:w="1927"/>
        <w:gridCol w:w="3855"/>
      </w:tblGrid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TEST-001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TYPE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spec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STATUS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VERSION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DATE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2026-03-12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AUTHOR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Cognizone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CLIENT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ERA — European Union Agency for Railways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PROJECT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REG+</w:t>
            </w:r>
          </w:p>
        </w:tc>
      </w:tr>
    </w:tbl>
    <w:p>
      <w:pPr>
        <w:framePr w:w="9637" w:h="0" w:hAnchor="margin" w:vAnchor="margin" w:hRule="auto" w:xAlign="left" w:yAlign="bottom"/>
        <w:spacing w:after="60" w:before="0" w:line="240"/>
      </w:pPr>
      <w:r>
        <w:rPr>
          <w:rFonts w:ascii="Roboto" w:cs="Roboto" w:eastAsia="Roboto" w:hAnsi="Roboto"/>
          <w:color w:val="6B6185"/>
          <w:sz w:val="17"/>
          <w:szCs w:val="17"/>
        </w:rPr>
        <w:t xml:space="preserve">Cognizone BV · Avenue Arnaud Fraiteur 15-23, 1050 Ixelles, Belgium · BE 0634.615.174</w:t>
      </w:r>
    </w:p>
    <w:p>
      <w:pPr>
        <w:framePr w:w="9637" w:h="0" w:hAnchor="margin" w:vAnchor="margin" w:hRule="auto" w:xAlign="left" w:yAlign="bottom"/>
        <w:spacing w:after="0" w:before="0" w:line="240"/>
      </w:pPr>
      <w:r>
        <w:rPr>
          <w:rFonts w:ascii="Roboto Mono" w:cs="Roboto Mono" w:eastAsia="Roboto Mono" w:hAnsi="Roboto Mono"/>
          <w:color w:val="6B6185"/>
          <w:sz w:val="16"/>
          <w:szCs w:val="16"/>
        </w:rPr>
        <w:t xml:space="preserve">2026-03-12 · Confidential</w:t>
      </w:r>
    </w:p>
    <w:p>
      <w:pPr>
        <w:sectPr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spacing w:after="200" w:line="240"/>
      </w:pPr>
      <w:r>
        <w:rPr>
          <w:rFonts w:ascii="Roboto Mono" w:cs="Roboto Mono" w:eastAsia="Roboto Mono" w:hAnsi="Roboto Mono"/>
          <w:b/>
          <w:bCs/>
          <w:color w:val="C85A8A"/>
          <w:spacing w:val="60"/>
          <w:sz w:val="17"/>
          <w:szCs w:val="17"/>
        </w:rPr>
        <w:t xml:space="preserve">CONTENTS</w:t>
      </w:r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r>
        <w:fldChar w:fldCharType="begin"/>
      </w:r>
      <w:r>
        <w:instrText xml:space="preserve"> TOC \o "2-4" \h \z </w:instrText>
      </w:r>
      <w:r>
        <w:fldChar w:fldCharType="separate"/>
      </w:r>
      <w:hyperlink w:history="1" w:anchor="_toc_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Status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Simple Paragraphs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03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Code Blocks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4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04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Tables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5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4.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Simple Table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6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4.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Table With Inline Formatting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05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8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5.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Unordered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9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5.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0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5.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Mixed Nesting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06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Blockquotes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07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Images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08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Mermaid Diagrams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4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8.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Flowchart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5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8.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Sequence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6"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8.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Sized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09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Horizontal Rules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8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10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Headings Hierarchy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9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0.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Third-Level Heading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834"/>
      </w:pPr>
      <w:hyperlink w:history="1" w:anchor="_toc_20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0.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Fourth-Level Heading H4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1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0.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Another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Edge Cases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3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Empty Table Cells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4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Long Content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Adjacent 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</w:t>
        </w:r>
        <w:r>
          <w:rPr>
            <w:rFonts w:ascii="Roboto Mono" w:cs="Roboto Mono" w:eastAsia="Roboto Mono" w:hAnsi="Roboto Mono"/>
            <w:color w:val="6B6185"/>
            <w:spacing w:val="-22"/>
            <w:sz w:val="15"/>
            <w:szCs w:val="15"/>
          </w:rPr>
          <w:t xml:space="preserve">1.</w:t>
        </w:r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4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Special Characters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2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Summary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  <w:r>
        <w:fldChar w:fldCharType="end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01</w:t>
      </w:r>
    </w:p>
    <w:p>
      <w:pPr>
        <w:pStyle w:val="Heading2"/>
        <w:keepNext/>
        <w:keepLines/>
      </w:pPr>
      <w:bookmarkStart w:name="_toc_1" w:id="1"/>
      <w:r>
        <w:t xml:space="preserve">Status</w:t>
      </w:r>
      <w:bookmarkEnd w:id="1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Draft — created to verify all rendering features across PDF and DOCX output.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02</w:t>
      </w:r>
    </w:p>
    <w:p>
      <w:pPr>
        <w:pStyle w:val="Heading2"/>
        <w:keepNext/>
        <w:keepLines/>
      </w:pPr>
      <w:bookmarkStart w:name="_toc_2" w:id="2"/>
      <w:r>
        <w:t xml:space="preserve">Simple Paragraphs</w:t>
      </w:r>
      <w:bookmarkEnd w:id="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is a regular paragraph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2B2340"/>
          <w:sz w:val="19"/>
          <w:szCs w:val="19"/>
        </w:rPr>
        <w:t xml:space="preserve">bold 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combined. It also includes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inline code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and a </w:t>
      </w:r>
      <w:hyperlink w:history="1" r:id="rId6lk_sroe6sisgrbbwjijr">
        <w:r>
          <w:rPr>
            <w:rFonts w:ascii="Roboto" w:cs="Roboto" w:eastAsia="Roboto" w:hAnsi="Roboto"/>
            <w:color w:val="3D6BB8"/>
            <w:sz w:val="19"/>
            <w:szCs w:val="19"/>
          </w:rPr>
          <w:t xml:space="preserve">hyperlink</w:t>
        </w:r>
      </w:hyperlink>
      <w:r>
        <w:rPr>
          <w:rFonts w:ascii="Roboto" w:cs="Roboto" w:eastAsia="Roboto" w:hAnsi="Roboto"/>
          <w:color w:val="2B2340"/>
          <w:sz w:val="19"/>
          <w:szCs w:val="19"/>
        </w:rPr>
        <w:t xml:space="preserve"> to verify inline formatting.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LongCodeSpanThatMightBeInteresting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test inline code styling.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03</w:t>
      </w:r>
    </w:p>
    <w:p>
      <w:pPr>
        <w:pStyle w:val="Heading2"/>
        <w:keepNext/>
        <w:keepLines/>
      </w:pPr>
      <w:bookmarkStart w:name="_toc_3" w:id="3"/>
      <w:r>
        <w:t xml:space="preserve">Code Blocks</w:t>
      </w:r>
      <w:bookmarkEnd w:id="3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function greet(name) {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const message = `Hello, ${name}!`;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console.log(message);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return message;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}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// Call it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No language specified here.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Just plain preformatted text.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Code with angle brackets and ampersands (must not be dropped as HTML):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PREFIX eurio: &lt;http://data.europa.eu/s66#&gt;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SELECT ?s WHERE { ?s a &lt;http://ex/#Thing&gt; . FILTER(?a &gt; 1 &amp;&amp; ?b &lt; 2) }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Inline code with brackets: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&lt;html&gt;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&amp;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a &lt; b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04</w:t>
      </w:r>
    </w:p>
    <w:p>
      <w:pPr>
        <w:pStyle w:val="Heading2"/>
        <w:keepNext/>
        <w:keepLines/>
      </w:pPr>
      <w:bookmarkStart w:name="_toc_4" w:id="4"/>
      <w:r>
        <w:t xml:space="preserve">Tables</w:t>
      </w:r>
      <w:bookmarkEnd w:id="4"/>
    </w:p>
    <w:p>
      <w:pPr>
        <w:pStyle w:val="Heading3"/>
        <w:keepNext/>
        <w:keepLines/>
      </w:pPr>
      <w:bookmarkStart w:name="_toc_5" w:id="5"/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4.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Simple Table</w:t>
      </w:r>
      <w:bookmarkEnd w:id="5"/>
    </w:p>
    <w:p>
      <w:pPr>
        <w:keepNext/>
        <w:spacing w:after="0" w:before="0" w:line="240" w:lineRule="exact"/>
      </w:pPr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6" w:id="6"/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4.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Table With Inline Formatting</w:t>
      </w:r>
      <w:bookmarkEnd w:id="6"/>
    </w:p>
    <w:p>
      <w:pPr>
        <w:keepNext/>
        <w:spacing w:after="0" w:before="0" w:line="240" w:lineRule="exact"/>
      </w:pPr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Feature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 header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Uses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 note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Links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See </w:t>
            </w:r>
            <w:hyperlink w:history="1" r:id="rIdsatqhy5slondk1wnabyan">
              <w:r>
                <w:rPr>
                  <w:rFonts w:ascii="Roboto" w:cs="Roboto" w:eastAsia="Roboto" w:hAnsi="Roboto"/>
                  <w:color w:val="3D6BB8"/>
                  <w:sz w:val="17"/>
                  <w:szCs w:val="17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Mixed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pending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and </w:t>
            </w: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05</w:t>
      </w:r>
    </w:p>
    <w:p>
      <w:pPr>
        <w:pStyle w:val="Heading2"/>
        <w:keepNext/>
        <w:keepLines/>
      </w:pPr>
      <w:bookmarkStart w:name="_toc_7" w:id="7"/>
      <w:r>
        <w:t xml:space="preserve">Lists</w:t>
      </w:r>
      <w:bookmarkEnd w:id="7"/>
    </w:p>
    <w:p>
      <w:pPr>
        <w:pStyle w:val="Heading3"/>
        <w:keepNext/>
        <w:keepLines/>
      </w:pPr>
      <w:bookmarkStart w:name="_toc_8" w:id="8"/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5.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Unordered List</w:t>
      </w:r>
      <w:bookmarkEnd w:id="8"/>
    </w:p>
    <w:p>
      <w:pPr>
        <w:keepNext/>
        <w:spacing w:after="0" w:before="0" w:line="240" w:lineRule="exact"/>
      </w:pP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item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item with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item</w:t>
      </w:r>
    </w:p>
    <w:p>
      <w:pPr>
        <w:pStyle w:val="Heading3"/>
        <w:keepNext/>
        <w:keepLines/>
      </w:pPr>
      <w:bookmarkStart w:name="_toc_9" w:id="9"/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5.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Ordered List</w:t>
      </w:r>
      <w:bookmarkEnd w:id="9"/>
    </w:p>
    <w:p>
      <w:pPr>
        <w:keepNext/>
        <w:spacing w:after="0" w:before="0" w:line="240" w:lineRule="exact"/>
      </w:pP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step with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step</w:t>
      </w:r>
    </w:p>
    <w:p>
      <w:pPr>
        <w:pStyle w:val="Heading3"/>
        <w:keepNext/>
        <w:keepLines/>
      </w:pPr>
      <w:bookmarkStart w:name="_toc_10" w:id="10"/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5.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3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Mixed Nesting</w:t>
      </w:r>
      <w:bookmarkEnd w:id="10"/>
    </w:p>
    <w:p>
      <w:pPr>
        <w:keepNext/>
        <w:spacing w:after="0" w:before="0" w:line="240" w:lineRule="exact"/>
      </w:pP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grandchild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06</w:t>
      </w:r>
    </w:p>
    <w:p>
      <w:pPr>
        <w:pStyle w:val="Heading2"/>
        <w:keepNext/>
        <w:keepLines/>
      </w:pPr>
      <w:bookmarkStart w:name="_toc_11" w:id="11"/>
      <w:r>
        <w:t xml:space="preserve">Blockquotes</w:t>
      </w:r>
      <w:bookmarkEnd w:id="11"/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This is a simple blockquote to verify italic styling and the green left border.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Multi-line blockquote that spans more than one line to verify that longer
content wraps properly and maintains consistent styling throughout.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b/>
                <w:bCs/>
                <w:i/>
                <w:iCs/>
                <w:color w:val="4A3A78"/>
                <w:sz w:val="19"/>
                <w:szCs w:val="19"/>
              </w:rPr>
              <w:t xml:space="preserve">Sources: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two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07</w:t>
      </w:r>
    </w:p>
    <w:p>
      <w:pPr>
        <w:pStyle w:val="Heading2"/>
        <w:keepNext/>
        <w:keepLines/>
      </w:pPr>
      <w:bookmarkStart w:name="_toc_12" w:id="12"/>
      <w:r>
        <w:t xml:space="preserve">Images</w:t>
      </w:r>
      <w:bookmarkEnd w:id="1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 inline image reference:</w:t>
      </w:r>
    </w:p>
    <w:p>
      <w:pPr>
        <w:spacing w:after="120" w:line="288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08</w:t>
      </w:r>
    </w:p>
    <w:p>
      <w:pPr>
        <w:pStyle w:val="Heading2"/>
        <w:keepNext/>
        <w:keepLines/>
      </w:pPr>
      <w:bookmarkStart w:name="_toc_13" w:id="13"/>
      <w:r>
        <w:t xml:space="preserve">Mermaid Diagrams</w:t>
      </w:r>
      <w:bookmarkEnd w:id="13"/>
    </w:p>
    <w:p>
      <w:pPr>
        <w:pStyle w:val="Heading3"/>
        <w:keepNext/>
        <w:keepLines/>
      </w:pPr>
      <w:bookmarkStart w:name="_toc_14" w:id="14"/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8.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Flowchart</w:t>
      </w:r>
      <w:bookmarkEnd w:id="14"/>
    </w:p>
    <w:p>
      <w:pPr>
        <w:keepNext/>
        <w:spacing w:after="0" w:before="0" w:line="240" w:lineRule="exact"/>
      </w:pP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5" w:id="15"/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8.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Sequence Diagram</w:t>
      </w:r>
      <w:bookmarkEnd w:id="15"/>
    </w:p>
    <w:p>
      <w:pPr>
        <w:keepNext/>
        <w:spacing w:after="0" w:before="0" w:line="240" w:lineRule="exact"/>
      </w:pP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6" w:id="16"/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8.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3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Sized Diagram</w:t>
      </w:r>
      <w:bookmarkEnd w:id="16"/>
    </w:p>
    <w:p>
      <w:pPr>
        <w:keepNext/>
        <w:spacing w:after="0" w:before="0" w:line="240" w:lineRule="exact"/>
      </w:pP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09</w:t>
      </w:r>
    </w:p>
    <w:p>
      <w:pPr>
        <w:pStyle w:val="Heading2"/>
        <w:keepNext/>
        <w:keepLines/>
      </w:pPr>
      <w:bookmarkStart w:name="_toc_17" w:id="17"/>
      <w:r>
        <w:t xml:space="preserve">Horizontal Rules</w:t>
      </w:r>
      <w:bookmarkEnd w:id="1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above the rule.</w:t>
      </w:r>
    </w:p>
    <w:p>
      <w:pPr>
        <w:pBdr>
          <w:bottom w:val="single" w:color="E2D8CB" w:sz="4"/>
        </w:pBdr>
        <w:spacing w:after="200" w:before="20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below the rule.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10</w:t>
      </w:r>
    </w:p>
    <w:p>
      <w:pPr>
        <w:pStyle w:val="Heading2"/>
        <w:keepNext/>
        <w:keepLines/>
      </w:pPr>
      <w:bookmarkStart w:name="_toc_18" w:id="18"/>
      <w:r>
        <w:t xml:space="preserve">Headings Hierarchy</w:t>
      </w:r>
      <w:bookmarkEnd w:id="18"/>
    </w:p>
    <w:p>
      <w:pPr>
        <w:pStyle w:val="Heading3"/>
        <w:keepNext/>
        <w:keepLines/>
      </w:pPr>
      <w:bookmarkStart w:name="_toc_19" w:id="19"/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0.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Third-Level Heading (H3)</w:t>
      </w:r>
      <w:bookmarkEnd w:id="19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H3 to verify green color and section numbering.</w:t>
      </w:r>
    </w:p>
    <w:p>
      <w:pPr>
        <w:pStyle w:val="Heading4"/>
        <w:keepNext/>
        <w:keepLines/>
      </w:pPr>
      <w:bookmarkStart w:name="_toc_20" w:id="20"/>
      <w:r>
        <w:rPr>
          <w:rFonts w:ascii="Roboto Mono" w:cs="Roboto Mono" w:eastAsia="Roboto Mono" w:hAnsi="Roboto Mono"/>
          <w:b/>
          <w:bCs/>
          <w:color w:val="C85A8A"/>
          <w:sz w:val="18"/>
          <w:szCs w:val="18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-27"/>
          <w:sz w:val="18"/>
          <w:szCs w:val="18"/>
        </w:rPr>
        <w:t xml:space="preserve">0.</w:t>
      </w:r>
      <w:r>
        <w:rPr>
          <w:rFonts w:ascii="Roboto Mono" w:cs="Roboto Mono" w:eastAsia="Roboto Mono" w:hAnsi="Roboto Mono"/>
          <w:b/>
          <w:bCs/>
          <w:color w:val="C85A8A"/>
          <w:spacing w:val="-27"/>
          <w:sz w:val="18"/>
          <w:szCs w:val="18"/>
        </w:rPr>
        <w:t xml:space="preserve">1.</w:t>
      </w:r>
      <w:r>
        <w:rPr>
          <w:rFonts w:ascii="Roboto Mono" w:cs="Roboto Mono" w:eastAsia="Roboto Mono" w:hAnsi="Roboto Mono"/>
          <w:b/>
          <w:bCs/>
          <w:color w:val="C85A8A"/>
          <w:sz w:val="18"/>
          <w:szCs w:val="18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72"/>
          <w:sz w:val="18"/>
          <w:szCs w:val="18"/>
        </w:rPr>
        <w:t xml:space="preserve"> </w:t>
      </w:r>
      <w:r>
        <w:t xml:space="preserve">Fourth-Level Heading (H4)</w:t>
      </w:r>
      <w:bookmarkEnd w:id="20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H4 to verify dark2 color and deeper numbering (e.g. 7.1.1).</w:t>
      </w:r>
    </w:p>
    <w:p>
      <w:pPr>
        <w:pStyle w:val="Heading3"/>
        <w:keepNext/>
        <w:keepLines/>
      </w:pPr>
      <w:bookmarkStart w:name="_toc_21" w:id="21"/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0.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Another H3</w:t>
      </w:r>
      <w:bookmarkEnd w:id="21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Back to H3 to verify counter resets properly.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11</w:t>
      </w:r>
    </w:p>
    <w:p>
      <w:pPr>
        <w:pStyle w:val="Heading2"/>
        <w:keepNext/>
        <w:keepLines/>
      </w:pPr>
      <w:bookmarkStart w:name="_toc_22" w:id="22"/>
      <w:r>
        <w:t xml:space="preserve">Edge Cases</w:t>
      </w:r>
      <w:bookmarkEnd w:id="22"/>
    </w:p>
    <w:p>
      <w:pPr>
        <w:pStyle w:val="Heading3"/>
        <w:keepNext/>
        <w:keepLines/>
      </w:pPr>
      <w:bookmarkStart w:name="_toc_23" w:id="23"/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1.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Empty Table Cells</w:t>
      </w:r>
      <w:bookmarkEnd w:id="23"/>
    </w:p>
    <w:p>
      <w:pPr>
        <w:keepNext/>
        <w:spacing w:after="0" w:before="0" w:line="240" w:lineRule="exact"/>
      </w:pPr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Has Content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Empty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Also Empty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24" w:id="24"/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1.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2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Long Content</w:t>
      </w:r>
      <w:bookmarkEnd w:id="24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verify how both renderers handle overflow.</w:t>
      </w:r>
    </w:p>
    <w:p>
      <w:pPr>
        <w:pStyle w:val="Heading3"/>
        <w:keepNext/>
        <w:keepLines/>
      </w:pPr>
      <w:bookmarkStart w:name="_toc_25" w:id="25"/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1.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3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Adjacent Lists</w:t>
      </w:r>
      <w:bookmarkEnd w:id="25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Beta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Delta</w:t>
      </w:r>
    </w:p>
    <w:p>
      <w:pPr>
        <w:pStyle w:val="Heading3"/>
        <w:keepNext/>
        <w:keepLines/>
      </w:pPr>
      <w:bookmarkStart w:name="_toc_26" w:id="26"/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1</w:t>
      </w:r>
      <w:r>
        <w:rPr>
          <w:rFonts w:ascii="Roboto Mono" w:cs="Roboto Mono" w:eastAsia="Roboto Mono" w:hAnsi="Roboto Mono"/>
          <w:b/>
          <w:bCs/>
          <w:color w:val="C85A8A"/>
          <w:spacing w:val="-30"/>
          <w:sz w:val="20"/>
          <w:szCs w:val="20"/>
        </w:rPr>
        <w:t xml:space="preserve">1.</w:t>
      </w:r>
      <w:r>
        <w:rPr>
          <w:rFonts w:ascii="Roboto Mono" w:cs="Roboto Mono" w:eastAsia="Roboto Mono" w:hAnsi="Roboto Mono"/>
          <w:b/>
          <w:bCs/>
          <w:color w:val="C85A8A"/>
          <w:sz w:val="20"/>
          <w:szCs w:val="20"/>
        </w:rPr>
        <w:t xml:space="preserve">4</w:t>
      </w:r>
      <w:r>
        <w:rPr>
          <w:rFonts w:ascii="Roboto Mono" w:cs="Roboto Mono" w:eastAsia="Roboto Mono" w:hAnsi="Roboto Mono"/>
          <w:b/>
          <w:bCs/>
          <w:color w:val="C85A8A"/>
          <w:spacing w:val="60"/>
          <w:sz w:val="20"/>
          <w:szCs w:val="20"/>
        </w:rPr>
        <w:t xml:space="preserve"> </w:t>
      </w:r>
      <w:r>
        <w:t xml:space="preserve">Special Characters</w:t>
      </w:r>
      <w:bookmarkEnd w:id="26"/>
    </w:p>
    <w:p>
      <w:pPr>
        <w:keepNext/>
        <w:spacing w:after="0" w:before="0" w:line="240" w:lineRule="exact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Ampersand &amp; angle brackets &lt; &gt; and quotes "double" 'single' plus an em dash — and ellipsis... should all render correctly.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12</w:t>
      </w:r>
    </w:p>
    <w:p>
      <w:pPr>
        <w:pStyle w:val="Heading2"/>
        <w:keepNext/>
        <w:keepLines/>
      </w:pPr>
      <w:bookmarkStart w:name="_toc_27" w:id="27"/>
      <w:r>
        <w:t xml:space="preserve">Summary</w:t>
      </w:r>
      <w:bookmarkEnd w:id="2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03483" cy="12192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483" cy="121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pacing w:val="54"/>
        <w:sz w:val="17"/>
        <w:szCs w:val="17"/>
      </w:rPr>
      <w:t xml:space="preserve"> </w:t>
    </w:r>
    <w:r>
      <w:rPr>
        <w:rFonts w:ascii="Roboto" w:cs="Roboto" w:eastAsia="Roboto" w:hAnsi="Roboto"/>
        <w:b/>
        <w:bCs/>
        <w:color w:val="2F2450"/>
        <w:position w:val="4"/>
        <w:sz w:val="17"/>
        <w:szCs w:val="17"/>
      </w:rPr>
      <w:t xml:space="preserve">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03483" cy="12192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483" cy="121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pacing w:val="54"/>
        <w:sz w:val="17"/>
        <w:szCs w:val="17"/>
      </w:rPr>
      <w:t xml:space="preserve"> </w:t>
    </w:r>
    <w:r>
      <w:rPr>
        <w:rFonts w:ascii="Roboto" w:cs="Roboto" w:eastAsia="Roboto" w:hAnsi="Roboto"/>
        <w:b/>
        <w:bCs/>
        <w:color w:val="2F2450"/>
        <w:position w:val="4"/>
        <w:sz w:val="17"/>
        <w:szCs w:val="17"/>
      </w:rPr>
      <w:t xml:space="preserve">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85A8A"/>
        <w:position w:val="-6"/>
        <w:sz w:val="30"/>
        <w:szCs w:val="30"/>
      </w:rPr>
    </w:lvl>
    <w:lvl w:ilvl="1" w15:tentative="1">
      <w:start w:val="1"/>
      <w:numFmt w:val="bullet"/>
      <w:lvlText w:val="◦"/>
      <w:lvlJc w:val="left"/>
      <w:pPr>
        <w:ind w:left="720" w:hanging="240"/>
      </w:pPr>
      <w:rPr>
        <w:color w:val="C85A8A"/>
      </w:rPr>
    </w:lvl>
    <w:lvl w:ilvl="2" w15:tentative="1">
      <w:start w:val="1"/>
      <w:numFmt w:val="bullet"/>
      <w:lvlText w:val="–"/>
      <w:lvlJc w:val="left"/>
      <w:pPr>
        <w:ind w:left="1080" w:hanging="240"/>
      </w:pPr>
      <w:rPr>
        <w:color w:val="C85A8A"/>
      </w:rPr>
    </w:lvl>
    <w:lvl w:ilvl="3" w15:tentative="1">
      <w:start w:val="1"/>
      <w:numFmt w:val="bullet"/>
      <w:lvlText w:val="•"/>
      <w:lvlJc w:val="left"/>
      <w:pPr>
        <w:ind w:left="1440" w:hanging="240"/>
      </w:pPr>
      <w:rPr>
        <w:color w:val="C85A8A"/>
        <w:position w:val="-6"/>
        <w:sz w:val="30"/>
        <w:szCs w:val="30"/>
      </w:rPr>
    </w:lvl>
    <w:lvl w:ilvl="4" w15:tentative="1">
      <w:start w:val="1"/>
      <w:numFmt w:val="bullet"/>
      <w:lvlText w:val="◦"/>
      <w:lvlJc w:val="left"/>
      <w:pPr>
        <w:ind w:left="1800" w:hanging="240"/>
      </w:pPr>
      <w:rPr>
        <w:color w:val="C85A8A"/>
      </w:rPr>
    </w:lvl>
    <w:lvl w:ilvl="5" w15:tentative="1">
      <w:start w:val="1"/>
      <w:numFmt w:val="bullet"/>
      <w:lvlText w:val="–"/>
      <w:lvlJc w:val="left"/>
      <w:pPr>
        <w:ind w:left="2160" w:hanging="240"/>
      </w:pPr>
      <w:rPr>
        <w:color w:val="C85A8A"/>
      </w:rPr>
    </w:lvl>
    <w:lvl w:ilvl="6" w15:tentative="1">
      <w:start w:val="1"/>
      <w:numFmt w:val="bullet"/>
      <w:lvlText w:val="•"/>
      <w:lvlJc w:val="left"/>
      <w:pPr>
        <w:ind w:left="2520" w:hanging="240"/>
      </w:pPr>
      <w:rPr>
        <w:color w:val="C85A8A"/>
        <w:position w:val="-6"/>
        <w:sz w:val="30"/>
        <w:szCs w:val="30"/>
      </w:rPr>
    </w:lvl>
    <w:lvl w:ilvl="7" w15:tentative="1">
      <w:start w:val="1"/>
      <w:numFmt w:val="bullet"/>
      <w:lvlText w:val="◦"/>
      <w:lvlJc w:val="left"/>
      <w:pPr>
        <w:ind w:left="2880" w:hanging="240"/>
      </w:pPr>
      <w:rPr>
        <w:color w:val="C85A8A"/>
      </w:rPr>
    </w:lvl>
    <w:lvl w:ilvl="8" w15:tentative="1">
      <w:start w:val="1"/>
      <w:numFmt w:val="bullet"/>
      <w:lvlText w:val="–"/>
      <w:lvlJc w:val="left"/>
      <w:pPr>
        <w:ind w:left="3240" w:hanging="240"/>
      </w:pPr>
      <w:rPr>
        <w:color w:val="C85A8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2B2340"/>
        <w:sz w:val="19"/>
        <w:szCs w:val="19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240" w:before="0" w:line="264"/>
      <w:outlineLvl w:val="1"/>
    </w:pPr>
    <w:rPr>
      <w:rFonts w:ascii="Calistoga" w:cs="Calistoga" w:eastAsia="Calistoga" w:hAnsi="Calistoga"/>
      <w:b w:val="false"/>
      <w:bCs w:val="false"/>
      <w:i w:val="false"/>
      <w:iCs w:val="false"/>
      <w:color w:val="2F2450"/>
      <w:sz w:val="40"/>
      <w:szCs w:val="40"/>
    </w:rPr>
  </w:style>
  <w:style w:type="paragraph" w:styleId="Heading3">
    <w:name w:val="Heading 3"/>
    <w:basedOn w:val="Normal"/>
    <w:next w:val="Normal"/>
    <w:qFormat/>
    <w:pPr>
      <w:keepNext/>
      <w:pBdr>
        <w:bottom w:val="single" w:color="E17B9E" w:sz="6" w:space="3"/>
      </w:pBdr>
      <w:spacing w:after="0" w:before="280" w:line="264"/>
      <w:outlineLvl w:val="2"/>
    </w:pPr>
    <w:rPr>
      <w:rFonts w:ascii="Roboto" w:cs="Roboto" w:eastAsia="Roboto" w:hAnsi="Roboto"/>
      <w:b/>
      <w:bCs/>
      <w:i w:val="false"/>
      <w:iCs w:val="false"/>
      <w:color w:val="2F245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 w:line="264"/>
      <w:outlineLvl w:val="3"/>
    </w:pPr>
    <w:rPr>
      <w:rFonts w:ascii="Roboto" w:cs="Roboto" w:eastAsia="Roboto" w:hAnsi="Roboto"/>
      <w:b/>
      <w:bCs/>
      <w:i w:val="false"/>
      <w:iCs w:val="false"/>
      <w:color w:val="4A3A78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88"/>
    </w:pPr>
    <w:rPr>
      <w:rFonts w:ascii="Roboto" w:cs="Roboto" w:eastAsia="Roboto" w:hAnsi="Roboto"/>
      <w:color w:val="2B2340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6lk_sroe6sisgrbbwjijr" Type="http://schemas.openxmlformats.org/officeDocument/2006/relationships/hyperlink" Target="https://cogni.zone" TargetMode="External"/><Relationship Id="rIdsatqhy5slondk1wnabyan" Type="http://schemas.openxmlformats.org/officeDocument/2006/relationships/hyperlink" Target="https://cogni.zone" TargetMode="External"/><Relationship Id="rId11" Type="http://schemas.openxmlformats.org/officeDocument/2006/relationships/image" Target="media/969e9ac9ebb98bc4235bb1116ae0340bcecd89d8.png"/><Relationship Id="rId12" Type="http://schemas.openxmlformats.org/officeDocument/2006/relationships/image" Target="media/40f9040c24a96f91857436824ab38e1c292025c7.png"/><Relationship Id="rId13" Type="http://schemas.openxmlformats.org/officeDocument/2006/relationships/image" Target="media/6763c4d0613a17de958868dd6f5da611d4a04701.png"/><Relationship Id="rId14" Type="http://schemas.openxmlformats.org/officeDocument/2006/relationships/image" Target="media/496ca95f941acd8e9849a8d5aa0262da155a04d3.png"/><Relationship Id="rId15" Type="http://schemas.openxmlformats.org/officeDocument/2006/relationships/image" Target="media/75f56a602a59cd62589cd4e0cdcecfe6db0de1d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9e9ac9ebb98bc4235bb1116ae0340bcecd89d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969e9ac9ebb98bc4235bb1116ae0340bcecd89d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2026-10-30T21:32:36.776Z</dcterms:created>
  <dcterms:modified xsi:type="dcterms:W3CDTF">2026-10-30T21:32:36.776Z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