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637"/>
        </w:tabs>
        <w:spacing w:after="0"/>
      </w:pPr>
      <w:r>
        <w:drawing>
          <wp:inline distT="0" distB="0" distL="0" distR="0">
            <wp:extent cx="1238250" cy="25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25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Roboto" w:cs="Roboto" w:eastAsia="Roboto" w:hAnsi="Roboto"/>
          <w:sz w:val="18"/>
          <w:szCs w:val="18"/>
        </w:rPr>
        <w:t xml:space="preserve">	</w:t>
      </w:r>
      <w:hyperlink w:history="1" r:id="rId3u3gsjovoukir3omgy-vz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info@cogni.zone</w:t>
        </w:r>
      </w:hyperlink>
    </w:p>
    <w:p>
      <w:pPr>
        <w:spacing w:after="400"/>
        <w:jc w:val="right"/>
      </w:pPr>
      <w:hyperlink w:history="1" r:id="rId2nyitnsmszh4zt_qsnlwp">
        <w:r>
          <w:rPr>
            <w:rFonts w:ascii="Roboto" w:cs="Roboto" w:eastAsia="Roboto" w:hAnsi="Roboto"/>
            <w:color w:val="0563C1"/>
            <w:sz w:val="18"/>
            <w:szCs w:val="18"/>
          </w:rPr>
          <w:t xml:space="preserve">cogni.zone</w:t>
        </w:r>
      </w:hyperlink>
    </w:p>
    <w:p>
      <w:pPr>
        <w:spacing w:after="80"/>
      </w:pPr>
      <w:r>
        <w:rPr>
          <w:rFonts w:ascii="Roboto" w:cs="Roboto" w:eastAsia="Roboto" w:hAnsi="Roboto"/>
          <w:b/>
          <w:bCs/>
          <w:color w:val="058775"/>
          <w:spacing w:val="50"/>
          <w:sz w:val="26"/>
          <w:szCs w:val="26"/>
        </w:rPr>
        <w:t xml:space="preserve">TEST-001</w:t>
      </w:r>
    </w:p>
    <w:p>
      <w:pPr>
        <w:spacing w:after="480"/>
      </w:pPr>
      <w:r>
        <w:rPr>
          <w:rFonts w:ascii="Roboto" w:cs="Roboto" w:eastAsia="Roboto" w:hAnsi="Roboto"/>
          <w:b/>
          <w:bCs/>
          <w:color w:val="353744"/>
          <w:sz w:val="44"/>
          <w:szCs w:val="44"/>
        </w:rPr>
        <w:t xml:space="preserve">Test Document: All Formatting Features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ID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TEST-001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Document title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Test Document: All Formatting Features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Type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2026-03-12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Status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Version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1.2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Author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Cognizone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Client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ERA — European Union Agency for Railways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AF0F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b/>
                <w:bCs/>
                <w:color w:val="353744"/>
                <w:sz w:val="20"/>
                <w:szCs w:val="20"/>
              </w:rPr>
              <w:t xml:space="preserve">Project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/>
            </w:pPr>
            <w:r>
              <w:rPr>
                <w:rFonts w:ascii="Roboto" w:cs="Roboto" w:eastAsia="Roboto" w:hAnsi="Roboto"/>
                <w:color w:val="353744"/>
                <w:sz w:val="20"/>
                <w:szCs w:val="20"/>
              </w:rPr>
              <w:t xml:space="preserve">REG+</w:t>
            </w:r>
          </w:p>
        </w:tc>
      </w:tr>
    </w:tbl>
    <w:p>
      <w:pPr>
        <w:sectPr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pBdr>
          <w:bottom w:val="single" w:color="353744" w:sz="4"/>
        </w:pBdr>
        <w:spacing w:after="20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"2-4"</w:instrText>
            <w:fldChar w:fldCharType="separate"/>
          </w:r>
        </w:p>
        <w:p>
          <w:r>
            <w:fldChar w:fldCharType="end"/>
          </w:r>
        </w:p>
      </w:sdtContent>
    </w:sdt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17" w:right="1133" w:bottom="1133" w:left="1133" w:header="708" w:footer="708" w:gutter="0"/>
          <w:pgNumType/>
          <w:docGrid w:linePitch="360"/>
        </w:sectPr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Status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Draft — created to verify all rendering features across PDF and DOCX output.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Simple Paragraphs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is a regular paragraph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, and </w:t>
      </w:r>
      <w:r>
        <w:rPr>
          <w:rFonts w:ascii="Roboto" w:cs="Roboto" w:eastAsia="Roboto" w:hAnsi="Roboto"/>
          <w:b/>
          <w:bCs/>
          <w:i/>
          <w:iCs/>
          <w:color w:val="353744"/>
          <w:sz w:val="20"/>
          <w:szCs w:val="20"/>
        </w:rPr>
        <w:t xml:space="preserve">bold italic text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combined. It also includes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inline code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and a </w:t>
      </w:r>
      <w:hyperlink w:history="1" r:id="rIdboyf5etuwyeohlr-uolci">
        <w:r>
          <w:rPr>
            <w:rFonts w:ascii="Roboto" w:cs="Roboto" w:eastAsia="Roboto" w:hAnsi="Roboto"/>
            <w:b w:val="false"/>
            <w:bCs w:val="false"/>
            <w:i w:val="false"/>
            <w:iCs w:val="false"/>
            <w:color w:val="058775"/>
            <w:sz w:val="20"/>
            <w:szCs w:val="20"/>
          </w:rPr>
          <w:t xml:space="preserve">hyperlink</w:t>
        </w:r>
      </w:hyperlink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inline formatting.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Here is a second paragraph to verify spacing between paragraphs. It contains a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LongCodeSpanThatMightBeInteresting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test inline code styling.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3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Code Blocks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 a language tag: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function greet(name) {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const message = `Hello, ${name}!`;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console.log(message);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return message;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}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// Call it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greet('Cognizone');</w:t>
            </w:r>
          </w:p>
        </w:tc>
      </w:tr>
    </w:tbl>
    <w:p>
      <w:pPr>
        <w:spacing w:after="12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 without a language: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E0E0E0" w:sz="4"/>
              <w:left w:val="single" w:color="058775" w:sz="6"/>
              <w:bottom w:val="single" w:color="E0E0E0" w:sz="4"/>
              <w:right w:val="single" w:color="E0E0E0" w:sz="4"/>
            </w:tcBorders>
            <w:shd w:fill="F5F5F5" w:val="clear"/>
          </w:tcPr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No language specified here.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Just plain preformatted text.</w:t>
            </w:r>
          </w:p>
          <w:p>
            <w:pPr>
              <w:spacing w:line="276"/>
            </w:pPr>
            <w:r>
              <w:rPr>
                <w:rFonts w:ascii="Roboto Mono" w:cs="Roboto Mono" w:eastAsia="Roboto Mono" w:hAnsi="Roboto Mono"/>
                <w:color w:val="188038"/>
                <w:sz w:val="17"/>
                <w:szCs w:val="17"/>
              </w:rPr>
              <w:t xml:space="preserve">  With some indentation.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4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Tables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Simple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Column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1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2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3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4 C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A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B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Row 5 C</w:t>
            </w: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4.2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Table With Inline Formatting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Feature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 header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Uses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 note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Links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done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See </w:t>
            </w:r>
            <w:hyperlink w:history="1" r:id="rIdn_nc5f-vk_jepmvnve4as">
              <w:r>
                <w:rPr>
                  <w:rFonts w:ascii="Roboto" w:cs="Roboto" w:eastAsia="Roboto" w:hAnsi="Roboto"/>
                  <w:b w:val="false"/>
                  <w:bCs w:val="false"/>
                  <w:i w:val="false"/>
                  <w:iCs w:val="false"/>
                  <w:color w:val="058775"/>
                  <w:sz w:val="20"/>
                  <w:szCs w:val="20"/>
                </w:rPr>
                <w:t xml:space="preserve">cogni.zone</w:t>
              </w:r>
            </w:hyperlink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Mixed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pending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Has </w:t>
            </w: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353744"/>
                <w:sz w:val="20"/>
                <w:szCs w:val="20"/>
              </w:rPr>
              <w:t xml:space="preserve">bold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</w:t>
            </w:r>
            <w:r>
              <w:rPr>
                <w:rFonts w:ascii="Roboto" w:cs="Roboto" w:eastAsia="Roboto" w:hAnsi="Roboto"/>
                <w:b w:val="false"/>
                <w:bCs w:val="false"/>
                <w:i/>
                <w:iCs/>
                <w:color w:val="353744"/>
                <w:sz w:val="20"/>
                <w:szCs w:val="20"/>
              </w:rPr>
              <w:t xml:space="preserve">italic</w:t>
            </w: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, and </w:t>
            </w:r>
            <w:r>
              <w:rPr>
                <w:rFonts w:ascii="Roboto Mono" w:cs="Roboto Mono" w:eastAsia="Roboto Mono" w:hAnsi="Roboto Mono"/>
                <w:b w:val="false"/>
                <w:bCs w:val="false"/>
                <w:i w:val="false"/>
                <w:iCs w:val="false"/>
                <w:color w:val="188038"/>
                <w:sz w:val="18"/>
                <w:szCs w:val="18"/>
                <w:shd w:fill="F5F5F5" w:val="clear"/>
              </w:rPr>
              <w:t xml:space="preserve">code</w:t>
            </w:r>
          </w:p>
        </w:tc>
      </w:tr>
    </w:tbl>
    <w:p>
      <w:pPr>
        <w:spacing w:after="120"/>
      </w:pP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5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Lists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Unordered List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item with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0"/>
          <w:szCs w:val="20"/>
        </w:rPr>
        <w:t xml:space="preserve">bold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item with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code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one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Nested item two</w:t>
      </w:r>
    </w:p>
    <w:p>
      <w:pPr>
        <w:pStyle w:val="ListParagraph"/>
        <w:numPr>
          <w:ilvl w:val="2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Deeply nested item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item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Ordered List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step with </w:t>
      </w:r>
      <w:r>
        <w:rPr>
          <w:rFonts w:ascii="Roboto" w:cs="Roboto" w:eastAsia="Roboto" w:hAnsi="Roboto"/>
          <w:b w:val="false"/>
          <w:bCs w:val="false"/>
          <w:i/>
          <w:iCs/>
          <w:color w:val="353744"/>
          <w:sz w:val="20"/>
          <w:szCs w:val="20"/>
        </w:rPr>
        <w:t xml:space="preserve">emphasis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Third step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A</w:t>
      </w:r>
    </w:p>
    <w:p>
      <w:pPr>
        <w:pStyle w:val="ListParagraph"/>
        <w:numPr>
          <w:ilvl w:val="1"/>
          <w:numId w:val="4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Sub-step B</w:t>
      </w:r>
    </w:p>
    <w:p>
      <w:pPr>
        <w:pStyle w:val="ListParagraph"/>
        <w:numPr>
          <w:ilvl w:val="2"/>
          <w:numId w:val="5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Sub-sub-step</w:t>
      </w:r>
    </w:p>
    <w:p>
      <w:pPr>
        <w:pStyle w:val="ListParagraph"/>
        <w:numPr>
          <w:ilvl w:val="0"/>
          <w:numId w:val="3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Fourth step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5.3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Mixed Nesting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Unordered parent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one</w:t>
      </w:r>
    </w:p>
    <w:p>
      <w:pPr>
        <w:pStyle w:val="ListParagraph"/>
        <w:numPr>
          <w:ilvl w:val="1"/>
          <w:numId w:val="6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child two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Another unordered</w:t>
      </w:r>
    </w:p>
    <w:p>
      <w:pPr>
        <w:pStyle w:val="ListParagraph"/>
        <w:numPr>
          <w:ilvl w:val="1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Bullet child</w:t>
      </w:r>
    </w:p>
    <w:p>
      <w:pPr>
        <w:pStyle w:val="ListParagraph"/>
        <w:numPr>
          <w:ilvl w:val="2"/>
          <w:numId w:val="7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Ordered grandchild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6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Blockquotes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This is a simple blockquote to verify italic styling and the green left border.</w:t>
      </w:r>
    </w:p>
    <w:p>
      <w:pPr>
        <w:pBdr>
          <w:left w:val="single" w:color="058775" w:sz="8"/>
        </w:pBdr>
        <w:shd w:fill="F9F9F9" w:val="clear"/>
        <w:spacing w:after="120" w:line="360"/>
        <w:ind w:left="283"/>
      </w:pPr>
      <w:r>
        <w:rPr>
          <w:rFonts w:ascii="Roboto" w:cs="Roboto" w:eastAsia="Roboto" w:hAnsi="Roboto"/>
          <w:b w:val="false"/>
          <w:bCs w:val="false"/>
          <w:i/>
          <w:iCs/>
          <w:color w:val="666666"/>
          <w:sz w:val="20"/>
          <w:szCs w:val="20"/>
        </w:rPr>
        <w:t xml:space="preserve">Multi-line blockquote that spans more than one line to verify that longer
content wraps properly and maintains consistent styling throughout.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7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Images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An inline image reference:</w:t>
      </w:r>
    </w:p>
    <w:p>
      <w:pPr>
        <w:spacing w:after="120" w:line="360"/>
      </w:pPr>
      <w:r>
        <w:drawing>
          <wp:inline distT="0" distB="0" distL="0" distR="0">
            <wp:extent cx="2209800" cy="457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98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Resized via HTML tag (100x21):</w:t>
      </w:r>
    </w:p>
    <w:p>
      <w:pPr>
        <w:spacing w:after="120"/>
      </w:pPr>
      <w:r>
        <w:drawing>
          <wp:inline distT="0" distB="0" distL="0" distR="0">
            <wp:extent cx="952500" cy="200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20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8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Mermaid Diagrams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Flowchart</w:t>
      </w:r>
    </w:p>
    <w:p>
      <w:pPr>
        <w:spacing w:after="120" w:before="120"/>
        <w:jc w:val="center"/>
      </w:pPr>
      <w:r>
        <w:drawing>
          <wp:inline distT="0" distB="0" distL="0" distR="0">
            <wp:extent cx="306705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705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Sequence Diagram</w:t>
      </w:r>
    </w:p>
    <w:p>
      <w:pPr>
        <w:spacing w:after="120" w:before="120"/>
        <w:jc w:val="center"/>
      </w:pPr>
      <w:r>
        <w:drawing>
          <wp:inline distT="0" distB="0" distL="0" distR="0">
            <wp:extent cx="47625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8.3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Sized Diagram</w:t>
      </w:r>
    </w:p>
    <w:p>
      <w:pPr>
        <w:spacing w:after="120" w:before="120"/>
        <w:jc w:val="left"/>
      </w:pPr>
      <w:r>
        <w:drawing>
          <wp:inline distT="0" distB="0" distL="0" distR="0">
            <wp:extent cx="1905000" cy="657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9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Horizontal Rules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above the rule.</w:t>
      </w:r>
    </w:p>
    <w:p>
      <w:pPr>
        <w:pBdr>
          <w:bottom w:val="single" w:color="BFBFBF" w:sz="4"/>
        </w:pBdr>
        <w:spacing w:after="200" w:before="200"/>
      </w:pP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below the rule.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10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Headings Hierarchy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Third-Level Heading (H3)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H3 to verify green color and section numbering.</w:t>
      </w:r>
    </w:p>
    <w:p>
      <w:pPr>
        <w:pStyle w:val="Heading4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272727"/>
          <w:sz w:val="22"/>
          <w:szCs w:val="22"/>
        </w:rPr>
        <w:t xml:space="preserve">10.1.1 </w:t>
      </w:r>
      <w:r>
        <w:rPr>
          <w:rFonts w:ascii="Roboto" w:cs="Roboto" w:eastAsia="Roboto" w:hAnsi="Roboto"/>
          <w:b/>
          <w:bCs/>
          <w:i w:val="false"/>
          <w:iCs w:val="false"/>
          <w:color w:val="272727"/>
          <w:sz w:val="22"/>
          <w:szCs w:val="22"/>
        </w:rPr>
        <w:t xml:space="preserve">Fourth-Level Heading (H4)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Content under H4 to verify dark2 color and deeper numbering (e.g. 7.1.1).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10.2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Another H3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Back to H3 to verify counter resets properly.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11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Edge Cases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11.1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Empty Table Cells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Has Content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Empty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058775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Also Empty</w:t>
            </w: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</w:tcPr>
          <w:p>
            <w:pPr>
              <w:spacing w:after="40" w:before="40"/>
            </w:pPr>
          </w:p>
        </w:tc>
      </w:tr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  <w:r>
              <w:rPr>
                <w:rFonts w:ascii="Roboto" w:cs="Roboto" w:eastAsia="Roboto" w:hAnsi="Roboto"/>
                <w:b w:val="false"/>
                <w:bCs w:val="false"/>
                <w:i w:val="false"/>
                <w:iCs w:val="false"/>
                <w:color w:val="353744"/>
                <w:sz w:val="20"/>
                <w:szCs w:val="20"/>
              </w:rPr>
              <w:t xml:space="preserve">Yes</w:t>
            </w:r>
          </w:p>
        </w:tc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8F5F3" w:val="clear"/>
          </w:tcPr>
          <w:p>
            <w:pPr>
              <w:spacing w:after="40" w:before="40"/>
            </w:pPr>
          </w:p>
        </w:tc>
      </w:tr>
    </w:tbl>
    <w:p>
      <w:pPr>
        <w:spacing w:after="120"/>
      </w:pP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11.2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Long Content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paragraph contains a very long inline code span: </w:t>
      </w:r>
      <w:r>
        <w:rPr>
          <w:rFonts w:ascii="Roboto Mono" w:cs="Roboto Mono" w:eastAsia="Roboto Mono" w:hAnsi="Roboto Mono"/>
          <w:b w:val="false"/>
          <w:bCs w:val="false"/>
          <w:i w:val="false"/>
          <w:iCs w:val="false"/>
          <w:color w:val="188038"/>
          <w:sz w:val="18"/>
          <w:szCs w:val="18"/>
          <w:shd w:fill="F5F5F5" w:val="clear"/>
        </w:rPr>
        <w:t xml:space="preserve">this-is-a-really-long-code-span-that-might-cause-wrapping-issues-in-both-pdf-and-docx-output-formats</w:t>
      </w: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 to verify how both renderers handle overflow.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11.3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Adjacent Lists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First list: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Alpha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Beta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Second list immediately after: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Gamma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Delta</w:t>
      </w:r>
    </w:p>
    <w:p>
      <w:pPr>
        <w:pStyle w:val="Heading3"/>
        <w:keepNext/>
        <w:keepLines/>
        <w:spacing w:after="120" w:before="200"/>
      </w:pPr>
      <w:r>
        <w:rPr>
          <w:rFonts w:ascii="Roboto" w:cs="Roboto" w:eastAsia="Roboto" w:hAnsi="Roboto"/>
          <w:b/>
          <w:bCs/>
          <w:color w:val="058775"/>
          <w:sz w:val="24"/>
          <w:szCs w:val="24"/>
        </w:rPr>
        <w:t xml:space="preserve">11.4 </w:t>
      </w:r>
      <w:r>
        <w:rPr>
          <w:rFonts w:ascii="Roboto" w:cs="Roboto" w:eastAsia="Roboto" w:hAnsi="Roboto"/>
          <w:b/>
          <w:bCs/>
          <w:i w:val="false"/>
          <w:iCs w:val="false"/>
          <w:color w:val="058775"/>
          <w:sz w:val="24"/>
          <w:szCs w:val="24"/>
        </w:rPr>
        <w:t xml:space="preserve">Special Characters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Ampersand &amp; angle brackets &lt; &gt; and quotes "double" 'single' plus an em dash — and ellipsis... should all render correctly.</w:t>
      </w:r>
    </w:p>
    <w:p>
      <w:pPr>
        <w:pStyle w:val="Heading2"/>
        <w:keepNext/>
        <w:keepLines/>
        <w:pBdr>
          <w:bottom w:val="single" w:color="353744" w:sz="4"/>
        </w:pBdr>
        <w:spacing w:after="120" w:before="320"/>
      </w:pPr>
      <w:r>
        <w:rPr>
          <w:rFonts w:ascii="Roboto" w:cs="Roboto" w:eastAsia="Roboto" w:hAnsi="Roboto"/>
          <w:b/>
          <w:bCs/>
          <w:color w:val="353744"/>
          <w:sz w:val="26"/>
          <w:szCs w:val="26"/>
        </w:rPr>
        <w:t xml:space="preserve">12 </w:t>
      </w:r>
      <w:r>
        <w:rPr>
          <w:rFonts w:ascii="Roboto" w:cs="Roboto" w:eastAsia="Roboto" w:hAnsi="Roboto"/>
          <w:b/>
          <w:bCs/>
          <w:i w:val="false"/>
          <w:iCs w:val="false"/>
          <w:color w:val="353744"/>
          <w:sz w:val="26"/>
          <w:szCs w:val="26"/>
        </w:rPr>
        <w:t xml:space="preserve">Summary</w:t>
      </w:r>
    </w:p>
    <w:p>
      <w:pPr>
        <w:spacing w:after="12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This document exercises: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All heading levels (H2, H3, H4)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Section numbering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Paragraphs with inline formatting (bold, italic, bold+italic, code, links)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Fenced code blocks (with and without language)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Tables (simple, with formatting, with empty cells)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Lists (ordered, unordered, nested, mixed)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Blockquotes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Horizontal rules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Special characters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Cover page with all frontmatter fields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Table of contents generation</w:t>
      </w:r>
    </w:p>
    <w:p>
      <w:pPr>
        <w:pStyle w:val="ListParagraph"/>
        <w:numPr>
          <w:ilvl w:val="0"/>
          <w:numId w:val="2"/>
        </w:numPr>
        <w:spacing w:after="40" w:line="360"/>
      </w:pPr>
      <w:r>
        <w:rPr>
          <w:rFonts w:ascii="Roboto" w:cs="Roboto" w:eastAsia="Roboto" w:hAnsi="Roboto"/>
          <w:b w:val="false"/>
          <w:bCs w:val="false"/>
          <w:i w:val="false"/>
          <w:iCs w:val="false"/>
          <w:color w:val="353744"/>
          <w:sz w:val="20"/>
          <w:szCs w:val="20"/>
        </w:rPr>
        <w:t xml:space="preserve">Headers and footers</w:t>
      </w:r>
    </w:p>
    <w:sectPr>
      <w:headerReference w:type="default" r:id="rId9"/>
      <w:footerReference w:type="default" r:id="rId10"/>
      <w:type w:val="nextPage"/>
      <w:pgSz w:w="11906" w:h="16838" w:orient="portrait"/>
      <w:pgMar w:top="1417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58775" w:sz="4" w:space="4"/>
      </w:pBdr>
      <w:tabs>
        <w:tab w:val="right" w:pos="9637"/>
      </w:tabs>
    </w:pPr>
    <w:r>
      <w:rPr>
        <w:rFonts w:ascii="Roboto" w:cs="Roboto" w:eastAsia="Roboto" w:hAnsi="Roboto"/>
        <w:color w:val="000000"/>
        <w:sz w:val="16"/>
        <w:szCs w:val="16"/>
      </w:rPr>
      <w:t xml:space="preserve">ERA — European Union Agency for Railways · REG+</w:t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58775" w:sz="4" w:space="4"/>
      </w:pBdr>
      <w:tabs>
        <w:tab w:val="right" w:pos="9637"/>
      </w:tabs>
      <w:spacing w:after="80"/>
    </w:pPr>
    <w:r>
      <w:drawing>
        <wp:inline distT="0" distB="0" distL="0" distR="0">
          <wp:extent cx="1047750" cy="219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47750" cy="219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Roboto" w:cs="Roboto" w:eastAsia="Roboto" w:hAnsi="Roboto"/>
        <w:sz w:val="16"/>
        <w:szCs w:val="16"/>
      </w:rPr>
      <w:t xml:space="preserve">	</w:t>
    </w:r>
    <w:r>
      <w:rPr>
        <w:rFonts w:ascii="Roboto" w:cs="Roboto" w:eastAsia="Roboto" w:hAnsi="Roboto"/>
        <w:color w:val="000000"/>
        <w:sz w:val="16"/>
        <w:szCs w:val="16"/>
      </w:rPr>
      <w:t xml:space="preserve">TEST-001 - Test Document: All Formatting Features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83" w:hanging="170"/>
      </w:pPr>
    </w:lvl>
    <w:lvl w:ilvl="1" w15:tentative="1">
      <w:start w:val="1"/>
      <w:numFmt w:val="bullet"/>
      <w:lvlText w:val="◦"/>
      <w:lvlJc w:val="left"/>
      <w:pPr>
        <w:ind w:left="566" w:hanging="170"/>
      </w:pPr>
    </w:lvl>
    <w:lvl w:ilvl="2" w15:tentative="1">
      <w:start w:val="1"/>
      <w:numFmt w:val="bullet"/>
      <w:lvlText w:val="–"/>
      <w:lvlJc w:val="left"/>
      <w:pPr>
        <w:ind w:left="850" w:hanging="170"/>
      </w:pPr>
    </w:lvl>
    <w:lvl w:ilvl="3" w15:tentative="1">
      <w:start w:val="1"/>
      <w:numFmt w:val="bullet"/>
      <w:lvlText w:val="•"/>
      <w:lvlJc w:val="left"/>
      <w:pPr>
        <w:ind w:left="1133" w:hanging="170"/>
      </w:pPr>
    </w:lvl>
    <w:lvl w:ilvl="4" w15:tentative="1">
      <w:start w:val="1"/>
      <w:numFmt w:val="bullet"/>
      <w:lvlText w:val="◦"/>
      <w:lvlJc w:val="left"/>
      <w:pPr>
        <w:ind w:left="1417" w:hanging="170"/>
      </w:pPr>
    </w:lvl>
    <w:lvl w:ilvl="5" w15:tentative="1">
      <w:start w:val="1"/>
      <w:numFmt w:val="bullet"/>
      <w:lvlText w:val="–"/>
      <w:lvlJc w:val="left"/>
      <w:pPr>
        <w:ind w:left="1700" w:hanging="170"/>
      </w:pPr>
    </w:lvl>
    <w:lvl w:ilvl="6" w15:tentative="1">
      <w:start w:val="1"/>
      <w:numFmt w:val="bullet"/>
      <w:lvlText w:val="•"/>
      <w:lvlJc w:val="left"/>
      <w:pPr>
        <w:ind w:left="1984" w:hanging="170"/>
      </w:pPr>
    </w:lvl>
    <w:lvl w:ilvl="7" w15:tentative="1">
      <w:start w:val="1"/>
      <w:numFmt w:val="bullet"/>
      <w:lvlText w:val="◦"/>
      <w:lvlJc w:val="left"/>
      <w:pPr>
        <w:ind w:left="2267" w:hanging="170"/>
      </w:pPr>
    </w:lvl>
    <w:lvl w:ilvl="8" w15:tentative="1">
      <w:start w:val="1"/>
      <w:numFmt w:val="bullet"/>
      <w:lvlText w:val="–"/>
      <w:lvlJc w:val="left"/>
      <w:pPr>
        <w:ind w:left="2551" w:hanging="1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283" w:hanging="170"/>
      </w:pPr>
    </w:lvl>
    <w:lvl w:ilvl="1" w15:tentative="1">
      <w:start w:val="1"/>
      <w:numFmt w:val="lowerLetter"/>
      <w:lvlText w:val="%2."/>
      <w:lvlJc w:val="left"/>
      <w:pPr>
        <w:ind w:left="566" w:hanging="170"/>
      </w:pPr>
    </w:lvl>
    <w:lvl w:ilvl="2" w15:tentative="1">
      <w:start w:val="1"/>
      <w:numFmt w:val="lowerRoman"/>
      <w:lvlText w:val="%3."/>
      <w:lvlJc w:val="left"/>
      <w:pPr>
        <w:ind w:left="850" w:hanging="170"/>
      </w:pPr>
    </w:lvl>
    <w:lvl w:ilvl="3" w15:tentative="1">
      <w:start w:val="1"/>
      <w:numFmt w:val="decimal"/>
      <w:lvlText w:val="%4."/>
      <w:lvlJc w:val="left"/>
      <w:pPr>
        <w:ind w:left="1133" w:hanging="170"/>
      </w:pPr>
    </w:lvl>
    <w:lvl w:ilvl="4" w15:tentative="1">
      <w:start w:val="1"/>
      <w:numFmt w:val="lowerLetter"/>
      <w:lvlText w:val="%5."/>
      <w:lvlJc w:val="left"/>
      <w:pPr>
        <w:ind w:left="1417" w:hanging="170"/>
      </w:pPr>
    </w:lvl>
    <w:lvl w:ilvl="5" w15:tentative="1">
      <w:start w:val="1"/>
      <w:numFmt w:val="lowerRoman"/>
      <w:lvlText w:val="%6."/>
      <w:lvlJc w:val="left"/>
      <w:pPr>
        <w:ind w:left="1700" w:hanging="170"/>
      </w:pPr>
    </w:lvl>
    <w:lvl w:ilvl="6" w15:tentative="1">
      <w:start w:val="1"/>
      <w:numFmt w:val="decimal"/>
      <w:lvlText w:val="%7."/>
      <w:lvlJc w:val="left"/>
      <w:pPr>
        <w:ind w:left="1984" w:hanging="170"/>
      </w:pPr>
    </w:lvl>
    <w:lvl w:ilvl="7" w15:tentative="1">
      <w:start w:val="1"/>
      <w:numFmt w:val="lowerLetter"/>
      <w:lvlText w:val="%8."/>
      <w:lvlJc w:val="left"/>
      <w:pPr>
        <w:ind w:left="2267" w:hanging="170"/>
      </w:pPr>
    </w:lvl>
    <w:lvl w:ilvl="8" w15:tentative="1">
      <w:start w:val="1"/>
      <w:numFmt w:val="lowerRoman"/>
      <w:lvlText w:val="%9."/>
      <w:lvlJc w:val="left"/>
      <w:pPr>
        <w:ind w:left="2551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Roboto" w:cs="Roboto" w:eastAsia="Roboto" w:hAnsi="Roboto"/>
        <w:color w:val="353744"/>
        <w:sz w:val="20"/>
        <w:szCs w:val="20"/>
      </w:rPr>
    </w:rPrDefault>
    <w:pPrDefault>
      <w:pPr>
        <w:spacing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360"/>
    </w:pPr>
    <w:rPr>
      <w:rFonts w:ascii="Roboto" w:cs="Roboto" w:eastAsia="Roboto" w:hAnsi="Roboto"/>
      <w:color w:val="353744"/>
      <w:sz w:val="20"/>
      <w:szCs w:val="20"/>
    </w:rPr>
  </w:style>
  <w:style w:type="paragraph" w:styleId="Heading2">
    <w:name w:val="Heading 2"/>
    <w:basedOn w:val="Normal"/>
    <w:next w:val="Normal"/>
    <w:pPr>
      <w:spacing w:after="120" w:before="320"/>
    </w:pPr>
    <w:rPr>
      <w:rFonts w:ascii="Roboto" w:cs="Roboto" w:eastAsia="Roboto" w:hAnsi="Roboto"/>
      <w:b/>
      <w:bCs/>
      <w:color w:val="353744"/>
      <w:sz w:val="26"/>
      <w:szCs w:val="26"/>
    </w:rPr>
  </w:style>
  <w:style w:type="paragraph" w:styleId="Heading3">
    <w:name w:val="Heading 3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058775"/>
      <w:sz w:val="24"/>
      <w:szCs w:val="24"/>
    </w:rPr>
  </w:style>
  <w:style w:type="paragraph" w:styleId="Heading4">
    <w:name w:val="Heading 4"/>
    <w:basedOn w:val="Normal"/>
    <w:next w:val="Normal"/>
    <w:pPr>
      <w:spacing w:after="120" w:before="200"/>
    </w:pPr>
    <w:rPr>
      <w:rFonts w:ascii="Roboto" w:cs="Roboto" w:eastAsia="Roboto" w:hAnsi="Roboto"/>
      <w:b/>
      <w:bCs/>
      <w:color w:val="27272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3u3gsjovoukir3omgy-vz" Type="http://schemas.openxmlformats.org/officeDocument/2006/relationships/hyperlink" Target="mailto:info@cogni.zone" TargetMode="External"/><Relationship Id="rId2nyitnsmszh4zt_qsnlwp" Type="http://schemas.openxmlformats.org/officeDocument/2006/relationships/hyperlink" Target="https://cogni.zone" TargetMode="External"/><Relationship Id="rIdboyf5etuwyeohlr-uolci" Type="http://schemas.openxmlformats.org/officeDocument/2006/relationships/hyperlink" Target="https://cogni.zone" TargetMode="External"/><Relationship Id="rIdn_nc5f-vk_jepmvnve4as" Type="http://schemas.openxmlformats.org/officeDocument/2006/relationships/hyperlink" Target="https://cogni.zone" TargetMode="External"/><Relationship Id="rId11" Type="http://schemas.openxmlformats.org/officeDocument/2006/relationships/image" Target="media/40f9040c24a96f91857436824ab38e1c292025c7.png"/><Relationship Id="rId12" Type="http://schemas.openxmlformats.org/officeDocument/2006/relationships/image" Target="media/6763c4d0613a17de958868dd6f5da611d4a04701.png"/><Relationship Id="rId13" Type="http://schemas.openxmlformats.org/officeDocument/2006/relationships/image" Target="media/496ca95f941acd8e9849a8d5aa0262da155a04d3.png"/><Relationship Id="rId14" Type="http://schemas.openxmlformats.org/officeDocument/2006/relationships/image" Target="media/75f56a602a59cd62589cd4e0cdcecfe6db0de1d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40f9040c24a96f91857436824ab38e1c292025c7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2026-05-10T18:41:08.183Z</dcterms:created>
  <dcterms:modified xsi:type="dcterms:W3CDTF">2026-05-10T18:41:08.183Z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