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637"/>
        </w:tabs>
        <w:spacing w:after="0"/>
      </w:pPr>
      <w:r>
        <w:drawing>
          <wp:inline distT="0" distB="0" distL="0" distR="0">
            <wp:extent cx="1238250" cy="25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cs="Roboto" w:eastAsia="Roboto" w:hAnsi="Roboto"/>
          <w:sz w:val="18"/>
          <w:szCs w:val="18"/>
        </w:rPr>
        <w:t xml:space="preserve">	</w:t>
      </w:r>
      <w:hyperlink w:history="1" r:id="rIdiq1sc-j-xb0uzyjdyyknr">
        <w:r>
          <w:rPr>
            <w:rFonts w:ascii="Roboto" w:cs="Roboto" w:eastAsia="Roboto" w:hAnsi="Roboto"/>
            <w:color w:val="0563C1"/>
            <w:sz w:val="18"/>
            <w:szCs w:val="18"/>
          </w:rPr>
          <w:t xml:space="preserve">info@cogni.zone</w:t>
        </w:r>
      </w:hyperlink>
    </w:p>
    <w:p>
      <w:pPr>
        <w:spacing w:after="400"/>
        <w:jc w:val="right"/>
      </w:pPr>
      <w:hyperlink w:history="1" r:id="rIdjnkhes5mhanso3f_5bzv1">
        <w:r>
          <w:rPr>
            <w:rFonts w:ascii="Roboto" w:cs="Roboto" w:eastAsia="Roboto" w:hAnsi="Roboto"/>
            <w:color w:val="0563C1"/>
            <w:sz w:val="18"/>
            <w:szCs w:val="18"/>
          </w:rPr>
          <w:t xml:space="preserve">cogni.zone</w:t>
        </w:r>
      </w:hyperlink>
    </w:p>
    <w:p>
      <w:pPr>
        <w:spacing w:after="80"/>
      </w:pPr>
      <w:r>
        <w:rPr>
          <w:rFonts w:ascii="Roboto" w:cs="Roboto" w:eastAsia="Roboto" w:hAnsi="Roboto"/>
          <w:b/>
          <w:bCs/>
          <w:color w:val="058775"/>
          <w:spacing w:val="50"/>
          <w:sz w:val="26"/>
          <w:szCs w:val="26"/>
        </w:rPr>
        <w:t xml:space="preserve">TEST-001</w:t>
      </w:r>
    </w:p>
    <w:p>
      <w:pPr>
        <w:spacing w:after="480"/>
      </w:pPr>
      <w:r>
        <w:rPr>
          <w:rFonts w:ascii="Roboto" w:cs="Roboto" w:eastAsia="Roboto" w:hAnsi="Roboto"/>
          <w:b/>
          <w:bCs/>
          <w:color w:val="353744"/>
          <w:sz w:val="44"/>
          <w:szCs w:val="44"/>
        </w:rPr>
        <w:t xml:space="preserve">Test Document: All Formatting Features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ID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TEST-001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Document title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Test Document: All Formatting Features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Type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2026-03-12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Status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Cognizone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Client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ERA — European Union Agency for Railways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Project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REG+</w:t>
            </w:r>
          </w:p>
        </w:tc>
      </w:tr>
    </w:tbl>
    <w:p>
      <w:pPr>
        <w:sectPr>
          <w:type w:val="nextPage"/>
          <w:pgSz w:w="11906" w:h="16838" w:orient="portrait"/>
          <w:pgMar w:top="1417" w:right="1133" w:bottom="1133" w:left="1133" w:header="708" w:footer="708" w:gutter="0"/>
          <w:pgNumType/>
          <w:docGrid w:linePitch="360"/>
        </w:sectPr>
      </w:pPr>
    </w:p>
    <w:p>
      <w:pPr>
        <w:pStyle w:val="Heading2"/>
        <w:pBdr>
          <w:bottom w:val="single" w:color="353744" w:sz="4"/>
        </w:pBdr>
        <w:spacing w:after="20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"2-4"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17" w:right="1133" w:bottom="1133" w:left="1133" w:header="708" w:footer="708" w:gutter="0"/>
          <w:pgNumType/>
          <w:docGrid w:linePitch="360"/>
        </w:sectPr>
      </w:pP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Status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Draft — created to verify all rendering features across PDF and DOCX output.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2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Simple Paragraphs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is a regular paragraph with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0"/>
          <w:szCs w:val="20"/>
        </w:rPr>
        <w:t xml:space="preserve">bold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, </w:t>
      </w:r>
      <w:r>
        <w:rPr>
          <w:rFonts w:ascii="Roboto" w:cs="Roboto" w:eastAsia="Roboto" w:hAnsi="Roboto"/>
          <w:b w:val="false"/>
          <w:bCs w:val="false"/>
          <w:i/>
          <w:iCs/>
          <w:color w:val="353744"/>
          <w:sz w:val="20"/>
          <w:szCs w:val="20"/>
        </w:rPr>
        <w:t xml:space="preserve">italic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, and </w:t>
      </w:r>
      <w:r>
        <w:rPr>
          <w:rFonts w:ascii="Roboto" w:cs="Roboto" w:eastAsia="Roboto" w:hAnsi="Roboto"/>
          <w:b/>
          <w:bCs/>
          <w:i/>
          <w:iCs/>
          <w:color w:val="353744"/>
          <w:sz w:val="20"/>
          <w:szCs w:val="20"/>
        </w:rPr>
        <w:t xml:space="preserve">bold italic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combined. It also includes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inline code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and a </w:t>
      </w:r>
      <w:hyperlink w:history="1" r:id="rIdvd93f0-qf5e5jaavlab7w">
        <w:r>
          <w:rPr>
            <w:rFonts w:ascii="Roboto" w:cs="Roboto" w:eastAsia="Roboto" w:hAnsi="Roboto"/>
            <w:b w:val="false"/>
            <w:bCs w:val="false"/>
            <w:i w:val="false"/>
            <w:iCs w:val="false"/>
            <w:color w:val="058775"/>
            <w:sz w:val="20"/>
            <w:szCs w:val="20"/>
          </w:rPr>
          <w:t xml:space="preserve">hyperlink</w:t>
        </w:r>
      </w:hyperlink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verify inline formatting.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Here is a second paragraph to verify spacing between paragraphs. It contains a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LongCodeSpanThatMightBeInteresting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test inline code styling.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3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Code Blocks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 with a language tag: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0E0E0" w:sz="4"/>
              <w:left w:val="single" w:color="058775" w:sz="6"/>
              <w:bottom w:val="single" w:color="E0E0E0" w:sz="4"/>
              <w:right w:val="single" w:color="E0E0E0" w:sz="4"/>
            </w:tcBorders>
            <w:shd w:fill="F5F5F5" w:val="clear"/>
          </w:tcPr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function greet(name) {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const message = `Hello, ${name}!`;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console.log(message);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return message;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}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// Call it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greet('Cognizone');</w:t>
            </w:r>
          </w:p>
        </w:tc>
      </w:tr>
    </w:tbl>
    <w:p>
      <w:pPr>
        <w:spacing w:after="120"/>
      </w:pP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 without a language: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0E0E0" w:sz="4"/>
              <w:left w:val="single" w:color="058775" w:sz="6"/>
              <w:bottom w:val="single" w:color="E0E0E0" w:sz="4"/>
              <w:right w:val="single" w:color="E0E0E0" w:sz="4"/>
            </w:tcBorders>
            <w:shd w:fill="F5F5F5" w:val="clear"/>
          </w:tcPr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No language specified here.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Just plain preformatted text.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With some indentation.</w:t>
            </w:r>
          </w:p>
        </w:tc>
      </w:tr>
    </w:tbl>
    <w:p>
      <w:pPr>
        <w:spacing w:after="120"/>
      </w:pP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4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Tables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4.1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Simple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C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4.2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Table With Inline Formatting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353744"/>
                <w:sz w:val="20"/>
                <w:szCs w:val="20"/>
              </w:rPr>
              <w:t xml:space="preserve">Bold header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 Mono" w:cs="Roboto Mono" w:eastAsia="Roboto Mono" w:hAnsi="Roboto Mono"/>
                <w:b w:val="false"/>
                <w:bCs w:val="false"/>
                <w:i w:val="false"/>
                <w:iCs w:val="false"/>
                <w:color w:val="188038"/>
                <w:sz w:val="18"/>
                <w:szCs w:val="18"/>
                <w:shd w:fill="F5F5F5" w:val="clear"/>
              </w:rPr>
              <w:t xml:space="preserve">done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Uses </w:t>
            </w:r>
            <w:r>
              <w:rPr>
                <w:rFonts w:ascii="Roboto" w:cs="Roboto" w:eastAsia="Roboto" w:hAnsi="Roboto"/>
                <w:b w:val="false"/>
                <w:bCs w:val="false"/>
                <w:i/>
                <w:iCs/>
                <w:color w:val="353744"/>
                <w:sz w:val="20"/>
                <w:szCs w:val="20"/>
              </w:rPr>
              <w:t xml:space="preserve">italic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 note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Links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done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See </w:t>
            </w:r>
            <w:hyperlink w:history="1" r:id="rIdwpzxiwqeqdy6naxi8_0er">
              <w:r>
                <w:rPr>
                  <w:rFonts w:ascii="Roboto" w:cs="Roboto" w:eastAsia="Roboto" w:hAnsi="Roboto"/>
                  <w:b w:val="false"/>
                  <w:bCs w:val="false"/>
                  <w:i w:val="false"/>
                  <w:iCs w:val="false"/>
                  <w:color w:val="058775"/>
                  <w:sz w:val="20"/>
                  <w:szCs w:val="20"/>
                </w:rPr>
                <w:t xml:space="preserve">cogni.zone</w:t>
              </w:r>
            </w:hyperlink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Mixed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pending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Has </w:t>
            </w: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353744"/>
                <w:sz w:val="20"/>
                <w:szCs w:val="20"/>
              </w:rPr>
              <w:t xml:space="preserve">bold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, </w:t>
            </w:r>
            <w:r>
              <w:rPr>
                <w:rFonts w:ascii="Roboto" w:cs="Roboto" w:eastAsia="Roboto" w:hAnsi="Roboto"/>
                <w:b w:val="false"/>
                <w:bCs w:val="false"/>
                <w:i/>
                <w:iCs/>
                <w:color w:val="353744"/>
                <w:sz w:val="20"/>
                <w:szCs w:val="20"/>
              </w:rPr>
              <w:t xml:space="preserve">italic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, and </w:t>
            </w:r>
            <w:r>
              <w:rPr>
                <w:rFonts w:ascii="Roboto Mono" w:cs="Roboto Mono" w:eastAsia="Roboto Mono" w:hAnsi="Roboto Mono"/>
                <w:b w:val="false"/>
                <w:bCs w:val="false"/>
                <w:i w:val="false"/>
                <w:iCs w:val="false"/>
                <w:color w:val="188038"/>
                <w:sz w:val="18"/>
                <w:szCs w:val="18"/>
                <w:shd w:fill="F5F5F5" w:val="clear"/>
              </w:rPr>
              <w:t xml:space="preserve">code</w:t>
            </w:r>
          </w:p>
        </w:tc>
      </w:tr>
    </w:tbl>
    <w:p>
      <w:pPr>
        <w:spacing w:after="120"/>
      </w:pP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5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Lists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Unordered List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item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item with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0"/>
          <w:szCs w:val="20"/>
        </w:rPr>
        <w:t xml:space="preserve">bold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Third item with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code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Nested item one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Nested item two</w:t>
      </w:r>
    </w:p>
    <w:p>
      <w:pPr>
        <w:pStyle w:val="ListParagraph"/>
        <w:numPr>
          <w:ilvl w:val="2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Deeply nested item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Fourth item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Ordered List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step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step with </w:t>
      </w:r>
      <w:r>
        <w:rPr>
          <w:rFonts w:ascii="Roboto" w:cs="Roboto" w:eastAsia="Roboto" w:hAnsi="Roboto"/>
          <w:b w:val="false"/>
          <w:bCs w:val="false"/>
          <w:i/>
          <w:iCs/>
          <w:color w:val="353744"/>
          <w:sz w:val="20"/>
          <w:szCs w:val="20"/>
        </w:rPr>
        <w:t xml:space="preserve">emphasis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Third step</w:t>
      </w:r>
    </w:p>
    <w:p>
      <w:pPr>
        <w:pStyle w:val="ListParagraph"/>
        <w:numPr>
          <w:ilvl w:val="1"/>
          <w:numId w:val="4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Sub-step A</w:t>
      </w:r>
    </w:p>
    <w:p>
      <w:pPr>
        <w:pStyle w:val="ListParagraph"/>
        <w:numPr>
          <w:ilvl w:val="1"/>
          <w:numId w:val="4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Sub-step B</w:t>
      </w:r>
    </w:p>
    <w:p>
      <w:pPr>
        <w:pStyle w:val="ListParagraph"/>
        <w:numPr>
          <w:ilvl w:val="2"/>
          <w:numId w:val="5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Sub-sub-step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Fourth step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Mixed Nesting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Unordered parent</w:t>
      </w:r>
    </w:p>
    <w:p>
      <w:pPr>
        <w:pStyle w:val="ListParagraph"/>
        <w:numPr>
          <w:ilvl w:val="1"/>
          <w:numId w:val="6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child one</w:t>
      </w:r>
    </w:p>
    <w:p>
      <w:pPr>
        <w:pStyle w:val="ListParagraph"/>
        <w:numPr>
          <w:ilvl w:val="1"/>
          <w:numId w:val="6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child two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Another unordered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Bullet child</w:t>
      </w:r>
    </w:p>
    <w:p>
      <w:pPr>
        <w:pStyle w:val="ListParagraph"/>
        <w:numPr>
          <w:ilvl w:val="2"/>
          <w:numId w:val="7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grandchild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6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Blockquotes</w:t>
      </w:r>
    </w:p>
    <w:p>
      <w:pPr>
        <w:pBdr>
          <w:left w:val="single" w:color="058775" w:sz="8"/>
        </w:pBdr>
        <w:shd w:fill="F9F9F9" w:val="clear"/>
        <w:spacing w:after="120" w:line="360"/>
        <w:ind w:left="283"/>
      </w:pPr>
      <w:r>
        <w:rPr>
          <w:rFonts w:ascii="Roboto" w:cs="Roboto" w:eastAsia="Roboto" w:hAnsi="Roboto"/>
          <w:b w:val="false"/>
          <w:bCs w:val="false"/>
          <w:i/>
          <w:iCs/>
          <w:color w:val="666666"/>
          <w:sz w:val="20"/>
          <w:szCs w:val="20"/>
        </w:rPr>
        <w:t xml:space="preserve">This is a simple blockquote to verify italic styling and the green left border.</w:t>
      </w:r>
    </w:p>
    <w:p>
      <w:pPr>
        <w:pBdr>
          <w:left w:val="single" w:color="058775" w:sz="8"/>
        </w:pBdr>
        <w:shd w:fill="F9F9F9" w:val="clear"/>
        <w:spacing w:after="120" w:line="360"/>
        <w:ind w:left="283"/>
      </w:pPr>
      <w:r>
        <w:rPr>
          <w:rFonts w:ascii="Roboto" w:cs="Roboto" w:eastAsia="Roboto" w:hAnsi="Roboto"/>
          <w:b w:val="false"/>
          <w:bCs w:val="false"/>
          <w:i/>
          <w:iCs/>
          <w:color w:val="666666"/>
          <w:sz w:val="20"/>
          <w:szCs w:val="20"/>
        </w:rPr>
        <w:t xml:space="preserve">Multi-line blockquote that spans more than one line to verify that longer
content wraps properly and maintains consistent styling throughout.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7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Images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An inline image reference:</w:t>
      </w:r>
    </w:p>
    <w:p>
      <w:pPr>
        <w:spacing w:after="120" w:line="360"/>
      </w:pPr>
      <w:r>
        <w:drawing>
          <wp:inline distT="0" distB="0" distL="0" distR="0">
            <wp:extent cx="22098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Resized via HTML tag (100x21):</w:t>
      </w:r>
    </w:p>
    <w:p>
      <w:pPr>
        <w:spacing w:after="120"/>
      </w:pPr>
      <w:r>
        <w:drawing>
          <wp:inline distT="0" distB="0" distL="0" distR="0">
            <wp:extent cx="952500" cy="200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8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Mermaid Diagrams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8.1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Flowchart</w:t>
      </w:r>
    </w:p>
    <w:p>
      <w:pPr>
        <w:spacing w:after="120" w:before="120"/>
        <w:jc w:val="center"/>
      </w:pPr>
      <w:r>
        <w:drawing>
          <wp:inline distT="0" distB="0" distL="0" distR="0">
            <wp:extent cx="306705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8.2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Sequence Diagram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8.3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Sized Diagram</w:t>
      </w:r>
    </w:p>
    <w:p>
      <w:pPr>
        <w:spacing w:after="120" w:before="120"/>
        <w:jc w:val="left"/>
      </w:pPr>
      <w:r>
        <w:drawing>
          <wp:inline distT="0" distB="0" distL="0" distR="0">
            <wp:extent cx="1905000" cy="65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9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Horizontal Rules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above the rule.</w:t>
      </w:r>
    </w:p>
    <w:p>
      <w:pPr>
        <w:pBdr>
          <w:bottom w:val="single" w:color="BFBFBF" w:sz="4"/>
        </w:pBdr>
        <w:spacing w:after="200" w:before="200"/>
      </w:pP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below the rule.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10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Headings Hierarchy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10.1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Third-Level Heading (H3)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under H3 to verify green color and section numbering.</w:t>
      </w:r>
    </w:p>
    <w:p>
      <w:pPr>
        <w:pStyle w:val="Heading4"/>
        <w:spacing w:after="120" w:before="200"/>
      </w:pPr>
      <w:r>
        <w:rPr>
          <w:rFonts w:ascii="Roboto" w:cs="Roboto" w:eastAsia="Roboto" w:hAnsi="Roboto"/>
          <w:b/>
          <w:bCs/>
          <w:color w:val="272727"/>
          <w:sz w:val="22"/>
          <w:szCs w:val="22"/>
        </w:rPr>
        <w:t xml:space="preserve">10.1.1 </w:t>
      </w:r>
      <w:r>
        <w:rPr>
          <w:rFonts w:ascii="Roboto" w:cs="Roboto" w:eastAsia="Roboto" w:hAnsi="Roboto"/>
          <w:b/>
          <w:bCs/>
          <w:i w:val="false"/>
          <w:iCs w:val="false"/>
          <w:color w:val="272727"/>
          <w:sz w:val="22"/>
          <w:szCs w:val="22"/>
        </w:rPr>
        <w:t xml:space="preserve">Fourth-Level Heading (H4)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under H4 to verify dark2 color and deeper numbering (e.g. 7.1.1).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10.2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Another H3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Back to H3 to verify counter resets properly.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11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Edge Cases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Empty Table Cells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Has Content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Empty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Also Empty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Long Content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paragraph contains a very long inline code span: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this-is-a-really-long-code-span-that-might-cause-wrapping-issues-in-both-pdf-and-docx-output-formats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verify how both renderers handle overflow.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Adjacent Lists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list: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Alpha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Beta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list immediately after: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Gamma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Delta</w:t>
      </w:r>
    </w:p>
    <w:p>
      <w:pPr>
        <w:pStyle w:val="Heading3"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11.4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Special Characters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Ampersand &amp; angle brackets &lt; &gt; and quotes "double" 'single' plus an em dash — and ellipsis... should all render correctly.</w:t>
      </w:r>
    </w:p>
    <w:p>
      <w:pPr>
        <w:pStyle w:val="Heading2"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12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Summary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document exercises: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All heading levels (H2, H3, H4)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Section numbering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Paragraphs with inline formatting (bold, italic, bold+italic, code, links)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blocks (with and without language)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Tables (simple, with formatting, with empty cells)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Lists (ordered, unordered, nested, mixed)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Blockquotes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Horizontal rules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Special characters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Cover page with all frontmatter fields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Table of contents generation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Headers and footers</w:t>
      </w:r>
    </w:p>
    <w:sectPr>
      <w:headerReference w:type="default" r:id="rId9"/>
      <w:footerReference w:type="default" r:id="rId10"/>
      <w:type w:val="nextPage"/>
      <w:pgSz w:w="11906" w:h="16838" w:orient="portrait"/>
      <w:pgMar w:top="1417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58775" w:sz="4" w:space="4"/>
      </w:pBdr>
      <w:tabs>
        <w:tab w:val="right" w:pos="9637"/>
      </w:tabs>
    </w:pPr>
    <w:r>
      <w:rPr>
        <w:rFonts w:ascii="Roboto" w:cs="Roboto" w:eastAsia="Roboto" w:hAnsi="Roboto"/>
        <w:color w:val="000000"/>
        <w:sz w:val="16"/>
        <w:szCs w:val="16"/>
      </w:rPr>
      <w:t xml:space="preserve">ERA — European Union Agency for Railways · REG+</w:t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58775" w:sz="4" w:space="4"/>
      </w:pBdr>
      <w:tabs>
        <w:tab w:val="right" w:pos="9637"/>
      </w:tabs>
    </w:pPr>
    <w:r>
      <w:rPr>
        <w:rFonts w:ascii="Roboto" w:cs="Roboto" w:eastAsia="Roboto" w:hAnsi="Roboto"/>
        <w:color w:val="000000"/>
        <w:sz w:val="16"/>
        <w:szCs w:val="16"/>
      </w:rPr>
      <w:t xml:space="preserve">ERA — European Union Agency for Railways · REG+</w:t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58775" w:sz="4" w:space="4"/>
      </w:pBdr>
      <w:tabs>
        <w:tab w:val="right" w:pos="9637"/>
      </w:tabs>
      <w:spacing w:after="80"/>
    </w:pPr>
    <w:r>
      <w:drawing>
        <wp:inline distT="0" distB="0" distL="0" distR="0">
          <wp:extent cx="1047750" cy="219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t xml:space="preserve">TEST-001 - Test Document: All Formatting Features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58775" w:sz="4" w:space="4"/>
      </w:pBdr>
      <w:tabs>
        <w:tab w:val="right" w:pos="9637"/>
      </w:tabs>
      <w:spacing w:after="80"/>
    </w:pPr>
    <w:r>
      <w:drawing>
        <wp:inline distT="0" distB="0" distL="0" distR="0">
          <wp:extent cx="1047750" cy="219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t xml:space="preserve">TEST-001 - Test Document: All Formatting Features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3" w:hanging="170"/>
      </w:pPr>
    </w:lvl>
    <w:lvl w:ilvl="1" w15:tentative="1">
      <w:start w:val="1"/>
      <w:numFmt w:val="bullet"/>
      <w:lvlText w:val="◦"/>
      <w:lvlJc w:val="left"/>
      <w:pPr>
        <w:ind w:left="566" w:hanging="170"/>
      </w:pPr>
    </w:lvl>
    <w:lvl w:ilvl="2" w15:tentative="1">
      <w:start w:val="1"/>
      <w:numFmt w:val="bullet"/>
      <w:lvlText w:val="–"/>
      <w:lvlJc w:val="left"/>
      <w:pPr>
        <w:ind w:left="850" w:hanging="170"/>
      </w:pPr>
    </w:lvl>
    <w:lvl w:ilvl="3" w15:tentative="1">
      <w:start w:val="1"/>
      <w:numFmt w:val="bullet"/>
      <w:lvlText w:val="•"/>
      <w:lvlJc w:val="left"/>
      <w:pPr>
        <w:ind w:left="1133" w:hanging="170"/>
      </w:pPr>
    </w:lvl>
    <w:lvl w:ilvl="4" w15:tentative="1">
      <w:start w:val="1"/>
      <w:numFmt w:val="bullet"/>
      <w:lvlText w:val="◦"/>
      <w:lvlJc w:val="left"/>
      <w:pPr>
        <w:ind w:left="1417" w:hanging="170"/>
      </w:pPr>
    </w:lvl>
    <w:lvl w:ilvl="5" w15:tentative="1">
      <w:start w:val="1"/>
      <w:numFmt w:val="bullet"/>
      <w:lvlText w:val="–"/>
      <w:lvlJc w:val="left"/>
      <w:pPr>
        <w:ind w:left="1700" w:hanging="170"/>
      </w:pPr>
    </w:lvl>
    <w:lvl w:ilvl="6" w15:tentative="1">
      <w:start w:val="1"/>
      <w:numFmt w:val="bullet"/>
      <w:lvlText w:val="•"/>
      <w:lvlJc w:val="left"/>
      <w:pPr>
        <w:ind w:left="1984" w:hanging="170"/>
      </w:pPr>
    </w:lvl>
    <w:lvl w:ilvl="7" w15:tentative="1">
      <w:start w:val="1"/>
      <w:numFmt w:val="bullet"/>
      <w:lvlText w:val="◦"/>
      <w:lvlJc w:val="left"/>
      <w:pPr>
        <w:ind w:left="2267" w:hanging="170"/>
      </w:pPr>
    </w:lvl>
    <w:lvl w:ilvl="8" w15:tentative="1">
      <w:start w:val="1"/>
      <w:numFmt w:val="bullet"/>
      <w:lvlText w:val="–"/>
      <w:lvlJc w:val="left"/>
      <w:pPr>
        <w:ind w:left="2551" w:hanging="1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Roboto" w:cs="Roboto" w:eastAsia="Roboto" w:hAnsi="Roboto"/>
        <w:color w:val="353744"/>
        <w:sz w:val="20"/>
        <w:szCs w:val="20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360"/>
    </w:pPr>
    <w:rPr>
      <w:rFonts w:ascii="Roboto" w:cs="Roboto" w:eastAsia="Roboto" w:hAnsi="Roboto"/>
      <w:color w:val="353744"/>
      <w:sz w:val="20"/>
      <w:szCs w:val="20"/>
    </w:rPr>
  </w:style>
  <w:style w:type="paragraph" w:styleId="Heading2">
    <w:name w:val="Heading 2"/>
    <w:basedOn w:val="Normal"/>
    <w:next w:val="Normal"/>
    <w:pPr>
      <w:spacing w:after="120" w:before="320"/>
    </w:pPr>
    <w:rPr>
      <w:rFonts w:ascii="Roboto" w:cs="Roboto" w:eastAsia="Roboto" w:hAnsi="Roboto"/>
      <w:b/>
      <w:bCs/>
      <w:color w:val="353744"/>
      <w:sz w:val="26"/>
      <w:szCs w:val="26"/>
    </w:rPr>
  </w:style>
  <w:style w:type="paragraph" w:styleId="Heading3">
    <w:name w:val="Heading 3"/>
    <w:basedOn w:val="Normal"/>
    <w:next w:val="Normal"/>
    <w:pPr>
      <w:spacing w:after="120" w:before="200"/>
    </w:pPr>
    <w:rPr>
      <w:rFonts w:ascii="Roboto" w:cs="Roboto" w:eastAsia="Roboto" w:hAnsi="Roboto"/>
      <w:b/>
      <w:bCs/>
      <w:color w:val="058775"/>
      <w:sz w:val="24"/>
      <w:szCs w:val="24"/>
    </w:rPr>
  </w:style>
  <w:style w:type="paragraph" w:styleId="Heading4">
    <w:name w:val="Heading 4"/>
    <w:basedOn w:val="Normal"/>
    <w:next w:val="Normal"/>
    <w:pPr>
      <w:spacing w:after="120" w:before="200"/>
    </w:pPr>
    <w:rPr>
      <w:rFonts w:ascii="Roboto" w:cs="Roboto" w:eastAsia="Roboto" w:hAnsi="Roboto"/>
      <w:b/>
      <w:bCs/>
      <w:color w:val="27272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iq1sc-j-xb0uzyjdyyknr" Type="http://schemas.openxmlformats.org/officeDocument/2006/relationships/hyperlink" Target="mailto:info@cogni.zone" TargetMode="External"/><Relationship Id="rIdjnkhes5mhanso3f_5bzv1" Type="http://schemas.openxmlformats.org/officeDocument/2006/relationships/hyperlink" Target="https://cogni.zone" TargetMode="External"/><Relationship Id="rIdvd93f0-qf5e5jaavlab7w" Type="http://schemas.openxmlformats.org/officeDocument/2006/relationships/hyperlink" Target="https://cogni.zone" TargetMode="External"/><Relationship Id="rIdwpzxiwqeqdy6naxi8_0er" Type="http://schemas.openxmlformats.org/officeDocument/2006/relationships/hyperlink" Target="https://cogni.zone" TargetMode="External"/><Relationship Id="rId11" Type="http://schemas.openxmlformats.org/officeDocument/2006/relationships/image" Target="media/40f9040c24a96f91857436824ab38e1c292025c7.png"/><Relationship Id="rId12" Type="http://schemas.openxmlformats.org/officeDocument/2006/relationships/image" Target="media/6763c4d0613a17de958868dd6f5da611d4a04701.png"/><Relationship Id="rId13" Type="http://schemas.openxmlformats.org/officeDocument/2006/relationships/image" Target="media/496ca95f941acd8e9849a8d5aa0262da155a04d3.png"/><Relationship Id="rId14" Type="http://schemas.openxmlformats.org/officeDocument/2006/relationships/image" Target="media/75f56a602a59cd62589cd4e0cdcecfe6db0de1d5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0f9040c24a96f91857436824ab38e1c292025c7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40f9040c24a96f91857436824ab38e1c292025c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2026-04-17T09:30:27.509Z</dcterms:created>
  <dcterms:modified xsi:type="dcterms:W3CDTF">2026-04-17T09:30:27.509Z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