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2E74B5"/>
          <w:sz w:val="18"/>
        </w:rPr>
        <w:t>SUPPLEMENTAL SERVICES AGREEMENT</w:t>
      </w:r>
    </w:p>
    <w:p>
      <w:pPr>
        <w:keepNext/>
        <w:spacing w:before="0" w:after="80"/>
      </w:pPr>
      <w:r>
        <w:rPr>
          <w:rFonts w:ascii="Calibri" w:hAnsi="Calibri"/>
          <w:b/>
          <w:color w:val="000000"/>
          <w:sz w:val="36"/>
        </w:rPr>
        <w:t>EXTERNAL DATA PROTECTION OFFICER SERVICES AGREEMENT</w:t>
      </w:r>
    </w:p>
    <w:p>
      <w:pPr>
        <w:keepNext/>
        <w:spacing w:before="0" w:after="280"/>
      </w:pPr>
      <w:r>
        <w:rPr>
          <w:rFonts w:ascii="Calibri" w:hAnsi="Calibri"/>
          <w:color w:val="666F78"/>
          <w:sz w:val="27"/>
        </w:rPr>
        <w:t>Independent DPO services under Articles 37-39 GDPR</w:t>
      </w:r>
    </w:p>
    <w:p>
      <w:pPr>
        <w:spacing w:before="0" w:after="40" w:line="240" w:lineRule="auto"/>
      </w:pPr>
      <w:r>
        <w:rPr>
          <w:rFonts w:ascii="Calibri" w:hAnsi="Calibri"/>
          <w:b/>
          <w:color w:val="18242F"/>
          <w:sz w:val="21"/>
        </w:rPr>
        <w:t xml:space="preserve">Controller: </w:t>
      </w:r>
      <w:r>
        <w:rPr>
          <w:rFonts w:ascii="Calibri" w:hAnsi="Calibri"/>
          <w:color w:val="18242F"/>
          <w:sz w:val="21"/>
        </w:rPr>
        <w:t>ZWIZZLY AS, organisation number 811 696 072</w:t>
      </w:r>
    </w:p>
    <w:p>
      <w:pPr>
        <w:spacing w:before="0" w:after="40" w:line="240" w:lineRule="auto"/>
      </w:pPr>
      <w:r>
        <w:rPr>
          <w:rFonts w:ascii="Calibri" w:hAnsi="Calibri"/>
          <w:b/>
          <w:color w:val="18242F"/>
          <w:sz w:val="21"/>
        </w:rPr>
        <w:t xml:space="preserve">External DPO: </w:t>
      </w:r>
      <w:r>
        <w:rPr>
          <w:rFonts w:ascii="Calibri" w:hAnsi="Calibri"/>
          <w:color w:val="18242F"/>
          <w:sz w:val="21"/>
        </w:rPr>
        <w:t>Stephan Hartmann, Tbilisi, Georgia</w:t>
      </w:r>
    </w:p>
    <w:p>
      <w:pPr>
        <w:spacing w:before="0" w:after="40" w:line="240" w:lineRule="auto"/>
      </w:pPr>
      <w:r>
        <w:rPr>
          <w:rFonts w:ascii="Calibri" w:hAnsi="Calibri"/>
          <w:b/>
          <w:color w:val="18242F"/>
          <w:sz w:val="21"/>
        </w:rPr>
        <w:t xml:space="preserve">Effective date: </w:t>
      </w:r>
      <w:r>
        <w:rPr>
          <w:rFonts w:ascii="Calibri" w:hAnsi="Calibri"/>
          <w:color w:val="18242F"/>
          <w:sz w:val="21"/>
        </w:rPr>
        <w:t>The date of the last signature, subject to the appointment condition below</w:t>
      </w:r>
    </w:p>
    <w:p>
      <w:pPr>
        <w:spacing w:before="0" w:after="40" w:line="240" w:lineRule="auto"/>
      </w:pPr>
      <w:r>
        <w:rPr>
          <w:rFonts w:ascii="Calibri" w:hAnsi="Calibri"/>
          <w:b/>
          <w:color w:val="18242F"/>
          <w:sz w:val="21"/>
        </w:rPr>
        <w:t xml:space="preserve">Commercial administration: </w:t>
      </w:r>
      <w:r>
        <w:rPr>
          <w:rFonts w:ascii="Calibri" w:hAnsi="Calibri"/>
          <w:color w:val="18242F"/>
          <w:sz w:val="21"/>
        </w:rPr>
        <w:t>All invoicing and payments remain through the active Upwork contract</w:t>
      </w:r>
    </w:p>
    <w:p>
      <w:pPr>
        <w:spacing w:before="160" w:after="240"/>
        <w:pBdr>
          <w:bottom w:val="single" w:sz="8" w:space="1" w:color="2E74B5"/>
        </w:pBdr>
      </w:pPr>
    </w:p>
    <w:p>
      <w:pPr>
        <w:keepLines/>
        <w:spacing w:before="160" w:after="200"/>
        <w:ind w:left="259" w:right="259"/>
        <w:shd w:fill="FFF7E0"/>
        <w:pBdr>
          <w:left w:val="single" w:sz="18" w:space="6" w:color="7A5A00"/>
        </w:pBdr>
      </w:pPr>
      <w:r>
        <w:rPr>
          <w:rFonts w:ascii="Calibri" w:hAnsi="Calibri"/>
          <w:b/>
          <w:color w:val="7A5A00"/>
          <w:sz w:val="22"/>
        </w:rPr>
        <w:t xml:space="preserve">Draft status: </w:t>
      </w:r>
      <w:r>
        <w:rPr>
          <w:rFonts w:ascii="Calibri" w:hAnsi="Calibri"/>
          <w:color w:val="18242F"/>
          <w:sz w:val="22"/>
        </w:rPr>
        <w:t>This agreement is prepared for review. The formal appointment becomes effective only when this agreement and the separate designation document have been signed and the dedicated DPO contact channel is operational.</w:t>
      </w:r>
    </w:p>
    <w:p>
      <w:pPr>
        <w:pStyle w:val="Heading1"/>
      </w:pPr>
      <w:r>
        <w:t>Parties and purpose</w:t>
      </w:r>
    </w:p>
    <w:p>
      <w:pPr>
        <w:keepLines/>
      </w:pPr>
      <w:r>
        <w:rPr>
          <w:rFonts w:ascii="Calibri" w:hAnsi="Calibri"/>
          <w:i w:val="0"/>
          <w:color w:val="18242F"/>
          <w:sz w:val="22"/>
        </w:rPr>
        <w:t>This External Data Protection Officer Services Agreement is entered into between ZWIZZLY AS, organisation number 811 696 072, Fiskekroken 3B, 0139 Oslo, Norway (the Company), and Stephan Hartmann, based in Tbilisi, Georgia (the External DPO). It supplements the parties' active Upwork contract and records the governance conditions required for an independent external DPO appointment.</w:t>
      </w:r>
    </w:p>
    <w:p>
      <w:pPr>
        <w:keepLines/>
      </w:pPr>
      <w:r>
        <w:rPr>
          <w:rFonts w:ascii="Calibri" w:hAnsi="Calibri"/>
          <w:i w:val="0"/>
          <w:color w:val="18242F"/>
          <w:sz w:val="22"/>
        </w:rPr>
        <w:t>The Company remains the controller and retains responsibility for compliance, implementation, product and operational decisions, contracting, publication, risk acceptance and any decision to commence or continue processing.</w:t>
      </w:r>
    </w:p>
    <w:p>
      <w:pPr>
        <w:pStyle w:val="Heading1"/>
      </w:pPr>
      <w:r>
        <w:t>Appointment condition and term</w:t>
      </w:r>
    </w:p>
    <w:p>
      <w:pPr>
        <w:keepLines/>
      </w:pPr>
      <w:r>
        <w:rPr>
          <w:rFonts w:ascii="Calibri" w:hAnsi="Calibri"/>
          <w:i w:val="0"/>
          <w:color w:val="18242F"/>
          <w:sz w:val="22"/>
        </w:rPr>
        <w:t>The appointment becomes effective only after the parties sign this agreement and the separate Formal Designation of External Data Protection Officer and after the Company confirms that the dedicated functional DPO email address is operational. The appointment will continue until terminated in accordance with this agreement.</w:t>
      </w:r>
    </w:p>
    <w:p>
      <w:pPr>
        <w:keepLines/>
      </w:pPr>
      <w:r>
        <w:rPr>
          <w:rFonts w:ascii="Calibri" w:hAnsi="Calibri"/>
          <w:i w:val="0"/>
          <w:color w:val="18242F"/>
          <w:sz w:val="22"/>
        </w:rPr>
        <w:t>The parties acknowledge that completion of the pending DPIA and evidence package is a prerequisite to formal appointment. Advice provided before the effective appointment is independent pre-appointment advice and may be adopted, reaffirmed or revised by the External DPO when issuing the formal DPO opinion.</w:t>
      </w:r>
    </w:p>
    <w:p>
      <w:pPr>
        <w:pStyle w:val="Heading1"/>
      </w:pPr>
      <w:r>
        <w:t>DPO tasks</w:t>
      </w:r>
    </w:p>
    <w:p>
      <w:pPr>
        <w:keepLines/>
      </w:pPr>
      <w:r>
        <w:rPr>
          <w:rFonts w:ascii="Calibri" w:hAnsi="Calibri"/>
          <w:b/>
          <w:color w:val="18242F"/>
          <w:sz w:val="22"/>
        </w:rPr>
        <w:t>Information and advice.</w:t>
      </w:r>
      <w:r>
        <w:rPr>
          <w:rFonts w:ascii="Calibri" w:hAnsi="Calibri"/>
          <w:i w:val="0"/>
          <w:color w:val="18242F"/>
          <w:sz w:val="22"/>
        </w:rPr>
        <w:t xml:space="preserve"> The External DPO will inform and advise the Company and relevant personnel regarding obligations under the GDPR, the Norwegian Personal Data Act and other applicable data-protection requirements.</w:t>
      </w:r>
    </w:p>
    <w:p>
      <w:pPr>
        <w:keepLines/>
      </w:pPr>
      <w:r>
        <w:rPr>
          <w:rFonts w:ascii="Calibri" w:hAnsi="Calibri"/>
          <w:b/>
          <w:color w:val="18242F"/>
          <w:sz w:val="22"/>
        </w:rPr>
        <w:t>Monitoring.</w:t>
      </w:r>
      <w:r>
        <w:rPr>
          <w:rFonts w:ascii="Calibri" w:hAnsi="Calibri"/>
          <w:i w:val="0"/>
          <w:color w:val="18242F"/>
          <w:sz w:val="22"/>
        </w:rPr>
        <w:t xml:space="preserve"> The External DPO will monitor compliance, including the allocation of responsibilities, awareness and training, internal policies, documentation and risk-based review activities, taking account of the information and resources made available by the Company.</w:t>
      </w:r>
    </w:p>
    <w:p>
      <w:pPr>
        <w:keepLines/>
      </w:pPr>
      <w:r>
        <w:rPr>
          <w:rFonts w:ascii="Calibri" w:hAnsi="Calibri"/>
          <w:b/>
          <w:color w:val="18242F"/>
          <w:sz w:val="22"/>
        </w:rPr>
        <w:t>DPIA advice.</w:t>
      </w:r>
      <w:r>
        <w:rPr>
          <w:rFonts w:ascii="Calibri" w:hAnsi="Calibri"/>
          <w:i w:val="0"/>
          <w:color w:val="18242F"/>
          <w:sz w:val="22"/>
        </w:rPr>
        <w:t xml:space="preserve"> The External DPO will provide advice when requested concerning data-protection impact assessments and will monitor their performance. The Company remains responsible for conducting, approving and implementing each DPIA and for any Article 36 prior consultation.</w:t>
      </w:r>
    </w:p>
    <w:p>
      <w:pPr>
        <w:keepLines/>
      </w:pPr>
      <w:r>
        <w:rPr>
          <w:rFonts w:ascii="Calibri" w:hAnsi="Calibri"/>
          <w:b/>
          <w:color w:val="18242F"/>
          <w:sz w:val="22"/>
        </w:rPr>
        <w:t>Authority and data-subject contact.</w:t>
      </w:r>
      <w:r>
        <w:rPr>
          <w:rFonts w:ascii="Calibri" w:hAnsi="Calibri"/>
          <w:i w:val="0"/>
          <w:color w:val="18242F"/>
          <w:sz w:val="22"/>
        </w:rPr>
        <w:t xml:space="preserve"> The External DPO will cooperate with Datatilsynet and other competent supervisory authorities and act as a contact point for them and for data subjects on issues relating to processing and the exercise of rights.</w:t>
      </w:r>
    </w:p>
    <w:p>
      <w:pPr>
        <w:keepLines/>
      </w:pPr>
      <w:r>
        <w:rPr>
          <w:rFonts w:ascii="Calibri" w:hAnsi="Calibri"/>
          <w:b/>
          <w:color w:val="18242F"/>
          <w:sz w:val="22"/>
        </w:rPr>
        <w:t>Risk-based performance.</w:t>
      </w:r>
      <w:r>
        <w:rPr>
          <w:rFonts w:ascii="Calibri" w:hAnsi="Calibri"/>
          <w:i w:val="0"/>
          <w:color w:val="18242F"/>
          <w:sz w:val="22"/>
        </w:rPr>
        <w:t xml:space="preserve"> The External DPO may prioritise tasks according to the nature, scope, context and purposes of processing and the risks to the rights and freedoms of data subjects, with particular attention to children, profiling, AI-enabled tutoring and possible special-category data.</w:t>
      </w:r>
    </w:p>
    <w:p>
      <w:pPr>
        <w:pStyle w:val="Heading1"/>
      </w:pPr>
      <w:r>
        <w:t>Independence and access</w:t>
      </w:r>
    </w:p>
    <w:p>
      <w:pPr>
        <w:keepLines/>
      </w:pPr>
      <w:r>
        <w:rPr>
          <w:rFonts w:ascii="Calibri" w:hAnsi="Calibri"/>
          <w:i w:val="0"/>
          <w:color w:val="18242F"/>
          <w:sz w:val="22"/>
        </w:rPr>
        <w:t>The External DPO will perform the statutory DPO tasks independently and will not receive instructions regarding the conclusions to be reached, the manner in which a complaint is assessed or whether the supervisory authority should be contacted. The External DPO will report directly to the highest management level of the Company.</w:t>
      </w:r>
    </w:p>
    <w:p>
      <w:pPr>
        <w:keepLines/>
      </w:pPr>
      <w:r>
        <w:rPr>
          <w:rFonts w:ascii="Calibri" w:hAnsi="Calibri"/>
          <w:i w:val="0"/>
          <w:color w:val="18242F"/>
          <w:sz w:val="22"/>
        </w:rPr>
        <w:t>The Company will involve the External DPO properly and in a timely manner in all issues relating to the protection of personal data. It will provide timely access to management, staff, systems, contracts, records, providers, incidents, security information, processing operations and other evidence reasonably required for the role.</w:t>
      </w:r>
    </w:p>
    <w:p>
      <w:pPr>
        <w:keepLines/>
      </w:pPr>
      <w:r>
        <w:rPr>
          <w:rFonts w:ascii="Calibri" w:hAnsi="Calibri"/>
          <w:i w:val="0"/>
          <w:color w:val="18242F"/>
          <w:sz w:val="22"/>
        </w:rPr>
        <w:t>The Company will provide the time, access, operational cooperation and other resources reasonably required for the role and will not dismiss, penalise or disadvantage the External DPO for performing statutory tasks or giving independent advice.</w:t>
      </w:r>
    </w:p>
    <w:p>
      <w:pPr>
        <w:pStyle w:val="Heading1"/>
      </w:pPr>
      <w:r>
        <w:t>Communication and availability</w:t>
      </w:r>
    </w:p>
    <w:p>
      <w:pPr>
        <w:keepLines/>
      </w:pPr>
      <w:r>
        <w:rPr>
          <w:rFonts w:ascii="Calibri" w:hAnsi="Calibri"/>
          <w:i w:val="0"/>
          <w:color w:val="18242F"/>
          <w:sz w:val="22"/>
        </w:rPr>
        <w:t>The public functional contact will be dpo@zwizzly.com once activated. The address should forward directly to the External DPO and should not operate as an ordinary shared support mailbox. Administrative access must be limited and documented so that the confidentiality of data-subject and authority communications is preserved.</w:t>
      </w:r>
    </w:p>
    <w:p>
      <w:pPr>
        <w:keepLines/>
      </w:pPr>
      <w:r>
        <w:rPr>
          <w:rFonts w:ascii="Calibri" w:hAnsi="Calibri"/>
          <w:i w:val="0"/>
          <w:color w:val="18242F"/>
          <w:sz w:val="22"/>
        </w:rPr>
        <w:t>Postal correspondence may be addressed to the External DPO through ZWIZZLY AS at Fiskekroken 3B, 0139 Oslo, Norway. The Company will forward such correspondence promptly and securely. A telephone number required for Datatilsynet registration will be supplied privately and need not be published unless required by law.</w:t>
      </w:r>
    </w:p>
    <w:p>
      <w:pPr>
        <w:keepLines/>
      </w:pPr>
      <w:r>
        <w:rPr>
          <w:rFonts w:ascii="Calibri" w:hAnsi="Calibri"/>
          <w:i w:val="0"/>
          <w:color w:val="18242F"/>
          <w:sz w:val="22"/>
        </w:rPr>
        <w:t>Ordinary availability, response expectations and any included monthly service allocation will be those stated in the active Upwork contract or a written operational protocol agreed through Upwork. Urgent suspected personal-data breaches or authority communications must be escalated without undue delay through the agreed urgent channel.</w:t>
      </w:r>
    </w:p>
    <w:p>
      <w:pPr>
        <w:pStyle w:val="Heading1"/>
      </w:pPr>
      <w:r>
        <w:t>Confidentiality and records</w:t>
      </w:r>
    </w:p>
    <w:p>
      <w:pPr>
        <w:keepLines/>
      </w:pPr>
      <w:r>
        <w:rPr>
          <w:rFonts w:ascii="Calibri" w:hAnsi="Calibri"/>
          <w:i w:val="0"/>
          <w:color w:val="18242F"/>
          <w:sz w:val="22"/>
        </w:rPr>
        <w:t>The External DPO will maintain confidentiality and secrecy concerning information obtained in the performance of the role, subject to applicable law and the DPO's statutory duties. The Company will respect the confidentiality of communications between the External DPO, data subjects and supervisory authorities.</w:t>
      </w:r>
    </w:p>
    <w:p>
      <w:pPr>
        <w:keepLines/>
      </w:pPr>
      <w:r>
        <w:rPr>
          <w:rFonts w:ascii="Calibri" w:hAnsi="Calibri"/>
          <w:i w:val="0"/>
          <w:color w:val="18242F"/>
          <w:sz w:val="22"/>
        </w:rPr>
        <w:t>The External DPO may maintain proportionate records of advice, recommendations, issues, management responses and material communications for accountability and handover purposes. The Company remains responsible for its corporate compliance records and implementation evidence.</w:t>
      </w:r>
    </w:p>
    <w:p>
      <w:pPr>
        <w:pStyle w:val="Heading1"/>
      </w:pPr>
      <w:r>
        <w:t>Conflicts and other tasks</w:t>
      </w:r>
    </w:p>
    <w:p>
      <w:pPr>
        <w:keepLines/>
      </w:pPr>
      <w:r>
        <w:rPr>
          <w:rFonts w:ascii="Calibri" w:hAnsi="Calibri"/>
          <w:i w:val="0"/>
          <w:color w:val="18242F"/>
          <w:sz w:val="22"/>
        </w:rPr>
        <w:t>The External DPO will disclose any actual or potential conflict of interest. Additional legal, compliance or operational services may be performed only where they do not require the External DPO to determine the purposes or means of processing or otherwise compromise the independence of the DPO role. Material non-DPO services should be separately scoped through Upwork.</w:t>
      </w:r>
    </w:p>
    <w:p>
      <w:pPr>
        <w:pStyle w:val="Heading1"/>
      </w:pPr>
      <w:r>
        <w:t>Fees and platform administration</w:t>
      </w:r>
    </w:p>
    <w:p>
      <w:pPr>
        <w:keepLines/>
      </w:pPr>
      <w:r>
        <w:rPr>
          <w:rFonts w:ascii="Calibri" w:hAnsi="Calibri"/>
          <w:i w:val="0"/>
          <w:color w:val="18242F"/>
          <w:sz w:val="22"/>
        </w:rPr>
        <w:t>Fees, service allocation, time recording, invoicing and payment are governed exclusively by the active Upwork contract and any amendments agreed on the platform. Nothing in this agreement requires or authorises off-platform payment. If there is a conflict concerning platform billing or payment administration, the Upwork terms and the active Upwork contract prevail.</w:t>
      </w:r>
    </w:p>
    <w:p>
      <w:pPr>
        <w:pStyle w:val="Heading1"/>
      </w:pPr>
      <w:r>
        <w:t>Responsibility and reliance</w:t>
      </w:r>
    </w:p>
    <w:p>
      <w:pPr>
        <w:keepLines/>
      </w:pPr>
      <w:r>
        <w:rPr>
          <w:rFonts w:ascii="Calibri" w:hAnsi="Calibri"/>
          <w:i w:val="0"/>
          <w:color w:val="18242F"/>
          <w:sz w:val="22"/>
        </w:rPr>
        <w:t>The External DPO provides independent advice and monitoring but does not replace the Company's decision-makers, product owners, security personnel, processors or local legal counsel. The Company is responsible for the completeness and accuracy of information supplied and for deciding, documenting and implementing appropriate measures.</w:t>
      </w:r>
    </w:p>
    <w:p>
      <w:pPr>
        <w:keepLines/>
      </w:pPr>
      <w:r>
        <w:rPr>
          <w:rFonts w:ascii="Calibri" w:hAnsi="Calibri"/>
          <w:i w:val="0"/>
          <w:color w:val="18242F"/>
          <w:sz w:val="22"/>
        </w:rPr>
        <w:t>The External DPO is not personally responsible for the Company's non-compliance merely by reason of the appointment. Any contractual liability between the parties remains subject to the active Upwork contract and mandatory applicable law.</w:t>
      </w:r>
    </w:p>
    <w:p>
      <w:pPr>
        <w:pStyle w:val="Heading1"/>
      </w:pPr>
      <w:r>
        <w:t>Termination and handover</w:t>
      </w:r>
    </w:p>
    <w:p>
      <w:pPr>
        <w:keepLines/>
      </w:pPr>
      <w:r>
        <w:rPr>
          <w:rFonts w:ascii="Calibri" w:hAnsi="Calibri"/>
          <w:i w:val="0"/>
          <w:color w:val="18242F"/>
          <w:sz w:val="22"/>
        </w:rPr>
        <w:t>Either party may terminate the services on 30 days' written notice given through Upwork or another agreed recorded channel. Immediate termination is permitted where continued service would be unlawful, a material conflict cannot be resolved, a material breach remains uncured, payment obligations under the Upwork contract are materially overdue, or the relationship of trust required for the statutory role has irretrievably broken down.</w:t>
      </w:r>
    </w:p>
    <w:p>
      <w:pPr>
        <w:keepLines/>
      </w:pPr>
      <w:r>
        <w:rPr>
          <w:rFonts w:ascii="Calibri" w:hAnsi="Calibri"/>
          <w:i w:val="0"/>
          <w:color w:val="18242F"/>
          <w:sz w:val="22"/>
        </w:rPr>
        <w:t>Termination must not be used to penalise the External DPO for independent performance of statutory tasks. On termination, the parties will cooperate on an orderly handover. The Company is responsible for updating publications and notifying Datatilsynet of any change without undue delay.</w:t>
      </w:r>
    </w:p>
    <w:p>
      <w:pPr>
        <w:pStyle w:val="Heading1"/>
      </w:pPr>
      <w:r>
        <w:t>Governing framework and final provisions</w:t>
      </w:r>
    </w:p>
    <w:p>
      <w:pPr>
        <w:keepLines/>
      </w:pPr>
      <w:r>
        <w:rPr>
          <w:rFonts w:ascii="Calibri" w:hAnsi="Calibri"/>
          <w:i w:val="0"/>
          <w:color w:val="18242F"/>
          <w:sz w:val="22"/>
        </w:rPr>
        <w:t>The statutory DPO function is governed by the GDPR, the Norwegian Personal Data Act and applicable supervisory guidance. Subject to mandatory law and the Upwork terms applicable to platform administration, this supplemental agreement is governed by Norwegian law.</w:t>
      </w:r>
    </w:p>
    <w:p>
      <w:pPr>
        <w:keepLines/>
      </w:pPr>
      <w:r>
        <w:rPr>
          <w:rFonts w:ascii="Calibri" w:hAnsi="Calibri"/>
          <w:i w:val="0"/>
          <w:color w:val="18242F"/>
          <w:sz w:val="22"/>
        </w:rPr>
        <w:t>Amendments must be recorded in writing. If any provision is invalid or unenforceable, the remaining provisions continue in effect. This agreement, the designation document and the active Upwork contract form the relevant contractual record for the external DPO engagement.</w:t>
      </w:r>
    </w:p>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shd w:fill="F2F4F7"/>
          </w:tcPr>
          <w:p>
            <w:pPr>
              <w:spacing w:before="0" w:after="0" w:line="259" w:lineRule="auto"/>
              <w:jc w:val="left"/>
            </w:pPr>
            <w:r/>
            <w:r>
              <w:rPr>
                <w:rFonts w:ascii="Calibri" w:hAnsi="Calibri"/>
                <w:b/>
                <w:color w:val="18242F"/>
                <w:sz w:val="19"/>
              </w:rPr>
              <w:t>For ZWIZZLY AS</w:t>
            </w:r>
          </w:p>
        </w:tc>
        <w:tc>
          <w:tcPr>
            <w:tcW w:type="dxa" w:w="4680"/>
            <w:vAlign w:val="center"/>
            <w:tcMar>
              <w:top w:w="80" w:type="dxa"/>
              <w:start w:w="120" w:type="dxa"/>
              <w:bottom w:w="80" w:type="dxa"/>
              <w:end w:w="120" w:type="dxa"/>
            </w:tcMar>
            <w:shd w:fill="F2F4F7"/>
          </w:tcPr>
          <w:p>
            <w:pPr>
              <w:spacing w:before="0" w:after="0" w:line="259" w:lineRule="auto"/>
              <w:jc w:val="left"/>
            </w:pPr>
            <w:r/>
            <w:r>
              <w:rPr>
                <w:rFonts w:ascii="Calibri" w:hAnsi="Calibri"/>
                <w:b/>
                <w:color w:val="18242F"/>
                <w:sz w:val="19"/>
              </w:rPr>
              <w:t>External DPO</w:t>
            </w:r>
          </w:p>
        </w:tc>
      </w:tr>
      <w:tr>
        <w:trPr>
          <w:cantSplit/>
        </w:trPr>
        <w:tc>
          <w:tcPr>
            <w:tcW w:type="dxa" w:w="4680"/>
            <w:vAlign w:val="center"/>
            <w:tcMar>
              <w:top w:w="80" w:type="dxa"/>
              <w:start w:w="120" w:type="dxa"/>
              <w:bottom w:w="80" w:type="dxa"/>
              <w:end w:w="120" w:type="dxa"/>
            </w:tcMar>
          </w:tcPr>
          <w:p>
            <w:pPr>
              <w:spacing w:before="0" w:after="0" w:line="259" w:lineRule="auto"/>
              <w:jc w:val="left"/>
            </w:pPr>
            <w:r/>
            <w:r>
              <w:rPr>
                <w:rFonts w:ascii="Calibri" w:hAnsi="Calibri"/>
                <w:b/>
                <w:color w:val="18242F"/>
                <w:sz w:val="19"/>
              </w:rPr>
              <w:t>Zuzana Kopecna, Chair</w:t>
            </w:r>
          </w:p>
        </w:tc>
        <w:tc>
          <w:tcPr>
            <w:tcW w:type="dxa" w:w="4680"/>
            <w:vAlign w:val="center"/>
            <w:tcMar>
              <w:top w:w="80" w:type="dxa"/>
              <w:start w:w="120" w:type="dxa"/>
              <w:bottom w:w="80" w:type="dxa"/>
              <w:end w:w="120" w:type="dxa"/>
            </w:tcMar>
          </w:tcPr>
          <w:p>
            <w:pPr>
              <w:spacing w:before="0" w:after="0" w:line="259" w:lineRule="auto"/>
              <w:jc w:val="left"/>
            </w:pPr>
            <w:r/>
            <w:r>
              <w:rPr>
                <w:rFonts w:ascii="Calibri" w:hAnsi="Calibri"/>
                <w:b/>
                <w:color w:val="18242F"/>
                <w:sz w:val="19"/>
              </w:rPr>
              <w:t>Stephan Hartmann</w:t>
            </w:r>
          </w:p>
        </w:tc>
      </w:tr>
      <w:tr>
        <w:trPr>
          <w:cantSplit/>
        </w:trPr>
        <w:tc>
          <w:tcPr>
            <w:tcW w:type="dxa" w:w="4680"/>
            <w:vAlign w:val="center"/>
            <w:tcMar>
              <w:top w:w="80" w:type="dxa"/>
              <w:start w:w="120" w:type="dxa"/>
              <w:bottom w:w="80" w:type="dxa"/>
              <w:end w:w="120" w:type="dxa"/>
            </w:tcMar>
          </w:tcPr>
          <w:p>
            <w:pPr>
              <w:spacing w:before="0" w:after="0" w:line="259" w:lineRule="auto"/>
              <w:jc w:val="left"/>
            </w:pPr>
            <w:r/>
            <w:r>
              <w:rPr>
                <w:rFonts w:ascii="Calibri" w:hAnsi="Calibri"/>
                <w:b w:val="0"/>
                <w:color w:val="18242F"/>
                <w:sz w:val="19"/>
              </w:rPr>
              <w:t>Signature: __________________________</w:t>
            </w:r>
          </w:p>
        </w:tc>
        <w:tc>
          <w:tcPr>
            <w:tcW w:type="dxa" w:w="4680"/>
            <w:vAlign w:val="center"/>
            <w:tcMar>
              <w:top w:w="80" w:type="dxa"/>
              <w:start w:w="120" w:type="dxa"/>
              <w:bottom w:w="80" w:type="dxa"/>
              <w:end w:w="120" w:type="dxa"/>
            </w:tcMar>
          </w:tcPr>
          <w:p>
            <w:pPr>
              <w:spacing w:before="0" w:after="0" w:line="259" w:lineRule="auto"/>
              <w:jc w:val="left"/>
            </w:pPr>
            <w:r/>
            <w:r>
              <w:rPr>
                <w:rFonts w:ascii="Calibri" w:hAnsi="Calibri"/>
                <w:b w:val="0"/>
                <w:color w:val="18242F"/>
                <w:sz w:val="19"/>
              </w:rPr>
              <w:t>Signature: __________________________</w:t>
            </w:r>
          </w:p>
        </w:tc>
      </w:tr>
      <w:tr>
        <w:trPr>
          <w:cantSplit/>
        </w:trPr>
        <w:tc>
          <w:tcPr>
            <w:tcW w:type="dxa" w:w="4680"/>
            <w:vAlign w:val="center"/>
            <w:tcMar>
              <w:top w:w="80" w:type="dxa"/>
              <w:start w:w="120" w:type="dxa"/>
              <w:bottom w:w="80" w:type="dxa"/>
              <w:end w:w="120" w:type="dxa"/>
            </w:tcMar>
          </w:tcPr>
          <w:p>
            <w:pPr>
              <w:spacing w:before="0" w:after="0" w:line="259" w:lineRule="auto"/>
              <w:jc w:val="left"/>
            </w:pPr>
            <w:r/>
            <w:r>
              <w:rPr>
                <w:rFonts w:ascii="Calibri" w:hAnsi="Calibri"/>
                <w:b w:val="0"/>
                <w:color w:val="18242F"/>
                <w:sz w:val="19"/>
              </w:rPr>
              <w:t>Date: ______________________________</w:t>
            </w:r>
          </w:p>
        </w:tc>
        <w:tc>
          <w:tcPr>
            <w:tcW w:type="dxa" w:w="4680"/>
            <w:vAlign w:val="center"/>
            <w:tcMar>
              <w:top w:w="80" w:type="dxa"/>
              <w:start w:w="120" w:type="dxa"/>
              <w:bottom w:w="80" w:type="dxa"/>
              <w:end w:w="120" w:type="dxa"/>
            </w:tcMar>
          </w:tcPr>
          <w:p>
            <w:pPr>
              <w:spacing w:before="0" w:after="0" w:line="259" w:lineRule="auto"/>
              <w:jc w:val="left"/>
            </w:pPr>
            <w:r/>
            <w:r>
              <w:rPr>
                <w:rFonts w:ascii="Calibri" w:hAnsi="Calibri"/>
                <w:b w:val="0"/>
                <w:color w:val="18242F"/>
                <w:sz w:val="19"/>
              </w:rPr>
              <w:t>Date: ______________________________</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color w:val="666F78"/>
        <w:sz w:val="17"/>
      </w:rPr>
      <w:t xml:space="preserve">Page </w:t>
    </w:r>
    <w:r>
      <w:rPr>
        <w:rFonts w:ascii="Calibri" w:hAnsi="Calibri"/>
        <w:color w:val="666F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b/>
        <w:color w:val="666F78"/>
        <w:sz w:val="17"/>
      </w:rPr>
      <w:t>ZWIZZLY AS | External DPO services agreement</w:t>
    </w:r>
    <w:r>
      <w:rPr>
        <w:rFonts w:ascii="Calibri" w:hAnsi="Calibri"/>
        <w:color w:val="666F78"/>
        <w:sz w:val="17"/>
      </w:rPr>
      <w:tab/>
    </w:r>
    <w:r>
      <w:rPr>
        <w:rFonts w:ascii="Calibri" w:hAnsi="Calibri"/>
        <w:color w:val="666F78"/>
        <w:sz w:val="17"/>
      </w:rPr>
      <w:t>Draft for signature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824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