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val="0"/>
        </w:rPr>
        <w:t>SUPPLEMENTAL SERVICES AGREEMENT</w:t>
      </w:r>
    </w:p>
    <w:p>
      <w:pPr>
        <w:pStyle w:val="Heading2"/>
      </w:pPr>
      <w:r>
        <w:rPr>
          <w:b w:val="0"/>
        </w:rPr>
        <w:t>EXTERNAL DATA PROTECTION OFFICER SERVICES AGREEMENT</w:t>
      </w:r>
    </w:p>
    <w:p>
      <w:r>
        <w:rPr>
          <w:b w:val="0"/>
        </w:rPr>
        <w:t>Independent DPO services under Articles 37-39 GDPR</w:t>
      </w:r>
    </w:p>
    <w:p>
      <w:r>
        <w:rPr>
          <w:b/>
        </w:rPr>
        <w:t>Controller:</w:t>
      </w:r>
      <w:r>
        <w:rPr>
          <w:b w:val="0"/>
        </w:rPr>
        <w:t xml:space="preserve"> ZWIZZLY AS, organisation number 811 696 072</w:t>
      </w:r>
    </w:p>
    <w:p>
      <w:r>
        <w:rPr>
          <w:b/>
        </w:rPr>
        <w:t>External DPO:</w:t>
      </w:r>
      <w:r>
        <w:rPr>
          <w:b w:val="0"/>
        </w:rPr>
        <w:t xml:space="preserve"> Stephan Hartmann, Tbilisi, Georgia</w:t>
      </w:r>
    </w:p>
    <w:p>
      <w:r>
        <w:rPr>
          <w:b/>
        </w:rPr>
        <w:t>Effective date:</w:t>
      </w:r>
      <w:r>
        <w:rPr>
          <w:b w:val="0"/>
        </w:rPr>
        <w:t xml:space="preserve"> The date of the last signature, subject to the appointment condition below</w:t>
      </w:r>
    </w:p>
    <w:p>
      <w:r>
        <w:rPr>
          <w:b/>
        </w:rPr>
        <w:t>Commercial administration:</w:t>
      </w:r>
      <w:r>
        <w:rPr>
          <w:b w:val="0"/>
        </w:rPr>
        <w:t xml:space="preserve"> All invoicing and payments remain through the active Upwork contract</w:t>
      </w:r>
    </w:p>
    <w:p>
      <w:r>
        <w:rPr>
          <w:b/>
        </w:rPr>
        <w:t>Draft status:</w:t>
      </w:r>
      <w:r>
        <w:rPr>
          <w:b w:val="0"/>
        </w:rPr>
        <w:t xml:space="preserve"> This agreement is prepared for review. The formal appointment becomes effective only when this agreement and the separate designation document have been signed and the dedicated DPO contact channel is operational and has been successfully tested with the External DPO from an external address.</w:t>
      </w:r>
    </w:p>
    <w:p>
      <w:pPr>
        <w:pStyle w:val="Heading2"/>
      </w:pPr>
      <w:r>
        <w:rPr>
          <w:b w:val="0"/>
        </w:rPr>
        <w:t>Parties and purpose</w:t>
      </w:r>
    </w:p>
    <w:p>
      <w:r>
        <w:rPr>
          <w:b w:val="0"/>
        </w:rPr>
        <w:t>This External Data Protection Officer Services Agreement is entered into between ZWIZZLY AS, organisation number 811 696 072, Fiskekroken 3B, 0139 Oslo, Norway (the Company), and Stephan Hartmann, based in Tbilisi, Georgia (the External DPO). It supplements the parties' active Upwork contract and records the governance conditions required for an independent external DPO appointment.</w:t>
      </w:r>
    </w:p>
    <w:p>
      <w:r>
        <w:rPr>
          <w:b w:val="0"/>
        </w:rPr>
        <w:t>The Company remains the controller and retains responsibility for compliance, implementation, product and operational decisions, contracting, publication, risk acceptance and any decision to commence or continue processing.</w:t>
      </w:r>
    </w:p>
    <w:p>
      <w:pPr>
        <w:pStyle w:val="Heading2"/>
      </w:pPr>
      <w:r>
        <w:rPr>
          <w:b w:val="0"/>
        </w:rPr>
        <w:t>Appointment condition and term</w:t>
      </w:r>
    </w:p>
    <w:p>
      <w:r>
        <w:rPr>
          <w:b w:val="0"/>
        </w:rPr>
        <w:t>The appointment becomes effective only after the parties sign this agreement and the separate Formal Designation of External Data Protection Officer and after the Company confirms that the dedicated functional DPO email address is operational and has been successfully tested jointly with the External DPO from an external address.</w:t>
      </w:r>
    </w:p>
    <w:p>
      <w:r>
        <w:rPr>
          <w:b w:val="0"/>
        </w:rPr>
        <w:t>The parties acknowledge that completion of the pending DPIA and evidence package is a prerequisite to formal appointment. Advice provided before the effective appointment is independent pre-appointment advice and may be adopted, reaffirmed or revised by the External DPO when issuing the formal DPO opinion.</w:t>
      </w:r>
    </w:p>
    <w:p>
      <w:pPr>
        <w:pStyle w:val="Heading2"/>
      </w:pPr>
      <w:r>
        <w:rPr>
          <w:b w:val="0"/>
        </w:rPr>
        <w:t>DPO tasks</w:t>
      </w:r>
    </w:p>
    <w:p>
      <w:r>
        <w:rPr>
          <w:b/>
        </w:rPr>
        <w:t>Information and advice.</w:t>
      </w:r>
      <w:r>
        <w:rPr>
          <w:b w:val="0"/>
        </w:rPr>
        <w:t xml:space="preserve"> The External DPO will inform and advise the Company and relevant personnel regarding obligations under the GDPR, the Norwegian Personal Data Act and other applicable EEA/Norwegian data-protection requirements. For the avoidance of doubt, the DPO's statutory tasks under Articles 38 and 39 GDPR apply to all processing activities of the Company falling within the GDPR, irrespective of the location of the data subjects. Substantive advice on, or confirmation of compliance with, non-EEA legal regimes, including US federal and state law and UK law, is outside the Services unless separately agreed and remains the Company's responsibility. The DPO may nevertheless identify and escalate apparent non-EEA issues where they materially overlap with or affect GDPR compliance, without thereby assuming responsibility for substantive legal advice under those regimes. EU AI Act work is not part of the statutory DPO function and, where requested and accepted, is provided as separate compliance advice.</w:t>
      </w:r>
    </w:p>
    <w:p>
      <w:r>
        <w:rPr>
          <w:b/>
        </w:rPr>
        <w:t>Monitoring.</w:t>
      </w:r>
      <w:r>
        <w:rPr>
          <w:b w:val="0"/>
        </w:rPr>
        <w:t xml:space="preserve"> The External DPO will monitor compliance, including the allocation of responsibilities, awareness and training, internal policies, documentation and risk-based review activities, taking account of the information and resources made available by the Company.</w:t>
      </w:r>
    </w:p>
    <w:p>
      <w:r>
        <w:rPr>
          <w:b/>
        </w:rPr>
        <w:t>DPIA advice.</w:t>
      </w:r>
      <w:r>
        <w:rPr>
          <w:b w:val="0"/>
        </w:rPr>
        <w:t xml:space="preserve"> The External DPO will provide advice when requested concerning data-protection impact assessments and will monitor their performance. The Company remains responsible for conducting, approving and implementing each DPIA and for any Article 36 prior consultation.</w:t>
      </w:r>
    </w:p>
    <w:p>
      <w:r>
        <w:rPr>
          <w:b/>
        </w:rPr>
        <w:t>Authority and data-subject contact.</w:t>
      </w:r>
      <w:r>
        <w:rPr>
          <w:b w:val="0"/>
        </w:rPr>
        <w:t xml:space="preserve"> The External DPO will cooperate with Datatilsynet and other competent supervisory authorities and act as a contact point for them and for data subjects on issues relating to processing and the exercise of rights.</w:t>
      </w:r>
    </w:p>
    <w:p>
      <w:r>
        <w:rPr>
          <w:b/>
        </w:rPr>
        <w:t>Risk-based performance.</w:t>
      </w:r>
      <w:r>
        <w:rPr>
          <w:b w:val="0"/>
        </w:rPr>
        <w:t xml:space="preserve"> The External DPO may prioritise tasks according to the nature, scope, context and purposes of processing and the risks to the rights and freedoms of data subjects, with particular attention to children, profiling, AI-enabled tutoring and possible special-category data.</w:t>
      </w:r>
    </w:p>
    <w:p>
      <w:pPr>
        <w:pStyle w:val="Heading2"/>
      </w:pPr>
      <w:r>
        <w:rPr>
          <w:b w:val="0"/>
        </w:rPr>
        <w:t>Independence and access</w:t>
      </w:r>
    </w:p>
    <w:p>
      <w:r>
        <w:rPr>
          <w:b w:val="0"/>
        </w:rPr>
        <w:t>The External DPO will perform the statutory DPO tasks independently and will not receive instructions regarding the conclusions to be reached, the manner in which a complaint is assessed or whether the supervisory authority should be contacted. The External DPO will report directly to the highest management level of the Company.</w:t>
      </w:r>
    </w:p>
    <w:p>
      <w:r>
        <w:rPr>
          <w:b w:val="0"/>
        </w:rPr>
        <w:t>The Company will involve the External DPO properly and in a timely manner in all issues relating to the protection of personal data. It will provide timely access to management, staff, systems, contracts, records, providers, incidents, security information, processing operations and other evidence reasonably required for the role.</w:t>
      </w:r>
    </w:p>
    <w:p>
      <w:r>
        <w:rPr>
          <w:b w:val="0"/>
        </w:rPr>
        <w:t>The Company will provide the time, access, operational cooperation and other resources reasonably required for the role and will not dismiss, penalise or disadvantage the External DPO for performing statutory tasks or giving independent advice.</w:t>
      </w:r>
    </w:p>
    <w:p>
      <w:pPr>
        <w:pStyle w:val="Heading2"/>
      </w:pPr>
      <w:r>
        <w:rPr>
          <w:b w:val="0"/>
        </w:rPr>
        <w:t>Communication and availability</w:t>
      </w:r>
    </w:p>
    <w:p>
      <w:r>
        <w:rPr>
          <w:b w:val="0"/>
        </w:rPr>
        <w:t>The public functional contact will be dpo@zwizzly.com once activated, configured as a direct, confidential forward to the External DPO's professional email address. The address will not operate as an ordinary shared support mailbox and will not routinely retain message copies within the Company's tenant. Administrative access to the forwarding configuration will be restricted to the minimum number of named administrators, with changes logged; the address will not be added to any distribution group; no BCC copy or mail-journal rule will be applied; and delivery-failure monitoring will be enabled, so that the confidentiality of data-subject and authority communications is preserved. The Company will retain delivery metadata only — timestamp, delivery status, a unique message identifier and, where necessary, the sender address, excluding the subject line — for a documented retention period; data-subject rights requests received at the address will be logged separately in the Company's rights-request register rather than in the delivery log. Once the forwarding address is operational, the parties will test it together from an external address before the appointment takes effect.</w:t>
      </w:r>
    </w:p>
    <w:p>
      <w:r>
        <w:rPr>
          <w:b w:val="0"/>
        </w:rPr>
        <w:t>Postal correspondence may be addressed to the External DPO through ZWIZZLY AS at Fiskekroken 3B, 0139 Oslo, Norway. The Company will forward such correspondence promptly and securely. A telephone number required for Datatilsynet registration will be supplied privately and need not be published unless required by law.</w:t>
      </w:r>
    </w:p>
    <w:p>
      <w:r>
        <w:rPr>
          <w:b w:val="0"/>
        </w:rPr>
        <w:t>Ordinary availability, response expectations and any included monthly service allocation will be those stated in the active Upwork contract or a written operational protocol agreed through Upwork. Urgent suspected personal-data breaches or authority communications must be escalated without undue delay through the agreed urgent channel. Correspondence directed to the External DPO that has not received a response or acknowledgement within three working days will be escalated internally by the Company for direct relay to the External DPO, without displacing the urgent escalation channel described above.</w:t>
      </w:r>
    </w:p>
    <w:p>
      <w:pPr>
        <w:pStyle w:val="Heading2"/>
      </w:pPr>
      <w:r>
        <w:rPr>
          <w:b w:val="0"/>
        </w:rPr>
        <w:t>Confidentiality and records</w:t>
      </w:r>
    </w:p>
    <w:p>
      <w:r>
        <w:rPr>
          <w:b w:val="0"/>
        </w:rPr>
        <w:t>The External DPO will maintain confidentiality and secrecy concerning information obtained in the performance of the role, subject to applicable law and the DPO's statutory duties. The Company will respect the confidentiality of communications between the External DPO, data subjects and supervisory authorities.</w:t>
      </w:r>
    </w:p>
    <w:p>
      <w:r>
        <w:rPr>
          <w:b w:val="0"/>
        </w:rPr>
        <w:t>The External DPO may maintain proportionate records of advice, recommendations, issues, management responses and material communications for accountability and handover purposes. The Company remains responsible for its corporate compliance records and implementation evidence.</w:t>
      </w:r>
    </w:p>
    <w:p>
      <w:pPr>
        <w:pStyle w:val="Heading2"/>
      </w:pPr>
      <w:r>
        <w:rPr>
          <w:b w:val="0"/>
        </w:rPr>
        <w:t>Conflicts and other tasks</w:t>
      </w:r>
    </w:p>
    <w:p>
      <w:r>
        <w:rPr>
          <w:b w:val="0"/>
        </w:rPr>
        <w:t>The External DPO will disclose any actual or potential conflict of interest. Additional legal, compliance or operational services may be performed only where they do not require the External DPO to determine the purposes or means of processing or otherwise compromise the independence of the DPO role. Material non-DPO services should be separately scoped through Upwork.  Where EU AI Act or other non-DPO advisory work is separately commissioned under this section, the parties intend a rate of EUR 75 per hour, subject to prior confirmation of scope and estimated effort, or a fixed fee for a defined deliverable — in either case agreed in writing before work begins, and scoped and administered through Upwork as provided above.</w:t>
      </w:r>
    </w:p>
    <w:p>
      <w:pPr>
        <w:pStyle w:val="Heading2"/>
      </w:pPr>
      <w:r>
        <w:rPr>
          <w:b w:val="0"/>
        </w:rPr>
        <w:t>Fees and platform administration</w:t>
      </w:r>
    </w:p>
    <w:p>
      <w:r>
        <w:rPr>
          <w:b w:val="0"/>
        </w:rPr>
        <w:t>Fees, service allocation, time recording, invoicing and payment are governed exclusively by the active Upwork contract and any amendments agreed on the platform. Nothing in this agreement requires or authorises off-platform payment. If there is a conflict concerning platform billing or payment administration, the Upwork terms and the active Upwork contract prevail.</w:t>
      </w:r>
    </w:p>
    <w:p>
      <w:pPr>
        <w:pStyle w:val="Heading2"/>
      </w:pPr>
      <w:r>
        <w:rPr>
          <w:b w:val="0"/>
        </w:rPr>
        <w:t>Responsibility and reliance</w:t>
      </w:r>
    </w:p>
    <w:p>
      <w:r>
        <w:rPr>
          <w:b w:val="0"/>
        </w:rPr>
        <w:t>The External DPO provides independent advice and monitoring but does not replace the Company's decision-makers, product owners, security personnel, processors or local legal counsel. The Company is responsible for the completeness and accuracy of information supplied and for deciding, documenting and implementing appropriate measures.</w:t>
      </w:r>
    </w:p>
    <w:p>
      <w:r>
        <w:rPr>
          <w:b w:val="0"/>
        </w:rPr>
        <w:t>The External DPO is not personally responsible for the Company's non-compliance merely by reason of the appointment. Any contractual liability between the parties remains subject to the active Upwork contract and mandatory applicable law.</w:t>
      </w:r>
    </w:p>
    <w:p>
      <w:pPr>
        <w:pStyle w:val="Heading2"/>
      </w:pPr>
      <w:r>
        <w:rPr>
          <w:b w:val="0"/>
        </w:rPr>
        <w:t>Termination and handover</w:t>
      </w:r>
    </w:p>
    <w:p>
      <w:r>
        <w:rPr>
          <w:b w:val="0"/>
        </w:rPr>
        <w:t>Either party may terminate the services on 30 days' written notice given through Upwork or another agreed recorded channel. Immediate termination is permitted where continued service would be unlawful, a material conflict cannot be resolved, a material breach remains uncured, payment obligations under the Upwork contract are materially overdue, or the relationship of trust required for the statutory role has irretrievably broken down.</w:t>
      </w:r>
    </w:p>
    <w:p>
      <w:r>
        <w:rPr>
          <w:b w:val="0"/>
        </w:rPr>
        <w:t>Termination must not be used to penalise the External DPO for independent performance of statutory tasks. On termination, the parties will cooperate on an orderly handover. The Company is responsible for updating publications and notifying Datatilsynet of any change without undue delay.</w:t>
      </w:r>
    </w:p>
    <w:p>
      <w:pPr>
        <w:pStyle w:val="Heading2"/>
      </w:pPr>
      <w:r>
        <w:rPr>
          <w:b w:val="0"/>
        </w:rPr>
        <w:t>Governing framework and final provisions</w:t>
      </w:r>
    </w:p>
    <w:p>
      <w:r>
        <w:rPr>
          <w:b w:val="0"/>
        </w:rPr>
        <w:t>The statutory DPO function is governed by the GDPR, the Norwegian Personal Data Act and applicable supervisory guidance. Subject to mandatory law and the Upwork terms applicable to platform administration, this supplemental agreement is governed by Norwegian law.</w:t>
      </w:r>
    </w:p>
    <w:p>
      <w:r>
        <w:rPr>
          <w:b w:val="0"/>
        </w:rPr>
        <w:t>Amendments must be recorded in writing. If any provision is invalid or unenforceable, the remaining provisions continue in effect. This agreement, the designation document and the active Upwork contract form the relevant contractual record for the external DPO engagement.</w:t>
      </w:r>
    </w:p>
    <w:tbl>
      <w:tblPr>
        <w:tblStyle w:val="TableGrid"/>
        <w:tblW w:type="auto" w:w="0"/>
        <w:tblLook w:firstColumn="1" w:firstRow="1" w:lastColumn="0" w:lastRow="0" w:noHBand="0" w:noVBand="1" w:val="04A0"/>
      </w:tblPr>
      <w:tblGrid>
        <w:gridCol w:w="4320"/>
        <w:gridCol w:w="4320"/>
      </w:tblGrid>
      <w:tr>
        <w:tc>
          <w:tcPr>
            <w:tcW w:type="dxa" w:w="4320"/>
          </w:tcPr>
          <w:p>
            <w:r/>
            <w:r>
              <w:rPr>
                <w:b w:val="0"/>
              </w:rPr>
              <w:t>For ZWIZZLY AS</w:t>
            </w:r>
          </w:p>
        </w:tc>
        <w:tc>
          <w:tcPr>
            <w:tcW w:type="dxa" w:w="4320"/>
          </w:tcPr>
          <w:p>
            <w:r/>
            <w:r>
              <w:rPr>
                <w:b w:val="0"/>
              </w:rPr>
              <w:t>External DPO</w:t>
            </w:r>
          </w:p>
        </w:tc>
      </w:tr>
      <w:tr>
        <w:tc>
          <w:tcPr>
            <w:tcW w:type="dxa" w:w="4320"/>
          </w:tcPr>
          <w:p>
            <w:r/>
            <w:r>
              <w:rPr>
                <w:b w:val="0"/>
              </w:rPr>
              <w:t>Zuzana Kopečná, Founder</w:t>
            </w:r>
          </w:p>
        </w:tc>
        <w:tc>
          <w:tcPr>
            <w:tcW w:type="dxa" w:w="4320"/>
          </w:tcPr>
          <w:p>
            <w:r/>
            <w:r>
              <w:rPr>
                <w:b w:val="0"/>
              </w:rPr>
              <w:t>Stephan Hartmann</w:t>
            </w:r>
          </w:p>
        </w:tc>
      </w:tr>
      <w:tr>
        <w:tc>
          <w:tcPr>
            <w:tcW w:type="dxa" w:w="4320"/>
          </w:tcPr>
          <w:p>
            <w:r/>
            <w:r>
              <w:rPr>
                <w:b w:val="0"/>
              </w:rPr>
              <w:t>Signature: __________________________</w:t>
            </w:r>
          </w:p>
        </w:tc>
        <w:tc>
          <w:tcPr>
            <w:tcW w:type="dxa" w:w="4320"/>
          </w:tcPr>
          <w:p>
            <w:r/>
            <w:r>
              <w:rPr>
                <w:b w:val="0"/>
              </w:rPr>
              <w:t>Signature: __________________________</w:t>
            </w:r>
          </w:p>
        </w:tc>
      </w:tr>
      <w:tr>
        <w:tc>
          <w:tcPr>
            <w:tcW w:type="dxa" w:w="4320"/>
          </w:tcPr>
          <w:p>
            <w:r/>
            <w:r>
              <w:rPr>
                <w:b w:val="0"/>
              </w:rPr>
              <w:t>Date: [FILL: date of signature]</w:t>
            </w:r>
          </w:p>
        </w:tc>
        <w:tc>
          <w:tcPr>
            <w:tcW w:type="dxa" w:w="4320"/>
          </w:tcPr>
          <w:p>
            <w:r/>
            <w:r>
              <w:rPr>
                <w:b w:val="0"/>
              </w:rPr>
              <w:t>Date: [FILL: date of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