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9F40" w14:textId="77777777" w:rsidR="00D94FB8" w:rsidRDefault="00000000">
      <w:pPr>
        <w:pStyle w:val="Heading1"/>
        <w:spacing w:after="200"/>
        <w:jc w:val="center"/>
      </w:pPr>
      <w:r>
        <w:t>Memo — Main Establishment and Competent Supervisory Authority</w:t>
      </w:r>
    </w:p>
    <w:p w14:paraId="797E29D2" w14:textId="77777777" w:rsidR="00D94FB8" w:rsidRDefault="00000000">
      <w:pPr>
        <w:spacing w:after="120"/>
      </w:pPr>
      <w:r>
        <w:rPr>
          <w:b/>
          <w:bCs/>
        </w:rPr>
        <w:t>Company:</w:t>
      </w:r>
      <w:r>
        <w:t xml:space="preserve"> ZWIZZLY AS, org.nr 811 696 072, registered in Oslo, Norway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2026-07-30</w:t>
      </w:r>
      <w:r>
        <w:br/>
      </w:r>
      <w:r>
        <w:rPr>
          <w:b/>
          <w:bCs/>
        </w:rPr>
        <w:t>Purpose:</w:t>
      </w:r>
      <w:r>
        <w:t xml:space="preserve"> Records the determination of the company's main establishment (GDPR Article 4(16)) and its competent/lead supervisory authority (Articles 55–56), as requested in the DPO Interim DPIA Advice Record (action 2).</w:t>
      </w:r>
    </w:p>
    <w:p w14:paraId="781759BE" w14:textId="77777777" w:rsidR="00D94FB8" w:rsidRDefault="00000000">
      <w:pPr>
        <w:spacing w:after="200"/>
      </w:pPr>
      <w:r>
        <w:t xml:space="preserve"> </w:t>
      </w:r>
    </w:p>
    <w:p w14:paraId="32DAC2FD" w14:textId="77777777" w:rsidR="00D94FB8" w:rsidRDefault="00000000">
      <w:pPr>
        <w:pStyle w:val="Heading2"/>
        <w:spacing w:after="200"/>
      </w:pPr>
      <w:r>
        <w:t>1. Corporate structure</w:t>
      </w:r>
    </w:p>
    <w:p w14:paraId="0D772C38" w14:textId="77777777" w:rsidR="00D94FB8" w:rsidRDefault="00000000">
      <w:pPr>
        <w:spacing w:after="120"/>
      </w:pPr>
      <w:r>
        <w:t>ZWIZZLY AS is a single Norwegian limited company (</w:t>
      </w:r>
      <w:proofErr w:type="spellStart"/>
      <w:r>
        <w:t>aksjeselskap</w:t>
      </w:r>
      <w:proofErr w:type="spellEnd"/>
      <w:r>
        <w:t>) registered in the Register of Business Enterprises (</w:t>
      </w:r>
      <w:proofErr w:type="spellStart"/>
      <w:r>
        <w:t>Foretaksregisteret</w:t>
      </w:r>
      <w:proofErr w:type="spellEnd"/>
      <w:r>
        <w:t>), org.nr 811 696 072, with its registered office in Oslo. Evidence: company registration certificate (provided to the DPO 2026-07-24).</w:t>
      </w:r>
    </w:p>
    <w:p w14:paraId="2FE81EAF" w14:textId="77777777" w:rsidR="00D94FB8" w:rsidRDefault="00000000">
      <w:pPr>
        <w:spacing w:after="200"/>
      </w:pPr>
      <w:r>
        <w:t xml:space="preserve"> </w:t>
      </w:r>
    </w:p>
    <w:p w14:paraId="76EDFE35" w14:textId="77777777" w:rsidR="00D94FB8" w:rsidRDefault="00000000">
      <w:pPr>
        <w:spacing w:after="120"/>
      </w:pPr>
      <w:r>
        <w:t xml:space="preserve">The company has </w:t>
      </w:r>
      <w:r>
        <w:rPr>
          <w:b/>
          <w:bCs/>
        </w:rPr>
        <w:t>no subsidiaries, branches, or other establishments</w:t>
      </w:r>
      <w:r>
        <w:t xml:space="preserve"> in any other country, and no other office, registered presence, or management location anywhere (confirmed by management 2026-07-26).</w:t>
      </w:r>
    </w:p>
    <w:p w14:paraId="233E20E8" w14:textId="77777777" w:rsidR="00D94FB8" w:rsidRDefault="00000000">
      <w:pPr>
        <w:spacing w:after="200"/>
      </w:pPr>
      <w:r>
        <w:t xml:space="preserve"> </w:t>
      </w:r>
    </w:p>
    <w:p w14:paraId="21811C41" w14:textId="77777777" w:rsidR="00D94FB8" w:rsidRDefault="00000000">
      <w:pPr>
        <w:spacing w:after="120"/>
      </w:pPr>
      <w:r>
        <w:rPr>
          <w:b/>
          <w:bCs/>
        </w:rPr>
        <w:t>Trade name.</w:t>
      </w:r>
      <w:r>
        <w:t xml:space="preserve"> The company operates its product under the consumer brand </w:t>
      </w:r>
      <w:proofErr w:type="spellStart"/>
      <w:r>
        <w:rPr>
          <w:b/>
          <w:bCs/>
        </w:rPr>
        <w:t>MentoMate</w:t>
      </w:r>
      <w:proofErr w:type="spellEnd"/>
      <w:r>
        <w:t>. It is not a separate legal entity; all processing is carried out by ZWIZZLY AS alone.</w:t>
      </w:r>
    </w:p>
    <w:p w14:paraId="7125B763" w14:textId="77777777" w:rsidR="00D94FB8" w:rsidRDefault="00000000">
      <w:pPr>
        <w:spacing w:after="200"/>
      </w:pPr>
      <w:r>
        <w:t xml:space="preserve"> </w:t>
      </w:r>
    </w:p>
    <w:p w14:paraId="4EF93FA2" w14:textId="77777777" w:rsidR="00D94FB8" w:rsidRDefault="00000000">
      <w:pPr>
        <w:pStyle w:val="Heading2"/>
        <w:spacing w:after="200"/>
      </w:pPr>
      <w:r>
        <w:t>2. Where processing decisions are made</w:t>
      </w:r>
    </w:p>
    <w:p w14:paraId="4B0B0EA1" w14:textId="77777777" w:rsidR="00D94FB8" w:rsidRDefault="00000000">
      <w:pPr>
        <w:spacing w:after="120"/>
      </w:pPr>
      <w:r>
        <w:t xml:space="preserve">Decisions on the </w:t>
      </w:r>
      <w:r>
        <w:rPr>
          <w:b/>
          <w:bCs/>
        </w:rPr>
        <w:t>purposes and means of processing</w:t>
      </w:r>
      <w:r>
        <w:t xml:space="preserve"> — what personal data the </w:t>
      </w:r>
      <w:proofErr w:type="spellStart"/>
      <w:r>
        <w:t>MentoMate</w:t>
      </w:r>
      <w:proofErr w:type="spellEnd"/>
      <w:r>
        <w:t xml:space="preserve"> service collects, why, with which providers, and under which safeguards — are made exclusively by the company's management in Norway. The Chair of the Board, Zuzana Kopecna, is the decision-maker for all data-protection matters and signs all controller documentation (DPIA, </w:t>
      </w:r>
      <w:proofErr w:type="spellStart"/>
      <w:r>
        <w:t>RoPA</w:t>
      </w:r>
      <w:proofErr w:type="spellEnd"/>
      <w:r>
        <w:t>, provider agreements, this memo).</w:t>
      </w:r>
    </w:p>
    <w:p w14:paraId="023D1C18" w14:textId="77777777" w:rsidR="00D94FB8" w:rsidRDefault="00000000">
      <w:pPr>
        <w:spacing w:after="200"/>
      </w:pPr>
      <w:r>
        <w:t xml:space="preserve"> </w:t>
      </w:r>
    </w:p>
    <w:p w14:paraId="7D6B83E1" w14:textId="77777777" w:rsidR="00D94FB8" w:rsidRDefault="00000000">
      <w:pPr>
        <w:spacing w:after="120"/>
      </w:pPr>
      <w:r>
        <w:t xml:space="preserve">There </w:t>
      </w:r>
      <w:proofErr w:type="gramStart"/>
      <w:r>
        <w:t>is</w:t>
      </w:r>
      <w:proofErr w:type="gramEnd"/>
      <w:r>
        <w:t xml:space="preserve"> no other place of central administration and no establishment elsewhere with decision-making power over processing.</w:t>
      </w:r>
    </w:p>
    <w:p w14:paraId="20AF53AA" w14:textId="77777777" w:rsidR="00D94FB8" w:rsidRDefault="00000000">
      <w:pPr>
        <w:spacing w:after="200"/>
      </w:pPr>
      <w:r>
        <w:t xml:space="preserve"> </w:t>
      </w:r>
    </w:p>
    <w:p w14:paraId="01297428" w14:textId="77777777" w:rsidR="00D94FB8" w:rsidRDefault="00000000">
      <w:pPr>
        <w:pStyle w:val="Heading2"/>
        <w:spacing w:after="200"/>
      </w:pPr>
      <w:r>
        <w:t>3. Determination</w:t>
      </w:r>
    </w:p>
    <w:p w14:paraId="2E59DC61" w14:textId="77777777" w:rsidR="00D94FB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Main establishment (Art 4(16)(a)):</w:t>
      </w:r>
      <w:r>
        <w:t xml:space="preserve"> the place of central administration — </w:t>
      </w:r>
      <w:r>
        <w:rPr>
          <w:b/>
          <w:bCs/>
        </w:rPr>
        <w:t>Oslo, Norway</w:t>
      </w:r>
      <w:r>
        <w:t>. As the company has only one establishment, no competing analysis arises.</w:t>
      </w:r>
    </w:p>
    <w:p w14:paraId="48683168" w14:textId="77777777" w:rsidR="00D94FB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Competent supervisory authority (Art 55):</w:t>
      </w:r>
      <w:r>
        <w:t xml:space="preserve"> </w:t>
      </w:r>
      <w:proofErr w:type="spellStart"/>
      <w:r>
        <w:rPr>
          <w:b/>
          <w:bCs/>
        </w:rPr>
        <w:t>Datatilsynet</w:t>
      </w:r>
      <w:proofErr w:type="spellEnd"/>
      <w:r>
        <w:t xml:space="preserve"> (the Norwegian Data Protection Authority), as the authority of the member state of establishment. Norway </w:t>
      </w:r>
      <w:r>
        <w:lastRenderedPageBreak/>
        <w:t>applies the GDPR through its incorporation into the EEA Agreement and the Norwegian Personal Data Act (</w:t>
      </w:r>
      <w:proofErr w:type="spellStart"/>
      <w:r>
        <w:t>personopplysningsloven</w:t>
      </w:r>
      <w:proofErr w:type="spellEnd"/>
      <w:r>
        <w:t>, 2018).</w:t>
      </w:r>
    </w:p>
    <w:p w14:paraId="603C42A6" w14:textId="77777777" w:rsidR="00D94FB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Lead supervisory authority / one-stop-shop (Art 56):</w:t>
      </w:r>
      <w:r>
        <w:t xml:space="preserve"> the service processes data of </w:t>
      </w:r>
      <w:proofErr w:type="gramStart"/>
      <w:r>
        <w:t>users</w:t>
      </w:r>
      <w:proofErr w:type="gramEnd"/>
      <w:r>
        <w:t xml:space="preserve"> resident in several EEA countries (cross-border processing, Art 4(23)(b)). With a single establishment in Norway, </w:t>
      </w:r>
      <w:proofErr w:type="spellStart"/>
      <w:r>
        <w:rPr>
          <w:b/>
          <w:bCs/>
        </w:rPr>
        <w:t>Datatilsynet</w:t>
      </w:r>
      <w:proofErr w:type="spellEnd"/>
      <w:r>
        <w:rPr>
          <w:b/>
          <w:bCs/>
        </w:rPr>
        <w:t xml:space="preserve"> is the lead supervisory authority</w:t>
      </w:r>
      <w:r>
        <w:t xml:space="preserve"> for that cross-border processing under the one-stop-shop mechanism, which extends to Norway via the EEA Agreement (with the standard EEA-institutional caveats regarding EDPB participation).</w:t>
      </w:r>
    </w:p>
    <w:p w14:paraId="02D5D6FD" w14:textId="77777777" w:rsidR="00D94FB8" w:rsidRDefault="00000000">
      <w:pPr>
        <w:spacing w:after="200"/>
      </w:pPr>
      <w:r>
        <w:t xml:space="preserve"> </w:t>
      </w:r>
    </w:p>
    <w:p w14:paraId="60A564FA" w14:textId="77777777" w:rsidR="00D94FB8" w:rsidRDefault="00000000">
      <w:pPr>
        <w:pStyle w:val="Heading2"/>
        <w:spacing w:after="200"/>
      </w:pPr>
      <w:r>
        <w:t>4. Consequences</w:t>
      </w:r>
    </w:p>
    <w:p w14:paraId="441FA616" w14:textId="77777777" w:rsidR="00D94FB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DPIA prior consultation (Art 36), if ever required, is addressed to </w:t>
      </w:r>
      <w:proofErr w:type="spellStart"/>
      <w:r>
        <w:t>Datatilsynet</w:t>
      </w:r>
      <w:proofErr w:type="spellEnd"/>
      <w:r>
        <w:t>.</w:t>
      </w:r>
    </w:p>
    <w:p w14:paraId="0D336D9E" w14:textId="77777777" w:rsidR="00D94FB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Personal-data breach notifications (Art 33) go to </w:t>
      </w:r>
      <w:proofErr w:type="spellStart"/>
      <w:r>
        <w:t>Datatilsynet</w:t>
      </w:r>
      <w:proofErr w:type="spellEnd"/>
      <w:r>
        <w:t>.</w:t>
      </w:r>
    </w:p>
    <w:p w14:paraId="0900EECA" w14:textId="77777777" w:rsidR="00D94FB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DPO's contact details are communicated to </w:t>
      </w:r>
      <w:proofErr w:type="spellStart"/>
      <w:r>
        <w:t>Datatilsynet</w:t>
      </w:r>
      <w:proofErr w:type="spellEnd"/>
      <w:r>
        <w:t xml:space="preserve"> (Art 37(7)) — </w:t>
      </w:r>
      <w:r>
        <w:rPr>
          <w:b/>
          <w:bCs/>
        </w:rPr>
        <w:t>pending</w:t>
      </w:r>
      <w:r>
        <w:t xml:space="preserve">: to be filed only after the formal DPO appointment is signed and the </w:t>
      </w:r>
      <w:proofErr w:type="spellStart"/>
      <w:r>
        <w:t>dpo</w:t>
      </w:r>
      <w:proofErr w:type="spellEnd"/>
      <w:r>
        <w:t>@ mailbox is live, per the DPO's own instruction not to register before appointment.</w:t>
      </w:r>
    </w:p>
    <w:p w14:paraId="03D56B31" w14:textId="77777777" w:rsidR="00D94FB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Data subjects may lodge a complaint with a supervisory authority in the EEA State of their habitual residence, place of work or place of the alleged infringement, where Article 77 GDPR applies. Where the one-stop-shop mechanism applies, the matter will be handled in coordination with </w:t>
      </w:r>
      <w:proofErr w:type="spellStart"/>
      <w:r>
        <w:t>Datatilsynet</w:t>
      </w:r>
      <w:proofErr w:type="spellEnd"/>
      <w:r>
        <w:t xml:space="preserve"> as lead supervisory authority.</w:t>
      </w:r>
    </w:p>
    <w:p w14:paraId="2D7DE5EF" w14:textId="77777777" w:rsidR="00D94FB8" w:rsidRDefault="00000000">
      <w:pPr>
        <w:spacing w:after="200"/>
      </w:pPr>
      <w:r>
        <w:t xml:space="preserve"> </w:t>
      </w:r>
    </w:p>
    <w:p w14:paraId="51EABEF7" w14:textId="77777777" w:rsidR="00D94FB8" w:rsidRDefault="00000000">
      <w:pPr>
        <w:pStyle w:val="Heading2"/>
        <w:spacing w:after="200"/>
      </w:pPr>
      <w:r>
        <w:t>5. Revisit triggers</w:t>
      </w:r>
    </w:p>
    <w:p w14:paraId="35ACEBF6" w14:textId="77777777" w:rsidR="00D94FB8" w:rsidRDefault="00000000">
      <w:pPr>
        <w:spacing w:after="120"/>
      </w:pPr>
      <w:r>
        <w:t>This determination is re-examined if the company: opens an office or establishment outside Norway; moves central administration; creates any subsidiary; or restructures decision-making so that purposes/means decisions are made elsewhere.</w:t>
      </w:r>
    </w:p>
    <w:p w14:paraId="6E978866" w14:textId="77777777" w:rsidR="00E047BC" w:rsidRDefault="00E047BC">
      <w:pPr>
        <w:spacing w:after="120"/>
      </w:pPr>
    </w:p>
    <w:p w14:paraId="4EBE1A63" w14:textId="0E83FB9F" w:rsidR="00E047BC" w:rsidRDefault="00E047BC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8C24C" wp14:editId="710140F4">
                <wp:simplePos x="0" y="0"/>
                <wp:positionH relativeFrom="column">
                  <wp:posOffset>31750</wp:posOffset>
                </wp:positionH>
                <wp:positionV relativeFrom="paragraph">
                  <wp:posOffset>41275</wp:posOffset>
                </wp:positionV>
                <wp:extent cx="5619750" cy="38100"/>
                <wp:effectExtent l="0" t="0" r="19050" b="19050"/>
                <wp:wrapNone/>
                <wp:docPr id="12883069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0" cy="381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C6A6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3.25pt" to="44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" strokecolor="black [3213]" strokeweight=".5pt">
                <v:stroke joinstyle="miter"/>
              </v:line>
            </w:pict>
          </mc:Fallback>
        </mc:AlternateContent>
      </w:r>
    </w:p>
    <w:p w14:paraId="0846BC3A" w14:textId="77777777" w:rsidR="00E047BC" w:rsidRDefault="00E047BC">
      <w:pPr>
        <w:spacing w:after="120"/>
      </w:pPr>
    </w:p>
    <w:p w14:paraId="15C51546" w14:textId="6E072CD1" w:rsidR="00E047BC" w:rsidRDefault="00E047BC" w:rsidP="00E047BC">
      <w:pPr>
        <w:spacing w:after="120"/>
      </w:pPr>
      <w:r>
        <w:t xml:space="preserve">     </w:t>
      </w:r>
      <w:r>
        <w:t>Confirmed correct and adopted.</w:t>
      </w:r>
    </w:p>
    <w:p w14:paraId="51F0965B" w14:textId="77777777" w:rsidR="00E047BC" w:rsidRDefault="00E047BC">
      <w:pPr>
        <w:spacing w:after="120"/>
      </w:pPr>
    </w:p>
    <w:p w14:paraId="4F10D429" w14:textId="6F5A5794" w:rsidR="00D94FB8" w:rsidRDefault="00E047BC" w:rsidP="00E047BC">
      <w:pPr>
        <w:spacing w:after="200"/>
      </w:pPr>
      <w:r w:rsidRPr="00E047BC">
        <w:drawing>
          <wp:inline distT="0" distB="0" distL="0" distR="0" wp14:anchorId="458201A1" wp14:editId="256A054E">
            <wp:extent cx="5731510" cy="567055"/>
            <wp:effectExtent l="0" t="0" r="2540" b="4445"/>
            <wp:docPr id="7234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2C27" w14:textId="58160B86" w:rsidR="00D94FB8" w:rsidRDefault="00D94FB8">
      <w:pPr>
        <w:spacing w:after="200"/>
      </w:pPr>
    </w:p>
    <w:p w14:paraId="55DE521F" w14:textId="776B6111" w:rsidR="00E047BC" w:rsidRDefault="00E047BC" w:rsidP="00E047BC">
      <w:pPr>
        <w:spacing w:after="200"/>
      </w:pPr>
    </w:p>
    <w:p w14:paraId="5041BF04" w14:textId="31D60BBC" w:rsidR="00D94FB8" w:rsidRDefault="00D94FB8" w:rsidP="00E047BC">
      <w:pPr>
        <w:spacing w:after="200"/>
      </w:pPr>
    </w:p>
    <w:sectPr w:rsidR="00D94F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E657D"/>
    <w:multiLevelType w:val="hybridMultilevel"/>
    <w:tmpl w:val="854C2844"/>
    <w:lvl w:ilvl="0" w:tplc="1AB26896">
      <w:start w:val="1"/>
      <w:numFmt w:val="bullet"/>
      <w:lvlText w:val="●"/>
      <w:lvlJc w:val="left"/>
      <w:pPr>
        <w:ind w:left="720" w:hanging="360"/>
      </w:pPr>
    </w:lvl>
    <w:lvl w:ilvl="1" w:tplc="BDA64288">
      <w:start w:val="1"/>
      <w:numFmt w:val="bullet"/>
      <w:lvlText w:val="○"/>
      <w:lvlJc w:val="left"/>
      <w:pPr>
        <w:ind w:left="1440" w:hanging="360"/>
      </w:pPr>
    </w:lvl>
    <w:lvl w:ilvl="2" w:tplc="C8644F40">
      <w:start w:val="1"/>
      <w:numFmt w:val="bullet"/>
      <w:lvlText w:val="■"/>
      <w:lvlJc w:val="left"/>
      <w:pPr>
        <w:ind w:left="2160" w:hanging="360"/>
      </w:pPr>
    </w:lvl>
    <w:lvl w:ilvl="3" w:tplc="B9547676">
      <w:start w:val="1"/>
      <w:numFmt w:val="bullet"/>
      <w:lvlText w:val="●"/>
      <w:lvlJc w:val="left"/>
      <w:pPr>
        <w:ind w:left="2880" w:hanging="360"/>
      </w:pPr>
    </w:lvl>
    <w:lvl w:ilvl="4" w:tplc="09F8E100">
      <w:start w:val="1"/>
      <w:numFmt w:val="bullet"/>
      <w:lvlText w:val="○"/>
      <w:lvlJc w:val="left"/>
      <w:pPr>
        <w:ind w:left="3600" w:hanging="360"/>
      </w:pPr>
    </w:lvl>
    <w:lvl w:ilvl="5" w:tplc="7CF6472A">
      <w:start w:val="1"/>
      <w:numFmt w:val="bullet"/>
      <w:lvlText w:val="■"/>
      <w:lvlJc w:val="left"/>
      <w:pPr>
        <w:ind w:left="4320" w:hanging="360"/>
      </w:pPr>
    </w:lvl>
    <w:lvl w:ilvl="6" w:tplc="93DCF2C6">
      <w:start w:val="1"/>
      <w:numFmt w:val="bullet"/>
      <w:lvlText w:val="●"/>
      <w:lvlJc w:val="left"/>
      <w:pPr>
        <w:ind w:left="5040" w:hanging="360"/>
      </w:pPr>
    </w:lvl>
    <w:lvl w:ilvl="7" w:tplc="57A02D54">
      <w:start w:val="1"/>
      <w:numFmt w:val="bullet"/>
      <w:lvlText w:val="●"/>
      <w:lvlJc w:val="left"/>
      <w:pPr>
        <w:ind w:left="5760" w:hanging="360"/>
      </w:pPr>
    </w:lvl>
    <w:lvl w:ilvl="8" w:tplc="5B10D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BB09AE"/>
    <w:multiLevelType w:val="hybridMultilevel"/>
    <w:tmpl w:val="147638BE"/>
    <w:lvl w:ilvl="0" w:tplc="396AF97C">
      <w:start w:val="1"/>
      <w:numFmt w:val="bullet"/>
      <w:suff w:val="space"/>
      <w:lvlText w:val="●"/>
      <w:lvlJc w:val="left"/>
      <w:pPr>
        <w:ind w:left="240" w:hanging="180"/>
      </w:pPr>
    </w:lvl>
    <w:lvl w:ilvl="1" w:tplc="AB14D262">
      <w:start w:val="1"/>
      <w:numFmt w:val="bullet"/>
      <w:suff w:val="space"/>
      <w:lvlText w:val="○"/>
      <w:lvlJc w:val="left"/>
      <w:pPr>
        <w:ind w:left="660" w:hanging="180"/>
      </w:pPr>
    </w:lvl>
    <w:lvl w:ilvl="2" w:tplc="6F687536">
      <w:start w:val="1"/>
      <w:numFmt w:val="bullet"/>
      <w:suff w:val="space"/>
      <w:lvlText w:val="■"/>
      <w:lvlJc w:val="left"/>
      <w:pPr>
        <w:ind w:left="1080" w:hanging="180"/>
      </w:pPr>
    </w:lvl>
    <w:lvl w:ilvl="3" w:tplc="0A8E6DD2">
      <w:start w:val="1"/>
      <w:numFmt w:val="bullet"/>
      <w:suff w:val="space"/>
      <w:lvlText w:val="●"/>
      <w:lvlJc w:val="left"/>
      <w:pPr>
        <w:ind w:left="1500" w:hanging="180"/>
      </w:pPr>
    </w:lvl>
    <w:lvl w:ilvl="4" w:tplc="9A66AFC8">
      <w:start w:val="1"/>
      <w:numFmt w:val="bullet"/>
      <w:suff w:val="space"/>
      <w:lvlText w:val="○"/>
      <w:lvlJc w:val="left"/>
      <w:pPr>
        <w:ind w:left="1920" w:hanging="180"/>
      </w:pPr>
    </w:lvl>
    <w:lvl w:ilvl="5" w:tplc="052CED2A">
      <w:start w:val="1"/>
      <w:numFmt w:val="bullet"/>
      <w:suff w:val="space"/>
      <w:lvlText w:val="■"/>
      <w:lvlJc w:val="left"/>
      <w:pPr>
        <w:ind w:left="2340" w:hanging="180"/>
      </w:pPr>
    </w:lvl>
    <w:lvl w:ilvl="6" w:tplc="034AA96C">
      <w:start w:val="1"/>
      <w:numFmt w:val="bullet"/>
      <w:suff w:val="space"/>
      <w:lvlText w:val="●"/>
      <w:lvlJc w:val="left"/>
      <w:pPr>
        <w:ind w:left="2760" w:hanging="180"/>
      </w:pPr>
    </w:lvl>
    <w:lvl w:ilvl="7" w:tplc="2450691A">
      <w:start w:val="1"/>
      <w:numFmt w:val="bullet"/>
      <w:suff w:val="space"/>
      <w:lvlText w:val="○"/>
      <w:lvlJc w:val="left"/>
      <w:pPr>
        <w:ind w:left="3180" w:hanging="180"/>
      </w:pPr>
    </w:lvl>
    <w:lvl w:ilvl="8" w:tplc="78A24EA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965191448">
    <w:abstractNumId w:val="0"/>
    <w:lvlOverride w:ilvl="0">
      <w:startOverride w:val="1"/>
    </w:lvlOverride>
  </w:num>
  <w:num w:numId="2" w16cid:durableId="5045132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B8"/>
    <w:rsid w:val="00C41388"/>
    <w:rsid w:val="00D94FB8"/>
    <w:rsid w:val="00E0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FF1E"/>
  <w15:docId w15:val="{C8A25FAE-657E-443E-82C6-3669FEBD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3038</Characters>
  <Application>Microsoft Office Word</Application>
  <DocSecurity>0</DocSecurity>
  <Lines>68</Lines>
  <Paragraphs>21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Zuzana Kopečná</cp:lastModifiedBy>
  <cp:revision>2</cp:revision>
  <dcterms:created xsi:type="dcterms:W3CDTF">2026-07-30T18:51:00Z</dcterms:created>
  <dcterms:modified xsi:type="dcterms:W3CDTF">2026-07-30T18:51:00Z</dcterms:modified>
</cp:coreProperties>
</file>