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18"/>
        </w:rPr>
        <w:t>INDEPENDENT PRE-APPOINTMENT ADVICE</w:t>
      </w:r>
    </w:p>
    <w:p>
      <w:pPr>
        <w:keepNext/>
        <w:spacing w:before="0" w:after="80"/>
      </w:pPr>
      <w:r>
        <w:rPr>
          <w:rFonts w:ascii="Calibri" w:hAnsi="Calibri"/>
          <w:b/>
          <w:color w:val="000000"/>
          <w:sz w:val="46"/>
        </w:rPr>
        <w:t>INTERIM PROVIDER REVIEW</w:t>
      </w:r>
    </w:p>
    <w:p>
      <w:pPr>
        <w:keepNext/>
        <w:spacing w:before="0" w:after="280"/>
      </w:pPr>
      <w:r>
        <w:rPr>
          <w:rFonts w:ascii="Calibri" w:hAnsi="Calibri"/>
          <w:color w:val="666F78"/>
          <w:sz w:val="27"/>
        </w:rPr>
        <w:t>OpenAI, Mistral and outstanding evidence for the MentoMate DPIA</w:t>
      </w:r>
    </w:p>
    <w:p>
      <w:pPr>
        <w:spacing w:before="0" w:after="40" w:line="240" w:lineRule="auto"/>
      </w:pPr>
      <w:r>
        <w:rPr>
          <w:rFonts w:ascii="Calibri" w:hAnsi="Calibri"/>
          <w:b/>
          <w:color w:val="18242F"/>
          <w:sz w:val="21"/>
        </w:rPr>
        <w:t xml:space="preserve">Prepared for: </w:t>
      </w:r>
      <w:r>
        <w:rPr>
          <w:rFonts w:ascii="Calibri" w:hAnsi="Calibri"/>
          <w:color w:val="18242F"/>
          <w:sz w:val="21"/>
        </w:rPr>
        <w:t>ZWIZZLY AS</w:t>
      </w:r>
    </w:p>
    <w:p>
      <w:pPr>
        <w:spacing w:before="0" w:after="40" w:line="240" w:lineRule="auto"/>
      </w:pPr>
      <w:r>
        <w:rPr>
          <w:rFonts w:ascii="Calibri" w:hAnsi="Calibri"/>
          <w:b/>
          <w:color w:val="18242F"/>
          <w:sz w:val="21"/>
        </w:rPr>
        <w:t xml:space="preserve">Prepared by: </w:t>
      </w:r>
      <w:r>
        <w:rPr>
          <w:rFonts w:ascii="Calibri" w:hAnsi="Calibri"/>
          <w:color w:val="18242F"/>
          <w:sz w:val="21"/>
        </w:rPr>
        <w:t>Stephan Hartmann, DPO-designate</w:t>
      </w:r>
    </w:p>
    <w:p>
      <w:pPr>
        <w:spacing w:before="0" w:after="40" w:line="240" w:lineRule="auto"/>
      </w:pPr>
      <w:r>
        <w:rPr>
          <w:rFonts w:ascii="Calibri" w:hAnsi="Calibri"/>
          <w:b/>
          <w:color w:val="18242F"/>
          <w:sz w:val="21"/>
        </w:rPr>
        <w:t xml:space="preserve">Date: </w:t>
      </w:r>
      <w:r>
        <w:rPr>
          <w:rFonts w:ascii="Calibri" w:hAnsi="Calibri"/>
          <w:color w:val="18242F"/>
          <w:sz w:val="21"/>
        </w:rPr>
        <w:t>26 July 2026</w:t>
      </w:r>
    </w:p>
    <w:p>
      <w:pPr>
        <w:spacing w:before="0" w:after="40" w:line="240" w:lineRule="auto"/>
      </w:pPr>
      <w:r>
        <w:rPr>
          <w:rFonts w:ascii="Calibri" w:hAnsi="Calibri"/>
          <w:b/>
          <w:color w:val="18242F"/>
          <w:sz w:val="21"/>
        </w:rPr>
        <w:t xml:space="preserve">Status: </w:t>
      </w:r>
      <w:r>
        <w:rPr>
          <w:rFonts w:ascii="Calibri" w:hAnsi="Calibri"/>
          <w:color w:val="18242F"/>
          <w:sz w:val="21"/>
        </w:rPr>
        <w:t>Interim advice - not controller approval and not a final DPO opinion</w:t>
      </w:r>
    </w:p>
    <w:p>
      <w:pPr>
        <w:spacing w:before="160" w:after="240"/>
        <w:pBdr>
          <w:bottom w:val="single" w:sz="8" w:space="1" w:color="2E74B5"/>
        </w:pBdr>
      </w:pPr>
    </w:p>
    <w:p>
      <w:pPr>
        <w:keepLines/>
        <w:spacing w:before="160" w:after="200"/>
        <w:ind w:left="259" w:right="259"/>
        <w:shd w:fill="F4F6F9"/>
        <w:pBdr>
          <w:left w:val="single" w:sz="18" w:space="6" w:color="2E74B5"/>
        </w:pBdr>
      </w:pPr>
      <w:r>
        <w:rPr>
          <w:rFonts w:ascii="Calibri" w:hAnsi="Calibri"/>
          <w:b/>
          <w:color w:val="1F4D78"/>
          <w:sz w:val="22"/>
        </w:rPr>
        <w:t xml:space="preserve">Overall conclusion: </w:t>
      </w:r>
      <w:r>
        <w:rPr>
          <w:rFonts w:ascii="Calibri" w:hAnsi="Calibri"/>
          <w:color w:val="18242F"/>
          <w:sz w:val="22"/>
        </w:rPr>
        <w:t>The new material supports a substantive partial review of OpenAI and a configuration-level review of Mistral. It does not yet support closing advice item A7 or approving the launch provider set. Provider-specific configuration, security, subprocessor, transfer and deletion evidence remains outstanding.</w:t>
      </w:r>
    </w:p>
    <w:p>
      <w:pPr>
        <w:pStyle w:val="Heading1"/>
      </w:pPr>
      <w:r>
        <w:t>1. Scope and evidence received</w:t>
      </w:r>
    </w:p>
    <w:p>
      <w:pPr>
        <w:keepLines/>
      </w:pPr>
      <w:r>
        <w:rPr>
          <w:rFonts w:ascii="Calibri" w:hAnsi="Calibri"/>
          <w:i w:val="0"/>
          <w:color w:val="18242F"/>
          <w:sz w:val="22"/>
        </w:rPr>
        <w:t>This review is limited to the evidence supplied on 24 July 2026 and the current official provider materials identified below. It supplements, but does not replace, the main DPIA, the provider data-flow records, the RoPA, the Article 9 assessment or ZWIZZLY AS's final risk decision.</w:t>
      </w:r>
    </w:p>
    <w:tbl>
      <w:tblPr>
        <w:tblStyle w:val="TableGrid"/>
        <w:tblW w:type="dxa" w:w="9360"/>
        <w:jc w:val="left"/>
        <w:tblLayout w:type="fixed"/>
        <w:tblLook w:firstColumn="1" w:firstRow="1" w:lastColumn="0" w:lastRow="0" w:noHBand="0" w:noVBand="1" w:val="04A0"/>
        <w:tblInd w:w="120" w:type="dxa"/>
      </w:tblPr>
      <w:tblGrid>
        <w:gridCol w:w="2500"/>
        <w:gridCol w:w="4300"/>
        <w:gridCol w:w="2560"/>
      </w:tblGrid>
      <w:tr>
        <w:trPr>
          <w:cantSplit/>
          <w:tblHeader/>
        </w:trPr>
        <w:tc>
          <w:tcPr>
            <w:tcW w:type="dxa" w:w="25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Evidence item</w:t>
            </w:r>
          </w:p>
        </w:tc>
        <w:tc>
          <w:tcPr>
            <w:tcW w:type="dxa" w:w="43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What it establishes</w:t>
            </w:r>
          </w:p>
        </w:tc>
        <w:tc>
          <w:tcPr>
            <w:tcW w:type="dxa" w:w="25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Current use</w:t>
            </w:r>
          </w:p>
        </w:tc>
      </w:tr>
      <w:tr>
        <w:trPr>
          <w:cantSplit/>
        </w:trPr>
        <w:tc>
          <w:tcPr>
            <w:tcW w:type="dxa" w:w="2500"/>
          </w:tcPr>
          <w:p>
            <w:pPr>
              <w:spacing w:before="0" w:after="0" w:line="259" w:lineRule="auto"/>
              <w:jc w:val="left"/>
            </w:pPr>
            <w:r/>
            <w:r>
              <w:rPr>
                <w:rFonts w:ascii="Calibri" w:hAnsi="Calibri"/>
                <w:b w:val="0"/>
                <w:color w:val="18242F"/>
                <w:sz w:val="18"/>
              </w:rPr>
              <w:t>ZWIZZLY AS certificate of registration</w:t>
            </w:r>
          </w:p>
        </w:tc>
        <w:tc>
          <w:tcPr>
            <w:tcW w:type="dxa" w:w="4300"/>
          </w:tcPr>
          <w:p>
            <w:pPr>
              <w:spacing w:before="0" w:after="0" w:line="259" w:lineRule="auto"/>
              <w:jc w:val="left"/>
            </w:pPr>
            <w:r/>
            <w:r>
              <w:rPr>
                <w:rFonts w:ascii="Calibri" w:hAnsi="Calibri"/>
                <w:b w:val="0"/>
                <w:color w:val="18242F"/>
                <w:sz w:val="18"/>
              </w:rPr>
              <w:t>Organisation number 811 696 072, registered address, board roles and separate signature authority.</w:t>
            </w:r>
          </w:p>
        </w:tc>
        <w:tc>
          <w:tcPr>
            <w:tcW w:type="dxa" w:w="2560"/>
          </w:tcPr>
          <w:p>
            <w:pPr>
              <w:spacing w:before="0" w:after="0" w:line="259" w:lineRule="auto"/>
              <w:jc w:val="left"/>
            </w:pPr>
            <w:r/>
            <w:r>
              <w:rPr>
                <w:rFonts w:ascii="Calibri" w:hAnsi="Calibri"/>
                <w:b w:val="0"/>
                <w:color w:val="18242F"/>
                <w:sz w:val="18"/>
              </w:rPr>
              <w:t>Controller identity and signatory evidence.</w:t>
            </w:r>
          </w:p>
        </w:tc>
      </w:tr>
      <w:tr>
        <w:trPr>
          <w:cantSplit/>
        </w:trPr>
        <w:tc>
          <w:tcPr>
            <w:tcW w:type="dxa" w:w="2500"/>
          </w:tcPr>
          <w:p>
            <w:pPr>
              <w:spacing w:before="0" w:after="0" w:line="259" w:lineRule="auto"/>
              <w:jc w:val="left"/>
            </w:pPr>
            <w:r/>
            <w:r>
              <w:rPr>
                <w:rFonts w:ascii="Calibri" w:hAnsi="Calibri"/>
                <w:b w:val="0"/>
                <w:color w:val="18242F"/>
                <w:sz w:val="18"/>
              </w:rPr>
              <w:t>Signed OpenAI DPA dated 24 July 2026</w:t>
            </w:r>
          </w:p>
        </w:tc>
        <w:tc>
          <w:tcPr>
            <w:tcW w:type="dxa" w:w="4300"/>
          </w:tcPr>
          <w:p>
            <w:pPr>
              <w:spacing w:before="0" w:after="0" w:line="259" w:lineRule="auto"/>
              <w:jc w:val="left"/>
            </w:pPr>
            <w:r/>
            <w:r>
              <w:rPr>
                <w:rFonts w:ascii="Calibri" w:hAnsi="Calibri"/>
                <w:b w:val="0"/>
                <w:color w:val="18242F"/>
                <w:sz w:val="18"/>
              </w:rPr>
              <w:t>Processor framework, data subject assistance, breach support, subprocessors, deletion and transfer clauses.</w:t>
            </w:r>
          </w:p>
        </w:tc>
        <w:tc>
          <w:tcPr>
            <w:tcW w:type="dxa" w:w="2560"/>
          </w:tcPr>
          <w:p>
            <w:pPr>
              <w:spacing w:before="0" w:after="0" w:line="259" w:lineRule="auto"/>
              <w:jc w:val="left"/>
            </w:pPr>
            <w:r/>
            <w:r>
              <w:rPr>
                <w:rFonts w:ascii="Calibri" w:hAnsi="Calibri"/>
                <w:b w:val="0"/>
                <w:color w:val="18242F"/>
                <w:sz w:val="18"/>
              </w:rPr>
              <w:t>Substantive but incomplete OpenAI provider review.</w:t>
            </w:r>
          </w:p>
        </w:tc>
      </w:tr>
      <w:tr>
        <w:trPr>
          <w:cantSplit/>
        </w:trPr>
        <w:tc>
          <w:tcPr>
            <w:tcW w:type="dxa" w:w="2500"/>
          </w:tcPr>
          <w:p>
            <w:pPr>
              <w:spacing w:before="0" w:after="0" w:line="259" w:lineRule="auto"/>
              <w:jc w:val="left"/>
            </w:pPr>
            <w:r/>
            <w:r>
              <w:rPr>
                <w:rFonts w:ascii="Calibri" w:hAnsi="Calibri"/>
                <w:b w:val="0"/>
                <w:color w:val="18242F"/>
                <w:sz w:val="18"/>
              </w:rPr>
              <w:t>Mistral privacy settings screenshot</w:t>
            </w:r>
          </w:p>
        </w:tc>
        <w:tc>
          <w:tcPr>
            <w:tcW w:type="dxa" w:w="4300"/>
          </w:tcPr>
          <w:p>
            <w:pPr>
              <w:spacing w:before="0" w:after="0" w:line="259" w:lineRule="auto"/>
              <w:jc w:val="left"/>
            </w:pPr>
            <w:r/>
            <w:r>
              <w:rPr>
                <w:rFonts w:ascii="Calibri" w:hAnsi="Calibri"/>
                <w:b w:val="0"/>
                <w:color w:val="18242F"/>
                <w:sz w:val="18"/>
              </w:rPr>
              <w:t>ZWIZZLY AS organisation; API training disabled; zero data retention enabled; Labs models disabled.</w:t>
            </w:r>
          </w:p>
        </w:tc>
        <w:tc>
          <w:tcPr>
            <w:tcW w:type="dxa" w:w="2560"/>
          </w:tcPr>
          <w:p>
            <w:pPr>
              <w:spacing w:before="0" w:after="0" w:line="259" w:lineRule="auto"/>
              <w:jc w:val="left"/>
            </w:pPr>
            <w:r/>
            <w:r>
              <w:rPr>
                <w:rFonts w:ascii="Calibri" w:hAnsi="Calibri"/>
                <w:b w:val="0"/>
                <w:color w:val="18242F"/>
                <w:sz w:val="18"/>
              </w:rPr>
              <w:t>Configuration evidence only, not contractual evidence.</w:t>
            </w:r>
          </w:p>
        </w:tc>
      </w:tr>
      <w:tr>
        <w:trPr>
          <w:cantSplit/>
        </w:trPr>
        <w:tc>
          <w:tcPr>
            <w:tcW w:type="dxa" w:w="2500"/>
          </w:tcPr>
          <w:p>
            <w:pPr>
              <w:spacing w:before="0" w:after="0" w:line="259" w:lineRule="auto"/>
              <w:jc w:val="left"/>
            </w:pPr>
            <w:r/>
            <w:r>
              <w:rPr>
                <w:rFonts w:ascii="Calibri" w:hAnsi="Calibri"/>
                <w:b w:val="0"/>
                <w:color w:val="18242F"/>
                <w:sz w:val="18"/>
              </w:rPr>
              <w:t>Response to DPIA review and advice annex</w:t>
            </w:r>
          </w:p>
        </w:tc>
        <w:tc>
          <w:tcPr>
            <w:tcW w:type="dxa" w:w="4300"/>
          </w:tcPr>
          <w:p>
            <w:pPr>
              <w:spacing w:before="0" w:after="0" w:line="259" w:lineRule="auto"/>
              <w:jc w:val="left"/>
            </w:pPr>
            <w:r/>
            <w:r>
              <w:rPr>
                <w:rFonts w:ascii="Calibri" w:hAnsi="Calibri"/>
                <w:b w:val="0"/>
                <w:color w:val="18242F"/>
                <w:sz w:val="18"/>
              </w:rPr>
              <w:t>Proposed controller positions and questions A1-A10.</w:t>
            </w:r>
          </w:p>
        </w:tc>
        <w:tc>
          <w:tcPr>
            <w:tcW w:type="dxa" w:w="2560"/>
          </w:tcPr>
          <w:p>
            <w:pPr>
              <w:spacing w:before="0" w:after="0" w:line="259" w:lineRule="auto"/>
              <w:jc w:val="left"/>
            </w:pPr>
            <w:r/>
            <w:r>
              <w:rPr>
                <w:rFonts w:ascii="Calibri" w:hAnsi="Calibri"/>
                <w:b w:val="0"/>
                <w:color w:val="18242F"/>
                <w:sz w:val="18"/>
              </w:rPr>
              <w:t>Interim advice record; no approval or signature at this stage.</w:t>
            </w:r>
          </w:p>
        </w:tc>
      </w:tr>
    </w:tbl>
    <w:p>
      <w:pPr>
        <w:spacing w:after="80"/>
      </w:pPr>
    </w:p>
    <w:p>
      <w:pPr>
        <w:pStyle w:val="Heading1"/>
      </w:pPr>
      <w:r>
        <w:t>2. Corporate and authority evidence</w:t>
      </w:r>
    </w:p>
    <w:p>
      <w:pPr>
        <w:keepLines/>
      </w:pPr>
      <w:r>
        <w:rPr>
          <w:rFonts w:ascii="Calibri" w:hAnsi="Calibri"/>
          <w:i w:val="0"/>
          <w:color w:val="18242F"/>
          <w:sz w:val="22"/>
        </w:rPr>
        <w:t>The registration certificate confirms ZWIZZLY AS as a Norwegian private limited company with organisation number 811 696 072 and business address Fiskekroken 3B, 0139 Oslo, Norway. It identifies Zuzana Kopecna as chair and Jørn Kjetil Jørgensen as deputy board member and records that each may sign separately. This supports the authority of Zuzana Kopecna to execute the OpenAI DPA for ZWIZZLY AS.</w:t>
      </w:r>
    </w:p>
    <w:p>
      <w:pPr>
        <w:keepLines/>
        <w:spacing w:before="160" w:after="200"/>
        <w:ind w:left="259" w:right="259"/>
        <w:shd w:fill="FFF7E0"/>
        <w:pBdr>
          <w:left w:val="single" w:sz="18" w:space="6" w:color="7A5A00"/>
        </w:pBdr>
      </w:pPr>
      <w:r>
        <w:rPr>
          <w:rFonts w:ascii="Calibri" w:hAnsi="Calibri"/>
          <w:b/>
          <w:color w:val="7A5A00"/>
          <w:sz w:val="22"/>
        </w:rPr>
        <w:t xml:space="preserve">A1 remains open: </w:t>
      </w:r>
      <w:r>
        <w:rPr>
          <w:rFonts w:ascii="Calibri" w:hAnsi="Calibri"/>
          <w:color w:val="18242F"/>
          <w:sz w:val="22"/>
        </w:rPr>
        <w:t>The certificate proves incorporation, address and signature authority. It does not, by itself, establish Norway as the GDPR main establishment or Datatilsynet as lead supervisory authority. ZWIZZLY AS should still document where central administration is conducted, where the relevant processing decisions are taken and where those decisions can be implemented.</w:t>
      </w:r>
    </w:p>
    <w:p>
      <w:pPr>
        <w:pStyle w:val="Heading1"/>
      </w:pPr>
      <w:r>
        <w:t>3. OpenAI assessment</w:t>
      </w:r>
    </w:p>
    <w:p>
      <w:pPr>
        <w:keepLines/>
      </w:pPr>
      <w:r>
        <w:rPr>
          <w:rFonts w:ascii="Calibri" w:hAnsi="Calibri"/>
          <w:b/>
          <w:color w:val="18242F"/>
          <w:sz w:val="22"/>
        </w:rPr>
        <w:t>Contracting position:</w:t>
      </w:r>
      <w:r>
        <w:rPr>
          <w:rFonts w:ascii="Calibri" w:hAnsi="Calibri"/>
          <w:i w:val="0"/>
          <w:color w:val="18242F"/>
          <w:sz w:val="22"/>
        </w:rPr>
        <w:t xml:space="preserve"> Because ZWIZZLY AS is established in the EEA, the DPA identifies OpenAI Ireland Limited as the applicable contracting processor. The document is signed by both parties and contains the core processor obligations expected under Article 28 GDPR.</w:t>
      </w:r>
    </w:p>
    <w:tbl>
      <w:tblPr>
        <w:tblStyle w:val="TableGrid"/>
        <w:tblW w:type="dxa" w:w="9360"/>
        <w:jc w:val="left"/>
        <w:tblLayout w:type="fixed"/>
        <w:tblLook w:firstColumn="1" w:firstRow="1" w:lastColumn="0" w:lastRow="0" w:noHBand="0" w:noVBand="1" w:val="04A0"/>
        <w:tblInd w:w="120" w:type="dxa"/>
      </w:tblPr>
      <w:tblGrid>
        <w:gridCol w:w="1900"/>
        <w:gridCol w:w="5200"/>
        <w:gridCol w:w="2260"/>
      </w:tblGrid>
      <w:tr>
        <w:trPr>
          <w:cantSplit/>
          <w:tblHeader/>
        </w:trPr>
        <w:tc>
          <w:tcPr>
            <w:tcW w:type="dxa" w:w="19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Review area</w:t>
            </w:r>
          </w:p>
        </w:tc>
        <w:tc>
          <w:tcPr>
            <w:tcW w:type="dxa" w:w="52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Finding</w:t>
            </w:r>
          </w:p>
        </w:tc>
        <w:tc>
          <w:tcPr>
            <w:tcW w:type="dxa" w:w="22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Interim status</w:t>
            </w:r>
          </w:p>
        </w:tc>
      </w:tr>
      <w:tr>
        <w:trPr>
          <w:cantSplit/>
        </w:trPr>
        <w:tc>
          <w:tcPr>
            <w:tcW w:type="dxa" w:w="1900"/>
          </w:tcPr>
          <w:p>
            <w:pPr>
              <w:spacing w:before="0" w:after="0" w:line="259" w:lineRule="auto"/>
              <w:jc w:val="left"/>
            </w:pPr>
            <w:r/>
            <w:r>
              <w:rPr>
                <w:rFonts w:ascii="Calibri" w:hAnsi="Calibri"/>
                <w:b w:val="0"/>
                <w:color w:val="18242F"/>
                <w:sz w:val="18"/>
              </w:rPr>
              <w:t>Roles and instructions</w:t>
            </w:r>
          </w:p>
        </w:tc>
        <w:tc>
          <w:tcPr>
            <w:tcW w:type="dxa" w:w="5200"/>
          </w:tcPr>
          <w:p>
            <w:pPr>
              <w:spacing w:before="0" w:after="0" w:line="259" w:lineRule="auto"/>
              <w:jc w:val="left"/>
            </w:pPr>
            <w:r/>
            <w:r>
              <w:rPr>
                <w:rFonts w:ascii="Calibri" w:hAnsi="Calibri"/>
                <w:b w:val="0"/>
                <w:color w:val="18242F"/>
                <w:sz w:val="18"/>
              </w:rPr>
              <w:t>OpenAI acts as processor and is restricted to the agreement, DPA and customer configuration instructions.</w:t>
            </w:r>
          </w:p>
        </w:tc>
        <w:tc>
          <w:tcPr>
            <w:tcW w:type="dxa" w:w="2260"/>
          </w:tcPr>
          <w:p>
            <w:pPr>
              <w:spacing w:before="0" w:after="0" w:line="259" w:lineRule="auto"/>
              <w:jc w:val="left"/>
            </w:pPr>
            <w:r/>
            <w:r>
              <w:rPr>
                <w:rFonts w:ascii="Calibri" w:hAnsi="Calibri"/>
                <w:b w:val="0"/>
                <w:color w:val="18242F"/>
                <w:sz w:val="18"/>
              </w:rPr>
              <w:t>Generally adequate.</w:t>
            </w:r>
          </w:p>
        </w:tc>
      </w:tr>
      <w:tr>
        <w:trPr>
          <w:cantSplit/>
        </w:trPr>
        <w:tc>
          <w:tcPr>
            <w:tcW w:type="dxa" w:w="1900"/>
          </w:tcPr>
          <w:p>
            <w:pPr>
              <w:spacing w:before="0" w:after="0" w:line="259" w:lineRule="auto"/>
              <w:jc w:val="left"/>
            </w:pPr>
            <w:r/>
            <w:r>
              <w:rPr>
                <w:rFonts w:ascii="Calibri" w:hAnsi="Calibri"/>
                <w:b w:val="0"/>
                <w:color w:val="18242F"/>
                <w:sz w:val="18"/>
              </w:rPr>
              <w:t>Confidentiality and rights</w:t>
            </w:r>
          </w:p>
        </w:tc>
        <w:tc>
          <w:tcPr>
            <w:tcW w:type="dxa" w:w="5200"/>
          </w:tcPr>
          <w:p>
            <w:pPr>
              <w:spacing w:before="0" w:after="0" w:line="259" w:lineRule="auto"/>
              <w:jc w:val="left"/>
            </w:pPr>
            <w:r/>
            <w:r>
              <w:rPr>
                <w:rFonts w:ascii="Calibri" w:hAnsi="Calibri"/>
                <w:b w:val="0"/>
                <w:color w:val="18242F"/>
                <w:sz w:val="18"/>
              </w:rPr>
              <w:t>Confidentiality, data subject request routing and technical assistance are addressed.</w:t>
            </w:r>
          </w:p>
        </w:tc>
        <w:tc>
          <w:tcPr>
            <w:tcW w:type="dxa" w:w="2260"/>
          </w:tcPr>
          <w:p>
            <w:pPr>
              <w:spacing w:before="0" w:after="0" w:line="259" w:lineRule="auto"/>
              <w:jc w:val="left"/>
            </w:pPr>
            <w:r/>
            <w:r>
              <w:rPr>
                <w:rFonts w:ascii="Calibri" w:hAnsi="Calibri"/>
                <w:b w:val="0"/>
                <w:color w:val="18242F"/>
                <w:sz w:val="18"/>
              </w:rPr>
              <w:t>Generally adequate.</w:t>
            </w:r>
          </w:p>
        </w:tc>
      </w:tr>
      <w:tr>
        <w:trPr>
          <w:cantSplit/>
        </w:trPr>
        <w:tc>
          <w:tcPr>
            <w:tcW w:type="dxa" w:w="1900"/>
          </w:tcPr>
          <w:p>
            <w:pPr>
              <w:spacing w:before="0" w:after="0" w:line="259" w:lineRule="auto"/>
              <w:jc w:val="left"/>
            </w:pPr>
            <w:r/>
            <w:r>
              <w:rPr>
                <w:rFonts w:ascii="Calibri" w:hAnsi="Calibri"/>
                <w:b w:val="0"/>
                <w:color w:val="18242F"/>
                <w:sz w:val="18"/>
              </w:rPr>
              <w:t>Security and breach</w:t>
            </w:r>
          </w:p>
        </w:tc>
        <w:tc>
          <w:tcPr>
            <w:tcW w:type="dxa" w:w="5200"/>
          </w:tcPr>
          <w:p>
            <w:pPr>
              <w:spacing w:before="0" w:after="0" w:line="259" w:lineRule="auto"/>
              <w:jc w:val="left"/>
            </w:pPr>
            <w:r/>
            <w:r>
              <w:rPr>
                <w:rFonts w:ascii="Calibri" w:hAnsi="Calibri"/>
                <w:b w:val="0"/>
                <w:color w:val="18242F"/>
                <w:sz w:val="18"/>
              </w:rPr>
              <w:t>Security is described only at a high level and refers to the underlying agreement; breach notice is without undue delay.</w:t>
            </w:r>
          </w:p>
        </w:tc>
        <w:tc>
          <w:tcPr>
            <w:tcW w:type="dxa" w:w="2260"/>
          </w:tcPr>
          <w:p>
            <w:pPr>
              <w:spacing w:before="0" w:after="0" w:line="259" w:lineRule="auto"/>
              <w:jc w:val="left"/>
            </w:pPr>
            <w:r/>
            <w:r>
              <w:rPr>
                <w:rFonts w:ascii="Calibri" w:hAnsi="Calibri"/>
                <w:b w:val="0"/>
                <w:color w:val="18242F"/>
                <w:sz w:val="18"/>
              </w:rPr>
              <w:t>TOM/security evidence required.</w:t>
            </w:r>
          </w:p>
        </w:tc>
      </w:tr>
      <w:tr>
        <w:trPr>
          <w:cantSplit/>
        </w:trPr>
        <w:tc>
          <w:tcPr>
            <w:tcW w:type="dxa" w:w="1900"/>
          </w:tcPr>
          <w:p>
            <w:pPr>
              <w:spacing w:before="0" w:after="0" w:line="259" w:lineRule="auto"/>
              <w:jc w:val="left"/>
            </w:pPr>
            <w:r/>
            <w:r>
              <w:rPr>
                <w:rFonts w:ascii="Calibri" w:hAnsi="Calibri"/>
                <w:b w:val="0"/>
                <w:color w:val="18242F"/>
                <w:sz w:val="18"/>
              </w:rPr>
              <w:t>Subprocessors</w:t>
            </w:r>
          </w:p>
        </w:tc>
        <w:tc>
          <w:tcPr>
            <w:tcW w:type="dxa" w:w="5200"/>
          </w:tcPr>
          <w:p>
            <w:pPr>
              <w:spacing w:before="0" w:after="0" w:line="259" w:lineRule="auto"/>
              <w:jc w:val="left"/>
            </w:pPr>
            <w:r/>
            <w:r>
              <w:rPr>
                <w:rFonts w:ascii="Calibri" w:hAnsi="Calibri"/>
                <w:b w:val="0"/>
                <w:color w:val="18242F"/>
                <w:sz w:val="18"/>
              </w:rPr>
              <w:t>General authorisation, notice, objection and downstream obligations are included.</w:t>
            </w:r>
          </w:p>
        </w:tc>
        <w:tc>
          <w:tcPr>
            <w:tcW w:type="dxa" w:w="2260"/>
          </w:tcPr>
          <w:p>
            <w:pPr>
              <w:spacing w:before="0" w:after="0" w:line="259" w:lineRule="auto"/>
              <w:jc w:val="left"/>
            </w:pPr>
            <w:r/>
            <w:r>
              <w:rPr>
                <w:rFonts w:ascii="Calibri" w:hAnsi="Calibri"/>
                <w:b w:val="0"/>
                <w:color w:val="18242F"/>
                <w:sz w:val="18"/>
              </w:rPr>
              <w:t>Current list and locations required.</w:t>
            </w:r>
          </w:p>
        </w:tc>
      </w:tr>
      <w:tr>
        <w:trPr>
          <w:cantSplit/>
        </w:trPr>
        <w:tc>
          <w:tcPr>
            <w:tcW w:type="dxa" w:w="1900"/>
          </w:tcPr>
          <w:p>
            <w:pPr>
              <w:spacing w:before="0" w:after="0" w:line="259" w:lineRule="auto"/>
              <w:jc w:val="left"/>
            </w:pPr>
            <w:r/>
            <w:r>
              <w:rPr>
                <w:rFonts w:ascii="Calibri" w:hAnsi="Calibri"/>
                <w:b w:val="0"/>
                <w:color w:val="18242F"/>
                <w:sz w:val="18"/>
              </w:rPr>
              <w:t>Return and deletion</w:t>
            </w:r>
          </w:p>
        </w:tc>
        <w:tc>
          <w:tcPr>
            <w:tcW w:type="dxa" w:w="5200"/>
          </w:tcPr>
          <w:p>
            <w:pPr>
              <w:spacing w:before="0" w:after="0" w:line="259" w:lineRule="auto"/>
              <w:jc w:val="left"/>
            </w:pPr>
            <w:r/>
            <w:r>
              <w:rPr>
                <w:rFonts w:ascii="Calibri" w:hAnsi="Calibri"/>
                <w:b w:val="0"/>
                <w:color w:val="18242F"/>
                <w:sz w:val="18"/>
              </w:rPr>
              <w:t>Return or deletion is available after termination, subject to legal retention; configuration responsibility remains with ZWIZZLY AS.</w:t>
            </w:r>
          </w:p>
        </w:tc>
        <w:tc>
          <w:tcPr>
            <w:tcW w:type="dxa" w:w="2260"/>
          </w:tcPr>
          <w:p>
            <w:pPr>
              <w:spacing w:before="0" w:after="0" w:line="259" w:lineRule="auto"/>
              <w:jc w:val="left"/>
            </w:pPr>
            <w:r/>
            <w:r>
              <w:rPr>
                <w:rFonts w:ascii="Calibri" w:hAnsi="Calibri"/>
                <w:b w:val="0"/>
                <w:color w:val="18242F"/>
                <w:sz w:val="18"/>
              </w:rPr>
              <w:t>Product-level deletion evidence required.</w:t>
            </w:r>
          </w:p>
        </w:tc>
      </w:tr>
      <w:tr>
        <w:trPr>
          <w:cantSplit/>
        </w:trPr>
        <w:tc>
          <w:tcPr>
            <w:tcW w:type="dxa" w:w="1900"/>
          </w:tcPr>
          <w:p>
            <w:pPr>
              <w:spacing w:before="0" w:after="0" w:line="259" w:lineRule="auto"/>
              <w:jc w:val="left"/>
            </w:pPr>
            <w:r/>
            <w:r>
              <w:rPr>
                <w:rFonts w:ascii="Calibri" w:hAnsi="Calibri"/>
                <w:b w:val="0"/>
                <w:color w:val="18242F"/>
                <w:sz w:val="18"/>
              </w:rPr>
              <w:t>International transfers</w:t>
            </w:r>
          </w:p>
        </w:tc>
        <w:tc>
          <w:tcPr>
            <w:tcW w:type="dxa" w:w="5200"/>
          </w:tcPr>
          <w:p>
            <w:pPr>
              <w:spacing w:before="0" w:after="0" w:line="259" w:lineRule="auto"/>
              <w:jc w:val="left"/>
            </w:pPr>
            <w:r/>
            <w:r>
              <w:rPr>
                <w:rFonts w:ascii="Calibri" w:hAnsi="Calibri"/>
                <w:b w:val="0"/>
                <w:color w:val="18242F"/>
                <w:sz w:val="18"/>
              </w:rPr>
              <w:t>EEA onward transfers are stated to rely on adequacy or SCC arrangements.</w:t>
            </w:r>
          </w:p>
        </w:tc>
        <w:tc>
          <w:tcPr>
            <w:tcW w:type="dxa" w:w="2260"/>
          </w:tcPr>
          <w:p>
            <w:pPr>
              <w:spacing w:before="0" w:after="0" w:line="259" w:lineRule="auto"/>
              <w:jc w:val="left"/>
            </w:pPr>
            <w:r/>
            <w:r>
              <w:rPr>
                <w:rFonts w:ascii="Calibri" w:hAnsi="Calibri"/>
                <w:b w:val="0"/>
                <w:color w:val="18242F"/>
                <w:sz w:val="18"/>
              </w:rPr>
              <w:t>Data-flow mapping and TIA evidence required.</w:t>
            </w:r>
          </w:p>
        </w:tc>
      </w:tr>
      <w:tr>
        <w:trPr>
          <w:cantSplit/>
        </w:trPr>
        <w:tc>
          <w:tcPr>
            <w:tcW w:type="dxa" w:w="1900"/>
          </w:tcPr>
          <w:p>
            <w:pPr>
              <w:spacing w:before="0" w:after="0" w:line="259" w:lineRule="auto"/>
              <w:jc w:val="left"/>
            </w:pPr>
            <w:r/>
            <w:r>
              <w:rPr>
                <w:rFonts w:ascii="Calibri" w:hAnsi="Calibri"/>
                <w:b w:val="0"/>
                <w:color w:val="18242F"/>
                <w:sz w:val="18"/>
              </w:rPr>
              <w:t>Special-category data</w:t>
            </w:r>
          </w:p>
        </w:tc>
        <w:tc>
          <w:tcPr>
            <w:tcW w:type="dxa" w:w="5200"/>
          </w:tcPr>
          <w:p>
            <w:pPr>
              <w:spacing w:before="0" w:after="0" w:line="259" w:lineRule="auto"/>
              <w:jc w:val="left"/>
            </w:pPr>
            <w:r/>
            <w:r>
              <w:rPr>
                <w:rFonts w:ascii="Calibri" w:hAnsi="Calibri"/>
                <w:b w:val="0"/>
                <w:color w:val="18242F"/>
                <w:sz w:val="18"/>
              </w:rPr>
              <w:t>The schedule anticipates unexpected sensitive data in unstructured user content.</w:t>
            </w:r>
          </w:p>
        </w:tc>
        <w:tc>
          <w:tcPr>
            <w:tcW w:type="dxa" w:w="2260"/>
          </w:tcPr>
          <w:p>
            <w:pPr>
              <w:spacing w:before="0" w:after="0" w:line="259" w:lineRule="auto"/>
              <w:jc w:val="left"/>
            </w:pPr>
            <w:r/>
            <w:r>
              <w:rPr>
                <w:rFonts w:ascii="Calibri" w:hAnsi="Calibri"/>
                <w:b w:val="0"/>
                <w:color w:val="18242F"/>
                <w:sz w:val="18"/>
              </w:rPr>
              <w:t>Aligned with the stated incidental-disclosure risk, subject to safeguards.</w:t>
            </w:r>
          </w:p>
        </w:tc>
      </w:tr>
    </w:tbl>
    <w:p>
      <w:pPr>
        <w:spacing w:after="80"/>
      </w:pPr>
    </w:p>
    <w:p>
      <w:pPr>
        <w:keepLines/>
      </w:pPr>
      <w:r>
        <w:rPr>
          <w:rFonts w:ascii="Calibri" w:hAnsi="Calibri"/>
          <w:b/>
          <w:color w:val="18242F"/>
          <w:sz w:val="22"/>
        </w:rPr>
        <w:t>Training and retention:</w:t>
      </w:r>
      <w:r>
        <w:rPr>
          <w:rFonts w:ascii="Calibri" w:hAnsi="Calibri"/>
          <w:i w:val="0"/>
          <w:color w:val="18242F"/>
          <w:sz w:val="22"/>
        </w:rPr>
        <w:t xml:space="preserve"> OpenAI's current API documentation states that API data is not used to train models unless the customer explicitly opts in. It also states that abuse-monitoring logs may retain customer content for up to 30 days by default. Approved Zero Data Retention or Modified Abuse Monitoring changes that position. ZWIZZLY AS must therefore preserve organisation and project screenshots showing the actual setting.</w:t>
      </w:r>
    </w:p>
    <w:p>
      <w:pPr>
        <w:keepLines/>
      </w:pPr>
      <w:r>
        <w:rPr>
          <w:rFonts w:ascii="Calibri" w:hAnsi="Calibri"/>
          <w:b/>
          <w:color w:val="18242F"/>
          <w:sz w:val="22"/>
        </w:rPr>
        <w:t>European processing:</w:t>
      </w:r>
      <w:r>
        <w:rPr>
          <w:rFonts w:ascii="Calibri" w:hAnsi="Calibri"/>
          <w:i w:val="0"/>
          <w:color w:val="18242F"/>
          <w:sz w:val="22"/>
        </w:rPr>
        <w:t xml:space="preserve"> OpenAI's current documentation describes European data residency and regional processing as a per-project configuration. It also states that non-US data residency requires approved abuse-monitoring controls and a modified-retention amendment. A contract alone does not prove that the MentoMate project uses the EU endpoint or an eligible model and endpoint combination.</w:t>
      </w:r>
    </w:p>
    <w:p>
      <w:pPr>
        <w:keepLines/>
      </w:pPr>
      <w:r>
        <w:rPr>
          <w:rFonts w:ascii="Calibri" w:hAnsi="Calibri"/>
          <w:b/>
          <w:color w:val="18242F"/>
          <w:sz w:val="22"/>
        </w:rPr>
        <w:t>Minors:</w:t>
      </w:r>
      <w:r>
        <w:rPr>
          <w:rFonts w:ascii="Calibri" w:hAnsi="Calibri"/>
          <w:i w:val="0"/>
          <w:color w:val="18242F"/>
          <w:sz w:val="22"/>
        </w:rPr>
        <w:t xml:space="preserve"> OpenAI's current Under 18 API Guidance requires additional age-appropriate disclosures, content filters, monitoring, reporting and escalation measures. It states that personal data of children below 13 or below the applicable digital-consent age must not be processed without first implementing Zero Data Retention. The proposed 13-plus perimeter reduces, but does not remove, the need to document these provider-specific child-safety controls.</w:t>
      </w:r>
    </w:p>
    <w:p>
      <w:pPr>
        <w:keepLines/>
        <w:spacing w:before="160" w:after="200"/>
        <w:ind w:left="259" w:right="259"/>
        <w:shd w:fill="F4F6F9"/>
        <w:pBdr>
          <w:left w:val="single" w:sz="18" w:space="6" w:color="2E74B5"/>
        </w:pBdr>
      </w:pPr>
      <w:r>
        <w:rPr>
          <w:rFonts w:ascii="Calibri" w:hAnsi="Calibri"/>
          <w:b/>
          <w:color w:val="1F4D78"/>
          <w:sz w:val="22"/>
        </w:rPr>
        <w:t xml:space="preserve">OpenAI interim conclusion: </w:t>
      </w:r>
      <w:r>
        <w:rPr>
          <w:rFonts w:ascii="Calibri" w:hAnsi="Calibri"/>
          <w:color w:val="18242F"/>
          <w:sz w:val="22"/>
        </w:rPr>
        <w:t>The signed DPA is a credible Article 28 foundation, but OpenAI should remain conditionally accepted rather than finally approved until the actual organisation/project configuration, EU-region use, model/endpoints, TOMs, current subprocessors, deletion behaviour and transfer assessment are evidenced.</w:t>
      </w:r>
    </w:p>
    <w:p>
      <w:pPr>
        <w:pStyle w:val="Heading1"/>
      </w:pPr>
      <w:r>
        <w:t>4. Mistral assessment</w:t>
      </w:r>
    </w:p>
    <w:p>
      <w:pPr>
        <w:keepLines/>
      </w:pPr>
      <w:r>
        <w:rPr>
          <w:rFonts w:ascii="Calibri" w:hAnsi="Calibri"/>
          <w:b/>
          <w:color w:val="18242F"/>
          <w:sz w:val="22"/>
        </w:rPr>
        <w:t>Configuration evidence:</w:t>
      </w:r>
      <w:r>
        <w:rPr>
          <w:rFonts w:ascii="Calibri" w:hAnsi="Calibri"/>
          <w:i w:val="0"/>
          <w:color w:val="18242F"/>
          <w:sz w:val="22"/>
        </w:rPr>
        <w:t xml:space="preserve"> The screenshot identifies the ZWIZZLY AS organisation and shows that the option allowing API calls to be used for model training is disabled, zero data retention is enabled and Labs models are disabled. These are relevant and positive safeguards. The file should be retained with its capture date and the person who obtained it.</w:t>
      </w:r>
    </w:p>
    <w:p>
      <w:pPr>
        <w:keepLines/>
      </w:pPr>
      <w:r>
        <w:rPr>
          <w:rFonts w:ascii="Calibri" w:hAnsi="Calibri"/>
          <w:b/>
          <w:color w:val="18242F"/>
          <w:sz w:val="22"/>
        </w:rPr>
        <w:t>Contract evidence:</w:t>
      </w:r>
      <w:r>
        <w:rPr>
          <w:rFonts w:ascii="Calibri" w:hAnsi="Calibri"/>
          <w:i w:val="0"/>
          <w:color w:val="18242F"/>
          <w:sz w:val="22"/>
        </w:rPr>
        <w:t xml:space="preserve"> The screenshot does not establish that the current Mistral DPA forms part of ZWIZZLY AS's agreement. The applicable agreement, DPA acceptance record, effective version, Trust Center security materials and current subprocessor list must be preserved.</w:t>
      </w:r>
    </w:p>
    <w:p>
      <w:pPr>
        <w:keepLines/>
      </w:pPr>
      <w:r>
        <w:rPr>
          <w:rFonts w:ascii="Calibri" w:hAnsi="Calibri"/>
          <w:b/>
          <w:color w:val="18242F"/>
          <w:sz w:val="22"/>
        </w:rPr>
        <w:t>Sensitive data mismatch:</w:t>
      </w:r>
      <w:r>
        <w:rPr>
          <w:rFonts w:ascii="Calibri" w:hAnsi="Calibri"/>
          <w:i w:val="0"/>
          <w:color w:val="18242F"/>
          <w:sz w:val="22"/>
        </w:rPr>
        <w:t xml:space="preserve"> Mistral's current standard DPA describes special categories of personal data as 'None'. That description is not fully aligned with MentoMate's acknowledged risk that learners may unexpectedly include, or the service may infer, health, disability, religion, political views, ethnicity, sexual orientation or other Article 9 information. Before production use, ZWIZZLY AS should obtain a contractual clarification or implement and evidence a technical route that prevents such content from reaching Mistral.</w:t>
      </w:r>
    </w:p>
    <w:p>
      <w:pPr>
        <w:keepLines/>
      </w:pPr>
      <w:r>
        <w:rPr>
          <w:rFonts w:ascii="Calibri" w:hAnsi="Calibri"/>
          <w:b/>
          <w:color w:val="18242F"/>
          <w:sz w:val="22"/>
        </w:rPr>
        <w:t>Feedback:</w:t>
      </w:r>
      <w:r>
        <w:rPr>
          <w:rFonts w:ascii="Calibri" w:hAnsi="Calibri"/>
          <w:i w:val="0"/>
          <w:color w:val="18242F"/>
          <w:sz w:val="22"/>
        </w:rPr>
        <w:t xml:space="preserve"> Mistral's current DPA states that, when in-product thumbs-up or thumbs-down feedback is supplied, Mistral may process the feedback and associated input and output as controller for training, research or product improvement. Production child content must not be submitted through such feedback mechanisms.</w:t>
      </w:r>
    </w:p>
    <w:p>
      <w:pPr>
        <w:keepLines/>
        <w:spacing w:before="160" w:after="200"/>
        <w:ind w:left="259" w:right="259"/>
        <w:shd w:fill="FFF7E0"/>
        <w:pBdr>
          <w:left w:val="single" w:sz="18" w:space="6" w:color="7A5A00"/>
        </w:pBdr>
      </w:pPr>
      <w:r>
        <w:rPr>
          <w:rFonts w:ascii="Calibri" w:hAnsi="Calibri"/>
          <w:b/>
          <w:color w:val="7A5A00"/>
          <w:sz w:val="22"/>
        </w:rPr>
        <w:t xml:space="preserve">Mistral interim conclusion: </w:t>
      </w:r>
      <w:r>
        <w:rPr>
          <w:rFonts w:ascii="Calibri" w:hAnsi="Calibri"/>
          <w:color w:val="18242F"/>
          <w:sz w:val="22"/>
        </w:rPr>
        <w:t>The configuration is promising, but the provider is not ready for final approval. Contract acceptance, security, subprocessor, transfer and special-category-data issues must be closed first.</w:t>
      </w:r>
    </w:p>
    <w:p>
      <w:pPr>
        <w:pStyle w:val="Heading1"/>
        <w:pageBreakBefore/>
      </w:pPr>
      <w:r>
        <w:t>5. Required evidence and decisions</w:t>
      </w:r>
    </w:p>
    <w:tbl>
      <w:tblPr>
        <w:tblStyle w:val="TableGrid"/>
        <w:tblW w:type="dxa" w:w="9360"/>
        <w:jc w:val="left"/>
        <w:tblLayout w:type="fixed"/>
        <w:tblLook w:firstColumn="1" w:firstRow="1" w:lastColumn="0" w:lastRow="0" w:noHBand="0" w:noVBand="1" w:val="04A0"/>
        <w:tblInd w:w="120" w:type="dxa"/>
      </w:tblPr>
      <w:tblGrid>
        <w:gridCol w:w="1700"/>
        <w:gridCol w:w="4540"/>
        <w:gridCol w:w="3120"/>
      </w:tblGrid>
      <w:tr>
        <w:trPr>
          <w:cantSplit/>
          <w:tblHeader/>
        </w:trPr>
        <w:tc>
          <w:tcPr>
            <w:tcW w:type="dxa" w:w="17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Owner</w:t>
            </w:r>
          </w:p>
        </w:tc>
        <w:tc>
          <w:tcPr>
            <w:tcW w:type="dxa" w:w="454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Required item</w:t>
            </w:r>
          </w:p>
        </w:tc>
        <w:tc>
          <w:tcPr>
            <w:tcW w:type="dxa" w:w="312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Purpose / closure criterion</w:t>
            </w:r>
          </w:p>
        </w:tc>
      </w:tr>
      <w:tr>
        <w:trPr>
          <w:cantSplit/>
        </w:trPr>
        <w:tc>
          <w:tcPr>
            <w:tcW w:type="dxa" w:w="1700"/>
          </w:tcPr>
          <w:p>
            <w:pPr>
              <w:spacing w:before="0" w:after="0" w:line="259" w:lineRule="auto"/>
              <w:jc w:val="left"/>
            </w:pPr>
            <w:r/>
            <w:r>
              <w:rPr>
                <w:rFonts w:ascii="Calibri" w:hAnsi="Calibri"/>
                <w:b w:val="0"/>
                <w:color w:val="18242F"/>
                <w:sz w:val="18"/>
              </w:rPr>
              <w:t>ZWIZZLY AS</w:t>
            </w:r>
          </w:p>
        </w:tc>
        <w:tc>
          <w:tcPr>
            <w:tcW w:type="dxa" w:w="4540"/>
          </w:tcPr>
          <w:p>
            <w:pPr>
              <w:spacing w:before="0" w:after="0" w:line="259" w:lineRule="auto"/>
              <w:jc w:val="left"/>
            </w:pPr>
            <w:r/>
            <w:r>
              <w:rPr>
                <w:rFonts w:ascii="Calibri" w:hAnsi="Calibri"/>
                <w:b w:val="0"/>
                <w:color w:val="18242F"/>
                <w:sz w:val="18"/>
              </w:rPr>
              <w:t>OpenAI organisation/project screenshots for ZDR or MAM, training/data-sharing settings, EU region, endpoint and model selection.</w:t>
            </w:r>
          </w:p>
        </w:tc>
        <w:tc>
          <w:tcPr>
            <w:tcW w:type="dxa" w:w="3120"/>
          </w:tcPr>
          <w:p>
            <w:pPr>
              <w:spacing w:before="0" w:after="0" w:line="259" w:lineRule="auto"/>
              <w:jc w:val="left"/>
            </w:pPr>
            <w:r/>
            <w:r>
              <w:rPr>
                <w:rFonts w:ascii="Calibri" w:hAnsi="Calibri"/>
                <w:b w:val="0"/>
                <w:color w:val="18242F"/>
                <w:sz w:val="18"/>
              </w:rPr>
              <w:t>Prove actual configuration and retention position.</w:t>
            </w:r>
          </w:p>
        </w:tc>
      </w:tr>
      <w:tr>
        <w:trPr>
          <w:cantSplit/>
        </w:trPr>
        <w:tc>
          <w:tcPr>
            <w:tcW w:type="dxa" w:w="1700"/>
          </w:tcPr>
          <w:p>
            <w:pPr>
              <w:spacing w:before="0" w:after="0" w:line="259" w:lineRule="auto"/>
              <w:jc w:val="left"/>
            </w:pPr>
            <w:r/>
            <w:r>
              <w:rPr>
                <w:rFonts w:ascii="Calibri" w:hAnsi="Calibri"/>
                <w:b w:val="0"/>
                <w:color w:val="18242F"/>
                <w:sz w:val="18"/>
              </w:rPr>
              <w:t>ZWIZZLY AS</w:t>
            </w:r>
          </w:p>
        </w:tc>
        <w:tc>
          <w:tcPr>
            <w:tcW w:type="dxa" w:w="4540"/>
          </w:tcPr>
          <w:p>
            <w:pPr>
              <w:spacing w:before="0" w:after="0" w:line="259" w:lineRule="auto"/>
              <w:jc w:val="left"/>
            </w:pPr>
            <w:r/>
            <w:r>
              <w:rPr>
                <w:rFonts w:ascii="Calibri" w:hAnsi="Calibri"/>
                <w:b w:val="0"/>
                <w:color w:val="18242F"/>
                <w:sz w:val="18"/>
              </w:rPr>
              <w:t>OpenAI current subprocessor snapshot, security/TOM package, deletion test and transfer/TIA record.</w:t>
            </w:r>
          </w:p>
        </w:tc>
        <w:tc>
          <w:tcPr>
            <w:tcW w:type="dxa" w:w="3120"/>
          </w:tcPr>
          <w:p>
            <w:pPr>
              <w:spacing w:before="0" w:after="0" w:line="259" w:lineRule="auto"/>
              <w:jc w:val="left"/>
            </w:pPr>
            <w:r/>
            <w:r>
              <w:rPr>
                <w:rFonts w:ascii="Calibri" w:hAnsi="Calibri"/>
                <w:b w:val="0"/>
                <w:color w:val="18242F"/>
                <w:sz w:val="18"/>
              </w:rPr>
              <w:t>Complete Article 28, Article 32 and Chapter V review.</w:t>
            </w:r>
          </w:p>
        </w:tc>
      </w:tr>
      <w:tr>
        <w:trPr>
          <w:cantSplit/>
        </w:trPr>
        <w:tc>
          <w:tcPr>
            <w:tcW w:type="dxa" w:w="1700"/>
          </w:tcPr>
          <w:p>
            <w:pPr>
              <w:spacing w:before="0" w:after="0" w:line="259" w:lineRule="auto"/>
              <w:jc w:val="left"/>
            </w:pPr>
            <w:r/>
            <w:r>
              <w:rPr>
                <w:rFonts w:ascii="Calibri" w:hAnsi="Calibri"/>
                <w:b w:val="0"/>
                <w:color w:val="18242F"/>
                <w:sz w:val="18"/>
              </w:rPr>
              <w:t>ZWIZZLY AS</w:t>
            </w:r>
          </w:p>
        </w:tc>
        <w:tc>
          <w:tcPr>
            <w:tcW w:type="dxa" w:w="4540"/>
          </w:tcPr>
          <w:p>
            <w:pPr>
              <w:spacing w:before="0" w:after="0" w:line="259" w:lineRule="auto"/>
              <w:jc w:val="left"/>
            </w:pPr>
            <w:r/>
            <w:r>
              <w:rPr>
                <w:rFonts w:ascii="Calibri" w:hAnsi="Calibri"/>
                <w:b w:val="0"/>
                <w:color w:val="18242F"/>
                <w:sz w:val="18"/>
              </w:rPr>
              <w:t>Mistral DPA acceptance record, service agreement version, Trust Center/TOM materials and subprocessor list.</w:t>
            </w:r>
          </w:p>
        </w:tc>
        <w:tc>
          <w:tcPr>
            <w:tcW w:type="dxa" w:w="3120"/>
          </w:tcPr>
          <w:p>
            <w:pPr>
              <w:spacing w:before="0" w:after="0" w:line="259" w:lineRule="auto"/>
              <w:jc w:val="left"/>
            </w:pPr>
            <w:r/>
            <w:r>
              <w:rPr>
                <w:rFonts w:ascii="Calibri" w:hAnsi="Calibri"/>
                <w:b w:val="0"/>
                <w:color w:val="18242F"/>
                <w:sz w:val="18"/>
              </w:rPr>
              <w:t>Establish binding contract and downstream processing.</w:t>
            </w:r>
          </w:p>
        </w:tc>
      </w:tr>
      <w:tr>
        <w:trPr>
          <w:cantSplit/>
        </w:trPr>
        <w:tc>
          <w:tcPr>
            <w:tcW w:type="dxa" w:w="1700"/>
          </w:tcPr>
          <w:p>
            <w:pPr>
              <w:spacing w:before="0" w:after="0" w:line="259" w:lineRule="auto"/>
              <w:jc w:val="left"/>
            </w:pPr>
            <w:r/>
            <w:r>
              <w:rPr>
                <w:rFonts w:ascii="Calibri" w:hAnsi="Calibri"/>
                <w:b w:val="0"/>
                <w:color w:val="18242F"/>
                <w:sz w:val="18"/>
              </w:rPr>
              <w:t>ZWIZZLY AS / Mistral</w:t>
            </w:r>
          </w:p>
        </w:tc>
        <w:tc>
          <w:tcPr>
            <w:tcW w:type="dxa" w:w="4540"/>
          </w:tcPr>
          <w:p>
            <w:pPr>
              <w:spacing w:before="0" w:after="0" w:line="259" w:lineRule="auto"/>
              <w:jc w:val="left"/>
            </w:pPr>
            <w:r/>
            <w:r>
              <w:rPr>
                <w:rFonts w:ascii="Calibri" w:hAnsi="Calibri"/>
                <w:b w:val="0"/>
                <w:color w:val="18242F"/>
                <w:sz w:val="18"/>
              </w:rPr>
              <w:t>Resolution of the 'special categories: none' mismatch and confirmation that feedback will not contain production user data.</w:t>
            </w:r>
          </w:p>
        </w:tc>
        <w:tc>
          <w:tcPr>
            <w:tcW w:type="dxa" w:w="3120"/>
          </w:tcPr>
          <w:p>
            <w:pPr>
              <w:spacing w:before="0" w:after="0" w:line="259" w:lineRule="auto"/>
              <w:jc w:val="left"/>
            </w:pPr>
            <w:r/>
            <w:r>
              <w:rPr>
                <w:rFonts w:ascii="Calibri" w:hAnsi="Calibri"/>
                <w:b w:val="0"/>
                <w:color w:val="18242F"/>
                <w:sz w:val="18"/>
              </w:rPr>
              <w:t>Align the contract and technical flow with the Article 9 risk.</w:t>
            </w:r>
          </w:p>
        </w:tc>
      </w:tr>
      <w:tr>
        <w:trPr>
          <w:cantSplit/>
        </w:trPr>
        <w:tc>
          <w:tcPr>
            <w:tcW w:type="dxa" w:w="1700"/>
          </w:tcPr>
          <w:p>
            <w:pPr>
              <w:spacing w:before="0" w:after="0" w:line="259" w:lineRule="auto"/>
              <w:jc w:val="left"/>
            </w:pPr>
            <w:r/>
            <w:r>
              <w:rPr>
                <w:rFonts w:ascii="Calibri" w:hAnsi="Calibri"/>
                <w:b w:val="0"/>
                <w:color w:val="18242F"/>
                <w:sz w:val="18"/>
              </w:rPr>
              <w:t>ZWIZZLY AS</w:t>
            </w:r>
          </w:p>
        </w:tc>
        <w:tc>
          <w:tcPr>
            <w:tcW w:type="dxa" w:w="4540"/>
          </w:tcPr>
          <w:p>
            <w:pPr>
              <w:spacing w:before="0" w:after="0" w:line="259" w:lineRule="auto"/>
              <w:jc w:val="left"/>
            </w:pPr>
            <w:r/>
            <w:r>
              <w:rPr>
                <w:rFonts w:ascii="Calibri" w:hAnsi="Calibri"/>
                <w:b w:val="0"/>
                <w:color w:val="18242F"/>
                <w:sz w:val="18"/>
              </w:rPr>
              <w:t>Provider packs for Anthropic, Cerebras and Voyage AI.</w:t>
            </w:r>
          </w:p>
        </w:tc>
        <w:tc>
          <w:tcPr>
            <w:tcW w:type="dxa" w:w="3120"/>
          </w:tcPr>
          <w:p>
            <w:pPr>
              <w:spacing w:before="0" w:after="0" w:line="259" w:lineRule="auto"/>
              <w:jc w:val="left"/>
            </w:pPr>
            <w:r/>
            <w:r>
              <w:rPr>
                <w:rFonts w:ascii="Calibri" w:hAnsi="Calibri"/>
                <w:b w:val="0"/>
                <w:color w:val="18242F"/>
                <w:sz w:val="18"/>
              </w:rPr>
              <w:t>Complete the stated launch provider set.</w:t>
            </w:r>
          </w:p>
        </w:tc>
      </w:tr>
      <w:tr>
        <w:trPr>
          <w:cantSplit/>
        </w:trPr>
        <w:tc>
          <w:tcPr>
            <w:tcW w:type="dxa" w:w="1700"/>
          </w:tcPr>
          <w:p>
            <w:pPr>
              <w:spacing w:before="0" w:after="0" w:line="259" w:lineRule="auto"/>
              <w:jc w:val="left"/>
            </w:pPr>
            <w:r/>
            <w:r>
              <w:rPr>
                <w:rFonts w:ascii="Calibri" w:hAnsi="Calibri"/>
                <w:b w:val="0"/>
                <w:color w:val="18242F"/>
                <w:sz w:val="18"/>
              </w:rPr>
              <w:t>ZWIZZLY AS</w:t>
            </w:r>
          </w:p>
        </w:tc>
        <w:tc>
          <w:tcPr>
            <w:tcW w:type="dxa" w:w="4540"/>
          </w:tcPr>
          <w:p>
            <w:pPr>
              <w:spacing w:before="0" w:after="0" w:line="259" w:lineRule="auto"/>
              <w:jc w:val="left"/>
            </w:pPr>
            <w:r/>
            <w:r>
              <w:rPr>
                <w:rFonts w:ascii="Calibri" w:hAnsi="Calibri"/>
                <w:b w:val="0"/>
                <w:color w:val="18242F"/>
                <w:sz w:val="18"/>
              </w:rPr>
              <w:t>Management facts supporting Norway as main establishment and the competent/lead authority analysis.</w:t>
            </w:r>
          </w:p>
        </w:tc>
        <w:tc>
          <w:tcPr>
            <w:tcW w:type="dxa" w:w="3120"/>
          </w:tcPr>
          <w:p>
            <w:pPr>
              <w:spacing w:before="0" w:after="0" w:line="259" w:lineRule="auto"/>
              <w:jc w:val="left"/>
            </w:pPr>
            <w:r/>
            <w:r>
              <w:rPr>
                <w:rFonts w:ascii="Calibri" w:hAnsi="Calibri"/>
                <w:b w:val="0"/>
                <w:color w:val="18242F"/>
                <w:sz w:val="18"/>
              </w:rPr>
              <w:t>Close advice item A1.</w:t>
            </w:r>
          </w:p>
        </w:tc>
      </w:tr>
    </w:tbl>
    <w:p>
      <w:pPr>
        <w:spacing w:after="80"/>
      </w:pPr>
    </w:p>
    <w:p>
      <w:pPr>
        <w:pStyle w:val="Heading1"/>
      </w:pPr>
      <w:r>
        <w:t>6. Advice record status</w:t>
      </w:r>
    </w:p>
    <w:p>
      <w:pPr>
        <w:keepLines/>
      </w:pPr>
      <w:r>
        <w:rPr>
          <w:rFonts w:ascii="Calibri" w:hAnsi="Calibri"/>
          <w:i w:val="0"/>
          <w:color w:val="18242F"/>
          <w:sz w:val="22"/>
        </w:rPr>
        <w:t>Advice item A7 remains 'More evidence needed'. OpenAI has been partially reviewed and Mistral has been reviewed at configuration level only. None of A1-A10 should be marked 'Support' solely on the basis of the new documents. The interim acknowledgement should remain unsigned until the corresponding advice and evidence record is complete. The controller's implementation and final decision remain with ZWIZZLY AS.</w:t>
      </w:r>
    </w:p>
    <w:p>
      <w:pPr>
        <w:pStyle w:val="Heading1"/>
      </w:pPr>
      <w:r>
        <w:t>Sources reviewed</w:t>
      </w:r>
    </w:p>
    <w:p>
      <w:pPr>
        <w:spacing w:after="80"/>
      </w:pPr>
      <w:r>
        <w:rPr>
          <w:rFonts w:ascii="Calibri" w:hAnsi="Calibri"/>
          <w:color w:val="666F78"/>
          <w:sz w:val="18"/>
        </w:rPr>
        <w:t>OpenAI Data Processing Addendum signed for ZWIZZLY AS on 24 July 2026.</w:t>
      </w:r>
    </w:p>
    <w:p>
      <w:pPr>
        <w:spacing w:after="80"/>
      </w:pPr>
      <w:r>
        <w:rPr>
          <w:rFonts w:ascii="Calibri" w:hAnsi="Calibri"/>
          <w:color w:val="666F78"/>
          <w:sz w:val="18"/>
        </w:rPr>
        <w:t>OpenAI, Data controls in the OpenAI platform: https://developers.openai.com/api/docs/guides/your-data (accessed 26 July 2026).</w:t>
      </w:r>
    </w:p>
    <w:p>
      <w:pPr>
        <w:spacing w:after="80"/>
      </w:pPr>
      <w:r>
        <w:rPr>
          <w:rFonts w:ascii="Calibri" w:hAnsi="Calibri"/>
          <w:color w:val="666F78"/>
          <w:sz w:val="18"/>
        </w:rPr>
        <w:t>OpenAI, Under 18 API Guidance: https://developers.openai.com/api/docs/guides/safety-checks/under-18-api-guidance (accessed 26 July 2026).</w:t>
      </w:r>
    </w:p>
    <w:p>
      <w:pPr>
        <w:spacing w:after="80"/>
      </w:pPr>
      <w:r>
        <w:rPr>
          <w:rFonts w:ascii="Calibri" w:hAnsi="Calibri"/>
          <w:color w:val="666F78"/>
          <w:sz w:val="18"/>
        </w:rPr>
        <w:t>Mistral AI, Data Processing Addendum: https://legal.mistral.ai/terms/data-processing-addendum (accessed 26 July 2026).</w:t>
      </w:r>
    </w:p>
    <w:p>
      <w:pPr>
        <w:spacing w:after="80"/>
      </w:pPr>
      <w:r>
        <w:rPr>
          <w:rFonts w:ascii="Calibri" w:hAnsi="Calibri"/>
          <w:color w:val="666F78"/>
          <w:sz w:val="18"/>
        </w:rPr>
        <w:t>ZWIZZLY AS certificate of registration dated 24 July 2026.</w:t>
      </w:r>
    </w:p>
    <w:p>
      <w:pPr>
        <w:spacing w:after="80"/>
      </w:pPr>
      <w:r>
        <w:rPr>
          <w:rFonts w:ascii="Calibri" w:hAnsi="Calibri"/>
          <w:color w:val="666F78"/>
          <w:sz w:val="18"/>
        </w:rPr>
        <w:t>Mistral privacy-settings screenshot supplied by ZWIZZLY AS.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66F78"/>
        <w:sz w:val="17"/>
      </w:rPr>
      <w:t xml:space="preserve">Page </w:t>
    </w:r>
    <w:r>
      <w:rPr>
        <w:rFonts w:ascii="Calibri" w:hAnsi="Calibri"/>
        <w:color w:val="666F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666F78"/>
        <w:sz w:val="17"/>
      </w:rPr>
      <w:t>ZWIZZLY AS | Interim provider review</w:t>
    </w:r>
    <w:r>
      <w:rPr>
        <w:rFonts w:ascii="Calibri" w:hAnsi="Calibri"/>
        <w:color w:val="666F78"/>
        <w:sz w:val="17"/>
      </w:rPr>
      <w:tab/>
    </w:r>
    <w:r>
      <w:rPr>
        <w:rFonts w:ascii="Calibri" w:hAnsi="Calibri"/>
        <w:color w:val="666F78"/>
        <w:sz w:val="17"/>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4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