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Updated Corrections - Reflecting Actual Business Practices</w:t>
      </w:r>
    </w:p>
    <w:p>
      <w:pPr>
        <w:pStyle w:val="MdParagraph"/>
      </w:pPr>
      <w:r>
        <w:rPr>
          <w:rStyle w:val="MdStrong"/>
          <w:b/>
          <w:bCs/>
        </w:rPr>
        <w:t xml:space="preserve">Date</w:t>
      </w:r>
      <w:r>
        <w:t xml:space="preserve">: October 13,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Case</w:t>
      </w:r>
      <w:r>
        <w:t xml:space="preserve">: 2025-137857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Critical Context Update</w:t>
      </w:r>
    </w:p>
    <w:p>
      <w:pPr>
        <w:pStyle w:val="MdParagraph"/>
      </w:pPr>
      <w:r>
        <w:rPr>
          <w:rStyle w:val="MdStrong"/>
          <w:b/>
          <w:bCs/>
        </w:rPr>
        <w:t xml:space="preserve">Business Practice</w:t>
      </w:r>
      <w:r>
        <w:t xml:space="preserve">: Directors have loan accounts with credit balances of several million across different entities. Companies owe directors large sums at all times. Formal board resolutions are NOT produced for every director-company transaction. The practice is: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t xml:space="preserve">✅ Transactions clearly marked on bank statements</w:t>
      </w:r>
    </w:p>
    <w:p>
      <w:pPr>
        <w:pStyle w:val="MdListItem"/>
        <w:numPr>
          <w:ilvl w:val="0"/>
          <w:numId w:val="2"/>
        </w:numPr>
      </w:pPr>
      <w:r>
        <w:t xml:space="preserve">✅ Bank feeds allocate transfers to corresponding accounts</w:t>
      </w:r>
    </w:p>
    <w:p>
      <w:pPr>
        <w:pStyle w:val="MdListItem"/>
        <w:numPr>
          <w:ilvl w:val="0"/>
          <w:numId w:val="2"/>
        </w:numPr>
      </w:pPr>
      <w:r>
        <w:t xml:space="preserve">✅ Later reconciliation against director loan accounts</w:t>
      </w:r>
    </w:p>
    <w:p>
      <w:pPr>
        <w:pStyle w:val="MdListItem"/>
        <w:numPr>
          <w:ilvl w:val="0"/>
          <w:numId w:val="2"/>
        </w:numPr>
      </w:pPr>
      <w:r>
        <w:t xml:space="preserve">✅ This is the </w:t>
      </w:r>
      <w:r>
        <w:rPr>
          <w:rStyle w:val="MdStrong"/>
          <w:b/>
          <w:bCs/>
        </w:rPr>
        <w:t xml:space="preserve">established, legitimate business practice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 on Corrections</w:t>
      </w:r>
      <w:r>
        <w:t xml:space="preserve">: This changes how we frame authorization and governance arguments.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REVISED CORRECTIONS</w:t>
      </w:r>
    </w:p>
    <w:p>
      <w:pPr>
        <w:pStyle w:val="Heading3"/>
        <w:pStyle w:val="MdHeading3"/>
      </w:pPr>
      <w:r>
        <w:t xml:space="preserve">Correction 1: R500,000 Director's Loan Payment</w:t>
      </w:r>
    </w:p>
    <w:p>
      <w:pPr>
        <w:pStyle w:val="MdParagraph"/>
      </w:pPr>
      <w:r>
        <w:rPr>
          <w:rStyle w:val="MdStrong"/>
          <w:b/>
          <w:bCs/>
        </w:rPr>
        <w:t xml:space="preserve">PREVIOUS CORRECTION</w:t>
      </w:r>
      <w:r>
        <w:t xml:space="preserve"> (Incorrect - assumed formal authorization needed):</w:t>
      </w:r>
    </w:p>
    <w:p>
      <w:pPr>
        <w:pStyle w:val="MdBlockquote"/>
      </w:pPr>
      <w:r>
        <w:t xml:space="preserve">"Board meeting minutes dated [date] show discussion of director's loan repayment..."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UPDATED CORRECTION</w:t>
      </w:r>
      <w:r>
        <w:t xml:space="preserve"> (Reflects actual practice):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"</w:t>
      </w:r>
      <w:r>
        <w:rPr>
          <w:rStyle w:val="MdStrong"/>
          <w:b/>
          <w:bCs/>
        </w:rPr>
        <w:t xml:space="preserve">141. THE R500,000 DIRECTOR'S LOAN PAYMENT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141.1 </w:t>
      </w:r>
      <w:r>
        <w:rPr>
          <w:rStyle w:val="MdStrong"/>
          <w:b/>
          <w:bCs/>
        </w:rPr>
        <w:t xml:space="preserve">Background and Business Practice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141.1.1 On or about 16 July 2025, a payment of R500,000 was processed from [company name] to [recipient/account];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141.1.2 This payment relates to the directors' loan accounts, which are a standard feature of the RegimA business structure;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141.1.3 </w:t>
      </w:r>
      <w:r>
        <w:rPr>
          <w:rStyle w:val="MdStrong"/>
          <w:b/>
          <w:bCs/>
        </w:rPr>
        <w:t xml:space="preserve">Established Business Practice</w:t>
      </w:r>
      <w:r>
        <w:t xml:space="preserve">: Directors maintain loan accounts with credit balances of several million rand across different entities. The companies owe the directors substantial sums at all times;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141.1.4 The established practice for director-company transactions is:</w:t>
      </w:r>
    </w:p>
    <w:p>
      <w:pPr>
        <w:pStyle w:val="MdListItem"/>
        <w:numPr>
          <w:ilvl w:val="0"/>
          <w:numId w:val="2"/>
        </w:numPr>
      </w:pPr>
      <w:r>
        <w:t xml:space="preserve">Transactions are clearly marked on bank statements;</w:t>
      </w:r>
    </w:p>
    <w:p>
      <w:pPr>
        <w:pStyle w:val="MdListItem"/>
        <w:numPr>
          <w:ilvl w:val="0"/>
          <w:numId w:val="2"/>
        </w:numPr>
      </w:pPr>
      <w:r>
        <w:t xml:space="preserve">Bank feeds allocate transfers to corresponding director loan accounts;</w:t>
      </w:r>
    </w:p>
    <w:p>
      <w:pPr>
        <w:pStyle w:val="MdListItem"/>
        <w:numPr>
          <w:ilvl w:val="0"/>
          <w:numId w:val="2"/>
        </w:numPr>
      </w:pPr>
      <w:r>
        <w:t xml:space="preserve">Reconciliation occurs during regular accounting processes;</w:t>
      </w:r>
    </w:p>
    <w:p>
      <w:pPr>
        <w:pStyle w:val="MdListItem"/>
        <w:numPr>
          <w:ilvl w:val="0"/>
          <w:numId w:val="2"/>
        </w:numPr>
      </w:pPr>
      <w:r>
        <w:t xml:space="preserve">Formal board resolutions are NOT required for routine director loan account transactions.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141.2 </w:t>
      </w:r>
      <w:r>
        <w:rPr>
          <w:rStyle w:val="MdStrong"/>
          <w:b/>
          <w:bCs/>
        </w:rPr>
        <w:t xml:space="preserve">Evidence of Established Practice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141.2.1 Director loan account statements showing credit balances of R[amount] for myself, R[amount] for the Second Respondent, and R[amount] for the Applicant as of [date] (Account statements, Annexure JF-X1);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141.2.2 Historical pattern of similar transactions over [timeframe] without formal board resolutions (Transaction history, Annexure JF-X2);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141.2.3 Bank statement dated 16 July 2025 clearly marking the R500,000 payment with reference to director loan account (Bank statement, Annexure JF-X3);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141.2.4 Accounting records showing allocation to appropriate director loan account (Accounting records, Annexure JF-X4).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141.3 </w:t>
      </w:r>
      <w:r>
        <w:rPr>
          <w:rStyle w:val="MdStrong"/>
          <w:b/>
          <w:bCs/>
        </w:rPr>
        <w:t xml:space="preserve">Applicant's Knowledge and Prior Acceptance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141.3.1 The Applicant has been aware of and participated in this director loan account system for [X years];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141.3.2 The Applicant himself has received similar payments from director loan accounts without formal board resolutions on [number] occasions, including:</w:t>
      </w:r>
    </w:p>
    <w:p>
      <w:pPr>
        <w:pStyle w:val="MdListItem"/>
        <w:numPr>
          <w:ilvl w:val="0"/>
          <w:numId w:val="2"/>
        </w:numPr>
      </w:pPr>
      <w:r>
        <w:t xml:space="preserve">[Date]: R[amount] (Bank statement, Annexure JF-X5);</w:t>
      </w:r>
    </w:p>
    <w:p>
      <w:pPr>
        <w:pStyle w:val="MdListItem"/>
        <w:numPr>
          <w:ilvl w:val="0"/>
          <w:numId w:val="2"/>
        </w:numPr>
      </w:pPr>
      <w:r>
        <w:t xml:space="preserve">[Date]: R[amount] (Bank statement, Annexure JF-X6);</w:t>
      </w:r>
    </w:p>
    <w:p>
      <w:pPr>
        <w:pStyle w:val="MdListItem"/>
        <w:numPr>
          <w:ilvl w:val="0"/>
          <w:numId w:val="2"/>
        </w:numPr>
      </w:pPr>
      <w:r>
        <w:t xml:space="preserve">[Date]: R[amount] (Bank statement, Annexure JF-X7);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141.3.3 The Applicant never objected to this practice until [date/event];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141.3.4 The Applicant's sudden objection to the R500,000 payment, despite years of accepting the same practice, is inconsistent and suggests a pretext for the interdict application.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141.4 </w:t>
      </w:r>
      <w:r>
        <w:rPr>
          <w:rStyle w:val="MdStrong"/>
          <w:b/>
          <w:bCs/>
        </w:rPr>
        <w:t xml:space="preserve">Context and Timing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141.4.1 The R500,000 payment was made on 16 July 2025;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141.4.2 The Applicant first consulted attorneys on 5 August 2025 (20 days later);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141.4.3 The ex parte interdict was filed on 19 August 2025 (34 days after the payment);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141.4.4 This payment appears to have been used as a pretext for the interdict, despite being consistent with established business practice that the Applicant had accepted for years."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Correction 2: Financial Irregularities Argument</w:t>
      </w:r>
    </w:p>
    <w:p>
      <w:pPr>
        <w:pStyle w:val="MdParagraph"/>
      </w:pPr>
      <w:r>
        <w:rPr>
          <w:rStyle w:val="MdStrong"/>
          <w:b/>
          <w:bCs/>
        </w:rPr>
        <w:t xml:space="preserve">PREVIOUS CORRECTION</w:t>
      </w:r>
      <w:r>
        <w:t xml:space="preserve"> (Incorrect - focused on lack of formal authorization):</w:t>
      </w:r>
    </w:p>
    <w:p>
      <w:pPr>
        <w:pStyle w:val="MdBlockquote"/>
      </w:pPr>
      <w:r>
        <w:t xml:space="preserve">"None bear the required dual director signatures as mandated by the Companies Act..."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UPDATED CORRECTION</w:t>
      </w:r>
      <w:r>
        <w:t xml:space="preserve"> (Reflects actual practice and focuses on real issues):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"</w:t>
      </w:r>
      <w:r>
        <w:rPr>
          <w:rStyle w:val="MdStrong"/>
          <w:b/>
          <w:bCs/>
        </w:rPr>
        <w:t xml:space="preserve">10. FINANCIAL IRREGULARITIES AND BREAKDOWN OF NORMAL PRACTICE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10.1 </w:t>
      </w:r>
      <w:r>
        <w:rPr>
          <w:rStyle w:val="MdStrong"/>
          <w:b/>
          <w:bCs/>
        </w:rPr>
        <w:t xml:space="preserve">Established Business Practice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10.1.1 The RegimA businesses have operated with certain established practices for [X years]:</w:t>
      </w:r>
    </w:p>
    <w:p>
      <w:pPr>
        <w:pStyle w:val="MdListItem"/>
        <w:numPr>
          <w:ilvl w:val="0"/>
          <w:numId w:val="2"/>
        </w:numPr>
      </w:pPr>
      <w:r>
        <w:t xml:space="preserve">Directors maintain loan accounts with substantial credit balances;</w:t>
      </w:r>
    </w:p>
    <w:p>
      <w:pPr>
        <w:pStyle w:val="MdListItem"/>
        <w:numPr>
          <w:ilvl w:val="0"/>
          <w:numId w:val="2"/>
        </w:numPr>
      </w:pPr>
      <w:r>
        <w:t xml:space="preserve">Routine director-company transactions are processed based on clear bank statement references;</w:t>
      </w:r>
    </w:p>
    <w:p>
      <w:pPr>
        <w:pStyle w:val="MdListItem"/>
        <w:numPr>
          <w:ilvl w:val="0"/>
          <w:numId w:val="2"/>
        </w:numPr>
      </w:pPr>
      <w:r>
        <w:t xml:space="preserve">Bank feeds allocate transactions to appropriate accounts;</w:t>
      </w:r>
    </w:p>
    <w:p>
      <w:pPr>
        <w:pStyle w:val="MdListItem"/>
        <w:numPr>
          <w:ilvl w:val="0"/>
          <w:numId w:val="2"/>
        </w:numPr>
      </w:pPr>
      <w:r>
        <w:t xml:space="preserve">Reconciliation occurs during regular accounting processes;</w:t>
      </w:r>
    </w:p>
    <w:p>
      <w:pPr>
        <w:pStyle w:val="MdListItem"/>
        <w:numPr>
          <w:ilvl w:val="0"/>
          <w:numId w:val="2"/>
        </w:numPr>
      </w:pPr>
      <w:r>
        <w:t xml:space="preserve">Formal board resolutions are not required for routine transactions within established practices.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10.1.2 This practice has been accepted by all directors, including the Applicant, throughout the history of the businesses.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10.2 </w:t>
      </w:r>
      <w:r>
        <w:rPr>
          <w:rStyle w:val="MdStrong"/>
          <w:b/>
          <w:bCs/>
        </w:rPr>
        <w:t xml:space="preserve">Departure from Established Practice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The concern is not the absence of formal authorizations for routine transactions, but rather the </w:t>
      </w:r>
      <w:r>
        <w:rPr>
          <w:rStyle w:val="MdStrong"/>
          <w:b/>
          <w:bCs/>
        </w:rPr>
        <w:t xml:space="preserve">departure from established practice</w:t>
      </w:r>
      <w:r>
        <w:t xml:space="preserve"> and the </w:t>
      </w:r>
      <w:r>
        <w:rPr>
          <w:rStyle w:val="MdStrong"/>
          <w:b/>
          <w:bCs/>
        </w:rPr>
        <w:t xml:space="preserve">exclusion of directors from oversight</w:t>
      </w:r>
      <w:r>
        <w:t xml:space="preserve"> that has occurred since Rynette Farrar was granted expanded access.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10.3 </w:t>
      </w:r>
      <w:r>
        <w:rPr>
          <w:rStyle w:val="MdStrong"/>
          <w:b/>
          <w:bCs/>
        </w:rPr>
        <w:t xml:space="preserve">Specific Concerns</w:t>
      </w:r>
      <w:r>
        <w:t xml:space="preserve"> (Annexure JF-H):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Date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Amount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Description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Concern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Evidence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[Date]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R[amount]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Payment to [recipient]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Not clearly marked; unclear allocation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Bank statement, JF-H1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[Date]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R[amount]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Transfer to [account]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 corresponding director loan account entry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Account statement, JF-H2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[Date]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R[amount]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Expense claim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 supporting invoice; not business-related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Expense report, JF-H3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[Date]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R[amount]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Payment to [recipient]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Outside normal business operations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Bank record, JF-H4</w:t>
            </w:r>
          </w:p>
        </w:tc>
      </w:tr>
    </w:tbl>
    <w:p>
      <w:pPr>
        <w:pStyle w:val="MdBlockquote"/>
      </w:pPr>
      <w:r>
        <w:t xml:space="preserve">10.4 </w:t>
      </w:r>
      <w:r>
        <w:rPr>
          <w:rStyle w:val="MdStrong"/>
          <w:b/>
          <w:bCs/>
        </w:rPr>
        <w:t xml:space="preserve">Pattern of Concern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10.4.1 These transactions differ from established practice in that:</w:t>
      </w:r>
    </w:p>
    <w:p>
      <w:pPr>
        <w:pStyle w:val="MdListItem"/>
        <w:numPr>
          <w:ilvl w:val="0"/>
          <w:numId w:val="2"/>
        </w:numPr>
      </w:pPr>
      <w:r>
        <w:t xml:space="preserve">They are </w:t>
      </w:r>
      <w:r>
        <w:rPr>
          <w:rStyle w:val="MdStrong"/>
          <w:b/>
          <w:bCs/>
        </w:rPr>
        <w:t xml:space="preserve">not clearly marked</w:t>
      </w:r>
      <w:r>
        <w:t xml:space="preserve"> on bank statements for proper allocation;</w:t>
      </w:r>
    </w:p>
    <w:p>
      <w:pPr>
        <w:pStyle w:val="MdListItem"/>
        <w:numPr>
          <w:ilvl w:val="0"/>
          <w:numId w:val="2"/>
        </w:numPr>
      </w:pPr>
      <w:r>
        <w:t xml:space="preserve">They do </w:t>
      </w:r>
      <w:r>
        <w:rPr>
          <w:rStyle w:val="MdStrong"/>
          <w:b/>
          <w:bCs/>
        </w:rPr>
        <w:t xml:space="preserve">not correspond to director loan accounts</w:t>
      </w:r>
      <w:r>
        <w:t xml:space="preserve"> or normal business operations;</w:t>
      </w:r>
    </w:p>
    <w:p>
      <w:pPr>
        <w:pStyle w:val="MdListItem"/>
        <w:numPr>
          <w:ilvl w:val="0"/>
          <w:numId w:val="2"/>
        </w:numPr>
      </w:pPr>
      <w:r>
        <w:t xml:space="preserve">They lack </w:t>
      </w:r>
      <w:r>
        <w:rPr>
          <w:rStyle w:val="MdStrong"/>
          <w:b/>
          <w:bCs/>
        </w:rPr>
        <w:t xml:space="preserve">supporting documentation</w:t>
      </w:r>
      <w:r>
        <w:t xml:space="preserve"> (invoices, contracts) that would normally exist;</w:t>
      </w:r>
    </w:p>
    <w:p>
      <w:pPr>
        <w:pStyle w:val="MdListItem"/>
        <w:numPr>
          <w:ilvl w:val="0"/>
          <w:numId w:val="2"/>
        </w:numPr>
      </w:pPr>
      <w:r>
        <w:t xml:space="preserve">They were initiated by Rynette Farrar </w:t>
      </w:r>
      <w:r>
        <w:rPr>
          <w:rStyle w:val="MdStrong"/>
          <w:b/>
          <w:bCs/>
        </w:rPr>
        <w:t xml:space="preserve">without consultation</w:t>
      </w:r>
      <w:r>
        <w:t xml:space="preserve"> with other directors, departing from the collaborative approach historically used.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10.4.2 The issue is not the absence of formal board resolutions (which have never been required for routine transactions), but rather: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Lack of transparency</w:t>
      </w:r>
      <w:r>
        <w:t xml:space="preserve">: Transactions not clearly marked for proper allocation;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Exclusion of directors</w:t>
      </w:r>
      <w:r>
        <w:t xml:space="preserve">: Decisions made without consultation;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Departure from practice</w:t>
      </w:r>
      <w:r>
        <w:t xml:space="preserve">: Transactions that fall outside established patterns;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Missing documentation</w:t>
      </w:r>
      <w:r>
        <w:t xml:space="preserve">: Absence of supporting records that would normally exist.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10.5 </w:t>
      </w:r>
      <w:r>
        <w:rPr>
          <w:rStyle w:val="MdStrong"/>
          <w:b/>
          <w:bCs/>
        </w:rPr>
        <w:t xml:space="preserve">Contrast with Historical Practice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10.5.1 Historically, even without formal board resolutions, directors:</w:t>
      </w:r>
    </w:p>
    <w:p>
      <w:pPr>
        <w:pStyle w:val="MdListItem"/>
        <w:numPr>
          <w:ilvl w:val="0"/>
          <w:numId w:val="2"/>
        </w:numPr>
      </w:pPr>
      <w:r>
        <w:t xml:space="preserve">Consulted with each other on significant transactions;</w:t>
      </w:r>
    </w:p>
    <w:p>
      <w:pPr>
        <w:pStyle w:val="MdListItem"/>
        <w:numPr>
          <w:ilvl w:val="0"/>
          <w:numId w:val="2"/>
        </w:numPr>
      </w:pPr>
      <w:r>
        <w:t xml:space="preserve">Ensured transactions were clearly marked for proper allocation;</w:t>
      </w:r>
    </w:p>
    <w:p>
      <w:pPr>
        <w:pStyle w:val="MdListItem"/>
        <w:numPr>
          <w:ilvl w:val="0"/>
          <w:numId w:val="2"/>
        </w:numPr>
      </w:pPr>
      <w:r>
        <w:t xml:space="preserve">Maintained supporting documentation;</w:t>
      </w:r>
    </w:p>
    <w:p>
      <w:pPr>
        <w:pStyle w:val="MdListItem"/>
        <w:numPr>
          <w:ilvl w:val="0"/>
          <w:numId w:val="2"/>
        </w:numPr>
      </w:pPr>
      <w:r>
        <w:t xml:space="preserve">Operated transparently within established practices.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10.5.2 Since Rynette Farrar was granted expanded access, this collaborative approach has been replaced with:</w:t>
      </w:r>
    </w:p>
    <w:p>
      <w:pPr>
        <w:pStyle w:val="MdListItem"/>
        <w:numPr>
          <w:ilvl w:val="0"/>
          <w:numId w:val="2"/>
        </w:numPr>
      </w:pPr>
      <w:r>
        <w:t xml:space="preserve">Unilateral decision-making by Rynette;</w:t>
      </w:r>
    </w:p>
    <w:p>
      <w:pPr>
        <w:pStyle w:val="MdListItem"/>
        <w:numPr>
          <w:ilvl w:val="0"/>
          <w:numId w:val="2"/>
        </w:numPr>
      </w:pPr>
      <w:r>
        <w:t xml:space="preserve">Exclusion of directors from consultation;</w:t>
      </w:r>
    </w:p>
    <w:p>
      <w:pPr>
        <w:pStyle w:val="MdListItem"/>
        <w:numPr>
          <w:ilvl w:val="0"/>
          <w:numId w:val="2"/>
        </w:numPr>
      </w:pPr>
      <w:r>
        <w:t xml:space="preserve">Transactions that are unclear or poorly documented;</w:t>
      </w:r>
    </w:p>
    <w:p>
      <w:pPr>
        <w:pStyle w:val="MdListItem"/>
        <w:numPr>
          <w:ilvl w:val="0"/>
          <w:numId w:val="2"/>
        </w:numPr>
      </w:pPr>
      <w:r>
        <w:t xml:space="preserve">Systematic breakdown of transparency.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10.6 </w:t>
      </w:r>
      <w:r>
        <w:rPr>
          <w:rStyle w:val="MdStrong"/>
          <w:b/>
          <w:bCs/>
        </w:rPr>
        <w:t xml:space="preserve">Required Action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A forensic investigation is necessary not to impose formal requirements that have never existed, but to: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10.6.1 Determine whether transactions were properly allocated to appropriate accounts;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10.6.2 Identify transactions that fall outside established business practices;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10.6.3 Trace unclear or poorly documented transactions;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10.6.4 Restore the collaborative, transparent approach that historically characterized the businesses;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10.6.5 Establish whether the departure from established practice has resulted in financial harm."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Correction 3: Corporate Governance Argument</w:t>
      </w:r>
    </w:p>
    <w:p>
      <w:pPr>
        <w:pStyle w:val="MdParagraph"/>
      </w:pPr>
      <w:r>
        <w:rPr>
          <w:rStyle w:val="MdStrong"/>
          <w:b/>
          <w:bCs/>
        </w:rPr>
        <w:t xml:space="preserve">PREVIOUS CORRECTION</w:t>
      </w:r>
      <w:r>
        <w:t xml:space="preserve"> (Incorrect - assumed formal governance structures):</w:t>
      </w:r>
    </w:p>
    <w:p>
      <w:pPr>
        <w:pStyle w:val="MdBlockquote"/>
      </w:pPr>
      <w:r>
        <w:t xml:space="preserve">"Systematic circumvention of dual signature requirements..."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UPDATED CORRECTION</w:t>
      </w:r>
      <w:r>
        <w:t xml:space="preserve"> (Reflects actual informal but functional practice):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"</w:t>
      </w:r>
      <w:r>
        <w:rPr>
          <w:rStyle w:val="MdStrong"/>
          <w:b/>
          <w:bCs/>
        </w:rPr>
        <w:t xml:space="preserve">7.4 BREAKDOWN OF COLLABORATIVE BUSINESS PRACTICE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7.4.1 </w:t>
      </w:r>
      <w:r>
        <w:rPr>
          <w:rStyle w:val="MdStrong"/>
          <w:b/>
          <w:bCs/>
        </w:rPr>
        <w:t xml:space="preserve">Historical Business Model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The RegimA businesses have historically operated with an informal but functional collaborative approach:</w:t>
      </w:r>
    </w:p>
    <w:p>
      <w:pPr>
        <w:pStyle w:val="MdListItem"/>
        <w:numPr>
          <w:ilvl w:val="0"/>
          <w:numId w:val="2"/>
        </w:numPr>
      </w:pPr>
      <w:r>
        <w:t xml:space="preserve">Directors consulted with each other on significant decisions;</w:t>
      </w:r>
    </w:p>
    <w:p>
      <w:pPr>
        <w:pStyle w:val="MdListItem"/>
        <w:numPr>
          <w:ilvl w:val="0"/>
          <w:numId w:val="2"/>
        </w:numPr>
      </w:pPr>
      <w:r>
        <w:t xml:space="preserve">Financial transactions were transparent and clearly documented;</w:t>
      </w:r>
    </w:p>
    <w:p>
      <w:pPr>
        <w:pStyle w:val="MdListItem"/>
        <w:numPr>
          <w:ilvl w:val="0"/>
          <w:numId w:val="2"/>
        </w:numPr>
      </w:pPr>
      <w:r>
        <w:t xml:space="preserve">Director loan accounts were maintained with clear allocations;</w:t>
      </w:r>
    </w:p>
    <w:p>
      <w:pPr>
        <w:pStyle w:val="MdListItem"/>
        <w:numPr>
          <w:ilvl w:val="0"/>
          <w:numId w:val="2"/>
        </w:numPr>
      </w:pPr>
      <w:r>
        <w:t xml:space="preserve">All directors had visibility into business operations;</w:t>
      </w:r>
    </w:p>
    <w:p>
      <w:pPr>
        <w:pStyle w:val="MdListItem"/>
        <w:numPr>
          <w:ilvl w:val="0"/>
          <w:numId w:val="2"/>
        </w:numPr>
      </w:pPr>
      <w:r>
        <w:t xml:space="preserve">Trust and collaboration characterized the business relationships.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7.4.2 </w:t>
      </w:r>
      <w:r>
        <w:rPr>
          <w:rStyle w:val="MdStrong"/>
          <w:b/>
          <w:bCs/>
        </w:rPr>
        <w:t xml:space="preserve">Systematic Breakdown Since Rynette's Expanded Access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Since the Applicant granted Rynette Farrar expanded access and authority, this collaborative model has been systematically dismantled: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Loss of Consultation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Decisions previously made collaboratively are now made unilaterally by Rynette;</w:t>
      </w:r>
    </w:p>
    <w:p>
      <w:pPr>
        <w:pStyle w:val="MdListItem"/>
        <w:numPr>
          <w:ilvl w:val="0"/>
          <w:numId w:val="2"/>
        </w:numPr>
      </w:pPr>
      <w:r>
        <w:t xml:space="preserve">Directors are no longer consulted on significant transactions;</w:t>
      </w:r>
    </w:p>
    <w:p>
      <w:pPr>
        <w:pStyle w:val="MdListItem"/>
        <w:numPr>
          <w:ilvl w:val="0"/>
          <w:numId w:val="2"/>
        </w:numPr>
      </w:pPr>
      <w:r>
        <w:t xml:space="preserve">The Second Respondent and I are excluded from decision-making processes.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Loss of Transparency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Transactions are no longer clearly marked for proper allocation;</w:t>
      </w:r>
    </w:p>
    <w:p>
      <w:pPr>
        <w:pStyle w:val="MdListItem"/>
        <w:numPr>
          <w:ilvl w:val="0"/>
          <w:numId w:val="2"/>
        </w:numPr>
      </w:pPr>
      <w:r>
        <w:t xml:space="preserve">Supporting documentation is often missing or incomplete;</w:t>
      </w:r>
    </w:p>
    <w:p>
      <w:pPr>
        <w:pStyle w:val="MdListItem"/>
        <w:numPr>
          <w:ilvl w:val="0"/>
          <w:numId w:val="2"/>
        </w:numPr>
      </w:pPr>
      <w:r>
        <w:t xml:space="preserve">Directors no longer have visibility into day-to-day operations.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Loss of Oversight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Rynette operates without any oversight or accountability;</w:t>
      </w:r>
    </w:p>
    <w:p>
      <w:pPr>
        <w:pStyle w:val="MdListItem"/>
        <w:numPr>
          <w:ilvl w:val="0"/>
          <w:numId w:val="2"/>
        </w:numPr>
      </w:pPr>
      <w:r>
        <w:t xml:space="preserve">The Applicant defends her actions even when questioned;</w:t>
      </w:r>
    </w:p>
    <w:p>
      <w:pPr>
        <w:pStyle w:val="MdListItem"/>
        <w:numPr>
          <w:ilvl w:val="0"/>
          <w:numId w:val="2"/>
        </w:numPr>
      </w:pPr>
      <w:r>
        <w:t xml:space="preserve">Attempts to restore collaborative oversight are characterized as "interference."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7.4.3 </w:t>
      </w:r>
      <w:r>
        <w:rPr>
          <w:rStyle w:val="MdStrong"/>
          <w:b/>
          <w:bCs/>
        </w:rPr>
        <w:t xml:space="preserve">This is Not About Formal Governance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The concern is not the absence of formal board resolutions or written policies, which have never been part of our business model. The concern is the </w:t>
      </w:r>
      <w:r>
        <w:rPr>
          <w:rStyle w:val="MdStrong"/>
          <w:b/>
          <w:bCs/>
        </w:rPr>
        <w:t xml:space="preserve">breakdown of the collaborative, transparent, trust-based approach</w:t>
      </w:r>
      <w:r>
        <w:t xml:space="preserve"> that successfully operated the businesses for [X years].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7.4.4 </w:t>
      </w:r>
      <w:r>
        <w:rPr>
          <w:rStyle w:val="MdStrong"/>
          <w:b/>
          <w:bCs/>
        </w:rPr>
        <w:t xml:space="preserve">Evidence of Breakdown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7.4.4.1 Email dated [date] where the Second Respondent and I raised concerns about unclear transactions, and the Applicant responded by defending Rynette and characterizing our concerns as "interference" (Email, Annexure JF-C1);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7.4.4.2 Access logs showing that our access to business systems was restricted while Rynette's access was expanded (Access logs, Annexure JF-C2);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7.4.4.3 Pattern of transactions initiated by Rynette without consultation, departing from historical collaborative approach (Transaction analysis, Annexure JF-C3);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7.4.4.4 The filing of an ex parte interdict to exclude us entirely, representing the complete abandonment of the collaborative model (Court order, Annexure JF1).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7.4.5 </w:t>
      </w:r>
      <w:r>
        <w:rPr>
          <w:rStyle w:val="MdStrong"/>
          <w:b/>
          <w:bCs/>
        </w:rPr>
        <w:t xml:space="preserve">Impact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The replacement of a collaborative, transparent business model with unilateral control by a non-director bookkeeper, combined with the systematic exclusion of directors, creates substantial risk and has already resulted in [documented consequences]."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Key Changes in Approach</w:t>
      </w:r>
    </w:p>
    <w:p>
      <w:pPr>
        <w:pStyle w:val="Heading3"/>
        <w:pStyle w:val="MdHeading3"/>
      </w:pPr>
      <w:r>
        <w:t xml:space="preserve">What We're NO LONGER Arguing:</w:t>
      </w:r>
    </w:p>
    <w:p>
      <w:pPr>
        <w:pStyle w:val="MdParagraph"/>
      </w:pPr>
      <w:r>
        <w:t xml:space="preserve">❌ </w:t>
      </w:r>
      <w:r>
        <w:rPr>
          <w:rStyle w:val="MdStrong"/>
          <w:b/>
          <w:bCs/>
        </w:rPr>
        <w:t xml:space="preserve">Lack of formal board resolutions</w:t>
      </w:r>
      <w:r>
        <w:t xml:space="preserve"> (these were never required)</w:t>
      </w:r>
      <w:r>
        <w:rPr>
          <w:rStyle w:val="MdBr"/>
        </w:rPr>
        <w:br/>
        <w:t xml:space="preserve"/>
      </w:r>
      <w:r>
        <w:t xml:space="preserve">❌ </w:t>
      </w:r>
      <w:r>
        <w:rPr>
          <w:rStyle w:val="MdStrong"/>
          <w:b/>
          <w:bCs/>
        </w:rPr>
        <w:t xml:space="preserve">Absence of dual signatures</w:t>
      </w:r>
      <w:r>
        <w:t xml:space="preserve"> (not part of established practice)</w:t>
      </w:r>
      <w:r>
        <w:rPr>
          <w:rStyle w:val="MdBr"/>
        </w:rPr>
        <w:br/>
        <w:t xml:space="preserve"/>
      </w:r>
      <w:r>
        <w:t xml:space="preserve">❌ </w:t>
      </w:r>
      <w:r>
        <w:rPr>
          <w:rStyle w:val="MdStrong"/>
          <w:b/>
          <w:bCs/>
        </w:rPr>
        <w:t xml:space="preserve">Violation of formal governance procedures</w:t>
      </w:r>
      <w:r>
        <w:t xml:space="preserve"> (these didn't exist)</w:t>
      </w:r>
      <w:r>
        <w:rPr>
          <w:rStyle w:val="MdBr"/>
        </w:rPr>
        <w:br/>
        <w:t xml:space="preserve"/>
      </w:r>
      <w:r>
        <w:t xml:space="preserve">❌ </w:t>
      </w:r>
      <w:r>
        <w:rPr>
          <w:rStyle w:val="MdStrong"/>
          <w:b/>
          <w:bCs/>
        </w:rPr>
        <w:t xml:space="preserve">Companies Act compliance for routine transactions</w:t>
      </w:r>
      <w:r>
        <w:t xml:space="preserve"> (not applicable to informal practice)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What We're NOW Arguing:</w:t>
      </w: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Departure from established practice</w:t>
      </w:r>
      <w:r>
        <w:t xml:space="preserve"> (what changed vs. historical approach)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Breakdown of collaborative model</w:t>
      </w:r>
      <w:r>
        <w:t xml:space="preserve"> (unilateral vs. consultative)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Loss of transparency</w:t>
      </w:r>
      <w:r>
        <w:t xml:space="preserve"> (unclear transactions vs. clear marking)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Exclusion of directors</w:t>
      </w:r>
      <w:r>
        <w:t xml:space="preserve"> (systematic removal from oversight)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Applicant's inconsistency</w:t>
      </w:r>
      <w:r>
        <w:t xml:space="preserve"> (accepted practice for years, suddenly objects)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Timing and pretext</w:t>
      </w:r>
      <w:r>
        <w:t xml:space="preserve"> (R500K payment used to justify interdict)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Revised Strongest Arguments</w:t>
      </w:r>
    </w:p>
    <w:p>
      <w:pPr>
        <w:pStyle w:val="Heading3"/>
        <w:pStyle w:val="MdHeading3"/>
      </w:pPr>
      <w:r>
        <w:t xml:space="preserve">1. Regulatory Compliance (Para 44)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NO CHANGE</w:t>
      </w:r>
      <w:r>
        <w:t xml:space="preserve"> - This argument is unaffected by business practice context and remains the strongest.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Applicant's Inconsistency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STRENGTHENED</w:t>
      </w:r>
      <w:r>
        <w:t xml:space="preserve"> - Now we can show:</w:t>
      </w:r>
    </w:p>
    <w:p>
      <w:pPr>
        <w:pStyle w:val="MdListItem"/>
        <w:numPr>
          <w:ilvl w:val="0"/>
          <w:numId w:val="2"/>
        </w:numPr>
      </w:pPr>
      <w:r>
        <w:t xml:space="preserve">Applicant accepted informal practice for years</w:t>
      </w:r>
    </w:p>
    <w:p>
      <w:pPr>
        <w:pStyle w:val="MdListItem"/>
        <w:numPr>
          <w:ilvl w:val="0"/>
          <w:numId w:val="2"/>
        </w:numPr>
      </w:pPr>
      <w:r>
        <w:t xml:space="preserve">Applicant himself received similar payments without formal authorization</w:t>
      </w:r>
    </w:p>
    <w:p>
      <w:pPr>
        <w:pStyle w:val="MdListItem"/>
        <w:numPr>
          <w:ilvl w:val="0"/>
          <w:numId w:val="2"/>
        </w:numPr>
      </w:pPr>
      <w:r>
        <w:t xml:space="preserve">Applicant's sudden objection is inconsistent and pretextual</w:t>
      </w:r>
    </w:p>
    <w:p>
      <w:pPr>
        <w:pStyle w:val="MdListItem"/>
        <w:numPr>
          <w:ilvl w:val="0"/>
          <w:numId w:val="2"/>
        </w:numPr>
      </w:pPr>
      <w:r>
        <w:t xml:space="preserve">Timing suggests pretext for interdict (20 days after R500K payment)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Breakdown of Collaborative Practice ⭐⭐⭐⭐</w:t>
      </w:r>
    </w:p>
    <w:p>
      <w:pPr>
        <w:pStyle w:val="MdParagraph"/>
      </w:pPr>
      <w:r>
        <w:rPr>
          <w:rStyle w:val="MdStrong"/>
          <w:b/>
          <w:bCs/>
        </w:rPr>
        <w:t xml:space="preserve">REFRAMED</w:t>
      </w:r>
      <w:r>
        <w:t xml:space="preserve"> - Focus on:</w:t>
      </w:r>
    </w:p>
    <w:p>
      <w:pPr>
        <w:pStyle w:val="MdListItem"/>
        <w:numPr>
          <w:ilvl w:val="0"/>
          <w:numId w:val="2"/>
        </w:numPr>
      </w:pPr>
      <w:r>
        <w:t xml:space="preserve">Historical collaborative model worked successfully</w:t>
      </w:r>
    </w:p>
    <w:p>
      <w:pPr>
        <w:pStyle w:val="MdListItem"/>
        <w:numPr>
          <w:ilvl w:val="0"/>
          <w:numId w:val="2"/>
        </w:numPr>
      </w:pPr>
      <w:r>
        <w:t xml:space="preserve">Systematic replacement with unilateral control</w:t>
      </w:r>
    </w:p>
    <w:p>
      <w:pPr>
        <w:pStyle w:val="MdListItem"/>
        <w:numPr>
          <w:ilvl w:val="0"/>
          <w:numId w:val="2"/>
        </w:numPr>
      </w:pPr>
      <w:r>
        <w:t xml:space="preserve">Exclusion of directors from consultation</w:t>
      </w:r>
    </w:p>
    <w:p>
      <w:pPr>
        <w:pStyle w:val="MdListItem"/>
        <w:numPr>
          <w:ilvl w:val="0"/>
          <w:numId w:val="2"/>
        </w:numPr>
      </w:pPr>
      <w:r>
        <w:t xml:space="preserve">Loss of transparency and oversight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Timeline/Coordination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NO CHANGE</w:t>
      </w:r>
      <w:r>
        <w:t xml:space="preserve"> - This argument is unaffected and remains strong.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Updated Evidence Requirements</w:t>
      </w:r>
    </w:p>
    <w:p>
      <w:pPr>
        <w:pStyle w:val="Heading3"/>
        <w:pStyle w:val="MdHeading3"/>
      </w:pPr>
      <w:r>
        <w:t xml:space="preserve">Priority 1 (Essential):</w:t>
      </w:r>
    </w:p>
    <w:p>
      <w:pPr>
        <w:pStyle w:val="MdParagraph"/>
      </w:pPr>
      <w:r>
        <w:rPr>
          <w:rStyle w:val="MdStrong"/>
          <w:b/>
          <w:bCs/>
        </w:rPr>
        <w:t xml:space="preserve">JF-X: Director Loan Account Documentation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Director loan account statements showing credit balances for all directors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Historical transactions showing established practice (no formal resolutions)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Examples of Applicant receiving similar payments without formal authorization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Bank statement for 16 July 2025 (R500K payment) clearly marked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Accounting records showing proper allocation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Purpose</w:t>
      </w:r>
      <w:r>
        <w:t xml:space="preserve">: Demonstrate established practice and Applicant's inconsistency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JF-H: Transactions Departing from Established Practice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Bank statements showing unclear or poorly marked transactions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Transactions lacking supporting documentation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Transactions outside normal business operations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Comparison to historical transactions (clear vs. unclear)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Purpose</w:t>
      </w:r>
      <w:r>
        <w:t xml:space="preserve">: Show departure from practice, not absence of formal authorization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JF-C: Evidence of Collaborative Model Breakdown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Historical emails showing collaborative decision-making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Recent emails showing exclusion and "interference" characterization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Access logs showing restriction of director access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Examples of unilateral decisions by Rynette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Purpose</w:t>
      </w:r>
      <w:r>
        <w:t xml:space="preserve">: Demonstrate systematic breakdown of collaborative approach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Updated Language Guidelines</w:t>
      </w:r>
    </w:p>
    <w:p>
      <w:pPr>
        <w:pStyle w:val="Heading3"/>
        <w:pStyle w:val="MdHeading3"/>
      </w:pPr>
      <w:r>
        <w:t xml:space="preserve">AVOID:</w:t>
      </w:r>
    </w:p>
    <w:p>
      <w:pPr>
        <w:pStyle w:val="MdParagraph"/>
      </w:pPr>
      <w:r>
        <w:t xml:space="preserve">❌ "Unauthorized transactions"</w:t>
      </w:r>
      <w:r>
        <w:rPr>
          <w:rStyle w:val="MdBr"/>
        </w:rPr>
        <w:br/>
        <w:t xml:space="preserve"/>
      </w:r>
      <w:r>
        <w:t xml:space="preserve">❌ "Lack of board approval"</w:t>
      </w:r>
      <w:r>
        <w:rPr>
          <w:rStyle w:val="MdBr"/>
        </w:rPr>
        <w:br/>
        <w:t xml:space="preserve"/>
      </w:r>
      <w:r>
        <w:t xml:space="preserve">❌ "Missing dual signatures"</w:t>
      </w:r>
      <w:r>
        <w:rPr>
          <w:rStyle w:val="MdBr"/>
        </w:rPr>
        <w:br/>
        <w:t xml:space="preserve"/>
      </w:r>
      <w:r>
        <w:t xml:space="preserve">❌ "Violation of Companies Act"</w:t>
      </w:r>
      <w:r>
        <w:rPr>
          <w:rStyle w:val="MdBr"/>
        </w:rPr>
        <w:br/>
        <w:t xml:space="preserve"/>
      </w:r>
      <w:r>
        <w:t xml:space="preserve">❌ "Breach of formal governance"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USE:</w:t>
      </w:r>
    </w:p>
    <w:p>
      <w:pPr>
        <w:pStyle w:val="MdParagraph"/>
      </w:pPr>
      <w:r>
        <w:t xml:space="preserve">✅ "Departure from established practice"</w:t>
      </w:r>
      <w:r>
        <w:rPr>
          <w:rStyle w:val="MdBr"/>
        </w:rPr>
        <w:br/>
        <w:t xml:space="preserve"/>
      </w:r>
      <w:r>
        <w:t xml:space="preserve">✅ "Breakdown of collaborative model"</w:t>
      </w:r>
      <w:r>
        <w:rPr>
          <w:rStyle w:val="MdBr"/>
        </w:rPr>
        <w:br/>
        <w:t xml:space="preserve"/>
      </w:r>
      <w:r>
        <w:t xml:space="preserve">✅ "Unclear or poorly documented transactions"</w:t>
      </w:r>
      <w:r>
        <w:rPr>
          <w:rStyle w:val="MdBr"/>
        </w:rPr>
        <w:br/>
        <w:t xml:space="preserve"/>
      </w:r>
      <w:r>
        <w:t xml:space="preserve">✅ "Exclusion from consultation"</w:t>
      </w:r>
      <w:r>
        <w:rPr>
          <w:rStyle w:val="MdBr"/>
        </w:rPr>
        <w:br/>
        <w:t xml:space="preserve"/>
      </w:r>
      <w:r>
        <w:t xml:space="preserve">✅ "Loss of transparency"</w:t>
      </w:r>
      <w:r>
        <w:rPr>
          <w:rStyle w:val="MdBr"/>
        </w:rPr>
        <w:br/>
        <w:t xml:space="preserve"/>
      </w:r>
      <w:r>
        <w:t xml:space="preserve">✅ "Systematic replacement of collaborative oversight"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Example: R500,000 Payment Argument</w:t>
      </w:r>
    </w:p>
    <w:p>
      <w:pPr>
        <w:pStyle w:val="Heading3"/>
        <w:pStyle w:val="MdHeading3"/>
      </w:pPr>
      <w:r>
        <w:t xml:space="preserve">WRONG Approach (Assumes formal authorization needed):</w:t>
      </w:r>
    </w:p>
    <w:p>
      <w:pPr>
        <w:pStyle w:val="MdBlockquote"/>
      </w:pPr>
      <w:r>
        <w:t xml:space="preserve">"The R500,000 payment lacked board approval and dual signatures, violating the Companies Act and constituting an unauthorized transaction."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Problem</w:t>
      </w:r>
      <w:r>
        <w:t xml:space="preserve">: This is factually incorrect given the established business practice.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RIGHT Approach (Reflects actual practice):</w:t>
      </w:r>
    </w:p>
    <w:p>
      <w:pPr>
        <w:pStyle w:val="MdBlockquote"/>
      </w:pPr>
      <w:r>
        <w:t xml:space="preserve">"The R500,000 payment on 16 July 2025 was consistent with the established practice of director loan account transactions that has operated successfully for [X years]. The Applicant himself has received similar payments without formal board resolutions on [number] occasions, most recently on [date] (R[amount]). 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The Applicant's sudden objection to this payment, despite years of accepting the same practice, is inconsistent and suggests it was used as a pretext for the ex parte interdict filed 34 days later. 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The payment was clearly marked on the bank statement (Annexure JF-X3) and properly allocated to the corresponding director loan account (Annexure JF-X4), consistent with established practice."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</w:t>
      </w:r>
      <w:r>
        <w:t xml:space="preserve">: Uses Applicant's own acceptance of the practice against him.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Updated Implementation Checklist</w:t>
      </w:r>
    </w:p>
    <w:p>
      <w:pPr>
        <w:pStyle w:val="Heading3"/>
        <w:pStyle w:val="MdHeading3"/>
      </w:pPr>
      <w:r>
        <w:t xml:space="preserve">Before Filing:</w:t>
      </w:r>
    </w:p>
    <w:p>
      <w:pPr>
        <w:pStyle w:val="MdParagraph"/>
      </w:pPr>
      <w:r>
        <w:rPr>
          <w:rStyle w:val="MdStrong"/>
          <w:b/>
          <w:bCs/>
        </w:rPr>
        <w:t xml:space="preserve">Content Review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Removed all references to "unauthorized" (unless truly outside established practice)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Removed all references to "lack of board approval" for routine transactions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Removed all references to "dual signatures" as a requirement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Replaced with "departure from established practice"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Replaced with "breakdown of collaborative model"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Focused on Applicant's inconsistency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Evidence Review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Director loan account statements (all directors, showing credit balances)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Historical transactions showing established practice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Examples of Applicant receiving similar payments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Evidence of collaborative model (historical emails)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Evidence of breakdown (recent exclusion, "interference" characterization)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Argument Review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Emphasizes Applicant's inconsistency (accepted practice for years)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Shows departure from practice (not absence of formal authorization)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Demonstrates breakdown of collaboration (not violation of formal rules)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Uses Applicant's own behavior against him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Summary of Key Changes</w:t>
      </w:r>
    </w:p>
    <w:p>
      <w:pPr>
        <w:pStyle w:val="Heading3"/>
        <w:pStyle w:val="MdHeading3"/>
      </w:pPr>
      <w:r>
        <w:t xml:space="preserve">Old Approach (Incorrect):</w:t>
      </w:r>
    </w:p>
    <w:p>
      <w:pPr>
        <w:pStyle w:val="MdListItem"/>
        <w:numPr>
          <w:ilvl w:val="0"/>
          <w:numId w:val="2"/>
        </w:numPr>
      </w:pPr>
      <w:r>
        <w:t xml:space="preserve">Assumed formal governance structures</w:t>
      </w:r>
    </w:p>
    <w:p>
      <w:pPr>
        <w:pStyle w:val="MdListItem"/>
        <w:numPr>
          <w:ilvl w:val="0"/>
          <w:numId w:val="2"/>
        </w:numPr>
      </w:pPr>
      <w:r>
        <w:t xml:space="preserve">Focused on lack of board resolutions</w:t>
      </w:r>
    </w:p>
    <w:p>
      <w:pPr>
        <w:pStyle w:val="MdListItem"/>
        <w:numPr>
          <w:ilvl w:val="0"/>
          <w:numId w:val="2"/>
        </w:numPr>
      </w:pPr>
      <w:r>
        <w:t xml:space="preserve">Emphasized dual signature requirements</w:t>
      </w:r>
    </w:p>
    <w:p>
      <w:pPr>
        <w:pStyle w:val="MdListItem"/>
        <w:numPr>
          <w:ilvl w:val="0"/>
          <w:numId w:val="2"/>
        </w:numPr>
      </w:pPr>
      <w:r>
        <w:t xml:space="preserve">Characterized transactions as "unauthorized"</w:t>
      </w:r>
    </w:p>
    <w:p>
      <w:pPr>
        <w:pStyle w:val="MdListItem"/>
        <w:numPr>
          <w:ilvl w:val="0"/>
          <w:numId w:val="2"/>
        </w:numPr>
      </w:pPr>
      <w:r>
        <w:t xml:space="preserve">Claimed Companies Act violations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New Approach (Correct):</w:t>
      </w:r>
    </w:p>
    <w:p>
      <w:pPr>
        <w:pStyle w:val="MdListItem"/>
        <w:numPr>
          <w:ilvl w:val="0"/>
          <w:numId w:val="2"/>
        </w:numPr>
      </w:pPr>
      <w:r>
        <w:t xml:space="preserve">Recognizes informal but functional practice</w:t>
      </w:r>
    </w:p>
    <w:p>
      <w:pPr>
        <w:pStyle w:val="MdListItem"/>
        <w:numPr>
          <w:ilvl w:val="0"/>
          <w:numId w:val="2"/>
        </w:numPr>
      </w:pPr>
      <w:r>
        <w:t xml:space="preserve">Focuses on departure from established practice</w:t>
      </w:r>
    </w:p>
    <w:p>
      <w:pPr>
        <w:pStyle w:val="MdListItem"/>
        <w:numPr>
          <w:ilvl w:val="0"/>
          <w:numId w:val="2"/>
        </w:numPr>
      </w:pPr>
      <w:r>
        <w:t xml:space="preserve">Emphasizes breakdown of collaboration</w:t>
      </w:r>
    </w:p>
    <w:p>
      <w:pPr>
        <w:pStyle w:val="MdListItem"/>
        <w:numPr>
          <w:ilvl w:val="0"/>
          <w:numId w:val="2"/>
        </w:numPr>
      </w:pPr>
      <w:r>
        <w:t xml:space="preserve">Characterizes transactions as "unclear" or "outside normal practice"</w:t>
      </w:r>
    </w:p>
    <w:p>
      <w:pPr>
        <w:pStyle w:val="MdListItem"/>
        <w:numPr>
          <w:ilvl w:val="0"/>
          <w:numId w:val="2"/>
        </w:numPr>
      </w:pPr>
      <w:r>
        <w:t xml:space="preserve">Uses Applicant's inconsistency as key argument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Impact on Overall Case</w:t>
      </w:r>
    </w:p>
    <w:p>
      <w:pPr>
        <w:pStyle w:val="Heading3"/>
        <w:pStyle w:val="MdHeading3"/>
      </w:pPr>
      <w:r>
        <w:t xml:space="preserve">Strengthened Arguments: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Applicant's inconsistency</w:t>
      </w:r>
      <w:r>
        <w:t xml:space="preserve"> - Now much stronger (he accepted practice for years)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Pretext for interdict</w:t>
      </w:r>
      <w:r>
        <w:t xml:space="preserve"> - R500K payment used despite being consistent with practice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Breakdown of collaboration</w:t>
      </w:r>
      <w:r>
        <w:t xml:space="preserve"> - More accurate description of what actually changed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Unchanged Arguments: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Regulatory compliance</w:t>
      </w:r>
      <w:r>
        <w:t xml:space="preserve"> - Still strongest argument (unaffected)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Timeline/coordination</w:t>
      </w:r>
      <w:r>
        <w:t xml:space="preserve"> - Still strong (unaffected)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Removed Arguments:</w:t>
      </w:r>
    </w:p>
    <w:p>
      <w:pPr>
        <w:pStyle w:val="MdListItem"/>
        <w:numPr>
          <w:ilvl w:val="0"/>
          <w:numId w:val="3"/>
        </w:numPr>
      </w:pPr>
      <w:r>
        <w:t xml:space="preserve">❌ </w:t>
      </w:r>
      <w:r>
        <w:rPr>
          <w:rStyle w:val="MdStrong"/>
          <w:b/>
          <w:bCs/>
        </w:rPr>
        <w:t xml:space="preserve">Formal governance violations</w:t>
      </w:r>
      <w:r>
        <w:t xml:space="preserve"> - These didn't exist, so argument was incorrect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 updated corrections now accurately reflect the actual business practices while still making strong, evidence-based arguments about what has genuinely changed and why it's problematic.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Next Steps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Update all previous correction documents</w:t>
      </w:r>
      <w:r>
        <w:t xml:space="preserve"> to reflect this new understanding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Gather director loan account evidence</w:t>
      </w:r>
      <w:r>
        <w:t xml:space="preserve"> (Priority 1)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Document Applicant's similar transactions</w:t>
      </w:r>
      <w:r>
        <w:t xml:space="preserve"> to show inconsistency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Focus on collaborative model breakdown</w:t>
      </w:r>
      <w:r>
        <w:t xml:space="preserve"> rather than formal authorization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Emphasize Applicant's acceptance of practice</w:t>
      </w:r>
      <w:r>
        <w:t xml:space="preserve"> for years before sudden objection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This reframing actually </w:t>
      </w:r>
      <w:r>
        <w:rPr>
          <w:rStyle w:val="MdStrong"/>
          <w:b/>
          <w:bCs/>
        </w:rPr>
        <w:t xml:space="preserve">strengthens the case</w:t>
      </w:r>
      <w:r>
        <w:t xml:space="preserve"> by:</w:t>
      </w:r>
    </w:p>
    <w:p>
      <w:pPr>
        <w:pStyle w:val="MdListItem"/>
        <w:numPr>
          <w:ilvl w:val="0"/>
          <w:numId w:val="2"/>
        </w:numPr>
      </w:pPr>
      <w:r>
        <w:t xml:space="preserve">Using Applicant's own behavior against him</w:t>
      </w:r>
    </w:p>
    <w:p>
      <w:pPr>
        <w:pStyle w:val="MdListItem"/>
        <w:numPr>
          <w:ilvl w:val="0"/>
          <w:numId w:val="2"/>
        </w:numPr>
      </w:pPr>
      <w:r>
        <w:t xml:space="preserve">Showing inconsistency and pretext</w:t>
      </w:r>
    </w:p>
    <w:p>
      <w:pPr>
        <w:pStyle w:val="MdListItem"/>
        <w:numPr>
          <w:ilvl w:val="0"/>
          <w:numId w:val="2"/>
        </w:numPr>
      </w:pPr>
      <w:r>
        <w:t xml:space="preserve">Focusing on real changes rather than imagined violations</w:t>
      </w:r>
    </w:p>
    <w:p>
      <w:pPr>
        <w:pStyle w:val="MdListItem"/>
        <w:numPr>
          <w:ilvl w:val="0"/>
          <w:numId w:val="2"/>
        </w:numPr>
      </w:pPr>
      <w:r>
        <w:t xml:space="preserve">Demonstrating what actually worked historically vs. what's broken now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2025-10-13T06:36:48.132Z</dcterms:created>
  <dcterms:modified xsi:type="dcterms:W3CDTF">2025-10-13T06:36:48.132Z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