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2"/>
          <w:szCs w:val="22"/>
        </w:rPr>
        <w:t xml:space="preserve">IN THE HIGH COURT OF SOUTH AFRICA</w:t>
      </w:r>
    </w:p>
    <w:p>
      <w:pPr>
        <w:spacing w:after="80"/>
        <w:jc w:val="center"/>
      </w:pPr>
      <w:r>
        <w:rPr>
          <w:rFonts w:ascii="Arial" w:cs="Arial" w:eastAsia="Arial" w:hAnsi="Arial"/>
          <w:b/>
          <w:bCs/>
          <w:sz w:val="22"/>
          <w:szCs w:val="22"/>
        </w:rPr>
        <w:t xml:space="preserve">GAUTENG DIVISION, PRETORIA</w:t>
      </w:r>
    </w:p>
    <w:p>
      <w:pPr>
        <w:spacing w:after="240"/>
        <w:jc w:val="center"/>
      </w:pPr>
      <w:r>
        <w:rPr>
          <w:rFonts w:ascii="Arial" w:cs="Arial" w:eastAsia="Arial" w:hAnsi="Arial"/>
          <w:sz w:val="22"/>
          <w:szCs w:val="22"/>
        </w:rPr>
        <w:t xml:space="preserve">Case No: 2025-137857</w:t>
      </w:r>
    </w:p>
    <w:p>
      <w:pPr>
        <w:spacing w:after="80"/>
        <w:jc w:val="center"/>
      </w:pPr>
      <w:r>
        <w:rPr>
          <w:rFonts w:ascii="Arial" w:cs="Arial" w:eastAsia="Arial" w:hAnsi="Arial"/>
          <w:i/>
          <w:iCs/>
          <w:sz w:val="20"/>
          <w:szCs w:val="20"/>
        </w:rPr>
        <w:t xml:space="preserve">In the matter between:</w:t>
      </w:r>
    </w:p>
    <w:p>
      <w:pPr>
        <w:spacing w:after="80"/>
        <w:jc w:val="center"/>
      </w:pPr>
      <w:r>
        <w:rPr>
          <w:rFonts w:ascii="Arial" w:cs="Arial" w:eastAsia="Arial" w:hAnsi="Arial"/>
          <w:b/>
          <w:bCs/>
          <w:sz w:val="22"/>
          <w:szCs w:val="22"/>
        </w:rPr>
        <w:t xml:space="preserve">PETER ANDREW FAUCITT</w:t>
      </w:r>
      <w:r>
        <w:rPr>
          <w:rFonts w:ascii="Arial" w:cs="Arial" w:eastAsia="Arial" w:hAnsi="Arial"/>
          <w:sz w:val="20"/>
          <w:szCs w:val="20"/>
        </w:rPr>
        <w:t xml:space="preserve">                    Applicant</w:t>
      </w:r>
    </w:p>
    <w:p>
      <w:pPr>
        <w:spacing w:after="80"/>
        <w:jc w:val="center"/>
      </w:pPr>
      <w:r>
        <w:rPr>
          <w:rFonts w:ascii="Arial" w:cs="Arial" w:eastAsia="Arial" w:hAnsi="Arial"/>
          <w:i/>
          <w:iCs/>
          <w:sz w:val="20"/>
          <w:szCs w:val="20"/>
        </w:rPr>
        <w:t xml:space="preserve">and</w:t>
      </w:r>
    </w:p>
    <w:p>
      <w:pPr>
        <w:spacing w:after="240"/>
        <w:jc w:val="center"/>
      </w:pPr>
      <w:r>
        <w:rPr>
          <w:rFonts w:ascii="Arial" w:cs="Arial" w:eastAsia="Arial" w:hAnsi="Arial"/>
          <w:b/>
          <w:bCs/>
          <w:sz w:val="22"/>
          <w:szCs w:val="22"/>
        </w:rPr>
        <w:t xml:space="preserve">JACQUELINE FAUCITT &amp; OTHERS</w:t>
      </w:r>
      <w:r>
        <w:rPr>
          <w:rFonts w:ascii="Arial" w:cs="Arial" w:eastAsia="Arial" w:hAnsi="Arial"/>
          <w:sz w:val="20"/>
          <w:szCs w:val="20"/>
        </w:rPr>
        <w:t xml:space="preserve">          Respondents</w:t>
      </w:r>
    </w:p>
    <w:p>
      <w:pPr>
        <w:pBdr>
          <w:top w:val="single" w:color="1F3864" w:sz="2"/>
        </w:pBdr>
        <w:spacing w:before="120" w:after="40"/>
        <w:jc w:val="center"/>
      </w:pPr>
    </w:p>
    <w:p>
      <w:pPr>
        <w:spacing w:after="40"/>
        <w:jc w:val="center"/>
      </w:pPr>
      <w:r>
        <w:rPr>
          <w:rFonts w:ascii="Arial" w:cs="Arial" w:eastAsia="Arial" w:hAnsi="Arial"/>
          <w:b/>
          <w:bCs/>
          <w:color w:val="1F3864"/>
          <w:sz w:val="30"/>
          <w:szCs w:val="30"/>
        </w:rPr>
        <w:t xml:space="preserve">CHAIN OF CUSTODY LIABILITY GAP ANALYSIS</w:t>
      </w:r>
    </w:p>
    <w:p>
      <w:pPr>
        <w:spacing w:after="40"/>
        <w:jc w:val="center"/>
      </w:pPr>
      <w:r>
        <w:rPr>
          <w:rFonts w:ascii="Arial" w:cs="Arial" w:eastAsia="Arial" w:hAnsi="Arial"/>
          <w:i/>
          <w:iCs/>
          <w:color w:val="555555"/>
          <w:sz w:val="22"/>
          <w:szCs w:val="22"/>
        </w:rPr>
        <w:t xml:space="preserve">Document Production Pipeline &amp; Attorney Liability for CaseLines Non-Compliance</w:t>
      </w:r>
    </w:p>
    <w:p>
      <w:pPr>
        <w:pBdr>
          <w:bottom w:val="single" w:color="1F3864" w:sz="2"/>
        </w:pBdr>
        <w:spacing w:after="240"/>
        <w:jc w:val="center"/>
      </w:pPr>
      <w:r>
        <w:rPr>
          <w:rFonts w:ascii="Arial" w:cs="Arial" w:eastAsia="Arial" w:hAnsi="Arial"/>
          <w:color w:val="888888"/>
          <w:sz w:val="20"/>
          <w:szCs w:val="20"/>
        </w:rPr>
        <w:t xml:space="preserve">Prepared: 11 February 2026</w:t>
      </w:r>
    </w:p>
    <w:p>
      <w:pPr>
        <w:pStyle w:val="Heading1"/>
        <w:spacing w:before="360" w:after="200"/>
      </w:pPr>
      <w:r>
        <w:rPr>
          <w:rFonts w:ascii="Arial" w:cs="Arial" w:eastAsia="Arial" w:hAnsi="Arial"/>
          <w:b/>
          <w:bCs/>
          <w:sz w:val="28"/>
          <w:szCs w:val="28"/>
        </w:rPr>
        <w:t xml:space="preserve">1. INTRODUCTION AND PURPOSE</w:t>
      </w:r>
    </w:p>
    <w:p>
      <w:pPr>
        <w:spacing w:after="160"/>
        <w:ind w:left="720" w:hanging="720"/>
        <w:jc w:val="both"/>
      </w:pPr>
      <w:r>
        <w:rPr>
          <w:rFonts w:ascii="Arial" w:cs="Arial" w:eastAsia="Arial" w:hAnsi="Arial"/>
          <w:b/>
          <w:bCs/>
          <w:sz w:val="22"/>
          <w:szCs w:val="22"/>
        </w:rPr>
        <w:t xml:space="preserve">1.1 </w:t>
      </w:r>
      <w:r>
        <w:rPr>
          <w:rFonts w:ascii="Arial" w:cs="Arial" w:eastAsia="Arial" w:hAnsi="Arial"/>
          <w:sz w:val="22"/>
          <w:szCs w:val="22"/>
        </w:rPr>
        <w:t xml:space="preserve">This analysis identifies a critical </w:t>
      </w:r>
      <w:r>
        <w:rPr>
          <w:rFonts w:ascii="Arial" w:cs="Arial" w:eastAsia="Arial" w:hAnsi="Arial"/>
          <w:b/>
          <w:bCs/>
          <w:sz w:val="22"/>
          <w:szCs w:val="22"/>
        </w:rPr>
        <w:t xml:space="preserve">chain-of-custody liability gap</w:t>
      </w:r>
      <w:r>
        <w:rPr>
          <w:rFonts w:ascii="Arial" w:cs="Arial" w:eastAsia="Arial" w:hAnsi="Arial"/>
          <w:sz w:val="22"/>
          <w:szCs w:val="22"/>
        </w:rPr>
        <w:t xml:space="preserve"> in the document production mechanism established by the Part A Court Order of 19 August 2025 and the Settlement Agreements of 18 September 2025. Specifically, it addresses the question of </w:t>
      </w:r>
      <w:r>
        <w:rPr>
          <w:rFonts w:ascii="Arial" w:cs="Arial" w:eastAsia="Arial" w:hAnsi="Arial"/>
          <w:i/>
          <w:iCs/>
          <w:sz w:val="22"/>
          <w:szCs w:val="22"/>
        </w:rPr>
        <w:t xml:space="preserve">who bears contempt liability</w:t>
      </w:r>
      <w:r>
        <w:rPr>
          <w:rFonts w:ascii="Arial" w:cs="Arial" w:eastAsia="Arial" w:hAnsi="Arial"/>
          <w:sz w:val="22"/>
          <w:szCs w:val="22"/>
        </w:rPr>
        <w:t xml:space="preserve"> when a Respondent has surrendered documents to the attorneys of record but those documents have not been uploaded to CaseLines.</w:t>
      </w:r>
    </w:p>
    <w:p>
      <w:pPr>
        <w:spacing w:after="160"/>
        <w:ind w:left="720" w:hanging="720"/>
        <w:jc w:val="both"/>
      </w:pPr>
      <w:r>
        <w:rPr>
          <w:rFonts w:ascii="Arial" w:cs="Arial" w:eastAsia="Arial" w:hAnsi="Arial"/>
          <w:b/>
          <w:bCs/>
          <w:sz w:val="22"/>
          <w:szCs w:val="22"/>
        </w:rPr>
        <w:t xml:space="preserve">1.2 </w:t>
      </w:r>
      <w:r>
        <w:rPr>
          <w:rFonts w:ascii="Arial" w:cs="Arial" w:eastAsia="Arial" w:hAnsi="Arial"/>
          <w:sz w:val="22"/>
          <w:szCs w:val="22"/>
        </w:rPr>
        <w:t xml:space="preserve">The significance of this analysis is threefold: it provides a complete defence to certain allegations in the Contempt Application of 4 February 2026; it exposes potential </w:t>
      </w:r>
      <w:r>
        <w:rPr>
          <w:rFonts w:ascii="Arial" w:cs="Arial" w:eastAsia="Arial" w:hAnsi="Arial"/>
          <w:i/>
          <w:iCs/>
          <w:sz w:val="22"/>
          <w:szCs w:val="22"/>
        </w:rPr>
        <w:t xml:space="preserve">de bonis propriis</w:t>
      </w:r>
      <w:r>
        <w:rPr>
          <w:rFonts w:ascii="Arial" w:cs="Arial" w:eastAsia="Arial" w:hAnsi="Arial"/>
          <w:sz w:val="22"/>
          <w:szCs w:val="22"/>
        </w:rPr>
        <w:t xml:space="preserve"> costs liability for the attorneys concerned; and it reveals a further dimension of the abuse of process pattern documented in the Responding Affidavit.</w:t>
      </w:r>
    </w:p>
    <w:p>
      <w:pPr>
        <w:spacing w:after="160"/>
        <w:ind w:left="720" w:hanging="720"/>
        <w:jc w:val="both"/>
      </w:pPr>
      <w:r>
        <w:rPr>
          <w:rFonts w:ascii="Arial" w:cs="Arial" w:eastAsia="Arial" w:hAnsi="Arial"/>
          <w:b/>
          <w:bCs/>
          <w:sz w:val="22"/>
          <w:szCs w:val="22"/>
        </w:rPr>
        <w:t xml:space="preserve">1.3 </w:t>
      </w:r>
      <w:r>
        <w:rPr>
          <w:rFonts w:ascii="Arial" w:cs="Arial" w:eastAsia="Arial" w:hAnsi="Arial"/>
          <w:sz w:val="22"/>
          <w:szCs w:val="22"/>
        </w:rPr>
        <w:t xml:space="preserve">This analysis is filed in conjunction with the Comprehensive Responding Affidavit (Void Ab Initio) and the Part A Court Order Scope Analysis, and should be read together with those documents.</w:t>
      </w:r>
    </w:p>
    <w:p>
      <w:pPr>
        <w:pStyle w:val="Heading1"/>
        <w:spacing w:before="360" w:after="200"/>
      </w:pPr>
      <w:r>
        <w:rPr>
          <w:rFonts w:ascii="Arial" w:cs="Arial" w:eastAsia="Arial" w:hAnsi="Arial"/>
          <w:b/>
          <w:bCs/>
          <w:sz w:val="28"/>
          <w:szCs w:val="28"/>
        </w:rPr>
        <w:t xml:space="preserve">2. THE DOCUMENT PRODUCTION ARCHITECTURE</w:t>
      </w:r>
    </w:p>
    <w:p>
      <w:pPr>
        <w:pStyle w:val="Heading2"/>
        <w:spacing w:before="280" w:after="160"/>
      </w:pPr>
      <w:r>
        <w:rPr>
          <w:rFonts w:ascii="Arial" w:cs="Arial" w:eastAsia="Arial" w:hAnsi="Arial"/>
          <w:b/>
          <w:bCs/>
          <w:sz w:val="24"/>
          <w:szCs w:val="24"/>
        </w:rPr>
        <w:t xml:space="preserve">2.1 The Court-Mandated Pipeline</w:t>
      </w:r>
    </w:p>
    <w:p>
      <w:pPr>
        <w:spacing w:after="160"/>
        <w:ind w:left="720" w:hanging="720"/>
        <w:jc w:val="both"/>
      </w:pPr>
      <w:r>
        <w:rPr>
          <w:rFonts w:ascii="Arial" w:cs="Arial" w:eastAsia="Arial" w:hAnsi="Arial"/>
          <w:b/>
          <w:bCs/>
          <w:sz w:val="22"/>
          <w:szCs w:val="22"/>
        </w:rPr>
        <w:t xml:space="preserve">2.1.1 </w:t>
      </w:r>
      <w:r>
        <w:rPr>
          <w:rFonts w:ascii="Arial" w:cs="Arial" w:eastAsia="Arial" w:hAnsi="Arial"/>
          <w:sz w:val="22"/>
          <w:szCs w:val="22"/>
        </w:rPr>
        <w:t xml:space="preserve">The Part A Court Order establishes a specific document production pipeline through paragraphs 2.8.1 and 2.8.2. This pipeline operates through three defined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26"/>
      </w:tblGrid>
      <w:tr>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160"/>
              <w:jc w:val="left"/>
            </w:pPr>
            <w:r>
              <w:rPr>
                <w:rFonts w:ascii="Arial" w:cs="Arial" w:eastAsia="Arial" w:hAnsi="Arial"/>
                <w:b/>
                <w:bCs/>
                <w:color w:val="FFFFFF"/>
                <w:sz w:val="20"/>
                <w:szCs w:val="20"/>
              </w:rPr>
              <w:t xml:space="preserve">Stage</w:t>
            </w:r>
          </w:p>
        </w:tc>
        <w:tc>
          <w:tcPr>
            <w:tcW w:type="dxa" w:w="2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160"/>
              <w:jc w:val="left"/>
            </w:pPr>
            <w:r>
              <w:rPr>
                <w:rFonts w:ascii="Arial" w:cs="Arial" w:eastAsia="Arial" w:hAnsi="Arial"/>
                <w:b/>
                <w:bCs/>
                <w:color w:val="FFFFFF"/>
                <w:sz w:val="20"/>
                <w:szCs w:val="20"/>
              </w:rPr>
              <w:t xml:space="preserve">Actor</w:t>
            </w:r>
          </w:p>
        </w:tc>
        <w:tc>
          <w:tcPr>
            <w:tcW w:type="dxa" w:w="54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160"/>
              <w:jc w:val="left"/>
            </w:pPr>
            <w:r>
              <w:rPr>
                <w:rFonts w:ascii="Arial" w:cs="Arial" w:eastAsia="Arial" w:hAnsi="Arial"/>
                <w:b/>
                <w:bCs/>
                <w:color w:val="FFFFFF"/>
                <w:sz w:val="20"/>
                <w:szCs w:val="20"/>
              </w:rPr>
              <w:t xml:space="preserve">Obligation</w:t>
            </w:r>
          </w:p>
        </w:tc>
      </w:tr>
      <w:tr>
        <w:tc>
          <w:tcPr>
            <w:tcW w:type="dxa" w:w="12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spacing w:after="160"/>
              <w:jc w:val="left"/>
            </w:pPr>
            <w:r>
              <w:rPr>
                <w:rFonts w:ascii="Arial" w:cs="Arial" w:eastAsia="Arial" w:hAnsi="Arial"/>
                <w:sz w:val="20"/>
                <w:szCs w:val="20"/>
              </w:rPr>
              <w:t xml:space="preserve">1</w:t>
            </w:r>
          </w:p>
        </w:tc>
        <w:tc>
          <w:tcPr>
            <w:tcW w:type="dxa" w:w="24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spacing w:after="160"/>
              <w:jc w:val="left"/>
            </w:pPr>
            <w:r>
              <w:rPr>
                <w:rFonts w:ascii="Arial" w:cs="Arial" w:eastAsia="Arial" w:hAnsi="Arial"/>
                <w:b/>
                <w:bCs/>
                <w:sz w:val="20"/>
                <w:szCs w:val="20"/>
              </w:rPr>
              <w:t xml:space="preserve">Respondent</w:t>
            </w:r>
          </w:p>
        </w:tc>
        <w:tc>
          <w:tcPr>
            <w:tcW w:type="dxa" w:w="5426"/>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spacing w:after="160"/>
              <w:jc w:val="left"/>
            </w:pPr>
            <w:r>
              <w:rPr>
                <w:rFonts w:ascii="Arial" w:cs="Arial" w:eastAsia="Arial" w:hAnsi="Arial"/>
                <w:sz w:val="22"/>
                <w:szCs w:val="22"/>
              </w:rPr>
              <w:t xml:space="preserve">Preserve documents (para 2.8.1: </w:t>
            </w:r>
            <w:r>
              <w:rPr>
                <w:rFonts w:ascii="Arial" w:cs="Arial" w:eastAsia="Arial" w:hAnsi="Arial"/>
                <w:i/>
                <w:iCs/>
                <w:sz w:val="22"/>
                <w:szCs w:val="22"/>
              </w:rPr>
              <w:t xml:space="preserve">"interdicted and restrained from concealing or destroying"</w:t>
            </w:r>
            <w:r>
              <w:rPr>
                <w:rFonts w:ascii="Arial" w:cs="Arial" w:eastAsia="Arial" w:hAnsi="Arial"/>
                <w:sz w:val="22"/>
                <w:szCs w:val="22"/>
              </w:rPr>
              <w:t xml:space="preserve">)</w:t>
            </w:r>
          </w:p>
          <w:p>
            <w:pPr>
              <w:spacing w:after="160"/>
              <w:jc w:val="left"/>
            </w:pPr>
            <w:r>
              <w:rPr>
                <w:rFonts w:ascii="Arial" w:cs="Arial" w:eastAsia="Arial" w:hAnsi="Arial"/>
                <w:sz w:val="22"/>
                <w:szCs w:val="22"/>
              </w:rPr>
              <w:t xml:space="preserve">Surrender documents to attorneys of record (para 2.8.2: </w:t>
            </w:r>
            <w:r>
              <w:rPr>
                <w:rFonts w:ascii="Arial" w:cs="Arial" w:eastAsia="Arial" w:hAnsi="Arial"/>
                <w:i/>
                <w:iCs/>
                <w:sz w:val="22"/>
                <w:szCs w:val="22"/>
              </w:rPr>
              <w:t xml:space="preserve">"interdicted and directed to surrender forthwith"</w:t>
            </w:r>
            <w:r>
              <w:rPr>
                <w:rFonts w:ascii="Arial" w:cs="Arial" w:eastAsia="Arial" w:hAnsi="Arial"/>
                <w:sz w:val="22"/>
                <w:szCs w:val="22"/>
              </w:rPr>
              <w:t xml:space="preserve">)</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sz w:val="20"/>
                <w:szCs w:val="20"/>
              </w:rPr>
              <w:t xml:space="preserve">2</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b/>
                <w:bCs/>
                <w:sz w:val="20"/>
                <w:szCs w:val="20"/>
              </w:rPr>
              <w:t xml:space="preserve">Attorneys of Record</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sz w:val="22"/>
                <w:szCs w:val="22"/>
              </w:rPr>
              <w:t xml:space="preserve">Receive documents from client (fiduciary duty)</w:t>
            </w:r>
          </w:p>
          <w:p>
            <w:pPr>
              <w:spacing w:after="160"/>
              <w:jc w:val="left"/>
            </w:pPr>
            <w:r>
              <w:rPr>
                <w:rFonts w:ascii="Arial" w:cs="Arial" w:eastAsia="Arial" w:hAnsi="Arial"/>
                <w:sz w:val="22"/>
                <w:szCs w:val="22"/>
              </w:rPr>
              <w:t xml:space="preserve">Upload documents to CaseLines (procedural duty as officer of the court)</w:t>
            </w:r>
          </w:p>
          <w:p>
            <w:pPr>
              <w:spacing w:after="160"/>
              <w:jc w:val="left"/>
            </w:pPr>
            <w:r>
              <w:rPr>
                <w:rFonts w:ascii="Arial" w:cs="Arial" w:eastAsia="Arial" w:hAnsi="Arial"/>
                <w:sz w:val="22"/>
                <w:szCs w:val="22"/>
              </w:rPr>
              <w:t xml:space="preserve">Communicate documents to opposing party per court order mechanism</w:t>
            </w:r>
          </w:p>
        </w:tc>
      </w:tr>
      <w:tr>
        <w:tc>
          <w:tcPr>
            <w:tcW w:type="dxa" w:w="12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spacing w:after="160"/>
              <w:jc w:val="left"/>
            </w:pPr>
            <w:r>
              <w:rPr>
                <w:rFonts w:ascii="Arial" w:cs="Arial" w:eastAsia="Arial" w:hAnsi="Arial"/>
                <w:sz w:val="20"/>
                <w:szCs w:val="20"/>
              </w:rPr>
              <w:t xml:space="preserve">3</w:t>
            </w:r>
          </w:p>
        </w:tc>
        <w:tc>
          <w:tcPr>
            <w:tcW w:type="dxa" w:w="24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spacing w:after="160"/>
              <w:jc w:val="left"/>
            </w:pPr>
            <w:r>
              <w:rPr>
                <w:rFonts w:ascii="Arial" w:cs="Arial" w:eastAsia="Arial" w:hAnsi="Arial"/>
                <w:b/>
                <w:bCs/>
                <w:sz w:val="20"/>
                <w:szCs w:val="20"/>
              </w:rPr>
              <w:t xml:space="preserve">CaseLines</w:t>
            </w:r>
          </w:p>
        </w:tc>
        <w:tc>
          <w:tcPr>
            <w:tcW w:type="dxa" w:w="5426"/>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spacing w:after="160"/>
              <w:jc w:val="left"/>
            </w:pPr>
            <w:r>
              <w:rPr>
                <w:rFonts w:ascii="Arial" w:cs="Arial" w:eastAsia="Arial" w:hAnsi="Arial"/>
                <w:sz w:val="20"/>
                <w:szCs w:val="20"/>
              </w:rPr>
              <w:t xml:space="preserve">System of record for the court proceedings. Documents not on CaseLines do not form part of the court record.</w:t>
            </w:r>
          </w:p>
        </w:tc>
      </w:tr>
    </w:tbl>
    <w:p>
      <w:pPr>
        <w:spacing w:after="160"/>
      </w:pPr>
    </w:p>
    <w:p>
      <w:pPr>
        <w:spacing w:after="160"/>
        <w:ind w:left="720" w:hanging="720"/>
        <w:jc w:val="both"/>
      </w:pPr>
      <w:r>
        <w:rPr>
          <w:rFonts w:ascii="Arial" w:cs="Arial" w:eastAsia="Arial" w:hAnsi="Arial"/>
          <w:b/>
          <w:bCs/>
          <w:sz w:val="22"/>
          <w:szCs w:val="22"/>
        </w:rPr>
        <w:t xml:space="preserve">2.1.2 </w:t>
      </w:r>
      <w:r>
        <w:rPr>
          <w:rFonts w:ascii="Arial" w:cs="Arial" w:eastAsia="Arial" w:hAnsi="Arial"/>
          <w:sz w:val="22"/>
          <w:szCs w:val="22"/>
        </w:rPr>
        <w:t xml:space="preserve">The Settlement Agreement of 18 September 2025 reinforces this pipeline at paragraph 2.1.2: </w:t>
      </w:r>
      <w:r>
        <w:rPr>
          <w:rFonts w:ascii="Arial" w:cs="Arial" w:eastAsia="Arial" w:hAnsi="Arial"/>
          <w:i/>
          <w:iCs/>
          <w:sz w:val="22"/>
          <w:szCs w:val="22"/>
        </w:rPr>
        <w:t xml:space="preserve">"The parties’ attorneys of record will jointly finalise the terms of reference."</w:t>
      </w:r>
      <w:r>
        <w:rPr>
          <w:rFonts w:ascii="Arial" w:cs="Arial" w:eastAsia="Arial" w:hAnsi="Arial"/>
          <w:sz w:val="22"/>
          <w:szCs w:val="22"/>
        </w:rPr>
        <w:t xml:space="preserve"> The attorneys are thus the designated intermediaries for all document-related communications in the proceedings.</w:t>
      </w:r>
    </w:p>
    <w:p>
      <w:pPr>
        <w:pStyle w:val="Heading2"/>
        <w:spacing w:before="280" w:after="160"/>
      </w:pPr>
      <w:r>
        <w:rPr>
          <w:rFonts w:ascii="Arial" w:cs="Arial" w:eastAsia="Arial" w:hAnsi="Arial"/>
          <w:b/>
          <w:bCs/>
          <w:sz w:val="24"/>
          <w:szCs w:val="24"/>
        </w:rPr>
        <w:t xml:space="preserve">2.2 The Interdict’s Scope: What “Withholding” and “Destroying” Mean</w:t>
      </w:r>
    </w:p>
    <w:p>
      <w:pPr>
        <w:spacing w:after="160"/>
        <w:ind w:left="720" w:hanging="720"/>
        <w:jc w:val="both"/>
      </w:pPr>
      <w:r>
        <w:rPr>
          <w:rFonts w:ascii="Arial" w:cs="Arial" w:eastAsia="Arial" w:hAnsi="Arial"/>
          <w:b/>
          <w:bCs/>
          <w:sz w:val="22"/>
          <w:szCs w:val="22"/>
        </w:rPr>
        <w:t xml:space="preserve">2.2.1 </w:t>
      </w:r>
      <w:r>
        <w:rPr>
          <w:rFonts w:ascii="Arial" w:cs="Arial" w:eastAsia="Arial" w:hAnsi="Arial"/>
          <w:sz w:val="22"/>
          <w:szCs w:val="22"/>
        </w:rPr>
        <w:t xml:space="preserve">Paragraph 2.8.1 interdicts the Respondents from </w:t>
      </w:r>
      <w:r>
        <w:rPr>
          <w:rFonts w:ascii="Arial" w:cs="Arial" w:eastAsia="Arial" w:hAnsi="Arial"/>
          <w:i/>
          <w:iCs/>
          <w:sz w:val="22"/>
          <w:szCs w:val="22"/>
        </w:rPr>
        <w:t xml:space="preserve">"concealing or destroying any documentary (and electronic) records pertaining to the financial administration of the Third to Sixth Respondents."</w:t>
      </w:r>
    </w:p>
    <w:p>
      <w:pPr>
        <w:spacing w:after="160"/>
        <w:ind w:left="720" w:hanging="720"/>
        <w:jc w:val="both"/>
      </w:pPr>
      <w:r>
        <w:rPr>
          <w:rFonts w:ascii="Arial" w:cs="Arial" w:eastAsia="Arial" w:hAnsi="Arial"/>
          <w:b/>
          <w:bCs/>
          <w:sz w:val="22"/>
          <w:szCs w:val="22"/>
        </w:rPr>
        <w:t xml:space="preserve">2.2.2 </w:t>
      </w:r>
      <w:r>
        <w:rPr>
          <w:rFonts w:ascii="Arial" w:cs="Arial" w:eastAsia="Arial" w:hAnsi="Arial"/>
          <w:sz w:val="22"/>
          <w:szCs w:val="22"/>
        </w:rPr>
        <w:t xml:space="preserve">Paragraph 2.8.2 interdicts and directs the Respondents to </w:t>
      </w:r>
      <w:r>
        <w:rPr>
          <w:rFonts w:ascii="Arial" w:cs="Arial" w:eastAsia="Arial" w:hAnsi="Arial"/>
          <w:i/>
          <w:iCs/>
          <w:sz w:val="22"/>
          <w:szCs w:val="22"/>
        </w:rPr>
        <w:t xml:space="preserve">"surrender forthwith ... all documentation (electronic, and otherwise) within their possession relating to the administration (financial and otherwise) of the Third to Sixth Respondents."</w:t>
      </w:r>
    </w:p>
    <w:p>
      <w:pPr>
        <w:spacing w:after="160"/>
        <w:ind w:left="720" w:hanging="720"/>
        <w:jc w:val="both"/>
      </w:pPr>
      <w:r>
        <w:rPr>
          <w:rFonts w:ascii="Arial" w:cs="Arial" w:eastAsia="Arial" w:hAnsi="Arial"/>
          <w:b/>
          <w:bCs/>
          <w:sz w:val="22"/>
          <w:szCs w:val="22"/>
        </w:rPr>
        <w:t xml:space="preserve">2.2.3 </w:t>
      </w:r>
      <w:r>
        <w:rPr>
          <w:rFonts w:ascii="Arial" w:cs="Arial" w:eastAsia="Arial" w:hAnsi="Arial"/>
          <w:sz w:val="22"/>
          <w:szCs w:val="22"/>
        </w:rPr>
        <w:t xml:space="preserve">The operative words are </w:t>
      </w:r>
      <w:r>
        <w:rPr>
          <w:rFonts w:ascii="Arial" w:cs="Arial" w:eastAsia="Arial" w:hAnsi="Arial"/>
          <w:b/>
          <w:bCs/>
          <w:sz w:val="22"/>
          <w:szCs w:val="22"/>
        </w:rPr>
        <w:t xml:space="preserve">"concealing," "destroying,"</w:t>
      </w:r>
      <w:r>
        <w:rPr>
          <w:rFonts w:ascii="Arial" w:cs="Arial" w:eastAsia="Arial" w:hAnsi="Arial"/>
          <w:sz w:val="22"/>
          <w:szCs w:val="22"/>
        </w:rPr>
        <w:t xml:space="preserve"> and </w:t>
      </w:r>
      <w:r>
        <w:rPr>
          <w:rFonts w:ascii="Arial" w:cs="Arial" w:eastAsia="Arial" w:hAnsi="Arial"/>
          <w:b/>
          <w:bCs/>
          <w:sz w:val="22"/>
          <w:szCs w:val="22"/>
        </w:rPr>
        <w:t xml:space="preserve">"surrender."</w:t>
      </w:r>
      <w:r>
        <w:rPr>
          <w:rFonts w:ascii="Arial" w:cs="Arial" w:eastAsia="Arial" w:hAnsi="Arial"/>
          <w:sz w:val="22"/>
          <w:szCs w:val="22"/>
        </w:rPr>
        <w:t xml:space="preserve"> The Respondent’s obligation is discharged upon </w:t>
      </w:r>
      <w:r>
        <w:rPr>
          <w:rFonts w:ascii="Arial" w:cs="Arial" w:eastAsia="Arial" w:hAnsi="Arial"/>
          <w:i/>
          <w:iCs/>
          <w:sz w:val="22"/>
          <w:szCs w:val="22"/>
        </w:rPr>
        <w:t xml:space="preserve">surrender</w:t>
      </w:r>
      <w:r>
        <w:rPr>
          <w:rFonts w:ascii="Arial" w:cs="Arial" w:eastAsia="Arial" w:hAnsi="Arial"/>
          <w:sz w:val="22"/>
          <w:szCs w:val="22"/>
        </w:rPr>
        <w:t xml:space="preserve"> of the document to the designated channel — the attorneys of record. The obligation does not extend to controlling what the attorneys subsequently do with the surrendered document.</w:t>
      </w:r>
    </w:p>
    <w:p>
      <w:pPr>
        <w:pStyle w:val="Heading1"/>
        <w:spacing w:before="360" w:after="200"/>
      </w:pPr>
      <w:r>
        <w:rPr>
          <w:rFonts w:ascii="Arial" w:cs="Arial" w:eastAsia="Arial" w:hAnsi="Arial"/>
          <w:b/>
          <w:bCs/>
          <w:sz w:val="28"/>
          <w:szCs w:val="28"/>
        </w:rPr>
        <w:t xml:space="preserve">3. THE LIABILITY GAP: WHERE CONTEMPT FALLS</w:t>
      </w:r>
    </w:p>
    <w:p>
      <w:pPr>
        <w:pStyle w:val="Heading2"/>
        <w:spacing w:before="280" w:after="160"/>
      </w:pPr>
      <w:r>
        <w:rPr>
          <w:rFonts w:ascii="Arial" w:cs="Arial" w:eastAsia="Arial" w:hAnsi="Arial"/>
          <w:b/>
          <w:bCs/>
          <w:sz w:val="24"/>
          <w:szCs w:val="24"/>
        </w:rPr>
        <w:t xml:space="preserve">3.1 The Four-Part Contempt Test</w:t>
      </w:r>
    </w:p>
    <w:p>
      <w:pPr>
        <w:spacing w:after="160"/>
        <w:ind w:left="720" w:hanging="720"/>
        <w:jc w:val="both"/>
      </w:pPr>
      <w:r>
        <w:rPr>
          <w:rFonts w:ascii="Arial" w:cs="Arial" w:eastAsia="Arial" w:hAnsi="Arial"/>
          <w:b/>
          <w:bCs/>
          <w:sz w:val="22"/>
          <w:szCs w:val="22"/>
        </w:rPr>
        <w:t xml:space="preserve">3.1.1 </w:t>
      </w:r>
      <w:r>
        <w:rPr>
          <w:rFonts w:ascii="Arial" w:cs="Arial" w:eastAsia="Arial" w:hAnsi="Arial"/>
          <w:sz w:val="22"/>
          <w:szCs w:val="22"/>
        </w:rPr>
        <w:t xml:space="preserve">As set out in the Applicant’s own contempt affidavit at paragraphs 11.1.1 to 11.1.4, the requirements for contempt of court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160"/>
              <w:jc w:val="left"/>
            </w:pPr>
            <w:r>
              <w:rPr>
                <w:rFonts w:ascii="Arial" w:cs="Arial" w:eastAsia="Arial" w:hAnsi="Arial"/>
                <w:b/>
                <w:bCs/>
                <w:color w:val="FFFFFF"/>
                <w:sz w:val="20"/>
                <w:szCs w:val="20"/>
              </w:rPr>
              <w:t xml:space="preserve">Req.</w:t>
            </w:r>
          </w:p>
        </w:tc>
        <w:tc>
          <w:tcPr>
            <w:tcW w:type="dxa" w:w="78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160"/>
              <w:jc w:val="left"/>
            </w:pPr>
            <w:r>
              <w:rPr>
                <w:rFonts w:ascii="Arial" w:cs="Arial" w:eastAsia="Arial" w:hAnsi="Arial"/>
                <w:b/>
                <w:bCs/>
                <w:color w:val="FFFFFF"/>
                <w:sz w:val="20"/>
                <w:szCs w:val="20"/>
              </w:rPr>
              <w:t xml:space="preserve">Element</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b/>
                <w:bCs/>
                <w:sz w:val="20"/>
                <w:szCs w:val="20"/>
              </w:rPr>
              <w:t xml:space="preserve">11.1.1</w:t>
            </w:r>
          </w:p>
        </w:tc>
        <w:tc>
          <w:tcPr>
            <w:tcW w:type="dxa" w:w="7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sz w:val="20"/>
                <w:szCs w:val="20"/>
              </w:rPr>
              <w:t xml:space="preserve">The existence of an order of court</w:t>
            </w:r>
          </w:p>
        </w:tc>
      </w:tr>
      <w:tr>
        <w:tc>
          <w:tcPr>
            <w:tcW w:type="dxa" w:w="12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spacing w:after="160"/>
              <w:jc w:val="left"/>
            </w:pPr>
            <w:r>
              <w:rPr>
                <w:rFonts w:ascii="Arial" w:cs="Arial" w:eastAsia="Arial" w:hAnsi="Arial"/>
                <w:b/>
                <w:bCs/>
                <w:sz w:val="20"/>
                <w:szCs w:val="20"/>
              </w:rPr>
              <w:t xml:space="preserve">11.1.2</w:t>
            </w:r>
          </w:p>
        </w:tc>
        <w:tc>
          <w:tcPr>
            <w:tcW w:type="dxa" w:w="7826"/>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spacing w:after="160"/>
              <w:jc w:val="left"/>
            </w:pPr>
            <w:r>
              <w:rPr>
                <w:rFonts w:ascii="Arial" w:cs="Arial" w:eastAsia="Arial" w:hAnsi="Arial"/>
                <w:sz w:val="20"/>
                <w:szCs w:val="20"/>
              </w:rPr>
              <w:t xml:space="preserve">The contemnor must bear knowledge of the said order</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b/>
                <w:bCs/>
                <w:sz w:val="20"/>
                <w:szCs w:val="20"/>
              </w:rPr>
              <w:t xml:space="preserve">11.1.3</w:t>
            </w:r>
          </w:p>
        </w:tc>
        <w:tc>
          <w:tcPr>
            <w:tcW w:type="dxa" w:w="7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sz w:val="20"/>
                <w:szCs w:val="20"/>
              </w:rPr>
              <w:t xml:space="preserve">There must be non-compliance with the order</w:t>
            </w:r>
          </w:p>
        </w:tc>
      </w:tr>
      <w:tr>
        <w:tc>
          <w:tcPr>
            <w:tcW w:type="dxa" w:w="1200"/>
            <w:tcBorders>
              <w:top w:val="single" w:color="999999" w:sz="1"/>
              <w:left w:val="single" w:color="999999" w:sz="1"/>
              <w:bottom w:val="single" w:color="999999" w:sz="1"/>
              <w:right w:val="single" w:color="999999" w:sz="1"/>
            </w:tcBorders>
            <w:shd w:fill="FFF2F2" w:val="clear"/>
            <w:tcMar>
              <w:top w:type="dxa" w:w="80"/>
              <w:left w:type="dxa" w:w="120"/>
              <w:bottom w:type="dxa" w:w="80"/>
              <w:right w:type="dxa" w:w="120"/>
            </w:tcMar>
          </w:tcPr>
          <w:p>
            <w:pPr>
              <w:spacing w:after="160"/>
              <w:jc w:val="left"/>
            </w:pPr>
            <w:r>
              <w:rPr>
                <w:rFonts w:ascii="Arial" w:cs="Arial" w:eastAsia="Arial" w:hAnsi="Arial"/>
                <w:b/>
                <w:bCs/>
                <w:sz w:val="20"/>
                <w:szCs w:val="20"/>
              </w:rPr>
              <w:t xml:space="preserve">11.1.4</w:t>
            </w:r>
          </w:p>
        </w:tc>
        <w:tc>
          <w:tcPr>
            <w:tcW w:type="dxa" w:w="7826"/>
            <w:tcBorders>
              <w:top w:val="single" w:color="999999" w:sz="1"/>
              <w:left w:val="single" w:color="999999" w:sz="1"/>
              <w:bottom w:val="single" w:color="999999" w:sz="1"/>
              <w:right w:val="single" w:color="999999" w:sz="1"/>
            </w:tcBorders>
            <w:shd w:fill="FFF2F2" w:val="clear"/>
            <w:tcMar>
              <w:top w:type="dxa" w:w="80"/>
              <w:left w:type="dxa" w:w="120"/>
              <w:bottom w:type="dxa" w:w="80"/>
              <w:right w:type="dxa" w:w="120"/>
            </w:tcMar>
          </w:tcPr>
          <w:p>
            <w:pPr>
              <w:spacing w:after="160"/>
              <w:jc w:val="left"/>
            </w:pPr>
            <w:r>
              <w:rPr>
                <w:rFonts w:ascii="Arial" w:cs="Arial" w:eastAsia="Arial" w:hAnsi="Arial"/>
                <w:b/>
                <w:bCs/>
                <w:sz w:val="22"/>
                <w:szCs w:val="22"/>
              </w:rPr>
              <w:t xml:space="preserve">Such non-compliance must be willful </w:t>
            </w:r>
            <w:r>
              <w:rPr>
                <w:rFonts w:ascii="Arial" w:cs="Arial" w:eastAsia="Arial" w:hAnsi="Arial"/>
                <w:b/>
                <w:bCs/>
                <w:i/>
                <w:iCs/>
                <w:sz w:val="22"/>
                <w:szCs w:val="22"/>
              </w:rPr>
              <w:t xml:space="preserve">and/or mala fide</w:t>
            </w:r>
          </w:p>
        </w:tc>
      </w:tr>
    </w:tbl>
    <w:p>
      <w:pPr>
        <w:spacing w:after="160"/>
      </w:pPr>
    </w:p>
    <w:p>
      <w:pPr>
        <w:pStyle w:val="Heading2"/>
        <w:spacing w:before="280" w:after="160"/>
      </w:pPr>
      <w:r>
        <w:rPr>
          <w:rFonts w:ascii="Arial" w:cs="Arial" w:eastAsia="Arial" w:hAnsi="Arial"/>
          <w:b/>
          <w:bCs/>
          <w:sz w:val="24"/>
          <w:szCs w:val="24"/>
        </w:rPr>
        <w:t xml:space="preserve">3.2 Application to the Document Production Pipeline</w:t>
      </w:r>
    </w:p>
    <w:p>
      <w:pPr>
        <w:spacing w:after="160"/>
        <w:ind w:left="720" w:hanging="720"/>
        <w:jc w:val="both"/>
      </w:pPr>
      <w:r>
        <w:rPr>
          <w:rFonts w:ascii="Arial" w:cs="Arial" w:eastAsia="Arial" w:hAnsi="Arial"/>
          <w:b/>
          <w:bCs/>
          <w:sz w:val="22"/>
          <w:szCs w:val="22"/>
        </w:rPr>
        <w:t xml:space="preserve">3.2.1 </w:t>
      </w:r>
      <w:r>
        <w:rPr>
          <w:rFonts w:ascii="Arial" w:cs="Arial" w:eastAsia="Arial" w:hAnsi="Arial"/>
          <w:sz w:val="22"/>
          <w:szCs w:val="22"/>
        </w:rPr>
        <w:t xml:space="preserve">Where a Respondent has surrendered a document to the attorneys of record, the Respondent has </w:t>
      </w:r>
      <w:r>
        <w:rPr>
          <w:rFonts w:ascii="Arial" w:cs="Arial" w:eastAsia="Arial" w:hAnsi="Arial"/>
          <w:b/>
          <w:bCs/>
          <w:sz w:val="22"/>
          <w:szCs w:val="22"/>
        </w:rPr>
        <w:t xml:space="preserve">discharged their obligation</w:t>
      </w:r>
      <w:r>
        <w:rPr>
          <w:rFonts w:ascii="Arial" w:cs="Arial" w:eastAsia="Arial" w:hAnsi="Arial"/>
          <w:sz w:val="22"/>
          <w:szCs w:val="22"/>
        </w:rPr>
        <w:t xml:space="preserve"> under paragraphs 2.8.1 and 2.8.2. The document is no longer being </w:t>
      </w:r>
      <w:r>
        <w:rPr>
          <w:rFonts w:ascii="Arial" w:cs="Arial" w:eastAsia="Arial" w:hAnsi="Arial"/>
          <w:i/>
          <w:iCs/>
          <w:sz w:val="22"/>
          <w:szCs w:val="22"/>
        </w:rPr>
        <w:t xml:space="preserve">"concealed"</w:t>
      </w:r>
      <w:r>
        <w:rPr>
          <w:rFonts w:ascii="Arial" w:cs="Arial" w:eastAsia="Arial" w:hAnsi="Arial"/>
          <w:sz w:val="22"/>
          <w:szCs w:val="22"/>
        </w:rPr>
        <w:t xml:space="preserve"> or </w:t>
      </w:r>
      <w:r>
        <w:rPr>
          <w:rFonts w:ascii="Arial" w:cs="Arial" w:eastAsia="Arial" w:hAnsi="Arial"/>
          <w:i/>
          <w:iCs/>
          <w:sz w:val="22"/>
          <w:szCs w:val="22"/>
        </w:rPr>
        <w:t xml:space="preserve">"withheld"</w:t>
      </w:r>
      <w:r>
        <w:rPr>
          <w:rFonts w:ascii="Arial" w:cs="Arial" w:eastAsia="Arial" w:hAnsi="Arial"/>
          <w:sz w:val="22"/>
          <w:szCs w:val="22"/>
        </w:rPr>
        <w:t xml:space="preserve"> — it has been produced through the specified channel. The Respondent has complied.</w:t>
      </w:r>
    </w:p>
    <w:p>
      <w:pPr>
        <w:spacing w:after="160"/>
        <w:ind w:left="720" w:hanging="720"/>
        <w:jc w:val="both"/>
      </w:pPr>
      <w:r>
        <w:rPr>
          <w:rFonts w:ascii="Arial" w:cs="Arial" w:eastAsia="Arial" w:hAnsi="Arial"/>
          <w:b/>
          <w:bCs/>
          <w:sz w:val="22"/>
          <w:szCs w:val="22"/>
        </w:rPr>
        <w:t xml:space="preserve">3.2.2 </w:t>
      </w:r>
      <w:r>
        <w:rPr>
          <w:rFonts w:ascii="Arial" w:cs="Arial" w:eastAsia="Arial" w:hAnsi="Arial"/>
          <w:sz w:val="22"/>
          <w:szCs w:val="22"/>
        </w:rPr>
        <w:t xml:space="preserve">If the attorneys then fail to upload the document to CaseLines, the contempt test fails at two critical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160"/>
              <w:jc w:val="left"/>
            </w:pPr>
            <w:r>
              <w:rPr>
                <w:rFonts w:ascii="Arial" w:cs="Arial" w:eastAsia="Arial" w:hAnsi="Arial"/>
                <w:b/>
                <w:bCs/>
                <w:color w:val="FFFFFF"/>
                <w:sz w:val="20"/>
                <w:szCs w:val="20"/>
              </w:rPr>
              <w:t xml:space="preserve">Element</w:t>
            </w:r>
          </w:p>
        </w:tc>
        <w:tc>
          <w:tcPr>
            <w:tcW w:type="dxa" w:w="3613"/>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160"/>
              <w:jc w:val="left"/>
            </w:pPr>
            <w:r>
              <w:rPr>
                <w:rFonts w:ascii="Arial" w:cs="Arial" w:eastAsia="Arial" w:hAnsi="Arial"/>
                <w:b/>
                <w:bCs/>
                <w:color w:val="FFFFFF"/>
                <w:sz w:val="20"/>
                <w:szCs w:val="20"/>
              </w:rPr>
              <w:t xml:space="preserve">As Against Respondent</w:t>
            </w:r>
          </w:p>
        </w:tc>
        <w:tc>
          <w:tcPr>
            <w:tcW w:type="dxa" w:w="3613"/>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160"/>
              <w:jc w:val="left"/>
            </w:pPr>
            <w:r>
              <w:rPr>
                <w:rFonts w:ascii="Arial" w:cs="Arial" w:eastAsia="Arial" w:hAnsi="Arial"/>
                <w:b/>
                <w:bCs/>
                <w:color w:val="FFFFFF"/>
                <w:sz w:val="20"/>
                <w:szCs w:val="20"/>
              </w:rPr>
              <w:t xml:space="preserve">As Against Attorney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b/>
                <w:bCs/>
                <w:sz w:val="20"/>
                <w:szCs w:val="20"/>
              </w:rPr>
              <w:t xml:space="preserve">11.1.3: Non-compliance</w:t>
            </w:r>
          </w:p>
        </w:tc>
        <w:tc>
          <w:tcPr>
            <w:tcW w:type="dxa" w:w="3613"/>
            <w:tcBorders>
              <w:top w:val="single" w:color="999999" w:sz="1"/>
              <w:left w:val="single" w:color="999999" w:sz="1"/>
              <w:bottom w:val="single" w:color="999999" w:sz="1"/>
              <w:right w:val="single" w:color="999999" w:sz="1"/>
            </w:tcBorders>
            <w:shd w:fill="E8F8E8" w:val="clear"/>
            <w:tcMar>
              <w:top w:type="dxa" w:w="80"/>
              <w:left w:type="dxa" w:w="120"/>
              <w:bottom w:type="dxa" w:w="80"/>
              <w:right w:type="dxa" w:w="120"/>
            </w:tcMar>
          </w:tcPr>
          <w:p>
            <w:pPr>
              <w:spacing w:after="160"/>
              <w:jc w:val="left"/>
            </w:pPr>
            <w:r>
              <w:rPr>
                <w:rFonts w:ascii="Arial" w:cs="Arial" w:eastAsia="Arial" w:hAnsi="Arial"/>
                <w:b/>
                <w:bCs/>
                <w:sz w:val="22"/>
                <w:szCs w:val="22"/>
              </w:rPr>
              <w:t xml:space="preserve">FAILS. </w:t>
            </w:r>
            <w:r>
              <w:rPr>
                <w:rFonts w:ascii="Arial" w:cs="Arial" w:eastAsia="Arial" w:hAnsi="Arial"/>
                <w:sz w:val="22"/>
                <w:szCs w:val="22"/>
              </w:rPr>
              <w:t xml:space="preserve">The Respondent has complied by surrendering the document. The order requires surrender, not CaseLines upload.</w:t>
            </w:r>
          </w:p>
        </w:tc>
        <w:tc>
          <w:tcPr>
            <w:tcW w:type="dxa" w:w="3613"/>
            <w:tcBorders>
              <w:top w:val="single" w:color="999999" w:sz="1"/>
              <w:left w:val="single" w:color="999999" w:sz="1"/>
              <w:bottom w:val="single" w:color="999999" w:sz="1"/>
              <w:right w:val="single" w:color="999999" w:sz="1"/>
            </w:tcBorders>
            <w:shd w:fill="FFF2F2" w:val="clear"/>
            <w:tcMar>
              <w:top w:type="dxa" w:w="80"/>
              <w:left w:type="dxa" w:w="120"/>
              <w:bottom w:type="dxa" w:w="80"/>
              <w:right w:type="dxa" w:w="120"/>
            </w:tcMar>
          </w:tcPr>
          <w:p>
            <w:pPr>
              <w:spacing w:after="160"/>
              <w:jc w:val="left"/>
            </w:pPr>
            <w:r>
              <w:rPr>
                <w:rFonts w:ascii="Arial" w:cs="Arial" w:eastAsia="Arial" w:hAnsi="Arial"/>
                <w:b/>
                <w:bCs/>
                <w:sz w:val="22"/>
                <w:szCs w:val="22"/>
              </w:rPr>
              <w:t xml:space="preserve">ESTABLISHED. </w:t>
            </w:r>
            <w:r>
              <w:rPr>
                <w:rFonts w:ascii="Arial" w:cs="Arial" w:eastAsia="Arial" w:hAnsi="Arial"/>
                <w:sz w:val="22"/>
                <w:szCs w:val="22"/>
              </w:rPr>
              <w:t xml:space="preserve">The attorney, as officer of the court, has failed to ensure the court record is complete.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b/>
                <w:bCs/>
                <w:sz w:val="20"/>
                <w:szCs w:val="20"/>
              </w:rPr>
              <w:t xml:space="preserve">11.1.4: Willful / mala fide</w:t>
            </w:r>
          </w:p>
        </w:tc>
        <w:tc>
          <w:tcPr>
            <w:tcW w:type="dxa" w:w="3613"/>
            <w:tcBorders>
              <w:top w:val="single" w:color="999999" w:sz="1"/>
              <w:left w:val="single" w:color="999999" w:sz="1"/>
              <w:bottom w:val="single" w:color="999999" w:sz="1"/>
              <w:right w:val="single" w:color="999999" w:sz="1"/>
            </w:tcBorders>
            <w:shd w:fill="E8F8E8" w:val="clear"/>
            <w:tcMar>
              <w:top w:type="dxa" w:w="80"/>
              <w:left w:type="dxa" w:w="120"/>
              <w:bottom w:type="dxa" w:w="80"/>
              <w:right w:type="dxa" w:w="120"/>
            </w:tcMar>
          </w:tcPr>
          <w:p>
            <w:pPr>
              <w:spacing w:after="160"/>
              <w:jc w:val="left"/>
            </w:pPr>
            <w:r>
              <w:rPr>
                <w:rFonts w:ascii="Arial" w:cs="Arial" w:eastAsia="Arial" w:hAnsi="Arial"/>
                <w:b/>
                <w:bCs/>
                <w:sz w:val="22"/>
                <w:szCs w:val="22"/>
              </w:rPr>
              <w:t xml:space="preserve">FAILS. </w:t>
            </w:r>
            <w:r>
              <w:rPr>
                <w:rFonts w:ascii="Arial" w:cs="Arial" w:eastAsia="Arial" w:hAnsi="Arial"/>
                <w:sz w:val="22"/>
                <w:szCs w:val="22"/>
              </w:rPr>
              <w:t xml:space="preserve">The Respondent acted in good faith by providing the document. There is no willful non-compliance.</w:t>
            </w:r>
          </w:p>
        </w:tc>
        <w:tc>
          <w:tcPr>
            <w:tcW w:type="dxa" w:w="3613"/>
            <w:tcBorders>
              <w:top w:val="single" w:color="999999" w:sz="1"/>
              <w:left w:val="single" w:color="999999" w:sz="1"/>
              <w:bottom w:val="single" w:color="999999" w:sz="1"/>
              <w:right w:val="single" w:color="999999" w:sz="1"/>
            </w:tcBorders>
            <w:shd w:fill="FFF2F2" w:val="clear"/>
            <w:tcMar>
              <w:top w:type="dxa" w:w="80"/>
              <w:left w:type="dxa" w:w="120"/>
              <w:bottom w:type="dxa" w:w="80"/>
              <w:right w:type="dxa" w:w="120"/>
            </w:tcMar>
          </w:tcPr>
          <w:p>
            <w:pPr>
              <w:spacing w:after="160"/>
              <w:jc w:val="left"/>
            </w:pPr>
            <w:r>
              <w:rPr>
                <w:rFonts w:ascii="Arial" w:cs="Arial" w:eastAsia="Arial" w:hAnsi="Arial"/>
                <w:b/>
                <w:bCs/>
                <w:sz w:val="22"/>
                <w:szCs w:val="22"/>
              </w:rPr>
              <w:t xml:space="preserve">POTENTIALLY ESTABLISHED. </w:t>
            </w:r>
            <w:r>
              <w:rPr>
                <w:rFonts w:ascii="Arial" w:cs="Arial" w:eastAsia="Arial" w:hAnsi="Arial"/>
                <w:sz w:val="22"/>
                <w:szCs w:val="22"/>
              </w:rPr>
              <w:t xml:space="preserve">If the attorney was aware of the document and failed to upload it, the omission may be willful.</w:t>
            </w:r>
          </w:p>
        </w:tc>
      </w:tr>
    </w:tbl>
    <w:p>
      <w:pPr>
        <w:spacing w:after="160"/>
      </w:pPr>
    </w:p>
    <w:p>
      <w:pPr>
        <w:spacing w:after="160"/>
        <w:ind w:left="720" w:hanging="720"/>
        <w:jc w:val="both"/>
      </w:pPr>
      <w:r>
        <w:rPr>
          <w:rFonts w:ascii="Arial" w:cs="Arial" w:eastAsia="Arial" w:hAnsi="Arial"/>
          <w:b/>
          <w:bCs/>
          <w:sz w:val="22"/>
          <w:szCs w:val="22"/>
        </w:rPr>
        <w:t xml:space="preserve">3.2.3 </w:t>
      </w:r>
      <w:r>
        <w:rPr>
          <w:rFonts w:ascii="Arial" w:cs="Arial" w:eastAsia="Arial" w:hAnsi="Arial"/>
          <w:b/>
          <w:bCs/>
          <w:sz w:val="22"/>
          <w:szCs w:val="22"/>
        </w:rPr>
        <w:t xml:space="preserve">The contempt, if any, falls on the attorney as an officer of the court</w:t>
      </w:r>
      <w:r>
        <w:rPr>
          <w:rFonts w:ascii="Arial" w:cs="Arial" w:eastAsia="Arial" w:hAnsi="Arial"/>
          <w:sz w:val="22"/>
          <w:szCs w:val="22"/>
        </w:rPr>
        <w:t xml:space="preserve"> who failed to ensure the court record was complete — not on the Respondent who discharged their obligation by surrendering the document through the designated channel.</w:t>
      </w:r>
    </w:p>
    <w:p>
      <w:pPr>
        <w:pStyle w:val="Heading1"/>
        <w:spacing w:before="360" w:after="200"/>
      </w:pPr>
      <w:r>
        <w:rPr>
          <w:rFonts w:ascii="Arial" w:cs="Arial" w:eastAsia="Arial" w:hAnsi="Arial"/>
          <w:b/>
          <w:bCs/>
          <w:sz w:val="28"/>
          <w:szCs w:val="28"/>
        </w:rPr>
        <w:t xml:space="preserve">4. SPECIFIC APPLICATION: THE FNB LEGAL LETTER AND SOLE MANDATE</w:t>
      </w:r>
    </w:p>
    <w:p>
      <w:pPr>
        <w:pStyle w:val="Heading2"/>
        <w:spacing w:before="280" w:after="160"/>
      </w:pPr>
      <w:r>
        <w:rPr>
          <w:rFonts w:ascii="Arial" w:cs="Arial" w:eastAsia="Arial" w:hAnsi="Arial"/>
          <w:b/>
          <w:bCs/>
          <w:sz w:val="24"/>
          <w:szCs w:val="24"/>
        </w:rPr>
        <w:t xml:space="preserve">4.1 The Critical Document</w:t>
      </w:r>
    </w:p>
    <w:p>
      <w:pPr>
        <w:spacing w:after="160"/>
        <w:ind w:left="720" w:hanging="720"/>
        <w:jc w:val="both"/>
      </w:pPr>
      <w:r>
        <w:rPr>
          <w:rFonts w:ascii="Arial" w:cs="Arial" w:eastAsia="Arial" w:hAnsi="Arial"/>
          <w:b/>
          <w:bCs/>
          <w:sz w:val="22"/>
          <w:szCs w:val="22"/>
        </w:rPr>
        <w:t xml:space="preserve">4.1.1 </w:t>
      </w:r>
      <w:r>
        <w:rPr>
          <w:rFonts w:ascii="Arial" w:cs="Arial" w:eastAsia="Arial" w:hAnsi="Arial"/>
          <w:sz w:val="22"/>
          <w:szCs w:val="22"/>
        </w:rPr>
        <w:t xml:space="preserve">The FNB Legal Department letter of 18 June 2025 (</w:t>
      </w:r>
      <w:r>
        <w:rPr>
          <w:rFonts w:ascii="Arial" w:cs="Arial" w:eastAsia="Arial" w:hAnsi="Arial"/>
          <w:b/>
          <w:bCs/>
          <w:sz w:val="22"/>
          <w:szCs w:val="22"/>
        </w:rPr>
        <w:t xml:space="preserve">Annexure JF-BS1</w:t>
      </w:r>
      <w:r>
        <w:rPr>
          <w:rFonts w:ascii="Arial" w:cs="Arial" w:eastAsia="Arial" w:hAnsi="Arial"/>
          <w:sz w:val="22"/>
          <w:szCs w:val="22"/>
        </w:rPr>
        <w:t xml:space="preserve">) is the single most critical document in these proceedings. It confirms that the banking mandate for Strategic Logistics CC, RégimA Skin Treatments CC, and Villa Via Arcadia No 2 CC is a </w:t>
      </w:r>
      <w:r>
        <w:rPr>
          <w:rFonts w:ascii="Arial" w:cs="Arial" w:eastAsia="Arial" w:hAnsi="Arial"/>
          <w:b/>
          <w:bCs/>
          <w:sz w:val="22"/>
          <w:szCs w:val="22"/>
        </w:rPr>
        <w:t xml:space="preserve">SOLE General Powers</w:t>
      </w:r>
      <w:r>
        <w:rPr>
          <w:rFonts w:ascii="Arial" w:cs="Arial" w:eastAsia="Arial" w:hAnsi="Arial"/>
          <w:sz w:val="22"/>
          <w:szCs w:val="22"/>
        </w:rPr>
        <w:t xml:space="preserve"> mandate, under which each administrator may act independently.</w:t>
      </w:r>
    </w:p>
    <w:p>
      <w:pPr>
        <w:spacing w:after="160"/>
        <w:ind w:left="720" w:hanging="720"/>
        <w:jc w:val="both"/>
      </w:pPr>
      <w:r>
        <w:rPr>
          <w:rFonts w:ascii="Arial" w:cs="Arial" w:eastAsia="Arial" w:hAnsi="Arial"/>
          <w:b/>
          <w:bCs/>
          <w:sz w:val="22"/>
          <w:szCs w:val="22"/>
        </w:rPr>
        <w:t xml:space="preserve">4.1.2 </w:t>
      </w:r>
      <w:r>
        <w:rPr>
          <w:rFonts w:ascii="Arial" w:cs="Arial" w:eastAsia="Arial" w:hAnsi="Arial"/>
          <w:sz w:val="22"/>
          <w:szCs w:val="22"/>
        </w:rPr>
        <w:t xml:space="preserve">This document </w:t>
      </w:r>
      <w:r>
        <w:rPr>
          <w:rFonts w:ascii="Arial" w:cs="Arial" w:eastAsia="Arial" w:hAnsi="Arial"/>
          <w:i/>
          <w:iCs/>
          <w:sz w:val="22"/>
          <w:szCs w:val="22"/>
        </w:rPr>
        <w:t xml:space="preserve">destroys</w:t>
      </w:r>
      <w:r>
        <w:rPr>
          <w:rFonts w:ascii="Arial" w:cs="Arial" w:eastAsia="Arial" w:hAnsi="Arial"/>
          <w:sz w:val="22"/>
          <w:szCs w:val="22"/>
        </w:rPr>
        <w:t xml:space="preserve"> the foundational premise of the ex parte interdict — the Applicant’s sworn claim that the Second Respondent acted </w:t>
      </w:r>
      <w:r>
        <w:rPr>
          <w:rFonts w:ascii="Arial" w:cs="Arial" w:eastAsia="Arial" w:hAnsi="Arial"/>
          <w:i/>
          <w:iCs/>
          <w:sz w:val="22"/>
          <w:szCs w:val="22"/>
        </w:rPr>
        <w:t xml:space="preserve">"without authorisation."</w:t>
      </w:r>
      <w:r>
        <w:rPr>
          <w:rFonts w:ascii="Arial" w:cs="Arial" w:eastAsia="Arial" w:hAnsi="Arial"/>
          <w:sz w:val="22"/>
          <w:szCs w:val="22"/>
        </w:rPr>
        <w:t xml:space="preserve"> Under a SOLE mandate, the concept of an “unauthorised” transaction by a sole administrator is a legal impossibility. The Applicant knew this because FNB’s legal department told him so, in writing, two months before he swore the opposite under oath.</w:t>
      </w:r>
    </w:p>
    <w:p>
      <w:pPr>
        <w:pStyle w:val="Heading2"/>
        <w:spacing w:before="280" w:after="160"/>
      </w:pPr>
      <w:r>
        <w:rPr>
          <w:rFonts w:ascii="Arial" w:cs="Arial" w:eastAsia="Arial" w:hAnsi="Arial"/>
          <w:b/>
          <w:bCs/>
          <w:sz w:val="24"/>
          <w:szCs w:val="24"/>
        </w:rPr>
        <w:t xml:space="preserve">4.2 The Preservation and Surrender Obligation</w:t>
      </w:r>
    </w:p>
    <w:p>
      <w:pPr>
        <w:spacing w:after="160"/>
        <w:ind w:left="720" w:hanging="720"/>
        <w:jc w:val="both"/>
      </w:pPr>
      <w:r>
        <w:rPr>
          <w:rFonts w:ascii="Arial" w:cs="Arial" w:eastAsia="Arial" w:hAnsi="Arial"/>
          <w:b/>
          <w:bCs/>
          <w:sz w:val="22"/>
          <w:szCs w:val="22"/>
        </w:rPr>
        <w:t xml:space="preserve">4.2.1 </w:t>
      </w:r>
      <w:r>
        <w:rPr>
          <w:rFonts w:ascii="Arial" w:cs="Arial" w:eastAsia="Arial" w:hAnsi="Arial"/>
          <w:sz w:val="22"/>
          <w:szCs w:val="22"/>
        </w:rPr>
        <w:t xml:space="preserve">The FNB Legal letter falls squarely within the scope of paragraph 2.8.2 as a document “relating to the administration (financial and otherwise)” of the entity Respondents. It is documentation that:</w:t>
      </w:r>
    </w:p>
    <w:p>
      <w:pPr>
        <w:spacing w:after="160"/>
        <w:ind w:left="1080"/>
        <w:jc w:val="both"/>
      </w:pPr>
      <w:r>
        <w:rPr>
          <w:rFonts w:ascii="Arial" w:cs="Arial" w:eastAsia="Arial" w:hAnsi="Arial"/>
          <w:sz w:val="22"/>
          <w:szCs w:val="22"/>
        </w:rPr>
        <w:t xml:space="preserve">(a) relates to the banking mandate governing the entity accounts;</w:t>
      </w:r>
    </w:p>
    <w:p>
      <w:pPr>
        <w:spacing w:after="160"/>
        <w:ind w:left="1080"/>
        <w:jc w:val="both"/>
      </w:pPr>
      <w:r>
        <w:rPr>
          <w:rFonts w:ascii="Arial" w:cs="Arial" w:eastAsia="Arial" w:hAnsi="Arial"/>
          <w:sz w:val="22"/>
          <w:szCs w:val="22"/>
        </w:rPr>
        <w:t xml:space="preserve">(b) was generated by the Seventh Respondent’s (FNB’s) own legal department;</w:t>
      </w:r>
    </w:p>
    <w:p>
      <w:pPr>
        <w:spacing w:after="160"/>
        <w:ind w:left="1080"/>
        <w:jc w:val="both"/>
      </w:pPr>
      <w:r>
        <w:rPr>
          <w:rFonts w:ascii="Arial" w:cs="Arial" w:eastAsia="Arial" w:hAnsi="Arial"/>
          <w:sz w:val="22"/>
          <w:szCs w:val="22"/>
        </w:rPr>
        <w:t xml:space="preserve">(c) is directly relevant to the forensic investigation mandated by paragraph 2.7;</w:t>
      </w:r>
    </w:p>
    <w:p>
      <w:pPr>
        <w:spacing w:after="160"/>
        <w:ind w:left="1080"/>
        <w:jc w:val="both"/>
      </w:pPr>
      <w:r>
        <w:rPr>
          <w:rFonts w:ascii="Arial" w:cs="Arial" w:eastAsia="Arial" w:hAnsi="Arial"/>
          <w:sz w:val="22"/>
          <w:szCs w:val="22"/>
        </w:rPr>
        <w:t xml:space="preserve">(d) is in the Applicant’s possession (it was addressed to him in response to his own correspondence of 17 June 2025).</w:t>
      </w:r>
    </w:p>
    <w:p>
      <w:pPr>
        <w:spacing w:after="160"/>
        <w:ind w:left="720" w:hanging="720"/>
        <w:jc w:val="both"/>
      </w:pPr>
      <w:r>
        <w:rPr>
          <w:rFonts w:ascii="Arial" w:cs="Arial" w:eastAsia="Arial" w:hAnsi="Arial"/>
          <w:b/>
          <w:bCs/>
          <w:sz w:val="22"/>
          <w:szCs w:val="22"/>
        </w:rPr>
        <w:t xml:space="preserve">4.2.2 </w:t>
      </w:r>
      <w:r>
        <w:rPr>
          <w:rFonts w:ascii="Arial" w:cs="Arial" w:eastAsia="Arial" w:hAnsi="Arial"/>
          <w:sz w:val="22"/>
          <w:szCs w:val="22"/>
        </w:rPr>
        <w:t xml:space="preserve">If the Respondents have surrendered this document to their attorneys of record, their obligation under paragraph 2.8.2 is </w:t>
      </w:r>
      <w:r>
        <w:rPr>
          <w:rFonts w:ascii="Arial" w:cs="Arial" w:eastAsia="Arial" w:hAnsi="Arial"/>
          <w:b/>
          <w:bCs/>
          <w:sz w:val="22"/>
          <w:szCs w:val="22"/>
        </w:rPr>
        <w:t xml:space="preserve">fully discharged</w:t>
      </w:r>
      <w:r>
        <w:rPr>
          <w:rFonts w:ascii="Arial" w:cs="Arial" w:eastAsia="Arial" w:hAnsi="Arial"/>
          <w:sz w:val="22"/>
          <w:szCs w:val="22"/>
        </w:rPr>
        <w:t xml:space="preserve">. The document has not been concealed or destroyed. It has been surrendered through the court-mandated channel.</w:t>
      </w:r>
    </w:p>
    <w:p>
      <w:pPr>
        <w:spacing w:after="160"/>
        <w:ind w:left="720" w:hanging="720"/>
        <w:jc w:val="both"/>
      </w:pPr>
      <w:r>
        <w:rPr>
          <w:rFonts w:ascii="Arial" w:cs="Arial" w:eastAsia="Arial" w:hAnsi="Arial"/>
          <w:b/>
          <w:bCs/>
          <w:sz w:val="22"/>
          <w:szCs w:val="22"/>
        </w:rPr>
        <w:t xml:space="preserve">4.2.3 </w:t>
      </w:r>
      <w:r>
        <w:rPr>
          <w:rFonts w:ascii="Arial" w:cs="Arial" w:eastAsia="Arial" w:hAnsi="Arial"/>
          <w:sz w:val="22"/>
          <w:szCs w:val="22"/>
        </w:rPr>
        <w:t xml:space="preserve">Conversely, if the </w:t>
      </w:r>
      <w:r>
        <w:rPr>
          <w:rFonts w:ascii="Arial" w:cs="Arial" w:eastAsia="Arial" w:hAnsi="Arial"/>
          <w:i/>
          <w:iCs/>
          <w:sz w:val="22"/>
          <w:szCs w:val="22"/>
        </w:rPr>
        <w:t xml:space="preserve">Applicant</w:t>
      </w:r>
      <w:r>
        <w:rPr>
          <w:rFonts w:ascii="Arial" w:cs="Arial" w:eastAsia="Arial" w:hAnsi="Arial"/>
          <w:sz w:val="22"/>
          <w:szCs w:val="22"/>
        </w:rPr>
        <w:t xml:space="preserve"> has failed to disclose this document — which is in </w:t>
      </w:r>
      <w:r>
        <w:rPr>
          <w:rFonts w:ascii="Arial" w:cs="Arial" w:eastAsia="Arial" w:hAnsi="Arial"/>
          <w:i/>
          <w:iCs/>
          <w:sz w:val="22"/>
          <w:szCs w:val="22"/>
        </w:rPr>
        <w:t xml:space="preserve">his</w:t>
      </w:r>
      <w:r>
        <w:rPr>
          <w:rFonts w:ascii="Arial" w:cs="Arial" w:eastAsia="Arial" w:hAnsi="Arial"/>
          <w:sz w:val="22"/>
          <w:szCs w:val="22"/>
        </w:rPr>
        <w:t xml:space="preserve"> possession, having been addressed to </w:t>
      </w:r>
      <w:r>
        <w:rPr>
          <w:rFonts w:ascii="Arial" w:cs="Arial" w:eastAsia="Arial" w:hAnsi="Arial"/>
          <w:i/>
          <w:iCs/>
          <w:sz w:val="22"/>
          <w:szCs w:val="22"/>
        </w:rPr>
        <w:t xml:space="preserve">him</w:t>
      </w:r>
      <w:r>
        <w:rPr>
          <w:rFonts w:ascii="Arial" w:cs="Arial" w:eastAsia="Arial" w:hAnsi="Arial"/>
          <w:sz w:val="22"/>
          <w:szCs w:val="22"/>
        </w:rPr>
        <w:t xml:space="preserve"> — that failure constitutes a breach of his own obligations under paragraph 2.8.2, which applies symmetrically as established in the Cost Allocation and Estoppel Argument.</w:t>
      </w:r>
    </w:p>
    <w:p>
      <w:pPr>
        <w:pStyle w:val="Heading1"/>
        <w:spacing w:before="360" w:after="200"/>
      </w:pPr>
      <w:r>
        <w:rPr>
          <w:rFonts w:ascii="Arial" w:cs="Arial" w:eastAsia="Arial" w:hAnsi="Arial"/>
          <w:b/>
          <w:bCs/>
          <w:sz w:val="28"/>
          <w:szCs w:val="28"/>
        </w:rPr>
        <w:t xml:space="preserve">5. THREE IMPLICATIONS FOR THE CONTEMPT APPLICATION</w:t>
      </w:r>
    </w:p>
    <w:p>
      <w:pPr>
        <w:pStyle w:val="Heading2"/>
        <w:spacing w:before="280" w:after="160"/>
      </w:pPr>
      <w:r>
        <w:rPr>
          <w:rFonts w:ascii="Arial" w:cs="Arial" w:eastAsia="Arial" w:hAnsi="Arial"/>
          <w:b/>
          <w:bCs/>
          <w:sz w:val="24"/>
          <w:szCs w:val="24"/>
        </w:rPr>
        <w:t xml:space="preserve">5.1 Implication One: The Compliance Register Defence</w:t>
      </w:r>
    </w:p>
    <w:p>
      <w:pPr>
        <w:spacing w:after="160"/>
        <w:ind w:left="720" w:hanging="720"/>
        <w:jc w:val="both"/>
      </w:pPr>
      <w:r>
        <w:rPr>
          <w:rFonts w:ascii="Arial" w:cs="Arial" w:eastAsia="Arial" w:hAnsi="Arial"/>
          <w:b/>
          <w:bCs/>
          <w:sz w:val="22"/>
          <w:szCs w:val="22"/>
        </w:rPr>
        <w:t xml:space="preserve">5.1.1 </w:t>
      </w:r>
      <w:r>
        <w:rPr>
          <w:rFonts w:ascii="Arial" w:cs="Arial" w:eastAsia="Arial" w:hAnsi="Arial"/>
          <w:sz w:val="22"/>
          <w:szCs w:val="22"/>
        </w:rPr>
        <w:t xml:space="preserve">Every document the Respondents have transmitted to their attorneys (Elliott Attorneys, Pottas Attorneys) should be catalogued with proof of transmission — email timestamps, read receipts, acknowledgments, file transfer logs. This creates an </w:t>
      </w:r>
      <w:r>
        <w:rPr>
          <w:rFonts w:ascii="Arial" w:cs="Arial" w:eastAsia="Arial" w:hAnsi="Arial"/>
          <w:b/>
          <w:bCs/>
          <w:sz w:val="22"/>
          <w:szCs w:val="22"/>
        </w:rPr>
        <w:t xml:space="preserve">irrefutable compliance register</w:t>
      </w:r>
      <w:r>
        <w:rPr>
          <w:rFonts w:ascii="Arial" w:cs="Arial" w:eastAsia="Arial" w:hAnsi="Arial"/>
          <w:sz w:val="22"/>
          <w:szCs w:val="22"/>
        </w:rPr>
        <w:t xml:space="preserve"> that defeats any allegation of withholding or concealment.</w:t>
      </w:r>
    </w:p>
    <w:p>
      <w:pPr>
        <w:spacing w:after="160"/>
        <w:ind w:left="720" w:hanging="720"/>
        <w:jc w:val="both"/>
      </w:pPr>
      <w:r>
        <w:rPr>
          <w:rFonts w:ascii="Arial" w:cs="Arial" w:eastAsia="Arial" w:hAnsi="Arial"/>
          <w:b/>
          <w:bCs/>
          <w:sz w:val="22"/>
          <w:szCs w:val="22"/>
        </w:rPr>
        <w:t xml:space="preserve">5.1.2 </w:t>
      </w:r>
      <w:r>
        <w:rPr>
          <w:rFonts w:ascii="Arial" w:cs="Arial" w:eastAsia="Arial" w:hAnsi="Arial"/>
          <w:sz w:val="22"/>
          <w:szCs w:val="22"/>
        </w:rPr>
        <w:t xml:space="preserve">The compliance register should record, at minimum: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160"/>
              <w:jc w:val="left"/>
            </w:pPr>
            <w:r>
              <w:rPr>
                <w:rFonts w:ascii="Arial" w:cs="Arial" w:eastAsia="Arial" w:hAnsi="Arial"/>
                <w:b/>
                <w:bCs/>
                <w:color w:val="FFFFFF"/>
                <w:sz w:val="20"/>
                <w:szCs w:val="20"/>
              </w:rPr>
              <w:t xml:space="preserve">Field</w:t>
            </w:r>
          </w:p>
        </w:tc>
        <w:tc>
          <w:tcPr>
            <w:tcW w:type="dxa" w:w="62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160"/>
              <w:jc w:val="left"/>
            </w:pPr>
            <w:r>
              <w:rPr>
                <w:rFonts w:ascii="Arial" w:cs="Arial" w:eastAsia="Arial" w:hAnsi="Arial"/>
                <w:b/>
                <w:bCs/>
                <w:color w:val="FFFFFF"/>
                <w:sz w:val="20"/>
                <w:szCs w:val="20"/>
              </w:rPr>
              <w:t xml:space="preserve">Purpose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b/>
                <w:bCs/>
                <w:sz w:val="20"/>
                <w:szCs w:val="20"/>
              </w:rPr>
              <w:t xml:space="preserve">Document description</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sz w:val="20"/>
                <w:szCs w:val="20"/>
              </w:rPr>
              <w:t xml:space="preserve">Identifies the document surrendered</w:t>
            </w:r>
          </w:p>
        </w:tc>
      </w:tr>
      <w:tr>
        <w:tc>
          <w:tcPr>
            <w:tcW w:type="dxa" w:w="28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spacing w:after="160"/>
              <w:jc w:val="left"/>
            </w:pPr>
            <w:r>
              <w:rPr>
                <w:rFonts w:ascii="Arial" w:cs="Arial" w:eastAsia="Arial" w:hAnsi="Arial"/>
                <w:b/>
                <w:bCs/>
                <w:sz w:val="20"/>
                <w:szCs w:val="20"/>
              </w:rPr>
              <w:t xml:space="preserve">Date of surrender</w:t>
            </w:r>
          </w:p>
        </w:tc>
        <w:tc>
          <w:tcPr>
            <w:tcW w:type="dxa" w:w="6226"/>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spacing w:after="160"/>
              <w:jc w:val="left"/>
            </w:pPr>
            <w:r>
              <w:rPr>
                <w:rFonts w:ascii="Arial" w:cs="Arial" w:eastAsia="Arial" w:hAnsi="Arial"/>
                <w:sz w:val="20"/>
                <w:szCs w:val="20"/>
              </w:rPr>
              <w:t xml:space="preserve">Proves when the Respondent discharged their obligation</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b/>
                <w:bCs/>
                <w:sz w:val="20"/>
                <w:szCs w:val="20"/>
              </w:rPr>
              <w:t xml:space="preserve">Method of transmission</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sz w:val="20"/>
                <w:szCs w:val="20"/>
              </w:rPr>
              <w:t xml:space="preserve">Email, hand delivery, electronic upload, etc.</w:t>
            </w:r>
          </w:p>
        </w:tc>
      </w:tr>
      <w:tr>
        <w:tc>
          <w:tcPr>
            <w:tcW w:type="dxa" w:w="28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spacing w:after="160"/>
              <w:jc w:val="left"/>
            </w:pPr>
            <w:r>
              <w:rPr>
                <w:rFonts w:ascii="Arial" w:cs="Arial" w:eastAsia="Arial" w:hAnsi="Arial"/>
                <w:b/>
                <w:bCs/>
                <w:sz w:val="20"/>
                <w:szCs w:val="20"/>
              </w:rPr>
              <w:t xml:space="preserve">Recipient attorney</w:t>
            </w:r>
          </w:p>
        </w:tc>
        <w:tc>
          <w:tcPr>
            <w:tcW w:type="dxa" w:w="6226"/>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spacing w:after="160"/>
              <w:jc w:val="left"/>
            </w:pPr>
            <w:r>
              <w:rPr>
                <w:rFonts w:ascii="Arial" w:cs="Arial" w:eastAsia="Arial" w:hAnsi="Arial"/>
                <w:sz w:val="20"/>
                <w:szCs w:val="20"/>
              </w:rPr>
              <w:t xml:space="preserve">Identifies which attorney received the document</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b/>
                <w:bCs/>
                <w:sz w:val="20"/>
                <w:szCs w:val="20"/>
              </w:rPr>
              <w:t xml:space="preserve">Proof of receipt</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sz w:val="20"/>
                <w:szCs w:val="20"/>
              </w:rPr>
              <w:t xml:space="preserve">Read receipt, acknowledgment email, delivery confirmation</w:t>
            </w:r>
          </w:p>
        </w:tc>
      </w:tr>
      <w:tr>
        <w:tc>
          <w:tcPr>
            <w:tcW w:type="dxa" w:w="28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spacing w:after="160"/>
              <w:jc w:val="left"/>
            </w:pPr>
            <w:r>
              <w:rPr>
                <w:rFonts w:ascii="Arial" w:cs="Arial" w:eastAsia="Arial" w:hAnsi="Arial"/>
                <w:b/>
                <w:bCs/>
                <w:sz w:val="20"/>
                <w:szCs w:val="20"/>
              </w:rPr>
              <w:t xml:space="preserve">CaseLines status</w:t>
            </w:r>
          </w:p>
        </w:tc>
        <w:tc>
          <w:tcPr>
            <w:tcW w:type="dxa" w:w="6226"/>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spacing w:after="160"/>
              <w:jc w:val="left"/>
            </w:pPr>
            <w:r>
              <w:rPr>
                <w:rFonts w:ascii="Arial" w:cs="Arial" w:eastAsia="Arial" w:hAnsi="Arial"/>
                <w:sz w:val="20"/>
                <w:szCs w:val="20"/>
              </w:rPr>
              <w:t xml:space="preserve">Whether the document has been uploaded to CaseLines (and if not, by whose omission)</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b/>
                <w:bCs/>
                <w:sz w:val="20"/>
                <w:szCs w:val="20"/>
              </w:rPr>
              <w:t xml:space="preserve">Court order reference</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sz w:val="20"/>
                <w:szCs w:val="20"/>
              </w:rPr>
              <w:t xml:space="preserve">Which paragraph of the court order the document relates to</w:t>
            </w:r>
          </w:p>
        </w:tc>
      </w:tr>
    </w:tbl>
    <w:p>
      <w:pPr>
        <w:spacing w:after="160"/>
      </w:pPr>
    </w:p>
    <w:p>
      <w:pPr>
        <w:spacing w:after="160"/>
        <w:ind w:left="720" w:hanging="720"/>
        <w:jc w:val="both"/>
      </w:pPr>
      <w:r>
        <w:rPr>
          <w:rFonts w:ascii="Arial" w:cs="Arial" w:eastAsia="Arial" w:hAnsi="Arial"/>
          <w:b/>
          <w:bCs/>
          <w:sz w:val="22"/>
          <w:szCs w:val="22"/>
        </w:rPr>
        <w:t xml:space="preserve">5.1.3 </w:t>
      </w:r>
      <w:r>
        <w:rPr>
          <w:rFonts w:ascii="Arial" w:cs="Arial" w:eastAsia="Arial" w:hAnsi="Arial"/>
          <w:sz w:val="22"/>
          <w:szCs w:val="22"/>
        </w:rPr>
        <w:t xml:space="preserve">Where a document appears in the compliance register as surrendered to the attorney but does not appear on CaseLines, the gap is attributable to the attorney, not the Respondent. The Respondent’s compliance is documented; the attorney’s non-compliance is exposed.</w:t>
      </w:r>
    </w:p>
    <w:p>
      <w:pPr>
        <w:pStyle w:val="Heading2"/>
        <w:spacing w:before="280" w:after="160"/>
      </w:pPr>
      <w:r>
        <w:rPr>
          <w:rFonts w:ascii="Arial" w:cs="Arial" w:eastAsia="Arial" w:hAnsi="Arial"/>
          <w:b/>
          <w:bCs/>
          <w:sz w:val="24"/>
          <w:szCs w:val="24"/>
        </w:rPr>
        <w:t xml:space="preserve">5.2 Implication Two: De Bonis Propriis Costs Exposure for Attorneys</w:t>
      </w:r>
    </w:p>
    <w:p>
      <w:pPr>
        <w:spacing w:after="160"/>
        <w:ind w:left="720" w:hanging="720"/>
        <w:jc w:val="both"/>
      </w:pPr>
      <w:r>
        <w:rPr>
          <w:rFonts w:ascii="Arial" w:cs="Arial" w:eastAsia="Arial" w:hAnsi="Arial"/>
          <w:b/>
          <w:bCs/>
          <w:sz w:val="22"/>
          <w:szCs w:val="22"/>
        </w:rPr>
        <w:t xml:space="preserve">5.2.1 </w:t>
      </w:r>
      <w:r>
        <w:rPr>
          <w:rFonts w:ascii="Arial" w:cs="Arial" w:eastAsia="Arial" w:hAnsi="Arial"/>
          <w:sz w:val="22"/>
          <w:szCs w:val="22"/>
        </w:rPr>
        <w:t xml:space="preserve">An attorney who receives a document from their client and fails to place it on the court record, thereby enabling a contempt allegation against that client, has arguably breached their fiduciary duty to the client </w:t>
      </w:r>
      <w:r>
        <w:rPr>
          <w:rFonts w:ascii="Arial" w:cs="Arial" w:eastAsia="Arial" w:hAnsi="Arial"/>
          <w:i/>
          <w:iCs/>
          <w:sz w:val="22"/>
          <w:szCs w:val="22"/>
        </w:rPr>
        <w:t xml:space="preserve">and</w:t>
      </w:r>
      <w:r>
        <w:rPr>
          <w:rFonts w:ascii="Arial" w:cs="Arial" w:eastAsia="Arial" w:hAnsi="Arial"/>
          <w:sz w:val="22"/>
          <w:szCs w:val="22"/>
        </w:rPr>
        <w:t xml:space="preserve"> their duty to the court as an officer thereof.</w:t>
      </w:r>
    </w:p>
    <w:p>
      <w:pPr>
        <w:spacing w:after="160"/>
        <w:ind w:left="720" w:hanging="720"/>
        <w:jc w:val="both"/>
      </w:pPr>
      <w:r>
        <w:rPr>
          <w:rFonts w:ascii="Arial" w:cs="Arial" w:eastAsia="Arial" w:hAnsi="Arial"/>
          <w:b/>
          <w:bCs/>
          <w:sz w:val="22"/>
          <w:szCs w:val="22"/>
        </w:rPr>
        <w:t xml:space="preserve">5.2.2 </w:t>
      </w:r>
      <w:r>
        <w:rPr>
          <w:rFonts w:ascii="Arial" w:cs="Arial" w:eastAsia="Arial" w:hAnsi="Arial"/>
          <w:sz w:val="22"/>
          <w:szCs w:val="22"/>
        </w:rPr>
        <w:t xml:space="preserve">South African courts have consistently held that attorneys may be held personally liable for costs (</w:t>
      </w:r>
      <w:r>
        <w:rPr>
          <w:rFonts w:ascii="Arial" w:cs="Arial" w:eastAsia="Arial" w:hAnsi="Arial"/>
          <w:i/>
          <w:iCs/>
          <w:sz w:val="22"/>
          <w:szCs w:val="22"/>
        </w:rPr>
        <w:t xml:space="preserve">de bonis propriis</w:t>
      </w:r>
      <w:r>
        <w:rPr>
          <w:rFonts w:ascii="Arial" w:cs="Arial" w:eastAsia="Arial" w:hAnsi="Arial"/>
          <w:sz w:val="22"/>
          <w:szCs w:val="22"/>
        </w:rPr>
        <w:t xml:space="preserve">) where their conduct constitutes gross negligence, dishonesty, or complicity in abuse of process. The failure to upload a surrendered document to CaseLines, particularly where that failure enables or facilitates a contempt application against the client, may attract such an order.</w:t>
      </w:r>
    </w:p>
    <w:p>
      <w:pPr>
        <w:spacing w:after="160"/>
        <w:ind w:left="720" w:hanging="720"/>
        <w:jc w:val="both"/>
      </w:pPr>
      <w:r>
        <w:rPr>
          <w:rFonts w:ascii="Arial" w:cs="Arial" w:eastAsia="Arial" w:hAnsi="Arial"/>
          <w:b/>
          <w:bCs/>
          <w:sz w:val="22"/>
          <w:szCs w:val="22"/>
        </w:rPr>
        <w:t xml:space="preserve">5.2.3 </w:t>
      </w:r>
      <w:r>
        <w:rPr>
          <w:rFonts w:ascii="Arial" w:cs="Arial" w:eastAsia="Arial" w:hAnsi="Arial"/>
          <w:sz w:val="22"/>
          <w:szCs w:val="22"/>
        </w:rPr>
        <w:t xml:space="preserve">The exposure is twofold:</w:t>
      </w:r>
    </w:p>
    <w:p>
      <w:pPr>
        <w:spacing w:after="160"/>
        <w:ind w:left="720"/>
        <w:jc w:val="both"/>
      </w:pPr>
      <w:r>
        <w:rPr>
          <w:rFonts w:ascii="Arial" w:cs="Arial" w:eastAsia="Arial" w:hAnsi="Arial"/>
          <w:b/>
          <w:bCs/>
          <w:sz w:val="22"/>
          <w:szCs w:val="22"/>
        </w:rPr>
        <w:t xml:space="preserve">(a) The Respondent’s own attorneys: </w:t>
      </w:r>
      <w:r>
        <w:rPr>
          <w:rFonts w:ascii="Arial" w:cs="Arial" w:eastAsia="Arial" w:hAnsi="Arial"/>
          <w:sz w:val="22"/>
          <w:szCs w:val="22"/>
        </w:rPr>
        <w:t xml:space="preserve">If Pottas Attorneys received documents from the Respondents but failed to upload them to CaseLines, and the Applicant then brought a contempt application based on the absence of those documents from the record, Pottas Attorneys bear liability for the costs of defending a contempt application that would not have arisen but for their omission.</w:t>
      </w:r>
    </w:p>
    <w:p>
      <w:pPr>
        <w:spacing w:after="80"/>
      </w:pPr>
    </w:p>
    <w:p>
      <w:pPr>
        <w:spacing w:after="160"/>
        <w:ind w:left="720"/>
        <w:jc w:val="both"/>
      </w:pPr>
      <w:r>
        <w:rPr>
          <w:rFonts w:ascii="Arial" w:cs="Arial" w:eastAsia="Arial" w:hAnsi="Arial"/>
          <w:b/>
          <w:bCs/>
          <w:sz w:val="22"/>
          <w:szCs w:val="22"/>
        </w:rPr>
        <w:t xml:space="preserve">(b) The Applicant’s attorneys: </w:t>
      </w:r>
      <w:r>
        <w:rPr>
          <w:rFonts w:ascii="Arial" w:cs="Arial" w:eastAsia="Arial" w:hAnsi="Arial"/>
          <w:sz w:val="22"/>
          <w:szCs w:val="22"/>
        </w:rPr>
        <w:t xml:space="preserve">If Elliott Attorneys knew, or ought to have known, that certain documents had been provided by the Respondents to their attorneys but not yet uploaded to CaseLines, and proceeded to allege contempt based on the absence of those documents from CaseLines, that constitutes a knowing misrepresentation to the court.</w:t>
      </w:r>
    </w:p>
    <w:p>
      <w:pPr>
        <w:pStyle w:val="Heading2"/>
        <w:spacing w:before="280" w:after="160"/>
      </w:pPr>
      <w:r>
        <w:rPr>
          <w:rFonts w:ascii="Arial" w:cs="Arial" w:eastAsia="Arial" w:hAnsi="Arial"/>
          <w:b/>
          <w:bCs/>
          <w:sz w:val="24"/>
          <w:szCs w:val="24"/>
        </w:rPr>
        <w:t xml:space="preserve">5.3 Implication Three: Abuse of Process Reinforcement</w:t>
      </w:r>
    </w:p>
    <w:p>
      <w:pPr>
        <w:spacing w:after="160"/>
        <w:ind w:left="720" w:hanging="720"/>
        <w:jc w:val="both"/>
      </w:pPr>
      <w:r>
        <w:rPr>
          <w:rFonts w:ascii="Arial" w:cs="Arial" w:eastAsia="Arial" w:hAnsi="Arial"/>
          <w:b/>
          <w:bCs/>
          <w:sz w:val="22"/>
          <w:szCs w:val="22"/>
        </w:rPr>
        <w:t xml:space="preserve">5.3.1 </w:t>
      </w:r>
      <w:r>
        <w:rPr>
          <w:rFonts w:ascii="Arial" w:cs="Arial" w:eastAsia="Arial" w:hAnsi="Arial"/>
          <w:sz w:val="22"/>
          <w:szCs w:val="22"/>
        </w:rPr>
        <w:t xml:space="preserve">This chain-of-custody gap analysis adds a further layer to the abuse of process pattern already documented in the Responding Affidavit: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13"/>
        <w:gridCol w:w="4213"/>
      </w:tblGrid>
      <w:tr>
        <w:tc>
          <w:tcPr>
            <w:tcW w:type="dxa" w:w="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160"/>
              <w:jc w:val="left"/>
            </w:pPr>
            <w:r>
              <w:rPr>
                <w:rFonts w:ascii="Arial" w:cs="Arial" w:eastAsia="Arial" w:hAnsi="Arial"/>
                <w:b/>
                <w:bCs/>
                <w:color w:val="FFFFFF"/>
                <w:sz w:val="20"/>
                <w:szCs w:val="20"/>
              </w:rPr>
              <w:t xml:space="preserve">Step</w:t>
            </w:r>
          </w:p>
        </w:tc>
        <w:tc>
          <w:tcPr>
            <w:tcW w:type="dxa" w:w="4213"/>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160"/>
              <w:jc w:val="left"/>
            </w:pPr>
            <w:r>
              <w:rPr>
                <w:rFonts w:ascii="Arial" w:cs="Arial" w:eastAsia="Arial" w:hAnsi="Arial"/>
                <w:b/>
                <w:bCs/>
                <w:color w:val="FFFFFF"/>
                <w:sz w:val="20"/>
                <w:szCs w:val="20"/>
              </w:rPr>
              <w:t xml:space="preserve">Action</w:t>
            </w:r>
          </w:p>
        </w:tc>
        <w:tc>
          <w:tcPr>
            <w:tcW w:type="dxa" w:w="4213"/>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160"/>
              <w:jc w:val="left"/>
            </w:pPr>
            <w:r>
              <w:rPr>
                <w:rFonts w:ascii="Arial" w:cs="Arial" w:eastAsia="Arial" w:hAnsi="Arial"/>
                <w:b/>
                <w:bCs/>
                <w:color w:val="FFFFFF"/>
                <w:sz w:val="20"/>
                <w:szCs w:val="20"/>
              </w:rPr>
              <w:t xml:space="preserve">Effect</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b/>
                <w:bCs/>
                <w:sz w:val="20"/>
                <w:szCs w:val="20"/>
              </w:rPr>
              <w:t xml:space="preserve">1</w:t>
            </w:r>
          </w:p>
        </w:tc>
        <w:tc>
          <w:tcPr>
            <w:tcW w:type="dxa" w:w="42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sz w:val="20"/>
                <w:szCs w:val="20"/>
              </w:rPr>
              <w:t xml:space="preserve">Obtain ex parte order through perjury</w:t>
            </w:r>
          </w:p>
        </w:tc>
        <w:tc>
          <w:tcPr>
            <w:tcW w:type="dxa" w:w="42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sz w:val="20"/>
                <w:szCs w:val="20"/>
              </w:rPr>
              <w:t xml:space="preserve">Seize financial control of entities</w:t>
            </w:r>
          </w:p>
        </w:tc>
      </w:tr>
      <w:tr>
        <w:tc>
          <w:tcPr>
            <w:tcW w:type="dxa" w:w="6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spacing w:after="160"/>
              <w:jc w:val="left"/>
            </w:pPr>
            <w:r>
              <w:rPr>
                <w:rFonts w:ascii="Arial" w:cs="Arial" w:eastAsia="Arial" w:hAnsi="Arial"/>
                <w:b/>
                <w:bCs/>
                <w:sz w:val="20"/>
                <w:szCs w:val="20"/>
              </w:rPr>
              <w:t xml:space="preserve">2</w:t>
            </w:r>
          </w:p>
        </w:tc>
        <w:tc>
          <w:tcPr>
            <w:tcW w:type="dxa" w:w="4213"/>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spacing w:after="160"/>
              <w:jc w:val="left"/>
            </w:pPr>
            <w:r>
              <w:rPr>
                <w:rFonts w:ascii="Arial" w:cs="Arial" w:eastAsia="Arial" w:hAnsi="Arial"/>
                <w:sz w:val="20"/>
                <w:szCs w:val="20"/>
              </w:rPr>
              <w:t xml:space="preserve">Extract R10.6M from entity accounts</w:t>
            </w:r>
          </w:p>
        </w:tc>
        <w:tc>
          <w:tcPr>
            <w:tcW w:type="dxa" w:w="4213"/>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spacing w:after="160"/>
              <w:jc w:val="left"/>
            </w:pPr>
            <w:r>
              <w:rPr>
                <w:rFonts w:ascii="Arial" w:cs="Arial" w:eastAsia="Arial" w:hAnsi="Arial"/>
                <w:sz w:val="20"/>
                <w:szCs w:val="20"/>
              </w:rPr>
              <w:t xml:space="preserve">Personal enrichment under colour of court authority</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b/>
                <w:bCs/>
                <w:sz w:val="20"/>
                <w:szCs w:val="20"/>
              </w:rPr>
              <w:t xml:space="preserve">3</w:t>
            </w:r>
          </w:p>
        </w:tc>
        <w:tc>
          <w:tcPr>
            <w:tcW w:type="dxa" w:w="42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sz w:val="20"/>
                <w:szCs w:val="20"/>
              </w:rPr>
              <w:t xml:space="preserve">Block Respondent oversight as “dealing with business”</w:t>
            </w:r>
          </w:p>
        </w:tc>
        <w:tc>
          <w:tcPr>
            <w:tcW w:type="dxa" w:w="42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sz w:val="20"/>
                <w:szCs w:val="20"/>
              </w:rPr>
              <w:t xml:space="preserve">Shield extraction from scrutiny</w:t>
            </w:r>
          </w:p>
        </w:tc>
      </w:tr>
      <w:tr>
        <w:tc>
          <w:tcPr>
            <w:tcW w:type="dxa" w:w="6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spacing w:after="160"/>
              <w:jc w:val="left"/>
            </w:pPr>
            <w:r>
              <w:rPr>
                <w:rFonts w:ascii="Arial" w:cs="Arial" w:eastAsia="Arial" w:hAnsi="Arial"/>
                <w:b/>
                <w:bCs/>
                <w:sz w:val="20"/>
                <w:szCs w:val="20"/>
              </w:rPr>
              <w:t xml:space="preserve">4</w:t>
            </w:r>
          </w:p>
        </w:tc>
        <w:tc>
          <w:tcPr>
            <w:tcW w:type="dxa" w:w="4213"/>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spacing w:after="160"/>
              <w:jc w:val="left"/>
            </w:pPr>
            <w:r>
              <w:rPr>
                <w:rFonts w:ascii="Arial" w:cs="Arial" w:eastAsia="Arial" w:hAnsi="Arial"/>
                <w:sz w:val="20"/>
                <w:szCs w:val="20"/>
              </w:rPr>
              <w:t xml:space="preserve">Characterise document requests as “fishing expeditions”</w:t>
            </w:r>
          </w:p>
        </w:tc>
        <w:tc>
          <w:tcPr>
            <w:tcW w:type="dxa" w:w="4213"/>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spacing w:after="160"/>
              <w:jc w:val="left"/>
            </w:pPr>
            <w:r>
              <w:rPr>
                <w:rFonts w:ascii="Arial" w:cs="Arial" w:eastAsia="Arial" w:hAnsi="Arial"/>
                <w:sz w:val="20"/>
                <w:szCs w:val="20"/>
              </w:rPr>
              <w:t xml:space="preserve">Suppress evidence of fraud</w:t>
            </w:r>
          </w:p>
        </w:tc>
      </w:tr>
      <w:tr>
        <w:tc>
          <w:tcPr>
            <w:tcW w:type="dxa" w:w="600"/>
            <w:tcBorders>
              <w:top w:val="single" w:color="999999" w:sz="1"/>
              <w:left w:val="single" w:color="999999" w:sz="1"/>
              <w:bottom w:val="single" w:color="999999" w:sz="1"/>
              <w:right w:val="single" w:color="999999" w:sz="1"/>
            </w:tcBorders>
            <w:shd w:fill="FFF2F2" w:val="clear"/>
            <w:tcMar>
              <w:top w:type="dxa" w:w="80"/>
              <w:left w:type="dxa" w:w="120"/>
              <w:bottom w:type="dxa" w:w="80"/>
              <w:right w:type="dxa" w:w="120"/>
            </w:tcMar>
          </w:tcPr>
          <w:p>
            <w:pPr>
              <w:spacing w:after="160"/>
              <w:jc w:val="left"/>
            </w:pPr>
            <w:r>
              <w:rPr>
                <w:rFonts w:ascii="Arial" w:cs="Arial" w:eastAsia="Arial" w:hAnsi="Arial"/>
                <w:b/>
                <w:bCs/>
                <w:sz w:val="20"/>
                <w:szCs w:val="20"/>
              </w:rPr>
              <w:t xml:space="preserve">5</w:t>
            </w:r>
          </w:p>
        </w:tc>
        <w:tc>
          <w:tcPr>
            <w:tcW w:type="dxa" w:w="4213"/>
            <w:tcBorders>
              <w:top w:val="single" w:color="999999" w:sz="1"/>
              <w:left w:val="single" w:color="999999" w:sz="1"/>
              <w:bottom w:val="single" w:color="999999" w:sz="1"/>
              <w:right w:val="single" w:color="999999" w:sz="1"/>
            </w:tcBorders>
            <w:shd w:fill="FFF2F2" w:val="clear"/>
            <w:tcMar>
              <w:top w:type="dxa" w:w="80"/>
              <w:left w:type="dxa" w:w="120"/>
              <w:bottom w:type="dxa" w:w="80"/>
              <w:right w:type="dxa" w:w="120"/>
            </w:tcMar>
          </w:tcPr>
          <w:p>
            <w:pPr>
              <w:spacing w:after="160"/>
              <w:jc w:val="left"/>
            </w:pPr>
            <w:r>
              <w:rPr>
                <w:rFonts w:ascii="Arial" w:cs="Arial" w:eastAsia="Arial" w:hAnsi="Arial"/>
                <w:b/>
                <w:bCs/>
                <w:sz w:val="22"/>
                <w:szCs w:val="22"/>
              </w:rPr>
              <w:t xml:space="preserve">Allege contempt based on CaseLines gaps attributable to attorneys, not Respondents</w:t>
            </w:r>
          </w:p>
        </w:tc>
        <w:tc>
          <w:tcPr>
            <w:tcW w:type="dxa" w:w="4213"/>
            <w:tcBorders>
              <w:top w:val="single" w:color="999999" w:sz="1"/>
              <w:left w:val="single" w:color="999999" w:sz="1"/>
              <w:bottom w:val="single" w:color="999999" w:sz="1"/>
              <w:right w:val="single" w:color="999999" w:sz="1"/>
            </w:tcBorders>
            <w:shd w:fill="FFF2F2" w:val="clear"/>
            <w:tcMar>
              <w:top w:type="dxa" w:w="80"/>
              <w:left w:type="dxa" w:w="120"/>
              <w:bottom w:type="dxa" w:w="80"/>
              <w:right w:type="dxa" w:w="120"/>
            </w:tcMar>
          </w:tcPr>
          <w:p>
            <w:pPr>
              <w:spacing w:after="160"/>
              <w:jc w:val="left"/>
            </w:pPr>
            <w:r>
              <w:rPr>
                <w:rFonts w:ascii="Arial" w:cs="Arial" w:eastAsia="Arial" w:hAnsi="Arial"/>
                <w:b/>
                <w:bCs/>
                <w:sz w:val="22"/>
                <w:szCs w:val="22"/>
              </w:rPr>
              <w:t xml:space="preserve">Weaponise procedural gaps to threaten imprisonment</w:t>
            </w:r>
          </w:p>
        </w:tc>
      </w:tr>
    </w:tbl>
    <w:p>
      <w:pPr>
        <w:spacing w:after="160"/>
      </w:pPr>
    </w:p>
    <w:p>
      <w:pPr>
        <w:spacing w:after="160"/>
        <w:ind w:left="720" w:hanging="720"/>
        <w:jc w:val="both"/>
      </w:pPr>
      <w:r>
        <w:rPr>
          <w:rFonts w:ascii="Arial" w:cs="Arial" w:eastAsia="Arial" w:hAnsi="Arial"/>
          <w:b/>
          <w:bCs/>
          <w:sz w:val="22"/>
          <w:szCs w:val="22"/>
        </w:rPr>
        <w:t xml:space="preserve">5.3.2 </w:t>
      </w:r>
      <w:r>
        <w:rPr>
          <w:rFonts w:ascii="Arial" w:cs="Arial" w:eastAsia="Arial" w:hAnsi="Arial"/>
          <w:sz w:val="22"/>
          <w:szCs w:val="22"/>
        </w:rPr>
        <w:t xml:space="preserve">Step 5 is the newly identified dimension. The Applicant’s contempt application of 4 February 2026, which seeks </w:t>
      </w:r>
      <w:r>
        <w:rPr>
          <w:rFonts w:ascii="Arial" w:cs="Arial" w:eastAsia="Arial" w:hAnsi="Arial"/>
          <w:i/>
          <w:iCs/>
          <w:sz w:val="22"/>
          <w:szCs w:val="22"/>
        </w:rPr>
        <w:t xml:space="preserve">imprisonment</w:t>
      </w:r>
      <w:r>
        <w:rPr>
          <w:rFonts w:ascii="Arial" w:cs="Arial" w:eastAsia="Arial" w:hAnsi="Arial"/>
          <w:sz w:val="22"/>
          <w:szCs w:val="22"/>
        </w:rPr>
        <w:t xml:space="preserve"> of the First Respondent, may in part rely on document absences from CaseLines that are attributable to attorney conduct rather than Respondent non-compliance. If so, the contempt application is not merely an abuse of process — it is a </w:t>
      </w:r>
      <w:r>
        <w:rPr>
          <w:rFonts w:ascii="Arial" w:cs="Arial" w:eastAsia="Arial" w:hAnsi="Arial"/>
          <w:b/>
          <w:bCs/>
          <w:sz w:val="22"/>
          <w:szCs w:val="22"/>
        </w:rPr>
        <w:t xml:space="preserve">knowing misrepresentation to the court</w:t>
      </w:r>
      <w:r>
        <w:rPr>
          <w:rFonts w:ascii="Arial" w:cs="Arial" w:eastAsia="Arial" w:hAnsi="Arial"/>
          <w:sz w:val="22"/>
          <w:szCs w:val="22"/>
        </w:rPr>
        <w:t xml:space="preserve"> that the Respondents have failed to surrender documents when in fact those documents have been surrendered to the attorneys.</w:t>
      </w:r>
    </w:p>
    <w:p>
      <w:pPr>
        <w:pStyle w:val="Heading1"/>
        <w:spacing w:before="360" w:after="200"/>
      </w:pPr>
      <w:r>
        <w:rPr>
          <w:rFonts w:ascii="Arial" w:cs="Arial" w:eastAsia="Arial" w:hAnsi="Arial"/>
          <w:b/>
          <w:bCs/>
          <w:sz w:val="28"/>
          <w:szCs w:val="28"/>
        </w:rPr>
        <w:t xml:space="preserve">6. THE APPLICANT’S OWN NON-DISCLOSURE OBLIGATION</w:t>
      </w:r>
    </w:p>
    <w:p>
      <w:pPr>
        <w:spacing w:after="160"/>
        <w:ind w:left="720" w:hanging="720"/>
        <w:jc w:val="both"/>
      </w:pPr>
      <w:r>
        <w:rPr>
          <w:rFonts w:ascii="Arial" w:cs="Arial" w:eastAsia="Arial" w:hAnsi="Arial"/>
          <w:b/>
          <w:bCs/>
          <w:sz w:val="22"/>
          <w:szCs w:val="22"/>
        </w:rPr>
        <w:t xml:space="preserve">6.1 </w:t>
      </w:r>
      <w:r>
        <w:rPr>
          <w:rFonts w:ascii="Arial" w:cs="Arial" w:eastAsia="Arial" w:hAnsi="Arial"/>
          <w:sz w:val="22"/>
          <w:szCs w:val="22"/>
        </w:rPr>
        <w:t xml:space="preserve">It must be noted that the Applicant himself holds possession of critical documents that he has failed to disclose. The FNB Legal letter of 18 June 2025 was addressed </w:t>
      </w:r>
      <w:r>
        <w:rPr>
          <w:rFonts w:ascii="Arial" w:cs="Arial" w:eastAsia="Arial" w:hAnsi="Arial"/>
          <w:i/>
          <w:iCs/>
          <w:sz w:val="22"/>
          <w:szCs w:val="22"/>
        </w:rPr>
        <w:t xml:space="preserve">to the Applicant</w:t>
      </w:r>
      <w:r>
        <w:rPr>
          <w:rFonts w:ascii="Arial" w:cs="Arial" w:eastAsia="Arial" w:hAnsi="Arial"/>
          <w:sz w:val="22"/>
          <w:szCs w:val="22"/>
        </w:rPr>
        <w:t xml:space="preserve"> in response to </w:t>
      </w:r>
      <w:r>
        <w:rPr>
          <w:rFonts w:ascii="Arial" w:cs="Arial" w:eastAsia="Arial" w:hAnsi="Arial"/>
          <w:i/>
          <w:iCs/>
          <w:sz w:val="22"/>
          <w:szCs w:val="22"/>
        </w:rPr>
        <w:t xml:space="preserve">his own correspondence</w:t>
      </w:r>
      <w:r>
        <w:rPr>
          <w:rFonts w:ascii="Arial" w:cs="Arial" w:eastAsia="Arial" w:hAnsi="Arial"/>
          <w:sz w:val="22"/>
          <w:szCs w:val="22"/>
        </w:rPr>
        <w:t xml:space="preserve"> of 17 June 2025 (Annexure SF10). This document is in the Applicant’s possession, under his control, and directly relevant to the forensic audit.</w:t>
      </w:r>
    </w:p>
    <w:p>
      <w:pPr>
        <w:spacing w:after="160"/>
        <w:ind w:left="720" w:hanging="720"/>
        <w:jc w:val="both"/>
      </w:pPr>
      <w:r>
        <w:rPr>
          <w:rFonts w:ascii="Arial" w:cs="Arial" w:eastAsia="Arial" w:hAnsi="Arial"/>
          <w:b/>
          <w:bCs/>
          <w:sz w:val="22"/>
          <w:szCs w:val="22"/>
        </w:rPr>
        <w:t xml:space="preserve">6.2 </w:t>
      </w:r>
      <w:r>
        <w:rPr>
          <w:rFonts w:ascii="Arial" w:cs="Arial" w:eastAsia="Arial" w:hAnsi="Arial"/>
          <w:sz w:val="22"/>
          <w:szCs w:val="22"/>
        </w:rPr>
        <w:t xml:space="preserve">Paragraph 2.8.2 does not operate in only one direction. As established in the Cost Allocation and Estoppel Argument and the Part A Court Order Scope Analysis, the Applicant’s assumption of exclusive financial control under paragraph 2.6 means he now holds the majority of records that must be produced. His failure to produce the FNB Legal letter — which </w:t>
      </w:r>
      <w:r>
        <w:rPr>
          <w:rFonts w:ascii="Arial" w:cs="Arial" w:eastAsia="Arial" w:hAnsi="Arial"/>
          <w:b/>
          <w:bCs/>
          <w:sz w:val="22"/>
          <w:szCs w:val="22"/>
        </w:rPr>
        <w:t xml:space="preserve">demolishes</w:t>
      </w:r>
      <w:r>
        <w:rPr>
          <w:rFonts w:ascii="Arial" w:cs="Arial" w:eastAsia="Arial" w:hAnsi="Arial"/>
          <w:sz w:val="22"/>
          <w:szCs w:val="22"/>
        </w:rPr>
        <w:t xml:space="preserve"> the central premise of his own founding affidavit — constitutes both a breach of paragraph 2.8.2 and further evidence of </w:t>
      </w:r>
      <w:r>
        <w:rPr>
          <w:rFonts w:ascii="Arial" w:cs="Arial" w:eastAsia="Arial" w:hAnsi="Arial"/>
          <w:b/>
          <w:bCs/>
          <w:sz w:val="22"/>
          <w:szCs w:val="22"/>
        </w:rPr>
        <w:t xml:space="preserve">material non-disclosure</w:t>
      </w:r>
      <w:r>
        <w:rPr>
          <w:rFonts w:ascii="Arial" w:cs="Arial" w:eastAsia="Arial" w:hAnsi="Arial"/>
          <w:sz w:val="22"/>
          <w:szCs w:val="22"/>
        </w:rPr>
        <w:t xml:space="preserve">.</w:t>
      </w:r>
    </w:p>
    <w:p>
      <w:pPr>
        <w:spacing w:after="160"/>
        <w:ind w:left="720" w:hanging="720"/>
        <w:jc w:val="both"/>
      </w:pPr>
      <w:r>
        <w:rPr>
          <w:rFonts w:ascii="Arial" w:cs="Arial" w:eastAsia="Arial" w:hAnsi="Arial"/>
          <w:b/>
          <w:bCs/>
          <w:sz w:val="22"/>
          <w:szCs w:val="22"/>
        </w:rPr>
        <w:t xml:space="preserve">6.3 </w:t>
      </w:r>
      <w:r>
        <w:rPr>
          <w:rFonts w:ascii="Arial" w:cs="Arial" w:eastAsia="Arial" w:hAnsi="Arial"/>
          <w:sz w:val="22"/>
          <w:szCs w:val="22"/>
        </w:rPr>
        <w:t xml:space="preserve">The asymmetry is stark: the Applicant alleges contempt against the Respondents for alleged document non-compliance, while he himself withholds the single most exculpatory document in the entire proceeding.</w:t>
      </w:r>
    </w:p>
    <w:p>
      <w:pPr>
        <w:pStyle w:val="Heading1"/>
        <w:spacing w:before="360" w:after="200"/>
      </w:pPr>
      <w:r>
        <w:rPr>
          <w:rFonts w:ascii="Arial" w:cs="Arial" w:eastAsia="Arial" w:hAnsi="Arial"/>
          <w:b/>
          <w:bCs/>
          <w:sz w:val="28"/>
          <w:szCs w:val="28"/>
        </w:rPr>
        <w:t xml:space="preserve">7.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3"/>
              <w:left w:val="single" w:color="C00000" w:sz="3"/>
              <w:bottom w:val="single" w:color="C00000" w:sz="3"/>
              <w:right w:val="single" w:color="C00000" w:sz="3"/>
            </w:tcBorders>
            <w:shd w:fill="FFF2F2" w:val="clear"/>
            <w:tcMar>
              <w:top w:type="dxa" w:w="160"/>
              <w:left w:type="dxa" w:w="240"/>
              <w:bottom w:type="dxa" w:w="160"/>
              <w:right w:type="dxa" w:w="240"/>
            </w:tcMar>
          </w:tcPr>
          <w:p>
            <w:pPr>
              <w:spacing w:after="120"/>
              <w:jc w:val="both"/>
            </w:pPr>
            <w:r>
              <w:rPr>
                <w:rFonts w:ascii="Arial" w:cs="Arial" w:eastAsia="Arial" w:hAnsi="Arial"/>
                <w:b/>
                <w:bCs/>
                <w:sz w:val="22"/>
                <w:szCs w:val="22"/>
              </w:rPr>
              <w:t xml:space="preserve">ACTIONABLE RECOMMENDATIONS</w:t>
            </w:r>
          </w:p>
          <w:p>
            <w:pPr>
              <w:spacing w:after="120"/>
              <w:jc w:val="both"/>
            </w:pPr>
            <w:r>
              <w:rPr>
                <w:rFonts w:ascii="Arial" w:cs="Arial" w:eastAsia="Arial" w:hAnsi="Arial"/>
                <w:b/>
                <w:bCs/>
                <w:sz w:val="22"/>
                <w:szCs w:val="22"/>
              </w:rPr>
              <w:t xml:space="preserve">7.1 </w:t>
            </w:r>
            <w:r>
              <w:rPr>
                <w:rFonts w:ascii="Arial" w:cs="Arial" w:eastAsia="Arial" w:hAnsi="Arial"/>
                <w:sz w:val="22"/>
                <w:szCs w:val="22"/>
              </w:rPr>
              <w:t xml:space="preserve">Compile and file a comprehensive Compliance Register documenting every document surrendered by the Respondents to their attorneys of record, with proof of transmission. This register should be annexed to the Responding Affidavit as a standalone annexure.</w:t>
            </w:r>
          </w:p>
          <w:p>
            <w:pPr>
              <w:spacing w:after="120"/>
              <w:jc w:val="both"/>
            </w:pPr>
            <w:r>
              <w:rPr>
                <w:rFonts w:ascii="Arial" w:cs="Arial" w:eastAsia="Arial" w:hAnsi="Arial"/>
                <w:b/>
                <w:bCs/>
                <w:sz w:val="22"/>
                <w:szCs w:val="22"/>
              </w:rPr>
              <w:t xml:space="preserve">7.2 </w:t>
            </w:r>
            <w:r>
              <w:rPr>
                <w:rFonts w:ascii="Arial" w:cs="Arial" w:eastAsia="Arial" w:hAnsi="Arial"/>
                <w:sz w:val="22"/>
                <w:szCs w:val="22"/>
              </w:rPr>
              <w:t xml:space="preserve">Request formal confirmation from Pottas Attorneys of all documents received from the Respondents that have not yet been uploaded to CaseLines, with reasons for the delay.</w:t>
            </w:r>
          </w:p>
          <w:p>
            <w:pPr>
              <w:spacing w:after="120"/>
              <w:jc w:val="both"/>
            </w:pPr>
            <w:r>
              <w:rPr>
                <w:rFonts w:ascii="Arial" w:cs="Arial" w:eastAsia="Arial" w:hAnsi="Arial"/>
                <w:b/>
                <w:bCs/>
                <w:sz w:val="22"/>
                <w:szCs w:val="22"/>
              </w:rPr>
              <w:t xml:space="preserve">7.3 </w:t>
            </w:r>
            <w:r>
              <w:rPr>
                <w:rFonts w:ascii="Arial" w:cs="Arial" w:eastAsia="Arial" w:hAnsi="Arial"/>
                <w:sz w:val="22"/>
                <w:szCs w:val="22"/>
              </w:rPr>
              <w:t xml:space="preserve">Include in the Responding Affidavit a specific paragraph addressing the chain-of-custody gap, demonstrating that any CaseLines absences cited in the contempt application are attributable to attorney conduct, not Respondent non-compliance.</w:t>
            </w:r>
          </w:p>
          <w:p>
            <w:pPr>
              <w:spacing w:after="120"/>
              <w:jc w:val="both"/>
            </w:pPr>
            <w:r>
              <w:rPr>
                <w:rFonts w:ascii="Arial" w:cs="Arial" w:eastAsia="Arial" w:hAnsi="Arial"/>
                <w:b/>
                <w:bCs/>
                <w:sz w:val="22"/>
                <w:szCs w:val="22"/>
              </w:rPr>
              <w:t xml:space="preserve">7.4 </w:t>
            </w:r>
            <w:r>
              <w:rPr>
                <w:rFonts w:ascii="Arial" w:cs="Arial" w:eastAsia="Arial" w:hAnsi="Arial"/>
                <w:sz w:val="22"/>
                <w:szCs w:val="22"/>
              </w:rPr>
              <w:t xml:space="preserve">Seek a costs order de bonis propriis against any attorney whose failure to upload surrendered documents to CaseLines has enabled or facilitated the contempt application.</w:t>
            </w:r>
          </w:p>
          <w:p>
            <w:pPr>
              <w:spacing w:after="120"/>
              <w:jc w:val="both"/>
            </w:pPr>
            <w:r>
              <w:rPr>
                <w:rFonts w:ascii="Arial" w:cs="Arial" w:eastAsia="Arial" w:hAnsi="Arial"/>
                <w:b/>
                <w:bCs/>
                <w:sz w:val="22"/>
                <w:szCs w:val="22"/>
              </w:rPr>
              <w:t xml:space="preserve">7.5 </w:t>
            </w:r>
            <w:r>
              <w:rPr>
                <w:rFonts w:ascii="Arial" w:cs="Arial" w:eastAsia="Arial" w:hAnsi="Arial"/>
                <w:sz w:val="22"/>
                <w:szCs w:val="22"/>
              </w:rPr>
              <w:t xml:space="preserve">Demand production of the FNB Legal letter of 18 June 2025 (Annexure JF-BS1/SF10) from the Applicant’s attorneys, noting that the Applicant’s failure to disclose this document constitutes a continuing breach of paragraph 2.8.2 and further evidence of material non-disclosure and fraud on the court.</w:t>
            </w:r>
          </w:p>
          <w:p>
            <w:pPr>
              <w:spacing w:after="0"/>
              <w:jc w:val="both"/>
            </w:pPr>
            <w:r>
              <w:rPr>
                <w:rFonts w:ascii="Arial" w:cs="Arial" w:eastAsia="Arial" w:hAnsi="Arial"/>
                <w:b/>
                <w:bCs/>
                <w:sz w:val="22"/>
                <w:szCs w:val="22"/>
              </w:rPr>
              <w:t xml:space="preserve">7.6 </w:t>
            </w:r>
            <w:r>
              <w:rPr>
                <w:rFonts w:ascii="Arial" w:cs="Arial" w:eastAsia="Arial" w:hAnsi="Arial"/>
                <w:sz w:val="22"/>
                <w:szCs w:val="22"/>
              </w:rPr>
              <w:t xml:space="preserve">All future document transmissions to attorneys should be accompanied by a covering letter/email explicitly requesting CaseLines upload and noting that the Respondent’s compliance obligation is discharged upon surrender to the attorney.</w:t>
            </w:r>
          </w:p>
        </w:tc>
      </w:tr>
    </w:tbl>
    <w:p>
      <w:pPr>
        <w:spacing w:after="160"/>
      </w:pPr>
    </w:p>
    <w:p>
      <w:pPr>
        <w:pStyle w:val="Heading1"/>
        <w:spacing w:before="360" w:after="200"/>
      </w:pPr>
      <w:r>
        <w:rPr>
          <w:rFonts w:ascii="Arial" w:cs="Arial" w:eastAsia="Arial" w:hAnsi="Arial"/>
          <w:b/>
          <w:bCs/>
          <w:sz w:val="28"/>
          <w:szCs w:val="28"/>
        </w:rPr>
        <w:t xml:space="preserve">8. CONCLUSION</w:t>
      </w:r>
    </w:p>
    <w:p>
      <w:pPr>
        <w:spacing w:after="160"/>
        <w:ind w:left="720" w:hanging="720"/>
        <w:jc w:val="both"/>
      </w:pPr>
      <w:r>
        <w:rPr>
          <w:rFonts w:ascii="Arial" w:cs="Arial" w:eastAsia="Arial" w:hAnsi="Arial"/>
          <w:b/>
          <w:bCs/>
          <w:sz w:val="22"/>
          <w:szCs w:val="22"/>
        </w:rPr>
        <w:t xml:space="preserve">8.1 </w:t>
      </w:r>
      <w:r>
        <w:rPr>
          <w:rFonts w:ascii="Arial" w:cs="Arial" w:eastAsia="Arial" w:hAnsi="Arial"/>
          <w:sz w:val="22"/>
          <w:szCs w:val="22"/>
        </w:rPr>
        <w:t xml:space="preserve">The document production pipeline mandated by the court order operates through a defined chain of custody: </w:t>
      </w:r>
      <w:r>
        <w:rPr>
          <w:rFonts w:ascii="Arial" w:cs="Arial" w:eastAsia="Arial" w:hAnsi="Arial"/>
          <w:b/>
          <w:bCs/>
          <w:sz w:val="22"/>
          <w:szCs w:val="22"/>
        </w:rPr>
        <w:t xml:space="preserve">Respondent → Attorney → CaseLines</w:t>
      </w:r>
      <w:r>
        <w:rPr>
          <w:rFonts w:ascii="Arial" w:cs="Arial" w:eastAsia="Arial" w:hAnsi="Arial"/>
          <w:sz w:val="22"/>
          <w:szCs w:val="22"/>
        </w:rPr>
        <w:t xml:space="preserve">. The Respondent’s obligation is discharged at the first step. CaseLines non-compliance at the second step is an attorney responsibility, not a Respondent responsibility.</w:t>
      </w:r>
    </w:p>
    <w:p>
      <w:pPr>
        <w:spacing w:after="160"/>
        <w:ind w:left="720" w:hanging="720"/>
        <w:jc w:val="both"/>
      </w:pPr>
      <w:r>
        <w:rPr>
          <w:rFonts w:ascii="Arial" w:cs="Arial" w:eastAsia="Arial" w:hAnsi="Arial"/>
          <w:b/>
          <w:bCs/>
          <w:sz w:val="22"/>
          <w:szCs w:val="22"/>
        </w:rPr>
        <w:t xml:space="preserve">8.2 </w:t>
      </w:r>
      <w:r>
        <w:rPr>
          <w:rFonts w:ascii="Arial" w:cs="Arial" w:eastAsia="Arial" w:hAnsi="Arial"/>
          <w:sz w:val="22"/>
          <w:szCs w:val="22"/>
        </w:rPr>
        <w:t xml:space="preserve">The contempt application of 4 February 2026, to the extent it relies on CaseLines absences attributable to attorney conduct rather than Respondent non-compliance, fails the four-part contempt test. There is no willful </w:t>
      </w:r>
      <w:r>
        <w:rPr>
          <w:rFonts w:ascii="Arial" w:cs="Arial" w:eastAsia="Arial" w:hAnsi="Arial"/>
          <w:i/>
          <w:iCs/>
          <w:sz w:val="22"/>
          <w:szCs w:val="22"/>
        </w:rPr>
        <w:t xml:space="preserve">mala fide</w:t>
      </w:r>
      <w:r>
        <w:rPr>
          <w:rFonts w:ascii="Arial" w:cs="Arial" w:eastAsia="Arial" w:hAnsi="Arial"/>
          <w:sz w:val="22"/>
          <w:szCs w:val="22"/>
        </w:rPr>
        <w:t xml:space="preserve"> non-compliance by a Respondent who has surrendered the document to the designated channel.</w:t>
      </w:r>
    </w:p>
    <w:p>
      <w:pPr>
        <w:spacing w:after="160"/>
        <w:ind w:left="720" w:hanging="720"/>
        <w:jc w:val="both"/>
      </w:pPr>
      <w:r>
        <w:rPr>
          <w:rFonts w:ascii="Arial" w:cs="Arial" w:eastAsia="Arial" w:hAnsi="Arial"/>
          <w:b/>
          <w:bCs/>
          <w:sz w:val="22"/>
          <w:szCs w:val="22"/>
        </w:rPr>
        <w:t xml:space="preserve">8.3 </w:t>
      </w:r>
      <w:r>
        <w:rPr>
          <w:rFonts w:ascii="Arial" w:cs="Arial" w:eastAsia="Arial" w:hAnsi="Arial"/>
          <w:sz w:val="22"/>
          <w:szCs w:val="22"/>
        </w:rPr>
        <w:t xml:space="preserve">This analysis further strengthens the Respondents’ position that the contempt application is itself an abuse of process — another weapon in the pattern of weaponised litigation documented throughout these proceedings: obtain order through perjury, extract funds, block oversight, suppress evidence, and punish resistance through the very court process that was corrupted from its inception.</w:t>
      </w:r>
    </w:p>
    <w:p>
      <w:pPr>
        <w:spacing w:before="360"/>
      </w:pPr>
    </w:p>
    <w:p>
      <w:pPr>
        <w:spacing w:after="40"/>
        <w:jc w:val="left"/>
      </w:pPr>
      <w:r>
        <w:rPr>
          <w:rFonts w:ascii="Arial" w:cs="Arial" w:eastAsia="Arial" w:hAnsi="Arial"/>
          <w:sz w:val="22"/>
          <w:szCs w:val="22"/>
        </w:rPr>
        <w:t xml:space="preserve">______________________________</w:t>
      </w:r>
    </w:p>
    <w:p>
      <w:pPr>
        <w:spacing w:after="160"/>
        <w:jc w:val="both"/>
      </w:pPr>
      <w:r>
        <w:rPr>
          <w:rFonts w:ascii="Arial" w:cs="Arial" w:eastAsia="Arial" w:hAnsi="Arial"/>
          <w:b/>
          <w:bCs/>
          <w:sz w:val="22"/>
          <w:szCs w:val="22"/>
        </w:rPr>
        <w:t xml:space="preserve">PREPARED FOR THE RESPONDENTS</w:t>
      </w:r>
    </w:p>
    <w:p>
      <w:pPr>
        <w:spacing w:after="160"/>
        <w:jc w:val="both"/>
      </w:pPr>
      <w:r>
        <w:rPr>
          <w:rFonts w:ascii="Arial" w:cs="Arial" w:eastAsia="Arial" w:hAnsi="Arial"/>
          <w:sz w:val="22"/>
          <w:szCs w:val="22"/>
        </w:rPr>
        <w:t xml:space="preserve">Case No: 2025-137857</w:t>
      </w:r>
    </w:p>
    <w:p>
      <w:pPr>
        <w:spacing w:after="160"/>
        <w:jc w:val="both"/>
      </w:pPr>
      <w:r>
        <w:rPr>
          <w:rFonts w:ascii="Arial" w:cs="Arial" w:eastAsia="Arial" w:hAnsi="Arial"/>
          <w:sz w:val="22"/>
          <w:szCs w:val="22"/>
        </w:rPr>
        <w:t xml:space="preserve">11 February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Case No: 2025-137857 | </w:t>
    </w:r>
    <w:r>
      <w:rPr>
        <w:rFonts w:ascii="Arial" w:cs="Arial" w:eastAsia="Arial" w:hAnsi="Arial"/>
        <w:b/>
        <w:bCs/>
        <w:color w:val="888888"/>
        <w:sz w:val="16"/>
        <w:szCs w:val="16"/>
      </w:rPr>
      <w:t xml:space="preserve">CHAIN OF CUSTODY LIABILITY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1F3864"/>
      <w:sz w:val="24"/>
      <w:szCs w:val="24"/>
    </w:rPr>
  </w:style>
  <w:style w:type="paragraph" w:styleId="Heading3">
    <w:name w:val="Heading 3"/>
    <w:basedOn w:val="Normal"/>
    <w:next w:val="Normal"/>
    <w:qFormat/>
    <w:pPr>
      <w:spacing w:before="240" w:after="12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2026-02-11T08:31:57.365Z</dcterms:created>
  <dcterms:modified xsi:type="dcterms:W3CDTF">2026-02-11T08:31:57.366Z</dcterms:modified>
</cp:coreProperties>
</file>

<file path=docProps/custom.xml><?xml version="1.0" encoding="utf-8"?>
<Properties xmlns="http://schemas.openxmlformats.org/officeDocument/2006/custom-properties" xmlns:vt="http://schemas.openxmlformats.org/officeDocument/2006/docPropsVTypes"/>
</file>