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2A4A"/>
          <w:sz w:val="36"/>
          <w:szCs w:val="36"/>
        </w:rPr>
        <w:t xml:space="preserve">DEFINITIVE SCOPE ANALYSIS</w:t>
      </w:r>
    </w:p>
    <w:p>
      <w:pPr>
        <w:spacing w:after="60"/>
        <w:jc w:val="center"/>
      </w:pPr>
      <w:r>
        <w:rPr>
          <w:rFonts w:ascii="Arial" w:cs="Arial" w:eastAsia="Arial" w:hAnsi="Arial"/>
          <w:b/>
          <w:bCs/>
          <w:color w:val="2C4A7C"/>
          <w:sz w:val="28"/>
          <w:szCs w:val="28"/>
        </w:rPr>
        <w:t xml:space="preserve">PART A COURT ORDER OF 19 AUGUST 2025</w:t>
      </w:r>
    </w:p>
    <w:p>
      <w:pPr>
        <w:spacing w:after="60"/>
        <w:jc w:val="center"/>
      </w:pPr>
      <w:r>
        <w:rPr>
          <w:rFonts w:ascii="Arial" w:cs="Arial" w:eastAsia="Arial" w:hAnsi="Arial"/>
          <w:color w:val="666666"/>
          <w:sz w:val="22"/>
          <w:szCs w:val="22"/>
        </w:rPr>
        <w:t xml:space="preserve">Case No: 2025-137857 | Gauteng Division, Pretoria</w:t>
      </w:r>
    </w:p>
    <w:p>
      <w:pPr>
        <w:spacing w:after="60"/>
        <w:jc w:val="center"/>
      </w:pPr>
      <w:r>
        <w:rPr>
          <w:rFonts w:ascii="Arial" w:cs="Arial" w:eastAsia="Arial" w:hAnsi="Arial"/>
          <w:color w:val="666666"/>
          <w:sz w:val="22"/>
          <w:szCs w:val="22"/>
        </w:rPr>
        <w:t xml:space="preserve">Before the Honourable Justice Kumalo J</w:t>
      </w:r>
    </w:p>
    <w:p>
      <w:pPr>
        <w:spacing w:after="200"/>
        <w:jc w:val="center"/>
      </w:pPr>
      <w:r>
        <w:rPr>
          <w:rFonts w:ascii="Arial" w:cs="Arial" w:eastAsia="Arial" w:hAnsi="Arial"/>
          <w:i/>
          <w:iCs/>
          <w:color w:val="888888"/>
          <w:sz w:val="20"/>
          <w:szCs w:val="20"/>
        </w:rPr>
        <w:t xml:space="preserve">Source: Annexure PF12 to Contempt Application (4 February 2026)</w:t>
      </w:r>
    </w:p>
    <w:p>
      <w:pPr>
        <w:pStyle w:val="Heading1"/>
        <w:spacing w:before="300" w:after="150"/>
      </w:pPr>
      <w:r>
        <w:rPr>
          <w:rFonts w:ascii="Arial" w:cs="Arial" w:eastAsia="Arial" w:hAnsi="Arial"/>
        </w:rPr>
        <w:t xml:space="preserve">1. VERBATIM COURT ORDER — OPERATIVE PARAGRAPHS</w:t>
      </w:r>
    </w:p>
    <w:p>
      <w:pPr>
        <w:spacing w:after="120" w:before="0" w:line="276"/>
        <w:jc w:val="both"/>
      </w:pPr>
      <w:r>
        <w:rPr>
          <w:rFonts w:ascii="Arial" w:cs="Arial" w:eastAsia="Arial" w:hAnsi="Arial"/>
          <w:b/>
          <w:bCs/>
          <w:sz w:val="21"/>
          <w:szCs w:val="21"/>
        </w:rPr>
        <w:t xml:space="preserve">Preamble: </w:t>
      </w:r>
      <w:r>
        <w:rPr>
          <w:rFonts w:ascii="Arial" w:cs="Arial" w:eastAsia="Arial" w:hAnsi="Arial"/>
          <w:i/>
          <w:iCs/>
          <w:sz w:val="21"/>
          <w:szCs w:val="21"/>
        </w:rPr>
        <w:t xml:space="preserve">"Having dispensed with the forms and service provided for in the Rules of this above Honourable Court and having disposed of the relief prayed by way of urgency in terms of Rule 6(12)(a);"</w:t>
      </w:r>
    </w:p>
    <w:p>
      <w:pPr>
        <w:spacing w:after="120" w:before="0" w:line="276"/>
        <w:jc w:val="both"/>
      </w:pPr>
      <w:r>
        <w:rPr>
          <w:rFonts w:ascii="Arial" w:cs="Arial" w:eastAsia="Arial" w:hAnsi="Arial"/>
          <w:b/>
          <w:bCs/>
          <w:sz w:val="21"/>
          <w:szCs w:val="21"/>
        </w:rPr>
        <w:t xml:space="preserve">Paragraph 2: </w:t>
      </w:r>
      <w:r>
        <w:rPr>
          <w:rFonts w:ascii="Arial" w:cs="Arial" w:eastAsia="Arial" w:hAnsi="Arial"/>
          <w:i/>
          <w:iCs/>
          <w:sz w:val="21"/>
          <w:szCs w:val="21"/>
        </w:rPr>
        <w:t xml:space="preserve">"Pending the final adjudication of the relief sought under PART B of the Notice of Motion, the First and Second Respondents:"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8306"/>
      </w:tblGrid>
      <w:tr>
        <w:tc>
          <w:tcPr>
            <w:tcW w:type="dxa" w:w="1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w:t>
            </w:r>
          </w:p>
        </w:tc>
        <w:tc>
          <w:tcPr>
            <w:tcW w:type="dxa" w:w="8306"/>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Verbatim Order Text</w:t>
            </w:r>
          </w:p>
        </w:tc>
      </w:tr>
      <w:tr>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sz w:val="19"/>
                <w:szCs w:val="19"/>
              </w:rPr>
              <w:t xml:space="preserve">2.1</w:t>
            </w:r>
          </w:p>
        </w:tc>
        <w:tc>
          <w:tcPr>
            <w:tcW w:type="dxa" w:w="830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sz w:val="19"/>
                <w:szCs w:val="19"/>
              </w:rPr>
              <w:t xml:space="preserve">Are interdicted and directed to surrender forthwith to the Applicant their banking credit, and/or cheque, and/or debit cards, coupled to the banking accounts of the Third to Sixth Respondents, held with the Seventh and/or Eighth Respondents;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sz w:val="19"/>
                <w:szCs w:val="19"/>
              </w:rPr>
              <w:t xml:space="preserve">2.2</w:t>
            </w:r>
          </w:p>
        </w:tc>
        <w:tc>
          <w:tcPr>
            <w:tcW w:type="dxa" w:w="8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sz w:val="19"/>
                <w:szCs w:val="19"/>
              </w:rPr>
              <w:t xml:space="preserve">Are interdicted and restrained forthwith from opening any new banking accounts for the Third to Sixth Respondents with any financial institution/s, and from transacting thereon;</w:t>
            </w:r>
          </w:p>
        </w:tc>
      </w:tr>
      <w:tr>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sz w:val="19"/>
                <w:szCs w:val="19"/>
              </w:rPr>
              <w:t xml:space="preserve">2.3</w:t>
            </w:r>
          </w:p>
        </w:tc>
        <w:tc>
          <w:tcPr>
            <w:tcW w:type="dxa" w:w="830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sz w:val="19"/>
                <w:szCs w:val="19"/>
              </w:rPr>
              <w:t xml:space="preserve">Are interdicted and restrained forthwith from applying to the Seventh and/or Eighth Respondents for new cards, or payment facilities on the banking accounts of the Third to Sixth Respondents;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sz w:val="19"/>
                <w:szCs w:val="19"/>
              </w:rPr>
              <w:t xml:space="preserve">2.4</w:t>
            </w:r>
          </w:p>
        </w:tc>
        <w:tc>
          <w:tcPr>
            <w:tcW w:type="dxa" w:w="8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sz w:val="19"/>
                <w:szCs w:val="19"/>
              </w:rPr>
              <w:t xml:space="preserve">Are interdicted and restrained forthwith from transacting on the banking accounts of the Third to Sixth Respondents, held with the Seventh and/or Eighth Respondents;</w:t>
            </w:r>
          </w:p>
        </w:tc>
      </w:tr>
      <w:tr>
        <w:tc>
          <w:tcPr>
            <w:tcW w:type="dxa" w:w="1200"/>
            <w:tcBorders>
              <w:top w:val="single" w:color="999999" w:sz="1"/>
              <w:left w:val="single" w:color="999999" w:sz="1"/>
              <w:bottom w:val="single" w:color="999999" w:sz="1"/>
              <w:right w:val="single" w:color="999999" w:sz="1"/>
            </w:tcBorders>
            <w:shd w:fill="FFF0F0" w:val="clear"/>
            <w:tcMar>
              <w:top w:type="dxa" w:w="80"/>
              <w:left w:type="dxa" w:w="120"/>
              <w:bottom w:type="dxa" w:w="80"/>
              <w:right w:type="dxa" w:w="120"/>
            </w:tcMar>
          </w:tcPr>
          <w:p>
            <w:pPr>
              <w:spacing w:after="60"/>
            </w:pPr>
            <w:r>
              <w:rPr>
                <w:rFonts w:ascii="Arial" w:cs="Arial" w:eastAsia="Arial" w:hAnsi="Arial"/>
                <w:b/>
                <w:bCs/>
                <w:color w:val="CC0000"/>
                <w:sz w:val="21"/>
                <w:szCs w:val="21"/>
              </w:rPr>
              <w:t xml:space="preserve">2.5</w:t>
            </w:r>
          </w:p>
        </w:tc>
        <w:tc>
          <w:tcPr>
            <w:tcW w:type="dxa" w:w="8306"/>
            <w:tcBorders>
              <w:top w:val="single" w:color="999999" w:sz="1"/>
              <w:left w:val="single" w:color="999999" w:sz="1"/>
              <w:bottom w:val="single" w:color="999999" w:sz="1"/>
              <w:right w:val="single" w:color="999999" w:sz="1"/>
            </w:tcBorders>
            <w:shd w:fill="FFF0F0" w:val="clear"/>
            <w:tcMar>
              <w:top w:type="dxa" w:w="80"/>
              <w:left w:type="dxa" w:w="120"/>
              <w:bottom w:type="dxa" w:w="80"/>
              <w:right w:type="dxa" w:w="120"/>
            </w:tcMar>
          </w:tcPr>
          <w:p>
            <w:pPr>
              <w:spacing w:after="60"/>
            </w:pPr>
            <w:r>
              <w:rPr>
                <w:rFonts w:ascii="Arial" w:cs="Arial" w:eastAsia="Arial" w:hAnsi="Arial"/>
                <w:b/>
                <w:bCs/>
                <w:color w:val="CC0000"/>
                <w:sz w:val="21"/>
                <w:szCs w:val="21"/>
              </w:rPr>
              <w:t xml:space="preserve">The First and Second respondents are interdicted and restrained from dealing with the business (and the administration thereof) of the Third to Sixth Respondents, and/or their employees, and/or their partners, and/or their clientèle, in any manner in which any may sustain any prejudice;</w:t>
            </w:r>
          </w:p>
        </w:tc>
      </w:tr>
      <w:tr>
        <w:tc>
          <w:tcPr>
            <w:tcW w:type="dxa" w:w="1200"/>
            <w:tcBorders>
              <w:top w:val="single" w:color="999999" w:sz="1"/>
              <w:left w:val="single" w:color="999999" w:sz="1"/>
              <w:bottom w:val="single" w:color="999999" w:sz="1"/>
              <w:right w:val="single" w:color="999999" w:sz="1"/>
            </w:tcBorders>
            <w:shd w:fill="FFF0F0" w:val="clear"/>
            <w:tcMar>
              <w:top w:type="dxa" w:w="80"/>
              <w:left w:type="dxa" w:w="120"/>
              <w:bottom w:type="dxa" w:w="80"/>
              <w:right w:type="dxa" w:w="120"/>
            </w:tcMar>
          </w:tcPr>
          <w:p>
            <w:pPr>
              <w:spacing w:after="60"/>
            </w:pPr>
            <w:r>
              <w:rPr>
                <w:rFonts w:ascii="Arial" w:cs="Arial" w:eastAsia="Arial" w:hAnsi="Arial"/>
                <w:b/>
                <w:bCs/>
                <w:color w:val="CC0000"/>
                <w:sz w:val="21"/>
                <w:szCs w:val="21"/>
              </w:rPr>
              <w:t xml:space="preserve">2.6</w:t>
            </w:r>
          </w:p>
        </w:tc>
        <w:tc>
          <w:tcPr>
            <w:tcW w:type="dxa" w:w="8306"/>
            <w:tcBorders>
              <w:top w:val="single" w:color="999999" w:sz="1"/>
              <w:left w:val="single" w:color="999999" w:sz="1"/>
              <w:bottom w:val="single" w:color="999999" w:sz="1"/>
              <w:right w:val="single" w:color="999999" w:sz="1"/>
            </w:tcBorders>
            <w:shd w:fill="FFF0F0" w:val="clear"/>
            <w:tcMar>
              <w:top w:type="dxa" w:w="80"/>
              <w:left w:type="dxa" w:w="120"/>
              <w:bottom w:type="dxa" w:w="80"/>
              <w:right w:type="dxa" w:w="120"/>
            </w:tcMar>
          </w:tcPr>
          <w:p>
            <w:pPr>
              <w:spacing w:after="60"/>
            </w:pPr>
            <w:r>
              <w:rPr>
                <w:rFonts w:ascii="Arial" w:cs="Arial" w:eastAsia="Arial" w:hAnsi="Arial"/>
                <w:b/>
                <w:bCs/>
                <w:color w:val="CC0000"/>
                <w:sz w:val="21"/>
                <w:szCs w:val="21"/>
              </w:rPr>
              <w:t xml:space="preserve">The Applicant is authorised to take control of the financial affairs of the Third to Sixth Respondents, and to that end is entitled to immediately begin transacting on those accounts, for those corporations, to the exclusion of the First, and Second Respondents;</w:t>
            </w:r>
          </w:p>
        </w:tc>
      </w:tr>
      <w:tr>
        <w:tc>
          <w:tcPr>
            <w:tcW w:type="dxa" w:w="1200"/>
            <w:tcBorders>
              <w:top w:val="single" w:color="999999" w:sz="1"/>
              <w:left w:val="single" w:color="999999" w:sz="1"/>
              <w:bottom w:val="single" w:color="999999" w:sz="1"/>
              <w:right w:val="single" w:color="999999" w:sz="1"/>
            </w:tcBorders>
            <w:shd w:fill="F0F5FF" w:val="clear"/>
            <w:tcMar>
              <w:top w:type="dxa" w:w="80"/>
              <w:left w:type="dxa" w:w="120"/>
              <w:bottom w:type="dxa" w:w="80"/>
              <w:right w:type="dxa" w:w="120"/>
            </w:tcMar>
          </w:tcPr>
          <w:p>
            <w:pPr>
              <w:spacing w:after="60"/>
            </w:pPr>
            <w:r>
              <w:rPr>
                <w:rFonts w:ascii="Arial" w:cs="Arial" w:eastAsia="Arial" w:hAnsi="Arial"/>
                <w:sz w:val="19"/>
                <w:szCs w:val="19"/>
              </w:rPr>
              <w:t xml:space="preserve">2.7</w:t>
            </w:r>
          </w:p>
        </w:tc>
        <w:tc>
          <w:tcPr>
            <w:tcW w:type="dxa" w:w="8306"/>
            <w:tcBorders>
              <w:top w:val="single" w:color="999999" w:sz="1"/>
              <w:left w:val="single" w:color="999999" w:sz="1"/>
              <w:bottom w:val="single" w:color="999999" w:sz="1"/>
              <w:right w:val="single" w:color="999999" w:sz="1"/>
            </w:tcBorders>
            <w:shd w:fill="F0F5FF" w:val="clear"/>
            <w:tcMar>
              <w:top w:type="dxa" w:w="80"/>
              <w:left w:type="dxa" w:w="120"/>
              <w:bottom w:type="dxa" w:w="80"/>
              <w:right w:type="dxa" w:w="120"/>
            </w:tcMar>
          </w:tcPr>
          <w:p>
            <w:pPr>
              <w:spacing w:after="60"/>
            </w:pPr>
            <w:r>
              <w:rPr>
                <w:rFonts w:ascii="Arial" w:cs="Arial" w:eastAsia="Arial" w:hAnsi="Arial"/>
                <w:sz w:val="19"/>
                <w:szCs w:val="19"/>
              </w:rPr>
              <w:t xml:space="preserve">The Applicant is authorised to appoint necessary experts, including the accountant cited in the founding affidavit, at the cost of the Third to Sixth Respondents, so that a proper forensic investigation may be conducted into their affairs, and into the affairs of the First and Second Respondents relating to payments made by the Third to Sixth Respondents, and to that end to have unfettered insight into the First and Second Respondent’s financial affairs, and into the financial affairs of the Third to Sixth Respondents;</w:t>
            </w:r>
          </w:p>
        </w:tc>
      </w:tr>
      <w:tr>
        <w:tc>
          <w:tcPr>
            <w:tcW w:type="dxa" w:w="1200"/>
            <w:tcBorders>
              <w:top w:val="single" w:color="999999" w:sz="1"/>
              <w:left w:val="single" w:color="999999" w:sz="1"/>
              <w:bottom w:val="single" w:color="999999" w:sz="1"/>
              <w:right w:val="single" w:color="999999" w:sz="1"/>
            </w:tcBorders>
            <w:shd w:fill="F0FFF0" w:val="clear"/>
            <w:tcMar>
              <w:top w:type="dxa" w:w="80"/>
              <w:left w:type="dxa" w:w="120"/>
              <w:bottom w:type="dxa" w:w="80"/>
              <w:right w:type="dxa" w:w="120"/>
            </w:tcMar>
          </w:tcPr>
          <w:p>
            <w:pPr>
              <w:spacing w:after="60"/>
            </w:pPr>
            <w:r>
              <w:rPr>
                <w:rFonts w:ascii="Arial" w:cs="Arial" w:eastAsia="Arial" w:hAnsi="Arial"/>
                <w:sz w:val="19"/>
                <w:szCs w:val="19"/>
              </w:rPr>
              <w:t xml:space="preserve">2.8</w:t>
            </w:r>
          </w:p>
        </w:tc>
        <w:tc>
          <w:tcPr>
            <w:tcW w:type="dxa" w:w="8306"/>
            <w:tcBorders>
              <w:top w:val="single" w:color="999999" w:sz="1"/>
              <w:left w:val="single" w:color="999999" w:sz="1"/>
              <w:bottom w:val="single" w:color="999999" w:sz="1"/>
              <w:right w:val="single" w:color="999999" w:sz="1"/>
            </w:tcBorders>
            <w:shd w:fill="F0FFF0" w:val="clear"/>
            <w:tcMar>
              <w:top w:type="dxa" w:w="80"/>
              <w:left w:type="dxa" w:w="120"/>
              <w:bottom w:type="dxa" w:w="80"/>
              <w:right w:type="dxa" w:w="120"/>
            </w:tcMar>
          </w:tcPr>
          <w:p>
            <w:pPr>
              <w:spacing w:after="60"/>
            </w:pPr>
            <w:r>
              <w:rPr>
                <w:rFonts w:ascii="Arial" w:cs="Arial" w:eastAsia="Arial" w:hAnsi="Arial"/>
                <w:sz w:val="19"/>
                <w:szCs w:val="19"/>
              </w:rPr>
              <w:t xml:space="preserve">The First and Second Respondents are interdicted and directed to participate in the forensic investigation of the Third to Sixth Respondents, and to that end:</w:t>
            </w:r>
          </w:p>
        </w:tc>
      </w:tr>
      <w:tr>
        <w:tc>
          <w:tcPr>
            <w:tcW w:type="dxa" w:w="1200"/>
            <w:tcBorders>
              <w:top w:val="single" w:color="999999" w:sz="1"/>
              <w:left w:val="single" w:color="999999" w:sz="1"/>
              <w:bottom w:val="single" w:color="999999" w:sz="1"/>
              <w:right w:val="single" w:color="999999" w:sz="1"/>
            </w:tcBorders>
            <w:shd w:fill="F0FFF0" w:val="clear"/>
            <w:tcMar>
              <w:top w:type="dxa" w:w="80"/>
              <w:left w:type="dxa" w:w="120"/>
              <w:bottom w:type="dxa" w:w="80"/>
              <w:right w:type="dxa" w:w="120"/>
            </w:tcMar>
          </w:tcPr>
          <w:p>
            <w:pPr>
              <w:spacing w:after="60"/>
            </w:pPr>
            <w:r>
              <w:rPr>
                <w:rFonts w:ascii="Arial" w:cs="Arial" w:eastAsia="Arial" w:hAnsi="Arial"/>
                <w:sz w:val="19"/>
                <w:szCs w:val="19"/>
              </w:rPr>
              <w:t xml:space="preserve">2.8.1</w:t>
            </w:r>
          </w:p>
        </w:tc>
        <w:tc>
          <w:tcPr>
            <w:tcW w:type="dxa" w:w="8306"/>
            <w:tcBorders>
              <w:top w:val="single" w:color="999999" w:sz="1"/>
              <w:left w:val="single" w:color="999999" w:sz="1"/>
              <w:bottom w:val="single" w:color="999999" w:sz="1"/>
              <w:right w:val="single" w:color="999999" w:sz="1"/>
            </w:tcBorders>
            <w:shd w:fill="F0FFF0" w:val="clear"/>
            <w:tcMar>
              <w:top w:type="dxa" w:w="80"/>
              <w:left w:type="dxa" w:w="120"/>
              <w:bottom w:type="dxa" w:w="80"/>
              <w:right w:type="dxa" w:w="120"/>
            </w:tcMar>
          </w:tcPr>
          <w:p>
            <w:pPr>
              <w:spacing w:after="60"/>
            </w:pPr>
            <w:r>
              <w:rPr>
                <w:rFonts w:ascii="Arial" w:cs="Arial" w:eastAsia="Arial" w:hAnsi="Arial"/>
                <w:sz w:val="19"/>
                <w:szCs w:val="19"/>
              </w:rPr>
              <w:t xml:space="preserve">Are interdicted and restrained from concealing or destroying any documentary (and electronic) records pertaining to the financial administration of the Third to Sixth Respondents;</w:t>
            </w:r>
          </w:p>
        </w:tc>
      </w:tr>
      <w:tr>
        <w:tc>
          <w:tcPr>
            <w:tcW w:type="dxa" w:w="1200"/>
            <w:tcBorders>
              <w:top w:val="single" w:color="999999" w:sz="1"/>
              <w:left w:val="single" w:color="999999" w:sz="1"/>
              <w:bottom w:val="single" w:color="999999" w:sz="1"/>
              <w:right w:val="single" w:color="999999" w:sz="1"/>
            </w:tcBorders>
            <w:shd w:fill="F0FFF0" w:val="clear"/>
            <w:tcMar>
              <w:top w:type="dxa" w:w="80"/>
              <w:left w:type="dxa" w:w="120"/>
              <w:bottom w:type="dxa" w:w="80"/>
              <w:right w:type="dxa" w:w="120"/>
            </w:tcMar>
          </w:tcPr>
          <w:p>
            <w:pPr>
              <w:spacing w:after="60"/>
            </w:pPr>
            <w:r>
              <w:rPr>
                <w:rFonts w:ascii="Arial" w:cs="Arial" w:eastAsia="Arial" w:hAnsi="Arial"/>
                <w:sz w:val="19"/>
                <w:szCs w:val="19"/>
              </w:rPr>
              <w:t xml:space="preserve">2.8.2</w:t>
            </w:r>
          </w:p>
        </w:tc>
        <w:tc>
          <w:tcPr>
            <w:tcW w:type="dxa" w:w="8306"/>
            <w:tcBorders>
              <w:top w:val="single" w:color="999999" w:sz="1"/>
              <w:left w:val="single" w:color="999999" w:sz="1"/>
              <w:bottom w:val="single" w:color="999999" w:sz="1"/>
              <w:right w:val="single" w:color="999999" w:sz="1"/>
            </w:tcBorders>
            <w:shd w:fill="F0FFF0" w:val="clear"/>
            <w:tcMar>
              <w:top w:type="dxa" w:w="80"/>
              <w:left w:type="dxa" w:w="120"/>
              <w:bottom w:type="dxa" w:w="80"/>
              <w:right w:type="dxa" w:w="120"/>
            </w:tcMar>
          </w:tcPr>
          <w:p>
            <w:pPr>
              <w:spacing w:after="60"/>
            </w:pPr>
            <w:r>
              <w:rPr>
                <w:rFonts w:ascii="Arial" w:cs="Arial" w:eastAsia="Arial" w:hAnsi="Arial"/>
                <w:sz w:val="19"/>
                <w:szCs w:val="19"/>
              </w:rPr>
              <w:t xml:space="preserve">Are interdicted and directed to surrender forthwith to the Applicant all documentation (electronic, and otherwise) within their possession relating to the administration (financial and otherwise) of the Third to Sixth Respondents, and all login details and passwords to any banking and other online facilities relating thereto; and to</w:t>
            </w:r>
          </w:p>
        </w:tc>
      </w:tr>
      <w:tr>
        <w:tc>
          <w:tcPr>
            <w:tcW w:type="dxa" w:w="1200"/>
            <w:tcBorders>
              <w:top w:val="single" w:color="999999" w:sz="1"/>
              <w:left w:val="single" w:color="999999" w:sz="1"/>
              <w:bottom w:val="single" w:color="999999" w:sz="1"/>
              <w:right w:val="single" w:color="999999" w:sz="1"/>
            </w:tcBorders>
            <w:shd w:fill="F0FFF0" w:val="clear"/>
            <w:tcMar>
              <w:top w:type="dxa" w:w="80"/>
              <w:left w:type="dxa" w:w="120"/>
              <w:bottom w:type="dxa" w:w="80"/>
              <w:right w:type="dxa" w:w="120"/>
            </w:tcMar>
          </w:tcPr>
          <w:p>
            <w:pPr>
              <w:spacing w:after="60"/>
            </w:pPr>
            <w:r>
              <w:rPr>
                <w:rFonts w:ascii="Arial" w:cs="Arial" w:eastAsia="Arial" w:hAnsi="Arial"/>
                <w:sz w:val="19"/>
                <w:szCs w:val="19"/>
              </w:rPr>
              <w:t xml:space="preserve">2.8.3</w:t>
            </w:r>
          </w:p>
        </w:tc>
        <w:tc>
          <w:tcPr>
            <w:tcW w:type="dxa" w:w="8306"/>
            <w:tcBorders>
              <w:top w:val="single" w:color="999999" w:sz="1"/>
              <w:left w:val="single" w:color="999999" w:sz="1"/>
              <w:bottom w:val="single" w:color="999999" w:sz="1"/>
              <w:right w:val="single" w:color="999999" w:sz="1"/>
            </w:tcBorders>
            <w:shd w:fill="F0FFF0" w:val="clear"/>
            <w:tcMar>
              <w:top w:type="dxa" w:w="80"/>
              <w:left w:type="dxa" w:w="120"/>
              <w:bottom w:type="dxa" w:w="80"/>
              <w:right w:type="dxa" w:w="120"/>
            </w:tcMar>
          </w:tcPr>
          <w:p>
            <w:pPr>
              <w:spacing w:after="60"/>
            </w:pPr>
            <w:r>
              <w:rPr>
                <w:rFonts w:ascii="Arial" w:cs="Arial" w:eastAsia="Arial" w:hAnsi="Arial"/>
                <w:sz w:val="21"/>
                <w:szCs w:val="21"/>
              </w:rPr>
              <w:t xml:space="preserve">Are interdicted and directed to answer all questions put to them in regard to the forensic investigation, by the Applicant, and the experts appointed by him, honestly and forthrightly;</w:t>
            </w:r>
          </w:p>
          <w:p>
            <w:pPr>
              <w:spacing w:after="60"/>
            </w:pPr>
            <w:r>
              <w:rPr>
                <w:rFonts w:ascii="Arial" w:cs="Arial" w:eastAsia="Arial" w:hAnsi="Arial"/>
                <w:b/>
                <w:bCs/>
                <w:sz w:val="21"/>
                <w:szCs w:val="21"/>
              </w:rPr>
              <w:t xml:space="preserve">(As varied by Settlement Agreement para 2.7: </w:t>
            </w:r>
            <w:r>
              <w:rPr>
                <w:rFonts w:ascii="Arial" w:cs="Arial" w:eastAsia="Arial" w:hAnsi="Arial"/>
                <w:i/>
                <w:iCs/>
                <w:sz w:val="21"/>
                <w:szCs w:val="21"/>
              </w:rPr>
              <w:t xml:space="preserve">"are interdicted and directed to answer all questions put to them in regard to the forensic investigation and the experts appointed by the forensic investigators, honestly and forthrightly"</w:t>
            </w:r>
            <w:r>
              <w:rPr>
                <w:rFonts w:ascii="Arial" w:cs="Arial" w:eastAsia="Arial" w:hAnsi="Arial"/>
                <w:b/>
                <w:bCs/>
                <w:sz w:val="21"/>
                <w:szCs w:val="21"/>
              </w:rPr>
              <w:t xml:space="preserve">)</w:t>
            </w:r>
          </w:p>
        </w:tc>
      </w:tr>
    </w:tbl>
    <w:p>
      <w:pPr>
        <w:spacing w:after="100" w:before="0" w:line="276"/>
        <w:jc w:val="both"/>
      </w:pPr>
      <w:r>
        <w:rPr>
          <w:rFonts w:ascii="Arial" w:cs="Arial" w:eastAsia="Arial" w:hAnsi="Arial"/>
          <w:sz w:val="21"/>
          <w:szCs w:val="21"/>
        </w:rPr>
        <w:t xml:space="preserve"/>
      </w:r>
    </w:p>
    <w:p>
      <w:pPr>
        <w:pStyle w:val="Heading1"/>
        <w:spacing w:before="300" w:after="150"/>
      </w:pPr>
      <w:r>
        <w:rPr>
          <w:rFonts w:ascii="Arial" w:cs="Arial" w:eastAsia="Arial" w:hAnsi="Arial"/>
        </w:rPr>
        <w:t xml:space="preserve">2. SCOPE ANALYSIS: WHAT IS ACTUALLY PROHIBITED</w:t>
      </w:r>
    </w:p>
    <w:p>
      <w:pPr>
        <w:pStyle w:val="Heading2"/>
        <w:spacing w:before="300" w:after="150"/>
      </w:pPr>
      <w:r>
        <w:rPr>
          <w:rFonts w:ascii="Arial" w:cs="Arial" w:eastAsia="Arial" w:hAnsi="Arial"/>
        </w:rPr>
        <w:t xml:space="preserve">2.1 The Two Distinct Operative Mechanisms</w:t>
      </w:r>
    </w:p>
    <w:p>
      <w:pPr>
        <w:spacing w:after="120" w:before="0" w:line="276"/>
        <w:jc w:val="both"/>
      </w:pPr>
      <w:r>
        <w:rPr>
          <w:rFonts w:ascii="Arial" w:cs="Arial" w:eastAsia="Arial" w:hAnsi="Arial"/>
          <w:sz w:val="21"/>
          <w:szCs w:val="21"/>
        </w:rPr>
        <w:t xml:space="preserve">The order operates through </w:t>
      </w:r>
      <w:r>
        <w:rPr>
          <w:rFonts w:ascii="Arial" w:cs="Arial" w:eastAsia="Arial" w:hAnsi="Arial"/>
          <w:b/>
          <w:bCs/>
          <w:sz w:val="21"/>
          <w:szCs w:val="21"/>
        </w:rPr>
        <w:t xml:space="preserve">two distinct legal mechanisms</w:t>
      </w:r>
      <w:r>
        <w:rPr>
          <w:rFonts w:ascii="Arial" w:cs="Arial" w:eastAsia="Arial" w:hAnsi="Arial"/>
          <w:sz w:val="21"/>
          <w:szCs w:val="21"/>
        </w:rPr>
        <w:t xml:space="preserve"> that must not be conflated:</w:t>
      </w:r>
    </w:p>
    <w:p>
      <w:pPr>
        <w:spacing w:after="120" w:before="0" w:line="276"/>
        <w:jc w:val="both"/>
      </w:pPr>
      <w:r>
        <w:rPr>
          <w:rFonts w:ascii="Arial" w:cs="Arial" w:eastAsia="Arial" w:hAnsi="Arial"/>
          <w:b/>
          <w:bCs/>
          <w:sz w:val="21"/>
          <w:szCs w:val="21"/>
        </w:rPr>
        <w:t xml:space="preserve">Mechanism A — INTERDICT (prohibitory): </w:t>
      </w:r>
      <w:r>
        <w:rPr>
          <w:rFonts w:ascii="Arial" w:cs="Arial" w:eastAsia="Arial" w:hAnsi="Arial"/>
          <w:sz w:val="21"/>
          <w:szCs w:val="21"/>
        </w:rPr>
        <w:t xml:space="preserve">Paragraphs 2.1–2.5 use the language "interdicted and restrained FROM" — these </w:t>
      </w:r>
      <w:r>
        <w:rPr>
          <w:rFonts w:ascii="Arial" w:cs="Arial" w:eastAsia="Arial" w:hAnsi="Arial"/>
          <w:b/>
          <w:bCs/>
          <w:sz w:val="21"/>
          <w:szCs w:val="21"/>
        </w:rPr>
        <w:t xml:space="preserve">prohibit</w:t>
      </w:r>
      <w:r>
        <w:rPr>
          <w:rFonts w:ascii="Arial" w:cs="Arial" w:eastAsia="Arial" w:hAnsi="Arial"/>
          <w:sz w:val="21"/>
          <w:szCs w:val="21"/>
        </w:rPr>
        <w:t xml:space="preserve"> specific conduct. The respondents must </w:t>
      </w:r>
      <w:r>
        <w:rPr>
          <w:rFonts w:ascii="Arial" w:cs="Arial" w:eastAsia="Arial" w:hAnsi="Arial"/>
          <w:i/>
          <w:iCs/>
          <w:sz w:val="21"/>
          <w:szCs w:val="21"/>
        </w:rPr>
        <w:t xml:space="preserve">refrain from doing</w:t>
      </w:r>
      <w:r>
        <w:rPr>
          <w:rFonts w:ascii="Arial" w:cs="Arial" w:eastAsia="Arial" w:hAnsi="Arial"/>
          <w:sz w:val="21"/>
          <w:szCs w:val="21"/>
        </w:rPr>
        <w:t xml:space="preserve"> the enumerated acts.</w:t>
      </w:r>
    </w:p>
    <w:p>
      <w:pPr>
        <w:spacing w:after="120" w:before="0" w:line="276"/>
        <w:jc w:val="both"/>
      </w:pPr>
      <w:r>
        <w:rPr>
          <w:rFonts w:ascii="Arial" w:cs="Arial" w:eastAsia="Arial" w:hAnsi="Arial"/>
          <w:b/>
          <w:bCs/>
          <w:sz w:val="21"/>
          <w:szCs w:val="21"/>
        </w:rPr>
        <w:t xml:space="preserve">Mechanism B — MANDATORY ORDER (compulsory): </w:t>
      </w:r>
      <w:r>
        <w:rPr>
          <w:rFonts w:ascii="Arial" w:cs="Arial" w:eastAsia="Arial" w:hAnsi="Arial"/>
          <w:sz w:val="21"/>
          <w:szCs w:val="21"/>
        </w:rPr>
        <w:t xml:space="preserve">Paragraphs 2.8–2.8.3 use the language "interdicted and directed TO" — these </w:t>
      </w:r>
      <w:r>
        <w:rPr>
          <w:rFonts w:ascii="Arial" w:cs="Arial" w:eastAsia="Arial" w:hAnsi="Arial"/>
          <w:b/>
          <w:bCs/>
          <w:sz w:val="21"/>
          <w:szCs w:val="21"/>
        </w:rPr>
        <w:t xml:space="preserve">compel</w:t>
      </w:r>
      <w:r>
        <w:rPr>
          <w:rFonts w:ascii="Arial" w:cs="Arial" w:eastAsia="Arial" w:hAnsi="Arial"/>
          <w:sz w:val="21"/>
          <w:szCs w:val="21"/>
        </w:rPr>
        <w:t xml:space="preserve"> specific conduct. The respondents must </w:t>
      </w:r>
      <w:r>
        <w:rPr>
          <w:rFonts w:ascii="Arial" w:cs="Arial" w:eastAsia="Arial" w:hAnsi="Arial"/>
          <w:i/>
          <w:iCs/>
          <w:sz w:val="21"/>
          <w:szCs w:val="21"/>
        </w:rPr>
        <w:t xml:space="preserve">actively do</w:t>
      </w:r>
      <w:r>
        <w:rPr>
          <w:rFonts w:ascii="Arial" w:cs="Arial" w:eastAsia="Arial" w:hAnsi="Arial"/>
          <w:sz w:val="21"/>
          <w:szCs w:val="21"/>
        </w:rPr>
        <w:t xml:space="preserve"> the enumerated acts.</w:t>
      </w:r>
    </w:p>
    <w:p>
      <w:pPr>
        <w:spacing w:after="120" w:before="0" w:line="276"/>
        <w:jc w:val="both"/>
      </w:pPr>
      <w:r>
        <w:rPr>
          <w:rFonts w:ascii="Arial" w:cs="Arial" w:eastAsia="Arial" w:hAnsi="Arial"/>
          <w:sz w:val="21"/>
          <w:szCs w:val="21"/>
        </w:rPr>
        <w:t xml:space="preserve">This distinction is critical. Paragraph 2.8 does not prohibit participation; it </w:t>
      </w:r>
      <w:r>
        <w:rPr>
          <w:rFonts w:ascii="Arial" w:cs="Arial" w:eastAsia="Arial" w:hAnsi="Arial"/>
          <w:b/>
          <w:bCs/>
          <w:color w:val="CC0000"/>
          <w:sz w:val="21"/>
          <w:szCs w:val="21"/>
        </w:rPr>
        <w:t xml:space="preserve">mandates</w:t>
      </w:r>
      <w:r>
        <w:rPr>
          <w:rFonts w:ascii="Arial" w:cs="Arial" w:eastAsia="Arial" w:hAnsi="Arial"/>
          <w:sz w:val="21"/>
          <w:szCs w:val="21"/>
        </w:rPr>
        <w:t xml:space="preserve"> it. The word "participate" appears exclusively in the context of a </w:t>
      </w:r>
      <w:r>
        <w:rPr>
          <w:rFonts w:ascii="Arial" w:cs="Arial" w:eastAsia="Arial" w:hAnsi="Arial"/>
          <w:b/>
          <w:bCs/>
          <w:sz w:val="21"/>
          <w:szCs w:val="21"/>
        </w:rPr>
        <w:t xml:space="preserve">positive obligation</w:t>
      </w:r>
      <w:r>
        <w:rPr>
          <w:rFonts w:ascii="Arial" w:cs="Arial" w:eastAsia="Arial" w:hAnsi="Arial"/>
          <w:sz w:val="21"/>
          <w:szCs w:val="21"/>
        </w:rPr>
        <w:t xml:space="preserve">, not a prohibition.</w:t>
      </w:r>
    </w:p>
    <w:p>
      <w:pPr>
        <w:pStyle w:val="Heading2"/>
        <w:spacing w:before="300" w:after="150"/>
      </w:pPr>
      <w:r>
        <w:rPr>
          <w:rFonts w:ascii="Arial" w:cs="Arial" w:eastAsia="Arial" w:hAnsi="Arial"/>
        </w:rPr>
        <w:t xml:space="preserve">2.2 Paragraph 2.5 — The Broadest Prohibition</w:t>
      </w:r>
    </w:p>
    <w:p>
      <w:pPr>
        <w:spacing w:after="120" w:before="0" w:line="276"/>
        <w:jc w:val="both"/>
      </w:pPr>
      <w:r>
        <w:rPr>
          <w:rFonts w:ascii="Arial" w:cs="Arial" w:eastAsia="Arial" w:hAnsi="Arial"/>
          <w:sz w:val="21"/>
          <w:szCs w:val="21"/>
        </w:rPr>
        <w:t xml:space="preserve">Paragraph 2.5 is the broadest operative clause. Its precise scope: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6706"/>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Analysis</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b/>
                <w:bCs/>
                <w:sz w:val="21"/>
                <w:szCs w:val="21"/>
              </w:rPr>
              <w:t xml:space="preserve">Subject</w:t>
            </w:r>
          </w:p>
        </w:tc>
        <w:tc>
          <w:tcPr>
            <w:tcW w:type="dxa" w:w="670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sz w:val="19"/>
                <w:szCs w:val="19"/>
              </w:rPr>
              <w:t xml:space="preserve">"The First and Second Respondents" (Jacqueline Faucitt and Daniel James Faucitt)</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b/>
                <w:bCs/>
                <w:sz w:val="21"/>
                <w:szCs w:val="21"/>
              </w:rPr>
              <w:t xml:space="preserve">Prohibition</w:t>
            </w:r>
          </w:p>
        </w:tc>
        <w:tc>
          <w:tcPr>
            <w:tcW w:type="dxa" w:w="6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sz w:val="19"/>
                <w:szCs w:val="19"/>
              </w:rPr>
              <w:t xml:space="preserve">"interdicted and restrained FROM dealing with the business (and the administration thereof)"</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b/>
                <w:bCs/>
                <w:sz w:val="21"/>
                <w:szCs w:val="21"/>
              </w:rPr>
              <w:t xml:space="preserve">Target entities</w:t>
            </w:r>
          </w:p>
        </w:tc>
        <w:tc>
          <w:tcPr>
            <w:tcW w:type="dxa" w:w="670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sz w:val="19"/>
                <w:szCs w:val="19"/>
              </w:rPr>
              <w:t xml:space="preserve">"of the Third to Sixth Respondents" (Regima Worldwide Distribution, Regima Skin Treatments CC, Villa Via Arcadia No 2 CC, Strategic Logistics CC)</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b/>
                <w:bCs/>
                <w:sz w:val="21"/>
                <w:szCs w:val="21"/>
              </w:rPr>
              <w:t xml:space="preserve">Scope extension</w:t>
            </w:r>
          </w:p>
        </w:tc>
        <w:tc>
          <w:tcPr>
            <w:tcW w:type="dxa" w:w="6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sz w:val="19"/>
                <w:szCs w:val="19"/>
              </w:rPr>
              <w:t xml:space="preserve">"and/or their employees, and/or their partners, and/or their clientèle"</w:t>
            </w:r>
          </w:p>
        </w:tc>
      </w:tr>
      <w:tr>
        <w:tc>
          <w:tcPr>
            <w:tcW w:type="dxa" w:w="2800"/>
            <w:tcBorders>
              <w:top w:val="single" w:color="999999" w:sz="1"/>
              <w:left w:val="single" w:color="999999" w:sz="1"/>
              <w:bottom w:val="single" w:color="999999" w:sz="1"/>
              <w:right w:val="single" w:color="999999" w:sz="1"/>
            </w:tcBorders>
            <w:shd w:fill="FFF0F0" w:val="clear"/>
            <w:tcMar>
              <w:top w:type="dxa" w:w="80"/>
              <w:left w:type="dxa" w:w="120"/>
              <w:bottom w:type="dxa" w:w="80"/>
              <w:right w:type="dxa" w:w="120"/>
            </w:tcMar>
          </w:tcPr>
          <w:p>
            <w:pPr>
              <w:spacing w:after="60"/>
            </w:pPr>
            <w:r>
              <w:rPr>
                <w:rFonts w:ascii="Arial" w:cs="Arial" w:eastAsia="Arial" w:hAnsi="Arial"/>
                <w:b/>
                <w:bCs/>
                <w:sz w:val="21"/>
                <w:szCs w:val="21"/>
              </w:rPr>
              <w:t xml:space="preserve">Qualifying limiter</w:t>
            </w:r>
          </w:p>
        </w:tc>
        <w:tc>
          <w:tcPr>
            <w:tcW w:type="dxa" w:w="6706"/>
            <w:tcBorders>
              <w:top w:val="single" w:color="999999" w:sz="1"/>
              <w:left w:val="single" w:color="999999" w:sz="1"/>
              <w:bottom w:val="single" w:color="999999" w:sz="1"/>
              <w:right w:val="single" w:color="999999" w:sz="1"/>
            </w:tcBorders>
            <w:shd w:fill="FFF0F0" w:val="clear"/>
            <w:tcMar>
              <w:top w:type="dxa" w:w="80"/>
              <w:left w:type="dxa" w:w="120"/>
              <w:bottom w:type="dxa" w:w="80"/>
              <w:right w:type="dxa" w:w="120"/>
            </w:tcMar>
          </w:tcPr>
          <w:p>
            <w:pPr>
              <w:spacing w:after="60"/>
            </w:pPr>
            <w:r>
              <w:rPr>
                <w:rFonts w:ascii="Arial" w:cs="Arial" w:eastAsia="Arial" w:hAnsi="Arial"/>
                <w:b/>
                <w:bCs/>
                <w:color w:val="CC0000"/>
                <w:sz w:val="21"/>
                <w:szCs w:val="21"/>
              </w:rPr>
              <w:t xml:space="preserve">"in any manner in which any may sustain any prejudice"</w:t>
            </w:r>
          </w:p>
          <w:p>
            <w:pPr>
              <w:spacing w:after="60"/>
            </w:pPr>
            <w:r>
              <w:rPr>
                <w:rFonts w:ascii="Arial" w:cs="Arial" w:eastAsia="Arial" w:hAnsi="Arial"/>
                <w:sz w:val="21"/>
                <w:szCs w:val="21"/>
              </w:rPr>
              <w:t xml:space="preserve">This is the critical qualifier. The prohibition is NOT absolute — it is limited to dealings that </w:t>
            </w:r>
            <w:r>
              <w:rPr>
                <w:rFonts w:ascii="Arial" w:cs="Arial" w:eastAsia="Arial" w:hAnsi="Arial"/>
                <w:b/>
                <w:bCs/>
                <w:sz w:val="21"/>
                <w:szCs w:val="21"/>
              </w:rPr>
              <w:t xml:space="preserve">cause prejudice</w:t>
            </w:r>
            <w:r>
              <w:rPr>
                <w:rFonts w:ascii="Arial" w:cs="Arial" w:eastAsia="Arial" w:hAnsi="Arial"/>
                <w:sz w:val="21"/>
                <w:szCs w:val="21"/>
              </w:rPr>
              <w:t xml:space="preserve"> to any of the listed categories (business, employees, partners, clientèle).</w:t>
            </w:r>
          </w:p>
        </w:tc>
      </w:tr>
    </w:tbl>
    <w:p>
      <w:pPr>
        <w:spacing w:after="80" w:before="0" w:line="276"/>
        <w:jc w:val="both"/>
      </w:pPr>
      <w:r>
        <w:rPr>
          <w:rFonts w:ascii="Arial" w:cs="Arial" w:eastAsia="Arial" w:hAnsi="Arial"/>
          <w:sz w:val="21"/>
          <w:szCs w:val="21"/>
        </w:rPr>
        <w:t xml:space="preserve"/>
      </w:r>
    </w:p>
    <w:p>
      <w:pPr>
        <w:pStyle w:val="Heading2"/>
        <w:spacing w:before="300" w:after="150"/>
      </w:pPr>
      <w:r>
        <w:rPr>
          <w:rFonts w:ascii="Arial" w:cs="Arial" w:eastAsia="Arial" w:hAnsi="Arial"/>
        </w:rPr>
        <w:t xml:space="preserve">2.3 What Para 2.5 Does NOT Prohibit</w:t>
      </w:r>
    </w:p>
    <w:p>
      <w:pPr>
        <w:spacing w:after="120" w:before="0" w:line="276"/>
        <w:jc w:val="both"/>
      </w:pPr>
      <w:r>
        <w:rPr>
          <w:rFonts w:ascii="Arial" w:cs="Arial" w:eastAsia="Arial" w:hAnsi="Arial"/>
          <w:sz w:val="21"/>
          <w:szCs w:val="21"/>
        </w:rPr>
        <w:t xml:space="preserve">Because paragraph 2.5 contains the qualifying phrase "in any manner in which any may sustain any prejudice", the following categories of conduct are </w:t>
      </w:r>
      <w:r>
        <w:rPr>
          <w:rFonts w:ascii="Arial" w:cs="Arial" w:eastAsia="Arial" w:hAnsi="Arial"/>
          <w:b/>
          <w:bCs/>
          <w:sz w:val="21"/>
          <w:szCs w:val="21"/>
        </w:rPr>
        <w:t xml:space="preserve">not prohibited</w:t>
      </w:r>
      <w:r>
        <w:rPr>
          <w:rFonts w:ascii="Arial" w:cs="Arial" w:eastAsia="Arial" w:hAnsi="Arial"/>
          <w:sz w:val="21"/>
          <w:szCs w:val="21"/>
        </w:rPr>
        <w:t xml:space="preserve">:</w:t>
      </w:r>
    </w:p>
    <w:p>
      <w:pPr>
        <w:pStyle w:val="ListParagraph"/>
        <w:numPr>
          <w:ilvl w:val="0"/>
          <w:numId w:val="2"/>
        </w:numPr>
        <w:spacing w:after="80"/>
      </w:pPr>
      <w:r>
        <w:rPr>
          <w:rFonts w:ascii="Arial" w:cs="Arial" w:eastAsia="Arial" w:hAnsi="Arial"/>
          <w:b/>
          <w:bCs/>
          <w:sz w:val="21"/>
          <w:szCs w:val="21"/>
        </w:rPr>
        <w:t xml:space="preserve">Non-prejudicial interaction with the business: </w:t>
      </w:r>
      <w:r>
        <w:rPr>
          <w:rFonts w:ascii="Arial" w:cs="Arial" w:eastAsia="Arial" w:hAnsi="Arial"/>
          <w:sz w:val="21"/>
          <w:szCs w:val="21"/>
        </w:rPr>
        <w:t xml:space="preserve">Answering truthful questions, providing information that assists rather than harms the entities, or cooperating with investigations — these do not cause prejudice to anyone.</w:t>
      </w:r>
    </w:p>
    <w:p>
      <w:pPr>
        <w:pStyle w:val="ListParagraph"/>
        <w:numPr>
          <w:ilvl w:val="0"/>
          <w:numId w:val="2"/>
        </w:numPr>
        <w:spacing w:after="80"/>
      </w:pPr>
      <w:r>
        <w:rPr>
          <w:rFonts w:ascii="Arial" w:cs="Arial" w:eastAsia="Arial" w:hAnsi="Arial"/>
          <w:b/>
          <w:bCs/>
          <w:sz w:val="21"/>
          <w:szCs w:val="21"/>
        </w:rPr>
        <w:t xml:space="preserve">Ordering additional audits: </w:t>
      </w:r>
      <w:r>
        <w:rPr>
          <w:rFonts w:ascii="Arial" w:cs="Arial" w:eastAsia="Arial" w:hAnsi="Arial"/>
          <w:sz w:val="21"/>
          <w:szCs w:val="21"/>
        </w:rPr>
        <w:t xml:space="preserve">Commissioning an independent audit cannot, by definition, prejudice the entities. Audits serve to protect, not damage. An audit can only reveal truth, and truth cannot constitute "prejudice" in law.</w:t>
      </w:r>
    </w:p>
    <w:p>
      <w:pPr>
        <w:pStyle w:val="ListParagraph"/>
        <w:numPr>
          <w:ilvl w:val="0"/>
          <w:numId w:val="2"/>
        </w:numPr>
        <w:spacing w:after="80"/>
      </w:pPr>
      <w:r>
        <w:rPr>
          <w:rFonts w:ascii="Arial" w:cs="Arial" w:eastAsia="Arial" w:hAnsi="Arial"/>
          <w:b/>
          <w:bCs/>
          <w:sz w:val="21"/>
          <w:szCs w:val="21"/>
        </w:rPr>
        <w:t xml:space="preserve">Passive cooperation with investigations: </w:t>
      </w:r>
      <w:r>
        <w:rPr>
          <w:rFonts w:ascii="Arial" w:cs="Arial" w:eastAsia="Arial" w:hAnsi="Arial"/>
          <w:sz w:val="21"/>
          <w:szCs w:val="21"/>
        </w:rPr>
        <w:t xml:space="preserve">The order itself mandates this at paragraph 2.8.3. Cooperation is compulsory, not prohibited.</w:t>
      </w:r>
    </w:p>
    <w:p>
      <w:pPr>
        <w:pStyle w:val="ListParagraph"/>
        <w:numPr>
          <w:ilvl w:val="0"/>
          <w:numId w:val="2"/>
        </w:numPr>
        <w:spacing w:after="80"/>
      </w:pPr>
      <w:r>
        <w:rPr>
          <w:rFonts w:ascii="Arial" w:cs="Arial" w:eastAsia="Arial" w:hAnsi="Arial"/>
          <w:b/>
          <w:bCs/>
          <w:sz w:val="21"/>
          <w:szCs w:val="21"/>
        </w:rPr>
        <w:t xml:space="preserve">Protecting one’s own legal rights: </w:t>
      </w:r>
      <w:r>
        <w:rPr>
          <w:rFonts w:ascii="Arial" w:cs="Arial" w:eastAsia="Arial" w:hAnsi="Arial"/>
          <w:sz w:val="21"/>
          <w:szCs w:val="21"/>
        </w:rPr>
        <w:t xml:space="preserve">The settlement agreement expressly preserves this: "This shall not preclude any party from approaching a Court for any appropriate or necessary relief."</w:t>
      </w:r>
    </w:p>
    <w:p>
      <w:pPr>
        <w:pStyle w:val="ListParagraph"/>
        <w:numPr>
          <w:ilvl w:val="0"/>
          <w:numId w:val="2"/>
        </w:numPr>
        <w:spacing w:after="80"/>
      </w:pPr>
      <w:r>
        <w:rPr>
          <w:rFonts w:ascii="Arial" w:cs="Arial" w:eastAsia="Arial" w:hAnsi="Arial"/>
          <w:b/>
          <w:bCs/>
          <w:sz w:val="21"/>
          <w:szCs w:val="21"/>
        </w:rPr>
        <w:t xml:space="preserve">Exercising member/director rights: </w:t>
      </w:r>
      <w:r>
        <w:rPr>
          <w:rFonts w:ascii="Arial" w:cs="Arial" w:eastAsia="Arial" w:hAnsi="Arial"/>
          <w:sz w:val="21"/>
          <w:szCs w:val="21"/>
        </w:rPr>
        <w:t xml:space="preserve">The order does not extinguish proprietary interests — it restrains prejudicial dealing. Member rights of information, inspection, and oversight survive the interdict.</w:t>
      </w:r>
    </w:p>
    <w:p>
      <w:pPr>
        <w:pStyle w:val="Heading2"/>
        <w:spacing w:before="300" w:after="150"/>
      </w:pPr>
      <w:r>
        <w:rPr>
          <w:rFonts w:ascii="Arial" w:cs="Arial" w:eastAsia="Arial" w:hAnsi="Arial"/>
        </w:rPr>
        <w:t xml:space="preserve">2.4 What Para 2.5 DOES Prohibit</w:t>
      </w:r>
    </w:p>
    <w:p>
      <w:pPr>
        <w:pStyle w:val="ListParagraph"/>
        <w:numPr>
          <w:ilvl w:val="0"/>
          <w:numId w:val="2"/>
        </w:numPr>
        <w:spacing w:after="80"/>
      </w:pPr>
      <w:r>
        <w:rPr>
          <w:rFonts w:ascii="Arial" w:cs="Arial" w:eastAsia="Arial" w:hAnsi="Arial"/>
          <w:sz w:val="21"/>
          <w:szCs w:val="21"/>
        </w:rPr>
        <w:t xml:space="preserve">Active management decisions (hiring, firing, contract execution)</w:t>
      </w:r>
    </w:p>
    <w:p>
      <w:pPr>
        <w:pStyle w:val="ListParagraph"/>
        <w:numPr>
          <w:ilvl w:val="0"/>
          <w:numId w:val="2"/>
        </w:numPr>
        <w:spacing w:after="80"/>
      </w:pPr>
      <w:r>
        <w:rPr>
          <w:rFonts w:ascii="Arial" w:cs="Arial" w:eastAsia="Arial" w:hAnsi="Arial"/>
          <w:sz w:val="21"/>
          <w:szCs w:val="21"/>
        </w:rPr>
        <w:t xml:space="preserve">Financial transactions on entity accounts (reinforced by paras 2.1–2.4)</w:t>
      </w:r>
    </w:p>
    <w:p>
      <w:pPr>
        <w:pStyle w:val="ListParagraph"/>
        <w:numPr>
          <w:ilvl w:val="0"/>
          <w:numId w:val="2"/>
        </w:numPr>
        <w:spacing w:after="80"/>
      </w:pPr>
      <w:r>
        <w:rPr>
          <w:rFonts w:ascii="Arial" w:cs="Arial" w:eastAsia="Arial" w:hAnsi="Arial"/>
          <w:sz w:val="21"/>
          <w:szCs w:val="21"/>
        </w:rPr>
        <w:t xml:space="preserve">Directing employees in a manner that causes prejudice</w:t>
      </w:r>
    </w:p>
    <w:p>
      <w:pPr>
        <w:pStyle w:val="ListParagraph"/>
        <w:numPr>
          <w:ilvl w:val="0"/>
          <w:numId w:val="2"/>
        </w:numPr>
        <w:spacing w:after="80"/>
      </w:pPr>
      <w:r>
        <w:rPr>
          <w:rFonts w:ascii="Arial" w:cs="Arial" w:eastAsia="Arial" w:hAnsi="Arial"/>
          <w:sz w:val="21"/>
          <w:szCs w:val="21"/>
        </w:rPr>
        <w:t xml:space="preserve">Interfering with clientèle relationships to their detriment</w:t>
      </w:r>
    </w:p>
    <w:p>
      <w:pPr>
        <w:pStyle w:val="ListParagraph"/>
        <w:numPr>
          <w:ilvl w:val="0"/>
          <w:numId w:val="2"/>
        </w:numPr>
        <w:spacing w:after="80"/>
      </w:pPr>
      <w:r>
        <w:rPr>
          <w:rFonts w:ascii="Arial" w:cs="Arial" w:eastAsia="Arial" w:hAnsi="Arial"/>
          <w:sz w:val="21"/>
          <w:szCs w:val="21"/>
        </w:rPr>
        <w:t xml:space="preserve">Concealing or destroying records (reinforced by para 2.8.1)</w:t>
      </w:r>
    </w:p>
    <w:p>
      <w:pPr>
        <w:pStyle w:val="ListParagraph"/>
        <w:numPr>
          <w:ilvl w:val="0"/>
          <w:numId w:val="2"/>
        </w:numPr>
        <w:spacing w:after="80"/>
      </w:pPr>
      <w:r>
        <w:rPr>
          <w:rFonts w:ascii="Arial" w:cs="Arial" w:eastAsia="Arial" w:hAnsi="Arial"/>
          <w:sz w:val="21"/>
          <w:szCs w:val="21"/>
        </w:rPr>
        <w:t xml:space="preserve">Any dealing that results in financial, operational, or reputational damage to the entities</w:t>
      </w:r>
    </w:p>
    <w:p>
      <w:pPr>
        <w:pStyle w:val="Heading1"/>
        <w:spacing w:before="300" w:after="150"/>
      </w:pPr>
      <w:r>
        <w:rPr>
          <w:rFonts w:ascii="Arial" w:cs="Arial" w:eastAsia="Arial" w:hAnsi="Arial"/>
        </w:rPr>
        <w:t xml:space="preserve">3. THE CRITICAL QUESTION ANSWERED</w:t>
      </w:r>
    </w:p>
    <w:p>
      <w:pPr>
        <w:spacing w:after="120" w:before="0" w:line="276"/>
        <w:jc w:val="both"/>
      </w:pPr>
      <w:r>
        <w:rPr>
          <w:rFonts w:ascii="Arial" w:cs="Arial" w:eastAsia="Arial" w:hAnsi="Arial"/>
          <w:b/>
          <w:bCs/>
          <w:sz w:val="21"/>
          <w:szCs w:val="21"/>
        </w:rPr>
        <w:t xml:space="preserve">Question: </w:t>
      </w:r>
      <w:r>
        <w:rPr>
          <w:rFonts w:ascii="Arial" w:cs="Arial" w:eastAsia="Arial" w:hAnsi="Arial"/>
          <w:i/>
          <w:iCs/>
          <w:sz w:val="21"/>
          <w:szCs w:val="21"/>
        </w:rPr>
        <w:t xml:space="preserve">Does the Part A order prohibit Jacqueline and Daniel from ordering additional audits, or from passively cooperating (e.g., answering audit questions)?</w:t>
      </w:r>
    </w:p>
    <w:p>
      <w:pPr>
        <w:spacing w:after="120" w:before="0" w:line="276"/>
        <w:jc w:val="both"/>
      </w:pPr>
      <w:r>
        <w:rPr>
          <w:rFonts w:ascii="Arial" w:cs="Arial" w:eastAsia="Arial" w:hAnsi="Arial"/>
          <w:b/>
          <w:bCs/>
          <w:sz w:val="21"/>
          <w:szCs w:val="21"/>
        </w:rPr>
        <w:t xml:space="preserve">Answer: </w:t>
      </w:r>
      <w:r>
        <w:rPr>
          <w:rFonts w:ascii="Arial" w:cs="Arial" w:eastAsia="Arial" w:hAnsi="Arial"/>
          <w:b/>
          <w:bCs/>
          <w:color w:val="CC0000"/>
          <w:sz w:val="21"/>
          <w:szCs w:val="21"/>
        </w:rPr>
        <w:t xml:space="preserve">Definitively NO. </w:t>
      </w:r>
      <w:r>
        <w:rPr>
          <w:rFonts w:ascii="Arial" w:cs="Arial" w:eastAsia="Arial" w:hAnsi="Arial"/>
          <w:sz w:val="21"/>
          <w:szCs w:val="21"/>
        </w:rPr>
        <w:t xml:space="preserve">The order does not prohibit either activity. In fact, it </w:t>
      </w:r>
      <w:r>
        <w:rPr>
          <w:rFonts w:ascii="Arial" w:cs="Arial" w:eastAsia="Arial" w:hAnsi="Arial"/>
          <w:b/>
          <w:bCs/>
          <w:sz w:val="21"/>
          <w:szCs w:val="21"/>
        </w:rPr>
        <w:t xml:space="preserve">mandates</w:t>
      </w:r>
      <w:r>
        <w:rPr>
          <w:rFonts w:ascii="Arial" w:cs="Arial" w:eastAsia="Arial" w:hAnsi="Arial"/>
          <w:sz w:val="21"/>
          <w:szCs w:val="21"/>
        </w:rPr>
        <w:t xml:space="preserve"> the second (cooperation) and is </w:t>
      </w:r>
      <w:r>
        <w:rPr>
          <w:rFonts w:ascii="Arial" w:cs="Arial" w:eastAsia="Arial" w:hAnsi="Arial"/>
          <w:b/>
          <w:bCs/>
          <w:sz w:val="21"/>
          <w:szCs w:val="21"/>
        </w:rPr>
        <w:t xml:space="preserve">neutral-to-supportive</w:t>
      </w:r>
      <w:r>
        <w:rPr>
          <w:rFonts w:ascii="Arial" w:cs="Arial" w:eastAsia="Arial" w:hAnsi="Arial"/>
          <w:sz w:val="21"/>
          <w:szCs w:val="21"/>
        </w:rPr>
        <w:t xml:space="preserve"> of the first (additional audits). Here is why:</w:t>
      </w:r>
    </w:p>
    <w:p>
      <w:pPr>
        <w:pStyle w:val="Heading2"/>
        <w:spacing w:before="300" w:after="150"/>
      </w:pPr>
      <w:r>
        <w:rPr>
          <w:rFonts w:ascii="Arial" w:cs="Arial" w:eastAsia="Arial" w:hAnsi="Arial"/>
        </w:rPr>
        <w:t xml:space="preserve">3.1 Ordering Additional Audits</w:t>
      </w:r>
    </w:p>
    <w:p>
      <w:pPr>
        <w:spacing w:after="120" w:before="0" w:line="276"/>
        <w:jc w:val="both"/>
      </w:pPr>
      <w:r>
        <w:rPr>
          <w:rFonts w:ascii="Arial" w:cs="Arial" w:eastAsia="Arial" w:hAnsi="Arial"/>
          <w:sz w:val="21"/>
          <w:szCs w:val="21"/>
        </w:rPr>
        <w:t xml:space="preserve">An audit is a protective measure. Paragraph 2.7 expressly authorises forensic investigation. While it grants this authority to the Applicant (Peter), the order does not contain any prohibition on other parties with legitimate interests (members, directors) from commissioning their own independent audits. The prejudice qualifier in paragraph 2.5 would only catch dealings that </w:t>
      </w:r>
      <w:r>
        <w:rPr>
          <w:rFonts w:ascii="Arial" w:cs="Arial" w:eastAsia="Arial" w:hAnsi="Arial"/>
          <w:i/>
          <w:iCs/>
          <w:sz w:val="21"/>
          <w:szCs w:val="21"/>
        </w:rPr>
        <w:t xml:space="preserve">damage</w:t>
      </w:r>
      <w:r>
        <w:rPr>
          <w:rFonts w:ascii="Arial" w:cs="Arial" w:eastAsia="Arial" w:hAnsi="Arial"/>
          <w:sz w:val="21"/>
          <w:szCs w:val="21"/>
        </w:rPr>
        <w:t xml:space="preserve"> the entities — an audit designed to </w:t>
      </w:r>
      <w:r>
        <w:rPr>
          <w:rFonts w:ascii="Arial" w:cs="Arial" w:eastAsia="Arial" w:hAnsi="Arial"/>
          <w:i/>
          <w:iCs/>
          <w:sz w:val="21"/>
          <w:szCs w:val="21"/>
        </w:rPr>
        <w:t xml:space="preserve">protect</w:t>
      </w:r>
      <w:r>
        <w:rPr>
          <w:rFonts w:ascii="Arial" w:cs="Arial" w:eastAsia="Arial" w:hAnsi="Arial"/>
          <w:sz w:val="21"/>
          <w:szCs w:val="21"/>
        </w:rPr>
        <w:t xml:space="preserve"> them cannot logically fall within that prohibition.</w:t>
      </w:r>
    </w:p>
    <w:p>
      <w:pPr>
        <w:spacing w:after="120" w:before="0" w:line="276"/>
        <w:jc w:val="both"/>
      </w:pPr>
      <w:r>
        <w:rPr>
          <w:rFonts w:ascii="Arial" w:cs="Arial" w:eastAsia="Arial" w:hAnsi="Arial"/>
          <w:sz w:val="21"/>
          <w:szCs w:val="21"/>
        </w:rPr>
        <w:t xml:space="preserve">Moreover, the settlement agreement at paragraph 2.1.1 records that </w:t>
      </w:r>
      <w:r>
        <w:rPr>
          <w:rFonts w:ascii="Arial" w:cs="Arial" w:eastAsia="Arial" w:hAnsi="Arial"/>
          <w:i/>
          <w:iCs/>
          <w:sz w:val="21"/>
          <w:szCs w:val="21"/>
        </w:rPr>
        <w:t xml:space="preserve">"the parties jointly agree that Forvis Mazars will be appointed to conduct a forensic investigation"</w:t>
      </w:r>
      <w:r>
        <w:rPr>
          <w:rFonts w:ascii="Arial" w:cs="Arial" w:eastAsia="Arial" w:hAnsi="Arial"/>
          <w:sz w:val="21"/>
          <w:szCs w:val="21"/>
        </w:rPr>
        <w:t xml:space="preserve"> — evidencing that additional investigation capacity was contemplated and </w:t>
      </w:r>
      <w:r>
        <w:rPr>
          <w:rFonts w:ascii="Arial" w:cs="Arial" w:eastAsia="Arial" w:hAnsi="Arial"/>
          <w:b/>
          <w:bCs/>
          <w:sz w:val="21"/>
          <w:szCs w:val="21"/>
        </w:rPr>
        <w:t xml:space="preserve">agreed to by all parties</w:t>
      </w:r>
      <w:r>
        <w:rPr>
          <w:rFonts w:ascii="Arial" w:cs="Arial" w:eastAsia="Arial" w:hAnsi="Arial"/>
          <w:sz w:val="21"/>
          <w:szCs w:val="21"/>
        </w:rPr>
        <w:t xml:space="preserve">.</w:t>
      </w:r>
    </w:p>
    <w:p>
      <w:pPr>
        <w:pStyle w:val="Heading2"/>
        <w:spacing w:before="300" w:after="150"/>
      </w:pPr>
      <w:r>
        <w:rPr>
          <w:rFonts w:ascii="Arial" w:cs="Arial" w:eastAsia="Arial" w:hAnsi="Arial"/>
        </w:rPr>
        <w:t xml:space="preserve">3.2 Passive Cooperation (Answering Questions)</w:t>
      </w:r>
    </w:p>
    <w:p>
      <w:pPr>
        <w:spacing w:after="120" w:before="0" w:line="276"/>
        <w:jc w:val="both"/>
      </w:pPr>
      <w:r>
        <w:rPr>
          <w:rFonts w:ascii="Arial" w:cs="Arial" w:eastAsia="Arial" w:hAnsi="Arial"/>
          <w:sz w:val="21"/>
          <w:szCs w:val="21"/>
        </w:rPr>
        <w:t xml:space="preserve">This is not merely permitted — it is </w:t>
      </w:r>
      <w:r>
        <w:rPr>
          <w:rFonts w:ascii="Arial" w:cs="Arial" w:eastAsia="Arial" w:hAnsi="Arial"/>
          <w:b/>
          <w:bCs/>
          <w:sz w:val="21"/>
          <w:szCs w:val="21"/>
        </w:rPr>
        <w:t xml:space="preserve">compulsory</w:t>
      </w:r>
      <w:r>
        <w:rPr>
          <w:rFonts w:ascii="Arial" w:cs="Arial" w:eastAsia="Arial" w:hAnsi="Arial"/>
          <w:sz w:val="21"/>
          <w:szCs w:val="21"/>
        </w:rPr>
        <w:t xml:space="preserve">. Paragraph 2.8.3 in its original form directs the respondents to "answer all questions put to them in regard to the forensic investigation, by the Applicant, and the experts appointed by him, honestly and forthrightly." The settlement agreement variation broadens this obligation to include questions from "the forensic investigation and the experts appointed by the forensic investigators" — removing Peter as gatekeeper and making the obligation run directly to the investigators.</w:t>
      </w:r>
    </w:p>
    <w:p>
      <w:pPr>
        <w:spacing w:after="120" w:before="0" w:line="276"/>
        <w:jc w:val="both"/>
      </w:pPr>
      <w:r>
        <w:rPr>
          <w:rFonts w:ascii="Arial" w:cs="Arial" w:eastAsia="Arial" w:hAnsi="Arial"/>
          <w:sz w:val="21"/>
          <w:szCs w:val="21"/>
        </w:rPr>
        <w:t xml:space="preserve">To argue that cooperation with an audit constitutes "dealing with the business" in violation of paragraph 2.5 would create an </w:t>
      </w:r>
      <w:r>
        <w:rPr>
          <w:rFonts w:ascii="Arial" w:cs="Arial" w:eastAsia="Arial" w:hAnsi="Arial"/>
          <w:b/>
          <w:bCs/>
          <w:sz w:val="21"/>
          <w:szCs w:val="21"/>
        </w:rPr>
        <w:t xml:space="preserve">internal contradiction</w:t>
      </w:r>
      <w:r>
        <w:rPr>
          <w:rFonts w:ascii="Arial" w:cs="Arial" w:eastAsia="Arial" w:hAnsi="Arial"/>
          <w:sz w:val="21"/>
          <w:szCs w:val="21"/>
        </w:rPr>
        <w:t xml:space="preserve"> within the order itself, since paragraph 2.8.3 expressly </w:t>
      </w:r>
      <w:r>
        <w:rPr>
          <w:rFonts w:ascii="Arial" w:cs="Arial" w:eastAsia="Arial" w:hAnsi="Arial"/>
          <w:i/>
          <w:iCs/>
          <w:sz w:val="21"/>
          <w:szCs w:val="21"/>
        </w:rPr>
        <w:t xml:space="preserve">commands</w:t>
      </w:r>
      <w:r>
        <w:rPr>
          <w:rFonts w:ascii="Arial" w:cs="Arial" w:eastAsia="Arial" w:hAnsi="Arial"/>
          <w:sz w:val="21"/>
          <w:szCs w:val="21"/>
        </w:rPr>
        <w:t xml:space="preserve"> the very same conduct.</w:t>
      </w:r>
    </w:p>
    <w:p>
      <w:pPr>
        <w:pStyle w:val="Heading1"/>
        <w:spacing w:before="300" w:after="150"/>
      </w:pPr>
      <w:r>
        <w:rPr>
          <w:rFonts w:ascii="Arial" w:cs="Arial" w:eastAsia="Arial" w:hAnsi="Arial"/>
        </w:rPr>
        <w:t xml:space="preserve">4. EVIDENCE OF MISUSE: HOW THE ORDER WAS WEAPONISED</w:t>
      </w:r>
    </w:p>
    <w:p>
      <w:pPr>
        <w:spacing w:after="120" w:before="0" w:line="276"/>
        <w:jc w:val="both"/>
      </w:pPr>
      <w:r>
        <w:rPr>
          <w:rFonts w:ascii="Arial" w:cs="Arial" w:eastAsia="Arial" w:hAnsi="Arial"/>
          <w:sz w:val="21"/>
          <w:szCs w:val="21"/>
        </w:rPr>
        <w:t xml:space="preserve">The court order was obtained ex parte on the basis of Peter’s founding affidavit, which at paragraph 14.4 characterised the prohibition as respondents being "not permitted to participate in the financial administration" of the entities. This framing — which is Peter’s </w:t>
      </w:r>
      <w:r>
        <w:rPr>
          <w:rFonts w:ascii="Arial" w:cs="Arial" w:eastAsia="Arial" w:hAnsi="Arial"/>
          <w:i/>
          <w:iCs/>
          <w:sz w:val="21"/>
          <w:szCs w:val="21"/>
        </w:rPr>
        <w:t xml:space="preserve">interpretation</w:t>
      </w:r>
      <w:r>
        <w:rPr>
          <w:rFonts w:ascii="Arial" w:cs="Arial" w:eastAsia="Arial" w:hAnsi="Arial"/>
          <w:sz w:val="21"/>
          <w:szCs w:val="21"/>
        </w:rPr>
        <w:t xml:space="preserve">, not the court’s actual language — was then deployed to:</w:t>
      </w:r>
    </w:p>
    <w:p>
      <w:pPr>
        <w:pStyle w:val="ListParagraph"/>
        <w:numPr>
          <w:ilvl w:val="0"/>
          <w:numId w:val="3"/>
        </w:numPr>
        <w:spacing w:after="80"/>
      </w:pPr>
      <w:r>
        <w:rPr>
          <w:rFonts w:ascii="Arial" w:cs="Arial" w:eastAsia="Arial" w:hAnsi="Arial"/>
          <w:b/>
          <w:bCs/>
          <w:sz w:val="21"/>
          <w:szCs w:val="21"/>
        </w:rPr>
        <w:t xml:space="preserve">Seize complete financial control: </w:t>
      </w:r>
      <w:r>
        <w:rPr>
          <w:rFonts w:ascii="Arial" w:cs="Arial" w:eastAsia="Arial" w:hAnsi="Arial"/>
          <w:sz w:val="21"/>
          <w:szCs w:val="21"/>
        </w:rPr>
        <w:t xml:space="preserve">Paragraph 2.6 grants Peter exclusive transacting authority. He used this to redirect R10.6M in revenue streams through his personal accounts.</w:t>
      </w:r>
    </w:p>
    <w:p>
      <w:pPr>
        <w:pStyle w:val="ListParagraph"/>
        <w:numPr>
          <w:ilvl w:val="0"/>
          <w:numId w:val="3"/>
        </w:numPr>
        <w:spacing w:after="80"/>
      </w:pPr>
      <w:r>
        <w:rPr>
          <w:rFonts w:ascii="Arial" w:cs="Arial" w:eastAsia="Arial" w:hAnsi="Arial"/>
          <w:b/>
          <w:bCs/>
          <w:sz w:val="21"/>
          <w:szCs w:val="21"/>
        </w:rPr>
        <w:t xml:space="preserve">Cancel respondents’ bank cards: </w:t>
      </w:r>
      <w:r>
        <w:rPr>
          <w:rFonts w:ascii="Arial" w:cs="Arial" w:eastAsia="Arial" w:hAnsi="Arial"/>
          <w:sz w:val="21"/>
          <w:szCs w:val="21"/>
        </w:rPr>
        <w:t xml:space="preserve">Going beyond the surrender obligation (para 2.1), Peter cancelled cards entirely, severing the respondents’ access to business funds.</w:t>
      </w:r>
    </w:p>
    <w:p>
      <w:pPr>
        <w:pStyle w:val="ListParagraph"/>
        <w:numPr>
          <w:ilvl w:val="0"/>
          <w:numId w:val="3"/>
        </w:numPr>
        <w:spacing w:after="80"/>
      </w:pPr>
      <w:r>
        <w:rPr>
          <w:rFonts w:ascii="Arial" w:cs="Arial" w:eastAsia="Arial" w:hAnsi="Arial"/>
          <w:b/>
          <w:bCs/>
          <w:sz w:val="21"/>
          <w:szCs w:val="21"/>
        </w:rPr>
        <w:t xml:space="preserve">Block operational oversight: </w:t>
      </w:r>
      <w:r>
        <w:rPr>
          <w:rFonts w:ascii="Arial" w:cs="Arial" w:eastAsia="Arial" w:hAnsi="Arial"/>
          <w:sz w:val="21"/>
          <w:szCs w:val="21"/>
        </w:rPr>
        <w:t xml:space="preserve">Any attempt by Jacqueline or Daniel to question transactions was reframed as "dealing with the business" in violation of paragraph 2.5.</w:t>
      </w:r>
    </w:p>
    <w:p>
      <w:pPr>
        <w:pStyle w:val="ListParagraph"/>
        <w:numPr>
          <w:ilvl w:val="0"/>
          <w:numId w:val="3"/>
        </w:numPr>
        <w:spacing w:after="80"/>
      </w:pPr>
      <w:r>
        <w:rPr>
          <w:rFonts w:ascii="Arial" w:cs="Arial" w:eastAsia="Arial" w:hAnsi="Arial"/>
          <w:b/>
          <w:bCs/>
          <w:sz w:val="21"/>
          <w:szCs w:val="21"/>
        </w:rPr>
        <w:t xml:space="preserve">Prevent independent verification: </w:t>
      </w:r>
      <w:r>
        <w:rPr>
          <w:rFonts w:ascii="Arial" w:cs="Arial" w:eastAsia="Arial" w:hAnsi="Arial"/>
          <w:sz w:val="21"/>
          <w:szCs w:val="21"/>
        </w:rPr>
        <w:t xml:space="preserve">By characterising additional audit requests as prohibited "participation", Peter shielded his own transactions from scrutiny.</w:t>
      </w:r>
    </w:p>
    <w:p>
      <w:pPr>
        <w:pStyle w:val="ListParagraph"/>
        <w:numPr>
          <w:ilvl w:val="0"/>
          <w:numId w:val="3"/>
        </w:numPr>
        <w:spacing w:after="80"/>
      </w:pPr>
      <w:r>
        <w:rPr>
          <w:rFonts w:ascii="Arial" w:cs="Arial" w:eastAsia="Arial" w:hAnsi="Arial"/>
          <w:b/>
          <w:bCs/>
          <w:sz w:val="21"/>
          <w:szCs w:val="21"/>
        </w:rPr>
        <w:t xml:space="preserve">Threaten contempt proceedings: </w:t>
      </w:r>
      <w:r>
        <w:rPr>
          <w:rFonts w:ascii="Arial" w:cs="Arial" w:eastAsia="Arial" w:hAnsi="Arial"/>
          <w:sz w:val="21"/>
          <w:szCs w:val="21"/>
        </w:rPr>
        <w:t xml:space="preserve">The contempt application of 4 February 2026 weaponises the order further, seeking imprisonment for alleged stock-removal non-compliance while Peter’s own R10.6M extraction goes unexamined.</w:t>
      </w:r>
    </w:p>
    <w:p>
      <w:pPr>
        <w:spacing w:after="120" w:before="0" w:line="276"/>
        <w:jc w:val="both"/>
      </w:pPr>
      <w:r>
        <w:rPr>
          <w:rFonts w:ascii="Arial" w:cs="Arial" w:eastAsia="Arial" w:hAnsi="Arial"/>
          <w:sz w:val="21"/>
          <w:szCs w:val="21"/>
        </w:rPr>
        <w:t xml:space="preserve">The fundamental distortion is treating a </w:t>
      </w:r>
      <w:r>
        <w:rPr>
          <w:rFonts w:ascii="Arial" w:cs="Arial" w:eastAsia="Arial" w:hAnsi="Arial"/>
          <w:i/>
          <w:iCs/>
          <w:sz w:val="21"/>
          <w:szCs w:val="21"/>
        </w:rPr>
        <w:t xml:space="preserve">prejudice-qualified restraint</w:t>
      </w:r>
      <w:r>
        <w:rPr>
          <w:rFonts w:ascii="Arial" w:cs="Arial" w:eastAsia="Arial" w:hAnsi="Arial"/>
          <w:sz w:val="21"/>
          <w:szCs w:val="21"/>
        </w:rPr>
        <w:t xml:space="preserve"> (para 2.5) as an </w:t>
      </w:r>
      <w:r>
        <w:rPr>
          <w:rFonts w:ascii="Arial" w:cs="Arial" w:eastAsia="Arial" w:hAnsi="Arial"/>
          <w:i/>
          <w:iCs/>
          <w:sz w:val="21"/>
          <w:szCs w:val="21"/>
        </w:rPr>
        <w:t xml:space="preserve">absolute prohibition on all interaction</w:t>
      </w:r>
      <w:r>
        <w:rPr>
          <w:rFonts w:ascii="Arial" w:cs="Arial" w:eastAsia="Arial" w:hAnsi="Arial"/>
          <w:sz w:val="21"/>
          <w:szCs w:val="21"/>
        </w:rPr>
        <w:t xml:space="preserve">, while simultaneously treating an </w:t>
      </w:r>
      <w:r>
        <w:rPr>
          <w:rFonts w:ascii="Arial" w:cs="Arial" w:eastAsia="Arial" w:hAnsi="Arial"/>
          <w:i/>
          <w:iCs/>
          <w:sz w:val="21"/>
          <w:szCs w:val="21"/>
        </w:rPr>
        <w:t xml:space="preserve">exclusive financial control grant</w:t>
      </w:r>
      <w:r>
        <w:rPr>
          <w:rFonts w:ascii="Arial" w:cs="Arial" w:eastAsia="Arial" w:hAnsi="Arial"/>
          <w:sz w:val="21"/>
          <w:szCs w:val="21"/>
        </w:rPr>
        <w:t xml:space="preserve"> (para 2.6) as unlimited authority with no accountability obligation.</w:t>
      </w:r>
    </w:p>
    <w:p>
      <w:pPr>
        <w:pStyle w:val="Heading1"/>
        <w:spacing w:before="300" w:after="150"/>
      </w:pPr>
      <w:r>
        <w:rPr>
          <w:rFonts w:ascii="Arial" w:cs="Arial" w:eastAsia="Arial" w:hAnsi="Arial"/>
        </w:rPr>
        <w:t xml:space="preserve">5. VOID AB INITIO IMPLICATIONS</w:t>
      </w:r>
    </w:p>
    <w:p>
      <w:pPr>
        <w:spacing w:after="120" w:before="0" w:line="276"/>
        <w:jc w:val="both"/>
      </w:pPr>
      <w:r>
        <w:rPr>
          <w:rFonts w:ascii="Arial" w:cs="Arial" w:eastAsia="Arial" w:hAnsi="Arial"/>
          <w:sz w:val="21"/>
          <w:szCs w:val="21"/>
        </w:rPr>
        <w:t xml:space="preserve">The scope analysis reinforces the void ab initio case on multiple pillars: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3"/>
        <w:gridCol w:w="3503"/>
      </w:tblGrid>
      <w:tr>
        <w:tc>
          <w:tcPr>
            <w:tcW w:type="dxa" w:w="25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3503"/>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Scope Supports It</w:t>
            </w:r>
          </w:p>
        </w:tc>
        <w:tc>
          <w:tcPr>
            <w:tcW w:type="dxa" w:w="3503"/>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Provable Foreknowledge</w:t>
            </w:r>
          </w:p>
        </w:tc>
      </w:tr>
      <w:tr>
        <w:tc>
          <w:tcPr>
            <w:tcW w:type="dxa" w:w="2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b/>
                <w:bCs/>
                <w:sz w:val="21"/>
                <w:szCs w:val="21"/>
              </w:rPr>
              <w:t xml:space="preserve">Perjury</w:t>
            </w:r>
          </w:p>
        </w:tc>
        <w:tc>
          <w:tcPr>
            <w:tcW w:type="dxa" w:w="3503"/>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sz w:val="19"/>
                <w:szCs w:val="19"/>
              </w:rPr>
              <w:t xml:space="preserve">Peter characterised paras 2.5–2.6 to the court as absolute exclusion; the actual text contains a prejudice qualifier he knew existed because he drafted the prayer.</w:t>
            </w:r>
          </w:p>
        </w:tc>
        <w:tc>
          <w:tcPr>
            <w:tcW w:type="dxa" w:w="3503"/>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sz w:val="19"/>
                <w:szCs w:val="19"/>
              </w:rPr>
              <w:t xml:space="preserve">The prayer was drafted by Peter’s legal team. He knew the qualifier existed. His founding affidavit omitted it.</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b/>
                <w:bCs/>
                <w:sz w:val="21"/>
                <w:szCs w:val="21"/>
              </w:rPr>
              <w:t xml:space="preserve">Material Non-Disclosure</w:t>
            </w:r>
          </w:p>
        </w:tc>
        <w:tc>
          <w:tcPr>
            <w:tcW w:type="dxa" w:w="35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sz w:val="19"/>
                <w:szCs w:val="19"/>
              </w:rPr>
              <w:t xml:space="preserve">The ex parte application failed to disclose that Peter intended to use para 2.6 to redirect all revenue through his personal accounts — a fact he knew at the time of the application.</w:t>
            </w:r>
          </w:p>
        </w:tc>
        <w:tc>
          <w:tcPr>
            <w:tcW w:type="dxa" w:w="35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sz w:val="19"/>
                <w:szCs w:val="19"/>
              </w:rPr>
              <w:t xml:space="preserve">Revenue redirection began immediately upon order being granted, evidencing pre-planning.</w:t>
            </w:r>
          </w:p>
        </w:tc>
      </w:tr>
      <w:tr>
        <w:tc>
          <w:tcPr>
            <w:tcW w:type="dxa" w:w="2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b/>
                <w:bCs/>
                <w:sz w:val="21"/>
                <w:szCs w:val="21"/>
              </w:rPr>
              <w:t xml:space="preserve">Fraud on the Court</w:t>
            </w:r>
          </w:p>
        </w:tc>
        <w:tc>
          <w:tcPr>
            <w:tcW w:type="dxa" w:w="3503"/>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sz w:val="19"/>
                <w:szCs w:val="19"/>
              </w:rPr>
              <w:t xml:space="preserve">The order was presented as protective (preventing mismanagement) while its actual purpose was extractive (seizing financial control for personal enrichment).</w:t>
            </w:r>
          </w:p>
        </w:tc>
        <w:tc>
          <w:tcPr>
            <w:tcW w:type="dxa" w:w="3503"/>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60"/>
            </w:pPr>
            <w:r>
              <w:rPr>
                <w:rFonts w:ascii="Arial" w:cs="Arial" w:eastAsia="Arial" w:hAnsi="Arial"/>
                <w:sz w:val="19"/>
                <w:szCs w:val="19"/>
              </w:rPr>
              <w:t xml:space="preserve">R10.6M extracted. Forensic investigation authority used to appoint Peter’s own accountant (Bantjies) rather than independent auditor.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b/>
                <w:bCs/>
                <w:sz w:val="21"/>
                <w:szCs w:val="21"/>
              </w:rPr>
              <w:t xml:space="preserve">Abuse of Process</w:t>
            </w:r>
          </w:p>
        </w:tc>
        <w:tc>
          <w:tcPr>
            <w:tcW w:type="dxa" w:w="35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sz w:val="19"/>
                <w:szCs w:val="19"/>
              </w:rPr>
              <w:t xml:space="preserve">Contempt application (Feb 2026) uses the order to threaten imprisonment over stock removal while Peter’s own financial misconduct under the order goes unchallenged.</w:t>
            </w:r>
          </w:p>
        </w:tc>
        <w:tc>
          <w:tcPr>
            <w:tcW w:type="dxa" w:w="35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Arial" w:cs="Arial" w:eastAsia="Arial" w:hAnsi="Arial"/>
                <w:sz w:val="19"/>
                <w:szCs w:val="19"/>
              </w:rPr>
              <w:t xml:space="preserve">Pattern: obtain order → extract funds → block oversight → punish resistance.</w:t>
            </w:r>
          </w:p>
        </w:tc>
      </w:tr>
    </w:tbl>
    <w:p>
      <w:pPr>
        <w:spacing w:after="100" w:before="0" w:line="276"/>
        <w:jc w:val="both"/>
      </w:pPr>
      <w:r>
        <w:rPr>
          <w:rFonts w:ascii="Arial" w:cs="Arial" w:eastAsia="Arial" w:hAnsi="Arial"/>
          <w:sz w:val="21"/>
          <w:szCs w:val="21"/>
        </w:rPr>
        <w:t xml:space="preserve"/>
      </w:r>
    </w:p>
    <w:p>
      <w:pPr>
        <w:pStyle w:val="Heading1"/>
        <w:spacing w:before="300" w:after="150"/>
      </w:pPr>
      <w:r>
        <w:rPr>
          <w:rFonts w:ascii="Arial" w:cs="Arial" w:eastAsia="Arial" w:hAnsi="Arial"/>
        </w:rPr>
        <w:t xml:space="preserve">6. SETTLEMENT AGREEMENT INTERACTION</w:t>
      </w:r>
    </w:p>
    <w:p>
      <w:pPr>
        <w:spacing w:after="120" w:before="0" w:line="276"/>
        <w:jc w:val="both"/>
      </w:pPr>
      <w:r>
        <w:rPr>
          <w:rFonts w:ascii="Arial" w:cs="Arial" w:eastAsia="Arial" w:hAnsi="Arial"/>
          <w:sz w:val="21"/>
          <w:szCs w:val="21"/>
        </w:rPr>
        <w:t xml:space="preserve">Two settlement agreements were signed on 18 September 2025, both annexed to the contempt application. The second (substantive) agreement explicitly:</w:t>
      </w:r>
    </w:p>
    <w:p>
      <w:pPr>
        <w:pStyle w:val="ListParagraph"/>
        <w:numPr>
          <w:ilvl w:val="0"/>
          <w:numId w:val="2"/>
        </w:numPr>
        <w:spacing w:after="80"/>
      </w:pPr>
      <w:r>
        <w:rPr>
          <w:rFonts w:ascii="Arial" w:cs="Arial" w:eastAsia="Arial" w:hAnsi="Arial"/>
          <w:b/>
          <w:bCs/>
          <w:sz w:val="21"/>
          <w:szCs w:val="21"/>
        </w:rPr>
        <w:t xml:space="preserve">Acknowledges the order remains binding (para 1.3): </w:t>
      </w:r>
      <w:r>
        <w:rPr>
          <w:rFonts w:ascii="Arial" w:cs="Arial" w:eastAsia="Arial" w:hAnsi="Arial"/>
          <w:i/>
          <w:iCs/>
          <w:sz w:val="21"/>
          <w:szCs w:val="21"/>
        </w:rPr>
        <w:t xml:space="preserve">"The parties agree to remain bound by the terms of the aforesaid order of Court until such a time as same is set aside or agreement is reached."</w:t>
      </w:r>
    </w:p>
    <w:p>
      <w:pPr>
        <w:pStyle w:val="ListParagraph"/>
        <w:numPr>
          <w:ilvl w:val="0"/>
          <w:numId w:val="2"/>
        </w:numPr>
        <w:spacing w:after="80"/>
      </w:pPr>
      <w:r>
        <w:rPr>
          <w:rFonts w:ascii="Arial" w:cs="Arial" w:eastAsia="Arial" w:hAnsi="Arial"/>
          <w:b/>
          <w:bCs/>
          <w:sz w:val="21"/>
          <w:szCs w:val="21"/>
        </w:rPr>
        <w:t xml:space="preserve">Mandates joint forensic investigation (para 2.1.1): </w:t>
      </w:r>
      <w:r>
        <w:rPr>
          <w:rFonts w:ascii="Arial" w:cs="Arial" w:eastAsia="Arial" w:hAnsi="Arial"/>
          <w:sz w:val="21"/>
          <w:szCs w:val="21"/>
        </w:rPr>
        <w:t xml:space="preserve">Forvis Mazars appointed jointly — not under Peter’s exclusive control.</w:t>
      </w:r>
    </w:p>
    <w:p>
      <w:pPr>
        <w:pStyle w:val="ListParagraph"/>
        <w:numPr>
          <w:ilvl w:val="0"/>
          <w:numId w:val="2"/>
        </w:numPr>
        <w:spacing w:after="80"/>
      </w:pPr>
      <w:r>
        <w:rPr>
          <w:rFonts w:ascii="Arial" w:cs="Arial" w:eastAsia="Arial" w:hAnsi="Arial"/>
          <w:b/>
          <w:bCs/>
          <w:sz w:val="21"/>
          <w:szCs w:val="21"/>
        </w:rPr>
        <w:t xml:space="preserve">Requires Peter to notify before transacting (para 2.2.1.1): </w:t>
      </w:r>
      <w:r>
        <w:rPr>
          <w:rFonts w:ascii="Arial" w:cs="Arial" w:eastAsia="Arial" w:hAnsi="Arial"/>
          <w:sz w:val="21"/>
          <w:szCs w:val="21"/>
        </w:rPr>
        <w:t xml:space="preserve">Peter must email Jacqueline and Daniel specifying nature, value, and description of each transaction.</w:t>
      </w:r>
    </w:p>
    <w:p>
      <w:pPr>
        <w:pStyle w:val="ListParagraph"/>
        <w:numPr>
          <w:ilvl w:val="0"/>
          <w:numId w:val="2"/>
        </w:numPr>
        <w:spacing w:after="80"/>
      </w:pPr>
      <w:r>
        <w:rPr>
          <w:rFonts w:ascii="Arial" w:cs="Arial" w:eastAsia="Arial" w:hAnsi="Arial"/>
          <w:b/>
          <w:bCs/>
          <w:sz w:val="21"/>
          <w:szCs w:val="21"/>
        </w:rPr>
        <w:t xml:space="preserve">Preserves respondents’ rights (para 2.2.1.2): </w:t>
      </w:r>
      <w:r>
        <w:rPr>
          <w:rFonts w:ascii="Arial" w:cs="Arial" w:eastAsia="Arial" w:hAnsi="Arial"/>
          <w:i/>
          <w:iCs/>
          <w:sz w:val="21"/>
          <w:szCs w:val="21"/>
        </w:rPr>
        <w:t xml:space="preserve">"Jacqueline and Daniel Faucitt reserve their rights in relation to any such transactions."</w:t>
      </w:r>
    </w:p>
    <w:p>
      <w:pPr>
        <w:pStyle w:val="ListParagraph"/>
        <w:numPr>
          <w:ilvl w:val="0"/>
          <w:numId w:val="2"/>
        </w:numPr>
        <w:spacing w:after="80"/>
      </w:pPr>
      <w:r>
        <w:rPr>
          <w:rFonts w:ascii="Arial" w:cs="Arial" w:eastAsia="Arial" w:hAnsi="Arial"/>
          <w:b/>
          <w:bCs/>
          <w:sz w:val="21"/>
          <w:szCs w:val="21"/>
        </w:rPr>
        <w:t xml:space="preserve">Varies para 2.8.3 to remove Peter as gatekeeper (para 2.7): </w:t>
      </w:r>
      <w:r>
        <w:rPr>
          <w:rFonts w:ascii="Arial" w:cs="Arial" w:eastAsia="Arial" w:hAnsi="Arial"/>
          <w:sz w:val="21"/>
          <w:szCs w:val="21"/>
        </w:rPr>
        <w:t xml:space="preserve">Questions now flow from "the forensic investigation and the experts appointed by the forensic investigators" — not from Peter personally.</w:t>
      </w:r>
    </w:p>
    <w:p>
      <w:pPr>
        <w:pStyle w:val="ListParagraph"/>
        <w:numPr>
          <w:ilvl w:val="0"/>
          <w:numId w:val="2"/>
        </w:numPr>
        <w:spacing w:after="80"/>
      </w:pPr>
      <w:r>
        <w:rPr>
          <w:rFonts w:ascii="Arial" w:cs="Arial" w:eastAsia="Arial" w:hAnsi="Arial"/>
          <w:b/>
          <w:bCs/>
          <w:sz w:val="21"/>
          <w:szCs w:val="21"/>
        </w:rPr>
        <w:t xml:space="preserve">Preserves court access (para 2.8): </w:t>
      </w:r>
      <w:r>
        <w:rPr>
          <w:rFonts w:ascii="Arial" w:cs="Arial" w:eastAsia="Arial" w:hAnsi="Arial"/>
          <w:i/>
          <w:iCs/>
          <w:sz w:val="21"/>
          <w:szCs w:val="21"/>
        </w:rPr>
        <w:t xml:space="preserve">"This shall not preclude any party from approaching a Court for any appropriate or necessary relief."</w:t>
      </w:r>
    </w:p>
    <w:p>
      <w:pPr>
        <w:spacing w:after="120" w:before="0" w:line="276"/>
        <w:jc w:val="both"/>
      </w:pPr>
      <w:r>
        <w:rPr>
          <w:rFonts w:ascii="Arial" w:cs="Arial" w:eastAsia="Arial" w:hAnsi="Arial"/>
          <w:sz w:val="21"/>
          <w:szCs w:val="21"/>
        </w:rPr>
        <w:t xml:space="preserve">The settlement agreement therefore </w:t>
      </w:r>
      <w:r>
        <w:rPr>
          <w:rFonts w:ascii="Arial" w:cs="Arial" w:eastAsia="Arial" w:hAnsi="Arial"/>
          <w:b/>
          <w:bCs/>
          <w:sz w:val="21"/>
          <w:szCs w:val="21"/>
        </w:rPr>
        <w:t xml:space="preserve">narrows</w:t>
      </w:r>
      <w:r>
        <w:rPr>
          <w:rFonts w:ascii="Arial" w:cs="Arial" w:eastAsia="Arial" w:hAnsi="Arial"/>
          <w:sz w:val="21"/>
          <w:szCs w:val="21"/>
        </w:rPr>
        <w:t xml:space="preserve"> Peter’s unilateral authority while </w:t>
      </w:r>
      <w:r>
        <w:rPr>
          <w:rFonts w:ascii="Arial" w:cs="Arial" w:eastAsia="Arial" w:hAnsi="Arial"/>
          <w:b/>
          <w:bCs/>
          <w:sz w:val="21"/>
          <w:szCs w:val="21"/>
        </w:rPr>
        <w:t xml:space="preserve">broadening</w:t>
      </w:r>
      <w:r>
        <w:rPr>
          <w:rFonts w:ascii="Arial" w:cs="Arial" w:eastAsia="Arial" w:hAnsi="Arial"/>
          <w:sz w:val="21"/>
          <w:szCs w:val="21"/>
        </w:rPr>
        <w:t xml:space="preserve"> the respondents’ cooperation obligations. Peter’s subsequent conduct (failing to notify transactions, redirecting revenue, blocking independent audit) violates his own settlement agreement obligations.</w:t>
      </w:r>
    </w:p>
    <w:p>
      <w:pPr>
        <w:pStyle w:val="Heading1"/>
        <w:spacing w:before="300" w:after="150"/>
      </w:pPr>
      <w:r>
        <w:rPr>
          <w:rFonts w:ascii="Arial" w:cs="Arial" w:eastAsia="Arial" w:hAnsi="Arial"/>
        </w:rPr>
        <w:t xml:space="preserve">7. CONCLUSION</w:t>
      </w:r>
    </w:p>
    <w:p>
      <w:pPr>
        <w:spacing w:after="120" w:before="0" w:line="276"/>
        <w:jc w:val="both"/>
      </w:pPr>
      <w:r>
        <w:rPr>
          <w:rFonts w:ascii="Arial" w:cs="Arial" w:eastAsia="Arial" w:hAnsi="Arial"/>
          <w:sz w:val="21"/>
          <w:szCs w:val="21"/>
        </w:rPr>
        <w:t xml:space="preserve">The Part A court order of 19 August 2025, properly read:</w:t>
      </w:r>
    </w:p>
    <w:p>
      <w:pPr>
        <w:pStyle w:val="ListParagraph"/>
        <w:numPr>
          <w:ilvl w:val="0"/>
          <w:numId w:val="3"/>
        </w:numPr>
        <w:spacing w:after="80"/>
      </w:pPr>
      <w:r>
        <w:rPr>
          <w:rFonts w:ascii="Arial" w:cs="Arial" w:eastAsia="Arial" w:hAnsi="Arial"/>
          <w:b/>
          <w:bCs/>
          <w:sz w:val="21"/>
          <w:szCs w:val="21"/>
        </w:rPr>
        <w:t xml:space="preserve">Does NOT</w:t>
      </w:r>
      <w:r>
        <w:rPr>
          <w:rFonts w:ascii="Arial" w:cs="Arial" w:eastAsia="Arial" w:hAnsi="Arial"/>
          <w:sz w:val="21"/>
          <w:szCs w:val="21"/>
        </w:rPr>
        <w:t xml:space="preserve"> prohibit Jacqueline or Daniel from ordering additional audits or investigations into the entities’ financial affairs.</w:t>
      </w:r>
    </w:p>
    <w:p>
      <w:pPr>
        <w:pStyle w:val="ListParagraph"/>
        <w:numPr>
          <w:ilvl w:val="0"/>
          <w:numId w:val="3"/>
        </w:numPr>
        <w:spacing w:after="80"/>
      </w:pPr>
      <w:r>
        <w:rPr>
          <w:rFonts w:ascii="Arial" w:cs="Arial" w:eastAsia="Arial" w:hAnsi="Arial"/>
          <w:b/>
          <w:bCs/>
          <w:sz w:val="21"/>
          <w:szCs w:val="21"/>
        </w:rPr>
        <w:t xml:space="preserve">MANDATES</w:t>
      </w:r>
      <w:r>
        <w:rPr>
          <w:rFonts w:ascii="Arial" w:cs="Arial" w:eastAsia="Arial" w:hAnsi="Arial"/>
          <w:sz w:val="21"/>
          <w:szCs w:val="21"/>
        </w:rPr>
        <w:t xml:space="preserve"> their cooperation with forensic investigations, including answering all questions honestly and forthrightly.</w:t>
      </w:r>
    </w:p>
    <w:p>
      <w:pPr>
        <w:pStyle w:val="ListParagraph"/>
        <w:numPr>
          <w:ilvl w:val="0"/>
          <w:numId w:val="3"/>
        </w:numPr>
        <w:spacing w:after="80"/>
      </w:pPr>
      <w:r>
        <w:rPr>
          <w:rFonts w:ascii="Arial" w:cs="Arial" w:eastAsia="Arial" w:hAnsi="Arial"/>
          <w:b/>
          <w:bCs/>
          <w:sz w:val="21"/>
          <w:szCs w:val="21"/>
        </w:rPr>
        <w:t xml:space="preserve">Prohibits only</w:t>
      </w:r>
      <w:r>
        <w:rPr>
          <w:rFonts w:ascii="Arial" w:cs="Arial" w:eastAsia="Arial" w:hAnsi="Arial"/>
          <w:sz w:val="21"/>
          <w:szCs w:val="21"/>
        </w:rPr>
        <w:t xml:space="preserve"> dealings that cause </w:t>
      </w:r>
      <w:r>
        <w:rPr>
          <w:rFonts w:ascii="Arial" w:cs="Arial" w:eastAsia="Arial" w:hAnsi="Arial"/>
          <w:i/>
          <w:iCs/>
          <w:sz w:val="21"/>
          <w:szCs w:val="21"/>
        </w:rPr>
        <w:t xml:space="preserve">prejudice</w:t>
      </w:r>
      <w:r>
        <w:rPr>
          <w:rFonts w:ascii="Arial" w:cs="Arial" w:eastAsia="Arial" w:hAnsi="Arial"/>
          <w:sz w:val="21"/>
          <w:szCs w:val="21"/>
        </w:rPr>
        <w:t xml:space="preserve"> to the entities, their employees, partners, or clientèle.</w:t>
      </w:r>
    </w:p>
    <w:p>
      <w:pPr>
        <w:pStyle w:val="ListParagraph"/>
        <w:numPr>
          <w:ilvl w:val="0"/>
          <w:numId w:val="3"/>
        </w:numPr>
        <w:spacing w:after="80"/>
      </w:pPr>
      <w:r>
        <w:rPr>
          <w:rFonts w:ascii="Arial" w:cs="Arial" w:eastAsia="Arial" w:hAnsi="Arial"/>
          <w:b/>
          <w:bCs/>
          <w:sz w:val="21"/>
          <w:szCs w:val="21"/>
        </w:rPr>
        <w:t xml:space="preserve">Grants Peter exclusive transacting authority</w:t>
      </w:r>
      <w:r>
        <w:rPr>
          <w:rFonts w:ascii="Arial" w:cs="Arial" w:eastAsia="Arial" w:hAnsi="Arial"/>
          <w:sz w:val="21"/>
          <w:szCs w:val="21"/>
        </w:rPr>
        <w:t xml:space="preserve"> but does </w:t>
      </w:r>
      <w:r>
        <w:rPr>
          <w:rFonts w:ascii="Arial" w:cs="Arial" w:eastAsia="Arial" w:hAnsi="Arial"/>
          <w:b/>
          <w:bCs/>
          <w:sz w:val="21"/>
          <w:szCs w:val="21"/>
        </w:rPr>
        <w:t xml:space="preserve">not</w:t>
      </w:r>
      <w:r>
        <w:rPr>
          <w:rFonts w:ascii="Arial" w:cs="Arial" w:eastAsia="Arial" w:hAnsi="Arial"/>
          <w:sz w:val="21"/>
          <w:szCs w:val="21"/>
        </w:rPr>
        <w:t xml:space="preserve"> grant him immunity from oversight, accountability, or independent verification.</w:t>
      </w:r>
    </w:p>
    <w:p>
      <w:pPr>
        <w:pStyle w:val="ListParagraph"/>
        <w:numPr>
          <w:ilvl w:val="0"/>
          <w:numId w:val="3"/>
        </w:numPr>
        <w:spacing w:after="80"/>
      </w:pPr>
      <w:r>
        <w:rPr>
          <w:rFonts w:ascii="Arial" w:cs="Arial" w:eastAsia="Arial" w:hAnsi="Arial"/>
          <w:sz w:val="21"/>
          <w:szCs w:val="21"/>
        </w:rPr>
        <w:t xml:space="preserve">Peter’s interpretation and application of the order — treating it as an absolute bar on all respondent involvement while using it as cover for R10.6M in revenue extraction — constitutes a </w:t>
      </w:r>
      <w:r>
        <w:rPr>
          <w:rFonts w:ascii="Arial" w:cs="Arial" w:eastAsia="Arial" w:hAnsi="Arial"/>
          <w:b/>
          <w:bCs/>
          <w:sz w:val="21"/>
          <w:szCs w:val="21"/>
        </w:rPr>
        <w:t xml:space="preserve">fundamental misrepresentation of the order’s scope</w:t>
      </w:r>
      <w:r>
        <w:rPr>
          <w:rFonts w:ascii="Arial" w:cs="Arial" w:eastAsia="Arial" w:hAnsi="Arial"/>
          <w:sz w:val="21"/>
          <w:szCs w:val="21"/>
        </w:rPr>
        <w:t xml:space="preserve"> and supports the void ab initio application.</w:t>
      </w:r>
    </w:p>
    <w:p>
      <w:pPr>
        <w:spacing w:after="100" w:before="0" w:line="276"/>
        <w:jc w:val="both"/>
      </w:pPr>
      <w:r>
        <w:rPr>
          <w:rFonts w:ascii="Arial" w:cs="Arial" w:eastAsia="Arial" w:hAnsi="Arial"/>
          <w:sz w:val="21"/>
          <w:szCs w:val="21"/>
        </w:rPr>
        <w:t xml:space="preserve"/>
      </w:r>
    </w:p>
    <w:p>
      <w:pPr>
        <w:spacing w:after="200" w:before="0" w:line="276"/>
        <w:jc w:val="both"/>
      </w:pPr>
      <w:r>
        <w:rPr>
          <w:rFonts w:ascii="Arial" w:cs="Arial" w:eastAsia="Arial" w:hAnsi="Arial"/>
          <w:i/>
          <w:iCs/>
          <w:sz w:val="21"/>
          <w:szCs w:val="21"/>
        </w:rPr>
        <w:t xml:space="preserve">Analysis prepared 11 February 2026. Based on OCR extraction of Annexure PF12 (original court order) from the Contempt Application filed 4 February 2026, cross-referenced with founding affidavit paragraphs and settlement agreements of 18 September 2025.</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Part A Court Order — Definitive Scope Analysis | Case 2025-137857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PRIVILEGED &amp; CONFIDENTIAL | ATTORNEY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160"/>
      <w:outlineLvl w:val="1"/>
    </w:pPr>
    <w:rPr>
      <w:rFonts w:ascii="Arial" w:cs="Arial" w:eastAsia="Arial" w:hAnsi="Arial"/>
      <w:b/>
      <w:bCs/>
      <w:color w:val="2C4A7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D5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2026-02-11T07:05:59.176Z</dcterms:created>
  <dcterms:modified xsi:type="dcterms:W3CDTF">2026-02-11T07:05:59.177Z</dcterms:modified>
</cp:coreProperties>
</file>

<file path=docProps/custom.xml><?xml version="1.0" encoding="utf-8"?>
<Properties xmlns="http://schemas.openxmlformats.org/officeDocument/2006/custom-properties" xmlns:vt="http://schemas.openxmlformats.org/officeDocument/2006/docPropsVTypes"/>
</file>