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IN THE HIGH COURT OF SOUTH AFRICA</w:t>
      </w:r>
    </w:p>
    <w:p>
      <w:pPr>
        <w:spacing w:after="120"/>
        <w:jc w:val="center"/>
      </w:pPr>
      <w:r>
        <w:rPr>
          <w:b/>
          <w:bCs/>
          <w:sz w:val="24"/>
          <w:szCs w:val="24"/>
        </w:rPr>
        <w:t xml:space="preserve">GAUTENG DIVISION, PRETORIA</w:t>
      </w:r>
    </w:p>
    <w:p>
      <w:pPr>
        <w:spacing w:after="200"/>
        <w:jc w:val="center"/>
      </w:pPr>
      <w:r>
        <w:rPr>
          <w:sz w:val="24"/>
          <w:szCs w:val="24"/>
        </w:rPr>
        <w:t xml:space="preserve">Case No: 2025-137857</w:t>
      </w:r>
    </w:p>
    <w:p>
      <w:pPr>
        <w:spacing w:after="60"/>
        <w:jc w:val="center"/>
      </w:pPr>
      <w:r>
        <w:rPr>
          <w:i/>
          <w:iCs/>
          <w:sz w:val="22"/>
          <w:szCs w:val="22"/>
        </w:rPr>
        <w:t xml:space="preserve">In the matter between:</w:t>
      </w:r>
    </w:p>
    <w:p>
      <w:pPr>
        <w:spacing w:after="40"/>
        <w:jc w:val="center"/>
      </w:pPr>
      <w:r>
        <w:rPr>
          <w:b/>
          <w:bCs/>
        </w:rPr>
        <w:t xml:space="preserve">PETER ANDREW FAUCITT</w:t>
      </w:r>
      <w:r>
        <w:rPr>
          <w:i/>
          <w:iCs/>
        </w:rPr>
        <w:t xml:space="preserve">    Applicant</w:t>
      </w:r>
    </w:p>
    <w:p>
      <w:pPr>
        <w:spacing w:after="40"/>
        <w:jc w:val="center"/>
      </w:pPr>
      <w:r>
        <w:rPr>
          <w:i/>
          <w:iCs/>
          <w:sz w:val="22"/>
          <w:szCs w:val="22"/>
        </w:rPr>
        <w:t xml:space="preserve">and</w:t>
      </w:r>
    </w:p>
    <w:p>
      <w:pPr>
        <w:spacing w:after="40"/>
        <w:jc w:val="center"/>
      </w:pPr>
      <w:r>
        <w:rPr>
          <w:b/>
          <w:bCs/>
        </w:rPr>
        <w:t xml:space="preserve">JACQUELINE FAUCITT</w:t>
      </w:r>
      <w:r>
        <w:rPr>
          <w:i/>
          <w:iCs/>
        </w:rPr>
        <w:t xml:space="preserve">    First Respondent</w:t>
      </w:r>
    </w:p>
    <w:p>
      <w:pPr>
        <w:spacing w:after="200"/>
        <w:jc w:val="center"/>
      </w:pPr>
      <w:r>
        <w:rPr>
          <w:b/>
          <w:bCs/>
        </w:rPr>
        <w:t xml:space="preserve">DANIEL JAMES FAUCITT</w:t>
      </w:r>
      <w:r>
        <w:rPr>
          <w:i/>
          <w:iCs/>
        </w:rPr>
        <w:t xml:space="preserve">    Second Respondent</w:t>
      </w:r>
    </w:p>
    <w:p>
      <w:pPr>
        <w:spacing w:after="120"/>
        <w:jc w:val="center"/>
      </w:pPr>
      <w:r>
        <w:rPr>
          <w:b/>
          <w:bCs/>
          <w:sz w:val="32"/>
          <w:szCs w:val="32"/>
        </w:rPr>
        <w:t xml:space="preserve">TRANSACTIONAL CONTROL VS. CORPORATE GOVERNANCE</w:t>
      </w:r>
    </w:p>
    <w:p>
      <w:pPr>
        <w:spacing w:after="60"/>
        <w:jc w:val="center"/>
      </w:pPr>
      <w:r>
        <w:rPr>
          <w:i/>
          <w:iCs/>
          <w:sz w:val="24"/>
          <w:szCs w:val="24"/>
        </w:rPr>
        <w:t xml:space="preserve">The Scope Limitation of Paragraph 2.6 Financial Control</w:t>
      </w:r>
    </w:p>
    <w:p>
      <w:pPr>
        <w:spacing w:after="60"/>
        <w:jc w:val="center"/>
      </w:pPr>
      <w:r>
        <w:rPr>
          <w:i/>
          <w:iCs/>
          <w:sz w:val="24"/>
          <w:szCs w:val="24"/>
        </w:rPr>
        <w:t xml:space="preserve">And the Preservation of Directorial Governance Authority</w:t>
      </w:r>
    </w:p>
    <w:p>
      <w:pPr>
        <w:spacing w:after="200"/>
        <w:jc w:val="center"/>
      </w:pPr>
      <w:r>
        <w:rPr>
          <w:i/>
          <w:iCs/>
          <w:sz w:val="24"/>
          <w:szCs w:val="24"/>
        </w:rPr>
        <w:t xml:space="preserve">Over Strategic, Operational, and Service-Selection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spacing w:after="60"/>
              <w:jc w:val="center"/>
            </w:pPr>
            <w:r>
              <w:rPr>
                <w:b/>
                <w:bCs/>
                <w:sz w:val="22"/>
                <w:szCs w:val="22"/>
              </w:rPr>
              <w:t xml:space="preserve">COMPANION ARGUMENT TO THE COST ALLOCATION ESTOPPEL ARGUMENT</w:t>
            </w:r>
          </w:p>
          <w:p>
            <w:pPr>
              <w:jc w:val="center"/>
            </w:pPr>
            <w:r>
              <w:rPr>
                <w:i/>
                <w:iCs/>
                <w:sz w:val="20"/>
                <w:szCs w:val="20"/>
              </w:rPr>
              <w:t xml:space="preserve">This argument operates independently of the void ab initio application and is binding regardless of the status of the pending motion.</w:t>
            </w:r>
          </w:p>
        </w:tc>
      </w:tr>
    </w:tbl>
    <w:p>
      <w:pPr>
        <w:spacing w:after="60"/>
      </w:pPr>
    </w:p>
    <w:p>
      <w:pPr>
        <w:spacing w:after="300"/>
        <w:jc w:val="right"/>
      </w:pPr>
      <w:r>
        <w:rPr>
          <w:i/>
          <w:iCs/>
        </w:rPr>
        <w:t xml:space="preserve">Prepared: 11 February 2026</w:t>
      </w:r>
    </w:p>
    <w:p>
      <w:pPr>
        <w:pStyle w:val="Heading1"/>
      </w:pPr>
      <w:r>
        <w:rPr>
          <w:b/>
          <w:bCs/>
        </w:rPr>
        <w:t xml:space="preserve">1. THE FUNDAMENTAL DISTINCTION</w:t>
      </w:r>
    </w:p>
    <w:p>
      <w:pPr>
        <w:spacing w:after="120"/>
        <w:jc w:val="both"/>
      </w:pPr>
      <w:r>
        <w:t xml:space="preserve">This argument establishes a distinction that is critical to the proper interpretation and application of the Part A Court Order of 19 August 2025, as varied by the Settlement Agreement of 18 September 2025. The distinction is between the transactional control function granted by paragraph 2.6 and the corporate governance authority that remains vested in the directors of the Third to Sixth Respondents by operation of statute.</w:t>
      </w:r>
    </w:p>
    <w:p>
      <w:pPr>
        <w:spacing w:after="120"/>
        <w:jc w:val="both"/>
      </w:pPr>
      <w:r>
        <w:t xml:space="preserve">The failure to recognise this distinction has resulted in the Applicant treating a narrow financial control provision as a mandate for total corporate domination, converting a clerical bookkeeping function into unilateral directorial authority that was never sought, never granted, and cannot lawfully exist in the hands of a single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4E8" w:val="clear"/>
            <w:tcMar>
              <w:top w:type="dxa" w:w="120"/>
              <w:left w:type="dxa" w:w="200"/>
              <w:bottom w:type="dxa" w:w="120"/>
              <w:right w:type="dxa" w:w="200"/>
            </w:tcMar>
          </w:tcPr>
          <w:p>
            <w:pPr>
              <w:spacing w:after="120"/>
              <w:jc w:val="center"/>
            </w:pPr>
            <w:r>
              <w:rPr>
                <w:b/>
                <w:bCs/>
                <w:sz w:val="26"/>
                <w:szCs w:val="26"/>
              </w:rPr>
              <w:t xml:space="preserve">THE TRANSACTIONAL / GOVERNANCE DISTINCTION</w:t>
            </w:r>
          </w:p>
          <w:p>
            <w:pPr>
              <w:spacing w:after="120"/>
              <w:jc w:val="both"/>
            </w:pPr>
            <w:r>
              <w:rPr>
                <w:b/>
                <w:bCs/>
              </w:rPr>
              <w:t xml:space="preserve">TRANSACTIONAL CONTROL (Paragraph 2.6): </w:t>
            </w:r>
            <w:r>
              <w:t xml:space="preserve">The authority to transact on entity bank accounts, process payments, and administer billing. This is a clerical bookkeeping function concerned with invoice compliance, receipt documentation, and VAT record accuracy. It determines </w:t>
            </w:r>
            <w:r>
              <w:rPr>
                <w:i/>
                <w:iCs/>
              </w:rPr>
              <w:t xml:space="preserve">who signs the cheque.</w:t>
            </w:r>
          </w:p>
          <w:p>
            <w:pPr>
              <w:spacing w:after="60"/>
            </w:pPr>
          </w:p>
          <w:p>
            <w:pPr>
              <w:spacing w:after="120"/>
              <w:jc w:val="both"/>
            </w:pPr>
            <w:r>
              <w:rPr>
                <w:b/>
                <w:bCs/>
              </w:rPr>
              <w:t xml:space="preserve">CORPORATE GOVERNANCE (Statutory): </w:t>
            </w:r>
            <w:r>
              <w:t xml:space="preserve">The authority to make decisions about which products and services the entities use, which suppliers to engage, which markets to pursue, which platforms to deploy, and which strategic investments to make. These decisions remain at the discretion of the directors in their respective fields of expertise. Governance determines </w:t>
            </w:r>
            <w:r>
              <w:rPr>
                <w:i/>
                <w:iCs/>
              </w:rPr>
              <w:t xml:space="preserve">what the cheque is for.</w:t>
            </w:r>
          </w:p>
          <w:p>
            <w:pPr>
              <w:spacing w:after="60"/>
            </w:pPr>
          </w:p>
          <w:p>
            <w:pPr>
              <w:spacing w:after="120"/>
              <w:jc w:val="both"/>
            </w:pPr>
            <w:r>
              <w:rPr>
                <w:b/>
                <w:bCs/>
              </w:rPr>
              <w:t xml:space="preserve">THE INTERFACE: </w:t>
            </w:r>
            <w:r>
              <w:t xml:space="preserve">The only point of contact between these two domains is the invoice. A governance decision produces an invoice; the transactional control function processes that invoice. The controller of transactions may verify that the invoice is correct and accurate. He may not veto the governance decision that produced it.</w:t>
            </w:r>
          </w:p>
        </w:tc>
      </w:tr>
    </w:tbl>
    <w:p>
      <w:pPr>
        <w:spacing w:after="60"/>
      </w:pPr>
    </w:p>
    <w:p>
      <w:pPr>
        <w:pStyle w:val="Heading1"/>
      </w:pPr>
      <w:r>
        <w:rPr>
          <w:b/>
          <w:bCs/>
        </w:rPr>
        <w:t xml:space="preserve">2. THE TEXTUAL BASIS</w:t>
      </w:r>
    </w:p>
    <w:p>
      <w:pPr>
        <w:pStyle w:val="Heading2"/>
      </w:pPr>
      <w:r>
        <w:rPr>
          <w:b/>
          <w:bCs/>
        </w:rPr>
        <w:t xml:space="preserve">2.1 What Paragraph 2.6 Actually Says</w:t>
      </w:r>
    </w:p>
    <w:p>
      <w:pPr>
        <w:spacing w:after="120"/>
        <w:ind w:left="720" w:right="720"/>
      </w:pPr>
      <w:r>
        <w:rPr>
          <w:i/>
          <w:iCs/>
          <w:sz w:val="22"/>
          <w:szCs w:val="22"/>
        </w:rPr>
        <w:t xml:space="preserve">"The Applicant is authorised to take control of the financial affairs of the Third to Sixth Respondents, and to that end is entitled to immediately begin transacting on those accounts, for those corporations, to the exclusion of the First, and Second Respondents."</w:t>
      </w:r>
    </w:p>
    <w:p>
      <w:pPr>
        <w:spacing w:after="120"/>
        <w:jc w:val="both"/>
      </w:pPr>
      <w:r>
        <w:t xml:space="preserve">The operative language is precise. The Applicant is authorised to "take control of the financial affairs" and to "begin transacting on those accounts." The verb is "transacting." The noun is "accounts." The phrase "financial affairs" is qualified by the operative mechanism: transacting on accounts. This is a payments-processing function. It governs who may operate the bank accounts of the entities.</w:t>
      </w:r>
    </w:p>
    <w:p>
      <w:pPr>
        <w:pStyle w:val="Heading2"/>
      </w:pPr>
      <w:r>
        <w:rPr>
          <w:b/>
          <w:bCs/>
        </w:rPr>
        <w:t xml:space="preserve">2.2 What Paragraph 2.6 Does Not Say</w:t>
      </w:r>
    </w:p>
    <w:p>
      <w:pPr>
        <w:spacing w:after="120"/>
        <w:jc w:val="both"/>
      </w:pPr>
      <w:r>
        <w:t xml:space="preserve">Paragraph 2.6 does not state that the Applicant is authorised to take control of the corporate governance, strategic management, operational decisions, asset management, service provider selection, product sourcing, market strategy, platform deployment, human resources, supply chain management, or any other aspect of the entities' affairs beyond the financial transacting function. Had the Court intended to vest the Applicant with total managerial control, the order would have said so. It did not.</w:t>
      </w:r>
    </w:p>
    <w:p>
      <w:pPr>
        <w:pStyle w:val="Heading2"/>
      </w:pPr>
      <w:r>
        <w:rPr>
          <w:b/>
          <w:bCs/>
        </w:rPr>
        <w:t xml:space="preserve">2.3 The Settlement Agreement Confirms the Clerical Nature</w:t>
      </w:r>
    </w:p>
    <w:p>
      <w:pPr>
        <w:spacing w:after="120"/>
        <w:ind w:left="720" w:right="720"/>
      </w:pPr>
      <w:r>
        <w:rPr>
          <w:i/>
          <w:iCs/>
          <w:sz w:val="22"/>
          <w:szCs w:val="22"/>
        </w:rPr>
        <w:t xml:space="preserve">"All other business expenses which have not been paid will be identified by Daniel and/or Jacqui Faucitt and provided to Peter Faucitt who will then arrange payment of such expenses, from and on behalf of the relevant entity, and subject to the provision of supporting documentation and/or invoices therefore." (Settlement Agreement, paragraph 2.4.3)</w:t>
      </w:r>
    </w:p>
    <w:p>
      <w:pPr>
        <w:spacing w:after="120"/>
        <w:jc w:val="both"/>
      </w:pPr>
      <w:r>
        <w:t xml:space="preserve">This provision reveals the true nature of the transactional control. It is a payment-processing workflow with four steps: the First and/or Second Respondents identify unpaid expenses; they provide these to the Applicant; the Applicant arranges payment from entity accounts; and this is subject to the provision of supporting documentation and invoices. This is bookkeeping. It is invoice verification. It is a compliance gatekeeping function designed to ensure that entity funds are disbursed against proper documentation.</w:t>
      </w:r>
    </w:p>
    <w:p>
      <w:pPr>
        <w:pStyle w:val="Heading1"/>
      </w:pPr>
      <w:r>
        <w:rPr>
          <w:b/>
          <w:bCs/>
        </w:rPr>
        <w:t xml:space="preserve">3. THE TWO PLANES OF AUTHORITY</w:t>
      </w:r>
    </w:p>
    <w:p>
      <w:pPr>
        <w:spacing w:after="120"/>
        <w:jc w:val="both"/>
      </w:pPr>
      <w:r>
        <w:t xml:space="preserve">The court order and settlement agreement, read together, establish two distinct and non-overlapping planes of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Dimension</w:t>
            </w:r>
          </w:p>
        </w:tc>
        <w:tc>
          <w:tcPr>
            <w:tcW w:type="dxa" w:w="37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Plane 1: Transactional Control</w:t>
            </w:r>
          </w:p>
        </w:tc>
        <w:tc>
          <w:tcPr>
            <w:tcW w:type="dxa" w:w="37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Plane 2: Corporate Governance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Source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Court Order §2.6; Settlement §2.4.3</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Companies Act s76; Close Corporations Act; Trust Property Control Act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Holder</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Applicant (exclusively)</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directors/members/trustees in their respective capacities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Function</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Operating bank accounts, processing payments, verifying invoices, ensuring VAT compliance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Deciding which suppliers to use, which products to stock, which services to engage, which markets to pursue, which platforms to deploy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Nature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Clerical / administrative / bookkeeping</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Strategic / operational / fiduciary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Scope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billing pipeline: invoices in, payments out</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All decisions about the business that produce invoices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Limitation</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May verify invoice accuracy; may not veto the underlying decision</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Must ensure invoices are correct and properly documented for processing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Analogy</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accounts payable clerk</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board of directors</w:t>
            </w:r>
          </w:p>
        </w:tc>
      </w:tr>
    </w:tbl>
    <w:p>
      <w:pPr>
        <w:spacing w:after="60"/>
      </w:pPr>
    </w:p>
    <w:p>
      <w:pPr>
        <w:pStyle w:val="Heading1"/>
      </w:pPr>
      <w:r>
        <w:rPr>
          <w:b/>
          <w:bCs/>
        </w:rPr>
        <w:t xml:space="preserve">4. THE VAT AND INVOICE COMPLIANCE DIMENSION</w:t>
      </w:r>
    </w:p>
    <w:p>
      <w:pPr>
        <w:spacing w:after="120"/>
        <w:jc w:val="both"/>
      </w:pPr>
      <w:r>
        <w:t xml:space="preserve">The transactional control function has a specific and limited compliance purpose. By requiring that all entity payments pass through a single controller with access to supporting documentation and invoices, the framework ensures that VAT records are correct, that invoices are accurate, and that entity funds are not disbursed without proper documentation. This is a tax compliance and financial administration function.</w:t>
      </w:r>
    </w:p>
    <w:p>
      <w:pPr>
        <w:spacing w:after="120"/>
        <w:jc w:val="both"/>
      </w:pPr>
      <w:r>
        <w:t xml:space="preserve">It follows that the Applicant's authority under paragraph 2.6 extends to verifying that an invoice is formally correct: that it reflects the correct VAT amount, that it is addressed to the correct entity, that the goods or services described were actually received, and that the amount is consistent with any applicable agreements. These are clerical verification steps.</w:t>
      </w:r>
    </w:p>
    <w:p>
      <w:pPr>
        <w:spacing w:after="120"/>
        <w:jc w:val="both"/>
      </w:pPr>
      <w:r>
        <w:t xml:space="preserve">The Applicant's authority does not extend to second-guessing the business decision that produced the invoice. If Jacqueline Faucitt, as CEO of RST CC, determines that a particular supplier offers the best product for the entity's needs, that is a governance decision within her fiduciary competence. If Daniel Faucitt, as Managing Director of RegimA Zone Ltd, determines that a particular IT platform best serves the entity's operational requirements, that is a governance decision within his field of expertise. The Applicant's role is to verify that the resulting invoice is correct and process the payment. He does not sit in appeal over the directors' commercial judgment.</w:t>
      </w:r>
    </w:p>
    <w:p>
      <w:pPr>
        <w:pStyle w:val="Heading1"/>
      </w:pPr>
      <w:r>
        <w:rPr>
          <w:b/>
          <w:bCs/>
        </w:rPr>
        <w:t xml:space="preserve">5. THE SCOPE BOUNDARY: WHAT THE APPLICANT MAY AND MAY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The Applicant MAY (Transactional Control)</w:t>
            </w:r>
          </w:p>
        </w:tc>
        <w:tc>
          <w:tcPr>
            <w:tcW w:type="dxa" w:w="46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The Applicant MAY NOT (Governance Overreach)</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Verify that an invoice is formally correct and reflects accurate VAT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Refuse to process a legitimate entity expense because he disagrees with the strategic decision to use that service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Require proper supporting documentation before processing payment</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Dictate which suppliers, products, or services the entities must use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Ensure that entity funds are disbursed to the correct payee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Veto operational decisions made by directors within their fields of expertise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Maintain accurate accounting records of all entity transactions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Use the withholding of payment as leverage to impose his preferred service providers or business strategies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Flag invoices that appear irregular for further verification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Block the entities from engaging particular service providers or platforms chosen by the directors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Process entity payments through the accounts he exclusively controls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Convert financial control into total corporate control by refusing to pay for services he did not personally select</w:t>
            </w:r>
          </w:p>
        </w:tc>
      </w:tr>
    </w:tbl>
    <w:p>
      <w:pPr>
        <w:spacing w:after="60"/>
      </w:pPr>
    </w:p>
    <w:p>
      <w:pPr>
        <w:pStyle w:val="Heading1"/>
      </w:pPr>
      <w:r>
        <w:rPr>
          <w:b/>
          <w:bCs/>
        </w:rPr>
        <w:t xml:space="preserve">6. THE PROFITABILITY AND STRATEGIC INVESTMENT EXCLUSION</w:t>
      </w:r>
    </w:p>
    <w:p>
      <w:pPr>
        <w:spacing w:after="120"/>
        <w:jc w:val="both"/>
      </w:pPr>
      <w:r>
        <w:t xml:space="preserve">The court order does not extend the transactional control to the domain of profitability and strategic investment. The Applicant was not appointed as a business turnaround practitioner, a business rescue practitioner, or a strategic advisor to the entities. He was granted control over the financial transacting function for the specific purpose of preserving entity assets pending a forensic investigation.</w:t>
      </w:r>
    </w:p>
    <w:p>
      <w:pPr>
        <w:spacing w:after="120"/>
        <w:jc w:val="both"/>
      </w:pPr>
      <w:r>
        <w:t xml:space="preserve">Decisions relating to profitability, growth strategy, market positioning, product development, capital allocation, supplier relationships, and service provider selection are the domain of corporate governance. These decisions are made by directors exercising their fiduciary duties under section 76 of the Companies Act, by members exercising their duties under the Close Corporations Act, and by trustees exercising their duties under the Trust Property Control Act.</w:t>
      </w:r>
    </w:p>
    <w:p>
      <w:pPr>
        <w:spacing w:after="120"/>
        <w:jc w:val="both"/>
      </w:pPr>
      <w:r>
        <w:t xml:space="preserve">The Applicant has no authority under the court order to override, countermand, or refuse to give effect to a governance decision on the grounds that he considers it unprofitable, unnecessary, or contrary to his preferred strategy. His authority begins and ends at the invoice. If the invoice is correct and properly documented, he must process it. If the invoice is incorrect, he may return it for correction. He may not substitute his commercial judgment for that of the directors.</w:t>
      </w:r>
    </w:p>
    <w:p>
      <w:pPr>
        <w:pStyle w:val="Heading1"/>
      </w:pPr>
      <w:r>
        <w:rPr>
          <w:b/>
          <w:bCs/>
        </w:rPr>
        <w:t xml:space="preserve">7. THE CONSEQUENCES OF MISAPPLICATION</w:t>
      </w:r>
    </w:p>
    <w:p>
      <w:pPr>
        <w:pStyle w:val="Heading2"/>
      </w:pPr>
      <w:r>
        <w:rPr>
          <w:b/>
          <w:bCs/>
        </w:rPr>
        <w:t xml:space="preserve">7.1 The Applicant's Pattern of Overreach</w:t>
      </w:r>
    </w:p>
    <w:p>
      <w:pPr>
        <w:spacing w:after="120"/>
        <w:jc w:val="both"/>
      </w:pPr>
      <w:r>
        <w:t xml:space="preserve">The evidence demonstrates that the Applicant has systematically treated the transactional control provision as a mandate for total corporate domination. By refusing to process entity payments for services he did not personally select, by blocking access to entity systems, and by characterising all independent action by the First and Second Respondents as violations of the interdict, the Applicant has converted a narrow financial control function into unilateral directorial authority.</w:t>
      </w:r>
    </w:p>
    <w:p>
      <w:pPr>
        <w:pStyle w:val="Heading2"/>
      </w:pPr>
      <w:r>
        <w:rPr>
          <w:b/>
          <w:bCs/>
        </w:rPr>
        <w:t xml:space="preserve">7.2 The Mechanism of Conversion</w:t>
      </w:r>
    </w:p>
    <w:p>
      <w:pPr>
        <w:spacing w:after="120"/>
        <w:jc w:val="both"/>
      </w:pPr>
      <w:r>
        <w:t xml:space="preserve">The mechanism is simple and effective. By controlling the chequebook, the Applicant controls what gets paid. By controlling what gets paid, he controls which suppliers can be engaged. By controlling which suppliers can be engaged, he controls which products and services the entities use. By controlling which products and services the entities use, he controls the entire operational direction of the businesses. This is a cascading usurpation of governance authority that the court order never authorised.</w:t>
      </w:r>
    </w:p>
    <w:p>
      <w:pPr>
        <w:pStyle w:val="Heading2"/>
      </w:pPr>
      <w:r>
        <w:rPr>
          <w:b/>
          <w:bCs/>
        </w:rPr>
        <w:t xml:space="preserve">7.3 The Effect on Directors' Fiduciary Duties</w:t>
      </w:r>
    </w:p>
    <w:p>
      <w:pPr>
        <w:spacing w:after="120"/>
        <w:jc w:val="both"/>
      </w:pPr>
      <w:r>
        <w:t xml:space="preserve">When the Applicant refuses to process payment for a service that a director has determined, in the exercise of fiduciary judgment, to be necessary for the entity, the Applicant is not exercising transactional control. He is overriding a governance decision. This prevents the directors from discharging their fiduciary duties under the Companies Act and the Close Corporations Act. The Applicant is thereby causing a breach of statutory duty by a third party, which is itself unlawful.</w:t>
      </w:r>
    </w:p>
    <w:p>
      <w:pPr>
        <w:pStyle w:val="Heading1"/>
      </w:pPr>
      <w:r>
        <w:rPr>
          <w:b/>
          <w:bCs/>
        </w:rPr>
        <w:t xml:space="preserve">8. THE INTERFACE PROTOCOL</w:t>
      </w:r>
    </w:p>
    <w:p>
      <w:pPr>
        <w:spacing w:after="120"/>
        <w:jc w:val="both"/>
      </w:pPr>
      <w:r>
        <w:t xml:space="preserve">For clarity, the proper interface between Plane 1 (Transactional Control) and Plane 2 (Corporate Governance) operates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Step</w:t>
            </w:r>
          </w:p>
        </w:tc>
        <w:tc>
          <w:tcPr>
            <w:tcW w:type="dxa" w:w="51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Action</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Actor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1</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 director makes a governance decision within their field of expertise (e.g., engages a service provider, orders stock, selects a platform)</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Director (Plane 2)</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2</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service provider issues an invoice to the relevant entity with correct VAT and supporting documentation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Service Provider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3</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First and/or Second Respondents identify the unpaid expense and provide it to the Applicant with the supporting invoice (per Settlement §2.4.3)</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First/Second Respondent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4</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Applicant verifies that the invoice is formally correct: correct entity, correct VAT, goods/services received, amount accurate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Applicant (Plane 1)</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5a</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If the invoice is correct: the Applicant arranges payment from entity accounts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Applicant (Plane 1)</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5b</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If the invoice is incorrect: the Applicant returns it for correction with specific reasons for the deficiency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Applicant (Plane 1)</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6</w:t>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First and Second Respondents reserve their rights in relation to any transactions effected during this period (per Settlement §2.2.1.2)</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First/Second Respondent</w:t>
            </w:r>
          </w:p>
        </w:tc>
      </w:tr>
    </w:tbl>
    <w:p>
      <w:pPr>
        <w:spacing w:after="60"/>
      </w:pPr>
    </w:p>
    <w:p>
      <w:pPr>
        <w:spacing w:after="120"/>
        <w:jc w:val="both"/>
      </w:pPr>
      <w:r>
        <w:rPr>
          <w:b/>
          <w:bCs/>
        </w:rPr>
        <w:t xml:space="preserve">At no point in this protocol does the Applicant exercise a veto over the governance decision at Step 1. </w:t>
      </w:r>
      <w:r>
        <w:t xml:space="preserve">His authority commences at Step 4 (invoice verification) and terminates at Step 5 (payment processing). The decision to engage the service provider, select the product, or deploy the platform is not his to make, unmake, or obstruct.</w:t>
      </w:r>
    </w:p>
    <w:p>
      <w:pPr>
        <w:pStyle w:val="Heading1"/>
      </w:pPr>
      <w:r>
        <w:rPr>
          <w:b/>
          <w:bCs/>
        </w:rPr>
        <w:t xml:space="preserve">9. THE VOID AB INITIO IMPLICATIONS</w:t>
      </w:r>
    </w:p>
    <w:p>
      <w:pPr>
        <w:spacing w:after="120"/>
        <w:jc w:val="both"/>
      </w:pPr>
      <w:r>
        <w:t xml:space="preserve">This distinction reinforces the void ab initio case on an additional ground. If the Applicant intended, at the time of the ex parte application, to use the transactional control provision as a mechanism for total corporate domination rather than mere financial administration, this constitutes a material non-disclosure to the Court. The application was presented as a protective remedy to prevent alleged mismanagement of funds. It was not presented as a bid for unilateral directorial authority over all aspects of the entities' operations.</w:t>
      </w:r>
    </w:p>
    <w:p>
      <w:pPr>
        <w:spacing w:after="120"/>
        <w:jc w:val="both"/>
      </w:pPr>
      <w:r>
        <w:t xml:space="preserve">The Applicant's subsequent conduct, specifically his systematic refusal to process payments for services he did not personally approve, his blocking of all operational access, and his characterisation of legitimate governance decisions as interdict violations, demonstrates that the order was sought for a purpose materially different from the one presented to the Court. This is fraud on the court, and it is an independent ground for the order to be set aside as void ab initio.</w:t>
      </w:r>
    </w:p>
    <w:p>
      <w:pPr>
        <w:pStyle w:val="Heading1"/>
      </w:pPr>
      <w:r>
        <w:rPr>
          <w:b/>
          <w:bCs/>
        </w:rPr>
        <w:t xml:space="preserve">10. CONCLUSION AND PROPOSITIONS</w:t>
      </w:r>
    </w:p>
    <w:p>
      <w:pPr>
        <w:spacing w:after="120"/>
        <w:jc w:val="both"/>
      </w:pPr>
      <w:r>
        <w:t xml:space="preserve">For the reasons set out above, the following propositions are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w:t>
            </w:r>
          </w:p>
        </w:tc>
        <w:tc>
          <w:tcPr>
            <w:tcW w:type="dxa" w:w="8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sz w:val="22"/>
                <w:szCs w:val="22"/>
              </w:rPr>
              <w:t xml:space="preserve">Proposition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1</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court order grants the Applicant transactional control over entity bank accounts. This is a clerical bookkeeping function limited to payment processing, invoice verification, and VAT compliance. It does not constitute a grant of corporate governance authority.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2</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Decisions relating to which products and services the entities use, which suppliers to engage, which platforms to deploy, and which strategic investments to pursue remain at the discretion of the directors in their respective fields of expertise, as required by their fiduciary duties under the Companies Act, Close Corporations Act, and Trust Property Control Act.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3</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Applicant may not refuse to process a legitimate entity expense on the grounds that he disagrees with the governance decision that produced it. His authority extends to verifying invoice accuracy, not to vetoing business decisions.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4</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court order does not extend the transactional control to the domain of profitability and strategic investment. It is focused on the billing aspect: ensuring invoices are correct and entity funds are properly disbursed.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5</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Any use of the transactional control function to override, obstruct, or veto governance decisions constitutes an overreach of the court order and a usurpation of authority that was never granted.</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6</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The Applicant's systematic conversion of transactional control into total corporate domination constitutes an additional ground for the void ab initio application, as it evidences a purpose materially different from the one presented to the Court in the ex parte application.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sz w:val="22"/>
                <w:szCs w:val="22"/>
              </w:rPr>
              <w:t xml:space="preserve">7</w:t>
            </w:r>
          </w:p>
        </w:tc>
        <w:tc>
          <w:tcPr>
            <w:tcW w:type="dxa" w:w="8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This argument operates as a companion to the Cost Allocation Estoppel Argument and is binding independently of the void ab initio application.</w:t>
            </w:r>
          </w:p>
        </w:tc>
      </w:tr>
    </w:tbl>
    <w:p>
      <w:pPr>
        <w:spacing w:after="60"/>
      </w:pPr>
    </w:p>
    <w:p>
      <w:pPr>
        <w:pStyle w:val="Heading2"/>
      </w:pPr>
      <w:r>
        <w:rPr>
          <w:b/>
          <w:bCs/>
        </w:rPr>
        <w:t xml:space="preserve">Relief Sought</w:t>
      </w:r>
    </w:p>
    <w:p>
      <w:pPr>
        <w:spacing w:after="120"/>
        <w:jc w:val="both"/>
      </w:pPr>
      <w:r>
        <w:t xml:space="preserve">The First and Second Respondents accordingly request, in addition to the relief sought in the Cost Allocation Estoppel Argument:</w:t>
      </w:r>
    </w:p>
    <w:p>
      <w:pPr>
        <w:pStyle w:val="ListParagraph"/>
        <w:numPr>
          <w:ilvl w:val="0"/>
          <w:numId w:val="2"/>
        </w:numPr>
        <w:spacing w:after="100"/>
      </w:pPr>
      <w:r>
        <w:t xml:space="preserve">A declaratory order confirming that the Applicant's authority under paragraph 2.6 is limited to the transactional control function and does not extend to corporate governance, strategic management, operational decisions, or service provider selection;</w:t>
      </w:r>
    </w:p>
    <w:p>
      <w:pPr>
        <w:pStyle w:val="ListParagraph"/>
        <w:numPr>
          <w:ilvl w:val="0"/>
          <w:numId w:val="2"/>
        </w:numPr>
        <w:spacing w:after="100"/>
      </w:pPr>
      <w:r>
        <w:t xml:space="preserve">A declaratory order confirming that decisions relating to the products, services, suppliers, platforms, and strategic direction of the entities remain within the governance authority of the directors in their respective capacities;</w:t>
      </w:r>
    </w:p>
    <w:p>
      <w:pPr>
        <w:pStyle w:val="ListParagraph"/>
        <w:numPr>
          <w:ilvl w:val="0"/>
          <w:numId w:val="2"/>
        </w:numPr>
        <w:spacing w:after="100"/>
      </w:pPr>
      <w:r>
        <w:t xml:space="preserve">An order interdicting the Applicant from refusing to process legitimate entity expenses on the grounds that he disagrees with the underlying governance decision;</w:t>
      </w:r>
    </w:p>
    <w:p>
      <w:pPr>
        <w:pStyle w:val="ListParagraph"/>
        <w:numPr>
          <w:ilvl w:val="0"/>
          <w:numId w:val="2"/>
        </w:numPr>
        <w:spacing w:after="100"/>
      </w:pPr>
      <w:r>
        <w:t xml:space="preserve">An order directing the Applicant to process all outstanding entity invoices that are formally correct and accompanied by proper documentation, within 10 days of receipt;</w:t>
      </w:r>
    </w:p>
    <w:p>
      <w:pPr>
        <w:pStyle w:val="ListParagraph"/>
        <w:numPr>
          <w:ilvl w:val="0"/>
          <w:numId w:val="2"/>
        </w:numPr>
        <w:spacing w:after="100"/>
      </w:pPr>
      <w:r>
        <w:t xml:space="preserve">An order confirming that the Applicant's transactional control function is a clerical bookkeeping function that may not be used as a veto mechanism over the entities' operational and strategic decisions;</w:t>
      </w:r>
    </w:p>
    <w:p>
      <w:pPr>
        <w:pStyle w:val="ListParagraph"/>
        <w:numPr>
          <w:ilvl w:val="0"/>
          <w:numId w:val="2"/>
        </w:numPr>
        <w:spacing w:after="200"/>
      </w:pPr>
      <w:r>
        <w:t xml:space="preserve">Costs of this application on the party and party scale.</w:t>
      </w:r>
    </w:p>
    <w:p>
      <w:pPr>
        <w:spacing w:after="60"/>
      </w:pPr>
    </w:p>
    <w:p>
      <w:pPr>
        <w:spacing w:after="60"/>
        <w:jc w:val="left"/>
      </w:pPr>
      <w:r>
        <w:rPr>
          <w:i/>
          <w:iCs/>
        </w:rPr>
        <w:t xml:space="preserve">Prepared: 11 February 2026</w:t>
      </w:r>
    </w:p>
    <w:p>
      <w:pPr>
        <w:spacing w:after="60"/>
        <w:jc w:val="left"/>
      </w:pPr>
      <w:r>
        <w:rPr>
          <w:i/>
          <w:iCs/>
        </w:rPr>
        <w:t xml:space="preserve">On behalf of the First and Second Respondents</w:t>
      </w:r>
    </w:p>
    <w:p>
      <w:pPr>
        <w:jc w:val="left"/>
      </w:pPr>
      <w:r>
        <w:rPr>
          <w:i/>
          <w:iCs/>
        </w:rPr>
        <w:t xml:space="preserve">Case No: 2025-137857 | Gauteng Division, Pretoria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Case No: 2025-137857 | Transactional Control vs. Governance Distinction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2026-02-11T11:01:00.956Z</dcterms:created>
  <dcterms:modified xsi:type="dcterms:W3CDTF">2026-02-11T11:01:00.957Z</dcterms:modified>
</cp:coreProperties>
</file>

<file path=docProps/custom.xml><?xml version="1.0" encoding="utf-8"?>
<Properties xmlns="http://schemas.openxmlformats.org/officeDocument/2006/custom-properties" xmlns:vt="http://schemas.openxmlformats.org/officeDocument/2006/docPropsVTypes"/>
</file>