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24"/>
          <w:szCs w:val="24"/>
        </w:rPr>
        <w:t xml:space="preserve">IN THE HIGH COURT OF SOUTH AFRICA</w:t>
      </w:r>
    </w:p>
    <w:p>
      <w:pPr>
        <w:spacing w:after="100"/>
        <w:jc w:val="center"/>
      </w:pPr>
      <w:r>
        <w:rPr>
          <w:rFonts w:ascii="Arial" w:cs="Arial" w:eastAsia="Arial" w:hAnsi="Arial"/>
          <w:color w:val="1B3A5C"/>
          <w:sz w:val="22"/>
          <w:szCs w:val="22"/>
        </w:rPr>
        <w:t xml:space="preserve">GAUTENG DIVISION, PRETORIA</w:t>
      </w:r>
    </w:p>
    <w:p>
      <w:pPr>
        <w:spacing w:after="300"/>
        <w:jc w:val="center"/>
      </w:pPr>
      <w:r>
        <w:rPr>
          <w:rFonts w:ascii="Arial" w:cs="Arial" w:eastAsia="Arial" w:hAnsi="Arial"/>
          <w:color w:val="1B3A5C"/>
          <w:sz w:val="22"/>
          <w:szCs w:val="22"/>
        </w:rPr>
        <w:t xml:space="preserve">Case No: 2025-137857</w:t>
      </w:r>
    </w:p>
    <w:p>
      <w:pPr>
        <w:spacing w:after="60"/>
        <w:jc w:val="center"/>
      </w:pPr>
      <w:r>
        <w:rPr>
          <w:rFonts w:ascii="Arial" w:cs="Arial" w:eastAsia="Arial" w:hAnsi="Arial"/>
          <w:i/>
          <w:iCs/>
          <w:sz w:val="20"/>
          <w:szCs w:val="20"/>
        </w:rPr>
        <w:t xml:space="preserve">In the matter between:</w:t>
      </w:r>
    </w:p>
    <w:p>
      <w:pPr>
        <w:spacing w:after="60"/>
        <w:jc w:val="center"/>
      </w:pPr>
      <w:r>
        <w:rPr>
          <w:rFonts w:ascii="Arial" w:cs="Arial" w:eastAsia="Arial" w:hAnsi="Arial"/>
          <w:b/>
          <w:bCs/>
          <w:sz w:val="24"/>
          <w:szCs w:val="24"/>
        </w:rPr>
        <w:t xml:space="preserve">PETER ANDREW FAUCITT</w:t>
      </w:r>
      <w:r>
        <w:rPr>
          <w:rFonts w:ascii="Arial" w:cs="Arial" w:eastAsia="Arial" w:hAnsi="Arial"/>
          <w:i/>
          <w:iCs/>
          <w:sz w:val="20"/>
          <w:szCs w:val="20"/>
        </w:rPr>
        <w:t xml:space="preserve">          Applicant</w:t>
      </w:r>
    </w:p>
    <w:p>
      <w:pPr>
        <w:spacing w:after="60"/>
        <w:jc w:val="center"/>
      </w:pPr>
      <w:r>
        <w:rPr>
          <w:rFonts w:ascii="Arial" w:cs="Arial" w:eastAsia="Arial" w:hAnsi="Arial"/>
          <w:i/>
          <w:iCs/>
          <w:sz w:val="20"/>
          <w:szCs w:val="20"/>
        </w:rPr>
        <w:t xml:space="preserve">and</w:t>
      </w:r>
    </w:p>
    <w:p>
      <w:pPr>
        <w:spacing w:after="60"/>
        <w:jc w:val="center"/>
      </w:pPr>
      <w:r>
        <w:rPr>
          <w:rFonts w:ascii="Arial" w:cs="Arial" w:eastAsia="Arial" w:hAnsi="Arial"/>
          <w:b/>
          <w:bCs/>
          <w:sz w:val="22"/>
          <w:szCs w:val="22"/>
        </w:rPr>
        <w:t xml:space="preserve">JACQUELINE FAUCITT</w:t>
      </w:r>
      <w:r>
        <w:rPr>
          <w:rFonts w:ascii="Arial" w:cs="Arial" w:eastAsia="Arial" w:hAnsi="Arial"/>
          <w:i/>
          <w:iCs/>
          <w:sz w:val="20"/>
          <w:szCs w:val="20"/>
        </w:rPr>
        <w:t xml:space="preserve">          First Respondent</w:t>
      </w:r>
    </w:p>
    <w:p>
      <w:pPr>
        <w:spacing w:after="60"/>
        <w:jc w:val="center"/>
      </w:pPr>
      <w:r>
        <w:rPr>
          <w:rFonts w:ascii="Arial" w:cs="Arial" w:eastAsia="Arial" w:hAnsi="Arial"/>
          <w:b/>
          <w:bCs/>
          <w:sz w:val="22"/>
          <w:szCs w:val="22"/>
        </w:rPr>
        <w:t xml:space="preserve">DANIEL JAMES FAUCITT</w:t>
      </w:r>
      <w:r>
        <w:rPr>
          <w:rFonts w:ascii="Arial" w:cs="Arial" w:eastAsia="Arial" w:hAnsi="Arial"/>
          <w:i/>
          <w:iCs/>
          <w:sz w:val="20"/>
          <w:szCs w:val="20"/>
        </w:rPr>
        <w:t xml:space="preserve">          Second Respondent</w:t>
      </w:r>
    </w:p>
    <w:p>
      <w:pPr>
        <w:spacing w:before="600"/>
      </w:pPr>
    </w:p>
    <w:p>
      <w:pPr>
        <w:pBdr>
          <w:top w:val="single" w:color="1B3A5C" w:sz="2"/>
          <w:bottom w:val="single" w:color="1B3A5C" w:sz="2"/>
        </w:pBdr>
        <w:jc w:val="center"/>
      </w:pPr>
      <w:r>
        <w:rPr>
          <w:sz w:val="10"/>
          <w:szCs w:val="10"/>
        </w:rPr>
        <w:t xml:space="preserve"> </w:t>
      </w:r>
    </w:p>
    <w:p>
      <w:pPr>
        <w:spacing w:before="200" w:after="100"/>
        <w:jc w:val="center"/>
      </w:pPr>
      <w:r>
        <w:rPr>
          <w:rFonts w:ascii="Arial" w:cs="Arial" w:eastAsia="Arial" w:hAnsi="Arial"/>
          <w:b/>
          <w:bCs/>
          <w:color w:val="1B3A5C"/>
          <w:sz w:val="36"/>
          <w:szCs w:val="36"/>
        </w:rPr>
        <w:t xml:space="preserve">COST ALLOCATION ESTOPPEL ARGUMENT</w:t>
      </w:r>
    </w:p>
    <w:p>
      <w:pPr>
        <w:spacing w:after="100"/>
        <w:jc w:val="center"/>
      </w:pPr>
      <w:r>
        <w:rPr>
          <w:rFonts w:ascii="Arial" w:cs="Arial" w:eastAsia="Arial" w:hAnsi="Arial"/>
          <w:i/>
          <w:iCs/>
          <w:color w:val="2C5F8A"/>
          <w:sz w:val="24"/>
          <w:szCs w:val="24"/>
        </w:rPr>
        <w:t xml:space="preserve">The Binary Classification of Entity vs. Personal Expenses</w:t>
      </w:r>
    </w:p>
    <w:p>
      <w:pPr>
        <w:spacing w:after="100"/>
        <w:jc w:val="center"/>
      </w:pPr>
      <w:r>
        <w:rPr>
          <w:rFonts w:ascii="Arial" w:cs="Arial" w:eastAsia="Arial" w:hAnsi="Arial"/>
          <w:i/>
          <w:iCs/>
          <w:color w:val="2C5F8A"/>
          <w:sz w:val="24"/>
          <w:szCs w:val="24"/>
        </w:rPr>
        <w:t xml:space="preserve">And the Applicant’s Sole Obligation to Process All Entity Costs</w:t>
      </w:r>
    </w:p>
    <w:p>
      <w:pPr>
        <w:spacing w:after="200"/>
        <w:jc w:val="center"/>
      </w:pPr>
      <w:r>
        <w:rPr>
          <w:rFonts w:ascii="Arial" w:cs="Arial" w:eastAsia="Arial" w:hAnsi="Arial"/>
          <w:i/>
          <w:iCs/>
          <w:color w:val="2C5F8A"/>
          <w:sz w:val="24"/>
          <w:szCs w:val="24"/>
        </w:rPr>
        <w:t xml:space="preserve">While Preserving the Fiduciary and Statutory Duties of the First and Second Respondents</w:t>
      </w:r>
    </w:p>
    <w:p>
      <w:pPr>
        <w:pBdr>
          <w:top w:val="single" w:color="1B3A5C" w:sz="2"/>
          <w:bottom w:val="single" w:color="1B3A5C" w:sz="2"/>
        </w:pBdr>
        <w:jc w:val="center"/>
      </w:pPr>
      <w:r>
        <w:rPr>
          <w:sz w:val="10"/>
          <w:szCs w:val="10"/>
        </w:rPr>
        <w:t xml:space="preserve"> </w:t>
      </w:r>
    </w:p>
    <w:p>
      <w:pPr>
        <w:spacing w:before="400"/>
      </w:pPr>
    </w:p>
    <w:p>
      <w:pPr>
        <w:spacing w:after="60"/>
        <w:jc w:val="center"/>
      </w:pPr>
      <w:r>
        <w:rPr>
          <w:rFonts w:ascii="Arial" w:cs="Arial" w:eastAsia="Arial" w:hAnsi="Arial"/>
          <w:b/>
          <w:bCs/>
          <w:color w:val="C0392B"/>
          <w:sz w:val="20"/>
          <w:szCs w:val="20"/>
        </w:rPr>
        <w:t xml:space="preserve">This argument operates independently of the void ab initio application</w:t>
      </w:r>
    </w:p>
    <w:p>
      <w:pPr>
        <w:spacing w:after="60"/>
        <w:jc w:val="center"/>
      </w:pPr>
      <w:r>
        <w:rPr>
          <w:rFonts w:ascii="Arial" w:cs="Arial" w:eastAsia="Arial" w:hAnsi="Arial"/>
          <w:b/>
          <w:bCs/>
          <w:color w:val="C0392B"/>
          <w:sz w:val="20"/>
          <w:szCs w:val="20"/>
        </w:rPr>
        <w:t xml:space="preserve">and is binding regardless of the status of the pending motion.</w:t>
      </w:r>
    </w:p>
    <w:p>
      <w:pPr>
        <w:spacing w:after="200"/>
        <w:jc w:val="center"/>
      </w:pPr>
      <w:r>
        <w:rPr>
          <w:rFonts w:ascii="Arial" w:cs="Arial" w:eastAsia="Arial" w:hAnsi="Arial"/>
          <w:color w:val="888888"/>
          <w:sz w:val="18"/>
          <w:szCs w:val="18"/>
        </w:rPr>
        <w:t xml:space="preserve">Prepared: 11 February 2026</w:t>
      </w:r>
    </w:p>
    <w:p>
      <w:r>
        <w:br/>
      </w:r>
    </w:p>
    <w:p>
      <w:pPr>
        <w:pStyle w:val="Heading1"/>
        <w:spacing w:before="300" w:after="150"/>
      </w:pPr>
      <w:r>
        <w:rPr>
          <w:rFonts w:ascii="Arial" w:cs="Arial" w:eastAsia="Arial" w:hAnsi="Arial"/>
          <w:b/>
          <w:bCs/>
        </w:rPr>
        <w:t xml:space="preserve">1. INTRODUCTION AND THE BINARY PRINCIPLE</w:t>
      </w:r>
    </w:p>
    <w:p>
      <w:pPr>
        <w:spacing w:after="120" w:line="276"/>
      </w:pPr>
      <w:r>
        <w:rPr>
          <w:rFonts w:ascii="Arial" w:cs="Arial" w:eastAsia="Arial" w:hAnsi="Arial"/>
          <w:sz w:val="22"/>
          <w:szCs w:val="22"/>
        </w:rPr>
        <w:t xml:space="preserve">This argument demonstrates that the Applicant’s own filings create a binding cost allocation framework that produces a clean binary classification for every expense arising in this matter. This framework operates as a matter of law regardless of the status of any pending void ab initio application.</w:t>
      </w:r>
    </w:p>
    <w:p>
      <w:pPr>
        <w:spacing w:after="120" w:line="276"/>
      </w:pPr>
      <w:r>
        <w:rPr>
          <w:rFonts w:ascii="Arial" w:cs="Arial" w:eastAsia="Arial" w:hAnsi="Arial"/>
          <w:sz w:val="22"/>
          <w:szCs w:val="22"/>
        </w:rPr>
        <w:t xml:space="preserve">The binary principle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D4EDDA" w:val="clear"/>
            <w:tcMar>
              <w:top w:type="dxa" w:w="200"/>
              <w:left w:type="dxa" w:w="300"/>
              <w:bottom w:type="dxa" w:w="200"/>
              <w:right w:type="dxa" w:w="300"/>
            </w:tcMar>
          </w:tcPr>
          <w:p>
            <w:pPr>
              <w:spacing w:after="120"/>
              <w:jc w:val="center"/>
            </w:pPr>
            <w:r>
              <w:rPr>
                <w:rFonts w:ascii="Arial" w:cs="Arial" w:eastAsia="Arial" w:hAnsi="Arial"/>
                <w:b/>
                <w:bCs/>
                <w:color w:val="1B3A5C"/>
                <w:sz w:val="26"/>
                <w:szCs w:val="26"/>
              </w:rPr>
              <w:t xml:space="preserve">THE BINARY CLASSIFICATION TEST</w:t>
            </w:r>
          </w:p>
          <w:p>
            <w:pPr>
              <w:spacing w:after="100"/>
            </w:pPr>
            <w:r>
              <w:rPr>
                <w:rFonts w:ascii="Arial" w:cs="Arial" w:eastAsia="Arial" w:hAnsi="Arial"/>
                <w:b/>
                <w:bCs/>
                <w:color w:val="1B3A5C"/>
                <w:sz w:val="22"/>
                <w:szCs w:val="22"/>
              </w:rPr>
              <w:t xml:space="preserve">TEST A — ENTITY EXPENSE: </w:t>
            </w:r>
            <w:r>
              <w:rPr>
                <w:rFonts w:ascii="Arial" w:cs="Arial" w:eastAsia="Arial" w:hAnsi="Arial"/>
                <w:sz w:val="22"/>
                <w:szCs w:val="22"/>
              </w:rPr>
              <w:t xml:space="preserve">Any matter cited by the Applicant as falling within the scope of his control under the court order or settlement agreement is </w:t>
            </w:r>
            <w:r>
              <w:rPr>
                <w:rFonts w:ascii="Arial" w:cs="Arial" w:eastAsia="Arial" w:hAnsi="Arial"/>
                <w:i/>
                <w:iCs/>
                <w:sz w:val="22"/>
                <w:szCs w:val="22"/>
              </w:rPr>
              <w:t xml:space="preserve">de facto</w:t>
            </w:r>
            <w:r>
              <w:rPr>
                <w:rFonts w:ascii="Arial" w:cs="Arial" w:eastAsia="Arial" w:hAnsi="Arial"/>
                <w:sz w:val="22"/>
                <w:szCs w:val="22"/>
              </w:rPr>
              <w:t xml:space="preserve"> an entity expense, to be billed to the Applicant for payment from the accounts of the Third to Sixth Respondents.</w:t>
            </w:r>
          </w:p>
          <w:p>
            <w:pPr>
              <w:spacing w:after="100"/>
            </w:pPr>
            <w:r>
              <w:rPr>
                <w:rFonts w:ascii="Arial" w:cs="Arial" w:eastAsia="Arial" w:hAnsi="Arial"/>
                <w:b/>
                <w:bCs/>
                <w:color w:val="1B3A5C"/>
                <w:sz w:val="22"/>
                <w:szCs w:val="22"/>
              </w:rPr>
              <w:t xml:space="preserve">TEST B — PERSONAL MATTER: </w:t>
            </w:r>
            <w:r>
              <w:rPr>
                <w:rFonts w:ascii="Arial" w:cs="Arial" w:eastAsia="Arial" w:hAnsi="Arial"/>
                <w:sz w:val="22"/>
                <w:szCs w:val="22"/>
              </w:rPr>
              <w:t xml:space="preserve">Any matter that falls under the personal concerns of the First and/or Second Respondents is </w:t>
            </w:r>
            <w:r>
              <w:rPr>
                <w:rFonts w:ascii="Arial" w:cs="Arial" w:eastAsia="Arial" w:hAnsi="Arial"/>
                <w:i/>
                <w:iCs/>
                <w:sz w:val="22"/>
                <w:szCs w:val="22"/>
              </w:rPr>
              <w:t xml:space="preserve">de facto</w:t>
            </w:r>
            <w:r>
              <w:rPr>
                <w:rFonts w:ascii="Arial" w:cs="Arial" w:eastAsia="Arial" w:hAnsi="Arial"/>
                <w:sz w:val="22"/>
                <w:szCs w:val="22"/>
              </w:rPr>
              <w:t xml:space="preserve"> outside the purview of the Applicant and may not be billed as an entity expense.</w:t>
            </w:r>
          </w:p>
          <w:p>
            <w:pPr>
              <w:spacing w:after="0"/>
              <w:jc w:val="center"/>
            </w:pPr>
            <w:r>
              <w:rPr>
                <w:rFonts w:ascii="Arial" w:cs="Arial" w:eastAsia="Arial" w:hAnsi="Arial"/>
                <w:b/>
                <w:bCs/>
                <w:i/>
                <w:iCs/>
                <w:sz w:val="22"/>
                <w:szCs w:val="22"/>
              </w:rPr>
              <w:t xml:space="preserve">There is no third category. Every expense falls into one or the other.</w:t>
            </w:r>
          </w:p>
        </w:tc>
      </w:tr>
    </w:tbl>
    <w:p>
      <w:pPr>
        <w:spacing w:after="120"/>
      </w:pPr>
    </w:p>
    <w:p>
      <w:pPr>
        <w:spacing w:after="120" w:line="276"/>
      </w:pPr>
      <w:r>
        <w:rPr>
          <w:rFonts w:ascii="Arial" w:cs="Arial" w:eastAsia="Arial" w:hAnsi="Arial"/>
          <w:sz w:val="22"/>
          <w:szCs w:val="22"/>
        </w:rPr>
        <w:t xml:space="preserve">Critically, this binary classification does not diminish or remove the capacity of the First and Second Respondents to perform any and all fiduciary actions as Directors and/or Members of the Third to Sixth Respondents. It simply places the sole responsibility for payment of entity expenses on the Applicant, to the exclusion of the First and Second Respondents, as the Applicant himself requested and obtained from this Court.</w:t>
      </w:r>
    </w:p>
    <w:p>
      <w:r>
        <w:br/>
      </w:r>
    </w:p>
    <w:p>
      <w:pPr>
        <w:pStyle w:val="Heading1"/>
        <w:spacing w:before="300" w:after="150"/>
      </w:pPr>
      <w:r>
        <w:rPr>
          <w:rFonts w:ascii="Arial" w:cs="Arial" w:eastAsia="Arial" w:hAnsi="Arial"/>
          <w:b/>
          <w:bCs/>
        </w:rPr>
        <w:t xml:space="preserve">2. THE BINDING PROVISIONS — VERBATIM</w:t>
      </w:r>
    </w:p>
    <w:p>
      <w:pPr>
        <w:spacing w:after="120" w:line="276"/>
      </w:pPr>
      <w:r>
        <w:rPr>
          <w:rFonts w:ascii="Arial" w:cs="Arial" w:eastAsia="Arial" w:hAnsi="Arial"/>
          <w:sz w:val="22"/>
          <w:szCs w:val="22"/>
        </w:rPr>
        <w:t xml:space="preserve">The binary classification derives from four interlocking provisions in the Applicant’s own filings:</w:t>
      </w:r>
    </w:p>
    <w:p>
      <w:pPr>
        <w:pStyle w:val="Heading2"/>
        <w:spacing w:before="300" w:after="150"/>
      </w:pPr>
      <w:r>
        <w:rPr>
          <w:rFonts w:ascii="Arial" w:cs="Arial" w:eastAsia="Arial" w:hAnsi="Arial"/>
          <w:b/>
          <w:bCs/>
        </w:rPr>
        <w:t xml:space="preserve">2.1 Court Order — Paragraph 2.6 (Exclusive Financial Control)</w:t>
      </w:r>
    </w:p>
    <w:p>
      <w:pPr>
        <w:spacing w:after="120" w:line="276"/>
        <w:ind w:left="720" w:right="720"/>
      </w:pPr>
      <w:r>
        <w:rPr>
          <w:rFonts w:ascii="Arial" w:cs="Arial" w:eastAsia="Arial" w:hAnsi="Arial"/>
          <w:i/>
          <w:iCs/>
          <w:sz w:val="22"/>
          <w:szCs w:val="22"/>
        </w:rPr>
        <w:t xml:space="preserve">“The Applicant is authorised to take control of the financial affairs of the Third to Sixth Respondents, and to that end is entitled to immediately begin transacting on those accounts, for those corporations, to the exclusion of the First, and Second Respondents.”</w:t>
      </w:r>
    </w:p>
    <w:p>
      <w:pPr>
        <w:spacing w:after="120" w:line="276"/>
      </w:pPr>
      <w:r>
        <w:rPr>
          <w:rFonts w:ascii="Arial" w:cs="Arial" w:eastAsia="Arial" w:hAnsi="Arial"/>
          <w:b/>
          <w:bCs/>
          <w:sz w:val="22"/>
          <w:szCs w:val="22"/>
        </w:rPr>
        <w:t xml:space="preserve">Legal effect: </w:t>
      </w:r>
      <w:r>
        <w:rPr>
          <w:rFonts w:ascii="Arial" w:cs="Arial" w:eastAsia="Arial" w:hAnsi="Arial"/>
          <w:sz w:val="22"/>
          <w:szCs w:val="22"/>
        </w:rPr>
        <w:t xml:space="preserve">The Applicant alone may transact on entity accounts. The First and Second Respondents are excluded from all financial dealings with those accounts. This exclusion is absolute — the Applicant sought it, obtained it, and is bound by it.</w:t>
      </w:r>
    </w:p>
    <w:p>
      <w:pPr>
        <w:pStyle w:val="Heading2"/>
        <w:spacing w:before="300" w:after="150"/>
      </w:pPr>
      <w:r>
        <w:rPr>
          <w:rFonts w:ascii="Arial" w:cs="Arial" w:eastAsia="Arial" w:hAnsi="Arial"/>
          <w:b/>
          <w:bCs/>
        </w:rPr>
        <w:t xml:space="preserve">2.2 Court Order — Paragraph 2.7 (Entity Cost Allocation)</w:t>
      </w:r>
    </w:p>
    <w:p>
      <w:pPr>
        <w:spacing w:after="120" w:line="276"/>
        <w:ind w:left="720" w:right="720"/>
      </w:pPr>
      <w:r>
        <w:rPr>
          <w:rFonts w:ascii="Arial" w:cs="Arial" w:eastAsia="Arial" w:hAnsi="Arial"/>
          <w:i/>
          <w:iCs/>
          <w:sz w:val="22"/>
          <w:szCs w:val="22"/>
        </w:rPr>
        <w:t xml:space="preserve">“The Applicant is authorised to appoint necessary experts, including the accountant cited in the founding affidavit, at the cost of the Third to Sixth Respondents, so that a proper forensic investigation may be conducted into their affairs...”</w:t>
      </w:r>
    </w:p>
    <w:p>
      <w:pPr>
        <w:spacing w:after="120" w:line="276"/>
      </w:pPr>
      <w:r>
        <w:rPr>
          <w:rFonts w:ascii="Arial" w:cs="Arial" w:eastAsia="Arial" w:hAnsi="Arial"/>
          <w:b/>
          <w:bCs/>
          <w:sz w:val="22"/>
          <w:szCs w:val="22"/>
        </w:rPr>
        <w:t xml:space="preserve">Legal effect: </w:t>
      </w:r>
      <w:r>
        <w:rPr>
          <w:rFonts w:ascii="Arial" w:cs="Arial" w:eastAsia="Arial" w:hAnsi="Arial"/>
          <w:sz w:val="22"/>
          <w:szCs w:val="22"/>
        </w:rPr>
        <w:t xml:space="preserve">Expert costs — forensic investigators, accountants, auditors — are entity costs. Not personal costs of any individual party.</w:t>
      </w:r>
    </w:p>
    <w:p>
      <w:pPr>
        <w:pStyle w:val="Heading2"/>
        <w:spacing w:before="300" w:after="150"/>
      </w:pPr>
      <w:r>
        <w:rPr>
          <w:rFonts w:ascii="Arial" w:cs="Arial" w:eastAsia="Arial" w:hAnsi="Arial"/>
          <w:b/>
          <w:bCs/>
        </w:rPr>
        <w:t xml:space="preserve">2.3 Settlement Agreement — Paragraph 2.1.3 (Forensic Costs)</w:t>
      </w:r>
    </w:p>
    <w:p>
      <w:pPr>
        <w:spacing w:after="120" w:line="276"/>
        <w:ind w:left="720" w:right="720"/>
      </w:pPr>
      <w:r>
        <w:rPr>
          <w:rFonts w:ascii="Arial" w:cs="Arial" w:eastAsia="Arial" w:hAnsi="Arial"/>
          <w:i/>
          <w:iCs/>
          <w:sz w:val="22"/>
          <w:szCs w:val="22"/>
        </w:rPr>
        <w:t xml:space="preserve">“The costs of the forensic investigation are to be borne by the third to sixth respondents.”</w:t>
      </w:r>
    </w:p>
    <w:p>
      <w:pPr>
        <w:spacing w:after="120" w:line="276"/>
      </w:pPr>
      <w:r>
        <w:rPr>
          <w:rFonts w:ascii="Arial" w:cs="Arial" w:eastAsia="Arial" w:hAnsi="Arial"/>
          <w:b/>
          <w:bCs/>
          <w:sz w:val="22"/>
          <w:szCs w:val="22"/>
        </w:rPr>
        <w:t xml:space="preserve">Legal effect: </w:t>
      </w:r>
      <w:r>
        <w:rPr>
          <w:rFonts w:ascii="Arial" w:cs="Arial" w:eastAsia="Arial" w:hAnsi="Arial"/>
          <w:sz w:val="22"/>
          <w:szCs w:val="22"/>
        </w:rPr>
        <w:t xml:space="preserve">Confirms and reinforces para 2.7. Forensic investigation costs are entity obligations.</w:t>
      </w:r>
    </w:p>
    <w:p>
      <w:pPr>
        <w:pStyle w:val="Heading2"/>
        <w:spacing w:before="300" w:after="150"/>
      </w:pPr>
      <w:r>
        <w:rPr>
          <w:rFonts w:ascii="Arial" w:cs="Arial" w:eastAsia="Arial" w:hAnsi="Arial"/>
          <w:b/>
          <w:bCs/>
        </w:rPr>
        <w:t xml:space="preserve">2.4 Settlement Agreement — Paragraph 2.4.3 (Payment Processing Obligation)</w:t>
      </w:r>
    </w:p>
    <w:p>
      <w:pPr>
        <w:spacing w:after="120" w:line="276"/>
        <w:ind w:left="720" w:right="720"/>
      </w:pPr>
      <w:r>
        <w:rPr>
          <w:rFonts w:ascii="Arial" w:cs="Arial" w:eastAsia="Arial" w:hAnsi="Arial"/>
          <w:i/>
          <w:iCs/>
          <w:sz w:val="22"/>
          <w:szCs w:val="22"/>
        </w:rPr>
        <w:t xml:space="preserve">“All other business expenses which have not been paid will be identified by Daniel and/or Jacqui Faucitt and provided to Peter Faucitt who will then arrange payment of such expenses, from and on behalf of the relevant entity, and subject to the provision of supporting documentation and/or invoices therefore.”</w:t>
      </w:r>
    </w:p>
    <w:p>
      <w:pPr>
        <w:spacing w:after="120" w:line="276"/>
      </w:pPr>
      <w:r>
        <w:rPr>
          <w:rFonts w:ascii="Arial" w:cs="Arial" w:eastAsia="Arial" w:hAnsi="Arial"/>
          <w:b/>
          <w:bCs/>
          <w:sz w:val="22"/>
          <w:szCs w:val="22"/>
        </w:rPr>
        <w:t xml:space="preserve">Legal effect: </w:t>
      </w:r>
      <w:r>
        <w:rPr>
          <w:rFonts w:ascii="Arial" w:cs="Arial" w:eastAsia="Arial" w:hAnsi="Arial"/>
          <w:sz w:val="22"/>
          <w:szCs w:val="22"/>
        </w:rPr>
        <w:t xml:space="preserve">This is the payment processing mechanism. The First and Second Respondents identify unpaid business expenses. The Applicant must “arrange payment” from the entity accounts he exclusively controls. This is not discretionary — it is an obligation established by settlement agreement.</w:t>
      </w:r>
    </w:p>
    <w:p>
      <w:r>
        <w:br/>
      </w:r>
    </w:p>
    <w:p>
      <w:pPr>
        <w:pStyle w:val="Heading1"/>
        <w:spacing w:before="300" w:after="150"/>
      </w:pPr>
      <w:r>
        <w:rPr>
          <w:rFonts w:ascii="Arial" w:cs="Arial" w:eastAsia="Arial" w:hAnsi="Arial"/>
          <w:b/>
          <w:bCs/>
        </w:rPr>
        <w:t xml:space="preserve">3. THE INESCAPABLE LOGICAL CHAIN</w:t>
      </w:r>
    </w:p>
    <w:p>
      <w:pPr>
        <w:spacing w:after="120" w:line="276"/>
      </w:pPr>
      <w:r>
        <w:rPr>
          <w:rFonts w:ascii="Arial" w:cs="Arial" w:eastAsia="Arial" w:hAnsi="Arial"/>
          <w:sz w:val="22"/>
          <w:szCs w:val="22"/>
        </w:rPr>
        <w:t xml:space="preserve">The four provisions create a closed system. Each step follows necessarily from the preceding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60"/>
        <w:gridCol w:w="3100"/>
      </w:tblGrid>
      <w:t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Premise</w:t>
            </w:r>
          </w:p>
        </w:tc>
        <w:tc>
          <w:tcPr>
            <w:tcW w:type="dxa" w:w="30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31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Forensic/audit/administrative costs are entity costs</w:t>
            </w:r>
          </w:p>
        </w:tc>
        <w:tc>
          <w:tcPr>
            <w:tcW w:type="dxa" w:w="30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i/>
                <w:iCs/>
                <w:sz w:val="20"/>
                <w:szCs w:val="20"/>
              </w:rPr>
              <w:t xml:space="preserve">Court Order §2.7; Settlement §2.1.3</w:t>
            </w:r>
          </w:p>
        </w:tc>
        <w:tc>
          <w:tcPr>
            <w:tcW w:type="dxa" w:w="31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These costs cannot be personal obligations of any individual party</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Only the Applicant may transact on entity accounts</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i/>
                <w:iCs/>
                <w:sz w:val="20"/>
                <w:szCs w:val="20"/>
              </w:rPr>
              <w:t xml:space="preserve">Court Order §2.6 (“to the exclusion of”)</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Only the Applicant can process entity payments</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The Applicant must arrange payment of business expenses from entity accounts</w:t>
            </w:r>
          </w:p>
        </w:tc>
        <w:tc>
          <w:tcPr>
            <w:tcW w:type="dxa" w:w="30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i/>
                <w:iCs/>
                <w:sz w:val="20"/>
                <w:szCs w:val="20"/>
              </w:rPr>
              <w:t xml:space="preserve">Settlement §2.4.3 (“arrange payment”)</w:t>
            </w:r>
          </w:p>
        </w:tc>
        <w:tc>
          <w:tcPr>
            <w:tcW w:type="dxa" w:w="31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The Applicant has a positive obligation to process entity costs</w:t>
            </w:r>
          </w:p>
        </w:tc>
      </w:tr>
      <w:tr>
        <w:tc>
          <w:tcPr>
            <w:tcW w:type="dxa" w:w="6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26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sz w:val="20"/>
                <w:szCs w:val="20"/>
              </w:rPr>
              <w:t xml:space="preserve">Therefore: </w:t>
            </w:r>
            <w:r>
              <w:rPr>
                <w:rFonts w:ascii="Arial" w:cs="Arial" w:eastAsia="Arial" w:hAnsi="Arial"/>
                <w:sz w:val="20"/>
                <w:szCs w:val="20"/>
              </w:rPr>
              <w:t xml:space="preserve">All entity costs must be billed to the Applicant for processing through entity accounts</w:t>
            </w:r>
          </w:p>
        </w:tc>
        <w:tc>
          <w:tcPr>
            <w:tcW w:type="dxa" w:w="30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i/>
                <w:iCs/>
                <w:sz w:val="20"/>
                <w:szCs w:val="20"/>
              </w:rPr>
              <w:t xml:space="preserve">Combined effect of §2.6 + §2.7 + §2.1.3 + §2.4.3</w:t>
            </w:r>
          </w:p>
        </w:tc>
        <w:tc>
          <w:tcPr>
            <w:tcW w:type="dxa" w:w="31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sz w:val="20"/>
                <w:szCs w:val="20"/>
              </w:rPr>
              <w:t xml:space="preserve">Attorneys are interdicted </w:t>
            </w:r>
            <w:r>
              <w:rPr>
                <w:rFonts w:ascii="Arial" w:cs="Arial" w:eastAsia="Arial" w:hAnsi="Arial"/>
                <w:sz w:val="20"/>
                <w:szCs w:val="20"/>
              </w:rPr>
              <w:t xml:space="preserve">from billing First/Second Respondents personally for entity expenses</w:t>
            </w:r>
          </w:p>
        </w:tc>
      </w:tr>
    </w:tbl>
    <w:p>
      <w:pPr>
        <w:spacing w:after="120"/>
      </w:pPr>
    </w:p>
    <w:p>
      <w:pPr>
        <w:spacing w:after="120" w:line="276"/>
      </w:pPr>
      <w:r>
        <w:rPr>
          <w:rFonts w:ascii="Arial" w:cs="Arial" w:eastAsia="Arial" w:hAnsi="Arial"/>
          <w:sz w:val="22"/>
          <w:szCs w:val="22"/>
        </w:rPr>
        <w:t xml:space="preserve">This chain admits of no exception. The Applicant sought and obtained exclusive financial control. Having obtained that control, he is bound by its corollary obligation: he must process all entity costs through the accounts he alone controls. He cannot simultaneously claim the authority to transact exclusively while refusing to process the costs that flow from that authority.</w:t>
      </w:r>
    </w:p>
    <w:p>
      <w:r>
        <w:br/>
      </w:r>
    </w:p>
    <w:p>
      <w:pPr>
        <w:pStyle w:val="Heading1"/>
        <w:spacing w:before="300" w:after="150"/>
      </w:pPr>
      <w:r>
        <w:rPr>
          <w:rFonts w:ascii="Arial" w:cs="Arial" w:eastAsia="Arial" w:hAnsi="Arial"/>
          <w:b/>
          <w:bCs/>
        </w:rPr>
        <w:t xml:space="preserve">4. PRESERVATION OF FIDUCIARY AND STATUTORY DUTIES</w:t>
      </w:r>
    </w:p>
    <w:p>
      <w:pPr>
        <w:spacing w:after="120" w:line="276"/>
      </w:pPr>
      <w:r>
        <w:rPr>
          <w:rFonts w:ascii="Arial" w:cs="Arial" w:eastAsia="Arial" w:hAnsi="Arial"/>
          <w:sz w:val="22"/>
          <w:szCs w:val="22"/>
        </w:rPr>
        <w:t xml:space="preserve">It is essential to state with absolute clarity: the binary classification of expenses does not in any way diminish, suspend, or remove the fiduciary and statutory duties of the First and Second Respondents as Directors and/or Members of the Third to Sixth Respondents. The court order never purported to suspend these duties, nor could it lawfully do so.</w:t>
      </w:r>
    </w:p>
    <w:p>
      <w:pPr>
        <w:pStyle w:val="Heading2"/>
        <w:spacing w:before="300" w:after="150"/>
      </w:pPr>
      <w:r>
        <w:rPr>
          <w:rFonts w:ascii="Arial" w:cs="Arial" w:eastAsia="Arial" w:hAnsi="Arial"/>
          <w:b/>
          <w:bCs/>
        </w:rPr>
        <w:t xml:space="preserve">4.1 Fiduciary Duties That Remain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00"/>
        <w:gridCol w:w="186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Respondent</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Capacity</w:t>
            </w:r>
          </w:p>
        </w:tc>
        <w:tc>
          <w:tcPr>
            <w:tcW w:type="dxa" w:w="1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Governing Statute</w:t>
            </w:r>
          </w:p>
        </w:tc>
        <w:tc>
          <w:tcPr>
            <w:tcW w:type="dxa" w:w="1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First Respondent</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RST CC</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Member / CEO (50%)</w:t>
            </w:r>
          </w:p>
        </w:tc>
        <w:tc>
          <w:tcPr>
            <w:tcW w:type="dxa" w:w="1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 Corporations Act</w:t>
            </w:r>
          </w:p>
        </w:tc>
        <w:tc>
          <w:tcPr>
            <w:tcW w:type="dxa" w:w="18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First Respondent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RWD (Pty) Ltd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Director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Companies Act s76</w:t>
            </w:r>
          </w:p>
        </w:tc>
        <w:tc>
          <w:tcPr>
            <w:tcW w:type="dxa" w:w="18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First Respondent</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Faucitt Family Trust</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Trustee</w:t>
            </w:r>
          </w:p>
        </w:tc>
        <w:tc>
          <w:tcPr>
            <w:tcW w:type="dxa" w:w="1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Trust Property Control Act</w:t>
            </w:r>
          </w:p>
        </w:tc>
        <w:tc>
          <w:tcPr>
            <w:tcW w:type="dxa" w:w="18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First Respondent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SLG CC</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Member (33%)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Close Corporations Act</w:t>
            </w:r>
          </w:p>
        </w:tc>
        <w:tc>
          <w:tcPr>
            <w:tcW w:type="dxa" w:w="18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Second Respondent</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RWD (Pty) Ltd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Director</w:t>
            </w:r>
          </w:p>
        </w:tc>
        <w:tc>
          <w:tcPr>
            <w:tcW w:type="dxa" w:w="1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Companies Act s76</w:t>
            </w:r>
          </w:p>
        </w:tc>
        <w:tc>
          <w:tcPr>
            <w:tcW w:type="dxa" w:w="18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Second Respondent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ReZonance (Pty) Ltd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Director (50%)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Companies Act s76</w:t>
            </w:r>
          </w:p>
        </w:tc>
        <w:tc>
          <w:tcPr>
            <w:tcW w:type="dxa" w:w="18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color w:val="27AE60"/>
                <w:sz w:val="20"/>
                <w:szCs w:val="20"/>
              </w:rPr>
              <w:t xml:space="preserve">ACTIVE</w:t>
            </w:r>
          </w:p>
        </w:tc>
      </w:tr>
    </w:tbl>
    <w:p>
      <w:pPr>
        <w:pStyle w:val="Heading2"/>
        <w:spacing w:before="300" w:after="150"/>
      </w:pPr>
      <w:r>
        <w:rPr>
          <w:rFonts w:ascii="Arial" w:cs="Arial" w:eastAsia="Arial" w:hAnsi="Arial"/>
          <w:b/>
          <w:bCs/>
        </w:rPr>
        <w:t xml:space="preserve">4.2 Statutory Duties That Remain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00"/>
        <w:gridCol w:w="186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Respondent</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Statutory Role</w:t>
            </w:r>
          </w:p>
        </w:tc>
        <w:tc>
          <w:tcPr>
            <w:tcW w:type="dxa" w:w="1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Governing Statute</w:t>
            </w:r>
          </w:p>
        </w:tc>
        <w:tc>
          <w:tcPr>
            <w:tcW w:type="dxa" w:w="1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Applicant’s Obligation</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First Respondent</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RST CC</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Information Officer</w:t>
            </w:r>
          </w:p>
        </w:tc>
        <w:tc>
          <w:tcPr>
            <w:tcW w:type="dxa" w:w="1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POPIA (Act 4 of 2013) s55</w:t>
            </w:r>
          </w:p>
        </w:tc>
        <w:tc>
          <w:tcPr>
            <w:tcW w:type="dxa" w:w="186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b/>
                <w:bCs/>
                <w:sz w:val="20"/>
                <w:szCs w:val="20"/>
              </w:rPr>
              <w:t xml:space="preserve">Must provision access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First Respondent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RWD (Pty) Ltd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Director — s76 Duties</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Companies Act 71 of 2008</w:t>
            </w:r>
          </w:p>
        </w:tc>
        <w:tc>
          <w:tcPr>
            <w:tcW w:type="dxa" w:w="186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b/>
                <w:bCs/>
                <w:sz w:val="20"/>
                <w:szCs w:val="20"/>
              </w:rPr>
              <w:t xml:space="preserve">Must provision access</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Both Respondents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All entities</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Companies Act s26 access right</w:t>
            </w:r>
          </w:p>
        </w:tc>
        <w:tc>
          <w:tcPr>
            <w:tcW w:type="dxa" w:w="1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Companies Act 71 of 2008</w:t>
            </w:r>
          </w:p>
        </w:tc>
        <w:tc>
          <w:tcPr>
            <w:tcW w:type="dxa" w:w="186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b/>
                <w:bCs/>
                <w:sz w:val="20"/>
                <w:szCs w:val="20"/>
              </w:rPr>
              <w:t xml:space="preserve">Must provision access</w:t>
            </w:r>
          </w:p>
        </w:tc>
      </w:tr>
    </w:tbl>
    <w:p>
      <w:pPr>
        <w:spacing w:after="120"/>
      </w:pPr>
    </w:p>
    <w:p>
      <w:pPr>
        <w:spacing w:after="120" w:line="276"/>
      </w:pPr>
      <w:r>
        <w:rPr>
          <w:rFonts w:ascii="Arial" w:cs="Arial" w:eastAsia="Arial" w:hAnsi="Arial"/>
          <w:sz w:val="22"/>
          <w:szCs w:val="22"/>
        </w:rPr>
        <w:t xml:space="preserve">The Applicant’s obligation to provision access for the discharge of these duties flows directly from Court Order paragraph 2.8, which provides that First and Second Respondents must cooperate with the forensic investigation, and implicitly requires reciprocal cooperation from the Applicant. More fundamentally, the court order cannot be interpreted to prevent directors from discharging statutory duties imposed by legislation of superior force — POPIA, the Companies Act, and the Close Corporations Act impose personal liability on directors/members/information officers that no interlocutory order can suspend.</w:t>
      </w:r>
    </w:p>
    <w:p>
      <w:pPr>
        <w:pStyle w:val="Heading2"/>
        <w:spacing w:before="300" w:after="150"/>
      </w:pPr>
      <w:r>
        <w:rPr>
          <w:rFonts w:ascii="Arial" w:cs="Arial" w:eastAsia="Arial" w:hAnsi="Arial"/>
          <w:b/>
          <w:bCs/>
        </w:rPr>
        <w:t xml:space="preserve">4.3 The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3CD" w:val="clear"/>
            <w:tcMar>
              <w:top w:type="dxa" w:w="200"/>
              <w:left w:type="dxa" w:w="300"/>
              <w:bottom w:type="dxa" w:w="200"/>
              <w:right w:type="dxa" w:w="300"/>
            </w:tcMar>
          </w:tcPr>
          <w:p>
            <w:pPr>
              <w:spacing w:after="100"/>
            </w:pPr>
            <w:r>
              <w:rPr>
                <w:rFonts w:ascii="Arial" w:cs="Arial" w:eastAsia="Arial" w:hAnsi="Arial"/>
                <w:b/>
                <w:bCs/>
                <w:sz w:val="22"/>
                <w:szCs w:val="22"/>
              </w:rPr>
              <w:t xml:space="preserve">The cost allocation framework determines </w:t>
            </w:r>
            <w:r>
              <w:rPr>
                <w:rFonts w:ascii="Arial" w:cs="Arial" w:eastAsia="Arial" w:hAnsi="Arial"/>
                <w:b/>
                <w:bCs/>
                <w:i/>
                <w:iCs/>
                <w:sz w:val="22"/>
                <w:szCs w:val="22"/>
              </w:rPr>
              <w:t xml:space="preserve">who pays</w:t>
            </w:r>
            <w:r>
              <w:rPr>
                <w:rFonts w:ascii="Arial" w:cs="Arial" w:eastAsia="Arial" w:hAnsi="Arial"/>
                <w:b/>
                <w:bCs/>
                <w:sz w:val="22"/>
                <w:szCs w:val="22"/>
              </w:rPr>
              <w:t xml:space="preserve"> for entity expenses. It does not determine </w:t>
            </w:r>
            <w:r>
              <w:rPr>
                <w:rFonts w:ascii="Arial" w:cs="Arial" w:eastAsia="Arial" w:hAnsi="Arial"/>
                <w:b/>
                <w:bCs/>
                <w:i/>
                <w:iCs/>
                <w:sz w:val="22"/>
                <w:szCs w:val="22"/>
              </w:rPr>
              <w:t xml:space="preserve">who may act</w:t>
            </w:r>
            <w:r>
              <w:rPr>
                <w:rFonts w:ascii="Arial" w:cs="Arial" w:eastAsia="Arial" w:hAnsi="Arial"/>
                <w:b/>
                <w:bCs/>
                <w:sz w:val="22"/>
                <w:szCs w:val="22"/>
              </w:rPr>
              <w:t xml:space="preserve"> on behalf of entities.</w:t>
            </w:r>
          </w:p>
          <w:p>
            <w:pPr>
              <w:spacing w:after="100"/>
            </w:pPr>
            <w:r>
              <w:rPr>
                <w:rFonts w:ascii="Arial" w:cs="Arial" w:eastAsia="Arial" w:hAnsi="Arial"/>
                <w:sz w:val="22"/>
                <w:szCs w:val="22"/>
              </w:rPr>
              <w:t xml:space="preserve">The First and Second Respondents retain full capacity to exercise all fiduciary and statutory duties as Directors, Members, Trustees, and Information Officers. The Applicant’s exclusive control relates solely to </w:t>
            </w:r>
            <w:r>
              <w:rPr>
                <w:rFonts w:ascii="Arial" w:cs="Arial" w:eastAsia="Arial" w:hAnsi="Arial"/>
                <w:b/>
                <w:bCs/>
                <w:sz w:val="22"/>
                <w:szCs w:val="22"/>
              </w:rPr>
              <w:t xml:space="preserve">financial transacting</w:t>
            </w:r>
            <w:r>
              <w:rPr>
                <w:rFonts w:ascii="Arial" w:cs="Arial" w:eastAsia="Arial" w:hAnsi="Arial"/>
                <w:sz w:val="22"/>
                <w:szCs w:val="22"/>
              </w:rPr>
              <w:t xml:space="preserve"> on entity accounts. This does not and cannot extinguish governance rights, oversight duties, or statutory obligations imposed by legislation of superior force.</w:t>
            </w:r>
          </w:p>
          <w:p>
            <w:pPr>
              <w:spacing w:after="0"/>
            </w:pPr>
            <w:r>
              <w:rPr>
                <w:rFonts w:ascii="Arial" w:cs="Arial" w:eastAsia="Arial" w:hAnsi="Arial"/>
                <w:b/>
                <w:bCs/>
                <w:sz w:val="22"/>
                <w:szCs w:val="22"/>
              </w:rPr>
              <w:t xml:space="preserve">Consequence: </w:t>
            </w:r>
            <w:r>
              <w:rPr>
                <w:rFonts w:ascii="Arial" w:cs="Arial" w:eastAsia="Arial" w:hAnsi="Arial"/>
                <w:sz w:val="22"/>
                <w:szCs w:val="22"/>
              </w:rPr>
              <w:t xml:space="preserve">Where the First and Second Respondents incur costs in the discharge of their fiduciary or statutory duties to the entities, those costs are entity expenses falling under Test A, and are payable by the Applicant through entity accounts.</w:t>
            </w:r>
          </w:p>
        </w:tc>
      </w:tr>
    </w:tbl>
    <w:p>
      <w:r>
        <w:br/>
      </w:r>
    </w:p>
    <w:p>
      <w:pPr>
        <w:pStyle w:val="Heading1"/>
        <w:spacing w:before="300" w:after="150"/>
      </w:pPr>
      <w:r>
        <w:rPr>
          <w:rFonts w:ascii="Arial" w:cs="Arial" w:eastAsia="Arial" w:hAnsi="Arial"/>
          <w:b/>
          <w:bCs/>
        </w:rPr>
        <w:t xml:space="preserve">5. THE APPLICANT’S OWN COUNSEL CONFIRMS THE FRAMEWORK</w:t>
      </w:r>
    </w:p>
    <w:p>
      <w:pPr>
        <w:pStyle w:val="Heading2"/>
        <w:spacing w:before="300" w:after="150"/>
      </w:pPr>
      <w:r>
        <w:rPr>
          <w:rFonts w:ascii="Arial" w:cs="Arial" w:eastAsia="Arial" w:hAnsi="Arial"/>
          <w:b/>
          <w:bCs/>
        </w:rPr>
        <w:t xml:space="preserve">5.1 Elliott Attorneys Correspondence — 20 January 2026</w:t>
      </w:r>
    </w:p>
    <w:p>
      <w:pPr>
        <w:spacing w:after="120" w:line="276"/>
      </w:pPr>
      <w:r>
        <w:rPr>
          <w:rFonts w:ascii="Arial" w:cs="Arial" w:eastAsia="Arial" w:hAnsi="Arial"/>
          <w:sz w:val="22"/>
          <w:szCs w:val="22"/>
        </w:rPr>
        <w:t xml:space="preserve">Reference: KRE/RVR/KF0019 — Letter to Pottas Attorneys</w:t>
      </w:r>
    </w:p>
    <w:p>
      <w:pPr>
        <w:spacing w:after="120" w:line="276"/>
      </w:pPr>
      <w:r>
        <w:rPr>
          <w:rFonts w:ascii="Arial" w:cs="Arial" w:eastAsia="Arial" w:hAnsi="Arial"/>
          <w:sz w:val="22"/>
          <w:szCs w:val="22"/>
        </w:rPr>
        <w:t xml:space="preserve">Elliott Attorneys, acting on behalf of the Applicant, wrote to Pottas Attorneys on 20 January 2026 and made the following critical assertion regarding the First Respondent:</w:t>
      </w:r>
    </w:p>
    <w:p>
      <w:pPr>
        <w:spacing w:after="120" w:line="276"/>
        <w:ind w:left="720" w:right="720"/>
      </w:pPr>
      <w:r>
        <w:rPr>
          <w:rFonts w:ascii="Arial" w:cs="Arial" w:eastAsia="Arial" w:hAnsi="Arial"/>
          <w:i/>
          <w:iCs/>
          <w:sz w:val="22"/>
          <w:szCs w:val="22"/>
        </w:rPr>
        <w:t xml:space="preserve">“We advise, respectfully, and per our instructions, that your client has not been involved in the day-to-day running of the entities, and remains uninvolved, in this regard.”</w:t>
      </w:r>
    </w:p>
    <w:p>
      <w:pPr>
        <w:spacing w:after="120" w:line="276"/>
      </w:pPr>
      <w:r>
        <w:rPr>
          <w:rFonts w:ascii="Arial" w:cs="Arial" w:eastAsia="Arial" w:hAnsi="Arial"/>
          <w:sz w:val="22"/>
          <w:szCs w:val="22"/>
        </w:rPr>
        <w:t xml:space="preserve">This assertion, made on the Applicant’s instructions, is significant for three independent reasons:</w:t>
      </w:r>
    </w:p>
    <w:p>
      <w:pPr>
        <w:pStyle w:val="Heading3"/>
        <w:spacing w:before="300" w:after="150"/>
      </w:pPr>
      <w:r>
        <w:rPr>
          <w:rFonts w:ascii="Arial" w:cs="Arial" w:eastAsia="Arial" w:hAnsi="Arial"/>
          <w:b/>
          <w:bCs/>
        </w:rPr>
        <w:t xml:space="preserve">5.1.1 It Confirms the Applicant Caused the First Respondent’s Non-Involvement</w:t>
      </w:r>
    </w:p>
    <w:p>
      <w:pPr>
        <w:spacing w:after="120" w:line="276"/>
      </w:pPr>
      <w:r>
        <w:rPr>
          <w:rFonts w:ascii="Arial" w:cs="Arial" w:eastAsia="Arial" w:hAnsi="Arial"/>
          <w:sz w:val="22"/>
          <w:szCs w:val="22"/>
        </w:rPr>
        <w:t xml:space="preserve">The First Respondent’s lack of involvement in day-to-day running is not voluntary — it is the direct consequence of the Applicant’s denial of access, which exceeds the interdict mandate. The court order authorised the Applicant to take control of “financial affairs” (§2.6). It did not authorise the wholesale exclusion of directors from all operational involvement, system access, or governance participation. The Applicant’s counsel now cites the consequence of his own client’s overreach as if it were an existing state of affairs.</w:t>
      </w:r>
    </w:p>
    <w:p>
      <w:pPr>
        <w:pStyle w:val="Heading3"/>
        <w:spacing w:before="300" w:after="150"/>
      </w:pPr>
      <w:r>
        <w:rPr>
          <w:rFonts w:ascii="Arial" w:cs="Arial" w:eastAsia="Arial" w:hAnsi="Arial"/>
          <w:b/>
          <w:bCs/>
        </w:rPr>
        <w:t xml:space="preserve">5.1.2 It Triggers Test A of the Binary Classification</w:t>
      </w:r>
    </w:p>
    <w:p>
      <w:pPr>
        <w:spacing w:after="120" w:line="276"/>
      </w:pPr>
      <w:r>
        <w:rPr>
          <w:rFonts w:ascii="Arial" w:cs="Arial" w:eastAsia="Arial" w:hAnsi="Arial"/>
          <w:sz w:val="22"/>
          <w:szCs w:val="22"/>
        </w:rPr>
        <w:t xml:space="preserve">If the Applicant’s position is that the First Respondent is “uninvolved” in running the entities — and the Applicant has assumed that running function — then every cost associated with the running of those entities falls squarely within the Applicant’s scope of control and is therefore an entity expense under Test A. The Applicant cannot claim to have assumed operational control while simultaneously refusing to bear the costs of that control.</w:t>
      </w:r>
    </w:p>
    <w:p>
      <w:pPr>
        <w:pStyle w:val="Heading3"/>
        <w:spacing w:before="300" w:after="150"/>
      </w:pPr>
      <w:r>
        <w:rPr>
          <w:rFonts w:ascii="Arial" w:cs="Arial" w:eastAsia="Arial" w:hAnsi="Arial"/>
          <w:b/>
          <w:bCs/>
        </w:rPr>
        <w:t xml:space="preserve">5.1.3 It Does Not Extinguish Fiduciary or Statutory Duties</w:t>
      </w:r>
    </w:p>
    <w:p>
      <w:pPr>
        <w:spacing w:after="120" w:line="276"/>
      </w:pPr>
      <w:r>
        <w:rPr>
          <w:rFonts w:ascii="Arial" w:cs="Arial" w:eastAsia="Arial" w:hAnsi="Arial"/>
          <w:sz w:val="22"/>
          <w:szCs w:val="22"/>
        </w:rPr>
        <w:t xml:space="preserve">Regardless of the Applicant’s characterization of the First Respondent as “uninvolved,” the First Respondent remains the Information Officer under POPIA for RST CC, a Director of RWD (Pty) Ltd under the Companies Act, a Member of RST CC under the Close Corporations Act, and a Trustee of the Faucitt Family Trust. These are statutory and fiduciary obligations that the First Respondent is personally liable to discharge, irrespective of the court order’s financial control provisions. The Applicant is obliged to provision the access required for the First Respondent to discharge these duties.</w:t>
      </w:r>
    </w:p>
    <w:p>
      <w:pPr>
        <w:pStyle w:val="Heading2"/>
        <w:spacing w:before="300" w:after="150"/>
      </w:pPr>
      <w:r>
        <w:rPr>
          <w:rFonts w:ascii="Arial" w:cs="Arial" w:eastAsia="Arial" w:hAnsi="Arial"/>
          <w:b/>
          <w:bCs/>
        </w:rPr>
        <w:t xml:space="preserve">5.2 The Second Letter’s Contradiction</w:t>
      </w:r>
    </w:p>
    <w:p>
      <w:pPr>
        <w:spacing w:after="120" w:line="276"/>
      </w:pPr>
      <w:r>
        <w:rPr>
          <w:rFonts w:ascii="Arial" w:cs="Arial" w:eastAsia="Arial" w:hAnsi="Arial"/>
          <w:sz w:val="22"/>
          <w:szCs w:val="22"/>
        </w:rPr>
        <w:t xml:space="preserve">A second Elliott Attorneys letter of the same date characterises the First Respondent’s requests for invoices and documentation as a “fishing expedition”:</w:t>
      </w:r>
    </w:p>
    <w:p>
      <w:pPr>
        <w:spacing w:after="120" w:line="276"/>
        <w:ind w:left="720" w:right="720"/>
      </w:pPr>
      <w:r>
        <w:rPr>
          <w:rFonts w:ascii="Arial" w:cs="Arial" w:eastAsia="Arial" w:hAnsi="Arial"/>
          <w:i/>
          <w:iCs/>
          <w:sz w:val="22"/>
          <w:szCs w:val="22"/>
        </w:rPr>
        <w:t xml:space="preserve">“Our client, in running the entities, and in ensuring the viability thereof, is unable to spend a large degree of time, which your client seems to require, in providing her with administrative services, for the provision of continued documentation.”</w:t>
      </w:r>
    </w:p>
    <w:p>
      <w:pPr>
        <w:spacing w:after="120" w:line="276"/>
      </w:pPr>
      <w:r>
        <w:rPr>
          <w:rFonts w:ascii="Arial" w:cs="Arial" w:eastAsia="Arial" w:hAnsi="Arial"/>
          <w:sz w:val="22"/>
          <w:szCs w:val="22"/>
        </w:rPr>
        <w:t xml:space="preserve">This second letter confirms that the Applicant is “running the entities.” If he is running them, then every operational cost is within his scope of control and falls under Test A. The Applicant’s own counsel has now confirmed on his instructions that the day-to-day running of the entities is within the Applicant’s domain — which means every cost of that running is an entity expense payable by the Applicant.</w:t>
      </w:r>
    </w:p>
    <w:p>
      <w:pPr>
        <w:spacing w:after="120" w:line="276"/>
      </w:pPr>
      <w:r>
        <w:rPr>
          <w:rFonts w:ascii="Arial" w:cs="Arial" w:eastAsia="Arial" w:hAnsi="Arial"/>
          <w:sz w:val="22"/>
          <w:szCs w:val="22"/>
        </w:rPr>
        <w:t xml:space="preserve">Furthermore, the characterisation of documentation requests as a “fishing expedition” is untenable. The First Respondent, as a Director, Member, and Information Officer, has a statutory right of access to entity records under Companies Act s26 and a statutory duty to maintain POPIA compliance. These are not optional courtesies — they are legal obligations that the Applicant’s assumption of financial control does not displace.</w:t>
      </w:r>
    </w:p>
    <w:p>
      <w:r>
        <w:br/>
      </w:r>
    </w:p>
    <w:p>
      <w:pPr>
        <w:pStyle w:val="Heading1"/>
        <w:spacing w:before="300" w:after="150"/>
      </w:pPr>
      <w:r>
        <w:rPr>
          <w:rFonts w:ascii="Arial" w:cs="Arial" w:eastAsia="Arial" w:hAnsi="Arial"/>
          <w:b/>
          <w:bCs/>
        </w:rPr>
        <w:t xml:space="preserve">6. THE “FISHING EXPEDITION” CHARACTERISATION IS CONTEMPTUOUS OF THE APPLICANT’S OWN ORDER</w:t>
      </w:r>
    </w:p>
    <w:p>
      <w:pPr>
        <w:spacing w:after="120" w:line="276"/>
      </w:pPr>
      <w:r>
        <w:rPr>
          <w:rFonts w:ascii="Arial" w:cs="Arial" w:eastAsia="Arial" w:hAnsi="Arial"/>
          <w:sz w:val="22"/>
          <w:szCs w:val="22"/>
        </w:rPr>
        <w:t xml:space="preserve">The Applicant’s attorneys characterise the First Respondent’s requests for documentation and participation in the forensic audit process as a “fishing expedition.” This characterisation is not merely incorrect — it is contemptuous of the Applicant’s own court order.</w:t>
      </w:r>
    </w:p>
    <w:p>
      <w:pPr>
        <w:pStyle w:val="Heading2"/>
        <w:spacing w:before="300" w:after="150"/>
      </w:pPr>
      <w:r>
        <w:rPr>
          <w:rFonts w:ascii="Arial" w:cs="Arial" w:eastAsia="Arial" w:hAnsi="Arial"/>
          <w:b/>
          <w:bCs/>
        </w:rPr>
        <w:t xml:space="preserve">6.1 Paragraph 2.8 Is a Mandatory Order, Not a Prohibition</w:t>
      </w:r>
    </w:p>
    <w:p>
      <w:pPr>
        <w:spacing w:after="120" w:line="276"/>
      </w:pPr>
      <w:r>
        <w:rPr>
          <w:rFonts w:ascii="Arial" w:cs="Arial" w:eastAsia="Arial" w:hAnsi="Arial"/>
          <w:sz w:val="22"/>
          <w:szCs w:val="22"/>
        </w:rPr>
        <w:t xml:space="preserve">Court Order paragraph 2.8 reads:</w:t>
      </w:r>
    </w:p>
    <w:p>
      <w:pPr>
        <w:spacing w:after="120" w:line="276"/>
        <w:ind w:left="720" w:right="720"/>
      </w:pPr>
      <w:r>
        <w:rPr>
          <w:rFonts w:ascii="Arial" w:cs="Arial" w:eastAsia="Arial" w:hAnsi="Arial"/>
          <w:i/>
          <w:iCs/>
          <w:sz w:val="22"/>
          <w:szCs w:val="22"/>
        </w:rPr>
        <w:t xml:space="preserve">“The First and Second Respondents are interdicted and directed to participate in the forensic investigation of the Third to Sixth Respondents, and to that end:”</w:t>
      </w:r>
    </w:p>
    <w:p>
      <w:pPr>
        <w:spacing w:after="120" w:line="276"/>
      </w:pPr>
      <w:r>
        <w:rPr>
          <w:rFonts w:ascii="Arial" w:cs="Arial" w:eastAsia="Arial" w:hAnsi="Arial"/>
          <w:sz w:val="22"/>
          <w:szCs w:val="22"/>
        </w:rPr>
        <w:t xml:space="preserve">The operative language is “interdicted and directed TO.” This is Mechanism B of the court order — a mandatory order that compels specific conduct. The First and Second Respondents are not merely permitted to participate in the forensic investigation; they are court-ordered to do so. Their participation is not voluntary, optional, or discretionary. It is a compulsory obligation imposed by the court, at the Applicant’s own request.</w:t>
      </w:r>
    </w:p>
    <w:p>
      <w:pPr>
        <w:pStyle w:val="Heading2"/>
        <w:spacing w:before="300" w:after="150"/>
      </w:pPr>
      <w:r>
        <w:rPr>
          <w:rFonts w:ascii="Arial" w:cs="Arial" w:eastAsia="Arial" w:hAnsi="Arial"/>
          <w:b/>
          <w:bCs/>
        </w:rPr>
        <w:t xml:space="preserve">6.2 The Three Sub-Obligations of Paragraph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w:t>
            </w:r>
          </w:p>
        </w:tc>
        <w:tc>
          <w:tcPr>
            <w:tcW w:type="dxa" w:w="40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Mandatory Obligation on Respondents</w:t>
            </w:r>
          </w:p>
        </w:tc>
        <w:tc>
          <w:tcPr>
            <w:tcW w:type="dxa" w:w="40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Reciprocal Obligation on the Applicant</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2.8.1</w:t>
            </w:r>
          </w:p>
        </w:tc>
        <w:tc>
          <w:tcPr>
            <w:tcW w:type="dxa" w:w="40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Respondents “are interdicted and restrained from concealing or destroying any documentary (and electronic) records pertaining to the financial administration”</w:t>
            </w:r>
          </w:p>
        </w:tc>
        <w:tc>
          <w:tcPr>
            <w:tcW w:type="dxa" w:w="40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Applicant must provision access to records so Respondents can comply with their preservation obligation</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2.8.2</w:t>
            </w:r>
          </w:p>
        </w:tc>
        <w:tc>
          <w:tcPr>
            <w:tcW w:type="dxa" w:w="4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Respondents “are interdicted and directed to surrender forthwith… all documentation… relating to the administration (financial and otherwise)”</w:t>
            </w:r>
          </w:p>
        </w:tc>
        <w:tc>
          <w:tcPr>
            <w:tcW w:type="dxa" w:w="4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Respondents have a positive duty to provide documentation — which presupposes access to the documentation in the first place</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2.8.3</w:t>
            </w:r>
          </w:p>
        </w:tc>
        <w:tc>
          <w:tcPr>
            <w:tcW w:type="dxa" w:w="40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Respondents “are interdicted and directed to answer all questions put to them in regard to the forensic investigation </w:t>
            </w:r>
            <w:r>
              <w:rPr>
                <w:rFonts w:ascii="Arial" w:cs="Arial" w:eastAsia="Arial" w:hAnsi="Arial"/>
                <w:i/>
                <w:iCs/>
                <w:sz w:val="20"/>
                <w:szCs w:val="20"/>
              </w:rPr>
              <w:t xml:space="preserve">and the experts appointed by the forensic investigators</w:t>
            </w:r>
            <w:r>
              <w:rPr>
                <w:rFonts w:ascii="Arial" w:cs="Arial" w:eastAsia="Arial" w:hAnsi="Arial"/>
                <w:sz w:val="20"/>
                <w:szCs w:val="20"/>
              </w:rPr>
              <w:t xml:space="preserve">, honestly and forthrightly” (as varied by Settlement §2.7)</w:t>
            </w:r>
          </w:p>
        </w:tc>
        <w:tc>
          <w:tcPr>
            <w:tcW w:type="dxa" w:w="40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Applicant and forensic investigators must facilitate the asking and answering of questions — obstruction of this process is obstruction of the court order</w:t>
            </w:r>
          </w:p>
        </w:tc>
      </w:tr>
    </w:tbl>
    <w:p>
      <w:pPr>
        <w:spacing w:after="120"/>
      </w:pPr>
    </w:p>
    <w:p>
      <w:pPr>
        <w:pStyle w:val="Heading2"/>
        <w:spacing w:before="300" w:after="150"/>
      </w:pPr>
      <w:r>
        <w:rPr>
          <w:rFonts w:ascii="Arial" w:cs="Arial" w:eastAsia="Arial" w:hAnsi="Arial"/>
          <w:b/>
          <w:bCs/>
        </w:rPr>
        <w:t xml:space="preserve">6.3 The “Fishing Expedition” Claim Is Self-Defeating</w:t>
      </w:r>
    </w:p>
    <w:p>
      <w:pPr>
        <w:spacing w:after="120" w:line="276"/>
      </w:pPr>
      <w:r>
        <w:rPr>
          <w:rFonts w:ascii="Arial" w:cs="Arial" w:eastAsia="Arial" w:hAnsi="Arial"/>
          <w:sz w:val="22"/>
          <w:szCs w:val="22"/>
        </w:rPr>
        <w:t xml:space="preserve">When the Applicant’s attorneys characterise the First Respondent’s documentation requests as a “fishing expedition,” they are in substance arguing that the First Respondent should not participate in the forensic audit process. This directly contradicts the Applicant’s own court order, which mandates such participation. The position is irreconcilable: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 Court Order Requires</w:t>
            </w:r>
          </w:p>
        </w:tc>
        <w:tc>
          <w:tcPr>
            <w:tcW w:type="dxa" w:w="46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 Applicant’s Attorneys Claim</w:t>
            </w:r>
          </w:p>
        </w:tc>
      </w:tr>
      <w:tr>
        <w:tc>
          <w:tcPr>
            <w:tcW w:type="dxa" w:w="468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sz w:val="20"/>
                <w:szCs w:val="20"/>
              </w:rPr>
              <w:t xml:space="preserve">Respondents MUST participate in the forensic investigation (§2.8)</w:t>
            </w:r>
          </w:p>
        </w:tc>
        <w:tc>
          <w:tcPr>
            <w:tcW w:type="dxa" w:w="468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b/>
                <w:bCs/>
                <w:sz w:val="20"/>
                <w:szCs w:val="20"/>
              </w:rPr>
              <w:t xml:space="preserve">Respondent participation is a “fishing expedition” to be discouraged</w:t>
            </w:r>
          </w:p>
        </w:tc>
      </w:tr>
      <w:tr>
        <w:tc>
          <w:tcPr>
            <w:tcW w:type="dxa" w:w="468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sz w:val="20"/>
                <w:szCs w:val="20"/>
              </w:rPr>
              <w:t xml:space="preserve">Respondents MUST surrender documentation (§2.8.2)</w:t>
            </w:r>
          </w:p>
        </w:tc>
        <w:tc>
          <w:tcPr>
            <w:tcW w:type="dxa" w:w="468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sz w:val="20"/>
                <w:szCs w:val="20"/>
              </w:rPr>
              <w:t xml:space="preserve">Documentation requests are unreasonable “administrative services”</w:t>
            </w:r>
          </w:p>
        </w:tc>
      </w:tr>
      <w:tr>
        <w:tc>
          <w:tcPr>
            <w:tcW w:type="dxa" w:w="468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sz w:val="20"/>
                <w:szCs w:val="20"/>
              </w:rPr>
              <w:t xml:space="preserve">Respondents MUST answer all questions honestly and forthrightly (§2.8.3 as varied)</w:t>
            </w:r>
          </w:p>
        </w:tc>
        <w:tc>
          <w:tcPr>
            <w:tcW w:type="dxa" w:w="468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sz w:val="20"/>
                <w:szCs w:val="20"/>
              </w:rPr>
              <w:t xml:space="preserve">Applicant obstructs the information flow needed for Respondents to be informed enough to answer</w:t>
            </w:r>
          </w:p>
        </w:tc>
      </w:tr>
      <w:tr>
        <w:tc>
          <w:tcPr>
            <w:tcW w:type="dxa" w:w="468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sz w:val="20"/>
                <w:szCs w:val="20"/>
              </w:rPr>
              <w:t xml:space="preserve">Investigation must be “concluded without any delay” (Settlement §2.1.2.3)</w:t>
            </w:r>
          </w:p>
        </w:tc>
        <w:tc>
          <w:tcPr>
            <w:tcW w:type="dxa" w:w="468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sz w:val="20"/>
                <w:szCs w:val="20"/>
              </w:rPr>
              <w:t xml:space="preserve">Applicant delays by obstructing document production and cost processing</w:t>
            </w:r>
          </w:p>
        </w:tc>
      </w:tr>
      <w:tr>
        <w:tc>
          <w:tcPr>
            <w:tcW w:type="dxa" w:w="468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sz w:val="20"/>
                <w:szCs w:val="20"/>
              </w:rPr>
              <w:t xml:space="preserve">Forensic costs are entity expenses (§2.7, Settlement §2.1.3)</w:t>
            </w:r>
          </w:p>
        </w:tc>
        <w:tc>
          <w:tcPr>
            <w:tcW w:type="dxa" w:w="468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sz w:val="20"/>
                <w:szCs w:val="20"/>
              </w:rPr>
              <w:t xml:space="preserve">Costs billed personally to excluded Respondents (INV0000120)</w:t>
            </w:r>
          </w:p>
        </w:tc>
      </w:tr>
    </w:tbl>
    <w:p>
      <w:pPr>
        <w:spacing w:after="120"/>
      </w:pPr>
    </w:p>
    <w:p>
      <w:pPr>
        <w:pStyle w:val="Heading2"/>
        <w:spacing w:before="300" w:after="150"/>
      </w:pPr>
      <w:r>
        <w:rPr>
          <w:rFonts w:ascii="Arial" w:cs="Arial" w:eastAsia="Arial" w:hAnsi="Arial"/>
          <w:b/>
          <w:bCs/>
        </w:rPr>
        <w:t xml:space="preserve">6.4 The Applicant’s Own Obligations Under the Forensic Audit</w:t>
      </w:r>
    </w:p>
    <w:p>
      <w:pPr>
        <w:spacing w:after="120" w:line="276"/>
      </w:pPr>
      <w:r>
        <w:rPr>
          <w:rFonts w:ascii="Arial" w:cs="Arial" w:eastAsia="Arial" w:hAnsi="Arial"/>
          <w:sz w:val="22"/>
          <w:szCs w:val="22"/>
        </w:rPr>
        <w:t xml:space="preserve">The Applicant and his attorneys are reminded that the forensic audit is not a one-sided instrument operating only against the First and Second Respondents. The Applicant himself bears obligations:</w:t>
      </w:r>
    </w:p>
    <w:p>
      <w:pPr>
        <w:spacing w:after="120" w:line="276"/>
      </w:pPr>
      <w:r>
        <w:rPr>
          <w:rFonts w:ascii="Arial" w:cs="Arial" w:eastAsia="Arial" w:hAnsi="Arial"/>
          <w:b/>
          <w:bCs/>
          <w:sz w:val="22"/>
          <w:szCs w:val="22"/>
        </w:rPr>
        <w:t xml:space="preserve">(a) </w:t>
      </w:r>
      <w:r>
        <w:rPr>
          <w:rFonts w:ascii="Arial" w:cs="Arial" w:eastAsia="Arial" w:hAnsi="Arial"/>
          <w:sz w:val="22"/>
          <w:szCs w:val="22"/>
        </w:rPr>
        <w:t xml:space="preserve">To produce all records within his possession or control relating to the financial administration of the Third to Sixth Respondents — the obligation in §2.8.2 applies symmetrically, and the Applicant, having assumed exclusive financial control (§2.6), now holds the records that must be produced;</w:t>
      </w:r>
    </w:p>
    <w:p>
      <w:pPr>
        <w:spacing w:after="120" w:line="276"/>
      </w:pPr>
      <w:r>
        <w:rPr>
          <w:rFonts w:ascii="Arial" w:cs="Arial" w:eastAsia="Arial" w:hAnsi="Arial"/>
          <w:b/>
          <w:bCs/>
          <w:sz w:val="22"/>
          <w:szCs w:val="22"/>
        </w:rPr>
        <w:t xml:space="preserve">(b) </w:t>
      </w:r>
      <w:r>
        <w:rPr>
          <w:rFonts w:ascii="Arial" w:cs="Arial" w:eastAsia="Arial" w:hAnsi="Arial"/>
          <w:sz w:val="22"/>
          <w:szCs w:val="22"/>
        </w:rPr>
        <w:t xml:space="preserve">To ensure that the costs of the forensic investigation are paid by the Third to Sixth Respondents (§2.7, Settlement §2.1.3) through entity accounts he exclusively controls (§2.6);</w:t>
      </w:r>
    </w:p>
    <w:p>
      <w:pPr>
        <w:spacing w:after="120" w:line="276"/>
      </w:pPr>
      <w:r>
        <w:rPr>
          <w:rFonts w:ascii="Arial" w:cs="Arial" w:eastAsia="Arial" w:hAnsi="Arial"/>
          <w:b/>
          <w:bCs/>
          <w:sz w:val="22"/>
          <w:szCs w:val="22"/>
        </w:rPr>
        <w:t xml:space="preserve">(c) </w:t>
      </w:r>
      <w:r>
        <w:rPr>
          <w:rFonts w:ascii="Arial" w:cs="Arial" w:eastAsia="Arial" w:hAnsi="Arial"/>
          <w:sz w:val="22"/>
          <w:szCs w:val="22"/>
        </w:rPr>
        <w:t xml:space="preserve">To facilitate the investigation being “concluded without any delay” (Settlement §2.1.2.3) — obstruction of documentation flow, characterisation of legitimate requests as “fishing expeditions,” and refusal to process audit costs all constitute delay;</w:t>
      </w:r>
    </w:p>
    <w:p>
      <w:pPr>
        <w:spacing w:after="120" w:line="276"/>
      </w:pPr>
      <w:r>
        <w:rPr>
          <w:rFonts w:ascii="Arial" w:cs="Arial" w:eastAsia="Arial" w:hAnsi="Arial"/>
          <w:b/>
          <w:bCs/>
          <w:sz w:val="22"/>
          <w:szCs w:val="22"/>
        </w:rPr>
        <w:t xml:space="preserve">(d) </w:t>
      </w:r>
      <w:r>
        <w:rPr>
          <w:rFonts w:ascii="Arial" w:cs="Arial" w:eastAsia="Arial" w:hAnsi="Arial"/>
          <w:sz w:val="22"/>
          <w:szCs w:val="22"/>
        </w:rPr>
        <w:t xml:space="preserve">To answer all questions put to him by the forensic investigators honestly and forthrightly — Settlement §2.1.2.1 contemplates interviews with “Peter Faucitt, Daniel Faucitt, Jacqui Faucitt, Rynette Farrar and any other role players identified by the investigators.”</w:t>
      </w:r>
    </w:p>
    <w:p>
      <w:pPr>
        <w:pStyle w:val="Heading2"/>
        <w:spacing w:before="300" w:after="150"/>
      </w:pPr>
      <w:r>
        <w:rPr>
          <w:rFonts w:ascii="Arial" w:cs="Arial" w:eastAsia="Arial" w:hAnsi="Arial"/>
          <w:b/>
          <w:bCs/>
        </w:rPr>
        <w:t xml:space="preserve">6.5 Contempt Exposure for Obstructing the Applicant’s Own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8D7DA" w:val="clear"/>
            <w:tcMar>
              <w:top w:type="dxa" w:w="200"/>
              <w:left w:type="dxa" w:w="300"/>
              <w:bottom w:type="dxa" w:w="200"/>
              <w:right w:type="dxa" w:w="300"/>
            </w:tcMar>
          </w:tcPr>
          <w:p>
            <w:pPr>
              <w:spacing w:after="120"/>
              <w:jc w:val="center"/>
            </w:pPr>
            <w:r>
              <w:rPr>
                <w:rFonts w:ascii="Arial" w:cs="Arial" w:eastAsia="Arial" w:hAnsi="Arial"/>
                <w:b/>
                <w:bCs/>
                <w:color w:val="C0392B"/>
                <w:sz w:val="26"/>
                <w:szCs w:val="26"/>
              </w:rPr>
              <w:t xml:space="preserve">CONTEMPT WARNING</w:t>
            </w:r>
          </w:p>
          <w:p>
            <w:pPr>
              <w:spacing w:after="100"/>
            </w:pPr>
            <w:r>
              <w:rPr>
                <w:rFonts w:ascii="Arial" w:cs="Arial" w:eastAsia="Arial" w:hAnsi="Arial"/>
                <w:sz w:val="22"/>
                <w:szCs w:val="22"/>
              </w:rPr>
              <w:t xml:space="preserve">The court order is the Applicant’s own order, obtained at his own request. Paragraph 2.8 mandates Respondent participation in the forensic investigation as an order of court. The Applicant’s obstruction of that participation — by denying access to records, characterising legitimate requests as “fishing expeditions,” or refusing to process the costs of the forensic audit through entity accounts — constitutes failure to comply with his own court order.</w:t>
            </w:r>
          </w:p>
          <w:p>
            <w:pPr>
              <w:spacing w:after="100"/>
            </w:pPr>
            <w:r>
              <w:rPr>
                <w:rFonts w:ascii="Arial" w:cs="Arial" w:eastAsia="Arial" w:hAnsi="Arial"/>
                <w:sz w:val="22"/>
                <w:szCs w:val="22"/>
              </w:rPr>
              <w:t xml:space="preserve">The Applicant’s attorneys are further reminded that the settlement agreement at §2.1.2.3 requires the investigation to be “concluded without any delay.” Obstructing the information flow necessary for the investigation to proceed, while simultaneously billing the excluded Respondents personally for the costs of that investigation, constitutes a pattern of non-compliance that the court will be invited to consider.</w:t>
            </w:r>
          </w:p>
          <w:p>
            <w:pPr>
              <w:spacing w:after="0"/>
            </w:pPr>
            <w:r>
              <w:rPr>
                <w:rFonts w:ascii="Arial" w:cs="Arial" w:eastAsia="Arial" w:hAnsi="Arial"/>
                <w:b/>
                <w:bCs/>
                <w:sz w:val="22"/>
                <w:szCs w:val="22"/>
              </w:rPr>
              <w:t xml:space="preserve">Failure of the Applicant and/or his attorneys to comply with the forensic audit — including production of records, facilitation of Respondent participation, and payment of audit costs through entity accounts — constitutes contempt of the Applicant’s own court order.</w:t>
            </w:r>
          </w:p>
        </w:tc>
      </w:tr>
    </w:tbl>
    <w:p>
      <w:r>
        <w:br/>
      </w:r>
    </w:p>
    <w:p>
      <w:pPr>
        <w:pStyle w:val="Heading1"/>
        <w:spacing w:before="300" w:after="150"/>
      </w:pPr>
      <w:r>
        <w:rPr>
          <w:rFonts w:ascii="Arial" w:cs="Arial" w:eastAsia="Arial" w:hAnsi="Arial"/>
          <w:b/>
          <w:bCs/>
        </w:rPr>
        <w:t xml:space="preserve">7. DOCUMENTARY EVIDENCE OF VIOLATIONS</w:t>
      </w:r>
    </w:p>
    <w:p>
      <w:pPr>
        <w:pStyle w:val="Heading2"/>
        <w:spacing w:before="300" w:after="150"/>
      </w:pPr>
      <w:r>
        <w:rPr>
          <w:rFonts w:ascii="Arial" w:cs="Arial" w:eastAsia="Arial" w:hAnsi="Arial"/>
          <w:b/>
          <w:bCs/>
        </w:rPr>
        <w:t xml:space="preserve">6.1 Crime Risk Advisory Invoice INV0000120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Invoice Field</w:t>
            </w:r>
          </w:p>
        </w:tc>
        <w:tc>
          <w:tcPr>
            <w:tcW w:type="dxa" w:w="6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Invoice Number</w:t>
            </w:r>
          </w:p>
        </w:tc>
        <w:tc>
          <w:tcPr>
            <w:tcW w:type="dxa" w:w="6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INV0000120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21 January 2026</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From</w:t>
            </w:r>
          </w:p>
        </w:tc>
        <w:tc>
          <w:tcPr>
            <w:tcW w:type="dxa" w:w="6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Crime Risk Advisory (Pty) Ltd</w:t>
            </w:r>
          </w:p>
        </w:tc>
      </w:tr>
      <w:tr>
        <w:tc>
          <w:tcPr>
            <w:tcW w:type="dxa" w:w="280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b/>
                <w:bCs/>
                <w:sz w:val="20"/>
                <w:szCs w:val="20"/>
              </w:rPr>
              <w:t xml:space="preserve">Billed To</w:t>
            </w:r>
          </w:p>
        </w:tc>
        <w:tc>
          <w:tcPr>
            <w:tcW w:type="dxa" w:w="656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b/>
                <w:bCs/>
                <w:color w:val="C0392B"/>
                <w:sz w:val="20"/>
                <w:szCs w:val="20"/>
              </w:rPr>
              <w:t xml:space="preserve">JACQUELINE AND DANIEL FAUCITT</w:t>
            </w:r>
            <w:r>
              <w:rPr>
                <w:rFonts w:ascii="Arial" w:cs="Arial" w:eastAsia="Arial" w:hAnsi="Arial"/>
                <w:sz w:val="20"/>
                <w:szCs w:val="20"/>
              </w:rPr>
              <w:t xml:space="preserve"> (First and Second Respondents — personally)</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INS001 — Investigation Deposit</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Amount</w:t>
            </w:r>
          </w:p>
        </w:tc>
        <w:tc>
          <w:tcPr>
            <w:tcW w:type="dxa" w:w="6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R523,250.00 (R455,000.00 excl. + R68,250.00 VAT)</w:t>
            </w:r>
          </w:p>
        </w:tc>
      </w:tr>
      <w:tr>
        <w:tc>
          <w:tcPr>
            <w:tcW w:type="dxa" w:w="28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sz w:val="20"/>
                <w:szCs w:val="20"/>
              </w:rPr>
              <w:t xml:space="preserve">Binary Classification</w:t>
            </w:r>
          </w:p>
        </w:tc>
        <w:tc>
          <w:tcPr>
            <w:tcW w:type="dxa" w:w="65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color w:val="27AE60"/>
                <w:sz w:val="20"/>
                <w:szCs w:val="20"/>
              </w:rPr>
              <w:t xml:space="preserve">TEST A — ENTITY EXPENSE.</w:t>
            </w:r>
            <w:r>
              <w:rPr>
                <w:rFonts w:ascii="Arial" w:cs="Arial" w:eastAsia="Arial" w:hAnsi="Arial"/>
                <w:sz w:val="20"/>
                <w:szCs w:val="20"/>
              </w:rPr>
              <w:t xml:space="preserve"> Forensic investigation cost. Court Order §2.7 + Settlement §2.1.3 = entity cost. Must be billed to Applicant for processing through entity accounts.</w:t>
            </w:r>
          </w:p>
        </w:tc>
      </w:tr>
    </w:tbl>
    <w:p>
      <w:pPr>
        <w:spacing w:after="120"/>
      </w:pPr>
    </w:p>
    <w:p>
      <w:pPr>
        <w:spacing w:after="120" w:line="276"/>
      </w:pPr>
      <w:r>
        <w:rPr>
          <w:rFonts w:ascii="Arial" w:cs="Arial" w:eastAsia="Arial" w:hAnsi="Arial"/>
          <w:sz w:val="22"/>
          <w:szCs w:val="22"/>
        </w:rPr>
        <w:t xml:space="preserve">This invoice is a forensic investigation deposit. Three separate provisions designate forensic costs as entity obligations: Court Order paragraph 2.7 (“at the cost of the Third to Sixth Respondents”), Settlement Agreement paragraph 2.1.3 (“costs of the forensic investigation are to be borne by the third to sixth respondents”), and Settlement Agreement paragraph 2.4.3 (business expenses processed by Applicant). Billing it to “JACQUELINE AND DANIEL FAUCITT” personally violates all three provisions.</w:t>
      </w:r>
    </w:p>
    <w:p>
      <w:pPr>
        <w:pStyle w:val="Heading2"/>
        <w:spacing w:before="300" w:after="150"/>
      </w:pPr>
      <w:r>
        <w:rPr>
          <w:rFonts w:ascii="Arial" w:cs="Arial" w:eastAsia="Arial" w:hAnsi="Arial"/>
          <w:b/>
          <w:bCs/>
        </w:rPr>
        <w:t xml:space="preserve">6.2 Application to Pottas Attorneys Billing</w:t>
      </w:r>
    </w:p>
    <w:p>
      <w:pPr>
        <w:spacing w:after="120" w:line="276"/>
      </w:pPr>
      <w:r>
        <w:rPr>
          <w:rFonts w:ascii="Arial" w:cs="Arial" w:eastAsia="Arial" w:hAnsi="Arial"/>
          <w:sz w:val="22"/>
          <w:szCs w:val="22"/>
        </w:rPr>
        <w:t xml:space="preserve">The binary classification applies with equal force to all billing by Pottas Attorneys (or any other attorneys) to the First and Second Respondents. The test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Nature of Legal Service</w:t>
            </w:r>
          </w:p>
        </w:tc>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w:t>
            </w:r>
          </w:p>
        </w:tc>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Pays</w:t>
            </w:r>
          </w:p>
        </w:tc>
      </w:tr>
      <w:tr>
        <w:tc>
          <w:tcPr>
            <w:tcW w:type="dxa" w:w="312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Entity governance / compliance matters (POPIA, Companies Act, regulatory filings)</w:t>
            </w:r>
          </w:p>
        </w:tc>
        <w:tc>
          <w:tcPr>
            <w:tcW w:type="dxa" w:w="312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TEST A — Entity expense: within scope of Applicant’s assumed control</w:t>
            </w:r>
          </w:p>
        </w:tc>
        <w:tc>
          <w:tcPr>
            <w:tcW w:type="dxa" w:w="312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sz w:val="20"/>
                <w:szCs w:val="20"/>
              </w:rPr>
              <w:t xml:space="preserve">Applicant</w:t>
            </w:r>
            <w:r>
              <w:rPr>
                <w:rFonts w:ascii="Arial" w:cs="Arial" w:eastAsia="Arial" w:hAnsi="Arial"/>
                <w:sz w:val="20"/>
                <w:szCs w:val="20"/>
              </w:rPr>
              <w:t xml:space="preserve"> — billed for payment from entity accounts per §2.6/§2.4.3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Responding to Applicant’s forensic investigation, contempt applications, or other entity-related proceedings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TEST A — Entity expense: these proceedings arise from the Applicant’s exercise of entity control</w:t>
            </w:r>
          </w:p>
        </w:tc>
        <w:tc>
          <w:tcPr>
            <w:tcW w:type="dxa" w:w="312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sz w:val="20"/>
                <w:szCs w:val="20"/>
              </w:rPr>
              <w:t xml:space="preserve">Applicant</w:t>
            </w:r>
            <w:r>
              <w:rPr>
                <w:rFonts w:ascii="Arial" w:cs="Arial" w:eastAsia="Arial" w:hAnsi="Arial"/>
                <w:sz w:val="20"/>
                <w:szCs w:val="20"/>
              </w:rPr>
              <w:t xml:space="preserve"> — billed for payment from entity accounts per §2.6/§2.4.3</w:t>
            </w:r>
          </w:p>
        </w:tc>
      </w:tr>
      <w:tr>
        <w:tc>
          <w:tcPr>
            <w:tcW w:type="dxa" w:w="312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Defending directors’ fiduciary duties, statutory rights, access to records</w:t>
            </w:r>
          </w:p>
        </w:tc>
        <w:tc>
          <w:tcPr>
            <w:tcW w:type="dxa" w:w="312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TEST A — Entity expense: fiduciary duties exist for the benefit of entities</w:t>
            </w:r>
          </w:p>
        </w:tc>
        <w:tc>
          <w:tcPr>
            <w:tcW w:type="dxa" w:w="312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b/>
                <w:bCs/>
                <w:sz w:val="20"/>
                <w:szCs w:val="20"/>
              </w:rPr>
              <w:t xml:space="preserve">Applicant</w:t>
            </w:r>
            <w:r>
              <w:rPr>
                <w:rFonts w:ascii="Arial" w:cs="Arial" w:eastAsia="Arial" w:hAnsi="Arial"/>
                <w:sz w:val="20"/>
                <w:szCs w:val="20"/>
              </w:rPr>
              <w:t xml:space="preserve"> — billed for payment from entity accounts per §2.6/§2.4.3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Purely personal matters of First/Second Respondents unrelated to entities (e.g., personal divorce, personal injury, personal tax)</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TEST B — Personal matter: outside Applicant’s purview</w:t>
            </w:r>
          </w:p>
        </w:tc>
        <w:tc>
          <w:tcPr>
            <w:tcW w:type="dxa" w:w="312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rFonts w:ascii="Arial" w:cs="Arial" w:eastAsia="Arial" w:hAnsi="Arial"/>
                <w:b/>
                <w:bCs/>
                <w:sz w:val="20"/>
                <w:szCs w:val="20"/>
              </w:rPr>
              <w:t xml:space="preserve">First/Second Respondents personally</w:t>
            </w:r>
            <w:r>
              <w:rPr>
                <w:rFonts w:ascii="Arial" w:cs="Arial" w:eastAsia="Arial" w:hAnsi="Arial"/>
                <w:sz w:val="20"/>
                <w:szCs w:val="20"/>
              </w:rPr>
              <w:t xml:space="preserve"> — no entity involvement</w:t>
            </w:r>
          </w:p>
        </w:tc>
      </w:tr>
    </w:tbl>
    <w:p>
      <w:pPr>
        <w:spacing w:after="120"/>
      </w:pPr>
    </w:p>
    <w:p>
      <w:pPr>
        <w:spacing w:after="120" w:line="276"/>
      </w:pPr>
      <w:r>
        <w:rPr>
          <w:rFonts w:ascii="Arial" w:cs="Arial" w:eastAsia="Arial" w:hAnsi="Arial"/>
          <w:sz w:val="22"/>
          <w:szCs w:val="22"/>
        </w:rPr>
        <w:t xml:space="preserve">The principle is straightforward: if the legal service relates in any way to the entities, their governance, their accounts, the Applicant’s exercise of his court-ordered authority, or the directors’ fiduciary/statutory duties to those entities, it is an entity expense under Test A and must be billed to the Applicant for processing through entity accounts. Only matters that are purely personal to the First and Second Respondents, bearing no connection to the entities, fall under Test B.</w:t>
      </w:r>
    </w:p>
    <w:p>
      <w:r>
        <w:br/>
      </w:r>
    </w:p>
    <w:p>
      <w:pPr>
        <w:pStyle w:val="Heading1"/>
        <w:spacing w:before="300" w:after="150"/>
      </w:pPr>
      <w:r>
        <w:rPr>
          <w:rFonts w:ascii="Arial" w:cs="Arial" w:eastAsia="Arial" w:hAnsi="Arial"/>
          <w:b/>
          <w:bCs/>
        </w:rPr>
        <w:t xml:space="preserve">8. THE ESTOPPEL</w:t>
      </w:r>
    </w:p>
    <w:p>
      <w:pPr>
        <w:spacing w:after="120" w:line="276"/>
      </w:pPr>
      <w:r>
        <w:rPr>
          <w:rFonts w:ascii="Arial" w:cs="Arial" w:eastAsia="Arial" w:hAnsi="Arial"/>
          <w:sz w:val="22"/>
          <w:szCs w:val="22"/>
        </w:rPr>
        <w:t xml:space="preserve">The Applicant is estopped from resiling from the cost allocation framework he created. Each element is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W w:type="dxa" w:w="351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Established</w:t>
            </w:r>
          </w:p>
        </w:tc>
        <w:tc>
          <w:tcPr>
            <w:tcW w:type="dxa" w:w="351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w:t>
            </w:r>
          </w:p>
        </w:tc>
      </w:tr>
      <w:tr>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Representation</w:t>
            </w:r>
          </w:p>
        </w:tc>
        <w:tc>
          <w:tcPr>
            <w:tcW w:type="dxa" w:w="351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The Applicant represented to the Court that entity costs would be borne by entities and that he would hold exclusive transacting authority with the corresponding obligation to process payments</w:t>
            </w:r>
          </w:p>
        </w:tc>
        <w:tc>
          <w:tcPr>
            <w:tcW w:type="dxa" w:w="351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Founding affidavit; Court Order §§2.6–2.7; Settlement §§2.1.3, 2.4.3</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Reliance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The First and Second Respondents relied on this framework by surrendering cards, passwords, and transacting authority as directed by the court order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Compliance with Court Order §§2.1–2.4; Settlement execution</w:t>
            </w:r>
          </w:p>
        </w:tc>
      </w:tr>
      <w:tr>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Detriment</w:t>
            </w:r>
          </w:p>
        </w:tc>
        <w:tc>
          <w:tcPr>
            <w:tcW w:type="dxa" w:w="351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Personal billing for entity costs causes direct financial prejudice to parties who were excluded from the very accounts from which such costs should be paid</w:t>
            </w:r>
          </w:p>
        </w:tc>
        <w:tc>
          <w:tcPr>
            <w:tcW w:type="dxa" w:w="351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Crime Risk Advisory INV0000120: R523,250 billed personally; potential Pottas billing misallocation</w:t>
            </w:r>
          </w:p>
        </w:tc>
      </w:tr>
      <w:tr>
        <w:tc>
          <w:tcPr>
            <w:tcW w:type="dxa" w:w="234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b/>
                <w:bCs/>
                <w:sz w:val="20"/>
                <w:szCs w:val="20"/>
              </w:rPr>
              <w:t xml:space="preserve">Unconscionability</w:t>
            </w:r>
          </w:p>
        </w:tc>
        <w:tc>
          <w:tcPr>
            <w:tcW w:type="dxa" w:w="351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sz w:val="20"/>
                <w:szCs w:val="20"/>
              </w:rPr>
              <w:t xml:space="preserve">The Applicant cannot weaponize exclusive control to avoid processing costs while simultaneously billing the very parties he excluded from financial dealings. He created their exclusion; he bears its consequences.</w:t>
            </w:r>
          </w:p>
        </w:tc>
        <w:tc>
          <w:tcPr>
            <w:tcW w:type="dxa" w:w="3510"/>
            <w:tcBorders>
              <w:top w:val="single" w:color="999999" w:sz="1"/>
              <w:left w:val="single" w:color="999999" w:sz="1"/>
              <w:bottom w:val="single" w:color="999999" w:sz="1"/>
              <w:right w:val="single" w:color="999999" w:sz="1"/>
            </w:tcBorders>
            <w:shd w:fill="F8D7DA" w:val="clear"/>
            <w:tcMar>
              <w:top w:type="dxa" w:w="80"/>
              <w:left w:type="dxa" w:w="120"/>
              <w:bottom w:type="dxa" w:w="80"/>
              <w:right w:type="dxa" w:w="120"/>
            </w:tcMar>
          </w:tcPr>
          <w:p>
            <w:r>
              <w:rPr>
                <w:rFonts w:ascii="Arial" w:cs="Arial" w:eastAsia="Arial" w:hAnsi="Arial"/>
                <w:sz w:val="20"/>
                <w:szCs w:val="20"/>
              </w:rPr>
              <w:t xml:space="preserve">Elliott Attorneys letters confirming Applicant is “running the entities” while claiming First Respondent is “uninvolved” — confirming the exclusion he caused</w:t>
            </w:r>
          </w:p>
        </w:tc>
      </w:tr>
    </w:tbl>
    <w:p>
      <w:r>
        <w:br/>
      </w:r>
    </w:p>
    <w:p>
      <w:pPr>
        <w:pStyle w:val="Heading1"/>
        <w:spacing w:before="300" w:after="150"/>
      </w:pPr>
      <w:r>
        <w:rPr>
          <w:rFonts w:ascii="Arial" w:cs="Arial" w:eastAsia="Arial" w:hAnsi="Arial"/>
          <w:b/>
          <w:bCs/>
        </w:rPr>
        <w:t xml:space="preserve">9. THE THREE SIMULTANEOUS VIOLATIONS</w:t>
      </w:r>
    </w:p>
    <w:p>
      <w:pPr>
        <w:spacing w:after="120" w:line="276"/>
      </w:pPr>
      <w:r>
        <w:rPr>
          <w:rFonts w:ascii="Arial" w:cs="Arial" w:eastAsia="Arial" w:hAnsi="Arial"/>
          <w:sz w:val="22"/>
          <w:szCs w:val="22"/>
        </w:rPr>
        <w:t xml:space="preserve">Every instance of personal billing for entity costs violates three distinct provisions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Provision</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Obligation</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Violation</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w:t>
            </w:r>
          </w:p>
        </w:tc>
      </w:tr>
      <w:tr>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Court Order §2.6</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Applicant transacts “to the exclusion of” First &amp; Second Respondents</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Excluded parties billed for entity costs instead of costs being processed through entity accounts</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Violates the “exclusion” by forcing excluded parties to bear entity obligations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§2.7 / Settlement §2.1.3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Expert/forensic costs “at the cost of the Third to Sixth Respondents”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Costs billed to individuals, not entities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Misallocates entity obligations to personal accounts</w:t>
            </w:r>
          </w:p>
        </w:tc>
      </w:tr>
      <w:tr>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Settlement §2.4.3</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Applicant must “arrange payment from and on behalf of the relevant entity”</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Applicant refuses to process entity costs; allows/directs personal billing</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Breach of settlement obligation</w:t>
            </w:r>
          </w:p>
        </w:tc>
      </w:tr>
    </w:tbl>
    <w:p>
      <w:r>
        <w:br/>
      </w:r>
    </w:p>
    <w:p>
      <w:pPr>
        <w:pStyle w:val="Heading1"/>
        <w:spacing w:before="300" w:after="150"/>
      </w:pPr>
      <w:r>
        <w:rPr>
          <w:rFonts w:ascii="Arial" w:cs="Arial" w:eastAsia="Arial" w:hAnsi="Arial"/>
          <w:b/>
          <w:bCs/>
        </w:rPr>
        <w:t xml:space="preserve">10. PATTERN OF SETTLEMENT NON-COMPLIANCE</w:t>
      </w:r>
    </w:p>
    <w:p>
      <w:pPr>
        <w:spacing w:after="120" w:line="276"/>
      </w:pPr>
      <w:r>
        <w:rPr>
          <w:rFonts w:ascii="Arial" w:cs="Arial" w:eastAsia="Arial" w:hAnsi="Arial"/>
          <w:sz w:val="22"/>
          <w:szCs w:val="22"/>
        </w:rPr>
        <w:t xml:space="preserve">The cost misallocation forms part of a broader pattern of the Applicant’s non-compliance with the settlement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Provision</w:t>
            </w:r>
          </w:p>
        </w:tc>
        <w:tc>
          <w:tcPr>
            <w:tcW w:type="dxa" w:w="37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Obligation</w:t>
            </w:r>
          </w:p>
        </w:tc>
        <w:tc>
          <w:tcPr>
            <w:tcW w:type="dxa" w:w="37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Breach</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§2.2.1.1</w:t>
            </w:r>
          </w:p>
        </w:tc>
        <w:tc>
          <w:tcPr>
            <w:tcW w:type="dxa" w:w="3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Email Jacqueline and Daniel specifying nature, value, and description of each transaction prior to giving effect to any transfer</w:t>
            </w:r>
          </w:p>
        </w:tc>
        <w:tc>
          <w:tcPr>
            <w:tcW w:type="dxa" w:w="3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R10,624,131.18 extracted between 3–11 September 2025 without prior notification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§2.1.3</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Forensic investigation costs borne by entities</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Crime Risk Advisory R523,250 billed to First and Second Respondents personally</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§2.4.3</w:t>
            </w:r>
          </w:p>
        </w:tc>
        <w:tc>
          <w:tcPr>
            <w:tcW w:type="dxa" w:w="3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Arrange payment of business expenses from entity accounts</w:t>
            </w:r>
          </w:p>
        </w:tc>
        <w:tc>
          <w:tcPr>
            <w:tcW w:type="dxa" w:w="3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Refuses to process entity costs; characterises documentation requests as “fishing expedition”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§2.3.1</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Reimburse Daniel for bona fide business-related transactions from 7 June 2025</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 evidence of reimbursement provided</w:t>
            </w:r>
          </w:p>
        </w:tc>
      </w:tr>
    </w:tbl>
    <w:p>
      <w:r>
        <w:br/>
      </w:r>
    </w:p>
    <w:p>
      <w:pPr>
        <w:pStyle w:val="Heading1"/>
        <w:spacing w:before="300" w:after="150"/>
      </w:pPr>
      <w:r>
        <w:rPr>
          <w:rFonts w:ascii="Arial" w:cs="Arial" w:eastAsia="Arial" w:hAnsi="Arial"/>
          <w:b/>
          <w:bCs/>
        </w:rPr>
        <w:t xml:space="preserve">11. THE PROPER COST PROCESSING MECHANISM</w:t>
      </w:r>
    </w:p>
    <w:p>
      <w:pPr>
        <w:spacing w:after="120" w:line="276"/>
      </w:pPr>
      <w:r>
        <w:rPr>
          <w:rFonts w:ascii="Arial" w:cs="Arial" w:eastAsia="Arial" w:hAnsi="Arial"/>
          <w:sz w:val="22"/>
          <w:szCs w:val="22"/>
        </w:rPr>
        <w:t xml:space="preserve">For clarity, the binding provisions establish the following mechanism:</w:t>
      </w:r>
    </w:p>
    <w:p>
      <w:pPr>
        <w:spacing w:after="120" w:line="276"/>
      </w:pPr>
      <w:r>
        <w:rPr>
          <w:rFonts w:ascii="Arial" w:cs="Arial" w:eastAsia="Arial" w:hAnsi="Arial"/>
          <w:b/>
          <w:bCs/>
          <w:sz w:val="22"/>
          <w:szCs w:val="22"/>
        </w:rPr>
        <w:t xml:space="preserve">Step 1: </w:t>
      </w:r>
      <w:r>
        <w:rPr>
          <w:rFonts w:ascii="Arial" w:cs="Arial" w:eastAsia="Arial" w:hAnsi="Arial"/>
          <w:sz w:val="22"/>
          <w:szCs w:val="22"/>
        </w:rPr>
        <w:t xml:space="preserve">Apply the binary classification test. If the expense relates to the entities, their governance, operations, compliance, or the exercise of fiduciary/statutory duties → Test A (entity expense). If purely personal → Test B (personal matter).</w:t>
      </w:r>
    </w:p>
    <w:p>
      <w:pPr>
        <w:spacing w:after="120" w:line="276"/>
      </w:pPr>
      <w:r>
        <w:rPr>
          <w:rFonts w:ascii="Arial" w:cs="Arial" w:eastAsia="Arial" w:hAnsi="Arial"/>
          <w:b/>
          <w:bCs/>
          <w:sz w:val="22"/>
          <w:szCs w:val="22"/>
        </w:rPr>
        <w:t xml:space="preserve">Step 2: </w:t>
      </w:r>
      <w:r>
        <w:rPr>
          <w:rFonts w:ascii="Arial" w:cs="Arial" w:eastAsia="Arial" w:hAnsi="Arial"/>
          <w:sz w:val="22"/>
          <w:szCs w:val="22"/>
        </w:rPr>
        <w:t xml:space="preserve">For Test A expenses, service providers bill the relevant entity — not any individual party.</w:t>
      </w:r>
    </w:p>
    <w:p>
      <w:pPr>
        <w:spacing w:after="120" w:line="276"/>
      </w:pPr>
      <w:r>
        <w:rPr>
          <w:rFonts w:ascii="Arial" w:cs="Arial" w:eastAsia="Arial" w:hAnsi="Arial"/>
          <w:b/>
          <w:bCs/>
          <w:sz w:val="22"/>
          <w:szCs w:val="22"/>
        </w:rPr>
        <w:t xml:space="preserve">Step 3: </w:t>
      </w:r>
      <w:r>
        <w:rPr>
          <w:rFonts w:ascii="Arial" w:cs="Arial" w:eastAsia="Arial" w:hAnsi="Arial"/>
          <w:sz w:val="22"/>
          <w:szCs w:val="22"/>
        </w:rPr>
        <w:t xml:space="preserve">The First and/or Second Respondents may identify unpaid business expenses and provide these to the Applicant (Settlement §2.4.3).</w:t>
      </w:r>
    </w:p>
    <w:p>
      <w:pPr>
        <w:spacing w:after="120" w:line="276"/>
      </w:pPr>
      <w:r>
        <w:rPr>
          <w:rFonts w:ascii="Arial" w:cs="Arial" w:eastAsia="Arial" w:hAnsi="Arial"/>
          <w:b/>
          <w:bCs/>
          <w:sz w:val="22"/>
          <w:szCs w:val="22"/>
        </w:rPr>
        <w:t xml:space="preserve">Step 4: </w:t>
      </w:r>
      <w:r>
        <w:rPr>
          <w:rFonts w:ascii="Arial" w:cs="Arial" w:eastAsia="Arial" w:hAnsi="Arial"/>
          <w:sz w:val="22"/>
          <w:szCs w:val="22"/>
        </w:rPr>
        <w:t xml:space="preserve">The Applicant “will then arrange payment of such expenses, from and on behalf of the relevant entity” (Settlement §2.4.3).</w:t>
      </w:r>
    </w:p>
    <w:p>
      <w:pPr>
        <w:spacing w:after="120" w:line="276"/>
      </w:pPr>
      <w:r>
        <w:rPr>
          <w:rFonts w:ascii="Arial" w:cs="Arial" w:eastAsia="Arial" w:hAnsi="Arial"/>
          <w:b/>
          <w:bCs/>
          <w:sz w:val="22"/>
          <w:szCs w:val="22"/>
        </w:rPr>
        <w:t xml:space="preserve">Step 5: </w:t>
      </w:r>
      <w:r>
        <w:rPr>
          <w:rFonts w:ascii="Arial" w:cs="Arial" w:eastAsia="Arial" w:hAnsi="Arial"/>
          <w:sz w:val="22"/>
          <w:szCs w:val="22"/>
        </w:rPr>
        <w:t xml:space="preserve">The Applicant processes payment through the entity accounts he exclusively controls (Court Order §2.6).</w:t>
      </w:r>
    </w:p>
    <w:p>
      <w:pPr>
        <w:spacing w:after="120" w:line="276"/>
      </w:pPr>
      <w:r>
        <w:rPr>
          <w:rFonts w:ascii="Arial" w:cs="Arial" w:eastAsia="Arial" w:hAnsi="Arial"/>
          <w:b/>
          <w:bCs/>
          <w:sz w:val="22"/>
          <w:szCs w:val="22"/>
        </w:rPr>
        <w:t xml:space="preserve">Step 6: </w:t>
      </w:r>
      <w:r>
        <w:rPr>
          <w:rFonts w:ascii="Arial" w:cs="Arial" w:eastAsia="Arial" w:hAnsi="Arial"/>
          <w:sz w:val="22"/>
          <w:szCs w:val="22"/>
        </w:rPr>
        <w:t xml:space="preserve">The First and Second Respondents “reserve their rights in relation to any such transactions effected during this period” (Settlement §2.2.1.2).</w:t>
      </w:r>
    </w:p>
    <w:p>
      <w:pPr>
        <w:spacing w:after="120" w:line="276"/>
      </w:pPr>
      <w:r>
        <w:rPr>
          <w:rFonts w:ascii="Arial" w:cs="Arial" w:eastAsia="Arial" w:hAnsi="Arial"/>
          <w:sz w:val="22"/>
          <w:szCs w:val="22"/>
        </w:rPr>
        <w:t xml:space="preserve">At no point in this mechanism does any entity cost become a personal obligation of the First or Second Respondents. The mechanism preserves the First and Second Respondents’ full capacity to exercise fiduciary and statutory duties while ensuring all financial obligations of entities are processed by the person who holds exclusive authority over entity accounts.</w:t>
      </w:r>
    </w:p>
    <w:p>
      <w:r>
        <w:br/>
      </w:r>
    </w:p>
    <w:p>
      <w:pPr>
        <w:pStyle w:val="Heading1"/>
        <w:spacing w:before="300" w:after="150"/>
      </w:pPr>
      <w:r>
        <w:rPr>
          <w:rFonts w:ascii="Arial" w:cs="Arial" w:eastAsia="Arial" w:hAnsi="Arial"/>
          <w:b/>
          <w:bCs/>
        </w:rPr>
        <w:t xml:space="preserve">12. THE AUTHORITY-RESPONSIBILITY PRINCIPLE</w:t>
      </w:r>
    </w:p>
    <w:p>
      <w:pPr>
        <w:spacing w:after="120" w:line="276"/>
      </w:pPr>
      <w:r>
        <w:rPr>
          <w:rFonts w:ascii="Arial" w:cs="Arial" w:eastAsia="Arial" w:hAnsi="Arial"/>
          <w:sz w:val="22"/>
          <w:szCs w:val="22"/>
        </w:rPr>
        <w:t xml:space="preserve">South African law recognises the fundamental principle that authority and responsibility are inseparable. The maxim qui sentit commodum sentire debet et onus applies: whoever enjoys the benefit must also bear the burden.</w:t>
      </w:r>
    </w:p>
    <w:p>
      <w:pPr>
        <w:spacing w:after="120" w:line="276"/>
      </w:pPr>
      <w:r>
        <w:rPr>
          <w:rFonts w:ascii="Arial" w:cs="Arial" w:eastAsia="Arial" w:hAnsi="Arial"/>
          <w:sz w:val="22"/>
          <w:szCs w:val="22"/>
        </w:rPr>
        <w:t xml:space="preserve">The Applicant obtained exclusive transacting authority by court order. He cannot:</w:t>
      </w:r>
    </w:p>
    <w:p>
      <w:pPr>
        <w:spacing w:after="120" w:line="276"/>
      </w:pPr>
      <w:r>
        <w:rPr>
          <w:rFonts w:ascii="Arial" w:cs="Arial" w:eastAsia="Arial" w:hAnsi="Arial"/>
          <w:b/>
          <w:bCs/>
          <w:sz w:val="22"/>
          <w:szCs w:val="22"/>
        </w:rPr>
        <w:t xml:space="preserve">(a) </w:t>
      </w:r>
      <w:r>
        <w:rPr>
          <w:rFonts w:ascii="Arial" w:cs="Arial" w:eastAsia="Arial" w:hAnsi="Arial"/>
          <w:sz w:val="22"/>
          <w:szCs w:val="22"/>
        </w:rPr>
        <w:t xml:space="preserve">Claim exclusive authority while refusing to exercise it for the purpose of processing entity costs;</w:t>
      </w:r>
    </w:p>
    <w:p>
      <w:pPr>
        <w:spacing w:after="120" w:line="276"/>
      </w:pPr>
      <w:r>
        <w:rPr>
          <w:rFonts w:ascii="Arial" w:cs="Arial" w:eastAsia="Arial" w:hAnsi="Arial"/>
          <w:b/>
          <w:bCs/>
          <w:sz w:val="22"/>
          <w:szCs w:val="22"/>
        </w:rPr>
        <w:t xml:space="preserve">(b) </w:t>
      </w:r>
      <w:r>
        <w:rPr>
          <w:rFonts w:ascii="Arial" w:cs="Arial" w:eastAsia="Arial" w:hAnsi="Arial"/>
          <w:sz w:val="22"/>
          <w:szCs w:val="22"/>
        </w:rPr>
        <w:t xml:space="preserve">Exclude the First and Second Respondents from financial dealings while simultaneously requiring them to bear entity financial obligations from personal funds;</w:t>
      </w:r>
    </w:p>
    <w:p>
      <w:pPr>
        <w:spacing w:after="120" w:line="276"/>
      </w:pPr>
      <w:r>
        <w:rPr>
          <w:rFonts w:ascii="Arial" w:cs="Arial" w:eastAsia="Arial" w:hAnsi="Arial"/>
          <w:b/>
          <w:bCs/>
          <w:sz w:val="22"/>
          <w:szCs w:val="22"/>
        </w:rPr>
        <w:t xml:space="preserve">(c) </w:t>
      </w:r>
      <w:r>
        <w:rPr>
          <w:rFonts w:ascii="Arial" w:cs="Arial" w:eastAsia="Arial" w:hAnsi="Arial"/>
          <w:sz w:val="22"/>
          <w:szCs w:val="22"/>
        </w:rPr>
        <w:t xml:space="preserve">Direct or permit attorneys to bill excluded parties for costs that his own filings designate as entity obligations;</w:t>
      </w:r>
    </w:p>
    <w:p>
      <w:pPr>
        <w:spacing w:after="120" w:line="276"/>
      </w:pPr>
      <w:r>
        <w:rPr>
          <w:rFonts w:ascii="Arial" w:cs="Arial" w:eastAsia="Arial" w:hAnsi="Arial"/>
          <w:b/>
          <w:bCs/>
          <w:sz w:val="22"/>
          <w:szCs w:val="22"/>
        </w:rPr>
        <w:t xml:space="preserve">(d) </w:t>
      </w:r>
      <w:r>
        <w:rPr>
          <w:rFonts w:ascii="Arial" w:cs="Arial" w:eastAsia="Arial" w:hAnsi="Arial"/>
          <w:sz w:val="22"/>
          <w:szCs w:val="22"/>
        </w:rPr>
        <w:t xml:space="preserve">Deny the First Respondent access to entity systems while the First Respondent remains personally liable for POPIA compliance as Information Officer;</w:t>
      </w:r>
    </w:p>
    <w:p>
      <w:pPr>
        <w:spacing w:after="120" w:line="276"/>
      </w:pPr>
      <w:r>
        <w:rPr>
          <w:rFonts w:ascii="Arial" w:cs="Arial" w:eastAsia="Arial" w:hAnsi="Arial"/>
          <w:b/>
          <w:bCs/>
          <w:sz w:val="22"/>
          <w:szCs w:val="22"/>
        </w:rPr>
        <w:t xml:space="preserve">(e) </w:t>
      </w:r>
      <w:r>
        <w:rPr>
          <w:rFonts w:ascii="Arial" w:cs="Arial" w:eastAsia="Arial" w:hAnsi="Arial"/>
          <w:sz w:val="22"/>
          <w:szCs w:val="22"/>
        </w:rPr>
        <w:t xml:space="preserve">Cite the First Respondent’s non-involvement (which he caused by denying access) as a basis for refusing to process entity costs.</w:t>
      </w:r>
    </w:p>
    <w:p>
      <w:r>
        <w:br/>
      </w:r>
    </w:p>
    <w:p>
      <w:pPr>
        <w:pStyle w:val="Heading1"/>
        <w:spacing w:before="300" w:after="150"/>
      </w:pPr>
      <w:r>
        <w:rPr>
          <w:rFonts w:ascii="Arial" w:cs="Arial" w:eastAsia="Arial" w:hAnsi="Arial"/>
          <w:b/>
          <w:bCs/>
        </w:rPr>
        <w:t xml:space="preserve">13. THE APPLICANT’S OWN CONTEMPT EXPOSURE</w:t>
      </w:r>
    </w:p>
    <w:p>
      <w:pPr>
        <w:spacing w:after="120" w:line="276"/>
      </w:pPr>
      <w:r>
        <w:rPr>
          <w:rFonts w:ascii="Arial" w:cs="Arial" w:eastAsia="Arial" w:hAnsi="Arial"/>
          <w:sz w:val="22"/>
          <w:szCs w:val="22"/>
        </w:rPr>
        <w:t xml:space="preserve">It is noted that the Applicant brought a contempt application against the First and Second Respondents (filed 4–5 February 2026), while simultaneously:</w:t>
      </w:r>
    </w:p>
    <w:p>
      <w:pPr>
        <w:spacing w:after="120" w:line="276"/>
      </w:pPr>
      <w:r>
        <w:rPr>
          <w:rFonts w:ascii="Arial" w:cs="Arial" w:eastAsia="Arial" w:hAnsi="Arial"/>
          <w:b/>
          <w:bCs/>
          <w:sz w:val="22"/>
          <w:szCs w:val="22"/>
        </w:rPr>
        <w:t xml:space="preserve">(a) </w:t>
      </w:r>
      <w:r>
        <w:rPr>
          <w:rFonts w:ascii="Arial" w:cs="Arial" w:eastAsia="Arial" w:hAnsi="Arial"/>
          <w:sz w:val="22"/>
          <w:szCs w:val="22"/>
        </w:rPr>
        <w:t xml:space="preserve">Failing to process entity costs through accounts he exclusively controls (§2.6 / §2.4.3);</w:t>
      </w:r>
    </w:p>
    <w:p>
      <w:pPr>
        <w:spacing w:after="120" w:line="276"/>
      </w:pPr>
      <w:r>
        <w:rPr>
          <w:rFonts w:ascii="Arial" w:cs="Arial" w:eastAsia="Arial" w:hAnsi="Arial"/>
          <w:b/>
          <w:bCs/>
          <w:sz w:val="22"/>
          <w:szCs w:val="22"/>
        </w:rPr>
        <w:t xml:space="preserve">(b) </w:t>
      </w:r>
      <w:r>
        <w:rPr>
          <w:rFonts w:ascii="Arial" w:cs="Arial" w:eastAsia="Arial" w:hAnsi="Arial"/>
          <w:sz w:val="22"/>
          <w:szCs w:val="22"/>
        </w:rPr>
        <w:t xml:space="preserve">Permitting or directing personal billing of excluded parties for entity obligations (§2.7 / §2.1.3);</w:t>
      </w:r>
    </w:p>
    <w:p>
      <w:pPr>
        <w:spacing w:after="120" w:line="276"/>
      </w:pPr>
      <w:r>
        <w:rPr>
          <w:rFonts w:ascii="Arial" w:cs="Arial" w:eastAsia="Arial" w:hAnsi="Arial"/>
          <w:b/>
          <w:bCs/>
          <w:sz w:val="22"/>
          <w:szCs w:val="22"/>
        </w:rPr>
        <w:t xml:space="preserve">(c) </w:t>
      </w:r>
      <w:r>
        <w:rPr>
          <w:rFonts w:ascii="Arial" w:cs="Arial" w:eastAsia="Arial" w:hAnsi="Arial"/>
          <w:sz w:val="22"/>
          <w:szCs w:val="22"/>
        </w:rPr>
        <w:t xml:space="preserve">Extracting R10,624,131.18 from entity accounts without prior notification (§2.2.1.1);</w:t>
      </w:r>
    </w:p>
    <w:p>
      <w:pPr>
        <w:spacing w:after="120" w:line="276"/>
      </w:pPr>
      <w:r>
        <w:rPr>
          <w:rFonts w:ascii="Arial" w:cs="Arial" w:eastAsia="Arial" w:hAnsi="Arial"/>
          <w:b/>
          <w:bCs/>
          <w:sz w:val="22"/>
          <w:szCs w:val="22"/>
        </w:rPr>
        <w:t xml:space="preserve">(d) </w:t>
      </w:r>
      <w:r>
        <w:rPr>
          <w:rFonts w:ascii="Arial" w:cs="Arial" w:eastAsia="Arial" w:hAnsi="Arial"/>
          <w:sz w:val="22"/>
          <w:szCs w:val="22"/>
        </w:rPr>
        <w:t xml:space="preserve">Denying the First Respondent access to entity systems required for statutory and fiduciary duties, exceeding the interdict mandate;</w:t>
      </w:r>
    </w:p>
    <w:p>
      <w:pPr>
        <w:spacing w:after="120" w:line="276"/>
      </w:pPr>
      <w:r>
        <w:rPr>
          <w:rFonts w:ascii="Arial" w:cs="Arial" w:eastAsia="Arial" w:hAnsi="Arial"/>
          <w:b/>
          <w:bCs/>
          <w:sz w:val="22"/>
          <w:szCs w:val="22"/>
        </w:rPr>
        <w:t xml:space="preserve">(e) </w:t>
      </w:r>
      <w:r>
        <w:rPr>
          <w:rFonts w:ascii="Arial" w:cs="Arial" w:eastAsia="Arial" w:hAnsi="Arial"/>
          <w:sz w:val="22"/>
          <w:szCs w:val="22"/>
        </w:rPr>
        <w:t xml:space="preserve">Characterising legitimate requests for entity documentation as “fishing expeditions” while obstructing the transparency mechanisms established by the settlement agreement.</w:t>
      </w:r>
    </w:p>
    <w:p>
      <w:pPr>
        <w:spacing w:after="120" w:line="276"/>
      </w:pPr>
      <w:r>
        <w:rPr>
          <w:rFonts w:ascii="Arial" w:cs="Arial" w:eastAsia="Arial" w:hAnsi="Arial"/>
          <w:sz w:val="22"/>
          <w:szCs w:val="22"/>
        </w:rPr>
        <w:t xml:space="preserve">The Applicant’s own non-compliance with the cost allocation framework, combined with his obstruction of the First Respondent’s statutory duties, is itself capable of constituting contempt. Paragraph 2.6 imposes an obligation — not merely a permission — to “take control of the financial affairs” of the entities. This obligation includes processing entity costs, not merely extracting entity funds.</w:t>
      </w:r>
    </w:p>
    <w:p>
      <w:r>
        <w:br/>
      </w:r>
    </w:p>
    <w:p>
      <w:pPr>
        <w:pStyle w:val="Heading1"/>
        <w:spacing w:before="300" w:after="150"/>
      </w:pPr>
      <w:r>
        <w:rPr>
          <w:rFonts w:ascii="Arial" w:cs="Arial" w:eastAsia="Arial" w:hAnsi="Arial"/>
          <w:b/>
          <w:bCs/>
        </w:rPr>
        <w:t xml:space="preserve">14. CONCLUSION AND RELIEF SOUGHT</w:t>
      </w:r>
    </w:p>
    <w:p>
      <w:pPr>
        <w:spacing w:after="120" w:line="276"/>
      </w:pPr>
      <w:r>
        <w:rPr>
          <w:rFonts w:ascii="Arial" w:cs="Arial" w:eastAsia="Arial" w:hAnsi="Arial"/>
          <w:sz w:val="22"/>
          <w:szCs w:val="22"/>
        </w:rPr>
        <w:t xml:space="preserve">For the reasons set out above, the following propositions are established on the Applicant’s own filings: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87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Proposition</w:t>
            </w:r>
          </w:p>
        </w:tc>
      </w:tr>
      <w:tr>
        <w:tc>
          <w:tcPr>
            <w:tcW w:type="dxa" w:w="6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87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sz w:val="20"/>
                <w:szCs w:val="20"/>
              </w:rPr>
              <w:t xml:space="preserve">Every expense in this matter falls into one of two categories: (A) entity expenses within the scope of the Applicant’s control, payable by the Applicant from entity accounts; or (B) personal matters of the First/Second Respondents, outside the Applicant’s purview.</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87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The Applicant holds exclusive transacting authority and must process all entity costs through entity accounts. This is an obligation, not merely a permission.</w:t>
            </w:r>
          </w:p>
        </w:tc>
      </w:tr>
      <w:tr>
        <w:tc>
          <w:tcPr>
            <w:tcW w:type="dxa" w:w="6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87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sz w:val="20"/>
                <w:szCs w:val="20"/>
              </w:rPr>
              <w:t xml:space="preserve">Attorneys and service providers are interdicted from billing the First and Second Respondents personally for any entity expense. This applies to Crime Risk Advisory, Pottas Attorneys (for entity-related services), and all other service providers.</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87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The cost allocation framework does not diminish or remove the First and Second Respondents’ fiduciary or statutory duties as Directors, Members, Trustees, or Information Officers. It determines who pays, not who may act.</w:t>
            </w:r>
          </w:p>
        </w:tc>
      </w:tr>
      <w:tr>
        <w:tc>
          <w:tcPr>
            <w:tcW w:type="dxa" w:w="6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876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rFonts w:ascii="Arial" w:cs="Arial" w:eastAsia="Arial" w:hAnsi="Arial"/>
                <w:sz w:val="20"/>
                <w:szCs w:val="20"/>
              </w:rPr>
              <w:t xml:space="preserve">The Applicant is obliged to provision the access required for the First and Second Respondents to discharge their statutory and fiduciary duties. His denial of such access exceeds the interdict mandate and exposes the First Respondent to personal regulatory liability.</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87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This argument operates independently of the void ab initio application and is binding regardless of that application’s outcome.</w:t>
            </w:r>
          </w:p>
        </w:tc>
      </w:tr>
    </w:tbl>
    <w:p>
      <w:pPr>
        <w:spacing w:before="300" w:after="120"/>
      </w:pPr>
    </w:p>
    <w:p>
      <w:pPr>
        <w:spacing w:after="120" w:line="276"/>
      </w:pPr>
      <w:r>
        <w:rPr>
          <w:rFonts w:ascii="Arial" w:cs="Arial" w:eastAsia="Arial" w:hAnsi="Arial"/>
          <w:sz w:val="22"/>
          <w:szCs w:val="22"/>
        </w:rPr>
        <w:t xml:space="preserve">The First and Second Respondents accordingly request:</w:t>
      </w:r>
    </w:p>
    <w:p>
      <w:pPr>
        <w:spacing w:after="120" w:line="276"/>
      </w:pPr>
      <w:r>
        <w:rPr>
          <w:rFonts w:ascii="Arial" w:cs="Arial" w:eastAsia="Arial" w:hAnsi="Arial"/>
          <w:b/>
          <w:bCs/>
          <w:sz w:val="22"/>
          <w:szCs w:val="22"/>
        </w:rPr>
        <w:t xml:space="preserve">(a) </w:t>
      </w:r>
      <w:r>
        <w:rPr>
          <w:rFonts w:ascii="Arial" w:cs="Arial" w:eastAsia="Arial" w:hAnsi="Arial"/>
          <w:sz w:val="22"/>
          <w:szCs w:val="22"/>
        </w:rPr>
        <w:t xml:space="preserve">A declaratory order confirming the binary classification of expenses: entity costs payable by the Applicant through entity accounts, and personal matters outside the Applicant’s purview;</w:t>
      </w:r>
    </w:p>
    <w:p>
      <w:pPr>
        <w:spacing w:after="120" w:line="276"/>
      </w:pPr>
      <w:r>
        <w:rPr>
          <w:rFonts w:ascii="Arial" w:cs="Arial" w:eastAsia="Arial" w:hAnsi="Arial"/>
          <w:b/>
          <w:bCs/>
          <w:sz w:val="22"/>
          <w:szCs w:val="22"/>
        </w:rPr>
        <w:t xml:space="preserve">(b) </w:t>
      </w:r>
      <w:r>
        <w:rPr>
          <w:rFonts w:ascii="Arial" w:cs="Arial" w:eastAsia="Arial" w:hAnsi="Arial"/>
          <w:sz w:val="22"/>
          <w:szCs w:val="22"/>
        </w:rPr>
        <w:t xml:space="preserve">An order interdicting all attorneys and service providers from billing the First and Second Respondents personally for any entity expense;</w:t>
      </w:r>
    </w:p>
    <w:p>
      <w:pPr>
        <w:spacing w:after="120" w:line="276"/>
      </w:pPr>
      <w:r>
        <w:rPr>
          <w:rFonts w:ascii="Arial" w:cs="Arial" w:eastAsia="Arial" w:hAnsi="Arial"/>
          <w:b/>
          <w:bCs/>
          <w:sz w:val="22"/>
          <w:szCs w:val="22"/>
        </w:rPr>
        <w:t xml:space="preserve">(c) </w:t>
      </w:r>
      <w:r>
        <w:rPr>
          <w:rFonts w:ascii="Arial" w:cs="Arial" w:eastAsia="Arial" w:hAnsi="Arial"/>
          <w:sz w:val="22"/>
          <w:szCs w:val="22"/>
        </w:rPr>
        <w:t xml:space="preserve">An order directing the Applicant to process all outstanding entity costs — including Crime Risk Advisory invoice INV0000120 (R523,250.00) — through entity accounts within 10 days;</w:t>
      </w:r>
    </w:p>
    <w:p>
      <w:pPr>
        <w:spacing w:after="120" w:line="276"/>
      </w:pPr>
      <w:r>
        <w:rPr>
          <w:rFonts w:ascii="Arial" w:cs="Arial" w:eastAsia="Arial" w:hAnsi="Arial"/>
          <w:b/>
          <w:bCs/>
          <w:sz w:val="22"/>
          <w:szCs w:val="22"/>
        </w:rPr>
        <w:t xml:space="preserve">(d) </w:t>
      </w:r>
      <w:r>
        <w:rPr>
          <w:rFonts w:ascii="Arial" w:cs="Arial" w:eastAsia="Arial" w:hAnsi="Arial"/>
          <w:sz w:val="22"/>
          <w:szCs w:val="22"/>
        </w:rPr>
        <w:t xml:space="preserve">An order directing the Applicant to provision the First Respondent with access to all entity systems required for the discharge of her fiduciary and statutory duties, including but not limited to her obligations as Information Officer under POPIA;</w:t>
      </w:r>
    </w:p>
    <w:p>
      <w:pPr>
        <w:spacing w:after="120" w:line="276"/>
      </w:pPr>
      <w:r>
        <w:rPr>
          <w:rFonts w:ascii="Arial" w:cs="Arial" w:eastAsia="Arial" w:hAnsi="Arial"/>
          <w:b/>
          <w:bCs/>
          <w:sz w:val="22"/>
          <w:szCs w:val="22"/>
        </w:rPr>
        <w:t xml:space="preserve">(e) </w:t>
      </w:r>
      <w:r>
        <w:rPr>
          <w:rFonts w:ascii="Arial" w:cs="Arial" w:eastAsia="Arial" w:hAnsi="Arial"/>
          <w:sz w:val="22"/>
          <w:szCs w:val="22"/>
        </w:rPr>
        <w:t xml:space="preserve">An order confirming that the cost allocation framework does not diminish the First and Second Respondents’ capacity to exercise all fiduciary and statutory duties as Directors, Members, Trustees, and Information Officers of the Third to Sixth Respondents;</w:t>
      </w:r>
    </w:p>
    <w:p>
      <w:pPr>
        <w:spacing w:after="120" w:line="276"/>
      </w:pPr>
      <w:r>
        <w:rPr>
          <w:rFonts w:ascii="Arial" w:cs="Arial" w:eastAsia="Arial" w:hAnsi="Arial"/>
          <w:b/>
          <w:bCs/>
          <w:sz w:val="22"/>
          <w:szCs w:val="22"/>
        </w:rPr>
        <w:t xml:space="preserve">(f) </w:t>
      </w:r>
      <w:r>
        <w:rPr>
          <w:rFonts w:ascii="Arial" w:cs="Arial" w:eastAsia="Arial" w:hAnsi="Arial"/>
          <w:sz w:val="22"/>
          <w:szCs w:val="22"/>
        </w:rPr>
        <w:t xml:space="preserve">Costs of this application on the party and party scale.</w:t>
      </w:r>
    </w:p>
    <w:p>
      <w:pPr>
        <w:pBdr>
          <w:top w:val="single" w:color="1B3A5C" w:sz="1"/>
        </w:pBdr>
        <w:spacing w:before="600" w:after="200"/>
      </w:pPr>
    </w:p>
    <w:p>
      <w:pPr>
        <w:spacing w:after="60"/>
        <w:jc w:val="center"/>
      </w:pPr>
      <w:r>
        <w:rPr>
          <w:rFonts w:ascii="Arial" w:cs="Arial" w:eastAsia="Arial" w:hAnsi="Arial"/>
          <w:i/>
          <w:iCs/>
          <w:color w:val="888888"/>
          <w:sz w:val="18"/>
          <w:szCs w:val="18"/>
        </w:rPr>
        <w:t xml:space="preserve">Prepared: 11 February 2026</w:t>
      </w:r>
    </w:p>
    <w:p>
      <w:pPr>
        <w:spacing w:after="60"/>
        <w:jc w:val="center"/>
      </w:pPr>
      <w:r>
        <w:rPr>
          <w:rFonts w:ascii="Arial" w:cs="Arial" w:eastAsia="Arial" w:hAnsi="Arial"/>
          <w:i/>
          <w:iCs/>
          <w:color w:val="888888"/>
          <w:sz w:val="18"/>
          <w:szCs w:val="18"/>
        </w:rPr>
        <w:t xml:space="preserve">On behalf of the First and Second Respondents</w:t>
      </w:r>
    </w:p>
    <w:p>
      <w:pPr>
        <w:spacing w:after="60"/>
        <w:jc w:val="center"/>
      </w:pPr>
      <w:r>
        <w:rPr>
          <w:rFonts w:ascii="Arial" w:cs="Arial" w:eastAsia="Arial" w:hAnsi="Arial"/>
          <w:i/>
          <w:iCs/>
          <w:color w:val="888888"/>
          <w:sz w:val="18"/>
          <w:szCs w:val="18"/>
        </w:rPr>
        <w:t xml:space="preserve">Case No: 2025-137857 | Gauteng Division, Pretoria</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888888"/>
        <w:sz w:val="16"/>
        <w:szCs w:val="16"/>
      </w:rPr>
      <w:t xml:space="preserve">COST ALLOCATION ESTOPPEL ARGUMENT</w:t>
    </w:r>
  </w:p>
  <w:p>
    <w:pPr>
      <w:spacing w:after="0"/>
      <w:jc w:val="right"/>
    </w:pPr>
    <w:r>
      <w:rPr>
        <w:rFonts w:ascii="Arial" w:cs="Arial" w:eastAsia="Arial" w:hAnsi="Arial"/>
        <w:color w:val="AAAAAA"/>
        <w:sz w:val="14"/>
        <w:szCs w:val="14"/>
      </w:rPr>
      <w:t xml:space="preserve">Case No: 2025-137857  |  Gauteng Division, Pretoria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2026-02-11T08:12:34.059Z</dcterms:created>
  <dcterms:modified xsi:type="dcterms:W3CDTF">2026-02-11T08:12:34.060Z</dcterms:modified>
</cp:coreProperties>
</file>

<file path=docProps/custom.xml><?xml version="1.0" encoding="utf-8"?>
<Properties xmlns="http://schemas.openxmlformats.org/officeDocument/2006/custom-properties" xmlns:vt="http://schemas.openxmlformats.org/officeDocument/2006/docPropsVTypes"/>
</file>